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2B87" w14:textId="77777777" w:rsidR="00B771A4" w:rsidRDefault="00835697" w:rsidP="00E46123">
      <w:pPr>
        <w:pStyle w:val="Title"/>
        <w:spacing w:line="276" w:lineRule="auto"/>
      </w:pPr>
      <w:r>
        <w:t>Supplementary Material</w:t>
      </w:r>
    </w:p>
    <w:p w14:paraId="2D8C2B88" w14:textId="77777777" w:rsidR="00835697" w:rsidRDefault="00835697" w:rsidP="00E46123">
      <w:pPr>
        <w:pStyle w:val="Title"/>
        <w:spacing w:line="276" w:lineRule="auto"/>
        <w:jc w:val="left"/>
      </w:pPr>
    </w:p>
    <w:p w14:paraId="2D8C2B89" w14:textId="4F833F50" w:rsidR="00835697" w:rsidRDefault="004A7936" w:rsidP="00E46123">
      <w:pPr>
        <w:pStyle w:val="Title"/>
        <w:spacing w:line="276" w:lineRule="auto"/>
        <w:jc w:val="left"/>
      </w:pPr>
      <w:r>
        <w:t>A Novel UK Prognostic Model for 30-day Mortality following Transcatheter Aortic Valve Implantation</w:t>
      </w:r>
      <w:r w:rsidR="00835697">
        <w:t xml:space="preserve"> </w:t>
      </w:r>
    </w:p>
    <w:p w14:paraId="2D8C2B8B" w14:textId="0CC9D431" w:rsidR="00835697" w:rsidRDefault="00FB7EDE" w:rsidP="00E46123">
      <w:pPr>
        <w:spacing w:before="240" w:line="276" w:lineRule="auto"/>
      </w:pPr>
      <w:r>
        <w:t>Glen P. Martin; Matthew Sperrin</w:t>
      </w:r>
      <w:r w:rsidRPr="00FB7EDE">
        <w:t>; Peter</w:t>
      </w:r>
      <w:r>
        <w:t xml:space="preserve"> F. Ludman</w:t>
      </w:r>
      <w:r w:rsidRPr="00FB7EDE">
        <w:t>; M</w:t>
      </w:r>
      <w:r>
        <w:t xml:space="preserve">ark A. de </w:t>
      </w:r>
      <w:proofErr w:type="spellStart"/>
      <w:r>
        <w:t>Belder</w:t>
      </w:r>
      <w:proofErr w:type="spellEnd"/>
      <w:r>
        <w:t>; Simon Redwood; John Townend; Mark Gunning; Neil E. Moat; Iain Buchan</w:t>
      </w:r>
      <w:r w:rsidRPr="00FB7EDE">
        <w:t>; Mamas A. Ma</w:t>
      </w:r>
      <w:r>
        <w:t>mas</w:t>
      </w:r>
    </w:p>
    <w:p w14:paraId="047EA444" w14:textId="09706766" w:rsidR="00FB7EDE" w:rsidRDefault="00FB7EDE" w:rsidP="00FB7EDE">
      <w:pPr>
        <w:pStyle w:val="Heading1"/>
      </w:pPr>
      <w:r>
        <w:t>Supplementary Methods</w:t>
      </w:r>
    </w:p>
    <w:p w14:paraId="2A06CA12" w14:textId="77777777" w:rsidR="008F081C" w:rsidRDefault="008F081C" w:rsidP="006E2C42">
      <w:pPr>
        <w:pStyle w:val="Heading2"/>
        <w:spacing w:before="0"/>
      </w:pPr>
      <w:r>
        <w:t>Mathematical Details of Model Updating Techniques</w:t>
      </w:r>
    </w:p>
    <w:p w14:paraId="6182D4FA" w14:textId="4C200EC9" w:rsidR="008F081C" w:rsidRDefault="008F081C" w:rsidP="008F081C">
      <w:pPr>
        <w:spacing w:line="360" w:lineRule="auto"/>
        <w:ind w:firstLine="720"/>
      </w:pPr>
      <w:r>
        <w:t xml:space="preserve">We first derived a logistic regression CPM within the 2009-2014 data, considering only those variables that were observed throughout this period (i.e. not frailty related measures), by following  the “majority method” of developing CPMs within multiple imputed data </w:t>
      </w:r>
      <w:r>
        <w:fldChar w:fldCharType="begin" w:fldLock="1"/>
      </w:r>
      <w:r>
        <w:instrText>ADDIN CSL_CITATION { "citationItems" : [ { "id" : "ITEM-1", "itemData" : { "DOI" : "10.1016/j.jclinepi.2009.03.017", "ISBN" : "1878-5921 (Electronic)\\r0895-4356 (Linking)", "ISSN" : "08954356", "PMID" : "19596181", "abstract" : "Objective: To illustrate the sequence of steps needed to develop and validate a clinical prediction model, when missing predictor values have been multiply imputed. Study Design and Setting: We used data from consecutive primary care patients suspected of deep venous thrombosis (DVT) to develop and validate a diagnostic model for the presence of DVT. Missing values were imputed 10 times with the MICE conditional imputation method. After the selection of predictors and transformations for continuous predictors according to three different methods, we estimated regression coefficients and performance measures. Results: The three methods to select predictors and transformations of continuous predictors showed similar results. Rubin's rules could easily be applied to estimate regression coefficients and performance measures, once predictors and transformations were selected. Conclusion: We provide a practical approach for model development and validation with multiply imputed data. ?? 2010 Elsevier Inc. All rights reserved.", "author" : [ { "dropping-particle" : "", "family" : "Vergouwe", "given" : "Yvonne", "non-dropping-particle" : "", "parse-names" : false, "suffix" : "" }, { "dropping-particle" : "", "family" : "Royston", "given" : "Patrick", "non-dropping-particle" : "", "parse-names" : false, "suffix" : "" }, { "dropping-particle" : "", "family" : "Moons", "given" : "Karel G.M.", "non-dropping-particle" : "", "parse-names" : false, "suffix" : "" }, { "dropping-particle" : "", "family" : "Altman", "given" : "Douglas G.", "non-dropping-particle" : "", "parse-names" : false, "suffix" : "" } ], "container-title" : "Journal of Clinical Epidemiology", "id" : "ITEM-1", "issue" : "2", "issued" : { "date-parts" : [ [ "2010", "2" ] ] }, "page" : "205-214", "publisher" : "Elsevier Inc", "title" : "Development and validation of a prediction model with missing predictor data: a practical approach", "type" : "article-journal", "volume" : "63" }, "uris" : [ "http://www.mendeley.com/documents/?uuid=10ed15ee-c98a-4c2a-aeba-0de6975d75c8" ] } ], "mendeley" : { "formattedCitation" : "[1]", "plainTextFormattedCitation" : "[1]", "previouslyFormattedCitation" : "[1]" }, "properties" : { "noteIndex" : 0 }, "schema" : "https://github.com/citation-style-language/schema/raw/master/csl-citation.json" }</w:instrText>
      </w:r>
      <w:r>
        <w:rPr>
          <w:vertAlign w:val="superscript"/>
        </w:rPr>
        <w:fldChar w:fldCharType="separate"/>
      </w:r>
      <w:r w:rsidRPr="008F081C">
        <w:rPr>
          <w:noProof/>
        </w:rPr>
        <w:t>[1]</w:t>
      </w:r>
      <w:r>
        <w:fldChar w:fldCharType="end"/>
      </w:r>
      <w:r>
        <w:t xml:space="preserve">. If </w:t>
      </w:r>
      <m:oMath>
        <m:r>
          <w:rPr>
            <w:rFonts w:ascii="Cambria Math" w:hAnsi="Cambria Math"/>
          </w:rPr>
          <m:t>P</m:t>
        </m:r>
      </m:oMath>
      <w:r>
        <w:t xml:space="preserve"> denotes the number of predictors that were selected using the majority method, then one can write the </w:t>
      </w:r>
      <w:r w:rsidR="0087675B">
        <w:t xml:space="preserve">resulting </w:t>
      </w:r>
      <w:r>
        <w:t xml:space="preserve">linear predictor (LP) as </w:t>
      </w:r>
    </w:p>
    <w:p w14:paraId="73315CC0" w14:textId="506E8CD9" w:rsidR="008F081C" w:rsidRPr="008F081C" w:rsidRDefault="00796506" w:rsidP="008F081C">
      <w:pPr>
        <w:spacing w:line="360" w:lineRule="auto"/>
      </w:pPr>
      <m:oMathPara>
        <m:oMathParaPr>
          <m:jc m:val="right"/>
        </m:oMathParaPr>
        <m:oMath>
          <m:sSub>
            <m:sSubPr>
              <m:ctrlPr>
                <w:rPr>
                  <w:rFonts w:ascii="Cambria Math" w:hAnsi="Cambria Math"/>
                </w:rPr>
              </m:ctrlPr>
            </m:sSubPr>
            <m:e>
              <m:r>
                <m:rPr>
                  <m:sty m:val="p"/>
                </m:rPr>
                <w:rPr>
                  <w:rFonts w:ascii="Cambria Math" w:hAnsi="Cambria Math"/>
                </w:rPr>
                <m:t>LP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p=1</m:t>
              </m:r>
            </m:sub>
            <m:sup>
              <m:r>
                <w:rPr>
                  <w:rFonts w:ascii="Cambria Math" w:hAnsi="Cambria Math"/>
                </w:rPr>
                <m:t>P</m:t>
              </m:r>
            </m:sup>
            <m:e>
              <m:sSub>
                <m:sSubPr>
                  <m:ctrlPr>
                    <w:rPr>
                      <w:rFonts w:ascii="Cambria Math" w:hAnsi="Cambria Math"/>
                      <w:i/>
                    </w:rPr>
                  </m:ctrlPr>
                </m:sSubPr>
                <m:e>
                  <m:r>
                    <w:rPr>
                      <w:rFonts w:ascii="Cambria Math" w:hAnsi="Cambria Math"/>
                    </w:rPr>
                    <m:t>β</m:t>
                  </m:r>
                </m:e>
                <m:sub>
                  <m:r>
                    <w:rPr>
                      <w:rFonts w:ascii="Cambria Math" w:hAnsi="Cambria Math"/>
                    </w:rPr>
                    <m:t>p</m:t>
                  </m:r>
                </m:sub>
              </m:sSub>
              <m:sSub>
                <m:sSubPr>
                  <m:ctrlPr>
                    <w:rPr>
                      <w:rFonts w:ascii="Cambria Math" w:hAnsi="Cambria Math"/>
                      <w:i/>
                    </w:rPr>
                  </m:ctrlPr>
                </m:sSubPr>
                <m:e>
                  <m:r>
                    <w:rPr>
                      <w:rFonts w:ascii="Cambria Math" w:hAnsi="Cambria Math"/>
                    </w:rPr>
                    <m:t>x</m:t>
                  </m:r>
                </m:e>
                <m:sub>
                  <m:r>
                    <w:rPr>
                      <w:rFonts w:ascii="Cambria Math" w:hAnsi="Cambria Math"/>
                    </w:rPr>
                    <m:t>i,p</m:t>
                  </m:r>
                </m:sub>
              </m:sSub>
            </m:e>
          </m:nary>
          <m:r>
            <w:rPr>
              <w:rFonts w:ascii="Cambria Math" w:hAnsi="Cambria Math"/>
            </w:rPr>
            <m:t xml:space="preserve">                                                            (1)</m:t>
          </m:r>
        </m:oMath>
      </m:oMathPara>
    </w:p>
    <w:p w14:paraId="47C01B19" w14:textId="32AAE5EF" w:rsidR="008F081C" w:rsidRPr="00152AB8" w:rsidRDefault="008F081C" w:rsidP="008F081C">
      <w:pPr>
        <w:spacing w:line="360" w:lineRule="auto"/>
      </w:pPr>
      <w:r>
        <w:t xml:space="preserve">for patient </w:t>
      </w:r>
      <m:oMath>
        <m:r>
          <w:rPr>
            <w:rFonts w:ascii="Cambria Math" w:hAnsi="Cambria Math"/>
          </w:rPr>
          <m:t>i</m:t>
        </m:r>
      </m:oMath>
      <w:r>
        <w:t xml:space="preserve">, covariates </w:t>
      </w:r>
      <m:oMath>
        <m:sSub>
          <m:sSubPr>
            <m:ctrlPr>
              <w:rPr>
                <w:rFonts w:ascii="Cambria Math" w:hAnsi="Cambria Math"/>
                <w:i/>
              </w:rPr>
            </m:ctrlPr>
          </m:sSubPr>
          <m:e>
            <m:r>
              <w:rPr>
                <w:rFonts w:ascii="Cambria Math" w:hAnsi="Cambria Math"/>
              </w:rPr>
              <m:t>x</m:t>
            </m:r>
          </m:e>
          <m:sub>
            <m:r>
              <w:rPr>
                <w:rFonts w:ascii="Cambria Math" w:hAnsi="Cambria Math"/>
              </w:rPr>
              <m:t>i,p</m:t>
            </m:r>
          </m:sub>
        </m:sSub>
      </m:oMath>
      <w:r>
        <w:t xml:space="preserve"> for </w:t>
      </w:r>
      <m:oMath>
        <m:r>
          <w:rPr>
            <w:rFonts w:ascii="Cambria Math" w:hAnsi="Cambria Math"/>
          </w:rPr>
          <m:t>p∈[1,P]</m:t>
        </m:r>
      </m:oMath>
      <w:r>
        <w:t xml:space="preserve">, and associated </w:t>
      </w:r>
      <w:r w:rsidR="0087675B">
        <w:t xml:space="preserve">estimated </w:t>
      </w:r>
      <w:r>
        <w:t xml:space="preserve">coefficients </w:t>
      </w:r>
      <m:oMath>
        <m:sSub>
          <m:sSubPr>
            <m:ctrlPr>
              <w:rPr>
                <w:rFonts w:ascii="Cambria Math" w:hAnsi="Cambria Math"/>
                <w:i/>
              </w:rPr>
            </m:ctrlPr>
          </m:sSubPr>
          <m:e>
            <m:r>
              <w:rPr>
                <w:rFonts w:ascii="Cambria Math" w:hAnsi="Cambria Math"/>
              </w:rPr>
              <m:t>β</m:t>
            </m:r>
          </m:e>
          <m:sub>
            <m:r>
              <w:rPr>
                <w:rFonts w:ascii="Cambria Math" w:hAnsi="Cambria Math"/>
              </w:rPr>
              <m:t>p</m:t>
            </m:r>
          </m:sub>
        </m:sSub>
      </m:oMath>
      <w:r>
        <w:t>.</w:t>
      </w:r>
    </w:p>
    <w:p w14:paraId="2FDC76E8" w14:textId="47D94476" w:rsidR="008F081C" w:rsidRDefault="008F081C" w:rsidP="008F081C">
      <w:pPr>
        <w:spacing w:line="360" w:lineRule="auto"/>
        <w:ind w:firstLine="720"/>
      </w:pPr>
      <w:r>
        <w:t xml:space="preserve">To ensure the model was reflective of most contemporary practice and to consider the addition of the three frailty measures, we performed model updating on </w:t>
      </w:r>
      <w:r w:rsidR="0087675B">
        <w:t>equation</w:t>
      </w:r>
      <w:r>
        <w:t xml:space="preserve"> (1). </w:t>
      </w:r>
      <w:r w:rsidR="00D70807">
        <w:t>Such techniques</w:t>
      </w:r>
      <w:r>
        <w:t xml:space="preserve">, as previously described </w:t>
      </w:r>
      <w:r>
        <w:fldChar w:fldCharType="begin" w:fldLock="1"/>
      </w:r>
      <w:r>
        <w:instrText>ADDIN CSL_CITATION { "citationItems" : [ { "id" : "ITEM-1", "itemData" : { "DOI" : "10.1016/j.jclinepi.2007.04.018", "ISSN" : "08954356", "PMID" : "18083464", "abstract" : "OBJECTIVE: Ideally, clinical prediction models are generalizable to other patient groups. Unfortunately, they perform regularly worse when validated in new patients and are then often redeveloped. While the original prediction model usually has been developed on a large data set, redevelopment then often occurs on the smaller validation set. Recently, methods to update existing prediction models with the data of new patients have been proposed. We used an existing model that preoperatively predicts the risk of severe postoperative pain (SPP) to compare five updating methods. STUDY DESIGN AND SETTING: The model was tested and updated with a set of 752 new patients (274 [36] with SPP). We studied the discrimination (ability to distinguish between patients with and without SPP) and calibration (agreement between the predicted risks and observed frequencies of SPP) of the five updated models in 283 other patients (100 [35%] with SPP). RESULTS: Simple recalibration methods improved the calibration to a similar extent as revision methods that made more extensive adjustments to the original model. Discrimination could not be improved by any of the methods. CONCLUSION: When the performance is poor in new patients, updating methods can be applied to adjust the model, rather than to develop a new model.", "author" : [ { "dropping-particle" : "", "family" : "Janssen", "given" : "K.J.M.", "non-dropping-particle" : "", "parse-names" : false, "suffix" : "" }, { "dropping-particle" : "", "family" : "Moons", "given" : "K.G.M.", "non-dropping-particle" : "", "parse-names" : false, "suffix" : "" }, { "dropping-particle" : "", "family" : "Kalkman", "given" : "C.J.", "non-dropping-particle" : "", "parse-names" : false, "suffix" : "" }, { "dropping-particle" : "", "family" : "Grobbee", "given" : "D.E.", "non-dropping-particle" : "", "parse-names" : false, "suffix" : "" }, { "dropping-particle" : "", "family" : "Vergouwe", "given" : "Y", "non-dropping-particle" : "", "parse-names" : false, "suffix" : "" } ], "container-title" : "Journal of Clinical Epidemiology", "id" : "ITEM-1", "issue" : "1", "issued" : { "date-parts" : [ [ "2008", "1" ] ] }, "page" : "76-86", "title" : "Updating methods improved the performance of a clinical prediction model in new patients", "type" : "article-journal", "volume" : "61" }, "uris" : [ "http://www.mendeley.com/documents/?uuid=b3568818-e11f-48c0-928c-80cecae2daec" ] }, { "id" : "ITEM-2", "itemData" : { "DOI" : "10.1002/sim.1844", "ISSN" : "0277-6715", "PMID" : "15287085", "abstract" : "A logistic regression model may be used to provide predictions of outcome for individual patients at another centre than where the model was developed. When empirical data are available from this centre, the validity of predictions can be assessed by comparing observed outcomes and predicted probabilities. Subsequently, the model may be updated to improve predictions for future patients. As an example, we analysed 30-day mortality after acute myocardial infarction in a large data set (GUSTO-I, n = 40 830). We validated and updated a previously published model from another study (TIMI-II, n = 3339) in validation samples ranging from small (200 patients, 14 deaths) to large (10,000 patients, 700 deaths). Updated models were tested on independent patients. Updating methods included re-calibration (re-estimation of the intercept or slope of the linear predictor) and more structural model revisions (re-estimation of some or all regression coefficients, model extension with more predictors). We applied heuristic shrinkage approaches in the model revision methods, such that regression coefficients were shrunken towards their re-calibrated values. Parsimonious updating methods were found preferable to more extensive model revisions, which should only be attempted with relatively large validation samples in combination with shrinkage.", "author" : [ { "dropping-particle" : "", "family" : "Steyerberg", "given" : "Ewout W", "non-dropping-particle" : "", "parse-names" : false, "suffix" : "" }, { "dropping-particle" : "", "family" : "Borsboom", "given" : "Gerard J J M", "non-dropping-particle" : "", "parse-names" : false, "suffix" : "" }, { "dropping-particle" : "", "family" : "Houwelingen", "given" : "Hans C", "non-dropping-particle" : "van", "parse-names" : false, "suffix" : "" }, { "dropping-particle" : "", "family" : "Eijkemans", "given" : "Marinus J C", "non-dropping-particle" : "", "parse-names" : false, "suffix" : "" }, { "dropping-particle" : "", "family" : "Habbema", "given" : "J Dik F", "non-dropping-particle" : "", "parse-names" : false, "suffix" : "" } ], "container-title" : "Statistics in Medicine", "id" : "ITEM-2", "issue" : "16", "issued" : { "date-parts" : [ [ "2004", "8", "30" ] ] }, "page" : "2567-2586", "title" : "Validation and updating of predictive logistic regression models: a study on sample size and shrinkage", "type" : "article-journal", "volume" : "23" }, "uris" : [ "http://www.mendeley.com/documents/?uuid=f8d6fdc2-a7c0-4cf9-a586-83fd78dd2d72" ] }, { "id" : "ITEM-3", "itemData" : { "DOI" : "10.1136/heartjnl-2011-301247", "ISSN" : "1468-201X", "PMID" : "22397946", "abstract" : "Clinical prediction models are increasingly used to complement clinical reasoning and decision-making in modern medicine, in general, and in the cardiovascular domain, in particular. To these ends, developed models first and foremost need to provide accurate and (internally and externally) validated estimates of probabilities of specific health conditions or outcomes in the targeted individuals. Subsequently, the adoption of such models by professionals must guide their decision-making, and improve patient outcomes and the cost-effectiveness of care. In the first paper of this series of two companion papers, issues relating to prediction model development, their internal validation, and estimating the added value of a new (bio)marker to existing predictors were discussed. In this second paper, an overview is provided of the consecutive steps for the assessment of the model's predictive performance in new individuals (external validation studies), how to adjust or update existing models to local circumstances or with new predictors, and how to investigate the impact of the uptake of prediction models on clinical decision-making and patient outcomes (impact studies). Each step is illustrated with empirical examples from the cardiovascular field.", "author" : [ { "dropping-particle" : "", "family" : "Moons", "given" : "Karel G M", "non-dropping-particle" : "", "parse-names" : false, "suffix" : "" }, { "dropping-particle" : "", "family" : "Kengne", "given" : "Andre Pascal", "non-dropping-particle" : "", "parse-names" : false, "suffix" : "" }, { "dropping-particle" : "", "family" : "Grobbee", "given" : "Diederick E", "non-dropping-particle" : "", "parse-names" : false, "suffix" : "" }, { "dropping-particle" : "", "family" : "Royston", "given" : "Patrick", "non-dropping-particle" : "", "parse-names" : false, "suffix" : "" }, { "dropping-particle" : "", "family" : "Vergouwe", "given" : "Yvonne", "non-dropping-particle" : "", "parse-names" : false, "suffix" : "" }, { "dropping-particle" : "", "family" : "Altman", "given" : "Douglas G", "non-dropping-particle" : "", "parse-names" : false, "suffix" : "" }, { "dropping-particle" : "", "family" : "Woodward", "given" : "Mark", "non-dropping-particle" : "", "parse-names" : false, "suffix" : "" } ], "container-title" : "Heart (British Cardiac Society)", "id" : "ITEM-3", "issue" : "9", "issued" : { "date-parts" : [ [ "2012", "5" ] ] }, "page" : "691-8", "title" : "Risk prediction models: II. External validation, model updating, and impact assessment.", "type" : "article-journal", "volume" : "98" }, "uris" : [ "http://www.mendeley.com/documents/?uuid=8edfaefa-436e-4a09-86b9-4cdd2d082197" ] }, { "id" : "ITEM-4", "itemData" : { "DOI" : "10.1177/0962280215626466", "ISBN" : "0962-2802 1477-0334", "ISSN" : "0962-2802", "PMID" : "27460537", "author" : [ { "dropping-particle" : "", "family" : "Su", "given" : "Ting-Li", "non-dropping-particle" : "", "parse-names" : false, "suffix" : "" }, { "dropping-particle" : "", "family" : "Jaki", "given" : "Thomas", "non-dropping-particle" : "", "parse-names" : false, "suffix" : "" }, { "dropping-particle" : "", "family" : "Hickey", "given" : "Graeme L", "non-dropping-particle" : "", "parse-names" : false, "suffix" : "" }, { "dropping-particle" : "", "family" : "Buchan", "given" : "Iain", "non-dropping-particle" : "", "parse-names" : false, "suffix" : "" }, { "dropping-particle" : "", "family" : "Sperrin", "given" : "Matthew", "non-dropping-particle" : "", "parse-names" : false, "suffix" : "" } ], "container-title" : "Statistical Methods in Medical Research", "id" : "ITEM-4", "issued" : { "date-parts" : [ [ "2016", "7", "26" ] ] }, "title" : "A review of statistical updating methods for clinical prediction models", "type" : "article-journal" }, "uris" : [ "http://www.mendeley.com/documents/?uuid=504ca1af-b886-4e69-8b1f-43e7460b29a9" ] } ], "mendeley" : { "formattedCitation" : "[2\u20135]", "plainTextFormattedCitation" : "[2\u20135]", "previouslyFormattedCitation" : "[2\u20135]" }, "properties" : { "noteIndex" : 0 }, "schema" : "https://github.com/citation-style-language/schema/raw/master/csl-citation.json" }</w:instrText>
      </w:r>
      <w:r>
        <w:fldChar w:fldCharType="separate"/>
      </w:r>
      <w:r w:rsidRPr="008F081C">
        <w:rPr>
          <w:noProof/>
        </w:rPr>
        <w:t>[2–5]</w:t>
      </w:r>
      <w:r>
        <w:fldChar w:fldCharType="end"/>
      </w:r>
      <w:r>
        <w:t>, have a hierarchical structure to alter a previously fitted CPM</w:t>
      </w:r>
      <w:r w:rsidR="00D70807">
        <w:t>, to include potentially new variables</w:t>
      </w:r>
      <w:r>
        <w:t xml:space="preserve">. Specifically, we updated </w:t>
      </w:r>
      <w:r w:rsidR="0087675B">
        <w:t>equation</w:t>
      </w:r>
      <w:r>
        <w:t xml:space="preserve"> (1) by fitting a logistic regression model in the 2013-</w:t>
      </w:r>
      <w:r w:rsidR="00D70807">
        <w:t>20</w:t>
      </w:r>
      <w:r>
        <w:t>14 UK TAVI registry with the LP (</w:t>
      </w:r>
      <w:r w:rsidR="0087675B">
        <w:t xml:space="preserve">eq. </w:t>
      </w:r>
      <w:r>
        <w:t>1)</w:t>
      </w:r>
      <w:r w:rsidR="00983E15">
        <w:t xml:space="preserve">, </w:t>
      </w:r>
      <w:r w:rsidR="00D70807">
        <w:t xml:space="preserve">and </w:t>
      </w:r>
      <w:r>
        <w:t>the three frailty measures as covariates</w:t>
      </w:r>
      <w:r w:rsidR="00983E15">
        <w:t xml:space="preserve">. </w:t>
      </w:r>
      <w:r w:rsidR="002F4235">
        <w:t>Namely,</w:t>
      </w:r>
      <w:r w:rsidR="00983E15">
        <w:t xml:space="preserve"> we modelled</w:t>
      </w:r>
    </w:p>
    <w:p w14:paraId="37CA808B" w14:textId="02079340" w:rsidR="008F081C" w:rsidRPr="00C13913" w:rsidRDefault="008F081C" w:rsidP="008F081C">
      <w:pPr>
        <w:spacing w:line="360" w:lineRule="auto"/>
      </w:pPr>
      <m:oMathPara>
        <m:oMath>
          <m:r>
            <m:rPr>
              <m:sty m:val="p"/>
            </m:rPr>
            <w:rPr>
              <w:rFonts w:ascii="Cambria Math" w:hAnsi="Cambria Math"/>
            </w:rPr>
            <m:t>log</m:t>
          </m:r>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π</m:t>
                      </m:r>
                      <m:ctrlPr>
                        <w:rPr>
                          <w:rFonts w:ascii="Cambria Math" w:hAnsi="Cambria Math"/>
                        </w:rPr>
                      </m:ctrlPr>
                    </m:e>
                    <m:sub>
                      <m:r>
                        <w:rPr>
                          <w:rFonts w:ascii="Cambria Math" w:hAnsi="Cambria Math"/>
                        </w:rPr>
                        <m:t>i</m:t>
                      </m:r>
                    </m:sub>
                  </m:sSub>
                </m:num>
                <m:den>
                  <m:r>
                    <w:rPr>
                      <w:rFonts w:ascii="Cambria Math" w:hAnsi="Cambria Math"/>
                    </w:rPr>
                    <m:t>1-</m:t>
                  </m:r>
                  <m:sSub>
                    <m:sSubPr>
                      <m:ctrlPr>
                        <w:rPr>
                          <w:rFonts w:ascii="Cambria Math" w:hAnsi="Cambria Math"/>
                          <w:i/>
                        </w:rPr>
                      </m:ctrlPr>
                    </m:sSubPr>
                    <m:e>
                      <m:r>
                        <w:rPr>
                          <w:rFonts w:ascii="Cambria Math" w:hAnsi="Cambria Math"/>
                        </w:rPr>
                        <m:t>π</m:t>
                      </m:r>
                      <m:ctrlPr>
                        <w:rPr>
                          <w:rFonts w:ascii="Cambria Math" w:hAnsi="Cambria Math"/>
                        </w:rPr>
                      </m:ctrlPr>
                    </m:e>
                    <m:sub>
                      <m:r>
                        <w:rPr>
                          <w:rFonts w:ascii="Cambria Math" w:hAnsi="Cambria Math"/>
                        </w:rPr>
                        <m:t>i</m:t>
                      </m:r>
                    </m:sub>
                  </m:sSub>
                </m:den>
              </m:f>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0</m:t>
              </m:r>
            </m:sub>
          </m:sSub>
          <m:r>
            <w:rPr>
              <w:rFonts w:ascii="Cambria Math" w:hAnsi="Cambria Math"/>
            </w:rPr>
            <m:t>+</m:t>
          </m:r>
          <m:sSub>
            <m:sSubPr>
              <m:ctrlPr>
                <w:rPr>
                  <w:rFonts w:ascii="Cambria Math" w:hAnsi="Cambria Math"/>
                </w:rPr>
              </m:ctrlPr>
            </m:sSubPr>
            <m:e>
              <m:acc>
                <m:accPr>
                  <m:ctrlPr>
                    <w:rPr>
                      <w:rFonts w:ascii="Cambria Math" w:hAnsi="Cambria Math"/>
                      <w:i/>
                    </w:rPr>
                  </m:ctrlPr>
                </m:accPr>
                <m:e>
                  <m:r>
                    <w:rPr>
                      <w:rFonts w:ascii="Cambria Math" w:hAnsi="Cambria Math"/>
                    </w:rPr>
                    <m:t>α</m:t>
                  </m:r>
                </m:e>
              </m:acc>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LP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CSHA</m:t>
              </m:r>
            </m:sub>
          </m:sSub>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CSHA</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poor mobility</m:t>
              </m:r>
            </m:sub>
          </m:sSub>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poor mobility</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KATZ</m:t>
              </m:r>
            </m:sub>
          </m:sSub>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KATZ</m:t>
              </m:r>
            </m:sub>
          </m:sSub>
        </m:oMath>
      </m:oMathPara>
    </w:p>
    <w:p w14:paraId="6EB21B4D" w14:textId="21396B80" w:rsidR="008F081C" w:rsidRDefault="008F081C" w:rsidP="008F081C">
      <w:pPr>
        <w:spacing w:line="360" w:lineRule="auto"/>
      </w:pPr>
      <w:r>
        <w:t xml:space="preserve">where </w:t>
      </w:r>
      <m:oMath>
        <m:sSub>
          <m:sSubPr>
            <m:ctrlPr>
              <w:rPr>
                <w:rFonts w:ascii="Cambria Math" w:hAnsi="Cambria Math"/>
                <w:i/>
              </w:rPr>
            </m:ctrlPr>
          </m:sSubPr>
          <m:e>
            <m:r>
              <w:rPr>
                <w:rFonts w:ascii="Cambria Math" w:hAnsi="Cambria Math"/>
              </w:rPr>
              <m:t>π</m:t>
            </m:r>
            <m:ctrlPr>
              <w:rPr>
                <w:rFonts w:ascii="Cambria Math" w:hAnsi="Cambria Math"/>
              </w:rPr>
            </m:ctrlPr>
          </m:e>
          <m:sub>
            <m:r>
              <w:rPr>
                <w:rFonts w:ascii="Cambria Math" w:hAnsi="Cambria Math"/>
              </w:rPr>
              <m:t>i</m:t>
            </m:r>
          </m:sub>
        </m:sSub>
      </m:oMath>
      <w:r>
        <w:t xml:space="preserve"> denotes the predicted event probability for patient </w:t>
      </w:r>
      <m:oMath>
        <m:r>
          <w:rPr>
            <w:rFonts w:ascii="Cambria Math" w:hAnsi="Cambria Math"/>
          </w:rPr>
          <m:t>i</m:t>
        </m:r>
      </m:oMath>
      <w:r>
        <w:t xml:space="preserve"> in the </w:t>
      </w:r>
      <w:r w:rsidR="00983E15">
        <w:t xml:space="preserve">2013-14 </w:t>
      </w:r>
      <w:r>
        <w:t xml:space="preserve">UK TAVI registry, and </w:t>
      </w:r>
      <m:oMath>
        <m:r>
          <m:rPr>
            <m:sty m:val="bi"/>
          </m:rPr>
          <w:rPr>
            <w:rFonts w:ascii="Cambria Math" w:hAnsi="Cambria Math"/>
          </w:rPr>
          <m:t>δ</m:t>
        </m:r>
      </m:oMath>
      <w:r>
        <w:t xml:space="preserve"> is the </w:t>
      </w:r>
      <w:r w:rsidR="00983E15">
        <w:t xml:space="preserve">vector of parameters </w:t>
      </w:r>
      <w:r>
        <w:t xml:space="preserve">corresponding </w:t>
      </w:r>
      <w:r w:rsidR="00983E15">
        <w:t xml:space="preserve">to each frailty covariate </w:t>
      </w:r>
      <m:oMath>
        <m:r>
          <m:rPr>
            <m:sty m:val="bi"/>
          </m:rPr>
          <w:rPr>
            <w:rFonts w:ascii="Cambria Math" w:hAnsi="Cambria Math"/>
          </w:rPr>
          <m:t>x</m:t>
        </m:r>
      </m:oMath>
      <w:r>
        <w:t xml:space="preserve">. The parameters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0</m:t>
            </m:r>
          </m:sub>
        </m:sSub>
      </m:oMath>
      <w:r>
        <w:t xml:space="preserve"> and </w:t>
      </w:r>
      <m:oMath>
        <m:sSub>
          <m:sSubPr>
            <m:ctrlPr>
              <w:rPr>
                <w:rFonts w:ascii="Cambria Math" w:hAnsi="Cambria Math"/>
              </w:rPr>
            </m:ctrlPr>
          </m:sSubPr>
          <m:e>
            <m:acc>
              <m:accPr>
                <m:ctrlPr>
                  <w:rPr>
                    <w:rFonts w:ascii="Cambria Math" w:hAnsi="Cambria Math"/>
                    <w:i/>
                  </w:rPr>
                </m:ctrlPr>
              </m:accPr>
              <m:e>
                <m:r>
                  <w:rPr>
                    <w:rFonts w:ascii="Cambria Math" w:hAnsi="Cambria Math"/>
                  </w:rPr>
                  <m:t>α</m:t>
                </m:r>
              </m:e>
            </m:acc>
          </m:e>
          <m:sub>
            <m:r>
              <m:rPr>
                <m:sty m:val="p"/>
              </m:rPr>
              <w:rPr>
                <w:rFonts w:ascii="Cambria Math" w:hAnsi="Cambria Math"/>
              </w:rPr>
              <m:t>1</m:t>
            </m:r>
          </m:sub>
        </m:sSub>
      </m:oMath>
      <w:r>
        <w:t xml:space="preserve"> are the calibration intercept and slope, respectively. </w:t>
      </w:r>
      <w:r w:rsidR="00983E15">
        <w:t xml:space="preserve">The likelihood ratio test was used to determine if any of the three frailty measures significantly improved the fit of the model, with only those meeting </w:t>
      </w:r>
      <w:r w:rsidR="002F4235">
        <w:t>this criterion</w:t>
      </w:r>
      <w:r w:rsidR="00983E15">
        <w:t xml:space="preserve"> included in the final model</w:t>
      </w:r>
      <w:r w:rsidR="002F4235">
        <w:t xml:space="preserve">; the null model included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0</m:t>
            </m:r>
          </m:sub>
        </m:sSub>
      </m:oMath>
      <w:r w:rsidR="002F4235">
        <w:t xml:space="preserve"> and </w:t>
      </w:r>
      <m:oMath>
        <m:sSub>
          <m:sSubPr>
            <m:ctrlPr>
              <w:rPr>
                <w:rFonts w:ascii="Cambria Math" w:hAnsi="Cambria Math"/>
              </w:rPr>
            </m:ctrlPr>
          </m:sSubPr>
          <m:e>
            <m:acc>
              <m:accPr>
                <m:ctrlPr>
                  <w:rPr>
                    <w:rFonts w:ascii="Cambria Math" w:hAnsi="Cambria Math"/>
                    <w:i/>
                  </w:rPr>
                </m:ctrlPr>
              </m:accPr>
              <m:e>
                <m:r>
                  <w:rPr>
                    <w:rFonts w:ascii="Cambria Math" w:hAnsi="Cambria Math"/>
                  </w:rPr>
                  <m:t>α</m:t>
                </m:r>
              </m:e>
            </m:acc>
          </m:e>
          <m:sub>
            <m:r>
              <m:rPr>
                <m:sty m:val="p"/>
              </m:rPr>
              <w:rPr>
                <w:rFonts w:ascii="Cambria Math" w:hAnsi="Cambria Math"/>
              </w:rPr>
              <m:t>1</m:t>
            </m:r>
          </m:sub>
        </m:sSub>
      </m:oMath>
      <w:r w:rsidR="002F4235">
        <w:t xml:space="preserve"> (</w:t>
      </w:r>
      <w:r w:rsidR="00A3736E">
        <w:t>i.e.</w:t>
      </w:r>
      <w:r w:rsidR="002F4235">
        <w:t xml:space="preserve"> </w:t>
      </w:r>
      <w:r w:rsidR="00A3736E">
        <w:t>we at least applied</w:t>
      </w:r>
      <w:r w:rsidR="002F4235">
        <w:t xml:space="preserve"> model recalibration)</w:t>
      </w:r>
      <w:r w:rsidR="00983E15">
        <w:t>.</w:t>
      </w:r>
    </w:p>
    <w:p w14:paraId="1E4ED7D0" w14:textId="7853415A" w:rsidR="00FB7EDE" w:rsidRDefault="00842443" w:rsidP="00FB7EDE">
      <w:pPr>
        <w:pStyle w:val="Heading2"/>
      </w:pPr>
      <w:r>
        <w:lastRenderedPageBreak/>
        <w:t>Bootstrapping for in-sample optimism c</w:t>
      </w:r>
      <w:r w:rsidR="00FB7EDE">
        <w:t>orrection</w:t>
      </w:r>
    </w:p>
    <w:p w14:paraId="3445294E" w14:textId="470EEE66" w:rsidR="00FB7EDE" w:rsidRDefault="00FB7EDE" w:rsidP="00842443">
      <w:pPr>
        <w:spacing w:line="360" w:lineRule="auto"/>
      </w:pPr>
      <w:r>
        <w:t>Bootstrap resampling was used to correct the predictive performance of the UK-TAVI CPM for in-sample optimism; the following steps were undertaken:</w:t>
      </w:r>
    </w:p>
    <w:p w14:paraId="398889C5" w14:textId="20594401" w:rsidR="00FB7EDE" w:rsidRDefault="00FB7EDE" w:rsidP="00842443">
      <w:pPr>
        <w:pStyle w:val="ListParagraph"/>
        <w:numPr>
          <w:ilvl w:val="0"/>
          <w:numId w:val="8"/>
        </w:numPr>
        <w:spacing w:line="360" w:lineRule="auto"/>
      </w:pPr>
      <w:r>
        <w:t>Extract</w:t>
      </w:r>
      <w:r w:rsidR="000B13DD">
        <w:t xml:space="preserve"> the same</w:t>
      </w:r>
      <w:r>
        <w:t xml:space="preserve"> random samples (</w:t>
      </w:r>
      <w:r w:rsidR="000B13DD">
        <w:t xml:space="preserve">obtained </w:t>
      </w:r>
      <w:r>
        <w:t>with replacement) from each imputed dataset.</w:t>
      </w:r>
    </w:p>
    <w:p w14:paraId="64CDC0B1" w14:textId="1032A1EA" w:rsidR="00FB7EDE" w:rsidRDefault="00FB7EDE" w:rsidP="00842443">
      <w:pPr>
        <w:pStyle w:val="ListParagraph"/>
        <w:numPr>
          <w:ilvl w:val="0"/>
          <w:numId w:val="8"/>
        </w:numPr>
        <w:spacing w:line="360" w:lineRule="auto"/>
      </w:pPr>
      <w:r>
        <w:t xml:space="preserve">Within each sampled </w:t>
      </w:r>
      <w:r w:rsidR="00573F41">
        <w:t xml:space="preserve">imputed dataset, perform </w:t>
      </w:r>
      <w:r>
        <w:t>exactly the same model selection steps as described in the main paper</w:t>
      </w:r>
      <w:r w:rsidR="0087675B">
        <w:t xml:space="preserve"> (i.e. Figure 1)</w:t>
      </w:r>
      <w:r w:rsidR="00573F41">
        <w:t>. P</w:t>
      </w:r>
      <w:r>
        <w:t>ool the model coefficients across the bootstrap sampled imputed datasets – call this model the “bootstrap model”.</w:t>
      </w:r>
    </w:p>
    <w:p w14:paraId="03118622" w14:textId="2433B61B" w:rsidR="00FB7EDE" w:rsidRDefault="00FB7EDE" w:rsidP="00842443">
      <w:pPr>
        <w:pStyle w:val="ListParagraph"/>
        <w:numPr>
          <w:ilvl w:val="0"/>
          <w:numId w:val="8"/>
        </w:numPr>
        <w:spacing w:line="360" w:lineRule="auto"/>
      </w:pPr>
      <w:r>
        <w:t>Using the bootstrap model, calculate the “bootstrap apparent performance” within each bootstrap sampled imputed dataset and pool the results</w:t>
      </w:r>
      <w:r w:rsidR="00A3736E">
        <w:t xml:space="preserve"> using Rubin’s rules</w:t>
      </w:r>
      <w:r>
        <w:t>.</w:t>
      </w:r>
    </w:p>
    <w:p w14:paraId="20DFADED" w14:textId="3F88794E" w:rsidR="00FB7EDE" w:rsidRDefault="00FB7EDE" w:rsidP="00842443">
      <w:pPr>
        <w:pStyle w:val="ListParagraph"/>
        <w:numPr>
          <w:ilvl w:val="0"/>
          <w:numId w:val="8"/>
        </w:numPr>
        <w:spacing w:line="360" w:lineRule="auto"/>
      </w:pPr>
      <w:r>
        <w:t>Apply the bootstrap model to the original imputed UK TAVI registry and calculate the performance</w:t>
      </w:r>
      <w:r w:rsidR="00573F41">
        <w:t xml:space="preserve"> (pooled across imputation</w:t>
      </w:r>
      <w:r w:rsidR="00842443">
        <w:t>s</w:t>
      </w:r>
      <w:r w:rsidR="00573F41">
        <w:t>)</w:t>
      </w:r>
      <w:r>
        <w:t xml:space="preserve"> – call this the “out-of-sample performance”.</w:t>
      </w:r>
    </w:p>
    <w:p w14:paraId="79B14709" w14:textId="03983CA9" w:rsidR="00FB7EDE" w:rsidRDefault="00FB7EDE" w:rsidP="00842443">
      <w:pPr>
        <w:pStyle w:val="ListParagraph"/>
        <w:numPr>
          <w:ilvl w:val="0"/>
          <w:numId w:val="8"/>
        </w:numPr>
        <w:spacing w:line="360" w:lineRule="auto"/>
      </w:pPr>
      <w:r>
        <w:t xml:space="preserve">Calculate </w:t>
      </w:r>
      <w:r w:rsidR="00573F41">
        <w:t>the</w:t>
      </w:r>
      <w:r>
        <w:t xml:space="preserve"> optimism as the difference between the bootstrap apparent performance and the out-of-sample performance. </w:t>
      </w:r>
    </w:p>
    <w:p w14:paraId="1B92A059" w14:textId="1A940A86" w:rsidR="000B13DD" w:rsidRDefault="00FB7EDE" w:rsidP="00842443">
      <w:pPr>
        <w:pStyle w:val="ListParagraph"/>
        <w:numPr>
          <w:ilvl w:val="0"/>
          <w:numId w:val="8"/>
        </w:numPr>
        <w:spacing w:line="360" w:lineRule="auto"/>
      </w:pPr>
      <w:r>
        <w:t>Repeat steps 1-</w:t>
      </w:r>
      <w:r w:rsidR="00842443">
        <w:t>5</w:t>
      </w:r>
      <w:r>
        <w:t xml:space="preserve"> </w:t>
      </w:r>
      <w:r w:rsidR="00842443">
        <w:t>another 99</w:t>
      </w:r>
      <w:r>
        <w:t xml:space="preserve"> </w:t>
      </w:r>
      <w:r w:rsidR="00573F41">
        <w:t>times</w:t>
      </w:r>
      <w:r w:rsidR="00FB2DD2">
        <w:t>.</w:t>
      </w:r>
    </w:p>
    <w:p w14:paraId="2443E317" w14:textId="03956D8B" w:rsidR="00FB7EDE" w:rsidRDefault="000B13DD" w:rsidP="00842443">
      <w:pPr>
        <w:pStyle w:val="ListParagraph"/>
        <w:numPr>
          <w:ilvl w:val="0"/>
          <w:numId w:val="8"/>
        </w:numPr>
        <w:spacing w:line="360" w:lineRule="auto"/>
      </w:pPr>
      <w:r>
        <w:t>T</w:t>
      </w:r>
      <w:r w:rsidR="00FB7EDE">
        <w:t>ake the mean of the optimism estimates</w:t>
      </w:r>
      <w:r w:rsidR="00573F41">
        <w:t xml:space="preserve"> – call this mean the “in-sample optimism”</w:t>
      </w:r>
      <w:r w:rsidR="00FB7EDE">
        <w:t>.</w:t>
      </w:r>
    </w:p>
    <w:p w14:paraId="2D8C2B8D" w14:textId="515A14B1" w:rsidR="00835697" w:rsidRDefault="00FB7EDE" w:rsidP="00842443">
      <w:pPr>
        <w:spacing w:line="360" w:lineRule="auto"/>
      </w:pPr>
      <w:r>
        <w:t>The</w:t>
      </w:r>
      <w:r w:rsidR="00573F41">
        <w:t xml:space="preserve"> optimism-corrected performance</w:t>
      </w:r>
      <w:r>
        <w:t xml:space="preserve"> reported within the main paper is then the apparent performance </w:t>
      </w:r>
      <w:r w:rsidR="00573F41">
        <w:t xml:space="preserve">estimates minus the </w:t>
      </w:r>
      <w:r>
        <w:t xml:space="preserve">in-sample optimism. </w:t>
      </w:r>
    </w:p>
    <w:p w14:paraId="5F73A122" w14:textId="01E837FB" w:rsidR="00445052" w:rsidRDefault="00445052" w:rsidP="00FB7EDE">
      <w:r>
        <w:br w:type="page"/>
      </w:r>
    </w:p>
    <w:p w14:paraId="470A6449" w14:textId="7CAA51D8" w:rsidR="00445052" w:rsidRDefault="00445052" w:rsidP="00445052">
      <w:pPr>
        <w:pStyle w:val="Heading1"/>
      </w:pPr>
      <w:r>
        <w:lastRenderedPageBreak/>
        <w:t>Supplementary Figures and Tables</w:t>
      </w:r>
    </w:p>
    <w:p w14:paraId="79B761CD" w14:textId="0ED9641B" w:rsidR="00445052" w:rsidRDefault="00445052" w:rsidP="00445052">
      <w:pPr>
        <w:spacing w:line="276" w:lineRule="auto"/>
        <w:rPr>
          <w:b/>
        </w:rPr>
      </w:pPr>
      <w:bookmarkStart w:id="0" w:name="_Hlk498613370"/>
      <w:r>
        <w:rPr>
          <w:b/>
        </w:rPr>
        <w:t xml:space="preserve">Supplementary Figure 1: </w:t>
      </w:r>
      <w:r w:rsidRPr="00445052">
        <w:t>Calibration plot for the final</w:t>
      </w:r>
      <w:r>
        <w:rPr>
          <w:b/>
        </w:rPr>
        <w:t xml:space="preserve"> </w:t>
      </w:r>
      <w:r>
        <w:t>UK-TAVI CPM.</w:t>
      </w:r>
      <w:r w:rsidR="000905E8">
        <w:t xml:space="preserve"> The blue line is a smoother through the observed points</w:t>
      </w:r>
      <w:r w:rsidR="00796506">
        <w:t xml:space="preserve"> and t</w:t>
      </w:r>
      <w:bookmarkStart w:id="1" w:name="_GoBack"/>
      <w:bookmarkEnd w:id="1"/>
      <w:r w:rsidR="000905E8">
        <w:t>he dashed black line indicates the null hypothesis that the model is perfectly calibrated.</w:t>
      </w:r>
    </w:p>
    <w:p w14:paraId="44B850FB" w14:textId="56409244" w:rsidR="00573F41" w:rsidRDefault="00C50E36" w:rsidP="00FB7EDE">
      <w:r>
        <w:rPr>
          <w:noProof/>
        </w:rPr>
        <w:drawing>
          <wp:inline distT="0" distB="0" distL="0" distR="0" wp14:anchorId="06381F7C" wp14:editId="6AFBD50D">
            <wp:extent cx="5731510" cy="4940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940300"/>
                    </a:xfrm>
                    <a:prstGeom prst="rect">
                      <a:avLst/>
                    </a:prstGeom>
                  </pic:spPr>
                </pic:pic>
              </a:graphicData>
            </a:graphic>
          </wp:inline>
        </w:drawing>
      </w:r>
    </w:p>
    <w:bookmarkEnd w:id="0"/>
    <w:p w14:paraId="71F976D5" w14:textId="7E862444" w:rsidR="00573F41" w:rsidRDefault="00573F41" w:rsidP="00FB7EDE"/>
    <w:p w14:paraId="7B2A322C" w14:textId="77777777" w:rsidR="00445052" w:rsidRDefault="00445052" w:rsidP="00FB7EDE">
      <w:pPr>
        <w:sectPr w:rsidR="00445052" w:rsidSect="00835697">
          <w:pgSz w:w="11906" w:h="16838"/>
          <w:pgMar w:top="1440" w:right="1440" w:bottom="1440" w:left="1440" w:header="708" w:footer="708" w:gutter="0"/>
          <w:cols w:space="708"/>
          <w:docGrid w:linePitch="360"/>
        </w:sectPr>
      </w:pPr>
    </w:p>
    <w:p w14:paraId="2D8C2B8E" w14:textId="6BB7506C" w:rsidR="009822AF" w:rsidRDefault="009822AF" w:rsidP="00E46123">
      <w:pPr>
        <w:spacing w:line="276" w:lineRule="auto"/>
        <w:rPr>
          <w:b/>
        </w:rPr>
      </w:pPr>
      <w:r>
        <w:rPr>
          <w:b/>
        </w:rPr>
        <w:lastRenderedPageBreak/>
        <w:t xml:space="preserve">Supplementary Table 1: </w:t>
      </w:r>
      <w:r w:rsidR="005127E3">
        <w:t>Variable</w:t>
      </w:r>
      <w:r w:rsidRPr="005644F4">
        <w:t xml:space="preserve"> definitions and coding in the UK TAVI registry of all candidate risk factors</w:t>
      </w:r>
      <w:r>
        <w:t>.</w:t>
      </w:r>
    </w:p>
    <w:tbl>
      <w:tblPr>
        <w:tblStyle w:val="TableGrid"/>
        <w:tblW w:w="5000" w:type="pct"/>
        <w:jc w:val="center"/>
        <w:tblLook w:val="04A0" w:firstRow="1" w:lastRow="0" w:firstColumn="1" w:lastColumn="0" w:noHBand="0" w:noVBand="1"/>
      </w:tblPr>
      <w:tblGrid>
        <w:gridCol w:w="4014"/>
        <w:gridCol w:w="5398"/>
        <w:gridCol w:w="4536"/>
      </w:tblGrid>
      <w:tr w:rsidR="009822AF" w14:paraId="2D8C2B92" w14:textId="77777777" w:rsidTr="005758B8">
        <w:trPr>
          <w:trHeight w:val="274"/>
          <w:jc w:val="center"/>
        </w:trPr>
        <w:tc>
          <w:tcPr>
            <w:tcW w:w="1439" w:type="pct"/>
          </w:tcPr>
          <w:p w14:paraId="2D8C2B8F" w14:textId="77777777" w:rsidR="009822AF" w:rsidRPr="00151935" w:rsidRDefault="009822AF" w:rsidP="00842443">
            <w:pPr>
              <w:spacing w:line="240" w:lineRule="auto"/>
              <w:jc w:val="left"/>
              <w:rPr>
                <w:b/>
              </w:rPr>
            </w:pPr>
            <w:r w:rsidRPr="00151935">
              <w:rPr>
                <w:b/>
              </w:rPr>
              <w:t>Variable</w:t>
            </w:r>
          </w:p>
        </w:tc>
        <w:tc>
          <w:tcPr>
            <w:tcW w:w="1935" w:type="pct"/>
          </w:tcPr>
          <w:p w14:paraId="2D8C2B90" w14:textId="77777777" w:rsidR="009822AF" w:rsidRPr="00151935" w:rsidRDefault="009822AF" w:rsidP="00842443">
            <w:pPr>
              <w:spacing w:line="240" w:lineRule="auto"/>
              <w:jc w:val="left"/>
              <w:rPr>
                <w:b/>
              </w:rPr>
            </w:pPr>
            <w:r w:rsidRPr="00151935">
              <w:rPr>
                <w:b/>
              </w:rPr>
              <w:t>Definition</w:t>
            </w:r>
          </w:p>
        </w:tc>
        <w:tc>
          <w:tcPr>
            <w:tcW w:w="1626" w:type="pct"/>
          </w:tcPr>
          <w:p w14:paraId="2D8C2B91" w14:textId="77777777" w:rsidR="009822AF" w:rsidRPr="00151935" w:rsidRDefault="009822AF" w:rsidP="00842443">
            <w:pPr>
              <w:spacing w:line="240" w:lineRule="auto"/>
              <w:jc w:val="left"/>
              <w:rPr>
                <w:b/>
              </w:rPr>
            </w:pPr>
            <w:r w:rsidRPr="00151935">
              <w:rPr>
                <w:b/>
              </w:rPr>
              <w:t>UK TAVI Registry Variable</w:t>
            </w:r>
          </w:p>
        </w:tc>
      </w:tr>
      <w:tr w:rsidR="009822AF" w14:paraId="2D8C2B96" w14:textId="77777777" w:rsidTr="005758B8">
        <w:trPr>
          <w:jc w:val="center"/>
        </w:trPr>
        <w:tc>
          <w:tcPr>
            <w:tcW w:w="1439" w:type="pct"/>
          </w:tcPr>
          <w:p w14:paraId="2D8C2B93" w14:textId="537A8245" w:rsidR="009822AF" w:rsidRDefault="000E6654" w:rsidP="000E6654">
            <w:pPr>
              <w:spacing w:line="240" w:lineRule="auto"/>
              <w:jc w:val="left"/>
            </w:pPr>
            <w:r>
              <w:t xml:space="preserve">Mean-centred Age </w:t>
            </w:r>
            <w:r w:rsidR="009822AF">
              <w:t>(squared and cubed terms also considered)</w:t>
            </w:r>
          </w:p>
        </w:tc>
        <w:tc>
          <w:tcPr>
            <w:tcW w:w="1935" w:type="pct"/>
          </w:tcPr>
          <w:p w14:paraId="2D8C2B94" w14:textId="28799120" w:rsidR="009822AF" w:rsidRDefault="009822AF" w:rsidP="000E6654">
            <w:pPr>
              <w:spacing w:line="240" w:lineRule="auto"/>
              <w:jc w:val="left"/>
            </w:pPr>
            <w:r>
              <w:t xml:space="preserve">Age of the patient at time of procedure </w:t>
            </w:r>
            <w:r w:rsidR="000E6654">
              <w:t>minus 81.25 years</w:t>
            </w:r>
          </w:p>
        </w:tc>
        <w:tc>
          <w:tcPr>
            <w:tcW w:w="1626" w:type="pct"/>
          </w:tcPr>
          <w:p w14:paraId="2D8C2B95" w14:textId="77777777" w:rsidR="009822AF" w:rsidRDefault="009822AF" w:rsidP="00842443">
            <w:pPr>
              <w:spacing w:line="240" w:lineRule="auto"/>
              <w:jc w:val="left"/>
            </w:pPr>
            <w:r>
              <w:t xml:space="preserve">Age at </w:t>
            </w:r>
            <w:r w:rsidRPr="00804024">
              <w:t>Op</w:t>
            </w:r>
          </w:p>
        </w:tc>
      </w:tr>
      <w:tr w:rsidR="009822AF" w14:paraId="2D8C2B9A" w14:textId="77777777" w:rsidTr="005758B8">
        <w:trPr>
          <w:jc w:val="center"/>
        </w:trPr>
        <w:tc>
          <w:tcPr>
            <w:tcW w:w="1439" w:type="pct"/>
          </w:tcPr>
          <w:p w14:paraId="2D8C2B97" w14:textId="77777777" w:rsidR="009822AF" w:rsidRDefault="009822AF" w:rsidP="00842443">
            <w:pPr>
              <w:spacing w:line="240" w:lineRule="auto"/>
              <w:jc w:val="left"/>
            </w:pPr>
            <w:r>
              <w:t>Female</w:t>
            </w:r>
          </w:p>
        </w:tc>
        <w:tc>
          <w:tcPr>
            <w:tcW w:w="1935" w:type="pct"/>
          </w:tcPr>
          <w:p w14:paraId="2D8C2B98" w14:textId="77777777" w:rsidR="009822AF" w:rsidRDefault="009822AF" w:rsidP="00842443">
            <w:pPr>
              <w:spacing w:line="240" w:lineRule="auto"/>
              <w:jc w:val="left"/>
            </w:pPr>
            <w:r>
              <w:t>Female sex</w:t>
            </w:r>
          </w:p>
        </w:tc>
        <w:tc>
          <w:tcPr>
            <w:tcW w:w="1626" w:type="pct"/>
          </w:tcPr>
          <w:p w14:paraId="2D8C2B99" w14:textId="77777777" w:rsidR="009822AF" w:rsidRDefault="009822AF" w:rsidP="00842443">
            <w:pPr>
              <w:spacing w:line="240" w:lineRule="auto"/>
              <w:jc w:val="left"/>
            </w:pPr>
            <w:r>
              <w:t xml:space="preserve">1.07 </w:t>
            </w:r>
            <w:r w:rsidRPr="00804024">
              <w:t>Sex</w:t>
            </w:r>
          </w:p>
        </w:tc>
      </w:tr>
      <w:tr w:rsidR="009822AF" w14:paraId="2D8C2B9E" w14:textId="77777777" w:rsidTr="005758B8">
        <w:trPr>
          <w:jc w:val="center"/>
        </w:trPr>
        <w:tc>
          <w:tcPr>
            <w:tcW w:w="1439" w:type="pct"/>
          </w:tcPr>
          <w:p w14:paraId="2D8C2B9B" w14:textId="77777777" w:rsidR="009822AF" w:rsidRDefault="009822AF" w:rsidP="00842443">
            <w:pPr>
              <w:spacing w:line="240" w:lineRule="auto"/>
              <w:jc w:val="left"/>
            </w:pPr>
            <w:r>
              <w:t>Non-Caucasian</w:t>
            </w:r>
          </w:p>
        </w:tc>
        <w:tc>
          <w:tcPr>
            <w:tcW w:w="1935" w:type="pct"/>
          </w:tcPr>
          <w:p w14:paraId="2D8C2B9C" w14:textId="77777777" w:rsidR="009822AF" w:rsidRDefault="009822AF" w:rsidP="00842443">
            <w:pPr>
              <w:spacing w:line="240" w:lineRule="auto"/>
              <w:jc w:val="left"/>
            </w:pPr>
            <w:r>
              <w:t>Any ethnic origin other than white</w:t>
            </w:r>
          </w:p>
        </w:tc>
        <w:tc>
          <w:tcPr>
            <w:tcW w:w="1626" w:type="pct"/>
          </w:tcPr>
          <w:p w14:paraId="2D8C2B9D" w14:textId="77777777" w:rsidR="009822AF" w:rsidRDefault="009822AF" w:rsidP="00842443">
            <w:pPr>
              <w:spacing w:line="240" w:lineRule="auto"/>
              <w:jc w:val="left"/>
            </w:pPr>
            <w:r>
              <w:t xml:space="preserve">1.08 Ethnic </w:t>
            </w:r>
            <w:r w:rsidRPr="00804024">
              <w:t>origin</w:t>
            </w:r>
          </w:p>
        </w:tc>
      </w:tr>
      <w:tr w:rsidR="009822AF" w14:paraId="2D8C2BA2" w14:textId="77777777" w:rsidTr="005758B8">
        <w:trPr>
          <w:jc w:val="center"/>
        </w:trPr>
        <w:tc>
          <w:tcPr>
            <w:tcW w:w="1439" w:type="pct"/>
          </w:tcPr>
          <w:p w14:paraId="2D8C2B9F" w14:textId="77777777" w:rsidR="009822AF" w:rsidRDefault="009822AF" w:rsidP="00842443">
            <w:pPr>
              <w:spacing w:line="240" w:lineRule="auto"/>
              <w:jc w:val="left"/>
            </w:pPr>
            <w:r>
              <w:t>Diabetic</w:t>
            </w:r>
          </w:p>
        </w:tc>
        <w:tc>
          <w:tcPr>
            <w:tcW w:w="1935" w:type="pct"/>
          </w:tcPr>
          <w:p w14:paraId="2D8C2BA0" w14:textId="77777777" w:rsidR="009822AF" w:rsidRDefault="009822AF" w:rsidP="00842443">
            <w:pPr>
              <w:spacing w:line="240" w:lineRule="auto"/>
              <w:jc w:val="left"/>
            </w:pPr>
            <w:r>
              <w:t>Diabetic patient with any of the following treatments: dietary control, insulin, oral medication</w:t>
            </w:r>
          </w:p>
        </w:tc>
        <w:tc>
          <w:tcPr>
            <w:tcW w:w="1626" w:type="pct"/>
          </w:tcPr>
          <w:p w14:paraId="2D8C2BA1" w14:textId="77777777" w:rsidR="009822AF" w:rsidRDefault="009822AF" w:rsidP="00842443">
            <w:pPr>
              <w:spacing w:line="240" w:lineRule="auto"/>
              <w:jc w:val="left"/>
            </w:pPr>
            <w:r>
              <w:t xml:space="preserve">3.01 </w:t>
            </w:r>
            <w:r w:rsidRPr="00804024">
              <w:t>Diabetes</w:t>
            </w:r>
          </w:p>
        </w:tc>
      </w:tr>
      <w:tr w:rsidR="009822AF" w14:paraId="2D8C2BA6" w14:textId="77777777" w:rsidTr="005758B8">
        <w:trPr>
          <w:jc w:val="center"/>
        </w:trPr>
        <w:tc>
          <w:tcPr>
            <w:tcW w:w="1439" w:type="pct"/>
          </w:tcPr>
          <w:p w14:paraId="2D8C2BA3" w14:textId="77777777" w:rsidR="009822AF" w:rsidRDefault="009822AF" w:rsidP="00842443">
            <w:pPr>
              <w:spacing w:line="240" w:lineRule="auto"/>
              <w:jc w:val="left"/>
            </w:pPr>
            <w:r>
              <w:t>Smoker</w:t>
            </w:r>
          </w:p>
        </w:tc>
        <w:tc>
          <w:tcPr>
            <w:tcW w:w="1935" w:type="pct"/>
          </w:tcPr>
          <w:p w14:paraId="2D8C2BA4" w14:textId="77777777" w:rsidR="009822AF" w:rsidRDefault="009822AF" w:rsidP="00842443">
            <w:pPr>
              <w:spacing w:line="240" w:lineRule="auto"/>
              <w:jc w:val="left"/>
            </w:pPr>
            <w:r>
              <w:t>Current or ex-smoker</w:t>
            </w:r>
          </w:p>
        </w:tc>
        <w:tc>
          <w:tcPr>
            <w:tcW w:w="1626" w:type="pct"/>
          </w:tcPr>
          <w:p w14:paraId="2D8C2BA5" w14:textId="77777777" w:rsidR="009822AF" w:rsidRDefault="009822AF" w:rsidP="00842443">
            <w:pPr>
              <w:spacing w:line="240" w:lineRule="auto"/>
              <w:jc w:val="left"/>
            </w:pPr>
            <w:r>
              <w:t xml:space="preserve">3.02 Smoking </w:t>
            </w:r>
            <w:r w:rsidRPr="00804024">
              <w:t>status</w:t>
            </w:r>
          </w:p>
        </w:tc>
      </w:tr>
      <w:tr w:rsidR="009822AF" w14:paraId="2D8C2BAA" w14:textId="77777777" w:rsidTr="005758B8">
        <w:trPr>
          <w:jc w:val="center"/>
        </w:trPr>
        <w:tc>
          <w:tcPr>
            <w:tcW w:w="1439" w:type="pct"/>
          </w:tcPr>
          <w:p w14:paraId="2D8C2BA7" w14:textId="571F93DE" w:rsidR="009822AF" w:rsidRDefault="000E6654" w:rsidP="00842443">
            <w:pPr>
              <w:spacing w:line="240" w:lineRule="auto"/>
              <w:jc w:val="left"/>
            </w:pPr>
            <w:r>
              <w:t xml:space="preserve">Mean-centred </w:t>
            </w:r>
            <w:r w:rsidR="009822AF">
              <w:t>BMI (squared terms also considered)</w:t>
            </w:r>
          </w:p>
        </w:tc>
        <w:tc>
          <w:tcPr>
            <w:tcW w:w="1935" w:type="pct"/>
          </w:tcPr>
          <w:p w14:paraId="2D8C2BA8" w14:textId="20F1FF15" w:rsidR="009822AF" w:rsidRDefault="009822AF" w:rsidP="00842443">
            <w:pPr>
              <w:spacing w:line="240" w:lineRule="auto"/>
              <w:jc w:val="left"/>
            </w:pPr>
            <w:r>
              <w:t>The BMI of the patient</w:t>
            </w:r>
            <w:r w:rsidR="000E6654">
              <w:t xml:space="preserve"> minus 27.3</w:t>
            </w:r>
          </w:p>
        </w:tc>
        <w:tc>
          <w:tcPr>
            <w:tcW w:w="1626" w:type="pct"/>
          </w:tcPr>
          <w:p w14:paraId="2D8C2BA9" w14:textId="77777777" w:rsidR="009822AF" w:rsidRDefault="009822AF" w:rsidP="00842443">
            <w:pPr>
              <w:spacing w:line="240" w:lineRule="auto"/>
              <w:jc w:val="left"/>
            </w:pPr>
            <w:r>
              <w:t xml:space="preserve">5.02 </w:t>
            </w:r>
            <w:r w:rsidRPr="00804024">
              <w:t>Weight</w:t>
            </w:r>
            <w:r>
              <w:t xml:space="preserve"> and 5.01 </w:t>
            </w:r>
            <w:r w:rsidRPr="00804024">
              <w:t>Height</w:t>
            </w:r>
          </w:p>
        </w:tc>
      </w:tr>
      <w:tr w:rsidR="009822AF" w14:paraId="2D8C2BAE" w14:textId="77777777" w:rsidTr="005758B8">
        <w:trPr>
          <w:jc w:val="center"/>
        </w:trPr>
        <w:tc>
          <w:tcPr>
            <w:tcW w:w="1439" w:type="pct"/>
          </w:tcPr>
          <w:p w14:paraId="2D8C2BAB" w14:textId="77777777" w:rsidR="009822AF" w:rsidRDefault="009822AF" w:rsidP="00842443">
            <w:pPr>
              <w:spacing w:line="240" w:lineRule="auto"/>
              <w:jc w:val="left"/>
            </w:pPr>
            <w:r>
              <w:t>Glomerular Filtration Rate per 5 unit increase</w:t>
            </w:r>
          </w:p>
        </w:tc>
        <w:tc>
          <w:tcPr>
            <w:tcW w:w="1935" w:type="pct"/>
          </w:tcPr>
          <w:p w14:paraId="2D8C2BAC" w14:textId="0B68D7F0" w:rsidR="009822AF" w:rsidRDefault="009822AF" w:rsidP="000E6654">
            <w:pPr>
              <w:spacing w:line="240" w:lineRule="auto"/>
              <w:jc w:val="left"/>
            </w:pPr>
            <w:r>
              <w:t xml:space="preserve">Calculated by the </w:t>
            </w:r>
            <w:r w:rsidRPr="00804024">
              <w:t>Modification of Diet in Renal Disease formula</w:t>
            </w:r>
            <w:r w:rsidR="000E6654">
              <w:t>, per 5 unit increase</w:t>
            </w:r>
            <w:r w:rsidR="00AB0B08">
              <w:t xml:space="preserve"> *</w:t>
            </w:r>
          </w:p>
        </w:tc>
        <w:tc>
          <w:tcPr>
            <w:tcW w:w="1626" w:type="pct"/>
          </w:tcPr>
          <w:p w14:paraId="2D8C2BAD" w14:textId="77777777" w:rsidR="009822AF" w:rsidRDefault="009822AF" w:rsidP="00842443">
            <w:pPr>
              <w:spacing w:line="240" w:lineRule="auto"/>
              <w:jc w:val="left"/>
            </w:pPr>
            <w:r>
              <w:t xml:space="preserve">Age at </w:t>
            </w:r>
            <w:r w:rsidRPr="00D651B4">
              <w:t>Op</w:t>
            </w:r>
            <w:r>
              <w:t xml:space="preserve">, </w:t>
            </w:r>
            <w:r w:rsidRPr="00804024">
              <w:t>1.07.Sex</w:t>
            </w:r>
            <w:r>
              <w:t xml:space="preserve">, 1.08.Ethnic.origin and </w:t>
            </w:r>
            <w:r w:rsidRPr="00804024">
              <w:t>3.03</w:t>
            </w:r>
            <w:r>
              <w:t xml:space="preserve"> </w:t>
            </w:r>
            <w:r w:rsidRPr="00804024">
              <w:t>Creatinine</w:t>
            </w:r>
          </w:p>
        </w:tc>
      </w:tr>
      <w:tr w:rsidR="009822AF" w14:paraId="2D8C2BB2" w14:textId="77777777" w:rsidTr="005758B8">
        <w:trPr>
          <w:jc w:val="center"/>
        </w:trPr>
        <w:tc>
          <w:tcPr>
            <w:tcW w:w="1439" w:type="pct"/>
          </w:tcPr>
          <w:p w14:paraId="2D8C2BAF" w14:textId="77777777" w:rsidR="009822AF" w:rsidRDefault="009822AF" w:rsidP="00842443">
            <w:pPr>
              <w:spacing w:line="240" w:lineRule="auto"/>
              <w:jc w:val="left"/>
            </w:pPr>
            <w:r>
              <w:t>Renal Failure</w:t>
            </w:r>
          </w:p>
        </w:tc>
        <w:tc>
          <w:tcPr>
            <w:tcW w:w="1935" w:type="pct"/>
          </w:tcPr>
          <w:p w14:paraId="2D8C2BB0" w14:textId="77777777" w:rsidR="009822AF" w:rsidRDefault="009822AF" w:rsidP="00842443">
            <w:pPr>
              <w:spacing w:line="240" w:lineRule="auto"/>
              <w:jc w:val="left"/>
            </w:pPr>
            <w:r>
              <w:t xml:space="preserve">Patient is on dialysis or has a creatinine&gt;200 </w:t>
            </w:r>
            <w:proofErr w:type="spellStart"/>
            <w:r w:rsidRPr="00D651B4">
              <w:t>μmol</w:t>
            </w:r>
            <w:proofErr w:type="spellEnd"/>
            <w:r w:rsidRPr="00D651B4">
              <w:t>/L</w:t>
            </w:r>
          </w:p>
        </w:tc>
        <w:tc>
          <w:tcPr>
            <w:tcW w:w="1626" w:type="pct"/>
          </w:tcPr>
          <w:p w14:paraId="2D8C2BB1" w14:textId="77777777" w:rsidR="009822AF" w:rsidRDefault="009822AF" w:rsidP="00842443">
            <w:pPr>
              <w:spacing w:line="240" w:lineRule="auto"/>
              <w:jc w:val="left"/>
            </w:pPr>
            <w:r w:rsidRPr="00D651B4">
              <w:t>3.03</w:t>
            </w:r>
            <w:r>
              <w:t xml:space="preserve"> </w:t>
            </w:r>
            <w:r w:rsidRPr="00D651B4">
              <w:t>Creatinine</w:t>
            </w:r>
            <w:r>
              <w:t xml:space="preserve"> and </w:t>
            </w:r>
            <w:r w:rsidRPr="00D651B4">
              <w:t>3.041</w:t>
            </w:r>
            <w:r>
              <w:t xml:space="preserve"> On </w:t>
            </w:r>
            <w:r w:rsidRPr="00D651B4">
              <w:t>dialysis</w:t>
            </w:r>
          </w:p>
        </w:tc>
      </w:tr>
      <w:tr w:rsidR="009822AF" w14:paraId="2D8C2BB6" w14:textId="77777777" w:rsidTr="005758B8">
        <w:trPr>
          <w:jc w:val="center"/>
        </w:trPr>
        <w:tc>
          <w:tcPr>
            <w:tcW w:w="1439" w:type="pct"/>
          </w:tcPr>
          <w:p w14:paraId="2D8C2BB3" w14:textId="77777777" w:rsidR="009822AF" w:rsidRDefault="009822AF" w:rsidP="00842443">
            <w:pPr>
              <w:spacing w:line="240" w:lineRule="auto"/>
              <w:jc w:val="left"/>
            </w:pPr>
            <w:r>
              <w:t>Recent MI</w:t>
            </w:r>
          </w:p>
        </w:tc>
        <w:tc>
          <w:tcPr>
            <w:tcW w:w="1935" w:type="pct"/>
          </w:tcPr>
          <w:p w14:paraId="2D8C2BB4" w14:textId="77777777" w:rsidR="009822AF" w:rsidRDefault="009822AF" w:rsidP="00842443">
            <w:pPr>
              <w:spacing w:line="240" w:lineRule="auto"/>
              <w:jc w:val="left"/>
            </w:pPr>
            <w:r>
              <w:t>Any previous MI within 30 days prior to the date of the TAVI operation</w:t>
            </w:r>
          </w:p>
        </w:tc>
        <w:tc>
          <w:tcPr>
            <w:tcW w:w="1626" w:type="pct"/>
          </w:tcPr>
          <w:p w14:paraId="2D8C2BB5" w14:textId="77777777" w:rsidR="009822AF" w:rsidRDefault="009822AF" w:rsidP="00842443">
            <w:pPr>
              <w:spacing w:line="240" w:lineRule="auto"/>
              <w:jc w:val="left"/>
            </w:pPr>
            <w:r w:rsidRPr="00D651B4">
              <w:t>3.05</w:t>
            </w:r>
            <w:r>
              <w:t xml:space="preserve"> </w:t>
            </w:r>
            <w:r w:rsidRPr="00D651B4">
              <w:t>Previous</w:t>
            </w:r>
            <w:r>
              <w:t xml:space="preserve"> </w:t>
            </w:r>
            <w:r w:rsidRPr="00D651B4">
              <w:t>MI</w:t>
            </w:r>
            <w:r>
              <w:t xml:space="preserve"> </w:t>
            </w:r>
            <w:r w:rsidRPr="00D651B4">
              <w:t>and</w:t>
            </w:r>
            <w:r>
              <w:t xml:space="preserve"> </w:t>
            </w:r>
            <w:r w:rsidRPr="00D651B4">
              <w:t>interval</w:t>
            </w:r>
            <w:r>
              <w:t xml:space="preserve"> </w:t>
            </w:r>
            <w:r w:rsidRPr="00D651B4">
              <w:t>between</w:t>
            </w:r>
            <w:r>
              <w:t xml:space="preserve"> </w:t>
            </w:r>
            <w:r w:rsidRPr="00D651B4">
              <w:t>procedure</w:t>
            </w:r>
            <w:r>
              <w:t xml:space="preserve"> </w:t>
            </w:r>
            <w:r w:rsidRPr="00D651B4">
              <w:t>and</w:t>
            </w:r>
            <w:r>
              <w:t xml:space="preserve"> </w:t>
            </w:r>
            <w:r w:rsidRPr="00D651B4">
              <w:t>last</w:t>
            </w:r>
            <w:r>
              <w:t xml:space="preserve"> </w:t>
            </w:r>
            <w:r w:rsidRPr="00D651B4">
              <w:t>MI</w:t>
            </w:r>
          </w:p>
        </w:tc>
      </w:tr>
      <w:tr w:rsidR="009822AF" w14:paraId="2D8C2BBD" w14:textId="77777777" w:rsidTr="005758B8">
        <w:trPr>
          <w:jc w:val="center"/>
        </w:trPr>
        <w:tc>
          <w:tcPr>
            <w:tcW w:w="1439" w:type="pct"/>
          </w:tcPr>
          <w:p w14:paraId="2D8C2BB7" w14:textId="77777777" w:rsidR="009822AF" w:rsidRDefault="009822AF" w:rsidP="00842443">
            <w:pPr>
              <w:spacing w:line="240" w:lineRule="auto"/>
              <w:jc w:val="left"/>
            </w:pPr>
            <w:r>
              <w:t>Pulmonary disease</w:t>
            </w:r>
          </w:p>
        </w:tc>
        <w:tc>
          <w:tcPr>
            <w:tcW w:w="1935" w:type="pct"/>
          </w:tcPr>
          <w:p w14:paraId="2D8C2BBB" w14:textId="17A359DF" w:rsidR="009822AF" w:rsidRDefault="009822AF" w:rsidP="000E6654">
            <w:pPr>
              <w:spacing w:line="240" w:lineRule="auto"/>
              <w:jc w:val="left"/>
            </w:pPr>
            <w:r>
              <w:t xml:space="preserve">Any of the following: </w:t>
            </w:r>
            <w:r w:rsidR="000E6654">
              <w:t xml:space="preserve">(1) </w:t>
            </w:r>
            <w:r>
              <w:t>Asthma</w:t>
            </w:r>
            <w:r w:rsidR="000E6654">
              <w:t>, or (2) C</w:t>
            </w:r>
            <w:r w:rsidRPr="00D651B4">
              <w:t>OAD</w:t>
            </w:r>
            <w:r w:rsidR="000E6654">
              <w:t xml:space="preserve"> </w:t>
            </w:r>
            <w:r w:rsidRPr="00D651B4">
              <w:t>/emphysema</w:t>
            </w:r>
            <w:r w:rsidR="000E6654">
              <w:t xml:space="preserve">, or (3) </w:t>
            </w:r>
            <w:r w:rsidRPr="00D651B4">
              <w:t>Other significant pulmonary disease</w:t>
            </w:r>
          </w:p>
        </w:tc>
        <w:tc>
          <w:tcPr>
            <w:tcW w:w="1626" w:type="pct"/>
          </w:tcPr>
          <w:p w14:paraId="2D8C2BBC" w14:textId="77777777" w:rsidR="009822AF" w:rsidRDefault="009822AF" w:rsidP="00842443">
            <w:pPr>
              <w:spacing w:line="240" w:lineRule="auto"/>
              <w:jc w:val="left"/>
            </w:pPr>
            <w:r w:rsidRPr="00D651B4">
              <w:t>3.06</w:t>
            </w:r>
            <w:r>
              <w:t xml:space="preserve"> </w:t>
            </w:r>
            <w:r w:rsidRPr="00D651B4">
              <w:t>History</w:t>
            </w:r>
            <w:r>
              <w:t xml:space="preserve"> </w:t>
            </w:r>
            <w:r w:rsidRPr="00D651B4">
              <w:t>of</w:t>
            </w:r>
            <w:r>
              <w:t xml:space="preserve"> pulmonary </w:t>
            </w:r>
            <w:r w:rsidRPr="00D651B4">
              <w:t>disease</w:t>
            </w:r>
          </w:p>
        </w:tc>
      </w:tr>
      <w:tr w:rsidR="009822AF" w14:paraId="2D8C2BC4" w14:textId="77777777" w:rsidTr="005758B8">
        <w:trPr>
          <w:jc w:val="center"/>
        </w:trPr>
        <w:tc>
          <w:tcPr>
            <w:tcW w:w="1439" w:type="pct"/>
          </w:tcPr>
          <w:p w14:paraId="2D8C2BBE" w14:textId="00ABFC4B" w:rsidR="009822AF" w:rsidRDefault="00B75AD2" w:rsidP="00842443">
            <w:pPr>
              <w:spacing w:line="240" w:lineRule="auto"/>
              <w:jc w:val="left"/>
            </w:pPr>
            <w:r w:rsidRPr="00AC7ECB">
              <w:rPr>
                <w:szCs w:val="20"/>
              </w:rPr>
              <w:t>Cerebrovascular Disease</w:t>
            </w:r>
          </w:p>
        </w:tc>
        <w:tc>
          <w:tcPr>
            <w:tcW w:w="1935" w:type="pct"/>
          </w:tcPr>
          <w:p w14:paraId="2D8C2BC2" w14:textId="5B6AB39F" w:rsidR="009822AF" w:rsidRDefault="009822AF" w:rsidP="000E6654">
            <w:pPr>
              <w:spacing w:line="240" w:lineRule="auto"/>
              <w:jc w:val="left"/>
            </w:pPr>
            <w:r>
              <w:t>Any of the following:</w:t>
            </w:r>
            <w:r w:rsidR="000E6654">
              <w:t xml:space="preserve"> (1) </w:t>
            </w:r>
            <w:r>
              <w:t>CVA with full recovery</w:t>
            </w:r>
            <w:r w:rsidR="000E6654">
              <w:t xml:space="preserve">, or (2) </w:t>
            </w:r>
            <w:r>
              <w:t>CVA with residual deficit</w:t>
            </w:r>
            <w:r w:rsidR="000E6654">
              <w:t xml:space="preserve">, or (3) </w:t>
            </w:r>
            <w:r>
              <w:t>TIA or RIND</w:t>
            </w:r>
          </w:p>
        </w:tc>
        <w:tc>
          <w:tcPr>
            <w:tcW w:w="1626" w:type="pct"/>
          </w:tcPr>
          <w:p w14:paraId="2D8C2BC3" w14:textId="77777777" w:rsidR="009822AF" w:rsidRDefault="009822AF" w:rsidP="00842443">
            <w:pPr>
              <w:spacing w:line="240" w:lineRule="auto"/>
              <w:jc w:val="left"/>
            </w:pPr>
            <w:r w:rsidRPr="00D651B4">
              <w:t>3.08</w:t>
            </w:r>
            <w:r>
              <w:t xml:space="preserve"> </w:t>
            </w:r>
            <w:r w:rsidRPr="00D651B4">
              <w:t>History</w:t>
            </w:r>
            <w:r>
              <w:t xml:space="preserve"> </w:t>
            </w:r>
            <w:r w:rsidRPr="00D651B4">
              <w:t>of</w:t>
            </w:r>
            <w:r>
              <w:t xml:space="preserve"> </w:t>
            </w:r>
            <w:r w:rsidRPr="00D651B4">
              <w:t>neurological</w:t>
            </w:r>
            <w:r>
              <w:t xml:space="preserve"> </w:t>
            </w:r>
            <w:r w:rsidRPr="00D651B4">
              <w:t>disease</w:t>
            </w:r>
          </w:p>
        </w:tc>
      </w:tr>
      <w:tr w:rsidR="009822AF" w14:paraId="2D8C2BC8" w14:textId="77777777" w:rsidTr="005758B8">
        <w:trPr>
          <w:jc w:val="center"/>
        </w:trPr>
        <w:tc>
          <w:tcPr>
            <w:tcW w:w="1439" w:type="pct"/>
          </w:tcPr>
          <w:p w14:paraId="2D8C2BC5" w14:textId="77777777" w:rsidR="009822AF" w:rsidRDefault="009822AF" w:rsidP="00842443">
            <w:pPr>
              <w:spacing w:line="240" w:lineRule="auto"/>
              <w:jc w:val="left"/>
            </w:pPr>
            <w:r w:rsidRPr="00151935">
              <w:t>Extracardiac</w:t>
            </w:r>
            <w:r>
              <w:t xml:space="preserve"> </w:t>
            </w:r>
            <w:r w:rsidRPr="00151935">
              <w:t>arteriopathy</w:t>
            </w:r>
          </w:p>
        </w:tc>
        <w:tc>
          <w:tcPr>
            <w:tcW w:w="1935" w:type="pct"/>
          </w:tcPr>
          <w:p w14:paraId="2D8C2BC6" w14:textId="77777777" w:rsidR="009822AF" w:rsidRDefault="009822AF" w:rsidP="00842443">
            <w:pPr>
              <w:spacing w:line="240" w:lineRule="auto"/>
              <w:jc w:val="left"/>
            </w:pPr>
            <w:r>
              <w:t>Patient has e</w:t>
            </w:r>
            <w:r w:rsidRPr="00D651B4">
              <w:t>xtracardiac</w:t>
            </w:r>
            <w:r>
              <w:t xml:space="preserve"> </w:t>
            </w:r>
            <w:r w:rsidRPr="00D651B4">
              <w:t>arteriopathy</w:t>
            </w:r>
          </w:p>
        </w:tc>
        <w:tc>
          <w:tcPr>
            <w:tcW w:w="1626" w:type="pct"/>
          </w:tcPr>
          <w:p w14:paraId="2D8C2BC7" w14:textId="77777777" w:rsidR="009822AF" w:rsidRDefault="009822AF" w:rsidP="00842443">
            <w:pPr>
              <w:spacing w:line="240" w:lineRule="auto"/>
              <w:jc w:val="left"/>
            </w:pPr>
            <w:r w:rsidRPr="00D651B4">
              <w:t>3.09</w:t>
            </w:r>
            <w:r>
              <w:t xml:space="preserve"> </w:t>
            </w:r>
            <w:r w:rsidRPr="00D651B4">
              <w:t>Extracardiac</w:t>
            </w:r>
            <w:r>
              <w:t xml:space="preserve"> </w:t>
            </w:r>
            <w:r w:rsidRPr="00D651B4">
              <w:t>arteriopathy</w:t>
            </w:r>
          </w:p>
        </w:tc>
      </w:tr>
      <w:tr w:rsidR="009822AF" w14:paraId="2D8C2BCC" w14:textId="77777777" w:rsidTr="005758B8">
        <w:trPr>
          <w:jc w:val="center"/>
        </w:trPr>
        <w:tc>
          <w:tcPr>
            <w:tcW w:w="1439" w:type="pct"/>
          </w:tcPr>
          <w:p w14:paraId="2D8C2BC9" w14:textId="77777777" w:rsidR="009822AF" w:rsidRDefault="009822AF" w:rsidP="00842443">
            <w:pPr>
              <w:spacing w:line="240" w:lineRule="auto"/>
              <w:jc w:val="left"/>
            </w:pPr>
            <w:r>
              <w:t>Calcified Aorta</w:t>
            </w:r>
          </w:p>
        </w:tc>
        <w:tc>
          <w:tcPr>
            <w:tcW w:w="1935" w:type="pct"/>
          </w:tcPr>
          <w:p w14:paraId="2D8C2BCA" w14:textId="6CD9FBA4" w:rsidR="009822AF" w:rsidRDefault="009822AF" w:rsidP="00842443">
            <w:pPr>
              <w:spacing w:line="240" w:lineRule="auto"/>
              <w:jc w:val="left"/>
            </w:pPr>
            <w:r>
              <w:t>Patient has e</w:t>
            </w:r>
            <w:r w:rsidRPr="00D651B4">
              <w:t>xtensive</w:t>
            </w:r>
            <w:r>
              <w:t xml:space="preserve"> </w:t>
            </w:r>
            <w:r w:rsidRPr="00D651B4">
              <w:t>calcification</w:t>
            </w:r>
            <w:r>
              <w:t xml:space="preserve"> </w:t>
            </w:r>
            <w:r w:rsidRPr="00D651B4">
              <w:t>of</w:t>
            </w:r>
            <w:r>
              <w:t xml:space="preserve"> ascending </w:t>
            </w:r>
            <w:r w:rsidRPr="00D651B4">
              <w:t>aorta</w:t>
            </w:r>
            <w:r w:rsidR="000B13DD">
              <w:t xml:space="preserve"> (grade 3 or 4)</w:t>
            </w:r>
          </w:p>
        </w:tc>
        <w:tc>
          <w:tcPr>
            <w:tcW w:w="1626" w:type="pct"/>
          </w:tcPr>
          <w:p w14:paraId="2D8C2BCB" w14:textId="77777777" w:rsidR="009822AF" w:rsidRDefault="009822AF" w:rsidP="00842443">
            <w:pPr>
              <w:spacing w:line="240" w:lineRule="auto"/>
              <w:jc w:val="left"/>
            </w:pPr>
            <w:r w:rsidRPr="00D651B4">
              <w:t>3.10</w:t>
            </w:r>
            <w:r>
              <w:t xml:space="preserve"> </w:t>
            </w:r>
            <w:r w:rsidRPr="00D651B4">
              <w:t>Extensive</w:t>
            </w:r>
            <w:r>
              <w:t xml:space="preserve"> </w:t>
            </w:r>
            <w:r w:rsidRPr="00D651B4">
              <w:t>calcification</w:t>
            </w:r>
            <w:r>
              <w:t xml:space="preserve"> of ascending </w:t>
            </w:r>
            <w:r w:rsidRPr="00D651B4">
              <w:t>aorta</w:t>
            </w:r>
          </w:p>
        </w:tc>
      </w:tr>
      <w:tr w:rsidR="009822AF" w14:paraId="2D8C2BD0" w14:textId="77777777" w:rsidTr="005758B8">
        <w:trPr>
          <w:jc w:val="center"/>
        </w:trPr>
        <w:tc>
          <w:tcPr>
            <w:tcW w:w="1439" w:type="pct"/>
          </w:tcPr>
          <w:p w14:paraId="2D8C2BCD" w14:textId="77777777" w:rsidR="009822AF" w:rsidRDefault="009822AF" w:rsidP="00842443">
            <w:pPr>
              <w:spacing w:line="240" w:lineRule="auto"/>
              <w:jc w:val="left"/>
            </w:pPr>
            <w:r>
              <w:t>Sinus Rhythm</w:t>
            </w:r>
          </w:p>
        </w:tc>
        <w:tc>
          <w:tcPr>
            <w:tcW w:w="1935" w:type="pct"/>
          </w:tcPr>
          <w:p w14:paraId="2D8C2BCE" w14:textId="05D356E5" w:rsidR="009822AF" w:rsidRDefault="009822AF" w:rsidP="00842443">
            <w:pPr>
              <w:spacing w:line="240" w:lineRule="auto"/>
              <w:jc w:val="left"/>
            </w:pPr>
            <w:r>
              <w:t xml:space="preserve">Patient has sinus </w:t>
            </w:r>
            <w:r w:rsidR="000B13DD">
              <w:t xml:space="preserve">pre-operative </w:t>
            </w:r>
            <w:r>
              <w:t>rhythm</w:t>
            </w:r>
          </w:p>
        </w:tc>
        <w:tc>
          <w:tcPr>
            <w:tcW w:w="1626" w:type="pct"/>
          </w:tcPr>
          <w:p w14:paraId="2D8C2BCF" w14:textId="77777777" w:rsidR="009822AF" w:rsidRDefault="009822AF" w:rsidP="00842443">
            <w:pPr>
              <w:spacing w:line="240" w:lineRule="auto"/>
              <w:jc w:val="left"/>
            </w:pPr>
            <w:r w:rsidRPr="00D651B4">
              <w:t>3.11</w:t>
            </w:r>
            <w:r>
              <w:t xml:space="preserve"> </w:t>
            </w:r>
            <w:r w:rsidRPr="00D651B4">
              <w:t>Preoperative</w:t>
            </w:r>
            <w:r>
              <w:t xml:space="preserve"> </w:t>
            </w:r>
            <w:r w:rsidRPr="00D651B4">
              <w:t>heart</w:t>
            </w:r>
            <w:r>
              <w:t xml:space="preserve"> </w:t>
            </w:r>
            <w:r w:rsidRPr="00D651B4">
              <w:t>rhythm</w:t>
            </w:r>
          </w:p>
        </w:tc>
      </w:tr>
      <w:tr w:rsidR="009822AF" w14:paraId="2D8C2BD7" w14:textId="77777777" w:rsidTr="005758B8">
        <w:trPr>
          <w:jc w:val="center"/>
        </w:trPr>
        <w:tc>
          <w:tcPr>
            <w:tcW w:w="1439" w:type="pct"/>
          </w:tcPr>
          <w:p w14:paraId="2D8C2BD1" w14:textId="77777777" w:rsidR="009822AF" w:rsidRDefault="009822AF" w:rsidP="00842443">
            <w:pPr>
              <w:spacing w:line="240" w:lineRule="auto"/>
              <w:jc w:val="left"/>
            </w:pPr>
            <w:r>
              <w:t>Previous Cardiac operation</w:t>
            </w:r>
          </w:p>
        </w:tc>
        <w:tc>
          <w:tcPr>
            <w:tcW w:w="1935" w:type="pct"/>
          </w:tcPr>
          <w:p w14:paraId="2D8C2BD5" w14:textId="34A47A0E" w:rsidR="009822AF" w:rsidRDefault="009822AF" w:rsidP="000B13DD">
            <w:pPr>
              <w:spacing w:line="240" w:lineRule="auto"/>
              <w:jc w:val="left"/>
            </w:pPr>
            <w:r>
              <w:t xml:space="preserve">Any of the following: </w:t>
            </w:r>
            <w:r w:rsidR="000B13DD">
              <w:t xml:space="preserve">(1) </w:t>
            </w:r>
            <w:r>
              <w:t>Previous CABG</w:t>
            </w:r>
            <w:r w:rsidR="000B13DD">
              <w:t xml:space="preserve">, or (2) </w:t>
            </w:r>
            <w:r>
              <w:t>Previous valve operation</w:t>
            </w:r>
            <w:r w:rsidR="000B13DD">
              <w:t xml:space="preserve">, or (3) </w:t>
            </w:r>
            <w:r>
              <w:t>Other operation requiring opening or the pericardium</w:t>
            </w:r>
          </w:p>
        </w:tc>
        <w:tc>
          <w:tcPr>
            <w:tcW w:w="1626" w:type="pct"/>
          </w:tcPr>
          <w:p w14:paraId="2D8C2BD6" w14:textId="77777777" w:rsidR="009822AF" w:rsidRDefault="009822AF" w:rsidP="00842443">
            <w:pPr>
              <w:spacing w:line="240" w:lineRule="auto"/>
              <w:jc w:val="left"/>
            </w:pPr>
            <w:r w:rsidRPr="00D651B4">
              <w:t>4.01</w:t>
            </w:r>
            <w:r>
              <w:t xml:space="preserve"> Previous cardiac </w:t>
            </w:r>
            <w:r w:rsidRPr="00D651B4">
              <w:t>surgery</w:t>
            </w:r>
          </w:p>
        </w:tc>
      </w:tr>
      <w:tr w:rsidR="009822AF" w14:paraId="2D8C2BDB" w14:textId="77777777" w:rsidTr="005758B8">
        <w:trPr>
          <w:jc w:val="center"/>
        </w:trPr>
        <w:tc>
          <w:tcPr>
            <w:tcW w:w="1439" w:type="pct"/>
          </w:tcPr>
          <w:p w14:paraId="2D8C2BD8" w14:textId="77777777" w:rsidR="009822AF" w:rsidRDefault="009822AF" w:rsidP="00842443">
            <w:pPr>
              <w:spacing w:line="240" w:lineRule="auto"/>
              <w:jc w:val="left"/>
            </w:pPr>
            <w:r>
              <w:lastRenderedPageBreak/>
              <w:t>Prior BAV</w:t>
            </w:r>
          </w:p>
        </w:tc>
        <w:tc>
          <w:tcPr>
            <w:tcW w:w="1935" w:type="pct"/>
          </w:tcPr>
          <w:p w14:paraId="2D8C2BD9" w14:textId="77777777" w:rsidR="009822AF" w:rsidRDefault="009822AF" w:rsidP="00842443">
            <w:pPr>
              <w:spacing w:line="240" w:lineRule="auto"/>
              <w:jc w:val="left"/>
            </w:pPr>
            <w:r>
              <w:t>Any BAV performed prior (upstream) of the current TAVI procedure</w:t>
            </w:r>
          </w:p>
        </w:tc>
        <w:tc>
          <w:tcPr>
            <w:tcW w:w="1626" w:type="pct"/>
          </w:tcPr>
          <w:p w14:paraId="2D8C2BDA" w14:textId="77777777" w:rsidR="009822AF" w:rsidRDefault="009822AF" w:rsidP="00842443">
            <w:pPr>
              <w:spacing w:line="240" w:lineRule="auto"/>
              <w:jc w:val="left"/>
            </w:pPr>
            <w:r w:rsidRPr="00D651B4">
              <w:t>4.021</w:t>
            </w:r>
            <w:r>
              <w:t xml:space="preserve"> </w:t>
            </w:r>
            <w:r w:rsidRPr="00D651B4">
              <w:t>Balloon</w:t>
            </w:r>
            <w:r>
              <w:t xml:space="preserve"> </w:t>
            </w:r>
            <w:r w:rsidRPr="00D651B4">
              <w:t>aortic</w:t>
            </w:r>
            <w:r>
              <w:t xml:space="preserve"> </w:t>
            </w:r>
            <w:r w:rsidRPr="00D651B4">
              <w:t>valvuloplasty</w:t>
            </w:r>
            <w:r>
              <w:t xml:space="preserve"> </w:t>
            </w:r>
            <w:r w:rsidRPr="00D651B4">
              <w:t>prior</w:t>
            </w:r>
            <w:r>
              <w:t xml:space="preserve"> </w:t>
            </w:r>
            <w:r w:rsidRPr="00D651B4">
              <w:t>to</w:t>
            </w:r>
            <w:r>
              <w:t xml:space="preserve"> date of </w:t>
            </w:r>
            <w:r w:rsidRPr="00D651B4">
              <w:t>TAVI</w:t>
            </w:r>
          </w:p>
        </w:tc>
      </w:tr>
      <w:tr w:rsidR="009822AF" w14:paraId="2D8C2BE3" w14:textId="77777777" w:rsidTr="005758B8">
        <w:trPr>
          <w:jc w:val="center"/>
        </w:trPr>
        <w:tc>
          <w:tcPr>
            <w:tcW w:w="1439" w:type="pct"/>
          </w:tcPr>
          <w:p w14:paraId="2D8C2BE0" w14:textId="77777777" w:rsidR="009822AF" w:rsidRDefault="009822AF" w:rsidP="00842443">
            <w:pPr>
              <w:spacing w:line="240" w:lineRule="auto"/>
              <w:jc w:val="left"/>
            </w:pPr>
            <w:r>
              <w:t>Previous PCI</w:t>
            </w:r>
          </w:p>
        </w:tc>
        <w:tc>
          <w:tcPr>
            <w:tcW w:w="1935" w:type="pct"/>
          </w:tcPr>
          <w:p w14:paraId="2D8C2BE1" w14:textId="77777777" w:rsidR="009822AF" w:rsidRDefault="009822AF" w:rsidP="00842443">
            <w:pPr>
              <w:spacing w:line="240" w:lineRule="auto"/>
              <w:jc w:val="left"/>
            </w:pPr>
            <w:r>
              <w:t>Patient had a PCI prior to date of TAVI</w:t>
            </w:r>
          </w:p>
        </w:tc>
        <w:tc>
          <w:tcPr>
            <w:tcW w:w="1626" w:type="pct"/>
          </w:tcPr>
          <w:p w14:paraId="2D8C2BE2" w14:textId="77777777" w:rsidR="009822AF" w:rsidRDefault="009822AF" w:rsidP="00842443">
            <w:pPr>
              <w:spacing w:line="240" w:lineRule="auto"/>
              <w:jc w:val="left"/>
            </w:pPr>
            <w:r w:rsidRPr="00D651B4">
              <w:t>4.03</w:t>
            </w:r>
            <w:r>
              <w:t xml:space="preserve"> Previous </w:t>
            </w:r>
            <w:r w:rsidRPr="00D651B4">
              <w:t>PCI</w:t>
            </w:r>
          </w:p>
        </w:tc>
      </w:tr>
      <w:tr w:rsidR="009822AF" w14:paraId="2D8C2BEC" w14:textId="77777777" w:rsidTr="005758B8">
        <w:trPr>
          <w:jc w:val="center"/>
        </w:trPr>
        <w:tc>
          <w:tcPr>
            <w:tcW w:w="1439" w:type="pct"/>
          </w:tcPr>
          <w:p w14:paraId="2D8C2BE4" w14:textId="77777777" w:rsidR="009822AF" w:rsidRDefault="009822AF" w:rsidP="00842443">
            <w:pPr>
              <w:spacing w:line="240" w:lineRule="auto"/>
              <w:jc w:val="left"/>
            </w:pPr>
            <w:r>
              <w:t>Critical pre-operative status</w:t>
            </w:r>
          </w:p>
        </w:tc>
        <w:tc>
          <w:tcPr>
            <w:tcW w:w="1935" w:type="pct"/>
          </w:tcPr>
          <w:p w14:paraId="2D8C2BEA" w14:textId="13DEBFEC" w:rsidR="009822AF" w:rsidRDefault="009822AF" w:rsidP="000B13DD">
            <w:pPr>
              <w:spacing w:line="240" w:lineRule="auto"/>
              <w:jc w:val="left"/>
            </w:pPr>
            <w:r>
              <w:t>A</w:t>
            </w:r>
            <w:r w:rsidRPr="004A343B">
              <w:t xml:space="preserve">ny of the following options: </w:t>
            </w:r>
            <w:r w:rsidR="000B13DD">
              <w:t xml:space="preserve">(1) </w:t>
            </w:r>
            <w:r>
              <w:t>V</w:t>
            </w:r>
            <w:r w:rsidRPr="004A343B">
              <w:t>entricular tachycardia or fibril</w:t>
            </w:r>
            <w:r>
              <w:t>lation or aborted sudden death</w:t>
            </w:r>
            <w:r w:rsidR="000B13DD">
              <w:t xml:space="preserve">, or (2) </w:t>
            </w:r>
            <w:r>
              <w:t>Preoperative cardiac massage</w:t>
            </w:r>
            <w:r w:rsidR="000B13DD">
              <w:t xml:space="preserve">, or (3) </w:t>
            </w:r>
            <w:r>
              <w:t>P</w:t>
            </w:r>
            <w:r w:rsidRPr="004A343B">
              <w:t>reoperative venti</w:t>
            </w:r>
            <w:r>
              <w:t>lation before anaesthetic room</w:t>
            </w:r>
            <w:r w:rsidR="000B13DD">
              <w:t xml:space="preserve">, or (4) </w:t>
            </w:r>
            <w:r>
              <w:t>Preoperative inotropes or IABP</w:t>
            </w:r>
            <w:r w:rsidR="000B13DD">
              <w:t xml:space="preserve">, or (5) </w:t>
            </w:r>
            <w:r w:rsidRPr="004A343B">
              <w:t>Preoperative acute renal failur</w:t>
            </w:r>
            <w:r>
              <w:t>e (anuria or oliguria &lt;10ml/hr)</w:t>
            </w:r>
          </w:p>
        </w:tc>
        <w:tc>
          <w:tcPr>
            <w:tcW w:w="1626" w:type="pct"/>
          </w:tcPr>
          <w:p w14:paraId="2D8C2BEB" w14:textId="77777777" w:rsidR="009822AF" w:rsidRDefault="009822AF" w:rsidP="00842443">
            <w:pPr>
              <w:spacing w:line="240" w:lineRule="auto"/>
              <w:jc w:val="left"/>
            </w:pPr>
            <w:r w:rsidRPr="00D651B4">
              <w:t>5.031</w:t>
            </w:r>
            <w:r>
              <w:t xml:space="preserve"> </w:t>
            </w:r>
            <w:r w:rsidRPr="00D651B4">
              <w:t>Critical</w:t>
            </w:r>
            <w:r>
              <w:t xml:space="preserve"> </w:t>
            </w:r>
            <w:r w:rsidRPr="00D651B4">
              <w:t>preoperative</w:t>
            </w:r>
            <w:r>
              <w:t xml:space="preserve"> </w:t>
            </w:r>
            <w:r w:rsidRPr="00D651B4">
              <w:t>status</w:t>
            </w:r>
            <w:r>
              <w:t xml:space="preserve"> v4</w:t>
            </w:r>
          </w:p>
        </w:tc>
      </w:tr>
      <w:tr w:rsidR="009822AF" w14:paraId="2D8C2BF0" w14:textId="77777777" w:rsidTr="005758B8">
        <w:trPr>
          <w:jc w:val="center"/>
        </w:trPr>
        <w:tc>
          <w:tcPr>
            <w:tcW w:w="1439" w:type="pct"/>
          </w:tcPr>
          <w:p w14:paraId="2D8C2BED" w14:textId="7D782200" w:rsidR="009822AF" w:rsidRDefault="009822AF" w:rsidP="00842443">
            <w:pPr>
              <w:spacing w:line="240" w:lineRule="auto"/>
              <w:jc w:val="left"/>
            </w:pPr>
            <w:r>
              <w:t xml:space="preserve">NYHA class </w:t>
            </w:r>
            <w:r w:rsidR="001362EA">
              <w:rPr>
                <w:szCs w:val="20"/>
              </w:rPr>
              <w:t>IV</w:t>
            </w:r>
          </w:p>
        </w:tc>
        <w:tc>
          <w:tcPr>
            <w:tcW w:w="1935" w:type="pct"/>
          </w:tcPr>
          <w:p w14:paraId="2D8C2BEE" w14:textId="77777777" w:rsidR="009822AF" w:rsidRDefault="009822AF" w:rsidP="00842443">
            <w:pPr>
              <w:spacing w:line="240" w:lineRule="auto"/>
              <w:jc w:val="left"/>
            </w:pPr>
            <w:r>
              <w:t xml:space="preserve">NYHA dyspnoea </w:t>
            </w:r>
            <w:r w:rsidRPr="004A343B">
              <w:t>status</w:t>
            </w:r>
            <w:r>
              <w:t xml:space="preserve"> recorded as “</w:t>
            </w:r>
            <w:r w:rsidRPr="004A343B">
              <w:t>4. Symptoms at rest or minimal activity</w:t>
            </w:r>
            <w:r>
              <w:t>”</w:t>
            </w:r>
          </w:p>
        </w:tc>
        <w:tc>
          <w:tcPr>
            <w:tcW w:w="1626" w:type="pct"/>
          </w:tcPr>
          <w:p w14:paraId="2D8C2BEF" w14:textId="77777777" w:rsidR="009822AF" w:rsidRDefault="009822AF" w:rsidP="00842443">
            <w:pPr>
              <w:spacing w:line="240" w:lineRule="auto"/>
              <w:jc w:val="left"/>
            </w:pPr>
            <w:r>
              <w:t xml:space="preserve">5.05 </w:t>
            </w:r>
            <w:r w:rsidRPr="004A343B">
              <w:t>NYHA dyspnoea status (Pre-procedure; stable only)</w:t>
            </w:r>
          </w:p>
        </w:tc>
      </w:tr>
      <w:tr w:rsidR="009822AF" w14:paraId="2D8C2BF4" w14:textId="77777777" w:rsidTr="005758B8">
        <w:trPr>
          <w:jc w:val="center"/>
        </w:trPr>
        <w:tc>
          <w:tcPr>
            <w:tcW w:w="1439" w:type="pct"/>
          </w:tcPr>
          <w:p w14:paraId="2D8C2BF1" w14:textId="77777777" w:rsidR="009822AF" w:rsidRDefault="009822AF" w:rsidP="00842443">
            <w:pPr>
              <w:spacing w:line="240" w:lineRule="auto"/>
              <w:jc w:val="left"/>
            </w:pPr>
            <w:r>
              <w:t>Poor mobility</w:t>
            </w:r>
          </w:p>
        </w:tc>
        <w:tc>
          <w:tcPr>
            <w:tcW w:w="1935" w:type="pct"/>
          </w:tcPr>
          <w:p w14:paraId="2D8C2BF2" w14:textId="77777777" w:rsidR="009822AF" w:rsidRDefault="009822AF" w:rsidP="00842443">
            <w:pPr>
              <w:spacing w:line="240" w:lineRule="auto"/>
              <w:jc w:val="left"/>
            </w:pPr>
            <w:r>
              <w:t>Poor mobility (</w:t>
            </w:r>
            <w:r w:rsidRPr="004A343B">
              <w:t>Severe impairment of mobility secondary to musculoskeletal or neurological dysfunction</w:t>
            </w:r>
            <w:r>
              <w:t>)</w:t>
            </w:r>
          </w:p>
        </w:tc>
        <w:tc>
          <w:tcPr>
            <w:tcW w:w="1626" w:type="pct"/>
          </w:tcPr>
          <w:p w14:paraId="2D8C2BF3" w14:textId="77777777" w:rsidR="009822AF" w:rsidRDefault="009822AF" w:rsidP="00842443">
            <w:pPr>
              <w:spacing w:line="240" w:lineRule="auto"/>
              <w:jc w:val="left"/>
            </w:pPr>
            <w:r w:rsidRPr="004A343B">
              <w:t>3.091</w:t>
            </w:r>
            <w:r>
              <w:t xml:space="preserve"> </w:t>
            </w:r>
            <w:r w:rsidRPr="004A343B">
              <w:t>Poor</w:t>
            </w:r>
            <w:r>
              <w:t xml:space="preserve"> </w:t>
            </w:r>
            <w:r w:rsidRPr="004A343B">
              <w:t>mobility</w:t>
            </w:r>
          </w:p>
        </w:tc>
      </w:tr>
      <w:tr w:rsidR="009822AF" w14:paraId="2D8C2BF8" w14:textId="77777777" w:rsidTr="005758B8">
        <w:trPr>
          <w:jc w:val="center"/>
        </w:trPr>
        <w:tc>
          <w:tcPr>
            <w:tcW w:w="1439" w:type="pct"/>
          </w:tcPr>
          <w:p w14:paraId="2D8C2BF5" w14:textId="77777777" w:rsidR="009822AF" w:rsidRDefault="009822AF" w:rsidP="00842443">
            <w:pPr>
              <w:spacing w:line="240" w:lineRule="auto"/>
              <w:jc w:val="left"/>
            </w:pPr>
            <w:r>
              <w:t>CSHA</w:t>
            </w:r>
          </w:p>
        </w:tc>
        <w:tc>
          <w:tcPr>
            <w:tcW w:w="1935" w:type="pct"/>
          </w:tcPr>
          <w:p w14:paraId="2D8C2BF6" w14:textId="544A64A9" w:rsidR="009822AF" w:rsidRDefault="009822AF" w:rsidP="000B13DD">
            <w:pPr>
              <w:spacing w:line="240" w:lineRule="auto"/>
              <w:jc w:val="left"/>
            </w:pPr>
            <w:r w:rsidRPr="004A343B">
              <w:t>CSHA Clinical Frailty Scale score</w:t>
            </w:r>
            <w:r>
              <w:t xml:space="preserve"> with any option </w:t>
            </w:r>
            <w:r w:rsidRPr="000B13DD">
              <w:rPr>
                <w:b/>
                <w:u w:val="single"/>
              </w:rPr>
              <w:t>except</w:t>
            </w:r>
            <w:r>
              <w:t xml:space="preserve">: </w:t>
            </w:r>
            <w:r w:rsidR="000B13DD">
              <w:t xml:space="preserve">(1) </w:t>
            </w:r>
            <w:r>
              <w:t>very fit</w:t>
            </w:r>
            <w:r w:rsidR="000B13DD">
              <w:t>, or (2)</w:t>
            </w:r>
            <w:r>
              <w:t xml:space="preserve"> well</w:t>
            </w:r>
            <w:r w:rsidR="000B13DD">
              <w:t xml:space="preserve">, or (3) </w:t>
            </w:r>
            <w:r>
              <w:t>apparently vulnerable</w:t>
            </w:r>
          </w:p>
        </w:tc>
        <w:tc>
          <w:tcPr>
            <w:tcW w:w="1626" w:type="pct"/>
          </w:tcPr>
          <w:p w14:paraId="2D8C2BF7" w14:textId="77777777" w:rsidR="009822AF" w:rsidRDefault="009822AF" w:rsidP="00842443">
            <w:pPr>
              <w:spacing w:line="240" w:lineRule="auto"/>
              <w:jc w:val="left"/>
            </w:pPr>
            <w:r w:rsidRPr="004A343B">
              <w:t>5.051</w:t>
            </w:r>
            <w:r>
              <w:t xml:space="preserve"> CSHA </w:t>
            </w:r>
            <w:r w:rsidRPr="004A343B">
              <w:t>Clinical</w:t>
            </w:r>
            <w:r>
              <w:t xml:space="preserve"> </w:t>
            </w:r>
            <w:r w:rsidRPr="004A343B">
              <w:t>Frailty</w:t>
            </w:r>
            <w:r>
              <w:t xml:space="preserve"> </w:t>
            </w:r>
            <w:r w:rsidRPr="004A343B">
              <w:t>Scale</w:t>
            </w:r>
            <w:r>
              <w:t xml:space="preserve"> </w:t>
            </w:r>
            <w:r w:rsidRPr="004A343B">
              <w:t>score</w:t>
            </w:r>
          </w:p>
        </w:tc>
      </w:tr>
      <w:tr w:rsidR="009822AF" w14:paraId="2D8C2BFC" w14:textId="77777777" w:rsidTr="005758B8">
        <w:trPr>
          <w:jc w:val="center"/>
        </w:trPr>
        <w:tc>
          <w:tcPr>
            <w:tcW w:w="1439" w:type="pct"/>
          </w:tcPr>
          <w:p w14:paraId="2D8C2BF9" w14:textId="6231BB8A" w:rsidR="009822AF" w:rsidRDefault="009822AF" w:rsidP="00842443">
            <w:pPr>
              <w:spacing w:line="240" w:lineRule="auto"/>
              <w:jc w:val="left"/>
            </w:pPr>
            <w:r>
              <w:t>KATZ</w:t>
            </w:r>
            <w:r w:rsidR="001E4BA3">
              <w:t xml:space="preserve"> (per point drop from 6 points)</w:t>
            </w:r>
          </w:p>
        </w:tc>
        <w:tc>
          <w:tcPr>
            <w:tcW w:w="1935" w:type="pct"/>
          </w:tcPr>
          <w:p w14:paraId="2D8C2BFA" w14:textId="6EA0F12E" w:rsidR="009822AF" w:rsidRDefault="009822AF" w:rsidP="00842443">
            <w:pPr>
              <w:spacing w:line="240" w:lineRule="auto"/>
              <w:jc w:val="left"/>
            </w:pPr>
            <w:r w:rsidRPr="004A343B">
              <w:t>Katz Index of Independence in Activities of Daily Living</w:t>
            </w:r>
            <w:r w:rsidR="00EB4FDC">
              <w:t>, number of points less than 6</w:t>
            </w:r>
            <w:r w:rsidR="001E4BA3">
              <w:t xml:space="preserve"> (e.g. observed KATZ of 2 points becomes 4 after the transformation)</w:t>
            </w:r>
          </w:p>
        </w:tc>
        <w:tc>
          <w:tcPr>
            <w:tcW w:w="1626" w:type="pct"/>
          </w:tcPr>
          <w:p w14:paraId="2D8C2BFB" w14:textId="277BE4EA" w:rsidR="009822AF" w:rsidRDefault="00EB4FDC" w:rsidP="00842443">
            <w:pPr>
              <w:spacing w:line="240" w:lineRule="auto"/>
              <w:jc w:val="left"/>
            </w:pPr>
            <w:r>
              <w:t xml:space="preserve">6 points - </w:t>
            </w:r>
            <w:r w:rsidR="009822AF" w:rsidRPr="004A343B">
              <w:t>5.052</w:t>
            </w:r>
            <w:r w:rsidR="009822AF">
              <w:t xml:space="preserve"> </w:t>
            </w:r>
            <w:r w:rsidR="009822AF" w:rsidRPr="004A343B">
              <w:t>Katz Index of Independence in Activities of Daily Living</w:t>
            </w:r>
          </w:p>
        </w:tc>
      </w:tr>
      <w:tr w:rsidR="009822AF" w14:paraId="2D8C2C09" w14:textId="77777777" w:rsidTr="005758B8">
        <w:trPr>
          <w:jc w:val="center"/>
        </w:trPr>
        <w:tc>
          <w:tcPr>
            <w:tcW w:w="1439" w:type="pct"/>
          </w:tcPr>
          <w:p w14:paraId="2D8C2C06" w14:textId="77777777" w:rsidR="009822AF" w:rsidRDefault="009822AF" w:rsidP="00842443">
            <w:pPr>
              <w:spacing w:line="240" w:lineRule="auto"/>
              <w:jc w:val="left"/>
            </w:pPr>
            <w:r>
              <w:t>PA Systolic pressure &gt;60mmHg</w:t>
            </w:r>
          </w:p>
        </w:tc>
        <w:tc>
          <w:tcPr>
            <w:tcW w:w="1935" w:type="pct"/>
          </w:tcPr>
          <w:p w14:paraId="2D8C2C07" w14:textId="77777777" w:rsidR="009822AF" w:rsidRDefault="009822AF" w:rsidP="00842443">
            <w:pPr>
              <w:spacing w:line="240" w:lineRule="auto"/>
              <w:jc w:val="left"/>
            </w:pPr>
            <w:r w:rsidRPr="00923AAC">
              <w:t>PA systolic &gt; 60mmHg</w:t>
            </w:r>
          </w:p>
        </w:tc>
        <w:tc>
          <w:tcPr>
            <w:tcW w:w="1626" w:type="pct"/>
          </w:tcPr>
          <w:p w14:paraId="2D8C2C08" w14:textId="77777777" w:rsidR="009822AF" w:rsidRDefault="009822AF" w:rsidP="00842443">
            <w:pPr>
              <w:spacing w:line="240" w:lineRule="auto"/>
              <w:jc w:val="left"/>
            </w:pPr>
            <w:r>
              <w:t xml:space="preserve">6.012 </w:t>
            </w:r>
            <w:r w:rsidRPr="00923AAC">
              <w:t>PA systolic pressure (mmHg)</w:t>
            </w:r>
          </w:p>
        </w:tc>
      </w:tr>
      <w:tr w:rsidR="009822AF" w14:paraId="2D8C2C0D" w14:textId="77777777" w:rsidTr="005758B8">
        <w:trPr>
          <w:jc w:val="center"/>
        </w:trPr>
        <w:tc>
          <w:tcPr>
            <w:tcW w:w="1439" w:type="pct"/>
          </w:tcPr>
          <w:p w14:paraId="2D8C2C0A" w14:textId="77777777" w:rsidR="009822AF" w:rsidRDefault="009822AF" w:rsidP="00842443">
            <w:pPr>
              <w:spacing w:line="240" w:lineRule="auto"/>
              <w:jc w:val="left"/>
            </w:pPr>
            <w:r>
              <w:t>Aortic peak gradient</w:t>
            </w:r>
          </w:p>
        </w:tc>
        <w:tc>
          <w:tcPr>
            <w:tcW w:w="1935" w:type="pct"/>
          </w:tcPr>
          <w:p w14:paraId="2D8C2C0B" w14:textId="77777777" w:rsidR="009822AF" w:rsidRDefault="009822AF" w:rsidP="00842443">
            <w:pPr>
              <w:spacing w:line="240" w:lineRule="auto"/>
              <w:jc w:val="left"/>
            </w:pPr>
            <w:r w:rsidRPr="00923AAC">
              <w:t>Aortic valve peak gradient (mmHg)</w:t>
            </w:r>
          </w:p>
        </w:tc>
        <w:tc>
          <w:tcPr>
            <w:tcW w:w="1626" w:type="pct"/>
          </w:tcPr>
          <w:p w14:paraId="2D8C2C0C" w14:textId="77777777" w:rsidR="009822AF" w:rsidRDefault="009822AF" w:rsidP="00842443">
            <w:pPr>
              <w:spacing w:line="240" w:lineRule="auto"/>
              <w:jc w:val="left"/>
            </w:pPr>
            <w:r w:rsidRPr="00923AAC">
              <w:t>6.02</w:t>
            </w:r>
            <w:r>
              <w:t xml:space="preserve"> </w:t>
            </w:r>
            <w:r w:rsidRPr="00923AAC">
              <w:t>Aortic</w:t>
            </w:r>
            <w:r>
              <w:t xml:space="preserve"> </w:t>
            </w:r>
            <w:r w:rsidRPr="00923AAC">
              <w:t>valve</w:t>
            </w:r>
            <w:r>
              <w:t xml:space="preserve"> </w:t>
            </w:r>
            <w:r w:rsidRPr="00923AAC">
              <w:t>peak</w:t>
            </w:r>
            <w:r>
              <w:t xml:space="preserve"> </w:t>
            </w:r>
            <w:r w:rsidRPr="00923AAC">
              <w:t>gradient</w:t>
            </w:r>
          </w:p>
        </w:tc>
      </w:tr>
      <w:tr w:rsidR="009822AF" w14:paraId="2D8C2C11" w14:textId="77777777" w:rsidTr="005758B8">
        <w:trPr>
          <w:jc w:val="center"/>
        </w:trPr>
        <w:tc>
          <w:tcPr>
            <w:tcW w:w="1439" w:type="pct"/>
          </w:tcPr>
          <w:p w14:paraId="2D8C2C0E" w14:textId="77777777" w:rsidR="009822AF" w:rsidRDefault="009822AF" w:rsidP="00842443">
            <w:pPr>
              <w:spacing w:line="240" w:lineRule="auto"/>
              <w:jc w:val="left"/>
            </w:pPr>
            <w:r>
              <w:t>Aortic valve area per 0.1 unit increase</w:t>
            </w:r>
          </w:p>
        </w:tc>
        <w:tc>
          <w:tcPr>
            <w:tcW w:w="1935" w:type="pct"/>
          </w:tcPr>
          <w:p w14:paraId="2D8C2C0F" w14:textId="77777777" w:rsidR="009822AF" w:rsidRPr="00923AAC" w:rsidRDefault="009822AF" w:rsidP="00842443">
            <w:pPr>
              <w:spacing w:line="240" w:lineRule="auto"/>
              <w:jc w:val="left"/>
            </w:pPr>
            <w:r w:rsidRPr="00923AAC">
              <w:t>Aortic valve area</w:t>
            </w:r>
            <w:r>
              <w:t xml:space="preserve"> for every 0.1 </w:t>
            </w:r>
            <w:r w:rsidRPr="00923AAC">
              <w:t>cm</w:t>
            </w:r>
            <w:r w:rsidRPr="00923AAC">
              <w:rPr>
                <w:vertAlign w:val="superscript"/>
              </w:rPr>
              <w:t>2</w:t>
            </w:r>
            <w:r>
              <w:t xml:space="preserve"> increase</w:t>
            </w:r>
          </w:p>
        </w:tc>
        <w:tc>
          <w:tcPr>
            <w:tcW w:w="1626" w:type="pct"/>
          </w:tcPr>
          <w:p w14:paraId="2D8C2C10" w14:textId="77777777" w:rsidR="009822AF" w:rsidRDefault="009822AF" w:rsidP="00842443">
            <w:pPr>
              <w:spacing w:line="240" w:lineRule="auto"/>
              <w:jc w:val="left"/>
            </w:pPr>
            <w:r w:rsidRPr="00923AAC">
              <w:t>6.03</w:t>
            </w:r>
            <w:r>
              <w:t xml:space="preserve"> </w:t>
            </w:r>
            <w:r w:rsidRPr="00923AAC">
              <w:t>Aortic</w:t>
            </w:r>
            <w:r>
              <w:t xml:space="preserve"> </w:t>
            </w:r>
            <w:r w:rsidRPr="00923AAC">
              <w:t>valve</w:t>
            </w:r>
            <w:r>
              <w:t xml:space="preserve"> </w:t>
            </w:r>
            <w:r w:rsidRPr="00923AAC">
              <w:t>area</w:t>
            </w:r>
          </w:p>
        </w:tc>
      </w:tr>
      <w:tr w:rsidR="009822AF" w14:paraId="2D8C2C15" w14:textId="77777777" w:rsidTr="005758B8">
        <w:trPr>
          <w:jc w:val="center"/>
        </w:trPr>
        <w:tc>
          <w:tcPr>
            <w:tcW w:w="1439" w:type="pct"/>
          </w:tcPr>
          <w:p w14:paraId="2D8C2C12" w14:textId="77777777" w:rsidR="009822AF" w:rsidRDefault="009822AF" w:rsidP="00842443">
            <w:pPr>
              <w:spacing w:line="240" w:lineRule="auto"/>
              <w:jc w:val="left"/>
            </w:pPr>
            <w:r>
              <w:t>LVEF &lt;50%</w:t>
            </w:r>
          </w:p>
        </w:tc>
        <w:tc>
          <w:tcPr>
            <w:tcW w:w="1935" w:type="pct"/>
          </w:tcPr>
          <w:p w14:paraId="2D8C2C13" w14:textId="55EA1DE5" w:rsidR="009822AF" w:rsidRDefault="009822AF" w:rsidP="000B13DD">
            <w:pPr>
              <w:spacing w:line="240" w:lineRule="auto"/>
              <w:jc w:val="left"/>
            </w:pPr>
            <w:r>
              <w:t xml:space="preserve">Left ventricular ejection fraction </w:t>
            </w:r>
            <w:r w:rsidR="000B13DD">
              <w:t>less than</w:t>
            </w:r>
            <w:r>
              <w:t xml:space="preserve"> 50%</w:t>
            </w:r>
          </w:p>
        </w:tc>
        <w:tc>
          <w:tcPr>
            <w:tcW w:w="1626" w:type="pct"/>
          </w:tcPr>
          <w:p w14:paraId="2D8C2C14" w14:textId="77777777" w:rsidR="009822AF" w:rsidRDefault="009822AF" w:rsidP="00842443">
            <w:pPr>
              <w:spacing w:line="240" w:lineRule="auto"/>
              <w:jc w:val="left"/>
            </w:pPr>
            <w:r w:rsidRPr="00923AAC">
              <w:t>6.08</w:t>
            </w:r>
            <w:r>
              <w:t xml:space="preserve"> LV </w:t>
            </w:r>
            <w:r w:rsidRPr="00923AAC">
              <w:t>function</w:t>
            </w:r>
          </w:p>
        </w:tc>
      </w:tr>
      <w:tr w:rsidR="009822AF" w14:paraId="2D8C2C19" w14:textId="77777777" w:rsidTr="005758B8">
        <w:trPr>
          <w:jc w:val="center"/>
        </w:trPr>
        <w:tc>
          <w:tcPr>
            <w:tcW w:w="1439" w:type="pct"/>
          </w:tcPr>
          <w:p w14:paraId="2D8C2C16" w14:textId="77777777" w:rsidR="009822AF" w:rsidRDefault="009822AF" w:rsidP="00842443">
            <w:pPr>
              <w:spacing w:line="240" w:lineRule="auto"/>
              <w:jc w:val="left"/>
            </w:pPr>
            <w:r>
              <w:t>More than one diseased vessel</w:t>
            </w:r>
          </w:p>
        </w:tc>
        <w:tc>
          <w:tcPr>
            <w:tcW w:w="1935" w:type="pct"/>
          </w:tcPr>
          <w:p w14:paraId="2D8C2C17" w14:textId="4E10A07B" w:rsidR="009822AF" w:rsidRDefault="009822AF" w:rsidP="00842443">
            <w:pPr>
              <w:spacing w:line="240" w:lineRule="auto"/>
              <w:jc w:val="left"/>
            </w:pPr>
            <w:r w:rsidRPr="00923AAC">
              <w:t>Extent of coronary vessel disease (ignoring LMS disease)</w:t>
            </w:r>
            <w:r>
              <w:t xml:space="preserve"> with any option </w:t>
            </w:r>
            <w:r w:rsidRPr="000B13DD">
              <w:rPr>
                <w:b/>
                <w:u w:val="single"/>
              </w:rPr>
              <w:t>other than</w:t>
            </w:r>
            <w:r>
              <w:t xml:space="preserve"> </w:t>
            </w:r>
            <w:r w:rsidR="000B13DD">
              <w:t>“</w:t>
            </w:r>
            <w:r>
              <w:t>no vessel with &gt;50% diameter stenosis</w:t>
            </w:r>
            <w:r w:rsidR="000B13DD">
              <w:t>”</w:t>
            </w:r>
          </w:p>
        </w:tc>
        <w:tc>
          <w:tcPr>
            <w:tcW w:w="1626" w:type="pct"/>
          </w:tcPr>
          <w:p w14:paraId="2D8C2C18" w14:textId="77777777" w:rsidR="009822AF" w:rsidRDefault="009822AF" w:rsidP="00842443">
            <w:pPr>
              <w:spacing w:line="240" w:lineRule="auto"/>
              <w:jc w:val="left"/>
            </w:pPr>
            <w:r w:rsidRPr="00923AAC">
              <w:t>6.09</w:t>
            </w:r>
            <w:r>
              <w:t xml:space="preserve"> </w:t>
            </w:r>
            <w:r w:rsidRPr="00923AAC">
              <w:t>Extent</w:t>
            </w:r>
            <w:r>
              <w:t xml:space="preserve"> </w:t>
            </w:r>
            <w:r w:rsidRPr="00923AAC">
              <w:t>of</w:t>
            </w:r>
            <w:r>
              <w:t xml:space="preserve"> </w:t>
            </w:r>
            <w:r w:rsidRPr="00923AAC">
              <w:t>coronary</w:t>
            </w:r>
            <w:r>
              <w:t xml:space="preserve"> </w:t>
            </w:r>
            <w:r w:rsidRPr="00923AAC">
              <w:t>vessel</w:t>
            </w:r>
            <w:r>
              <w:t xml:space="preserve"> </w:t>
            </w:r>
            <w:r w:rsidRPr="00923AAC">
              <w:t>disease</w:t>
            </w:r>
          </w:p>
        </w:tc>
      </w:tr>
      <w:tr w:rsidR="009822AF" w14:paraId="2D8C2C1D" w14:textId="77777777" w:rsidTr="005758B8">
        <w:trPr>
          <w:jc w:val="center"/>
        </w:trPr>
        <w:tc>
          <w:tcPr>
            <w:tcW w:w="1439" w:type="pct"/>
          </w:tcPr>
          <w:p w14:paraId="2D8C2C1A" w14:textId="77777777" w:rsidR="009822AF" w:rsidRDefault="009822AF" w:rsidP="00842443">
            <w:pPr>
              <w:spacing w:line="240" w:lineRule="auto"/>
              <w:jc w:val="left"/>
            </w:pPr>
            <w:r>
              <w:t>Left main stem disease</w:t>
            </w:r>
          </w:p>
        </w:tc>
        <w:tc>
          <w:tcPr>
            <w:tcW w:w="1935" w:type="pct"/>
          </w:tcPr>
          <w:p w14:paraId="2D8C2C1B" w14:textId="77777777" w:rsidR="009822AF" w:rsidRDefault="009822AF" w:rsidP="00842443">
            <w:pPr>
              <w:spacing w:line="240" w:lineRule="auto"/>
              <w:jc w:val="left"/>
            </w:pPr>
            <w:r>
              <w:t>Left main stem disease with &gt;50% diameter stenosis</w:t>
            </w:r>
          </w:p>
        </w:tc>
        <w:tc>
          <w:tcPr>
            <w:tcW w:w="1626" w:type="pct"/>
          </w:tcPr>
          <w:p w14:paraId="2D8C2C1C" w14:textId="77777777" w:rsidR="009822AF" w:rsidRDefault="009822AF" w:rsidP="00842443">
            <w:pPr>
              <w:spacing w:line="240" w:lineRule="auto"/>
              <w:jc w:val="left"/>
            </w:pPr>
            <w:r w:rsidRPr="00923AAC">
              <w:t>6.10</w:t>
            </w:r>
            <w:r>
              <w:t xml:space="preserve"> </w:t>
            </w:r>
            <w:r w:rsidRPr="00923AAC">
              <w:t>Left</w:t>
            </w:r>
            <w:r>
              <w:t xml:space="preserve"> </w:t>
            </w:r>
            <w:r w:rsidRPr="00923AAC">
              <w:t>main</w:t>
            </w:r>
            <w:r>
              <w:t xml:space="preserve"> stem </w:t>
            </w:r>
            <w:r w:rsidRPr="00923AAC">
              <w:t>disease</w:t>
            </w:r>
          </w:p>
        </w:tc>
      </w:tr>
      <w:tr w:rsidR="009822AF" w14:paraId="2D8C2C21" w14:textId="77777777" w:rsidTr="005758B8">
        <w:trPr>
          <w:jc w:val="center"/>
        </w:trPr>
        <w:tc>
          <w:tcPr>
            <w:tcW w:w="1439" w:type="pct"/>
          </w:tcPr>
          <w:p w14:paraId="2D8C2C1E" w14:textId="77777777" w:rsidR="009822AF" w:rsidRDefault="009822AF" w:rsidP="00842443">
            <w:pPr>
              <w:spacing w:line="240" w:lineRule="auto"/>
              <w:jc w:val="left"/>
            </w:pPr>
            <w:r>
              <w:lastRenderedPageBreak/>
              <w:t>Non-elective procedure</w:t>
            </w:r>
          </w:p>
        </w:tc>
        <w:tc>
          <w:tcPr>
            <w:tcW w:w="1935" w:type="pct"/>
          </w:tcPr>
          <w:p w14:paraId="2D8C2C1F" w14:textId="07E08306" w:rsidR="009822AF" w:rsidRDefault="009822AF" w:rsidP="000B13DD">
            <w:pPr>
              <w:spacing w:line="240" w:lineRule="auto"/>
              <w:jc w:val="left"/>
            </w:pPr>
            <w:r>
              <w:t>Any procedure that was</w:t>
            </w:r>
            <w:r w:rsidR="000B13DD">
              <w:t xml:space="preserve"> (1)</w:t>
            </w:r>
            <w:r>
              <w:t xml:space="preserve"> urgent</w:t>
            </w:r>
            <w:r w:rsidR="000B13DD">
              <w:t xml:space="preserve">, or (2) </w:t>
            </w:r>
            <w:r>
              <w:t>emergency</w:t>
            </w:r>
            <w:r w:rsidR="000B13DD">
              <w:t>,</w:t>
            </w:r>
            <w:r>
              <w:t xml:space="preserve"> or</w:t>
            </w:r>
            <w:r w:rsidR="000B13DD">
              <w:t xml:space="preserve"> (3)</w:t>
            </w:r>
            <w:r>
              <w:t xml:space="preserve"> salvage</w:t>
            </w:r>
          </w:p>
        </w:tc>
        <w:tc>
          <w:tcPr>
            <w:tcW w:w="1626" w:type="pct"/>
          </w:tcPr>
          <w:p w14:paraId="2D8C2C20" w14:textId="77777777" w:rsidR="009822AF" w:rsidRDefault="009822AF" w:rsidP="00842443">
            <w:pPr>
              <w:spacing w:line="240" w:lineRule="auto"/>
              <w:jc w:val="left"/>
            </w:pPr>
            <w:r w:rsidRPr="00923AAC">
              <w:t>7.06</w:t>
            </w:r>
            <w:r>
              <w:t xml:space="preserve"> </w:t>
            </w:r>
            <w:r w:rsidRPr="00923AAC">
              <w:t>Procedure</w:t>
            </w:r>
            <w:r>
              <w:t xml:space="preserve"> </w:t>
            </w:r>
            <w:r w:rsidRPr="00923AAC">
              <w:t>urgency</w:t>
            </w:r>
          </w:p>
        </w:tc>
      </w:tr>
      <w:tr w:rsidR="009822AF" w14:paraId="2D8C2C25" w14:textId="77777777" w:rsidTr="005758B8">
        <w:trPr>
          <w:jc w:val="center"/>
        </w:trPr>
        <w:tc>
          <w:tcPr>
            <w:tcW w:w="1439" w:type="pct"/>
          </w:tcPr>
          <w:p w14:paraId="2D8C2C22" w14:textId="77777777" w:rsidR="009822AF" w:rsidRDefault="009822AF" w:rsidP="00842443">
            <w:pPr>
              <w:spacing w:line="240" w:lineRule="auto"/>
              <w:jc w:val="left"/>
            </w:pPr>
            <w:r>
              <w:t>Non-transfemoral access</w:t>
            </w:r>
          </w:p>
        </w:tc>
        <w:tc>
          <w:tcPr>
            <w:tcW w:w="1935" w:type="pct"/>
          </w:tcPr>
          <w:p w14:paraId="2D8C2C23" w14:textId="77777777" w:rsidR="009822AF" w:rsidRDefault="009822AF" w:rsidP="00842443">
            <w:pPr>
              <w:spacing w:line="240" w:lineRule="auto"/>
              <w:jc w:val="left"/>
            </w:pPr>
            <w:r>
              <w:t xml:space="preserve">Any access route </w:t>
            </w:r>
            <w:r w:rsidRPr="000B13DD">
              <w:rPr>
                <w:b/>
                <w:u w:val="single"/>
              </w:rPr>
              <w:t>other than</w:t>
            </w:r>
            <w:r>
              <w:t xml:space="preserve"> </w:t>
            </w:r>
            <w:r w:rsidRPr="00923AAC">
              <w:t>Femoral</w:t>
            </w:r>
            <w:r>
              <w:t xml:space="preserve"> (</w:t>
            </w:r>
            <w:r w:rsidRPr="00923AAC">
              <w:t>percutaneous</w:t>
            </w:r>
            <w:r>
              <w:t>) or Femoral (</w:t>
            </w:r>
            <w:r w:rsidRPr="00923AAC">
              <w:t>surgical</w:t>
            </w:r>
            <w:r>
              <w:t>)</w:t>
            </w:r>
          </w:p>
        </w:tc>
        <w:tc>
          <w:tcPr>
            <w:tcW w:w="1626" w:type="pct"/>
          </w:tcPr>
          <w:p w14:paraId="2D8C2C24" w14:textId="77777777" w:rsidR="009822AF" w:rsidRDefault="009822AF" w:rsidP="00842443">
            <w:pPr>
              <w:spacing w:line="240" w:lineRule="auto"/>
              <w:jc w:val="left"/>
            </w:pPr>
            <w:r w:rsidRPr="00923AAC">
              <w:t>7.10</w:t>
            </w:r>
            <w:r>
              <w:t xml:space="preserve"> </w:t>
            </w:r>
            <w:r w:rsidRPr="00923AAC">
              <w:t>Delivery</w:t>
            </w:r>
            <w:r>
              <w:t xml:space="preserve"> </w:t>
            </w:r>
            <w:r w:rsidRPr="00923AAC">
              <w:t>approach</w:t>
            </w:r>
          </w:p>
        </w:tc>
      </w:tr>
    </w:tbl>
    <w:p w14:paraId="2D8C2C26" w14:textId="0EE6CD89" w:rsidR="009822AF" w:rsidRPr="00AB0B08" w:rsidRDefault="00AB0B08" w:rsidP="00AB0B08">
      <w:pPr>
        <w:spacing w:line="276" w:lineRule="auto"/>
        <w:jc w:val="center"/>
      </w:pPr>
      <w:r>
        <w:t xml:space="preserve">*: </w:t>
      </w:r>
      <w:r w:rsidRPr="00AB0B08">
        <w:t>GFR (mL/min/1.73 m</w:t>
      </w:r>
      <w:r w:rsidRPr="00AB0B08">
        <w:rPr>
          <w:vertAlign w:val="superscript"/>
        </w:rPr>
        <w:t>2</w:t>
      </w:r>
      <w:r>
        <w:t>) = 175 x (</w:t>
      </w:r>
      <w:r w:rsidRPr="00AB0B08">
        <w:t>Serum creatinine</w:t>
      </w:r>
      <w:r>
        <w:t xml:space="preserve"> [</w:t>
      </w:r>
      <w:r w:rsidRPr="00AB0B08">
        <w:t>mg/</w:t>
      </w:r>
      <w:proofErr w:type="spellStart"/>
      <w:r w:rsidRPr="00AB0B08">
        <w:t>dL</w:t>
      </w:r>
      <w:proofErr w:type="spellEnd"/>
      <w:r>
        <w:t>]</w:t>
      </w:r>
      <w:r w:rsidRPr="00AB0B08">
        <w:t>)</w:t>
      </w:r>
      <w:r w:rsidRPr="00AB0B08">
        <w:rPr>
          <w:vertAlign w:val="superscript"/>
        </w:rPr>
        <w:t>-1.154</w:t>
      </w:r>
      <w:r w:rsidRPr="00AB0B08">
        <w:t> x (Age)</w:t>
      </w:r>
      <w:r w:rsidRPr="00AB0B08">
        <w:rPr>
          <w:vertAlign w:val="superscript"/>
        </w:rPr>
        <w:t>-0.203</w:t>
      </w:r>
      <w:r w:rsidRPr="00AB0B08">
        <w:t xml:space="preserve"> x (0.742 if female) x (1.212 if </w:t>
      </w:r>
      <w:r w:rsidR="005167A4">
        <w:t>ethnic origin recorded as “other” in UK TAVI registry</w:t>
      </w:r>
      <w:r>
        <w:t>)</w:t>
      </w:r>
    </w:p>
    <w:p w14:paraId="4E6DC7B1" w14:textId="77777777" w:rsidR="00230802" w:rsidRDefault="00230802" w:rsidP="00E46123">
      <w:pPr>
        <w:spacing w:line="276" w:lineRule="auto"/>
        <w:sectPr w:rsidR="00230802" w:rsidSect="005758B8">
          <w:pgSz w:w="16838" w:h="11906" w:orient="landscape"/>
          <w:pgMar w:top="1440" w:right="1440" w:bottom="1440" w:left="1440" w:header="708" w:footer="708" w:gutter="0"/>
          <w:cols w:space="708"/>
          <w:docGrid w:linePitch="360"/>
        </w:sectPr>
      </w:pPr>
    </w:p>
    <w:p w14:paraId="38C115BB" w14:textId="0F5D0BD1" w:rsidR="00230802" w:rsidRDefault="00230802" w:rsidP="00230802">
      <w:pPr>
        <w:spacing w:line="276" w:lineRule="auto"/>
      </w:pPr>
      <w:r>
        <w:rPr>
          <w:b/>
        </w:rPr>
        <w:lastRenderedPageBreak/>
        <w:t xml:space="preserve">Supplementary Table 2: </w:t>
      </w:r>
      <w:r w:rsidRPr="00230802">
        <w:t>Apparent m</w:t>
      </w:r>
      <w:r>
        <w:t>odel performance across empirical quantiles of predicted risk from the UK-TAVI CPM.</w:t>
      </w:r>
    </w:p>
    <w:tbl>
      <w:tblPr>
        <w:tblStyle w:val="TableGrid"/>
        <w:tblW w:w="0" w:type="auto"/>
        <w:tblLook w:val="04A0" w:firstRow="1" w:lastRow="0" w:firstColumn="1" w:lastColumn="0" w:noHBand="0" w:noVBand="1"/>
      </w:tblPr>
      <w:tblGrid>
        <w:gridCol w:w="2254"/>
        <w:gridCol w:w="2254"/>
        <w:gridCol w:w="2254"/>
        <w:gridCol w:w="2254"/>
      </w:tblGrid>
      <w:tr w:rsidR="00230802" w14:paraId="0FCCC95B" w14:textId="77777777" w:rsidTr="00B771A4">
        <w:tc>
          <w:tcPr>
            <w:tcW w:w="2254" w:type="dxa"/>
          </w:tcPr>
          <w:p w14:paraId="05766708" w14:textId="5E684A6C" w:rsidR="00230802" w:rsidRPr="00F661D1" w:rsidRDefault="00230802" w:rsidP="005E43F2">
            <w:pPr>
              <w:spacing w:line="276" w:lineRule="auto"/>
              <w:jc w:val="left"/>
              <w:rPr>
                <w:b/>
              </w:rPr>
            </w:pPr>
            <w:r>
              <w:rPr>
                <w:b/>
              </w:rPr>
              <w:t>Quartile (predicted risk range)</w:t>
            </w:r>
          </w:p>
        </w:tc>
        <w:tc>
          <w:tcPr>
            <w:tcW w:w="2254" w:type="dxa"/>
          </w:tcPr>
          <w:p w14:paraId="2A5B422C" w14:textId="77777777" w:rsidR="00230802" w:rsidRPr="00F661D1" w:rsidRDefault="00230802" w:rsidP="005E43F2">
            <w:pPr>
              <w:spacing w:line="276" w:lineRule="auto"/>
              <w:jc w:val="center"/>
              <w:rPr>
                <w:b/>
              </w:rPr>
            </w:pPr>
            <w:r>
              <w:rPr>
                <w:b/>
              </w:rPr>
              <w:t>Calibration Intercept (95% CI)</w:t>
            </w:r>
          </w:p>
        </w:tc>
        <w:tc>
          <w:tcPr>
            <w:tcW w:w="2254" w:type="dxa"/>
          </w:tcPr>
          <w:p w14:paraId="0A066888" w14:textId="77777777" w:rsidR="00230802" w:rsidRPr="00F661D1" w:rsidRDefault="00230802" w:rsidP="005E43F2">
            <w:pPr>
              <w:spacing w:line="276" w:lineRule="auto"/>
              <w:jc w:val="center"/>
              <w:rPr>
                <w:b/>
              </w:rPr>
            </w:pPr>
            <w:r w:rsidRPr="00F661D1">
              <w:rPr>
                <w:b/>
              </w:rPr>
              <w:t>Calibration Slope (95% CI)</w:t>
            </w:r>
          </w:p>
        </w:tc>
        <w:tc>
          <w:tcPr>
            <w:tcW w:w="2254" w:type="dxa"/>
          </w:tcPr>
          <w:p w14:paraId="32E4D504" w14:textId="77777777" w:rsidR="00230802" w:rsidRPr="00F661D1" w:rsidRDefault="00230802" w:rsidP="005E43F2">
            <w:pPr>
              <w:spacing w:line="276" w:lineRule="auto"/>
              <w:jc w:val="center"/>
              <w:rPr>
                <w:b/>
              </w:rPr>
            </w:pPr>
            <w:r w:rsidRPr="00F661D1">
              <w:rPr>
                <w:b/>
              </w:rPr>
              <w:t>AUC (95% CI)</w:t>
            </w:r>
          </w:p>
        </w:tc>
      </w:tr>
      <w:tr w:rsidR="00230802" w14:paraId="759129D6" w14:textId="77777777" w:rsidTr="00B771A4">
        <w:tc>
          <w:tcPr>
            <w:tcW w:w="2254" w:type="dxa"/>
          </w:tcPr>
          <w:p w14:paraId="3E5565CD" w14:textId="35B6E03D" w:rsidR="00230802" w:rsidRDefault="00230802" w:rsidP="005E43F2">
            <w:pPr>
              <w:spacing w:line="276" w:lineRule="auto"/>
            </w:pPr>
            <w:r>
              <w:t>1</w:t>
            </w:r>
            <w:r w:rsidRPr="00230802">
              <w:rPr>
                <w:vertAlign w:val="superscript"/>
              </w:rPr>
              <w:t>st</w:t>
            </w:r>
            <w:r>
              <w:t xml:space="preserve"> (0% - 2.07%)</w:t>
            </w:r>
          </w:p>
        </w:tc>
        <w:tc>
          <w:tcPr>
            <w:tcW w:w="2254" w:type="dxa"/>
          </w:tcPr>
          <w:p w14:paraId="6D2F36B9" w14:textId="6636126E" w:rsidR="00230802" w:rsidRDefault="00230802" w:rsidP="005E43F2">
            <w:pPr>
              <w:spacing w:line="276" w:lineRule="auto"/>
              <w:jc w:val="center"/>
            </w:pPr>
            <w:r>
              <w:t>0.04 (-0.54, 0.62)</w:t>
            </w:r>
          </w:p>
        </w:tc>
        <w:tc>
          <w:tcPr>
            <w:tcW w:w="2254" w:type="dxa"/>
          </w:tcPr>
          <w:p w14:paraId="47533B76" w14:textId="436DE053" w:rsidR="00230802" w:rsidRDefault="00230802" w:rsidP="005E43F2">
            <w:pPr>
              <w:spacing w:line="276" w:lineRule="auto"/>
              <w:jc w:val="center"/>
            </w:pPr>
            <w:r>
              <w:t>2.33 (-1.39, 6.05)</w:t>
            </w:r>
          </w:p>
        </w:tc>
        <w:tc>
          <w:tcPr>
            <w:tcW w:w="2254" w:type="dxa"/>
          </w:tcPr>
          <w:p w14:paraId="5F1CF934" w14:textId="6943AC3D" w:rsidR="00230802" w:rsidRDefault="00230802" w:rsidP="005E43F2">
            <w:pPr>
              <w:spacing w:line="276" w:lineRule="auto"/>
              <w:jc w:val="center"/>
            </w:pPr>
            <w:r>
              <w:t>0.60 (0.45, 0.75)</w:t>
            </w:r>
          </w:p>
        </w:tc>
      </w:tr>
      <w:tr w:rsidR="00230802" w14:paraId="0CDE9C37" w14:textId="77777777" w:rsidTr="00B771A4">
        <w:tc>
          <w:tcPr>
            <w:tcW w:w="2254" w:type="dxa"/>
          </w:tcPr>
          <w:p w14:paraId="5CFEF0CD" w14:textId="43C56438" w:rsidR="00230802" w:rsidRDefault="00230802" w:rsidP="005E43F2">
            <w:pPr>
              <w:spacing w:line="276" w:lineRule="auto"/>
            </w:pPr>
            <w:r>
              <w:t>2</w:t>
            </w:r>
            <w:r w:rsidRPr="00230802">
              <w:rPr>
                <w:vertAlign w:val="superscript"/>
              </w:rPr>
              <w:t>nd</w:t>
            </w:r>
            <w:r>
              <w:t xml:space="preserve"> (2.07% - 2.89%)</w:t>
            </w:r>
          </w:p>
        </w:tc>
        <w:tc>
          <w:tcPr>
            <w:tcW w:w="2254" w:type="dxa"/>
          </w:tcPr>
          <w:p w14:paraId="3B68BE44" w14:textId="2737F406" w:rsidR="00230802" w:rsidRPr="00CF04D2" w:rsidRDefault="00230802" w:rsidP="005E43F2">
            <w:pPr>
              <w:spacing w:line="276" w:lineRule="auto"/>
              <w:jc w:val="center"/>
            </w:pPr>
            <w:r>
              <w:t>-0.13 (-0.65, 0.39)</w:t>
            </w:r>
          </w:p>
        </w:tc>
        <w:tc>
          <w:tcPr>
            <w:tcW w:w="2254" w:type="dxa"/>
          </w:tcPr>
          <w:p w14:paraId="3C580FB8" w14:textId="289963A5" w:rsidR="00230802" w:rsidRPr="00CF04D2" w:rsidRDefault="00230802" w:rsidP="005E43F2">
            <w:pPr>
              <w:spacing w:line="276" w:lineRule="auto"/>
              <w:jc w:val="center"/>
            </w:pPr>
            <w:r>
              <w:t>4.32 (-1.05, 9.69)</w:t>
            </w:r>
          </w:p>
        </w:tc>
        <w:tc>
          <w:tcPr>
            <w:tcW w:w="2254" w:type="dxa"/>
          </w:tcPr>
          <w:p w14:paraId="195FD798" w14:textId="0676B45A" w:rsidR="00230802" w:rsidRPr="00CF04D2" w:rsidRDefault="00230802" w:rsidP="005E43F2">
            <w:pPr>
              <w:spacing w:line="276" w:lineRule="auto"/>
              <w:jc w:val="center"/>
            </w:pPr>
            <w:r>
              <w:t>0.63 (0.50, 0.77)</w:t>
            </w:r>
          </w:p>
        </w:tc>
      </w:tr>
      <w:tr w:rsidR="00230802" w14:paraId="253860F3" w14:textId="77777777" w:rsidTr="00B771A4">
        <w:tc>
          <w:tcPr>
            <w:tcW w:w="2254" w:type="dxa"/>
          </w:tcPr>
          <w:p w14:paraId="4D99D9F2" w14:textId="06A28CF1" w:rsidR="00230802" w:rsidRDefault="00230802" w:rsidP="005E43F2">
            <w:pPr>
              <w:spacing w:line="276" w:lineRule="auto"/>
            </w:pPr>
            <w:r>
              <w:t>3</w:t>
            </w:r>
            <w:r w:rsidRPr="00230802">
              <w:rPr>
                <w:vertAlign w:val="superscript"/>
              </w:rPr>
              <w:t>rd</w:t>
            </w:r>
            <w:r>
              <w:t xml:space="preserve"> (2.98% - 4.84%)</w:t>
            </w:r>
          </w:p>
        </w:tc>
        <w:tc>
          <w:tcPr>
            <w:tcW w:w="2254" w:type="dxa"/>
          </w:tcPr>
          <w:p w14:paraId="224AECB0" w14:textId="12F186B0" w:rsidR="00230802" w:rsidRPr="00CF04D2" w:rsidRDefault="00230802" w:rsidP="005E43F2">
            <w:pPr>
              <w:spacing w:line="276" w:lineRule="auto"/>
              <w:jc w:val="center"/>
            </w:pPr>
            <w:r>
              <w:t>0.18 (-0.20, 0.55)</w:t>
            </w:r>
          </w:p>
        </w:tc>
        <w:tc>
          <w:tcPr>
            <w:tcW w:w="2254" w:type="dxa"/>
          </w:tcPr>
          <w:p w14:paraId="2F66D243" w14:textId="49D36694" w:rsidR="00230802" w:rsidRPr="00CF04D2" w:rsidRDefault="00425C93" w:rsidP="005E43F2">
            <w:pPr>
              <w:spacing w:line="276" w:lineRule="auto"/>
              <w:jc w:val="center"/>
            </w:pPr>
            <w:r>
              <w:t>0.90 (-1.65, 3.45)</w:t>
            </w:r>
          </w:p>
        </w:tc>
        <w:tc>
          <w:tcPr>
            <w:tcW w:w="2254" w:type="dxa"/>
          </w:tcPr>
          <w:p w14:paraId="169D2245" w14:textId="4E1324BD" w:rsidR="00230802" w:rsidRDefault="00425C93" w:rsidP="005E43F2">
            <w:pPr>
              <w:spacing w:line="276" w:lineRule="auto"/>
              <w:jc w:val="center"/>
            </w:pPr>
            <w:r>
              <w:t>0.54 (0.44, 0.64)</w:t>
            </w:r>
          </w:p>
        </w:tc>
      </w:tr>
      <w:tr w:rsidR="00230802" w14:paraId="1656270E" w14:textId="77777777" w:rsidTr="00B771A4">
        <w:tc>
          <w:tcPr>
            <w:tcW w:w="2254" w:type="dxa"/>
          </w:tcPr>
          <w:p w14:paraId="07159CFD" w14:textId="2505AFCD" w:rsidR="00230802" w:rsidRDefault="00230802" w:rsidP="005E43F2">
            <w:pPr>
              <w:spacing w:line="276" w:lineRule="auto"/>
            </w:pPr>
            <w:r>
              <w:t>4</w:t>
            </w:r>
            <w:r w:rsidRPr="00230802">
              <w:rPr>
                <w:vertAlign w:val="superscript"/>
              </w:rPr>
              <w:t>th</w:t>
            </w:r>
            <w:r>
              <w:t xml:space="preserve"> (4.84% - 44.4%)</w:t>
            </w:r>
          </w:p>
        </w:tc>
        <w:tc>
          <w:tcPr>
            <w:tcW w:w="2254" w:type="dxa"/>
          </w:tcPr>
          <w:p w14:paraId="63345CCA" w14:textId="4F7552DB" w:rsidR="00230802" w:rsidRPr="00CF04D2" w:rsidRDefault="00425C93" w:rsidP="005E43F2">
            <w:pPr>
              <w:spacing w:line="276" w:lineRule="auto"/>
              <w:jc w:val="center"/>
            </w:pPr>
            <w:r>
              <w:t>-0.06 (-0.33, 0.21)</w:t>
            </w:r>
          </w:p>
        </w:tc>
        <w:tc>
          <w:tcPr>
            <w:tcW w:w="2254" w:type="dxa"/>
          </w:tcPr>
          <w:p w14:paraId="6AD8AB24" w14:textId="62F8807C" w:rsidR="00230802" w:rsidRPr="00CF04D2" w:rsidRDefault="00425C93" w:rsidP="005E43F2">
            <w:pPr>
              <w:spacing w:line="276" w:lineRule="auto"/>
              <w:jc w:val="center"/>
            </w:pPr>
            <w:r>
              <w:t>1.12 (0.60, 1.65)</w:t>
            </w:r>
          </w:p>
        </w:tc>
        <w:tc>
          <w:tcPr>
            <w:tcW w:w="2254" w:type="dxa"/>
          </w:tcPr>
          <w:p w14:paraId="152A644A" w14:textId="72660895" w:rsidR="00230802" w:rsidRDefault="00425C93" w:rsidP="005E43F2">
            <w:pPr>
              <w:spacing w:line="276" w:lineRule="auto"/>
              <w:jc w:val="center"/>
            </w:pPr>
            <w:r>
              <w:t>0.66 (0.59, 0.74)</w:t>
            </w:r>
          </w:p>
        </w:tc>
      </w:tr>
    </w:tbl>
    <w:p w14:paraId="0E952B5B" w14:textId="77777777" w:rsidR="008A48E4" w:rsidRDefault="008A48E4" w:rsidP="00E46123">
      <w:pPr>
        <w:spacing w:line="276" w:lineRule="auto"/>
        <w:sectPr w:rsidR="008A48E4" w:rsidSect="00B771A4">
          <w:pgSz w:w="11906" w:h="16838"/>
          <w:pgMar w:top="1440" w:right="1440" w:bottom="1440" w:left="1440" w:header="708" w:footer="708" w:gutter="0"/>
          <w:cols w:space="708"/>
          <w:docGrid w:linePitch="360"/>
        </w:sectPr>
      </w:pPr>
    </w:p>
    <w:p w14:paraId="6502E2CB" w14:textId="65A00809" w:rsidR="008A48E4" w:rsidRDefault="008A48E4" w:rsidP="008A48E4">
      <w:pPr>
        <w:spacing w:line="276" w:lineRule="auto"/>
      </w:pPr>
      <w:r w:rsidRPr="006F1757">
        <w:rPr>
          <w:b/>
        </w:rPr>
        <w:lastRenderedPageBreak/>
        <w:t xml:space="preserve">Supplementary Table </w:t>
      </w:r>
      <w:r w:rsidR="006F1757" w:rsidRPr="006F1757">
        <w:rPr>
          <w:b/>
        </w:rPr>
        <w:t>3</w:t>
      </w:r>
      <w:r w:rsidRPr="006F1757">
        <w:rPr>
          <w:b/>
        </w:rPr>
        <w:t>:</w:t>
      </w:r>
      <w:r>
        <w:rPr>
          <w:b/>
        </w:rPr>
        <w:t xml:space="preserve"> </w:t>
      </w:r>
      <w:r w:rsidR="006560D0">
        <w:t>Bootstrap corrected</w:t>
      </w:r>
      <w:r w:rsidRPr="00230802">
        <w:t xml:space="preserve"> m</w:t>
      </w:r>
      <w:r>
        <w:t>odel performance</w:t>
      </w:r>
      <w:r w:rsidR="00EE7526">
        <w:t xml:space="preserve"> for the UK-TAVI CPM</w:t>
      </w:r>
      <w:r>
        <w:t xml:space="preserve"> across </w:t>
      </w:r>
      <w:r w:rsidR="00EE7526">
        <w:t>different patient subgroups</w:t>
      </w:r>
      <w:r>
        <w:t>.</w:t>
      </w:r>
    </w:p>
    <w:tbl>
      <w:tblPr>
        <w:tblStyle w:val="TableGrid"/>
        <w:tblW w:w="0" w:type="auto"/>
        <w:tblLook w:val="04A0" w:firstRow="1" w:lastRow="0" w:firstColumn="1" w:lastColumn="0" w:noHBand="0" w:noVBand="1"/>
      </w:tblPr>
      <w:tblGrid>
        <w:gridCol w:w="2254"/>
        <w:gridCol w:w="2254"/>
        <w:gridCol w:w="2254"/>
        <w:gridCol w:w="2254"/>
      </w:tblGrid>
      <w:tr w:rsidR="008A48E4" w14:paraId="553C6EDE" w14:textId="77777777" w:rsidTr="00B771A4">
        <w:tc>
          <w:tcPr>
            <w:tcW w:w="2254" w:type="dxa"/>
          </w:tcPr>
          <w:p w14:paraId="3AC37A8F" w14:textId="4CFFD055" w:rsidR="008A48E4" w:rsidRPr="00F661D1" w:rsidRDefault="008A48E4" w:rsidP="008A48E4">
            <w:pPr>
              <w:spacing w:line="276" w:lineRule="auto"/>
              <w:jc w:val="left"/>
              <w:rPr>
                <w:b/>
              </w:rPr>
            </w:pPr>
            <w:r>
              <w:rPr>
                <w:b/>
              </w:rPr>
              <w:t>Subgroup</w:t>
            </w:r>
          </w:p>
        </w:tc>
        <w:tc>
          <w:tcPr>
            <w:tcW w:w="2254" w:type="dxa"/>
          </w:tcPr>
          <w:p w14:paraId="7841A09B" w14:textId="77777777" w:rsidR="008A48E4" w:rsidRPr="00F661D1" w:rsidRDefault="008A48E4" w:rsidP="00B771A4">
            <w:pPr>
              <w:spacing w:line="276" w:lineRule="auto"/>
              <w:jc w:val="center"/>
              <w:rPr>
                <w:b/>
              </w:rPr>
            </w:pPr>
            <w:r>
              <w:rPr>
                <w:b/>
              </w:rPr>
              <w:t>Calibration Intercept (95% CI)</w:t>
            </w:r>
          </w:p>
        </w:tc>
        <w:tc>
          <w:tcPr>
            <w:tcW w:w="2254" w:type="dxa"/>
          </w:tcPr>
          <w:p w14:paraId="08BB404A" w14:textId="77777777" w:rsidR="008A48E4" w:rsidRPr="00F661D1" w:rsidRDefault="008A48E4" w:rsidP="00B771A4">
            <w:pPr>
              <w:spacing w:line="276" w:lineRule="auto"/>
              <w:jc w:val="center"/>
              <w:rPr>
                <w:b/>
              </w:rPr>
            </w:pPr>
            <w:r w:rsidRPr="00F661D1">
              <w:rPr>
                <w:b/>
              </w:rPr>
              <w:t>Calibration Slope (95% CI)</w:t>
            </w:r>
          </w:p>
        </w:tc>
        <w:tc>
          <w:tcPr>
            <w:tcW w:w="2254" w:type="dxa"/>
          </w:tcPr>
          <w:p w14:paraId="129E129B" w14:textId="77777777" w:rsidR="008A48E4" w:rsidRPr="00F661D1" w:rsidRDefault="008A48E4" w:rsidP="00B771A4">
            <w:pPr>
              <w:spacing w:line="276" w:lineRule="auto"/>
              <w:jc w:val="center"/>
              <w:rPr>
                <w:b/>
              </w:rPr>
            </w:pPr>
            <w:r w:rsidRPr="00F661D1">
              <w:rPr>
                <w:b/>
              </w:rPr>
              <w:t>AUC (95% CI)</w:t>
            </w:r>
          </w:p>
        </w:tc>
      </w:tr>
      <w:tr w:rsidR="008A48E4" w14:paraId="7A663C16" w14:textId="77777777" w:rsidTr="00B771A4">
        <w:tc>
          <w:tcPr>
            <w:tcW w:w="2254" w:type="dxa"/>
          </w:tcPr>
          <w:p w14:paraId="0A761B16" w14:textId="66C3ECD2" w:rsidR="008A48E4" w:rsidRDefault="008A48E4" w:rsidP="008A48E4">
            <w:pPr>
              <w:spacing w:line="276" w:lineRule="auto"/>
              <w:jc w:val="left"/>
            </w:pPr>
            <w:r>
              <w:t>Age</w:t>
            </w:r>
          </w:p>
        </w:tc>
        <w:tc>
          <w:tcPr>
            <w:tcW w:w="2254" w:type="dxa"/>
          </w:tcPr>
          <w:p w14:paraId="6FF9C5B3" w14:textId="0D44AAC8" w:rsidR="008A48E4" w:rsidRDefault="008A48E4" w:rsidP="00B771A4">
            <w:pPr>
              <w:spacing w:line="276" w:lineRule="auto"/>
              <w:jc w:val="center"/>
            </w:pPr>
          </w:p>
        </w:tc>
        <w:tc>
          <w:tcPr>
            <w:tcW w:w="2254" w:type="dxa"/>
          </w:tcPr>
          <w:p w14:paraId="5C225265" w14:textId="405EBB4F" w:rsidR="008A48E4" w:rsidRDefault="008A48E4" w:rsidP="00B771A4">
            <w:pPr>
              <w:spacing w:line="276" w:lineRule="auto"/>
              <w:jc w:val="center"/>
            </w:pPr>
          </w:p>
        </w:tc>
        <w:tc>
          <w:tcPr>
            <w:tcW w:w="2254" w:type="dxa"/>
          </w:tcPr>
          <w:p w14:paraId="2BBFDBF6" w14:textId="0CE821A0" w:rsidR="008A48E4" w:rsidRDefault="008A48E4" w:rsidP="00B771A4">
            <w:pPr>
              <w:spacing w:line="276" w:lineRule="auto"/>
              <w:jc w:val="center"/>
            </w:pPr>
          </w:p>
        </w:tc>
      </w:tr>
      <w:tr w:rsidR="008A48E4" w14:paraId="4BFEE7E7" w14:textId="77777777" w:rsidTr="00B771A4">
        <w:tc>
          <w:tcPr>
            <w:tcW w:w="2254" w:type="dxa"/>
          </w:tcPr>
          <w:p w14:paraId="3F1C2263" w14:textId="2E88388D" w:rsidR="008A48E4" w:rsidRDefault="008A48E4" w:rsidP="008A48E4">
            <w:pPr>
              <w:spacing w:line="276" w:lineRule="auto"/>
              <w:jc w:val="left"/>
            </w:pPr>
            <w:r>
              <w:t xml:space="preserve">    &lt;85 years</w:t>
            </w:r>
          </w:p>
        </w:tc>
        <w:tc>
          <w:tcPr>
            <w:tcW w:w="2254" w:type="dxa"/>
          </w:tcPr>
          <w:p w14:paraId="355FF653" w14:textId="244E07BB" w:rsidR="008A48E4" w:rsidRPr="00CF04D2" w:rsidRDefault="00B771A4" w:rsidP="00B771A4">
            <w:pPr>
              <w:spacing w:line="276" w:lineRule="auto"/>
              <w:jc w:val="center"/>
            </w:pPr>
            <w:r>
              <w:t>0.06 (-0.18, 0.29</w:t>
            </w:r>
            <w:r w:rsidR="008A48E4">
              <w:t>)</w:t>
            </w:r>
          </w:p>
        </w:tc>
        <w:tc>
          <w:tcPr>
            <w:tcW w:w="2254" w:type="dxa"/>
          </w:tcPr>
          <w:p w14:paraId="3D799722" w14:textId="464DB2BB" w:rsidR="008A48E4" w:rsidRPr="00CF04D2" w:rsidRDefault="00B771A4" w:rsidP="00B771A4">
            <w:pPr>
              <w:spacing w:line="276" w:lineRule="auto"/>
              <w:jc w:val="center"/>
            </w:pPr>
            <w:r>
              <w:t>0.86 (0.57, 1.15</w:t>
            </w:r>
            <w:r w:rsidR="008A48E4">
              <w:t>)</w:t>
            </w:r>
          </w:p>
        </w:tc>
        <w:tc>
          <w:tcPr>
            <w:tcW w:w="2254" w:type="dxa"/>
          </w:tcPr>
          <w:p w14:paraId="7CA7CA0A" w14:textId="6F2B1123" w:rsidR="008A48E4" w:rsidRPr="00CF04D2" w:rsidRDefault="00B771A4" w:rsidP="00B771A4">
            <w:pPr>
              <w:spacing w:line="276" w:lineRule="auto"/>
              <w:jc w:val="center"/>
            </w:pPr>
            <w:r>
              <w:t>0.68 (0.62, 0.74</w:t>
            </w:r>
            <w:r w:rsidR="008A48E4">
              <w:t>)</w:t>
            </w:r>
          </w:p>
        </w:tc>
      </w:tr>
      <w:tr w:rsidR="008A48E4" w14:paraId="23FB5B8C" w14:textId="77777777" w:rsidTr="00B771A4">
        <w:tc>
          <w:tcPr>
            <w:tcW w:w="2254" w:type="dxa"/>
          </w:tcPr>
          <w:p w14:paraId="0D1375F1" w14:textId="3AEE347E" w:rsidR="008A48E4" w:rsidRDefault="008A48E4" w:rsidP="008A48E4">
            <w:pPr>
              <w:spacing w:line="276" w:lineRule="auto"/>
              <w:jc w:val="left"/>
            </w:pPr>
            <w:r>
              <w:t xml:space="preserve">    ≥85 years</w:t>
            </w:r>
          </w:p>
        </w:tc>
        <w:tc>
          <w:tcPr>
            <w:tcW w:w="2254" w:type="dxa"/>
          </w:tcPr>
          <w:p w14:paraId="3EA05D0B" w14:textId="64E6FE29" w:rsidR="008A48E4" w:rsidRPr="00CF04D2" w:rsidRDefault="00B771A4" w:rsidP="00B771A4">
            <w:pPr>
              <w:spacing w:line="276" w:lineRule="auto"/>
              <w:jc w:val="center"/>
            </w:pPr>
            <w:r>
              <w:t>-0.04 (-0.34, 0.25</w:t>
            </w:r>
            <w:r w:rsidR="008A48E4">
              <w:t>)</w:t>
            </w:r>
          </w:p>
        </w:tc>
        <w:tc>
          <w:tcPr>
            <w:tcW w:w="2254" w:type="dxa"/>
          </w:tcPr>
          <w:p w14:paraId="291E3535" w14:textId="4C9A9110" w:rsidR="008A48E4" w:rsidRPr="00CF04D2" w:rsidRDefault="00B771A4" w:rsidP="00B771A4">
            <w:pPr>
              <w:spacing w:line="276" w:lineRule="auto"/>
              <w:jc w:val="center"/>
            </w:pPr>
            <w:r>
              <w:t>0.64 (0.22, 1.06</w:t>
            </w:r>
            <w:r w:rsidR="008A48E4">
              <w:t>)</w:t>
            </w:r>
          </w:p>
        </w:tc>
        <w:tc>
          <w:tcPr>
            <w:tcW w:w="2254" w:type="dxa"/>
          </w:tcPr>
          <w:p w14:paraId="06EBED4D" w14:textId="26614B3F" w:rsidR="008A48E4" w:rsidRDefault="00B771A4" w:rsidP="00B771A4">
            <w:pPr>
              <w:spacing w:line="276" w:lineRule="auto"/>
              <w:jc w:val="center"/>
            </w:pPr>
            <w:r>
              <w:t>0.61 (0.53, 0.70</w:t>
            </w:r>
            <w:r w:rsidR="008A48E4">
              <w:t>)</w:t>
            </w:r>
          </w:p>
        </w:tc>
      </w:tr>
      <w:tr w:rsidR="008A48E4" w14:paraId="5F21A0FF" w14:textId="77777777" w:rsidTr="00B771A4">
        <w:tc>
          <w:tcPr>
            <w:tcW w:w="2254" w:type="dxa"/>
          </w:tcPr>
          <w:p w14:paraId="7CF3C2A7" w14:textId="03929F4D" w:rsidR="008A48E4" w:rsidRDefault="008A48E4" w:rsidP="008A48E4">
            <w:pPr>
              <w:spacing w:line="276" w:lineRule="auto"/>
              <w:jc w:val="left"/>
            </w:pPr>
            <w:r>
              <w:t>Sex</w:t>
            </w:r>
          </w:p>
        </w:tc>
        <w:tc>
          <w:tcPr>
            <w:tcW w:w="2254" w:type="dxa"/>
          </w:tcPr>
          <w:p w14:paraId="2E7F74BC" w14:textId="04E6ADF9" w:rsidR="008A48E4" w:rsidRPr="00CF04D2" w:rsidRDefault="008A48E4" w:rsidP="00B771A4">
            <w:pPr>
              <w:spacing w:line="276" w:lineRule="auto"/>
              <w:jc w:val="center"/>
            </w:pPr>
          </w:p>
        </w:tc>
        <w:tc>
          <w:tcPr>
            <w:tcW w:w="2254" w:type="dxa"/>
          </w:tcPr>
          <w:p w14:paraId="6AAE11B5" w14:textId="6F395109" w:rsidR="008A48E4" w:rsidRPr="00CF04D2" w:rsidRDefault="008A48E4" w:rsidP="00B771A4">
            <w:pPr>
              <w:spacing w:line="276" w:lineRule="auto"/>
              <w:jc w:val="center"/>
            </w:pPr>
          </w:p>
        </w:tc>
        <w:tc>
          <w:tcPr>
            <w:tcW w:w="2254" w:type="dxa"/>
          </w:tcPr>
          <w:p w14:paraId="32EA3C8C" w14:textId="4C90EF4E" w:rsidR="008A48E4" w:rsidRDefault="008A48E4" w:rsidP="00B771A4">
            <w:pPr>
              <w:spacing w:line="276" w:lineRule="auto"/>
              <w:jc w:val="center"/>
            </w:pPr>
          </w:p>
        </w:tc>
      </w:tr>
      <w:tr w:rsidR="008A48E4" w14:paraId="124A46B6" w14:textId="77777777" w:rsidTr="00B771A4">
        <w:tc>
          <w:tcPr>
            <w:tcW w:w="2254" w:type="dxa"/>
          </w:tcPr>
          <w:p w14:paraId="390FBC97" w14:textId="5F60933F" w:rsidR="008A48E4" w:rsidRDefault="008A48E4" w:rsidP="008A48E4">
            <w:pPr>
              <w:spacing w:line="276" w:lineRule="auto"/>
              <w:jc w:val="left"/>
            </w:pPr>
            <w:r>
              <w:t xml:space="preserve">    Male</w:t>
            </w:r>
          </w:p>
        </w:tc>
        <w:tc>
          <w:tcPr>
            <w:tcW w:w="2254" w:type="dxa"/>
          </w:tcPr>
          <w:p w14:paraId="2BC2D17D" w14:textId="431DAB8C" w:rsidR="008A48E4" w:rsidRPr="00CF04D2" w:rsidRDefault="00B771A4" w:rsidP="00B771A4">
            <w:pPr>
              <w:spacing w:line="276" w:lineRule="auto"/>
              <w:jc w:val="center"/>
            </w:pPr>
            <w:r>
              <w:t>0.06 (-0.20, 0.31</w:t>
            </w:r>
            <w:r w:rsidR="008A48E4">
              <w:t>)</w:t>
            </w:r>
          </w:p>
        </w:tc>
        <w:tc>
          <w:tcPr>
            <w:tcW w:w="2254" w:type="dxa"/>
          </w:tcPr>
          <w:p w14:paraId="6BEB70B7" w14:textId="6E49E3E1" w:rsidR="008A48E4" w:rsidRPr="00CF04D2" w:rsidRDefault="00B771A4" w:rsidP="00B771A4">
            <w:pPr>
              <w:spacing w:line="276" w:lineRule="auto"/>
              <w:jc w:val="center"/>
            </w:pPr>
            <w:r>
              <w:t>0.92 (0.59, 1.24</w:t>
            </w:r>
            <w:r w:rsidR="008A48E4">
              <w:t>)</w:t>
            </w:r>
          </w:p>
        </w:tc>
        <w:tc>
          <w:tcPr>
            <w:tcW w:w="2254" w:type="dxa"/>
          </w:tcPr>
          <w:p w14:paraId="4250012F" w14:textId="05EFFCD6" w:rsidR="008A48E4" w:rsidRDefault="00B771A4" w:rsidP="00B771A4">
            <w:pPr>
              <w:spacing w:line="276" w:lineRule="auto"/>
              <w:jc w:val="center"/>
            </w:pPr>
            <w:r>
              <w:t>0.68 (0.61, 0.75</w:t>
            </w:r>
            <w:r w:rsidR="008A48E4">
              <w:t>)</w:t>
            </w:r>
          </w:p>
        </w:tc>
      </w:tr>
      <w:tr w:rsidR="008A48E4" w14:paraId="51ADB562" w14:textId="77777777" w:rsidTr="00B771A4">
        <w:tc>
          <w:tcPr>
            <w:tcW w:w="2254" w:type="dxa"/>
          </w:tcPr>
          <w:p w14:paraId="1771BC12" w14:textId="16FDD10C" w:rsidR="008A48E4" w:rsidRDefault="008A48E4" w:rsidP="008A48E4">
            <w:pPr>
              <w:spacing w:line="276" w:lineRule="auto"/>
              <w:jc w:val="left"/>
            </w:pPr>
            <w:r>
              <w:t xml:space="preserve">    Female</w:t>
            </w:r>
          </w:p>
        </w:tc>
        <w:tc>
          <w:tcPr>
            <w:tcW w:w="2254" w:type="dxa"/>
          </w:tcPr>
          <w:p w14:paraId="0148ADAC" w14:textId="4B1650D5" w:rsidR="008A48E4" w:rsidRPr="00CF04D2" w:rsidRDefault="00B771A4" w:rsidP="00B771A4">
            <w:pPr>
              <w:spacing w:line="276" w:lineRule="auto"/>
              <w:jc w:val="center"/>
            </w:pPr>
            <w:r>
              <w:t>-0.03 (-0.29, 0.24</w:t>
            </w:r>
            <w:r w:rsidR="008A48E4">
              <w:t>)</w:t>
            </w:r>
          </w:p>
        </w:tc>
        <w:tc>
          <w:tcPr>
            <w:tcW w:w="2254" w:type="dxa"/>
          </w:tcPr>
          <w:p w14:paraId="5C3B5CA0" w14:textId="0E315441" w:rsidR="008A48E4" w:rsidRPr="00CF04D2" w:rsidRDefault="00B771A4" w:rsidP="00B771A4">
            <w:pPr>
              <w:spacing w:line="276" w:lineRule="auto"/>
              <w:jc w:val="center"/>
            </w:pPr>
            <w:r>
              <w:t>0.65 (0.30, 1.01</w:t>
            </w:r>
            <w:r w:rsidR="008A48E4">
              <w:t>)</w:t>
            </w:r>
          </w:p>
        </w:tc>
        <w:tc>
          <w:tcPr>
            <w:tcW w:w="2254" w:type="dxa"/>
          </w:tcPr>
          <w:p w14:paraId="6C5D485B" w14:textId="3E245B0E" w:rsidR="008A48E4" w:rsidRDefault="00B771A4" w:rsidP="00B771A4">
            <w:pPr>
              <w:spacing w:line="276" w:lineRule="auto"/>
              <w:jc w:val="center"/>
            </w:pPr>
            <w:r>
              <w:t>0.63 (0.56, 0.70</w:t>
            </w:r>
            <w:r w:rsidR="008A48E4">
              <w:t>)</w:t>
            </w:r>
          </w:p>
        </w:tc>
      </w:tr>
      <w:tr w:rsidR="008A48E4" w14:paraId="3BC1D50C" w14:textId="77777777" w:rsidTr="00B771A4">
        <w:tc>
          <w:tcPr>
            <w:tcW w:w="2254" w:type="dxa"/>
          </w:tcPr>
          <w:p w14:paraId="3EF92F8C" w14:textId="54116226" w:rsidR="008A48E4" w:rsidRDefault="008A48E4" w:rsidP="008A48E4">
            <w:pPr>
              <w:spacing w:line="276" w:lineRule="auto"/>
              <w:jc w:val="left"/>
            </w:pPr>
            <w:r>
              <w:t>Renal Failure</w:t>
            </w:r>
          </w:p>
        </w:tc>
        <w:tc>
          <w:tcPr>
            <w:tcW w:w="2254" w:type="dxa"/>
          </w:tcPr>
          <w:p w14:paraId="78A1E5E6" w14:textId="77777777" w:rsidR="008A48E4" w:rsidRPr="00CF04D2" w:rsidRDefault="008A48E4" w:rsidP="00B771A4">
            <w:pPr>
              <w:spacing w:line="276" w:lineRule="auto"/>
              <w:jc w:val="center"/>
            </w:pPr>
          </w:p>
        </w:tc>
        <w:tc>
          <w:tcPr>
            <w:tcW w:w="2254" w:type="dxa"/>
          </w:tcPr>
          <w:p w14:paraId="75FD92CD" w14:textId="77777777" w:rsidR="008A48E4" w:rsidRPr="00CF04D2" w:rsidRDefault="008A48E4" w:rsidP="00B771A4">
            <w:pPr>
              <w:spacing w:line="276" w:lineRule="auto"/>
              <w:jc w:val="center"/>
            </w:pPr>
          </w:p>
        </w:tc>
        <w:tc>
          <w:tcPr>
            <w:tcW w:w="2254" w:type="dxa"/>
          </w:tcPr>
          <w:p w14:paraId="1BF5B231" w14:textId="77777777" w:rsidR="008A48E4" w:rsidRDefault="008A48E4" w:rsidP="00B771A4">
            <w:pPr>
              <w:spacing w:line="276" w:lineRule="auto"/>
              <w:jc w:val="center"/>
            </w:pPr>
          </w:p>
        </w:tc>
      </w:tr>
      <w:tr w:rsidR="008A48E4" w14:paraId="4E1CC722" w14:textId="77777777" w:rsidTr="00B771A4">
        <w:tc>
          <w:tcPr>
            <w:tcW w:w="2254" w:type="dxa"/>
          </w:tcPr>
          <w:p w14:paraId="6DFD7670" w14:textId="22498830" w:rsidR="008A48E4" w:rsidRDefault="008A48E4" w:rsidP="008A48E4">
            <w:pPr>
              <w:spacing w:line="276" w:lineRule="auto"/>
              <w:jc w:val="left"/>
            </w:pPr>
            <w:r>
              <w:t xml:space="preserve">    Yes</w:t>
            </w:r>
          </w:p>
        </w:tc>
        <w:tc>
          <w:tcPr>
            <w:tcW w:w="2254" w:type="dxa"/>
          </w:tcPr>
          <w:p w14:paraId="2FB5A697" w14:textId="5C391D4B" w:rsidR="008A48E4" w:rsidRPr="00CF04D2" w:rsidRDefault="00B771A4" w:rsidP="00B771A4">
            <w:pPr>
              <w:spacing w:line="276" w:lineRule="auto"/>
              <w:jc w:val="center"/>
            </w:pPr>
            <w:r>
              <w:t>0.01 (-0.64, 0.67</w:t>
            </w:r>
            <w:r w:rsidR="008A48E4">
              <w:t>)</w:t>
            </w:r>
          </w:p>
        </w:tc>
        <w:tc>
          <w:tcPr>
            <w:tcW w:w="2254" w:type="dxa"/>
          </w:tcPr>
          <w:p w14:paraId="66C4CB17" w14:textId="344964B3" w:rsidR="008A48E4" w:rsidRPr="00CF04D2" w:rsidRDefault="00B771A4" w:rsidP="00B771A4">
            <w:pPr>
              <w:spacing w:line="276" w:lineRule="auto"/>
              <w:jc w:val="center"/>
            </w:pPr>
            <w:r>
              <w:t>0.82 (0.01, 1.64</w:t>
            </w:r>
            <w:r w:rsidR="008A48E4">
              <w:t>)</w:t>
            </w:r>
          </w:p>
        </w:tc>
        <w:tc>
          <w:tcPr>
            <w:tcW w:w="2254" w:type="dxa"/>
          </w:tcPr>
          <w:p w14:paraId="26B02233" w14:textId="00DA5717" w:rsidR="008A48E4" w:rsidRDefault="00B771A4" w:rsidP="00B771A4">
            <w:pPr>
              <w:spacing w:line="276" w:lineRule="auto"/>
              <w:jc w:val="center"/>
            </w:pPr>
            <w:r>
              <w:t>0.66 (0.46, 0.86</w:t>
            </w:r>
            <w:r w:rsidR="008A48E4">
              <w:t>)</w:t>
            </w:r>
          </w:p>
        </w:tc>
      </w:tr>
      <w:tr w:rsidR="008A48E4" w14:paraId="1D3A5984" w14:textId="77777777" w:rsidTr="00B771A4">
        <w:tc>
          <w:tcPr>
            <w:tcW w:w="2254" w:type="dxa"/>
          </w:tcPr>
          <w:p w14:paraId="3D4543E1" w14:textId="79FA5035" w:rsidR="008A48E4" w:rsidRDefault="008A48E4" w:rsidP="008A48E4">
            <w:pPr>
              <w:spacing w:line="276" w:lineRule="auto"/>
              <w:jc w:val="left"/>
            </w:pPr>
            <w:r>
              <w:t xml:space="preserve">    No</w:t>
            </w:r>
          </w:p>
        </w:tc>
        <w:tc>
          <w:tcPr>
            <w:tcW w:w="2254" w:type="dxa"/>
          </w:tcPr>
          <w:p w14:paraId="2549E3C9" w14:textId="26DA7C17" w:rsidR="008A48E4" w:rsidRPr="00CF04D2" w:rsidRDefault="00B771A4" w:rsidP="00B771A4">
            <w:pPr>
              <w:spacing w:line="276" w:lineRule="auto"/>
              <w:jc w:val="center"/>
            </w:pPr>
            <w:r>
              <w:t>0.02 (-0.17, 0.21</w:t>
            </w:r>
            <w:r w:rsidR="008A48E4">
              <w:t>)</w:t>
            </w:r>
          </w:p>
        </w:tc>
        <w:tc>
          <w:tcPr>
            <w:tcW w:w="2254" w:type="dxa"/>
          </w:tcPr>
          <w:p w14:paraId="1EB44FB7" w14:textId="24932C03" w:rsidR="008A48E4" w:rsidRPr="00CF04D2" w:rsidRDefault="00B771A4" w:rsidP="00B771A4">
            <w:pPr>
              <w:spacing w:line="276" w:lineRule="auto"/>
              <w:jc w:val="center"/>
            </w:pPr>
            <w:r>
              <w:t>0.78 (0.53</w:t>
            </w:r>
            <w:r w:rsidR="008A48E4">
              <w:t xml:space="preserve">, </w:t>
            </w:r>
            <w:r>
              <w:t>1.04</w:t>
            </w:r>
            <w:r w:rsidR="008A48E4">
              <w:t>)</w:t>
            </w:r>
          </w:p>
        </w:tc>
        <w:tc>
          <w:tcPr>
            <w:tcW w:w="2254" w:type="dxa"/>
          </w:tcPr>
          <w:p w14:paraId="0662F414" w14:textId="3851047B" w:rsidR="008A48E4" w:rsidRDefault="00B771A4" w:rsidP="00B771A4">
            <w:pPr>
              <w:spacing w:line="276" w:lineRule="auto"/>
              <w:jc w:val="center"/>
            </w:pPr>
            <w:r>
              <w:t>0.66 (0.61, 0.71</w:t>
            </w:r>
            <w:r w:rsidR="008A48E4">
              <w:t>)</w:t>
            </w:r>
          </w:p>
        </w:tc>
      </w:tr>
      <w:tr w:rsidR="008A48E4" w14:paraId="347B0A5B" w14:textId="77777777" w:rsidTr="00B771A4">
        <w:tc>
          <w:tcPr>
            <w:tcW w:w="2254" w:type="dxa"/>
          </w:tcPr>
          <w:p w14:paraId="12A1CCA1" w14:textId="4663A1FB" w:rsidR="008A48E4" w:rsidRDefault="008A48E4" w:rsidP="008A48E4">
            <w:pPr>
              <w:spacing w:line="276" w:lineRule="auto"/>
              <w:jc w:val="left"/>
            </w:pPr>
            <w:r>
              <w:t>Previous Cardiac Surgery</w:t>
            </w:r>
          </w:p>
        </w:tc>
        <w:tc>
          <w:tcPr>
            <w:tcW w:w="2254" w:type="dxa"/>
          </w:tcPr>
          <w:p w14:paraId="6433FE59" w14:textId="77777777" w:rsidR="008A48E4" w:rsidRPr="00CF04D2" w:rsidRDefault="008A48E4" w:rsidP="00B771A4">
            <w:pPr>
              <w:spacing w:line="276" w:lineRule="auto"/>
              <w:jc w:val="center"/>
            </w:pPr>
          </w:p>
        </w:tc>
        <w:tc>
          <w:tcPr>
            <w:tcW w:w="2254" w:type="dxa"/>
          </w:tcPr>
          <w:p w14:paraId="39B18F93" w14:textId="77777777" w:rsidR="008A48E4" w:rsidRPr="00CF04D2" w:rsidRDefault="008A48E4" w:rsidP="00B771A4">
            <w:pPr>
              <w:spacing w:line="276" w:lineRule="auto"/>
              <w:jc w:val="center"/>
            </w:pPr>
          </w:p>
        </w:tc>
        <w:tc>
          <w:tcPr>
            <w:tcW w:w="2254" w:type="dxa"/>
          </w:tcPr>
          <w:p w14:paraId="6BDDBBD0" w14:textId="77777777" w:rsidR="008A48E4" w:rsidRDefault="008A48E4" w:rsidP="00B771A4">
            <w:pPr>
              <w:spacing w:line="276" w:lineRule="auto"/>
              <w:jc w:val="center"/>
            </w:pPr>
          </w:p>
        </w:tc>
      </w:tr>
      <w:tr w:rsidR="008A48E4" w14:paraId="10292667" w14:textId="77777777" w:rsidTr="00B771A4">
        <w:tc>
          <w:tcPr>
            <w:tcW w:w="2254" w:type="dxa"/>
          </w:tcPr>
          <w:p w14:paraId="3E142CDE" w14:textId="12E3F8FE" w:rsidR="008A48E4" w:rsidRDefault="008A48E4" w:rsidP="008A48E4">
            <w:pPr>
              <w:spacing w:line="276" w:lineRule="auto"/>
              <w:jc w:val="left"/>
            </w:pPr>
            <w:r>
              <w:t xml:space="preserve">    Yes</w:t>
            </w:r>
          </w:p>
        </w:tc>
        <w:tc>
          <w:tcPr>
            <w:tcW w:w="2254" w:type="dxa"/>
          </w:tcPr>
          <w:p w14:paraId="270A13F8" w14:textId="36EE9D73" w:rsidR="008A48E4" w:rsidRPr="00CF04D2" w:rsidRDefault="00B771A4" w:rsidP="00B771A4">
            <w:pPr>
              <w:spacing w:line="276" w:lineRule="auto"/>
              <w:jc w:val="center"/>
            </w:pPr>
            <w:r>
              <w:t>0.18 (-0.15, 0.50</w:t>
            </w:r>
            <w:r w:rsidR="00EE7526">
              <w:t>)</w:t>
            </w:r>
          </w:p>
        </w:tc>
        <w:tc>
          <w:tcPr>
            <w:tcW w:w="2254" w:type="dxa"/>
          </w:tcPr>
          <w:p w14:paraId="48ACEA55" w14:textId="5CC33743" w:rsidR="008A48E4" w:rsidRPr="00CF04D2" w:rsidRDefault="00B771A4" w:rsidP="00B771A4">
            <w:pPr>
              <w:spacing w:line="276" w:lineRule="auto"/>
              <w:jc w:val="center"/>
            </w:pPr>
            <w:r>
              <w:t>0.63 (0.23, 1.02</w:t>
            </w:r>
            <w:r w:rsidR="00EE7526">
              <w:t>)</w:t>
            </w:r>
          </w:p>
        </w:tc>
        <w:tc>
          <w:tcPr>
            <w:tcW w:w="2254" w:type="dxa"/>
          </w:tcPr>
          <w:p w14:paraId="2CA6A588" w14:textId="1EEE9DD2" w:rsidR="008A48E4" w:rsidRDefault="00B771A4" w:rsidP="00B771A4">
            <w:pPr>
              <w:spacing w:line="276" w:lineRule="auto"/>
              <w:jc w:val="center"/>
            </w:pPr>
            <w:r>
              <w:t>0.66 (0.57, 0.74</w:t>
            </w:r>
            <w:r w:rsidR="00EE7526">
              <w:t>)</w:t>
            </w:r>
          </w:p>
        </w:tc>
      </w:tr>
      <w:tr w:rsidR="008A48E4" w14:paraId="6BD07948" w14:textId="77777777" w:rsidTr="00B771A4">
        <w:tc>
          <w:tcPr>
            <w:tcW w:w="2254" w:type="dxa"/>
          </w:tcPr>
          <w:p w14:paraId="2C1CD94A" w14:textId="4ED3E5F0" w:rsidR="008A48E4" w:rsidRDefault="008A48E4" w:rsidP="008A48E4">
            <w:pPr>
              <w:spacing w:line="276" w:lineRule="auto"/>
              <w:jc w:val="left"/>
            </w:pPr>
            <w:r>
              <w:t xml:space="preserve">    No</w:t>
            </w:r>
          </w:p>
        </w:tc>
        <w:tc>
          <w:tcPr>
            <w:tcW w:w="2254" w:type="dxa"/>
          </w:tcPr>
          <w:p w14:paraId="69C8B755" w14:textId="37CEE82A" w:rsidR="008A48E4" w:rsidRPr="00CF04D2" w:rsidRDefault="00B771A4" w:rsidP="00B771A4">
            <w:pPr>
              <w:spacing w:line="276" w:lineRule="auto"/>
              <w:jc w:val="center"/>
            </w:pPr>
            <w:r>
              <w:t>-0.05 (-0.28, 0.17</w:t>
            </w:r>
            <w:r w:rsidR="00EE7526">
              <w:t>)</w:t>
            </w:r>
          </w:p>
        </w:tc>
        <w:tc>
          <w:tcPr>
            <w:tcW w:w="2254" w:type="dxa"/>
          </w:tcPr>
          <w:p w14:paraId="542E34B5" w14:textId="4796B1D6" w:rsidR="008A48E4" w:rsidRPr="00CF04D2" w:rsidRDefault="00B771A4" w:rsidP="00B771A4">
            <w:pPr>
              <w:spacing w:line="276" w:lineRule="auto"/>
              <w:jc w:val="center"/>
            </w:pPr>
            <w:r>
              <w:t>0.89 (0.59, 1.19</w:t>
            </w:r>
            <w:r w:rsidR="00EE7526">
              <w:t>)</w:t>
            </w:r>
          </w:p>
        </w:tc>
        <w:tc>
          <w:tcPr>
            <w:tcW w:w="2254" w:type="dxa"/>
          </w:tcPr>
          <w:p w14:paraId="0BA8F520" w14:textId="24166D7B" w:rsidR="008A48E4" w:rsidRDefault="00B771A4" w:rsidP="00B771A4">
            <w:pPr>
              <w:spacing w:line="276" w:lineRule="auto"/>
              <w:jc w:val="center"/>
            </w:pPr>
            <w:r>
              <w:t>0.66 (0.60, 0.72</w:t>
            </w:r>
            <w:r w:rsidR="00EE7526">
              <w:t>)</w:t>
            </w:r>
          </w:p>
        </w:tc>
      </w:tr>
      <w:tr w:rsidR="008A48E4" w14:paraId="0A7F98EB" w14:textId="77777777" w:rsidTr="00B771A4">
        <w:tc>
          <w:tcPr>
            <w:tcW w:w="2254" w:type="dxa"/>
          </w:tcPr>
          <w:p w14:paraId="62BFD91A" w14:textId="0ED59301" w:rsidR="008A48E4" w:rsidRDefault="008A48E4" w:rsidP="008A48E4">
            <w:pPr>
              <w:spacing w:line="276" w:lineRule="auto"/>
              <w:jc w:val="left"/>
            </w:pPr>
            <w:r>
              <w:t>NYHA</w:t>
            </w:r>
          </w:p>
        </w:tc>
        <w:tc>
          <w:tcPr>
            <w:tcW w:w="2254" w:type="dxa"/>
          </w:tcPr>
          <w:p w14:paraId="74F8B1CE" w14:textId="77777777" w:rsidR="008A48E4" w:rsidRPr="00CF04D2" w:rsidRDefault="008A48E4" w:rsidP="00B771A4">
            <w:pPr>
              <w:spacing w:line="276" w:lineRule="auto"/>
              <w:jc w:val="center"/>
            </w:pPr>
          </w:p>
        </w:tc>
        <w:tc>
          <w:tcPr>
            <w:tcW w:w="2254" w:type="dxa"/>
          </w:tcPr>
          <w:p w14:paraId="03CA133E" w14:textId="77777777" w:rsidR="008A48E4" w:rsidRPr="00CF04D2" w:rsidRDefault="008A48E4" w:rsidP="00B771A4">
            <w:pPr>
              <w:spacing w:line="276" w:lineRule="auto"/>
              <w:jc w:val="center"/>
            </w:pPr>
          </w:p>
        </w:tc>
        <w:tc>
          <w:tcPr>
            <w:tcW w:w="2254" w:type="dxa"/>
          </w:tcPr>
          <w:p w14:paraId="7A50D81C" w14:textId="77777777" w:rsidR="008A48E4" w:rsidRDefault="008A48E4" w:rsidP="00B771A4">
            <w:pPr>
              <w:spacing w:line="276" w:lineRule="auto"/>
              <w:jc w:val="center"/>
            </w:pPr>
          </w:p>
        </w:tc>
      </w:tr>
      <w:tr w:rsidR="008A48E4" w14:paraId="2E402A8B" w14:textId="77777777" w:rsidTr="00B771A4">
        <w:tc>
          <w:tcPr>
            <w:tcW w:w="2254" w:type="dxa"/>
          </w:tcPr>
          <w:p w14:paraId="7898846B" w14:textId="668683EE" w:rsidR="008A48E4" w:rsidRDefault="008A48E4" w:rsidP="008A48E4">
            <w:pPr>
              <w:spacing w:line="276" w:lineRule="auto"/>
              <w:jc w:val="left"/>
            </w:pPr>
            <w:r>
              <w:t xml:space="preserve">    Class IV</w:t>
            </w:r>
          </w:p>
        </w:tc>
        <w:tc>
          <w:tcPr>
            <w:tcW w:w="2254" w:type="dxa"/>
          </w:tcPr>
          <w:p w14:paraId="0E1CF1EA" w14:textId="0ED47349" w:rsidR="008A48E4" w:rsidRPr="00CF04D2" w:rsidRDefault="00B771A4" w:rsidP="00B771A4">
            <w:pPr>
              <w:spacing w:line="276" w:lineRule="auto"/>
              <w:jc w:val="center"/>
            </w:pPr>
            <w:r>
              <w:t>0.19 (-0.18, 0.56</w:t>
            </w:r>
            <w:r w:rsidR="00EE7526">
              <w:t>)</w:t>
            </w:r>
          </w:p>
        </w:tc>
        <w:tc>
          <w:tcPr>
            <w:tcW w:w="2254" w:type="dxa"/>
          </w:tcPr>
          <w:p w14:paraId="077946FF" w14:textId="4F206843" w:rsidR="008A48E4" w:rsidRPr="00CF04D2" w:rsidRDefault="00B771A4" w:rsidP="00B771A4">
            <w:pPr>
              <w:spacing w:line="276" w:lineRule="auto"/>
              <w:jc w:val="center"/>
            </w:pPr>
            <w:r>
              <w:t>0.78 (0.35, 1.21</w:t>
            </w:r>
            <w:r w:rsidR="00EE7526">
              <w:t>)</w:t>
            </w:r>
          </w:p>
        </w:tc>
        <w:tc>
          <w:tcPr>
            <w:tcW w:w="2254" w:type="dxa"/>
          </w:tcPr>
          <w:p w14:paraId="52A565D3" w14:textId="2739339A" w:rsidR="008A48E4" w:rsidRDefault="00B771A4" w:rsidP="00B771A4">
            <w:pPr>
              <w:spacing w:line="276" w:lineRule="auto"/>
              <w:jc w:val="center"/>
            </w:pPr>
            <w:r>
              <w:t>0.69 (0.60</w:t>
            </w:r>
            <w:r w:rsidR="00EE7526">
              <w:t xml:space="preserve">, </w:t>
            </w:r>
            <w:r>
              <w:t>0.79</w:t>
            </w:r>
            <w:r w:rsidR="00EE7526">
              <w:t>)</w:t>
            </w:r>
          </w:p>
        </w:tc>
      </w:tr>
      <w:tr w:rsidR="008A48E4" w14:paraId="7CE28032" w14:textId="77777777" w:rsidTr="00B771A4">
        <w:tc>
          <w:tcPr>
            <w:tcW w:w="2254" w:type="dxa"/>
          </w:tcPr>
          <w:p w14:paraId="20C41AF6" w14:textId="3609788D" w:rsidR="008A48E4" w:rsidRDefault="008A48E4" w:rsidP="008A48E4">
            <w:pPr>
              <w:spacing w:line="276" w:lineRule="auto"/>
              <w:jc w:val="left"/>
            </w:pPr>
            <w:r>
              <w:t xml:space="preserve">    Class I – III</w:t>
            </w:r>
          </w:p>
        </w:tc>
        <w:tc>
          <w:tcPr>
            <w:tcW w:w="2254" w:type="dxa"/>
          </w:tcPr>
          <w:p w14:paraId="1E4B22C4" w14:textId="67FCD294" w:rsidR="008A48E4" w:rsidRPr="00CF04D2" w:rsidRDefault="00B771A4" w:rsidP="00B771A4">
            <w:pPr>
              <w:spacing w:line="276" w:lineRule="auto"/>
              <w:jc w:val="center"/>
            </w:pPr>
            <w:r>
              <w:t>-0.04 (-0.25, 0.18</w:t>
            </w:r>
            <w:r w:rsidR="00EE7526">
              <w:t>)</w:t>
            </w:r>
          </w:p>
        </w:tc>
        <w:tc>
          <w:tcPr>
            <w:tcW w:w="2254" w:type="dxa"/>
          </w:tcPr>
          <w:p w14:paraId="4381730C" w14:textId="0B84A773" w:rsidR="008A48E4" w:rsidRPr="00CF04D2" w:rsidRDefault="00B771A4" w:rsidP="00B771A4">
            <w:pPr>
              <w:spacing w:line="276" w:lineRule="auto"/>
              <w:jc w:val="center"/>
            </w:pPr>
            <w:r>
              <w:t>0.74 (0.44, 1.04</w:t>
            </w:r>
            <w:r w:rsidR="00EE7526">
              <w:t>)</w:t>
            </w:r>
          </w:p>
        </w:tc>
        <w:tc>
          <w:tcPr>
            <w:tcW w:w="2254" w:type="dxa"/>
          </w:tcPr>
          <w:p w14:paraId="582775E4" w14:textId="5D8EF9A6" w:rsidR="008A48E4" w:rsidRDefault="00B771A4" w:rsidP="00B771A4">
            <w:pPr>
              <w:spacing w:line="276" w:lineRule="auto"/>
              <w:jc w:val="center"/>
            </w:pPr>
            <w:r>
              <w:t>0.64 (0.58, 0.69</w:t>
            </w:r>
            <w:r w:rsidR="00EE7526">
              <w:t>)</w:t>
            </w:r>
          </w:p>
        </w:tc>
      </w:tr>
      <w:tr w:rsidR="00EE7526" w14:paraId="739A61EE" w14:textId="77777777" w:rsidTr="00B771A4">
        <w:tc>
          <w:tcPr>
            <w:tcW w:w="2254" w:type="dxa"/>
          </w:tcPr>
          <w:p w14:paraId="7AF4BE04" w14:textId="411582AC" w:rsidR="00EE7526" w:rsidRDefault="00EE7526" w:rsidP="008A48E4">
            <w:pPr>
              <w:spacing w:line="276" w:lineRule="auto"/>
              <w:jc w:val="left"/>
            </w:pPr>
            <w:r>
              <w:t>LVEF</w:t>
            </w:r>
          </w:p>
        </w:tc>
        <w:tc>
          <w:tcPr>
            <w:tcW w:w="2254" w:type="dxa"/>
          </w:tcPr>
          <w:p w14:paraId="1A2AAABF" w14:textId="77777777" w:rsidR="00EE7526" w:rsidRDefault="00EE7526" w:rsidP="00B771A4">
            <w:pPr>
              <w:spacing w:line="276" w:lineRule="auto"/>
              <w:jc w:val="center"/>
            </w:pPr>
          </w:p>
        </w:tc>
        <w:tc>
          <w:tcPr>
            <w:tcW w:w="2254" w:type="dxa"/>
          </w:tcPr>
          <w:p w14:paraId="71E52EA3" w14:textId="77777777" w:rsidR="00EE7526" w:rsidRDefault="00EE7526" w:rsidP="00B771A4">
            <w:pPr>
              <w:spacing w:line="276" w:lineRule="auto"/>
              <w:jc w:val="center"/>
            </w:pPr>
          </w:p>
        </w:tc>
        <w:tc>
          <w:tcPr>
            <w:tcW w:w="2254" w:type="dxa"/>
          </w:tcPr>
          <w:p w14:paraId="003B0779" w14:textId="77777777" w:rsidR="00EE7526" w:rsidRDefault="00EE7526" w:rsidP="00B771A4">
            <w:pPr>
              <w:spacing w:line="276" w:lineRule="auto"/>
              <w:jc w:val="center"/>
            </w:pPr>
          </w:p>
        </w:tc>
      </w:tr>
      <w:tr w:rsidR="00EE7526" w14:paraId="11B3FD9F" w14:textId="77777777" w:rsidTr="00B771A4">
        <w:tc>
          <w:tcPr>
            <w:tcW w:w="2254" w:type="dxa"/>
          </w:tcPr>
          <w:p w14:paraId="1DC420D4" w14:textId="7142C604" w:rsidR="00EE7526" w:rsidRDefault="00EE7526" w:rsidP="008A48E4">
            <w:pPr>
              <w:spacing w:line="276" w:lineRule="auto"/>
              <w:jc w:val="left"/>
            </w:pPr>
            <w:r>
              <w:t xml:space="preserve">    &lt;50%</w:t>
            </w:r>
          </w:p>
        </w:tc>
        <w:tc>
          <w:tcPr>
            <w:tcW w:w="2254" w:type="dxa"/>
          </w:tcPr>
          <w:p w14:paraId="082C2D07" w14:textId="45CF849C" w:rsidR="00EE7526" w:rsidRDefault="000B5F4A" w:rsidP="00B771A4">
            <w:pPr>
              <w:spacing w:line="276" w:lineRule="auto"/>
              <w:jc w:val="center"/>
            </w:pPr>
            <w:r>
              <w:t>0.09 (-0.18, 0.37</w:t>
            </w:r>
            <w:r w:rsidR="00EE7526">
              <w:t>)</w:t>
            </w:r>
          </w:p>
        </w:tc>
        <w:tc>
          <w:tcPr>
            <w:tcW w:w="2254" w:type="dxa"/>
          </w:tcPr>
          <w:p w14:paraId="21C80803" w14:textId="316B603E" w:rsidR="00EE7526" w:rsidRDefault="000B5F4A" w:rsidP="00B771A4">
            <w:pPr>
              <w:spacing w:line="276" w:lineRule="auto"/>
              <w:jc w:val="center"/>
            </w:pPr>
            <w:r>
              <w:t>1.13 (0.77, 1.49</w:t>
            </w:r>
            <w:r w:rsidR="00EE7526">
              <w:t>)</w:t>
            </w:r>
          </w:p>
        </w:tc>
        <w:tc>
          <w:tcPr>
            <w:tcW w:w="2254" w:type="dxa"/>
          </w:tcPr>
          <w:p w14:paraId="11E823D9" w14:textId="6B96E42F" w:rsidR="00EE7526" w:rsidRDefault="000B5F4A" w:rsidP="00B771A4">
            <w:pPr>
              <w:spacing w:line="276" w:lineRule="auto"/>
              <w:jc w:val="center"/>
            </w:pPr>
            <w:r>
              <w:t>0.75 (0.69, 0.81</w:t>
            </w:r>
            <w:r w:rsidR="00EE7526">
              <w:t>)</w:t>
            </w:r>
          </w:p>
        </w:tc>
      </w:tr>
      <w:tr w:rsidR="00EE7526" w14:paraId="041072AC" w14:textId="77777777" w:rsidTr="00B771A4">
        <w:tc>
          <w:tcPr>
            <w:tcW w:w="2254" w:type="dxa"/>
          </w:tcPr>
          <w:p w14:paraId="2AB5B374" w14:textId="1FAF5025" w:rsidR="00EE7526" w:rsidRDefault="00EE7526" w:rsidP="008A48E4">
            <w:pPr>
              <w:spacing w:line="276" w:lineRule="auto"/>
              <w:jc w:val="left"/>
            </w:pPr>
            <w:r>
              <w:t xml:space="preserve">    ≥50%</w:t>
            </w:r>
          </w:p>
        </w:tc>
        <w:tc>
          <w:tcPr>
            <w:tcW w:w="2254" w:type="dxa"/>
          </w:tcPr>
          <w:p w14:paraId="17B23738" w14:textId="2C663D8A" w:rsidR="00EE7526" w:rsidRDefault="000B5F4A" w:rsidP="00B771A4">
            <w:pPr>
              <w:spacing w:line="276" w:lineRule="auto"/>
              <w:jc w:val="center"/>
            </w:pPr>
            <w:r>
              <w:t>-0.04 (-0.29, 0.21</w:t>
            </w:r>
            <w:r w:rsidR="00EE7526">
              <w:t>)</w:t>
            </w:r>
          </w:p>
        </w:tc>
        <w:tc>
          <w:tcPr>
            <w:tcW w:w="2254" w:type="dxa"/>
          </w:tcPr>
          <w:p w14:paraId="2AFD1D29" w14:textId="3D6D17F9" w:rsidR="00EE7526" w:rsidRDefault="000B5F4A" w:rsidP="00B771A4">
            <w:pPr>
              <w:spacing w:line="276" w:lineRule="auto"/>
              <w:jc w:val="center"/>
            </w:pPr>
            <w:r>
              <w:t>0.44 (0.09, 0.79</w:t>
            </w:r>
            <w:r w:rsidR="00EE7526">
              <w:t>)</w:t>
            </w:r>
          </w:p>
        </w:tc>
        <w:tc>
          <w:tcPr>
            <w:tcW w:w="2254" w:type="dxa"/>
          </w:tcPr>
          <w:p w14:paraId="4B54821D" w14:textId="4FAE5EB1" w:rsidR="00EE7526" w:rsidRDefault="000B5F4A" w:rsidP="00B771A4">
            <w:pPr>
              <w:spacing w:line="276" w:lineRule="auto"/>
              <w:jc w:val="center"/>
            </w:pPr>
            <w:r>
              <w:t>0.58 (0.51, 0.65</w:t>
            </w:r>
            <w:r w:rsidR="00EE7526">
              <w:t>)</w:t>
            </w:r>
          </w:p>
        </w:tc>
      </w:tr>
      <w:tr w:rsidR="008A48E4" w14:paraId="495D11D8" w14:textId="77777777" w:rsidTr="00B771A4">
        <w:tc>
          <w:tcPr>
            <w:tcW w:w="2254" w:type="dxa"/>
          </w:tcPr>
          <w:p w14:paraId="70573E29" w14:textId="24628102" w:rsidR="008A48E4" w:rsidRDefault="008A48E4" w:rsidP="008A48E4">
            <w:pPr>
              <w:spacing w:line="276" w:lineRule="auto"/>
              <w:jc w:val="left"/>
            </w:pPr>
            <w:r>
              <w:t>Frailty</w:t>
            </w:r>
          </w:p>
        </w:tc>
        <w:tc>
          <w:tcPr>
            <w:tcW w:w="2254" w:type="dxa"/>
          </w:tcPr>
          <w:p w14:paraId="5DF88C60" w14:textId="77777777" w:rsidR="008A48E4" w:rsidRPr="00CF04D2" w:rsidRDefault="008A48E4" w:rsidP="00B771A4">
            <w:pPr>
              <w:spacing w:line="276" w:lineRule="auto"/>
              <w:jc w:val="center"/>
            </w:pPr>
          </w:p>
        </w:tc>
        <w:tc>
          <w:tcPr>
            <w:tcW w:w="2254" w:type="dxa"/>
          </w:tcPr>
          <w:p w14:paraId="232E24DB" w14:textId="77777777" w:rsidR="008A48E4" w:rsidRPr="00CF04D2" w:rsidRDefault="008A48E4" w:rsidP="00B771A4">
            <w:pPr>
              <w:spacing w:line="276" w:lineRule="auto"/>
              <w:jc w:val="center"/>
            </w:pPr>
          </w:p>
        </w:tc>
        <w:tc>
          <w:tcPr>
            <w:tcW w:w="2254" w:type="dxa"/>
          </w:tcPr>
          <w:p w14:paraId="3C48A134" w14:textId="77777777" w:rsidR="008A48E4" w:rsidRDefault="008A48E4" w:rsidP="00B771A4">
            <w:pPr>
              <w:spacing w:line="276" w:lineRule="auto"/>
              <w:jc w:val="center"/>
            </w:pPr>
          </w:p>
        </w:tc>
      </w:tr>
      <w:tr w:rsidR="008A48E4" w14:paraId="2961C4CC" w14:textId="77777777" w:rsidTr="00B771A4">
        <w:tc>
          <w:tcPr>
            <w:tcW w:w="2254" w:type="dxa"/>
          </w:tcPr>
          <w:p w14:paraId="22F59B96" w14:textId="71FBDDA6" w:rsidR="008A48E4" w:rsidRDefault="008A48E4" w:rsidP="008A48E4">
            <w:pPr>
              <w:spacing w:line="276" w:lineRule="auto"/>
              <w:jc w:val="left"/>
            </w:pPr>
            <w:r>
              <w:t xml:space="preserve">    KATZ=6</w:t>
            </w:r>
          </w:p>
        </w:tc>
        <w:tc>
          <w:tcPr>
            <w:tcW w:w="2254" w:type="dxa"/>
          </w:tcPr>
          <w:p w14:paraId="435E8BE1" w14:textId="0D7FBA4D" w:rsidR="008A48E4" w:rsidRPr="00CF04D2" w:rsidRDefault="000B5F4A" w:rsidP="00B771A4">
            <w:pPr>
              <w:spacing w:line="276" w:lineRule="auto"/>
              <w:jc w:val="center"/>
            </w:pPr>
            <w:r>
              <w:t>-0.03 (-0.30, 0.24</w:t>
            </w:r>
            <w:r w:rsidR="00EE7526">
              <w:t>)</w:t>
            </w:r>
          </w:p>
        </w:tc>
        <w:tc>
          <w:tcPr>
            <w:tcW w:w="2254" w:type="dxa"/>
          </w:tcPr>
          <w:p w14:paraId="1D290E08" w14:textId="4F11E85E" w:rsidR="008A48E4" w:rsidRPr="00CF04D2" w:rsidRDefault="000B5F4A" w:rsidP="00B771A4">
            <w:pPr>
              <w:spacing w:line="276" w:lineRule="auto"/>
              <w:jc w:val="center"/>
            </w:pPr>
            <w:r>
              <w:t>0.54 (0.04, 1.05)</w:t>
            </w:r>
          </w:p>
        </w:tc>
        <w:tc>
          <w:tcPr>
            <w:tcW w:w="2254" w:type="dxa"/>
          </w:tcPr>
          <w:p w14:paraId="4B0C13D6" w14:textId="18C847A7" w:rsidR="008A48E4" w:rsidRDefault="000B5F4A" w:rsidP="00B771A4">
            <w:pPr>
              <w:spacing w:line="276" w:lineRule="auto"/>
              <w:jc w:val="center"/>
            </w:pPr>
            <w:r>
              <w:t>0.57 (0.50, 0.65</w:t>
            </w:r>
            <w:r w:rsidR="00EE7526">
              <w:t>)</w:t>
            </w:r>
          </w:p>
        </w:tc>
      </w:tr>
      <w:tr w:rsidR="008A48E4" w14:paraId="76B3F2AD" w14:textId="77777777" w:rsidTr="00B771A4">
        <w:tc>
          <w:tcPr>
            <w:tcW w:w="2254" w:type="dxa"/>
          </w:tcPr>
          <w:p w14:paraId="3B86F623" w14:textId="667324C9" w:rsidR="008A48E4" w:rsidRDefault="008A48E4" w:rsidP="008A48E4">
            <w:pPr>
              <w:spacing w:line="276" w:lineRule="auto"/>
              <w:jc w:val="left"/>
            </w:pPr>
            <w:r>
              <w:t xml:space="preserve">    KATZ&lt;6</w:t>
            </w:r>
          </w:p>
        </w:tc>
        <w:tc>
          <w:tcPr>
            <w:tcW w:w="2254" w:type="dxa"/>
          </w:tcPr>
          <w:p w14:paraId="439D7ECC" w14:textId="7F12B11B" w:rsidR="008A48E4" w:rsidRPr="00CF04D2" w:rsidRDefault="000B5F4A" w:rsidP="00B771A4">
            <w:pPr>
              <w:spacing w:line="276" w:lineRule="auto"/>
              <w:jc w:val="center"/>
            </w:pPr>
            <w:r>
              <w:t>0.06 (-0.20, 0.32</w:t>
            </w:r>
            <w:r w:rsidR="00EE7526">
              <w:t>)</w:t>
            </w:r>
          </w:p>
        </w:tc>
        <w:tc>
          <w:tcPr>
            <w:tcW w:w="2254" w:type="dxa"/>
          </w:tcPr>
          <w:p w14:paraId="0C162909" w14:textId="2148520B" w:rsidR="008A48E4" w:rsidRPr="00CF04D2" w:rsidRDefault="000B5F4A" w:rsidP="00B771A4">
            <w:pPr>
              <w:spacing w:line="276" w:lineRule="auto"/>
              <w:jc w:val="center"/>
            </w:pPr>
            <w:r>
              <w:t>0.85 (0.48, 1.22</w:t>
            </w:r>
            <w:r w:rsidR="00EE7526">
              <w:t>)</w:t>
            </w:r>
          </w:p>
        </w:tc>
        <w:tc>
          <w:tcPr>
            <w:tcW w:w="2254" w:type="dxa"/>
          </w:tcPr>
          <w:p w14:paraId="4930F857" w14:textId="6BCD9AB4" w:rsidR="008A48E4" w:rsidRDefault="000B5F4A" w:rsidP="00B771A4">
            <w:pPr>
              <w:spacing w:line="276" w:lineRule="auto"/>
              <w:jc w:val="center"/>
            </w:pPr>
            <w:r>
              <w:t>0.67 (0.61, 0.73</w:t>
            </w:r>
            <w:r w:rsidR="00EE7526">
              <w:t>)</w:t>
            </w:r>
          </w:p>
        </w:tc>
      </w:tr>
      <w:tr w:rsidR="008A48E4" w14:paraId="4D64AB71" w14:textId="77777777" w:rsidTr="00B771A4">
        <w:tc>
          <w:tcPr>
            <w:tcW w:w="2254" w:type="dxa"/>
          </w:tcPr>
          <w:p w14:paraId="44269F56" w14:textId="59547C7D" w:rsidR="008A48E4" w:rsidRDefault="008A48E4" w:rsidP="008A48E4">
            <w:pPr>
              <w:spacing w:line="276" w:lineRule="auto"/>
              <w:jc w:val="left"/>
            </w:pPr>
            <w:r>
              <w:t xml:space="preserve">    Poor Mobility</w:t>
            </w:r>
          </w:p>
        </w:tc>
        <w:tc>
          <w:tcPr>
            <w:tcW w:w="2254" w:type="dxa"/>
          </w:tcPr>
          <w:p w14:paraId="18BB7CDD" w14:textId="0C3AE49A" w:rsidR="008A48E4" w:rsidRPr="00CF04D2" w:rsidRDefault="000B5F4A" w:rsidP="00B771A4">
            <w:pPr>
              <w:spacing w:line="276" w:lineRule="auto"/>
              <w:jc w:val="center"/>
            </w:pPr>
            <w:r>
              <w:t>0.02 (-0.27, 0.30</w:t>
            </w:r>
            <w:r w:rsidR="00EE7526">
              <w:t>)</w:t>
            </w:r>
          </w:p>
        </w:tc>
        <w:tc>
          <w:tcPr>
            <w:tcW w:w="2254" w:type="dxa"/>
          </w:tcPr>
          <w:p w14:paraId="6BB1DCDC" w14:textId="13BD399B" w:rsidR="008A48E4" w:rsidRPr="00CF04D2" w:rsidRDefault="000B5F4A" w:rsidP="00B771A4">
            <w:pPr>
              <w:spacing w:line="276" w:lineRule="auto"/>
              <w:jc w:val="center"/>
            </w:pPr>
            <w:r>
              <w:t>0.76 (0.29, 1.22</w:t>
            </w:r>
            <w:r w:rsidR="00EE7526">
              <w:t>)</w:t>
            </w:r>
          </w:p>
        </w:tc>
        <w:tc>
          <w:tcPr>
            <w:tcW w:w="2254" w:type="dxa"/>
          </w:tcPr>
          <w:p w14:paraId="2172D511" w14:textId="15031A50" w:rsidR="008A48E4" w:rsidRDefault="000B5F4A" w:rsidP="00B771A4">
            <w:pPr>
              <w:spacing w:line="276" w:lineRule="auto"/>
              <w:jc w:val="center"/>
            </w:pPr>
            <w:r>
              <w:t>0.62 (0.54, 0.70</w:t>
            </w:r>
            <w:r w:rsidR="00EE7526">
              <w:t>)</w:t>
            </w:r>
          </w:p>
        </w:tc>
      </w:tr>
      <w:tr w:rsidR="008A48E4" w14:paraId="756C5DB9" w14:textId="77777777" w:rsidTr="00B771A4">
        <w:tc>
          <w:tcPr>
            <w:tcW w:w="2254" w:type="dxa"/>
          </w:tcPr>
          <w:p w14:paraId="07A6C727" w14:textId="1938B209" w:rsidR="008A48E4" w:rsidRDefault="008A48E4" w:rsidP="008A48E4">
            <w:pPr>
              <w:spacing w:line="276" w:lineRule="auto"/>
              <w:jc w:val="left"/>
            </w:pPr>
            <w:r>
              <w:t xml:space="preserve">    Normal Mobility</w:t>
            </w:r>
          </w:p>
        </w:tc>
        <w:tc>
          <w:tcPr>
            <w:tcW w:w="2254" w:type="dxa"/>
          </w:tcPr>
          <w:p w14:paraId="2432D406" w14:textId="2928D4E5" w:rsidR="008A48E4" w:rsidRPr="00CF04D2" w:rsidRDefault="000B5F4A" w:rsidP="00B771A4">
            <w:pPr>
              <w:spacing w:line="276" w:lineRule="auto"/>
              <w:jc w:val="center"/>
            </w:pPr>
            <w:r>
              <w:t>0.02 (-0.22, 0.26</w:t>
            </w:r>
            <w:r w:rsidR="00EE7526">
              <w:t>)</w:t>
            </w:r>
          </w:p>
        </w:tc>
        <w:tc>
          <w:tcPr>
            <w:tcW w:w="2254" w:type="dxa"/>
          </w:tcPr>
          <w:p w14:paraId="4CFCAE24" w14:textId="75DB9B36" w:rsidR="008A48E4" w:rsidRPr="00CF04D2" w:rsidRDefault="000B5F4A" w:rsidP="00B771A4">
            <w:pPr>
              <w:spacing w:line="276" w:lineRule="auto"/>
              <w:jc w:val="center"/>
            </w:pPr>
            <w:r>
              <w:t>0.81 (0.39, 1.24</w:t>
            </w:r>
            <w:r w:rsidR="00EE7526">
              <w:t>)</w:t>
            </w:r>
          </w:p>
        </w:tc>
        <w:tc>
          <w:tcPr>
            <w:tcW w:w="2254" w:type="dxa"/>
          </w:tcPr>
          <w:p w14:paraId="14B16B41" w14:textId="6EE8F026" w:rsidR="008A48E4" w:rsidRDefault="000B5F4A" w:rsidP="00B771A4">
            <w:pPr>
              <w:spacing w:line="276" w:lineRule="auto"/>
              <w:jc w:val="center"/>
            </w:pPr>
            <w:r>
              <w:t>0.62 (0.56, 0.69</w:t>
            </w:r>
            <w:r w:rsidR="00EE7526">
              <w:t>)</w:t>
            </w:r>
          </w:p>
        </w:tc>
      </w:tr>
      <w:tr w:rsidR="008A48E4" w14:paraId="6EC32CD8" w14:textId="77777777" w:rsidTr="00B771A4">
        <w:tc>
          <w:tcPr>
            <w:tcW w:w="2254" w:type="dxa"/>
          </w:tcPr>
          <w:p w14:paraId="51FDF342" w14:textId="2F12C8F4" w:rsidR="008A48E4" w:rsidRDefault="008A48E4" w:rsidP="008A48E4">
            <w:pPr>
              <w:spacing w:line="276" w:lineRule="auto"/>
              <w:jc w:val="left"/>
            </w:pPr>
            <w:r>
              <w:t>Access route</w:t>
            </w:r>
          </w:p>
        </w:tc>
        <w:tc>
          <w:tcPr>
            <w:tcW w:w="2254" w:type="dxa"/>
          </w:tcPr>
          <w:p w14:paraId="166A0531" w14:textId="77777777" w:rsidR="008A48E4" w:rsidRPr="00CF04D2" w:rsidRDefault="008A48E4" w:rsidP="00B771A4">
            <w:pPr>
              <w:spacing w:line="276" w:lineRule="auto"/>
              <w:jc w:val="center"/>
            </w:pPr>
          </w:p>
        </w:tc>
        <w:tc>
          <w:tcPr>
            <w:tcW w:w="2254" w:type="dxa"/>
          </w:tcPr>
          <w:p w14:paraId="7C55F6F3" w14:textId="77777777" w:rsidR="008A48E4" w:rsidRPr="00CF04D2" w:rsidRDefault="008A48E4" w:rsidP="00B771A4">
            <w:pPr>
              <w:spacing w:line="276" w:lineRule="auto"/>
              <w:jc w:val="center"/>
            </w:pPr>
          </w:p>
        </w:tc>
        <w:tc>
          <w:tcPr>
            <w:tcW w:w="2254" w:type="dxa"/>
          </w:tcPr>
          <w:p w14:paraId="08EFB36E" w14:textId="77777777" w:rsidR="008A48E4" w:rsidRDefault="008A48E4" w:rsidP="00B771A4">
            <w:pPr>
              <w:spacing w:line="276" w:lineRule="auto"/>
              <w:jc w:val="center"/>
            </w:pPr>
          </w:p>
        </w:tc>
      </w:tr>
      <w:tr w:rsidR="008A48E4" w14:paraId="1BAD8E91" w14:textId="77777777" w:rsidTr="00B771A4">
        <w:tc>
          <w:tcPr>
            <w:tcW w:w="2254" w:type="dxa"/>
          </w:tcPr>
          <w:p w14:paraId="1142885F" w14:textId="7EB40FA1" w:rsidR="008A48E4" w:rsidRDefault="008A48E4" w:rsidP="008A48E4">
            <w:pPr>
              <w:spacing w:line="276" w:lineRule="auto"/>
              <w:jc w:val="left"/>
            </w:pPr>
            <w:r>
              <w:t xml:space="preserve">    Transfemoral</w:t>
            </w:r>
          </w:p>
        </w:tc>
        <w:tc>
          <w:tcPr>
            <w:tcW w:w="2254" w:type="dxa"/>
          </w:tcPr>
          <w:p w14:paraId="40765331" w14:textId="5E1313BC" w:rsidR="008A48E4" w:rsidRPr="00CF04D2" w:rsidRDefault="000B5F4A" w:rsidP="00B771A4">
            <w:pPr>
              <w:spacing w:line="276" w:lineRule="auto"/>
              <w:jc w:val="center"/>
            </w:pPr>
            <w:r>
              <w:t>0.03 (-0.19, 0.25</w:t>
            </w:r>
            <w:r w:rsidR="00EE7526">
              <w:t>)</w:t>
            </w:r>
          </w:p>
        </w:tc>
        <w:tc>
          <w:tcPr>
            <w:tcW w:w="2254" w:type="dxa"/>
          </w:tcPr>
          <w:p w14:paraId="16625EDD" w14:textId="17B4A73A" w:rsidR="008A48E4" w:rsidRPr="00CF04D2" w:rsidRDefault="000B5F4A" w:rsidP="00B771A4">
            <w:pPr>
              <w:spacing w:line="276" w:lineRule="auto"/>
              <w:jc w:val="center"/>
            </w:pPr>
            <w:r>
              <w:t>0.90 (0.61, 1.19</w:t>
            </w:r>
            <w:r w:rsidR="00EE7526">
              <w:t>)</w:t>
            </w:r>
          </w:p>
        </w:tc>
        <w:tc>
          <w:tcPr>
            <w:tcW w:w="2254" w:type="dxa"/>
          </w:tcPr>
          <w:p w14:paraId="56DDF284" w14:textId="05599ABF" w:rsidR="008A48E4" w:rsidRDefault="000B5F4A" w:rsidP="00B771A4">
            <w:pPr>
              <w:spacing w:line="276" w:lineRule="auto"/>
              <w:jc w:val="center"/>
            </w:pPr>
            <w:r>
              <w:t>0.66 (0.60, 0.72</w:t>
            </w:r>
            <w:r w:rsidR="00EE7526">
              <w:t>)</w:t>
            </w:r>
          </w:p>
        </w:tc>
      </w:tr>
      <w:tr w:rsidR="008A48E4" w14:paraId="79DC96E9" w14:textId="77777777" w:rsidTr="00B771A4">
        <w:tc>
          <w:tcPr>
            <w:tcW w:w="2254" w:type="dxa"/>
          </w:tcPr>
          <w:p w14:paraId="107F6209" w14:textId="67C76B6C" w:rsidR="008A48E4" w:rsidRDefault="008A48E4" w:rsidP="008A48E4">
            <w:pPr>
              <w:spacing w:line="276" w:lineRule="auto"/>
              <w:jc w:val="left"/>
            </w:pPr>
            <w:r>
              <w:t xml:space="preserve">    Non-Transfemoral</w:t>
            </w:r>
          </w:p>
        </w:tc>
        <w:tc>
          <w:tcPr>
            <w:tcW w:w="2254" w:type="dxa"/>
          </w:tcPr>
          <w:p w14:paraId="01E0B67C" w14:textId="62E34651" w:rsidR="008A48E4" w:rsidRPr="00CF04D2" w:rsidRDefault="000B5F4A" w:rsidP="00B771A4">
            <w:pPr>
              <w:spacing w:line="276" w:lineRule="auto"/>
              <w:jc w:val="center"/>
            </w:pPr>
            <w:r>
              <w:t>-0.02</w:t>
            </w:r>
            <w:r w:rsidR="00EE7526">
              <w:t xml:space="preserve"> (-0.3</w:t>
            </w:r>
            <w:r>
              <w:t>6, 0.32</w:t>
            </w:r>
            <w:r w:rsidR="00EE7526">
              <w:t>)</w:t>
            </w:r>
          </w:p>
        </w:tc>
        <w:tc>
          <w:tcPr>
            <w:tcW w:w="2254" w:type="dxa"/>
          </w:tcPr>
          <w:p w14:paraId="24C563E7" w14:textId="4D7076EB" w:rsidR="008A48E4" w:rsidRPr="00CF04D2" w:rsidRDefault="000B5F4A" w:rsidP="00B771A4">
            <w:pPr>
              <w:spacing w:line="276" w:lineRule="auto"/>
              <w:jc w:val="center"/>
            </w:pPr>
            <w:r>
              <w:t>0.50 (-0.02, 1.01</w:t>
            </w:r>
            <w:r w:rsidR="00EE7526">
              <w:t>)</w:t>
            </w:r>
          </w:p>
        </w:tc>
        <w:tc>
          <w:tcPr>
            <w:tcW w:w="2254" w:type="dxa"/>
          </w:tcPr>
          <w:p w14:paraId="439658E1" w14:textId="48D403AD" w:rsidR="008A48E4" w:rsidRDefault="000B5F4A" w:rsidP="00B771A4">
            <w:pPr>
              <w:spacing w:line="276" w:lineRule="auto"/>
              <w:jc w:val="center"/>
            </w:pPr>
            <w:r>
              <w:t>0.58 (0.48, 0.68</w:t>
            </w:r>
            <w:r w:rsidR="00EE7526">
              <w:t>)</w:t>
            </w:r>
          </w:p>
        </w:tc>
      </w:tr>
      <w:tr w:rsidR="008A48E4" w14:paraId="1C9EC977" w14:textId="77777777" w:rsidTr="00B771A4">
        <w:tc>
          <w:tcPr>
            <w:tcW w:w="2254" w:type="dxa"/>
          </w:tcPr>
          <w:p w14:paraId="597F7D2B" w14:textId="6870EE84" w:rsidR="008A48E4" w:rsidRDefault="008A48E4" w:rsidP="008A48E4">
            <w:pPr>
              <w:spacing w:line="276" w:lineRule="auto"/>
              <w:jc w:val="left"/>
            </w:pPr>
            <w:r>
              <w:t>Valve type</w:t>
            </w:r>
          </w:p>
        </w:tc>
        <w:tc>
          <w:tcPr>
            <w:tcW w:w="2254" w:type="dxa"/>
          </w:tcPr>
          <w:p w14:paraId="0AF1B151" w14:textId="77777777" w:rsidR="008A48E4" w:rsidRPr="00CF04D2" w:rsidRDefault="008A48E4" w:rsidP="00B771A4">
            <w:pPr>
              <w:spacing w:line="276" w:lineRule="auto"/>
              <w:jc w:val="center"/>
            </w:pPr>
          </w:p>
        </w:tc>
        <w:tc>
          <w:tcPr>
            <w:tcW w:w="2254" w:type="dxa"/>
          </w:tcPr>
          <w:p w14:paraId="752C29F8" w14:textId="77777777" w:rsidR="008A48E4" w:rsidRPr="00CF04D2" w:rsidRDefault="008A48E4" w:rsidP="00B771A4">
            <w:pPr>
              <w:spacing w:line="276" w:lineRule="auto"/>
              <w:jc w:val="center"/>
            </w:pPr>
          </w:p>
        </w:tc>
        <w:tc>
          <w:tcPr>
            <w:tcW w:w="2254" w:type="dxa"/>
          </w:tcPr>
          <w:p w14:paraId="3A52FC1D" w14:textId="77777777" w:rsidR="008A48E4" w:rsidRDefault="008A48E4" w:rsidP="00B771A4">
            <w:pPr>
              <w:spacing w:line="276" w:lineRule="auto"/>
              <w:jc w:val="center"/>
            </w:pPr>
          </w:p>
        </w:tc>
      </w:tr>
      <w:tr w:rsidR="008A48E4" w14:paraId="0477F791" w14:textId="77777777" w:rsidTr="00B771A4">
        <w:tc>
          <w:tcPr>
            <w:tcW w:w="2254" w:type="dxa"/>
          </w:tcPr>
          <w:p w14:paraId="5D1309E4" w14:textId="4F7B2774" w:rsidR="008A48E4" w:rsidRDefault="008A48E4" w:rsidP="008A48E4">
            <w:pPr>
              <w:spacing w:line="276" w:lineRule="auto"/>
              <w:jc w:val="left"/>
            </w:pPr>
            <w:r>
              <w:t xml:space="preserve">    SAPIEN</w:t>
            </w:r>
          </w:p>
        </w:tc>
        <w:tc>
          <w:tcPr>
            <w:tcW w:w="2254" w:type="dxa"/>
          </w:tcPr>
          <w:p w14:paraId="3E6F69E4" w14:textId="36B169EC" w:rsidR="008A48E4" w:rsidRPr="00CF04D2" w:rsidRDefault="000B5F4A" w:rsidP="00B771A4">
            <w:pPr>
              <w:spacing w:line="276" w:lineRule="auto"/>
              <w:jc w:val="center"/>
            </w:pPr>
            <w:r>
              <w:t>0.07 (-0.16, 0.30</w:t>
            </w:r>
            <w:r w:rsidR="00EE7526">
              <w:t>)</w:t>
            </w:r>
          </w:p>
        </w:tc>
        <w:tc>
          <w:tcPr>
            <w:tcW w:w="2254" w:type="dxa"/>
          </w:tcPr>
          <w:p w14:paraId="533E162F" w14:textId="7F635C58" w:rsidR="008A48E4" w:rsidRPr="00CF04D2" w:rsidRDefault="000B5F4A" w:rsidP="00B771A4">
            <w:pPr>
              <w:spacing w:line="276" w:lineRule="auto"/>
              <w:jc w:val="center"/>
            </w:pPr>
            <w:r>
              <w:t>0.66 (0.36, 0.97</w:t>
            </w:r>
            <w:r w:rsidR="00EE7526">
              <w:t>)</w:t>
            </w:r>
          </w:p>
        </w:tc>
        <w:tc>
          <w:tcPr>
            <w:tcW w:w="2254" w:type="dxa"/>
          </w:tcPr>
          <w:p w14:paraId="0FE5F86C" w14:textId="15967869" w:rsidR="008A48E4" w:rsidRDefault="000B5F4A" w:rsidP="00B771A4">
            <w:pPr>
              <w:spacing w:line="276" w:lineRule="auto"/>
              <w:jc w:val="center"/>
            </w:pPr>
            <w:r>
              <w:t>0.64 (0.57, 0.70</w:t>
            </w:r>
            <w:r w:rsidR="00EE7526">
              <w:t>)</w:t>
            </w:r>
          </w:p>
        </w:tc>
      </w:tr>
      <w:tr w:rsidR="008A48E4" w14:paraId="7C5286B5" w14:textId="77777777" w:rsidTr="00B771A4">
        <w:tc>
          <w:tcPr>
            <w:tcW w:w="2254" w:type="dxa"/>
          </w:tcPr>
          <w:p w14:paraId="1E5FAAB5" w14:textId="42A55D64" w:rsidR="008A48E4" w:rsidRDefault="008A48E4" w:rsidP="008A48E4">
            <w:pPr>
              <w:spacing w:line="276" w:lineRule="auto"/>
              <w:jc w:val="left"/>
            </w:pPr>
            <w:r>
              <w:t xml:space="preserve">    CoreValve</w:t>
            </w:r>
          </w:p>
        </w:tc>
        <w:tc>
          <w:tcPr>
            <w:tcW w:w="2254" w:type="dxa"/>
          </w:tcPr>
          <w:p w14:paraId="5724A45D" w14:textId="45661BF6" w:rsidR="008A48E4" w:rsidRPr="00CF04D2" w:rsidRDefault="000B5F4A" w:rsidP="00B771A4">
            <w:pPr>
              <w:spacing w:line="276" w:lineRule="auto"/>
              <w:jc w:val="center"/>
            </w:pPr>
            <w:r>
              <w:t>0.06 (-0.26, 0.37</w:t>
            </w:r>
            <w:r w:rsidR="00EE7526">
              <w:t>)</w:t>
            </w:r>
          </w:p>
        </w:tc>
        <w:tc>
          <w:tcPr>
            <w:tcW w:w="2254" w:type="dxa"/>
          </w:tcPr>
          <w:p w14:paraId="33C26FFC" w14:textId="3099C3B2" w:rsidR="008A48E4" w:rsidRPr="00CF04D2" w:rsidRDefault="000B5F4A" w:rsidP="00B771A4">
            <w:pPr>
              <w:spacing w:line="276" w:lineRule="auto"/>
              <w:jc w:val="center"/>
            </w:pPr>
            <w:r>
              <w:t>0.97 (0.57, 1.38</w:t>
            </w:r>
            <w:r w:rsidR="00EE7526">
              <w:t>)</w:t>
            </w:r>
          </w:p>
        </w:tc>
        <w:tc>
          <w:tcPr>
            <w:tcW w:w="2254" w:type="dxa"/>
          </w:tcPr>
          <w:p w14:paraId="454ED51D" w14:textId="1D505E90" w:rsidR="008A48E4" w:rsidRDefault="000B5F4A" w:rsidP="00B771A4">
            <w:pPr>
              <w:spacing w:line="276" w:lineRule="auto"/>
              <w:jc w:val="center"/>
            </w:pPr>
            <w:r>
              <w:t>0.69 (0.62, 0.77</w:t>
            </w:r>
            <w:r w:rsidR="00EE7526">
              <w:t>)</w:t>
            </w:r>
          </w:p>
        </w:tc>
      </w:tr>
    </w:tbl>
    <w:p w14:paraId="282A442F" w14:textId="77777777" w:rsidR="008A48E4" w:rsidRDefault="008A48E4" w:rsidP="008A48E4">
      <w:pPr>
        <w:spacing w:line="276" w:lineRule="auto"/>
      </w:pPr>
    </w:p>
    <w:p w14:paraId="2873EC50" w14:textId="54CAC9E8" w:rsidR="00230802" w:rsidRDefault="00230802" w:rsidP="00E46123">
      <w:pPr>
        <w:spacing w:line="276" w:lineRule="auto"/>
      </w:pPr>
    </w:p>
    <w:p w14:paraId="01D49E55" w14:textId="77777777" w:rsidR="00230802" w:rsidRDefault="00230802" w:rsidP="00E46123">
      <w:pPr>
        <w:spacing w:line="276" w:lineRule="auto"/>
        <w:sectPr w:rsidR="00230802" w:rsidSect="00B771A4">
          <w:pgSz w:w="11906" w:h="16838"/>
          <w:pgMar w:top="1440" w:right="1440" w:bottom="1440" w:left="1440" w:header="708" w:footer="708" w:gutter="0"/>
          <w:cols w:space="708"/>
          <w:docGrid w:linePitch="360"/>
        </w:sectPr>
      </w:pPr>
    </w:p>
    <w:p w14:paraId="22146D9F" w14:textId="01BC01B9" w:rsidR="00A87B21" w:rsidRDefault="00A87B21" w:rsidP="00E46123">
      <w:pPr>
        <w:spacing w:line="276" w:lineRule="auto"/>
      </w:pPr>
      <w:r>
        <w:rPr>
          <w:b/>
        </w:rPr>
        <w:lastRenderedPageBreak/>
        <w:t xml:space="preserve">Supplementary Table </w:t>
      </w:r>
      <w:r w:rsidR="006F1757">
        <w:rPr>
          <w:b/>
        </w:rPr>
        <w:t>4</w:t>
      </w:r>
      <w:r>
        <w:rPr>
          <w:b/>
        </w:rPr>
        <w:t xml:space="preserve">: </w:t>
      </w:r>
      <w:r w:rsidRPr="005644F4">
        <w:t xml:space="preserve">Variables </w:t>
      </w:r>
      <w:r>
        <w:t>included in the model within the sensitivity analysis that only singularly imputed missing data.</w:t>
      </w:r>
    </w:p>
    <w:tbl>
      <w:tblPr>
        <w:tblStyle w:val="TableGrid"/>
        <w:tblW w:w="5000" w:type="pct"/>
        <w:tblLook w:val="04A0" w:firstRow="1" w:lastRow="0" w:firstColumn="1" w:lastColumn="0" w:noHBand="0" w:noVBand="1"/>
      </w:tblPr>
      <w:tblGrid>
        <w:gridCol w:w="3839"/>
        <w:gridCol w:w="2277"/>
        <w:gridCol w:w="2900"/>
      </w:tblGrid>
      <w:tr w:rsidR="0094316E" w14:paraId="06686C8D" w14:textId="77777777" w:rsidTr="0094316E">
        <w:tc>
          <w:tcPr>
            <w:tcW w:w="2129" w:type="pct"/>
          </w:tcPr>
          <w:p w14:paraId="0D75A3EC" w14:textId="73F4E3DE" w:rsidR="0094316E" w:rsidRPr="005D25E7" w:rsidRDefault="0094316E" w:rsidP="00E46123">
            <w:pPr>
              <w:spacing w:line="276" w:lineRule="auto"/>
              <w:rPr>
                <w:b/>
              </w:rPr>
            </w:pPr>
            <w:r>
              <w:rPr>
                <w:b/>
              </w:rPr>
              <w:t xml:space="preserve">Variable </w:t>
            </w:r>
            <w:r w:rsidRPr="0061246C">
              <w:rPr>
                <w:b/>
                <w:szCs w:val="20"/>
              </w:rPr>
              <w:t>*</w:t>
            </w:r>
          </w:p>
        </w:tc>
        <w:tc>
          <w:tcPr>
            <w:tcW w:w="1263" w:type="pct"/>
            <w:vAlign w:val="center"/>
          </w:tcPr>
          <w:p w14:paraId="751E48CE" w14:textId="71431F4F" w:rsidR="0094316E" w:rsidRPr="005D25E7" w:rsidRDefault="0094316E" w:rsidP="00E46123">
            <w:pPr>
              <w:spacing w:line="276" w:lineRule="auto"/>
              <w:jc w:val="center"/>
              <w:rPr>
                <w:b/>
              </w:rPr>
            </w:pPr>
            <w:r>
              <w:rPr>
                <w:b/>
              </w:rPr>
              <w:t>Coefficient (SE)</w:t>
            </w:r>
          </w:p>
        </w:tc>
        <w:tc>
          <w:tcPr>
            <w:tcW w:w="1608" w:type="pct"/>
            <w:vAlign w:val="center"/>
          </w:tcPr>
          <w:p w14:paraId="25DC1042" w14:textId="77777777" w:rsidR="0094316E" w:rsidRPr="005D25E7" w:rsidRDefault="0094316E" w:rsidP="00E46123">
            <w:pPr>
              <w:spacing w:line="276" w:lineRule="auto"/>
              <w:jc w:val="center"/>
              <w:rPr>
                <w:b/>
              </w:rPr>
            </w:pPr>
            <w:r>
              <w:rPr>
                <w:b/>
              </w:rPr>
              <w:t>OR (95% CI)</w:t>
            </w:r>
          </w:p>
        </w:tc>
      </w:tr>
      <w:tr w:rsidR="0094316E" w14:paraId="48CA9650" w14:textId="77777777" w:rsidTr="0094316E">
        <w:tc>
          <w:tcPr>
            <w:tcW w:w="2129" w:type="pct"/>
          </w:tcPr>
          <w:p w14:paraId="20E1A1C1" w14:textId="0E7EB89B" w:rsidR="0094316E" w:rsidRPr="000C322C" w:rsidRDefault="0094316E" w:rsidP="0094316E">
            <w:pPr>
              <w:spacing w:line="276" w:lineRule="auto"/>
            </w:pPr>
            <w:r w:rsidRPr="000C322C">
              <w:t>Intercept</w:t>
            </w:r>
          </w:p>
        </w:tc>
        <w:tc>
          <w:tcPr>
            <w:tcW w:w="1263" w:type="pct"/>
            <w:vAlign w:val="center"/>
          </w:tcPr>
          <w:p w14:paraId="0B072A61" w14:textId="5C82EC4B" w:rsidR="0094316E" w:rsidRPr="000C322C" w:rsidRDefault="00EB4FDC" w:rsidP="0094316E">
            <w:pPr>
              <w:spacing w:line="276" w:lineRule="auto"/>
              <w:jc w:val="center"/>
            </w:pPr>
            <w:r w:rsidRPr="00EB4FDC">
              <w:t>-3.3855 (0.2432)</w:t>
            </w:r>
          </w:p>
        </w:tc>
        <w:tc>
          <w:tcPr>
            <w:tcW w:w="1608" w:type="pct"/>
            <w:vAlign w:val="center"/>
          </w:tcPr>
          <w:p w14:paraId="2CF186BC" w14:textId="1D439A80" w:rsidR="0094316E" w:rsidRPr="000C322C" w:rsidRDefault="0094316E" w:rsidP="0094316E">
            <w:pPr>
              <w:spacing w:line="276" w:lineRule="auto"/>
              <w:jc w:val="center"/>
            </w:pPr>
            <w:r>
              <w:t>N/A</w:t>
            </w:r>
          </w:p>
        </w:tc>
      </w:tr>
      <w:tr w:rsidR="00EB4FDC" w14:paraId="17BE7F67" w14:textId="77777777" w:rsidTr="00B771A4">
        <w:tc>
          <w:tcPr>
            <w:tcW w:w="2129" w:type="pct"/>
          </w:tcPr>
          <w:p w14:paraId="1297F5EC" w14:textId="632314BB" w:rsidR="00EB4FDC" w:rsidRPr="00E46123" w:rsidRDefault="00EB4FDC" w:rsidP="00EB4FDC">
            <w:pPr>
              <w:spacing w:line="276" w:lineRule="auto"/>
            </w:pPr>
            <w:r>
              <w:t>Mean-centred Age</w:t>
            </w:r>
          </w:p>
        </w:tc>
        <w:tc>
          <w:tcPr>
            <w:tcW w:w="1263" w:type="pct"/>
          </w:tcPr>
          <w:p w14:paraId="6AC2179A" w14:textId="3C5B5C3B" w:rsidR="00EB4FDC" w:rsidRPr="007611F5" w:rsidRDefault="00EB4FDC" w:rsidP="00EB4FDC">
            <w:pPr>
              <w:spacing w:line="276" w:lineRule="auto"/>
              <w:jc w:val="center"/>
            </w:pPr>
            <w:r w:rsidRPr="000700C8">
              <w:t>0.0131 (0.0085)</w:t>
            </w:r>
          </w:p>
        </w:tc>
        <w:tc>
          <w:tcPr>
            <w:tcW w:w="1608" w:type="pct"/>
          </w:tcPr>
          <w:p w14:paraId="331069FB" w14:textId="238A07C1" w:rsidR="00EB4FDC" w:rsidRPr="007611F5" w:rsidRDefault="00EB4FDC" w:rsidP="00EB4FDC">
            <w:pPr>
              <w:spacing w:line="276" w:lineRule="auto"/>
              <w:jc w:val="center"/>
            </w:pPr>
            <w:r w:rsidRPr="000700C8">
              <w:t>1.0132 (0.9965, 1.0302)</w:t>
            </w:r>
          </w:p>
        </w:tc>
      </w:tr>
      <w:tr w:rsidR="00EB4FDC" w14:paraId="6185E3F8" w14:textId="77777777" w:rsidTr="00B771A4">
        <w:tc>
          <w:tcPr>
            <w:tcW w:w="2129" w:type="pct"/>
          </w:tcPr>
          <w:p w14:paraId="2361C578" w14:textId="3418F35E" w:rsidR="00EB4FDC" w:rsidRPr="00E46123" w:rsidRDefault="00EB4FDC" w:rsidP="00EB4FDC">
            <w:pPr>
              <w:spacing w:line="276" w:lineRule="auto"/>
            </w:pPr>
            <w:r w:rsidRPr="00E46123">
              <w:t>Female</w:t>
            </w:r>
          </w:p>
        </w:tc>
        <w:tc>
          <w:tcPr>
            <w:tcW w:w="1263" w:type="pct"/>
          </w:tcPr>
          <w:p w14:paraId="78E1465C" w14:textId="0FD15597" w:rsidR="00EB4FDC" w:rsidRPr="007611F5" w:rsidRDefault="00EB4FDC" w:rsidP="00EB4FDC">
            <w:pPr>
              <w:spacing w:line="276" w:lineRule="auto"/>
              <w:jc w:val="center"/>
            </w:pPr>
            <w:r w:rsidRPr="0087270D">
              <w:t>0.1605 (0.1185)</w:t>
            </w:r>
          </w:p>
        </w:tc>
        <w:tc>
          <w:tcPr>
            <w:tcW w:w="1608" w:type="pct"/>
          </w:tcPr>
          <w:p w14:paraId="75553958" w14:textId="3560F96D" w:rsidR="00EB4FDC" w:rsidRPr="007611F5" w:rsidRDefault="00EB4FDC" w:rsidP="00EB4FDC">
            <w:pPr>
              <w:spacing w:line="276" w:lineRule="auto"/>
              <w:jc w:val="center"/>
            </w:pPr>
            <w:r w:rsidRPr="0087270D">
              <w:t>1.1741 (0.9308, 1.481</w:t>
            </w:r>
            <w:r>
              <w:t>0</w:t>
            </w:r>
            <w:r w:rsidRPr="0087270D">
              <w:t>)</w:t>
            </w:r>
          </w:p>
        </w:tc>
      </w:tr>
      <w:tr w:rsidR="00EB4FDC" w14:paraId="286C855D" w14:textId="77777777" w:rsidTr="00B771A4">
        <w:tc>
          <w:tcPr>
            <w:tcW w:w="2129" w:type="pct"/>
          </w:tcPr>
          <w:p w14:paraId="6F191604" w14:textId="1F28A5DD" w:rsidR="00EB4FDC" w:rsidRPr="00E46123" w:rsidRDefault="00EB4FDC" w:rsidP="00EB4FDC">
            <w:pPr>
              <w:spacing w:line="276" w:lineRule="auto"/>
            </w:pPr>
            <w:r>
              <w:t xml:space="preserve">Mean-centred </w:t>
            </w:r>
            <w:r w:rsidRPr="00E46123">
              <w:t>BMI</w:t>
            </w:r>
          </w:p>
        </w:tc>
        <w:tc>
          <w:tcPr>
            <w:tcW w:w="1263" w:type="pct"/>
          </w:tcPr>
          <w:p w14:paraId="306E8B85" w14:textId="5185B58A" w:rsidR="00EB4FDC" w:rsidRDefault="00EB4FDC" w:rsidP="00EB4FDC">
            <w:pPr>
              <w:spacing w:line="276" w:lineRule="auto"/>
              <w:jc w:val="center"/>
            </w:pPr>
            <w:r w:rsidRPr="00E932E7">
              <w:t>-0.0267 (0.0118)</w:t>
            </w:r>
          </w:p>
        </w:tc>
        <w:tc>
          <w:tcPr>
            <w:tcW w:w="1608" w:type="pct"/>
          </w:tcPr>
          <w:p w14:paraId="1BEB2EBB" w14:textId="36E34927" w:rsidR="00EB4FDC" w:rsidRDefault="00EB4FDC" w:rsidP="00EB4FDC">
            <w:pPr>
              <w:spacing w:line="276" w:lineRule="auto"/>
              <w:jc w:val="center"/>
            </w:pPr>
            <w:r w:rsidRPr="00E932E7">
              <w:t>0.9736 (0.9514, 0.9964)</w:t>
            </w:r>
          </w:p>
        </w:tc>
      </w:tr>
      <w:tr w:rsidR="00EB4FDC" w14:paraId="51650189" w14:textId="77777777" w:rsidTr="00B771A4">
        <w:tc>
          <w:tcPr>
            <w:tcW w:w="2129" w:type="pct"/>
          </w:tcPr>
          <w:p w14:paraId="66451AEC" w14:textId="383ED403" w:rsidR="00EB4FDC" w:rsidRPr="00E46123" w:rsidRDefault="00EB4FDC" w:rsidP="00EB4FDC">
            <w:pPr>
              <w:spacing w:line="276" w:lineRule="auto"/>
            </w:pPr>
            <w:r>
              <w:t xml:space="preserve">Mean-centred </w:t>
            </w:r>
            <w:r w:rsidRPr="00E46123">
              <w:t xml:space="preserve">BMI </w:t>
            </w:r>
            <w:r>
              <w:t>s</w:t>
            </w:r>
            <w:r w:rsidRPr="00E46123">
              <w:t>quared</w:t>
            </w:r>
          </w:p>
        </w:tc>
        <w:tc>
          <w:tcPr>
            <w:tcW w:w="1263" w:type="pct"/>
            <w:vAlign w:val="center"/>
          </w:tcPr>
          <w:p w14:paraId="0426BD49" w14:textId="1E0AEF96" w:rsidR="00EB4FDC" w:rsidRDefault="00EB4FDC" w:rsidP="00EB4FDC">
            <w:pPr>
              <w:spacing w:line="276" w:lineRule="auto"/>
              <w:jc w:val="center"/>
            </w:pPr>
            <w:r>
              <w:t>0.0011 (0.0000)</w:t>
            </w:r>
          </w:p>
        </w:tc>
        <w:tc>
          <w:tcPr>
            <w:tcW w:w="1608" w:type="pct"/>
            <w:vAlign w:val="center"/>
          </w:tcPr>
          <w:p w14:paraId="5D383C0F" w14:textId="548D263D" w:rsidR="00EB4FDC" w:rsidRDefault="00EB4FDC" w:rsidP="00EB4FDC">
            <w:pPr>
              <w:spacing w:line="276" w:lineRule="auto"/>
              <w:jc w:val="center"/>
            </w:pPr>
            <w:r>
              <w:t>1.0011 (0.9998, 1.0024)</w:t>
            </w:r>
          </w:p>
        </w:tc>
      </w:tr>
      <w:tr w:rsidR="00EB4FDC" w14:paraId="78D7E023" w14:textId="77777777" w:rsidTr="00B771A4">
        <w:tc>
          <w:tcPr>
            <w:tcW w:w="2129" w:type="pct"/>
          </w:tcPr>
          <w:p w14:paraId="064E2002" w14:textId="40C0BE49" w:rsidR="00EB4FDC" w:rsidRDefault="00EB4FDC" w:rsidP="00EB4FDC">
            <w:pPr>
              <w:spacing w:line="276" w:lineRule="auto"/>
            </w:pPr>
            <w:r w:rsidRPr="00E46123">
              <w:t>Glomerular Filtration Rate per 5 unit increase</w:t>
            </w:r>
          </w:p>
        </w:tc>
        <w:tc>
          <w:tcPr>
            <w:tcW w:w="1263" w:type="pct"/>
            <w:vAlign w:val="center"/>
          </w:tcPr>
          <w:p w14:paraId="7E2EAAEA" w14:textId="62A529D7" w:rsidR="00EB4FDC" w:rsidRPr="005D25E7" w:rsidRDefault="00EB4FDC" w:rsidP="00EB4FDC">
            <w:pPr>
              <w:spacing w:line="276" w:lineRule="auto"/>
              <w:jc w:val="center"/>
            </w:pPr>
            <w:r>
              <w:t>-0.0346 (0.014)</w:t>
            </w:r>
          </w:p>
        </w:tc>
        <w:tc>
          <w:tcPr>
            <w:tcW w:w="1608" w:type="pct"/>
            <w:vAlign w:val="center"/>
          </w:tcPr>
          <w:p w14:paraId="5F5FCA11" w14:textId="298C169A" w:rsidR="00EB4FDC" w:rsidRDefault="00EB4FDC" w:rsidP="00EB4FDC">
            <w:pPr>
              <w:spacing w:line="276" w:lineRule="auto"/>
              <w:jc w:val="center"/>
            </w:pPr>
            <w:r>
              <w:t>0.966 (0.9398, 0.9929)</w:t>
            </w:r>
          </w:p>
        </w:tc>
      </w:tr>
      <w:tr w:rsidR="00EB4FDC" w14:paraId="6FB1FBB7" w14:textId="77777777" w:rsidTr="00B771A4">
        <w:tc>
          <w:tcPr>
            <w:tcW w:w="2129" w:type="pct"/>
          </w:tcPr>
          <w:p w14:paraId="0010CB78" w14:textId="096D308E" w:rsidR="00EB4FDC" w:rsidRPr="00E46123" w:rsidRDefault="00EB4FDC" w:rsidP="00EB4FDC">
            <w:pPr>
              <w:spacing w:line="276" w:lineRule="auto"/>
            </w:pPr>
            <w:r w:rsidRPr="00E46123">
              <w:t>Pulmonary disease</w:t>
            </w:r>
          </w:p>
        </w:tc>
        <w:tc>
          <w:tcPr>
            <w:tcW w:w="1263" w:type="pct"/>
            <w:vAlign w:val="center"/>
          </w:tcPr>
          <w:p w14:paraId="1F5A67DA" w14:textId="4C821358" w:rsidR="00EB4FDC" w:rsidRPr="005D25E7" w:rsidRDefault="00EB4FDC" w:rsidP="00EB4FDC">
            <w:pPr>
              <w:spacing w:line="276" w:lineRule="auto"/>
              <w:jc w:val="center"/>
            </w:pPr>
            <w:r>
              <w:t>0.2103 (0.1253)</w:t>
            </w:r>
          </w:p>
        </w:tc>
        <w:tc>
          <w:tcPr>
            <w:tcW w:w="1608" w:type="pct"/>
            <w:vAlign w:val="center"/>
          </w:tcPr>
          <w:p w14:paraId="6A4EE4F2" w14:textId="6E6159FD" w:rsidR="00EB4FDC" w:rsidRDefault="00EB4FDC" w:rsidP="00EB4FDC">
            <w:pPr>
              <w:spacing w:line="276" w:lineRule="auto"/>
              <w:jc w:val="center"/>
            </w:pPr>
            <w:r>
              <w:t>1.234</w:t>
            </w:r>
            <w:r w:rsidR="00D4703F">
              <w:t>0</w:t>
            </w:r>
            <w:r>
              <w:t xml:space="preserve"> (0.9653, 1.5776)</w:t>
            </w:r>
          </w:p>
        </w:tc>
      </w:tr>
      <w:tr w:rsidR="00D4703F" w14:paraId="1C81B5F5" w14:textId="77777777" w:rsidTr="00B771A4">
        <w:tc>
          <w:tcPr>
            <w:tcW w:w="2129" w:type="pct"/>
          </w:tcPr>
          <w:p w14:paraId="0594C6F7" w14:textId="3C6E2B89" w:rsidR="00D4703F" w:rsidRDefault="00D4703F" w:rsidP="00D4703F">
            <w:pPr>
              <w:spacing w:line="276" w:lineRule="auto"/>
            </w:pPr>
            <w:r w:rsidRPr="00E46123">
              <w:t>Extracardiac arteriopathy</w:t>
            </w:r>
          </w:p>
        </w:tc>
        <w:tc>
          <w:tcPr>
            <w:tcW w:w="1263" w:type="pct"/>
          </w:tcPr>
          <w:p w14:paraId="37A1A176" w14:textId="27C62258" w:rsidR="00D4703F" w:rsidRDefault="00D4703F" w:rsidP="00D4703F">
            <w:pPr>
              <w:spacing w:line="276" w:lineRule="auto"/>
              <w:jc w:val="center"/>
            </w:pPr>
            <w:r w:rsidRPr="00712EC2">
              <w:t>0.1837 (0.135</w:t>
            </w:r>
            <w:r>
              <w:t>0</w:t>
            </w:r>
            <w:r w:rsidRPr="00712EC2">
              <w:t>)</w:t>
            </w:r>
          </w:p>
        </w:tc>
        <w:tc>
          <w:tcPr>
            <w:tcW w:w="1608" w:type="pct"/>
          </w:tcPr>
          <w:p w14:paraId="4EBBFA64" w14:textId="27853642" w:rsidR="00D4703F" w:rsidRDefault="00D4703F" w:rsidP="00D4703F">
            <w:pPr>
              <w:spacing w:line="276" w:lineRule="auto"/>
              <w:jc w:val="center"/>
            </w:pPr>
            <w:r w:rsidRPr="00712EC2">
              <w:t>1.2016 (0.9222, 1.5657)</w:t>
            </w:r>
          </w:p>
        </w:tc>
      </w:tr>
      <w:tr w:rsidR="00D4703F" w14:paraId="2D11703A" w14:textId="77777777" w:rsidTr="00B771A4">
        <w:tc>
          <w:tcPr>
            <w:tcW w:w="2129" w:type="pct"/>
          </w:tcPr>
          <w:p w14:paraId="2AF8C8CD" w14:textId="77777777" w:rsidR="00D4703F" w:rsidRPr="00E46123" w:rsidRDefault="00D4703F" w:rsidP="00D4703F">
            <w:pPr>
              <w:spacing w:line="276" w:lineRule="auto"/>
            </w:pPr>
            <w:r w:rsidRPr="00E46123">
              <w:t>Calcified Aorta</w:t>
            </w:r>
          </w:p>
        </w:tc>
        <w:tc>
          <w:tcPr>
            <w:tcW w:w="1263" w:type="pct"/>
          </w:tcPr>
          <w:p w14:paraId="253C26C2" w14:textId="11F540F0" w:rsidR="00D4703F" w:rsidRDefault="00D4703F" w:rsidP="00D4703F">
            <w:pPr>
              <w:spacing w:line="276" w:lineRule="auto"/>
              <w:jc w:val="center"/>
            </w:pPr>
            <w:r w:rsidRPr="003656BE">
              <w:t>0.1785 (0.143</w:t>
            </w:r>
            <w:r>
              <w:t>0</w:t>
            </w:r>
            <w:r w:rsidRPr="003656BE">
              <w:t>)</w:t>
            </w:r>
          </w:p>
        </w:tc>
        <w:tc>
          <w:tcPr>
            <w:tcW w:w="1608" w:type="pct"/>
          </w:tcPr>
          <w:p w14:paraId="0FA7A27E" w14:textId="40C2CED0" w:rsidR="00D4703F" w:rsidRDefault="00D4703F" w:rsidP="00D4703F">
            <w:pPr>
              <w:spacing w:line="276" w:lineRule="auto"/>
              <w:jc w:val="center"/>
            </w:pPr>
            <w:r w:rsidRPr="003656BE">
              <w:t>1.1955 (0.9032, 1.5823)</w:t>
            </w:r>
          </w:p>
        </w:tc>
      </w:tr>
      <w:tr w:rsidR="00D4703F" w14:paraId="73E10F1F" w14:textId="77777777" w:rsidTr="00B771A4">
        <w:tc>
          <w:tcPr>
            <w:tcW w:w="2129" w:type="pct"/>
          </w:tcPr>
          <w:p w14:paraId="118D22D9" w14:textId="35793F0F" w:rsidR="00D4703F" w:rsidRPr="00E46123" w:rsidRDefault="00D4703F" w:rsidP="00D4703F">
            <w:pPr>
              <w:spacing w:line="276" w:lineRule="auto"/>
            </w:pPr>
            <w:r w:rsidRPr="00E46123">
              <w:t>Sinus pre-operative heart rhythm</w:t>
            </w:r>
          </w:p>
        </w:tc>
        <w:tc>
          <w:tcPr>
            <w:tcW w:w="1263" w:type="pct"/>
          </w:tcPr>
          <w:p w14:paraId="6E7EA364" w14:textId="5C089C9A" w:rsidR="00D4703F" w:rsidRDefault="00D4703F" w:rsidP="00D4703F">
            <w:pPr>
              <w:spacing w:line="276" w:lineRule="auto"/>
              <w:jc w:val="center"/>
            </w:pPr>
            <w:r w:rsidRPr="00647443">
              <w:t>-0.1522 (0.1197)</w:t>
            </w:r>
          </w:p>
        </w:tc>
        <w:tc>
          <w:tcPr>
            <w:tcW w:w="1608" w:type="pct"/>
          </w:tcPr>
          <w:p w14:paraId="0B4F14E3" w14:textId="75B7C7F6" w:rsidR="00D4703F" w:rsidRDefault="00D4703F" w:rsidP="00D4703F">
            <w:pPr>
              <w:spacing w:line="276" w:lineRule="auto"/>
              <w:jc w:val="center"/>
            </w:pPr>
            <w:r w:rsidRPr="00647443">
              <w:t>0.8588 (0.6792, 1.086</w:t>
            </w:r>
            <w:r>
              <w:t>0</w:t>
            </w:r>
            <w:r w:rsidRPr="00647443">
              <w:t>)</w:t>
            </w:r>
          </w:p>
        </w:tc>
      </w:tr>
      <w:tr w:rsidR="00D4703F" w14:paraId="329B6544" w14:textId="77777777" w:rsidTr="00B771A4">
        <w:tc>
          <w:tcPr>
            <w:tcW w:w="2129" w:type="pct"/>
          </w:tcPr>
          <w:p w14:paraId="26577C5D" w14:textId="0F0BA633" w:rsidR="00D4703F" w:rsidRPr="00E46123" w:rsidRDefault="00D4703F" w:rsidP="00D4703F">
            <w:pPr>
              <w:spacing w:line="276" w:lineRule="auto"/>
            </w:pPr>
            <w:r w:rsidRPr="00E46123">
              <w:t>Prior BAV</w:t>
            </w:r>
          </w:p>
        </w:tc>
        <w:tc>
          <w:tcPr>
            <w:tcW w:w="1263" w:type="pct"/>
          </w:tcPr>
          <w:p w14:paraId="054AB901" w14:textId="7011201B" w:rsidR="00D4703F" w:rsidRDefault="00D4703F" w:rsidP="00D4703F">
            <w:pPr>
              <w:spacing w:line="276" w:lineRule="auto"/>
              <w:jc w:val="center"/>
            </w:pPr>
            <w:r w:rsidRPr="00C81C8A">
              <w:t>0.2742 (0.1636)</w:t>
            </w:r>
          </w:p>
        </w:tc>
        <w:tc>
          <w:tcPr>
            <w:tcW w:w="1608" w:type="pct"/>
          </w:tcPr>
          <w:p w14:paraId="1EA81E34" w14:textId="7658AC07" w:rsidR="00D4703F" w:rsidRDefault="00D4703F" w:rsidP="00D4703F">
            <w:pPr>
              <w:spacing w:line="276" w:lineRule="auto"/>
              <w:jc w:val="center"/>
            </w:pPr>
            <w:r w:rsidRPr="00C81C8A">
              <w:t>1.3155 (0.9547, 1.8128)</w:t>
            </w:r>
          </w:p>
        </w:tc>
      </w:tr>
      <w:tr w:rsidR="00D4703F" w14:paraId="4D7DD1D2" w14:textId="77777777" w:rsidTr="00B771A4">
        <w:tc>
          <w:tcPr>
            <w:tcW w:w="2129" w:type="pct"/>
          </w:tcPr>
          <w:p w14:paraId="110B1A3E" w14:textId="77777777" w:rsidR="00D4703F" w:rsidRPr="00E46123" w:rsidRDefault="00D4703F" w:rsidP="00D4703F">
            <w:pPr>
              <w:spacing w:line="276" w:lineRule="auto"/>
            </w:pPr>
            <w:r w:rsidRPr="00E46123">
              <w:t>Critical pre-operative status</w:t>
            </w:r>
          </w:p>
        </w:tc>
        <w:tc>
          <w:tcPr>
            <w:tcW w:w="1263" w:type="pct"/>
          </w:tcPr>
          <w:p w14:paraId="71FA86B3" w14:textId="45328FFB" w:rsidR="00D4703F" w:rsidRDefault="00D4703F" w:rsidP="00D4703F">
            <w:pPr>
              <w:spacing w:line="276" w:lineRule="auto"/>
              <w:jc w:val="center"/>
            </w:pPr>
            <w:r w:rsidRPr="008D7820">
              <w:t>0.6772 (0.3129)</w:t>
            </w:r>
          </w:p>
        </w:tc>
        <w:tc>
          <w:tcPr>
            <w:tcW w:w="1608" w:type="pct"/>
          </w:tcPr>
          <w:p w14:paraId="330E7A7D" w14:textId="5346BA5E" w:rsidR="00D4703F" w:rsidRDefault="00D4703F" w:rsidP="00D4703F">
            <w:pPr>
              <w:spacing w:line="276" w:lineRule="auto"/>
              <w:jc w:val="center"/>
            </w:pPr>
            <w:r w:rsidRPr="008D7820">
              <w:t>1.9684 (1.066, 3.6347)</w:t>
            </w:r>
          </w:p>
        </w:tc>
      </w:tr>
      <w:tr w:rsidR="00D4703F" w14:paraId="60AF621F" w14:textId="77777777" w:rsidTr="00B771A4">
        <w:tc>
          <w:tcPr>
            <w:tcW w:w="2129" w:type="pct"/>
          </w:tcPr>
          <w:p w14:paraId="73B1FFD7" w14:textId="55D6B448" w:rsidR="00D4703F" w:rsidRPr="00E46123" w:rsidRDefault="00D4703F" w:rsidP="00D4703F">
            <w:pPr>
              <w:spacing w:line="276" w:lineRule="auto"/>
            </w:pPr>
            <w:r w:rsidRPr="00E46123">
              <w:t>Poor Mobility</w:t>
            </w:r>
          </w:p>
        </w:tc>
        <w:tc>
          <w:tcPr>
            <w:tcW w:w="1263" w:type="pct"/>
          </w:tcPr>
          <w:p w14:paraId="0EB0D372" w14:textId="244F9F41" w:rsidR="00D4703F" w:rsidRDefault="00D4703F" w:rsidP="00D4703F">
            <w:pPr>
              <w:spacing w:line="276" w:lineRule="auto"/>
              <w:jc w:val="center"/>
            </w:pPr>
            <w:r w:rsidRPr="00C9098F">
              <w:t>0.6713 (0.2023)</w:t>
            </w:r>
          </w:p>
        </w:tc>
        <w:tc>
          <w:tcPr>
            <w:tcW w:w="1608" w:type="pct"/>
          </w:tcPr>
          <w:p w14:paraId="30AC651A" w14:textId="3414DA52" w:rsidR="00D4703F" w:rsidRDefault="00D4703F" w:rsidP="00D4703F">
            <w:pPr>
              <w:spacing w:line="276" w:lineRule="auto"/>
              <w:jc w:val="center"/>
            </w:pPr>
            <w:r w:rsidRPr="00C9098F">
              <w:t>1.9567 (1.3161, 2.9092)</w:t>
            </w:r>
          </w:p>
        </w:tc>
      </w:tr>
      <w:tr w:rsidR="00D4703F" w14:paraId="4F9C0543" w14:textId="77777777" w:rsidTr="00B771A4">
        <w:tc>
          <w:tcPr>
            <w:tcW w:w="2129" w:type="pct"/>
          </w:tcPr>
          <w:p w14:paraId="512C8F1D" w14:textId="05BD3962" w:rsidR="00D4703F" w:rsidRPr="00E46123" w:rsidRDefault="00D4703F" w:rsidP="00D4703F">
            <w:pPr>
              <w:spacing w:line="276" w:lineRule="auto"/>
            </w:pPr>
            <w:r w:rsidRPr="00E46123">
              <w:t>KATZ</w:t>
            </w:r>
            <w:r>
              <w:t xml:space="preserve"> (per point drop from 6 points)</w:t>
            </w:r>
          </w:p>
        </w:tc>
        <w:tc>
          <w:tcPr>
            <w:tcW w:w="1263" w:type="pct"/>
          </w:tcPr>
          <w:p w14:paraId="357B2141" w14:textId="084DC442" w:rsidR="00D4703F" w:rsidRDefault="00D4703F" w:rsidP="00D4703F">
            <w:pPr>
              <w:spacing w:line="276" w:lineRule="auto"/>
              <w:jc w:val="center"/>
            </w:pPr>
            <w:r w:rsidRPr="004014EB">
              <w:t>0.2053 (0.0679)</w:t>
            </w:r>
          </w:p>
        </w:tc>
        <w:tc>
          <w:tcPr>
            <w:tcW w:w="1608" w:type="pct"/>
          </w:tcPr>
          <w:p w14:paraId="4FB78CA9" w14:textId="7A5FD1B4" w:rsidR="00D4703F" w:rsidRDefault="00D4703F" w:rsidP="00D4703F">
            <w:pPr>
              <w:spacing w:line="276" w:lineRule="auto"/>
              <w:jc w:val="center"/>
            </w:pPr>
            <w:r w:rsidRPr="004014EB">
              <w:t>1.2279 (1.0749, 1.4028)</w:t>
            </w:r>
          </w:p>
        </w:tc>
      </w:tr>
      <w:tr w:rsidR="00D4703F" w14:paraId="03DE09C5" w14:textId="77777777" w:rsidTr="00B771A4">
        <w:tc>
          <w:tcPr>
            <w:tcW w:w="2129" w:type="pct"/>
          </w:tcPr>
          <w:p w14:paraId="2D34B783" w14:textId="77777777" w:rsidR="00D4703F" w:rsidRPr="00E46123" w:rsidRDefault="00D4703F" w:rsidP="00D4703F">
            <w:pPr>
              <w:spacing w:line="276" w:lineRule="auto"/>
            </w:pPr>
            <w:r w:rsidRPr="00E46123">
              <w:t>PA Systolic pressure &gt;60mmHg</w:t>
            </w:r>
          </w:p>
        </w:tc>
        <w:tc>
          <w:tcPr>
            <w:tcW w:w="1263" w:type="pct"/>
          </w:tcPr>
          <w:p w14:paraId="5A70E6FE" w14:textId="619E4749" w:rsidR="00D4703F" w:rsidRDefault="00D4703F" w:rsidP="00D4703F">
            <w:pPr>
              <w:spacing w:line="276" w:lineRule="auto"/>
              <w:jc w:val="center"/>
            </w:pPr>
            <w:r w:rsidRPr="00997045">
              <w:t>0.2884 (0.1604)</w:t>
            </w:r>
          </w:p>
        </w:tc>
        <w:tc>
          <w:tcPr>
            <w:tcW w:w="1608" w:type="pct"/>
          </w:tcPr>
          <w:p w14:paraId="385A8646" w14:textId="76377BE3" w:rsidR="00D4703F" w:rsidRDefault="00D4703F" w:rsidP="00D4703F">
            <w:pPr>
              <w:spacing w:line="276" w:lineRule="auto"/>
              <w:jc w:val="center"/>
            </w:pPr>
            <w:r w:rsidRPr="00997045">
              <w:t>1.3343 (0.9743, 1.8273)</w:t>
            </w:r>
          </w:p>
        </w:tc>
      </w:tr>
      <w:tr w:rsidR="00D4703F" w14:paraId="6D8AB90A" w14:textId="77777777" w:rsidTr="00B771A4">
        <w:tc>
          <w:tcPr>
            <w:tcW w:w="2129" w:type="pct"/>
          </w:tcPr>
          <w:p w14:paraId="782971FA" w14:textId="7C3EC2D3" w:rsidR="00D4703F" w:rsidRPr="00E46123" w:rsidRDefault="00D4703F" w:rsidP="00D4703F">
            <w:pPr>
              <w:spacing w:line="276" w:lineRule="auto"/>
            </w:pPr>
            <w:r w:rsidRPr="00E46123">
              <w:t>Aortic peak gradient</w:t>
            </w:r>
          </w:p>
        </w:tc>
        <w:tc>
          <w:tcPr>
            <w:tcW w:w="1263" w:type="pct"/>
          </w:tcPr>
          <w:p w14:paraId="6906727D" w14:textId="1AFA5BFC" w:rsidR="00D4703F" w:rsidRDefault="00D4703F" w:rsidP="00D4703F">
            <w:pPr>
              <w:spacing w:line="276" w:lineRule="auto"/>
              <w:jc w:val="center"/>
            </w:pPr>
            <w:r w:rsidRPr="005346D9">
              <w:t>-0.0032 (0.0023)</w:t>
            </w:r>
          </w:p>
        </w:tc>
        <w:tc>
          <w:tcPr>
            <w:tcW w:w="1608" w:type="pct"/>
          </w:tcPr>
          <w:p w14:paraId="37630A31" w14:textId="628B48D3" w:rsidR="00D4703F" w:rsidRDefault="00D4703F" w:rsidP="00D4703F">
            <w:pPr>
              <w:spacing w:line="276" w:lineRule="auto"/>
              <w:jc w:val="center"/>
            </w:pPr>
            <w:r w:rsidRPr="005346D9">
              <w:t>0.9968 (0.9923, 1.0014)</w:t>
            </w:r>
          </w:p>
        </w:tc>
      </w:tr>
      <w:tr w:rsidR="00D4703F" w14:paraId="300B0B21" w14:textId="77777777" w:rsidTr="00B771A4">
        <w:tc>
          <w:tcPr>
            <w:tcW w:w="2129" w:type="pct"/>
          </w:tcPr>
          <w:p w14:paraId="13D04B6F" w14:textId="77777777" w:rsidR="00D4703F" w:rsidRPr="00E46123" w:rsidRDefault="00D4703F" w:rsidP="00D4703F">
            <w:pPr>
              <w:spacing w:line="276" w:lineRule="auto"/>
            </w:pPr>
            <w:r w:rsidRPr="00E46123">
              <w:t>Non-elective procedure</w:t>
            </w:r>
          </w:p>
        </w:tc>
        <w:tc>
          <w:tcPr>
            <w:tcW w:w="1263" w:type="pct"/>
          </w:tcPr>
          <w:p w14:paraId="38EA933A" w14:textId="3E5E3A11" w:rsidR="00D4703F" w:rsidRDefault="00D4703F" w:rsidP="00D4703F">
            <w:pPr>
              <w:spacing w:line="276" w:lineRule="auto"/>
              <w:jc w:val="center"/>
            </w:pPr>
            <w:r w:rsidRPr="003E5E9B">
              <w:t>0.374</w:t>
            </w:r>
            <w:r>
              <w:t>0</w:t>
            </w:r>
            <w:r w:rsidRPr="003E5E9B">
              <w:t xml:space="preserve"> (0.1575)</w:t>
            </w:r>
          </w:p>
        </w:tc>
        <w:tc>
          <w:tcPr>
            <w:tcW w:w="1608" w:type="pct"/>
          </w:tcPr>
          <w:p w14:paraId="1A1EF0DD" w14:textId="395878A5" w:rsidR="00D4703F" w:rsidRDefault="00D4703F" w:rsidP="00D4703F">
            <w:pPr>
              <w:spacing w:line="276" w:lineRule="auto"/>
              <w:jc w:val="center"/>
            </w:pPr>
            <w:r w:rsidRPr="003E5E9B">
              <w:t>1.4536 (1.0675, 1.9793)</w:t>
            </w:r>
          </w:p>
        </w:tc>
      </w:tr>
      <w:tr w:rsidR="00D4703F" w14:paraId="0E39B2B6" w14:textId="77777777" w:rsidTr="00B771A4">
        <w:tc>
          <w:tcPr>
            <w:tcW w:w="2129" w:type="pct"/>
          </w:tcPr>
          <w:p w14:paraId="59E732E2" w14:textId="5D56E291" w:rsidR="00D4703F" w:rsidRPr="00E46123" w:rsidRDefault="00D4703F" w:rsidP="00D4703F">
            <w:pPr>
              <w:spacing w:line="276" w:lineRule="auto"/>
            </w:pPr>
            <w:r w:rsidRPr="00E46123">
              <w:t>Non-transfemoral access</w:t>
            </w:r>
          </w:p>
        </w:tc>
        <w:tc>
          <w:tcPr>
            <w:tcW w:w="1263" w:type="pct"/>
          </w:tcPr>
          <w:p w14:paraId="1597E444" w14:textId="2BE7873F" w:rsidR="00D4703F" w:rsidRDefault="00D4703F" w:rsidP="00D4703F">
            <w:pPr>
              <w:spacing w:line="276" w:lineRule="auto"/>
              <w:jc w:val="center"/>
            </w:pPr>
            <w:r w:rsidRPr="00BE33C9">
              <w:t>0.5699 (0.1265)</w:t>
            </w:r>
          </w:p>
        </w:tc>
        <w:tc>
          <w:tcPr>
            <w:tcW w:w="1608" w:type="pct"/>
          </w:tcPr>
          <w:p w14:paraId="7F1CC836" w14:textId="61EDEF86" w:rsidR="00D4703F" w:rsidRDefault="00D4703F" w:rsidP="00D4703F">
            <w:pPr>
              <w:spacing w:line="276" w:lineRule="auto"/>
              <w:jc w:val="center"/>
            </w:pPr>
            <w:r w:rsidRPr="00BE33C9">
              <w:t>1.7682 (1.3798, 2.2659)</w:t>
            </w:r>
          </w:p>
        </w:tc>
      </w:tr>
    </w:tbl>
    <w:p w14:paraId="3E0C2FB8" w14:textId="0C62D447" w:rsidR="007611F5" w:rsidRPr="00632B71" w:rsidRDefault="007611F5" w:rsidP="00E46123">
      <w:pPr>
        <w:spacing w:line="276" w:lineRule="auto"/>
        <w:jc w:val="center"/>
        <w:rPr>
          <w:i/>
          <w:sz w:val="22"/>
        </w:rPr>
      </w:pPr>
      <w:r w:rsidRPr="00632B71">
        <w:rPr>
          <w:i/>
          <w:sz w:val="22"/>
        </w:rPr>
        <w:t>Abbreviations: BAV</w:t>
      </w:r>
      <w:r w:rsidR="002F4939">
        <w:rPr>
          <w:i/>
          <w:sz w:val="22"/>
        </w:rPr>
        <w:t xml:space="preserve">: </w:t>
      </w:r>
      <w:r w:rsidRPr="00632B71">
        <w:rPr>
          <w:i/>
          <w:sz w:val="22"/>
        </w:rPr>
        <w:t>Balloon aortic valvuloplasty</w:t>
      </w:r>
      <w:r w:rsidR="00751A0D">
        <w:rPr>
          <w:i/>
          <w:sz w:val="22"/>
        </w:rPr>
        <w:t>, BMI: Body mass index</w:t>
      </w:r>
      <w:r w:rsidR="00632B71" w:rsidRPr="00632B71">
        <w:rPr>
          <w:i/>
          <w:sz w:val="22"/>
        </w:rPr>
        <w:t>,</w:t>
      </w:r>
      <w:r w:rsidRPr="00632B71">
        <w:rPr>
          <w:i/>
          <w:sz w:val="22"/>
        </w:rPr>
        <w:t xml:space="preserve"> OR</w:t>
      </w:r>
      <w:r w:rsidR="002F4939">
        <w:rPr>
          <w:i/>
          <w:sz w:val="22"/>
        </w:rPr>
        <w:t xml:space="preserve">: </w:t>
      </w:r>
      <w:r w:rsidRPr="00632B71">
        <w:rPr>
          <w:i/>
          <w:sz w:val="22"/>
        </w:rPr>
        <w:t>Odds ratio</w:t>
      </w:r>
      <w:r w:rsidR="00632B71" w:rsidRPr="00632B71">
        <w:rPr>
          <w:i/>
          <w:sz w:val="22"/>
        </w:rPr>
        <w:t>, SE</w:t>
      </w:r>
      <w:r w:rsidR="002F4939">
        <w:rPr>
          <w:i/>
          <w:sz w:val="22"/>
        </w:rPr>
        <w:t xml:space="preserve">: </w:t>
      </w:r>
      <w:r w:rsidR="00632B71" w:rsidRPr="00632B71">
        <w:rPr>
          <w:i/>
          <w:sz w:val="22"/>
        </w:rPr>
        <w:t>standard error</w:t>
      </w:r>
    </w:p>
    <w:p w14:paraId="7389EEF0" w14:textId="61AC33A8" w:rsidR="007611F5" w:rsidRPr="00632B71" w:rsidRDefault="000C322C" w:rsidP="00E46123">
      <w:pPr>
        <w:spacing w:line="276" w:lineRule="auto"/>
        <w:jc w:val="center"/>
        <w:rPr>
          <w:i/>
        </w:rPr>
      </w:pPr>
      <w:r w:rsidRPr="008008F1">
        <w:rPr>
          <w:i/>
          <w:sz w:val="22"/>
          <w:szCs w:val="20"/>
        </w:rPr>
        <w:t xml:space="preserve">*: </w:t>
      </w:r>
      <w:r>
        <w:rPr>
          <w:i/>
          <w:sz w:val="22"/>
          <w:szCs w:val="20"/>
        </w:rPr>
        <w:t>Variable definitions are given in Supplementary Table 1.</w:t>
      </w:r>
    </w:p>
    <w:p w14:paraId="3469B015" w14:textId="211413DB" w:rsidR="005E1332" w:rsidRDefault="005E1332" w:rsidP="00E46123">
      <w:pPr>
        <w:spacing w:line="276" w:lineRule="auto"/>
        <w:rPr>
          <w:b/>
        </w:rPr>
      </w:pPr>
    </w:p>
    <w:p w14:paraId="4E0507B6" w14:textId="77777777" w:rsidR="005E1332" w:rsidRDefault="005E1332" w:rsidP="00E46123">
      <w:pPr>
        <w:spacing w:line="276" w:lineRule="auto"/>
        <w:rPr>
          <w:b/>
        </w:rPr>
        <w:sectPr w:rsidR="005E1332" w:rsidSect="00B771A4">
          <w:pgSz w:w="11906" w:h="16838"/>
          <w:pgMar w:top="1440" w:right="1440" w:bottom="1440" w:left="1440" w:header="708" w:footer="708" w:gutter="0"/>
          <w:cols w:space="708"/>
          <w:docGrid w:linePitch="360"/>
        </w:sectPr>
      </w:pPr>
    </w:p>
    <w:p w14:paraId="2E1617C7" w14:textId="61718DA9" w:rsidR="00A87B21" w:rsidRDefault="00A87B21" w:rsidP="00E46123">
      <w:pPr>
        <w:spacing w:line="276" w:lineRule="auto"/>
      </w:pPr>
      <w:r>
        <w:rPr>
          <w:b/>
        </w:rPr>
        <w:lastRenderedPageBreak/>
        <w:t xml:space="preserve">Supplementary Table </w:t>
      </w:r>
      <w:r w:rsidR="006F1757">
        <w:rPr>
          <w:b/>
        </w:rPr>
        <w:t>5</w:t>
      </w:r>
      <w:r>
        <w:rPr>
          <w:b/>
        </w:rPr>
        <w:t xml:space="preserve">: </w:t>
      </w:r>
      <w:r w:rsidRPr="005644F4">
        <w:t xml:space="preserve">Variables </w:t>
      </w:r>
      <w:r>
        <w:t>included in the model within the sensitivity analysis that limited the development cohort to those procedures between January 2013 and December 2014.</w:t>
      </w:r>
    </w:p>
    <w:tbl>
      <w:tblPr>
        <w:tblStyle w:val="TableGrid"/>
        <w:tblW w:w="4981" w:type="pct"/>
        <w:tblLook w:val="04A0" w:firstRow="1" w:lastRow="0" w:firstColumn="1" w:lastColumn="0" w:noHBand="0" w:noVBand="1"/>
      </w:tblPr>
      <w:tblGrid>
        <w:gridCol w:w="3825"/>
        <w:gridCol w:w="2267"/>
        <w:gridCol w:w="2890"/>
      </w:tblGrid>
      <w:tr w:rsidR="00A87B21" w14:paraId="54C13DFC" w14:textId="77777777" w:rsidTr="005E1332">
        <w:tc>
          <w:tcPr>
            <w:tcW w:w="2129" w:type="pct"/>
          </w:tcPr>
          <w:p w14:paraId="24D872B7" w14:textId="499DE562" w:rsidR="00A87B21" w:rsidRPr="005D25E7" w:rsidRDefault="00A87B21" w:rsidP="00E46123">
            <w:pPr>
              <w:spacing w:line="276" w:lineRule="auto"/>
              <w:rPr>
                <w:b/>
              </w:rPr>
            </w:pPr>
            <w:r>
              <w:rPr>
                <w:b/>
              </w:rPr>
              <w:t>Variable</w:t>
            </w:r>
            <w:r w:rsidR="000C322C">
              <w:rPr>
                <w:b/>
              </w:rPr>
              <w:t xml:space="preserve"> </w:t>
            </w:r>
            <w:r w:rsidR="000C322C" w:rsidRPr="0061246C">
              <w:rPr>
                <w:b/>
                <w:szCs w:val="20"/>
              </w:rPr>
              <w:t>*</w:t>
            </w:r>
          </w:p>
        </w:tc>
        <w:tc>
          <w:tcPr>
            <w:tcW w:w="1262" w:type="pct"/>
            <w:vAlign w:val="center"/>
          </w:tcPr>
          <w:p w14:paraId="1EB5A4DC" w14:textId="68E9BE03" w:rsidR="00A87B21" w:rsidRPr="005D25E7" w:rsidRDefault="00A87B21" w:rsidP="00E46123">
            <w:pPr>
              <w:spacing w:line="276" w:lineRule="auto"/>
              <w:jc w:val="center"/>
              <w:rPr>
                <w:b/>
              </w:rPr>
            </w:pPr>
            <w:r>
              <w:rPr>
                <w:b/>
              </w:rPr>
              <w:t>Coefficient</w:t>
            </w:r>
            <w:r w:rsidR="00632B71">
              <w:rPr>
                <w:b/>
              </w:rPr>
              <w:t xml:space="preserve"> (SE)</w:t>
            </w:r>
          </w:p>
        </w:tc>
        <w:tc>
          <w:tcPr>
            <w:tcW w:w="1609" w:type="pct"/>
            <w:vAlign w:val="center"/>
          </w:tcPr>
          <w:p w14:paraId="39823F40" w14:textId="77777777" w:rsidR="00A87B21" w:rsidRPr="005D25E7" w:rsidRDefault="00A87B21" w:rsidP="00E46123">
            <w:pPr>
              <w:spacing w:line="276" w:lineRule="auto"/>
              <w:jc w:val="center"/>
              <w:rPr>
                <w:b/>
              </w:rPr>
            </w:pPr>
            <w:r>
              <w:rPr>
                <w:b/>
              </w:rPr>
              <w:t>OR (95% CI)</w:t>
            </w:r>
          </w:p>
        </w:tc>
      </w:tr>
      <w:tr w:rsidR="000C322C" w14:paraId="46BA0A75" w14:textId="77777777" w:rsidTr="005E1332">
        <w:tc>
          <w:tcPr>
            <w:tcW w:w="2129" w:type="pct"/>
          </w:tcPr>
          <w:p w14:paraId="5CE8CC88" w14:textId="78CCA378" w:rsidR="000C322C" w:rsidRPr="000C322C" w:rsidRDefault="000C322C" w:rsidP="00E46123">
            <w:pPr>
              <w:spacing w:line="276" w:lineRule="auto"/>
            </w:pPr>
            <w:r w:rsidRPr="000C322C">
              <w:t>Intercept</w:t>
            </w:r>
          </w:p>
        </w:tc>
        <w:tc>
          <w:tcPr>
            <w:tcW w:w="1262" w:type="pct"/>
            <w:vAlign w:val="center"/>
          </w:tcPr>
          <w:p w14:paraId="69FB6A5A" w14:textId="4A92DFF7" w:rsidR="000C322C" w:rsidRPr="000C322C" w:rsidRDefault="007E2111" w:rsidP="00E46123">
            <w:pPr>
              <w:spacing w:line="276" w:lineRule="auto"/>
              <w:jc w:val="center"/>
            </w:pPr>
            <w:r w:rsidRPr="007E2111">
              <w:t>-3.1635 (0.3166)</w:t>
            </w:r>
          </w:p>
        </w:tc>
        <w:tc>
          <w:tcPr>
            <w:tcW w:w="1609" w:type="pct"/>
            <w:vAlign w:val="center"/>
          </w:tcPr>
          <w:p w14:paraId="6D2BDC94" w14:textId="5DA824C8" w:rsidR="000C322C" w:rsidRPr="000C322C" w:rsidRDefault="000C322C" w:rsidP="00E46123">
            <w:pPr>
              <w:spacing w:line="276" w:lineRule="auto"/>
              <w:jc w:val="center"/>
            </w:pPr>
            <w:r w:rsidRPr="000C322C">
              <w:t>N/A</w:t>
            </w:r>
          </w:p>
        </w:tc>
      </w:tr>
      <w:tr w:rsidR="007E2111" w14:paraId="3DAC208A" w14:textId="77777777" w:rsidTr="00B771A4">
        <w:tc>
          <w:tcPr>
            <w:tcW w:w="2129" w:type="pct"/>
          </w:tcPr>
          <w:p w14:paraId="760D2001" w14:textId="6F4F5E68" w:rsidR="007E2111" w:rsidRDefault="007E2111" w:rsidP="007E2111">
            <w:pPr>
              <w:spacing w:line="276" w:lineRule="auto"/>
            </w:pPr>
            <w:r>
              <w:t>Mean-centred Age</w:t>
            </w:r>
          </w:p>
        </w:tc>
        <w:tc>
          <w:tcPr>
            <w:tcW w:w="1262" w:type="pct"/>
          </w:tcPr>
          <w:p w14:paraId="7091BC5F" w14:textId="1E9738AC" w:rsidR="007E2111" w:rsidRDefault="007E2111" w:rsidP="007E2111">
            <w:pPr>
              <w:spacing w:line="276" w:lineRule="auto"/>
              <w:jc w:val="center"/>
            </w:pPr>
            <w:r w:rsidRPr="00FB0793">
              <w:t>0.0069 (0.0134)</w:t>
            </w:r>
          </w:p>
        </w:tc>
        <w:tc>
          <w:tcPr>
            <w:tcW w:w="1609" w:type="pct"/>
          </w:tcPr>
          <w:p w14:paraId="21F48C03" w14:textId="23EFBB11" w:rsidR="007E2111" w:rsidRDefault="007E2111" w:rsidP="007E2111">
            <w:pPr>
              <w:spacing w:line="276" w:lineRule="auto"/>
              <w:jc w:val="center"/>
            </w:pPr>
            <w:r w:rsidRPr="00FB0793">
              <w:t>1.007</w:t>
            </w:r>
            <w:r>
              <w:t>0</w:t>
            </w:r>
            <w:r w:rsidRPr="00FB0793">
              <w:t xml:space="preserve"> (0.981</w:t>
            </w:r>
            <w:r>
              <w:t>0</w:t>
            </w:r>
            <w:r w:rsidRPr="00FB0793">
              <w:t>, 1.0337)</w:t>
            </w:r>
          </w:p>
        </w:tc>
      </w:tr>
      <w:tr w:rsidR="007E2111" w14:paraId="3F9C2E70" w14:textId="77777777" w:rsidTr="00B771A4">
        <w:tc>
          <w:tcPr>
            <w:tcW w:w="2129" w:type="pct"/>
          </w:tcPr>
          <w:p w14:paraId="25EAF660" w14:textId="3CF0E56F" w:rsidR="007E2111" w:rsidRDefault="007E2111" w:rsidP="007E2111">
            <w:pPr>
              <w:spacing w:line="276" w:lineRule="auto"/>
            </w:pPr>
            <w:r>
              <w:t>Female</w:t>
            </w:r>
          </w:p>
        </w:tc>
        <w:tc>
          <w:tcPr>
            <w:tcW w:w="1262" w:type="pct"/>
          </w:tcPr>
          <w:p w14:paraId="41FA82D0" w14:textId="207744B8" w:rsidR="007E2111" w:rsidRDefault="007E2111" w:rsidP="007E2111">
            <w:pPr>
              <w:spacing w:line="276" w:lineRule="auto"/>
              <w:jc w:val="center"/>
            </w:pPr>
            <w:r w:rsidRPr="002E0F4B">
              <w:t>0.0292 (0.1904)</w:t>
            </w:r>
          </w:p>
        </w:tc>
        <w:tc>
          <w:tcPr>
            <w:tcW w:w="1609" w:type="pct"/>
          </w:tcPr>
          <w:p w14:paraId="42793968" w14:textId="3EE84C06" w:rsidR="007E2111" w:rsidRDefault="007E2111" w:rsidP="007E2111">
            <w:pPr>
              <w:spacing w:line="276" w:lineRule="auto"/>
              <w:jc w:val="center"/>
            </w:pPr>
            <w:r w:rsidRPr="002E0F4B">
              <w:t>1.0297 (0.709</w:t>
            </w:r>
            <w:r>
              <w:t>0</w:t>
            </w:r>
            <w:r w:rsidRPr="002E0F4B">
              <w:t>, 1.4953)</w:t>
            </w:r>
          </w:p>
        </w:tc>
      </w:tr>
      <w:tr w:rsidR="007E2111" w14:paraId="07BE7B66" w14:textId="77777777" w:rsidTr="00B771A4">
        <w:tc>
          <w:tcPr>
            <w:tcW w:w="2129" w:type="pct"/>
          </w:tcPr>
          <w:p w14:paraId="5427E719" w14:textId="7423BAE8" w:rsidR="007E2111" w:rsidRDefault="007E2111" w:rsidP="007E2111">
            <w:pPr>
              <w:spacing w:line="276" w:lineRule="auto"/>
            </w:pPr>
            <w:r w:rsidRPr="00A87B21">
              <w:t>Diabetes</w:t>
            </w:r>
          </w:p>
        </w:tc>
        <w:tc>
          <w:tcPr>
            <w:tcW w:w="1262" w:type="pct"/>
          </w:tcPr>
          <w:p w14:paraId="19D98D5D" w14:textId="44E0C98C" w:rsidR="007E2111" w:rsidRDefault="007E2111" w:rsidP="007E2111">
            <w:pPr>
              <w:spacing w:line="276" w:lineRule="auto"/>
              <w:jc w:val="center"/>
            </w:pPr>
            <w:r w:rsidRPr="00267389">
              <w:t>-0.404</w:t>
            </w:r>
            <w:r>
              <w:t>0</w:t>
            </w:r>
            <w:r w:rsidRPr="00267389">
              <w:t xml:space="preserve"> (0.2538)</w:t>
            </w:r>
          </w:p>
        </w:tc>
        <w:tc>
          <w:tcPr>
            <w:tcW w:w="1609" w:type="pct"/>
          </w:tcPr>
          <w:p w14:paraId="4A10F61C" w14:textId="11FD9E23" w:rsidR="007E2111" w:rsidRDefault="007E2111" w:rsidP="007E2111">
            <w:pPr>
              <w:spacing w:line="276" w:lineRule="auto"/>
              <w:jc w:val="center"/>
            </w:pPr>
            <w:r w:rsidRPr="00267389">
              <w:t>0.6676 (0.406</w:t>
            </w:r>
            <w:r>
              <w:t>0</w:t>
            </w:r>
            <w:r w:rsidRPr="00267389">
              <w:t>, 1.098</w:t>
            </w:r>
            <w:r>
              <w:t>0</w:t>
            </w:r>
            <w:r w:rsidRPr="00267389">
              <w:t>)</w:t>
            </w:r>
          </w:p>
        </w:tc>
      </w:tr>
      <w:tr w:rsidR="007E2111" w14:paraId="07AF8B62" w14:textId="77777777" w:rsidTr="00B771A4">
        <w:tc>
          <w:tcPr>
            <w:tcW w:w="2129" w:type="pct"/>
          </w:tcPr>
          <w:p w14:paraId="2065BD63" w14:textId="1A4DA7DF" w:rsidR="007E2111" w:rsidRDefault="007E2111" w:rsidP="007E2111">
            <w:pPr>
              <w:spacing w:line="276" w:lineRule="auto"/>
            </w:pPr>
            <w:r>
              <w:t xml:space="preserve">Mean-centred </w:t>
            </w:r>
            <w:r w:rsidRPr="00E46123">
              <w:t>BMI</w:t>
            </w:r>
          </w:p>
        </w:tc>
        <w:tc>
          <w:tcPr>
            <w:tcW w:w="1262" w:type="pct"/>
          </w:tcPr>
          <w:p w14:paraId="7A1F43D2" w14:textId="1F6D5B01" w:rsidR="007E2111" w:rsidRDefault="007E2111" w:rsidP="007E2111">
            <w:pPr>
              <w:spacing w:line="276" w:lineRule="auto"/>
              <w:jc w:val="center"/>
            </w:pPr>
            <w:r w:rsidRPr="0001580A">
              <w:t>-0.0294 (0.0184)</w:t>
            </w:r>
          </w:p>
        </w:tc>
        <w:tc>
          <w:tcPr>
            <w:tcW w:w="1609" w:type="pct"/>
          </w:tcPr>
          <w:p w14:paraId="1C79CCB9" w14:textId="49A86C6C" w:rsidR="007E2111" w:rsidRDefault="007E2111" w:rsidP="007E2111">
            <w:pPr>
              <w:spacing w:line="276" w:lineRule="auto"/>
              <w:jc w:val="center"/>
            </w:pPr>
            <w:r w:rsidRPr="0001580A">
              <w:t>0.971</w:t>
            </w:r>
            <w:r>
              <w:t>0</w:t>
            </w:r>
            <w:r w:rsidRPr="0001580A">
              <w:t xml:space="preserve"> (0.9367, 1.0066)</w:t>
            </w:r>
          </w:p>
        </w:tc>
      </w:tr>
      <w:tr w:rsidR="007E2111" w14:paraId="5A99F7C8" w14:textId="77777777" w:rsidTr="005E1332">
        <w:tc>
          <w:tcPr>
            <w:tcW w:w="2129" w:type="pct"/>
          </w:tcPr>
          <w:p w14:paraId="16C9D2B6" w14:textId="40B4BD61" w:rsidR="007E2111" w:rsidRPr="000C322C" w:rsidRDefault="007E2111" w:rsidP="007E2111">
            <w:pPr>
              <w:spacing w:line="276" w:lineRule="auto"/>
            </w:pPr>
            <w:r w:rsidRPr="005D25E7">
              <w:t>Glomerular Filtration Rate per 5 unit increase</w:t>
            </w:r>
          </w:p>
        </w:tc>
        <w:tc>
          <w:tcPr>
            <w:tcW w:w="1262" w:type="pct"/>
            <w:vAlign w:val="center"/>
          </w:tcPr>
          <w:p w14:paraId="57A548B0" w14:textId="6422E07D" w:rsidR="007E2111" w:rsidRDefault="007E2111" w:rsidP="007E2111">
            <w:pPr>
              <w:spacing w:line="276" w:lineRule="auto"/>
              <w:jc w:val="center"/>
            </w:pPr>
            <w:r>
              <w:t>-0.0492 (0.0221)</w:t>
            </w:r>
          </w:p>
        </w:tc>
        <w:tc>
          <w:tcPr>
            <w:tcW w:w="1609" w:type="pct"/>
            <w:vAlign w:val="center"/>
          </w:tcPr>
          <w:p w14:paraId="7AE26718" w14:textId="5D543E8E" w:rsidR="007E2111" w:rsidRPr="000C322C" w:rsidRDefault="007E2111" w:rsidP="007E2111">
            <w:pPr>
              <w:spacing w:line="276" w:lineRule="auto"/>
              <w:jc w:val="center"/>
            </w:pPr>
            <w:r>
              <w:t>0.9520 (0.9116, 0.9941)</w:t>
            </w:r>
          </w:p>
        </w:tc>
      </w:tr>
      <w:tr w:rsidR="007E2111" w14:paraId="24911C84" w14:textId="77777777" w:rsidTr="00B771A4">
        <w:tc>
          <w:tcPr>
            <w:tcW w:w="2129" w:type="pct"/>
          </w:tcPr>
          <w:p w14:paraId="4B40CFB1" w14:textId="000315ED" w:rsidR="007E2111" w:rsidRDefault="007E2111" w:rsidP="007E2111">
            <w:pPr>
              <w:spacing w:line="276" w:lineRule="auto"/>
            </w:pPr>
            <w:r>
              <w:t>Pulmonary disease</w:t>
            </w:r>
          </w:p>
        </w:tc>
        <w:tc>
          <w:tcPr>
            <w:tcW w:w="1262" w:type="pct"/>
          </w:tcPr>
          <w:p w14:paraId="106C9025" w14:textId="61357C6C" w:rsidR="007E2111" w:rsidRPr="000C322C" w:rsidRDefault="007E2111" w:rsidP="007E2111">
            <w:pPr>
              <w:spacing w:line="276" w:lineRule="auto"/>
              <w:jc w:val="center"/>
            </w:pPr>
            <w:r w:rsidRPr="00780E72">
              <w:t>0.3507 (0.1991)</w:t>
            </w:r>
          </w:p>
        </w:tc>
        <w:tc>
          <w:tcPr>
            <w:tcW w:w="1609" w:type="pct"/>
          </w:tcPr>
          <w:p w14:paraId="2FE2A2ED" w14:textId="5BF3143F" w:rsidR="007E2111" w:rsidRDefault="007E2111" w:rsidP="007E2111">
            <w:pPr>
              <w:spacing w:line="276" w:lineRule="auto"/>
              <w:jc w:val="center"/>
            </w:pPr>
            <w:r w:rsidRPr="00780E72">
              <w:t>1.4201 (0.9613, 2.0979)</w:t>
            </w:r>
          </w:p>
        </w:tc>
      </w:tr>
      <w:tr w:rsidR="007E2111" w14:paraId="45CBCC7B" w14:textId="77777777" w:rsidTr="00B771A4">
        <w:tc>
          <w:tcPr>
            <w:tcW w:w="2129" w:type="pct"/>
          </w:tcPr>
          <w:p w14:paraId="16C4A427" w14:textId="62F9EDFC" w:rsidR="007E2111" w:rsidRDefault="007E2111" w:rsidP="007E2111">
            <w:pPr>
              <w:spacing w:line="276" w:lineRule="auto"/>
            </w:pPr>
            <w:r>
              <w:t>Sinus pre-operative heart rhythm</w:t>
            </w:r>
          </w:p>
        </w:tc>
        <w:tc>
          <w:tcPr>
            <w:tcW w:w="1262" w:type="pct"/>
          </w:tcPr>
          <w:p w14:paraId="10DA300E" w14:textId="4F10A05D" w:rsidR="007E2111" w:rsidRPr="000C322C" w:rsidRDefault="007E2111" w:rsidP="007E2111">
            <w:pPr>
              <w:spacing w:line="276" w:lineRule="auto"/>
              <w:jc w:val="center"/>
            </w:pPr>
            <w:r w:rsidRPr="00534145">
              <w:t>-0.3001 (0.1932)</w:t>
            </w:r>
          </w:p>
        </w:tc>
        <w:tc>
          <w:tcPr>
            <w:tcW w:w="1609" w:type="pct"/>
          </w:tcPr>
          <w:p w14:paraId="1D72524B" w14:textId="4BE4F10B" w:rsidR="007E2111" w:rsidRDefault="007E2111" w:rsidP="007E2111">
            <w:pPr>
              <w:spacing w:line="276" w:lineRule="auto"/>
              <w:jc w:val="center"/>
            </w:pPr>
            <w:r w:rsidRPr="00534145">
              <w:t>0.7407 (0.5072, 1.0817)</w:t>
            </w:r>
          </w:p>
        </w:tc>
      </w:tr>
      <w:tr w:rsidR="007E2111" w14:paraId="50567B32" w14:textId="77777777" w:rsidTr="00B771A4">
        <w:tc>
          <w:tcPr>
            <w:tcW w:w="2129" w:type="pct"/>
          </w:tcPr>
          <w:p w14:paraId="3447A482" w14:textId="7AF064C6" w:rsidR="007E2111" w:rsidRDefault="007E2111" w:rsidP="007E2111">
            <w:pPr>
              <w:spacing w:line="276" w:lineRule="auto"/>
            </w:pPr>
            <w:r>
              <w:t>NYHA Class IV</w:t>
            </w:r>
          </w:p>
        </w:tc>
        <w:tc>
          <w:tcPr>
            <w:tcW w:w="1262" w:type="pct"/>
          </w:tcPr>
          <w:p w14:paraId="3B7ED536" w14:textId="081F1F4D" w:rsidR="007E2111" w:rsidRPr="000C322C" w:rsidRDefault="007E2111" w:rsidP="007E2111">
            <w:pPr>
              <w:spacing w:line="276" w:lineRule="auto"/>
              <w:jc w:val="center"/>
            </w:pPr>
            <w:r w:rsidRPr="00C01C58">
              <w:t>0.4559 (0.2213)</w:t>
            </w:r>
          </w:p>
        </w:tc>
        <w:tc>
          <w:tcPr>
            <w:tcW w:w="1609" w:type="pct"/>
          </w:tcPr>
          <w:p w14:paraId="0BC6451F" w14:textId="03F0A6D4" w:rsidR="007E2111" w:rsidRDefault="007E2111" w:rsidP="007E2111">
            <w:pPr>
              <w:spacing w:line="276" w:lineRule="auto"/>
              <w:jc w:val="center"/>
            </w:pPr>
            <w:r w:rsidRPr="00C01C58">
              <w:t>1.5775 (1.0224, 2.434</w:t>
            </w:r>
            <w:r>
              <w:t>0</w:t>
            </w:r>
            <w:r w:rsidRPr="00C01C58">
              <w:t>)</w:t>
            </w:r>
          </w:p>
        </w:tc>
      </w:tr>
      <w:tr w:rsidR="007E2111" w14:paraId="571E671F" w14:textId="77777777" w:rsidTr="00B771A4">
        <w:tc>
          <w:tcPr>
            <w:tcW w:w="2129" w:type="pct"/>
          </w:tcPr>
          <w:p w14:paraId="0911FB55" w14:textId="7999F213" w:rsidR="007E2111" w:rsidRDefault="007E2111" w:rsidP="007E2111">
            <w:pPr>
              <w:spacing w:line="276" w:lineRule="auto"/>
            </w:pPr>
            <w:r>
              <w:t>Poor Mobility</w:t>
            </w:r>
          </w:p>
        </w:tc>
        <w:tc>
          <w:tcPr>
            <w:tcW w:w="1262" w:type="pct"/>
          </w:tcPr>
          <w:p w14:paraId="11E3A02F" w14:textId="04F1FD21" w:rsidR="007E2111" w:rsidRPr="000C322C" w:rsidRDefault="007E2111" w:rsidP="007E2111">
            <w:pPr>
              <w:spacing w:line="276" w:lineRule="auto"/>
              <w:jc w:val="center"/>
            </w:pPr>
            <w:r w:rsidRPr="00695656">
              <w:t>0.6496 (0.2067)</w:t>
            </w:r>
          </w:p>
        </w:tc>
        <w:tc>
          <w:tcPr>
            <w:tcW w:w="1609" w:type="pct"/>
          </w:tcPr>
          <w:p w14:paraId="6484D64E" w14:textId="52888416" w:rsidR="007E2111" w:rsidRDefault="007E2111" w:rsidP="007E2111">
            <w:pPr>
              <w:tabs>
                <w:tab w:val="center" w:pos="1337"/>
              </w:tabs>
              <w:spacing w:line="276" w:lineRule="auto"/>
              <w:jc w:val="center"/>
            </w:pPr>
            <w:r w:rsidRPr="00695656">
              <w:t>1.9148 (1.2769, 2.8715)</w:t>
            </w:r>
          </w:p>
        </w:tc>
      </w:tr>
      <w:tr w:rsidR="007E2111" w14:paraId="59FF84CF" w14:textId="77777777" w:rsidTr="00B771A4">
        <w:tc>
          <w:tcPr>
            <w:tcW w:w="2129" w:type="pct"/>
          </w:tcPr>
          <w:p w14:paraId="1DC00C51" w14:textId="4EBFB681" w:rsidR="007E2111" w:rsidRDefault="007E2111" w:rsidP="007E2111">
            <w:pPr>
              <w:spacing w:line="276" w:lineRule="auto"/>
            </w:pPr>
            <w:r w:rsidRPr="00E46123">
              <w:t>KATZ</w:t>
            </w:r>
            <w:r>
              <w:t xml:space="preserve"> (per point drop from 6 points)</w:t>
            </w:r>
          </w:p>
        </w:tc>
        <w:tc>
          <w:tcPr>
            <w:tcW w:w="1262" w:type="pct"/>
          </w:tcPr>
          <w:p w14:paraId="6BA53E37" w14:textId="7EA0CADC" w:rsidR="007E2111" w:rsidRPr="000C322C" w:rsidRDefault="007E2111" w:rsidP="007E2111">
            <w:pPr>
              <w:spacing w:line="276" w:lineRule="auto"/>
              <w:jc w:val="center"/>
            </w:pPr>
            <w:r w:rsidRPr="00E53CA1">
              <w:t>0.255</w:t>
            </w:r>
            <w:r>
              <w:t>0</w:t>
            </w:r>
            <w:r w:rsidRPr="00E53CA1">
              <w:t xml:space="preserve"> (0.0687)</w:t>
            </w:r>
          </w:p>
        </w:tc>
        <w:tc>
          <w:tcPr>
            <w:tcW w:w="1609" w:type="pct"/>
          </w:tcPr>
          <w:p w14:paraId="3D50A610" w14:textId="328A4DDB" w:rsidR="007E2111" w:rsidRDefault="007E2111" w:rsidP="007E2111">
            <w:pPr>
              <w:spacing w:line="276" w:lineRule="auto"/>
              <w:jc w:val="center"/>
            </w:pPr>
            <w:r w:rsidRPr="00E53CA1">
              <w:t>1.2904 (1.1279, 1.4763)</w:t>
            </w:r>
          </w:p>
        </w:tc>
      </w:tr>
      <w:tr w:rsidR="007E2111" w14:paraId="1F9B367E" w14:textId="77777777" w:rsidTr="00B771A4">
        <w:tc>
          <w:tcPr>
            <w:tcW w:w="2129" w:type="pct"/>
          </w:tcPr>
          <w:p w14:paraId="4CF1CE75" w14:textId="7E54771B" w:rsidR="007E2111" w:rsidRDefault="007E2111" w:rsidP="007E2111">
            <w:pPr>
              <w:spacing w:line="276" w:lineRule="auto"/>
            </w:pPr>
            <w:r>
              <w:t>Non-transfemoral access</w:t>
            </w:r>
          </w:p>
        </w:tc>
        <w:tc>
          <w:tcPr>
            <w:tcW w:w="1262" w:type="pct"/>
          </w:tcPr>
          <w:p w14:paraId="738A3558" w14:textId="4177768D" w:rsidR="007E2111" w:rsidRPr="000C322C" w:rsidRDefault="007E2111" w:rsidP="007E2111">
            <w:pPr>
              <w:spacing w:line="276" w:lineRule="auto"/>
              <w:jc w:val="center"/>
            </w:pPr>
            <w:r w:rsidRPr="00097BFC">
              <w:t>0.5557 (0.2103)</w:t>
            </w:r>
          </w:p>
        </w:tc>
        <w:tc>
          <w:tcPr>
            <w:tcW w:w="1609" w:type="pct"/>
          </w:tcPr>
          <w:p w14:paraId="182D5ED1" w14:textId="1F0BCE33" w:rsidR="007E2111" w:rsidRDefault="007E2111" w:rsidP="007E2111">
            <w:pPr>
              <w:spacing w:line="276" w:lineRule="auto"/>
              <w:jc w:val="center"/>
            </w:pPr>
            <w:r w:rsidRPr="00097BFC">
              <w:t>1.7431 (1.1544, 2.6322)</w:t>
            </w:r>
          </w:p>
        </w:tc>
      </w:tr>
    </w:tbl>
    <w:p w14:paraId="64746C67" w14:textId="21BF652D" w:rsidR="00A87B21" w:rsidRPr="00632B71" w:rsidRDefault="00A87B21" w:rsidP="00E46123">
      <w:pPr>
        <w:spacing w:line="276" w:lineRule="auto"/>
        <w:jc w:val="center"/>
        <w:rPr>
          <w:i/>
          <w:sz w:val="22"/>
        </w:rPr>
      </w:pPr>
      <w:r w:rsidRPr="00632B71">
        <w:rPr>
          <w:i/>
          <w:sz w:val="22"/>
        </w:rPr>
        <w:t xml:space="preserve">Abbreviations: </w:t>
      </w:r>
      <w:r w:rsidR="002F4939" w:rsidRPr="00632B71">
        <w:rPr>
          <w:i/>
          <w:sz w:val="22"/>
        </w:rPr>
        <w:t>BAV</w:t>
      </w:r>
      <w:r w:rsidR="002F4939">
        <w:rPr>
          <w:i/>
          <w:sz w:val="22"/>
        </w:rPr>
        <w:t xml:space="preserve">: </w:t>
      </w:r>
      <w:r w:rsidR="002F4939" w:rsidRPr="00632B71">
        <w:rPr>
          <w:i/>
          <w:sz w:val="22"/>
        </w:rPr>
        <w:t>Balloon aortic valvuloplasty</w:t>
      </w:r>
      <w:r w:rsidR="00751A0D">
        <w:rPr>
          <w:i/>
          <w:sz w:val="22"/>
        </w:rPr>
        <w:t>, BMI: Body mass index</w:t>
      </w:r>
      <w:r w:rsidR="002F4939" w:rsidRPr="00632B71">
        <w:rPr>
          <w:i/>
          <w:sz w:val="22"/>
        </w:rPr>
        <w:t xml:space="preserve">, </w:t>
      </w:r>
      <w:r w:rsidR="002F4939" w:rsidRPr="00736347">
        <w:rPr>
          <w:i/>
          <w:sz w:val="22"/>
          <w:szCs w:val="20"/>
        </w:rPr>
        <w:t>NYHA: New York Heart Association Functional Classification</w:t>
      </w:r>
      <w:r w:rsidR="002F4939">
        <w:rPr>
          <w:i/>
          <w:sz w:val="22"/>
        </w:rPr>
        <w:t xml:space="preserve">, </w:t>
      </w:r>
      <w:r w:rsidR="002F4939" w:rsidRPr="00632B71">
        <w:rPr>
          <w:i/>
          <w:sz w:val="22"/>
        </w:rPr>
        <w:t>OR</w:t>
      </w:r>
      <w:r w:rsidR="002F4939">
        <w:rPr>
          <w:i/>
          <w:sz w:val="22"/>
        </w:rPr>
        <w:t xml:space="preserve">: </w:t>
      </w:r>
      <w:r w:rsidR="002F4939" w:rsidRPr="00632B71">
        <w:rPr>
          <w:i/>
          <w:sz w:val="22"/>
        </w:rPr>
        <w:t>Odds ratio, SE</w:t>
      </w:r>
      <w:r w:rsidR="002F4939">
        <w:rPr>
          <w:i/>
          <w:sz w:val="22"/>
        </w:rPr>
        <w:t xml:space="preserve">: </w:t>
      </w:r>
      <w:r w:rsidR="002F4939" w:rsidRPr="00632B71">
        <w:rPr>
          <w:i/>
          <w:sz w:val="22"/>
        </w:rPr>
        <w:t>standard error</w:t>
      </w:r>
    </w:p>
    <w:p w14:paraId="616F86AE" w14:textId="4B18893E" w:rsidR="00A87B21" w:rsidRPr="00632B71" w:rsidRDefault="000C322C" w:rsidP="00E46123">
      <w:pPr>
        <w:spacing w:line="276" w:lineRule="auto"/>
        <w:jc w:val="center"/>
        <w:rPr>
          <w:i/>
          <w:sz w:val="22"/>
        </w:rPr>
      </w:pPr>
      <w:r w:rsidRPr="008008F1">
        <w:rPr>
          <w:i/>
          <w:sz w:val="22"/>
          <w:szCs w:val="20"/>
        </w:rPr>
        <w:t xml:space="preserve">*: </w:t>
      </w:r>
      <w:r>
        <w:rPr>
          <w:i/>
          <w:sz w:val="22"/>
          <w:szCs w:val="20"/>
        </w:rPr>
        <w:t>Variable definitions are given in Supplementary Table 1</w:t>
      </w:r>
      <w:r w:rsidR="00A87B21" w:rsidRPr="00632B71">
        <w:rPr>
          <w:i/>
          <w:sz w:val="22"/>
        </w:rPr>
        <w:t>.</w:t>
      </w:r>
    </w:p>
    <w:p w14:paraId="2D8C2C27" w14:textId="480588FE" w:rsidR="00835697" w:rsidRDefault="00835697" w:rsidP="00636F36"/>
    <w:p w14:paraId="7C641C70" w14:textId="77777777" w:rsidR="008F081C" w:rsidRDefault="008F081C" w:rsidP="00636F36">
      <w:pPr>
        <w:sectPr w:rsidR="008F081C" w:rsidSect="00B771A4">
          <w:pgSz w:w="11906" w:h="16838"/>
          <w:pgMar w:top="1440" w:right="1440" w:bottom="1440" w:left="1440" w:header="708" w:footer="708" w:gutter="0"/>
          <w:cols w:space="708"/>
          <w:docGrid w:linePitch="360"/>
        </w:sectPr>
      </w:pPr>
    </w:p>
    <w:p w14:paraId="64F0B82B" w14:textId="5971862F" w:rsidR="008F081C" w:rsidRDefault="008F081C" w:rsidP="008F081C">
      <w:pPr>
        <w:pStyle w:val="Heading1"/>
      </w:pPr>
      <w:r>
        <w:lastRenderedPageBreak/>
        <w:t>Supplementary References</w:t>
      </w:r>
    </w:p>
    <w:p w14:paraId="7F30684A" w14:textId="7AE0349B" w:rsidR="008F081C" w:rsidRPr="008F081C" w:rsidRDefault="008F081C" w:rsidP="001E46BD">
      <w:pPr>
        <w:widowControl w:val="0"/>
        <w:autoSpaceDE w:val="0"/>
        <w:autoSpaceDN w:val="0"/>
        <w:adjustRightInd w:val="0"/>
        <w:spacing w:line="276" w:lineRule="auto"/>
        <w:ind w:left="640" w:hanging="640"/>
        <w:rPr>
          <w:noProof/>
          <w:szCs w:val="24"/>
        </w:rPr>
      </w:pPr>
      <w:r>
        <w:fldChar w:fldCharType="begin" w:fldLock="1"/>
      </w:r>
      <w:r>
        <w:instrText xml:space="preserve">ADDIN Mendeley Bibliography CSL_BIBLIOGRAPHY </w:instrText>
      </w:r>
      <w:r>
        <w:fldChar w:fldCharType="separate"/>
      </w:r>
      <w:r w:rsidRPr="008F081C">
        <w:rPr>
          <w:noProof/>
          <w:szCs w:val="24"/>
        </w:rPr>
        <w:t xml:space="preserve">1 </w:t>
      </w:r>
      <w:r w:rsidRPr="008F081C">
        <w:rPr>
          <w:noProof/>
          <w:szCs w:val="24"/>
        </w:rPr>
        <w:tab/>
        <w:t xml:space="preserve">Vergouwe Y, Royston P, Moons KGM, </w:t>
      </w:r>
      <w:r w:rsidRPr="008F081C">
        <w:rPr>
          <w:i/>
          <w:iCs/>
          <w:noProof/>
          <w:szCs w:val="24"/>
        </w:rPr>
        <w:t>et al.</w:t>
      </w:r>
      <w:r w:rsidRPr="008F081C">
        <w:rPr>
          <w:noProof/>
          <w:szCs w:val="24"/>
        </w:rPr>
        <w:t xml:space="preserve"> Development and validation of a prediction model with missing predictor data: a practical approach. </w:t>
      </w:r>
      <w:r w:rsidRPr="008F081C">
        <w:rPr>
          <w:i/>
          <w:iCs/>
          <w:noProof/>
          <w:szCs w:val="24"/>
        </w:rPr>
        <w:t>J Clin Epidemiol</w:t>
      </w:r>
      <w:r w:rsidRPr="008F081C">
        <w:rPr>
          <w:noProof/>
          <w:szCs w:val="24"/>
        </w:rPr>
        <w:t xml:space="preserve"> 2010;</w:t>
      </w:r>
      <w:r w:rsidRPr="008F081C">
        <w:rPr>
          <w:b/>
          <w:bCs/>
          <w:noProof/>
          <w:szCs w:val="24"/>
        </w:rPr>
        <w:t>63</w:t>
      </w:r>
      <w:r w:rsidRPr="008F081C">
        <w:rPr>
          <w:noProof/>
          <w:szCs w:val="24"/>
        </w:rPr>
        <w:t>:205–14. doi:10.1016/j.jclinepi.2009.03.017</w:t>
      </w:r>
    </w:p>
    <w:p w14:paraId="7F1DE0E1" w14:textId="77777777" w:rsidR="008F081C" w:rsidRPr="008F081C" w:rsidRDefault="008F081C" w:rsidP="001E46BD">
      <w:pPr>
        <w:widowControl w:val="0"/>
        <w:autoSpaceDE w:val="0"/>
        <w:autoSpaceDN w:val="0"/>
        <w:adjustRightInd w:val="0"/>
        <w:spacing w:line="276" w:lineRule="auto"/>
        <w:ind w:left="640" w:hanging="640"/>
        <w:rPr>
          <w:noProof/>
          <w:szCs w:val="24"/>
        </w:rPr>
      </w:pPr>
      <w:r w:rsidRPr="008F081C">
        <w:rPr>
          <w:noProof/>
          <w:szCs w:val="24"/>
        </w:rPr>
        <w:t xml:space="preserve">2 </w:t>
      </w:r>
      <w:r w:rsidRPr="008F081C">
        <w:rPr>
          <w:noProof/>
          <w:szCs w:val="24"/>
        </w:rPr>
        <w:tab/>
        <w:t xml:space="preserve">Janssen KJM, Moons KGM, Kalkman CJ, </w:t>
      </w:r>
      <w:r w:rsidRPr="008F081C">
        <w:rPr>
          <w:i/>
          <w:iCs/>
          <w:noProof/>
          <w:szCs w:val="24"/>
        </w:rPr>
        <w:t>et al.</w:t>
      </w:r>
      <w:r w:rsidRPr="008F081C">
        <w:rPr>
          <w:noProof/>
          <w:szCs w:val="24"/>
        </w:rPr>
        <w:t xml:space="preserve"> Updating methods improved the performance of a clinical prediction model in new patients. </w:t>
      </w:r>
      <w:r w:rsidRPr="008F081C">
        <w:rPr>
          <w:i/>
          <w:iCs/>
          <w:noProof/>
          <w:szCs w:val="24"/>
        </w:rPr>
        <w:t>J Clin Epidemiol</w:t>
      </w:r>
      <w:r w:rsidRPr="008F081C">
        <w:rPr>
          <w:noProof/>
          <w:szCs w:val="24"/>
        </w:rPr>
        <w:t xml:space="preserve"> 2008;</w:t>
      </w:r>
      <w:r w:rsidRPr="008F081C">
        <w:rPr>
          <w:b/>
          <w:bCs/>
          <w:noProof/>
          <w:szCs w:val="24"/>
        </w:rPr>
        <w:t>61</w:t>
      </w:r>
      <w:r w:rsidRPr="008F081C">
        <w:rPr>
          <w:noProof/>
          <w:szCs w:val="24"/>
        </w:rPr>
        <w:t>:76–86. doi:10.1016/j.jclinepi.2007.04.018</w:t>
      </w:r>
    </w:p>
    <w:p w14:paraId="38491DA3" w14:textId="77777777" w:rsidR="008F081C" w:rsidRPr="008F081C" w:rsidRDefault="008F081C" w:rsidP="001E46BD">
      <w:pPr>
        <w:widowControl w:val="0"/>
        <w:autoSpaceDE w:val="0"/>
        <w:autoSpaceDN w:val="0"/>
        <w:adjustRightInd w:val="0"/>
        <w:spacing w:line="276" w:lineRule="auto"/>
        <w:ind w:left="640" w:hanging="640"/>
        <w:rPr>
          <w:noProof/>
          <w:szCs w:val="24"/>
        </w:rPr>
      </w:pPr>
      <w:r w:rsidRPr="008F081C">
        <w:rPr>
          <w:noProof/>
          <w:szCs w:val="24"/>
        </w:rPr>
        <w:t xml:space="preserve">3 </w:t>
      </w:r>
      <w:r w:rsidRPr="008F081C">
        <w:rPr>
          <w:noProof/>
          <w:szCs w:val="24"/>
        </w:rPr>
        <w:tab/>
        <w:t xml:space="preserve">Steyerberg EW, Borsboom GJJM, van Houwelingen HC, </w:t>
      </w:r>
      <w:r w:rsidRPr="008F081C">
        <w:rPr>
          <w:i/>
          <w:iCs/>
          <w:noProof/>
          <w:szCs w:val="24"/>
        </w:rPr>
        <w:t>et al.</w:t>
      </w:r>
      <w:r w:rsidRPr="008F081C">
        <w:rPr>
          <w:noProof/>
          <w:szCs w:val="24"/>
        </w:rPr>
        <w:t xml:space="preserve"> Validation and updating of predictive logistic regression models: a study on sample size and shrinkage. </w:t>
      </w:r>
      <w:r w:rsidRPr="008F081C">
        <w:rPr>
          <w:i/>
          <w:iCs/>
          <w:noProof/>
          <w:szCs w:val="24"/>
        </w:rPr>
        <w:t>Stat Med</w:t>
      </w:r>
      <w:r w:rsidRPr="008F081C">
        <w:rPr>
          <w:noProof/>
          <w:szCs w:val="24"/>
        </w:rPr>
        <w:t xml:space="preserve"> 2004;</w:t>
      </w:r>
      <w:r w:rsidRPr="008F081C">
        <w:rPr>
          <w:b/>
          <w:bCs/>
          <w:noProof/>
          <w:szCs w:val="24"/>
        </w:rPr>
        <w:t>23</w:t>
      </w:r>
      <w:r w:rsidRPr="008F081C">
        <w:rPr>
          <w:noProof/>
          <w:szCs w:val="24"/>
        </w:rPr>
        <w:t>:2567–86. doi:10.1002/sim.1844</w:t>
      </w:r>
    </w:p>
    <w:p w14:paraId="6802C077" w14:textId="77777777" w:rsidR="008F081C" w:rsidRPr="008F081C" w:rsidRDefault="008F081C" w:rsidP="001E46BD">
      <w:pPr>
        <w:widowControl w:val="0"/>
        <w:autoSpaceDE w:val="0"/>
        <w:autoSpaceDN w:val="0"/>
        <w:adjustRightInd w:val="0"/>
        <w:spacing w:line="276" w:lineRule="auto"/>
        <w:ind w:left="640" w:hanging="640"/>
        <w:rPr>
          <w:noProof/>
          <w:szCs w:val="24"/>
        </w:rPr>
      </w:pPr>
      <w:r w:rsidRPr="008F081C">
        <w:rPr>
          <w:noProof/>
          <w:szCs w:val="24"/>
        </w:rPr>
        <w:t xml:space="preserve">4 </w:t>
      </w:r>
      <w:r w:rsidRPr="008F081C">
        <w:rPr>
          <w:noProof/>
          <w:szCs w:val="24"/>
        </w:rPr>
        <w:tab/>
        <w:t xml:space="preserve">Moons KGM, Kengne AP, Grobbee DE, </w:t>
      </w:r>
      <w:r w:rsidRPr="008F081C">
        <w:rPr>
          <w:i/>
          <w:iCs/>
          <w:noProof/>
          <w:szCs w:val="24"/>
        </w:rPr>
        <w:t>et al.</w:t>
      </w:r>
      <w:r w:rsidRPr="008F081C">
        <w:rPr>
          <w:noProof/>
          <w:szCs w:val="24"/>
        </w:rPr>
        <w:t xml:space="preserve"> Risk prediction models: II. External validation, model updating, and impact assessment. </w:t>
      </w:r>
      <w:r w:rsidRPr="008F081C">
        <w:rPr>
          <w:i/>
          <w:iCs/>
          <w:noProof/>
          <w:szCs w:val="24"/>
        </w:rPr>
        <w:t>Heart</w:t>
      </w:r>
      <w:r w:rsidRPr="008F081C">
        <w:rPr>
          <w:noProof/>
          <w:szCs w:val="24"/>
        </w:rPr>
        <w:t xml:space="preserve"> 2012;</w:t>
      </w:r>
      <w:r w:rsidRPr="008F081C">
        <w:rPr>
          <w:b/>
          <w:bCs/>
          <w:noProof/>
          <w:szCs w:val="24"/>
        </w:rPr>
        <w:t>98</w:t>
      </w:r>
      <w:r w:rsidRPr="008F081C">
        <w:rPr>
          <w:noProof/>
          <w:szCs w:val="24"/>
        </w:rPr>
        <w:t>:691–8. doi:10.1136/heartjnl-2011-301247</w:t>
      </w:r>
    </w:p>
    <w:p w14:paraId="4C9E95A8" w14:textId="77777777" w:rsidR="008F081C" w:rsidRPr="008F081C" w:rsidRDefault="008F081C" w:rsidP="001E46BD">
      <w:pPr>
        <w:widowControl w:val="0"/>
        <w:autoSpaceDE w:val="0"/>
        <w:autoSpaceDN w:val="0"/>
        <w:adjustRightInd w:val="0"/>
        <w:spacing w:line="276" w:lineRule="auto"/>
        <w:ind w:left="640" w:hanging="640"/>
        <w:rPr>
          <w:noProof/>
        </w:rPr>
      </w:pPr>
      <w:r w:rsidRPr="008F081C">
        <w:rPr>
          <w:noProof/>
          <w:szCs w:val="24"/>
        </w:rPr>
        <w:t xml:space="preserve">5 </w:t>
      </w:r>
      <w:r w:rsidRPr="008F081C">
        <w:rPr>
          <w:noProof/>
          <w:szCs w:val="24"/>
        </w:rPr>
        <w:tab/>
        <w:t xml:space="preserve">Su T-L, Jaki T, Hickey GL, </w:t>
      </w:r>
      <w:r w:rsidRPr="008F081C">
        <w:rPr>
          <w:i/>
          <w:iCs/>
          <w:noProof/>
          <w:szCs w:val="24"/>
        </w:rPr>
        <w:t>et al.</w:t>
      </w:r>
      <w:r w:rsidRPr="008F081C">
        <w:rPr>
          <w:noProof/>
          <w:szCs w:val="24"/>
        </w:rPr>
        <w:t xml:space="preserve"> A review of statistical updating methods for clinical prediction models. </w:t>
      </w:r>
      <w:r w:rsidRPr="008F081C">
        <w:rPr>
          <w:i/>
          <w:iCs/>
          <w:noProof/>
          <w:szCs w:val="24"/>
        </w:rPr>
        <w:t>Stat Methods Med Res</w:t>
      </w:r>
      <w:r w:rsidRPr="008F081C">
        <w:rPr>
          <w:noProof/>
          <w:szCs w:val="24"/>
        </w:rPr>
        <w:t xml:space="preserve"> Published Online First: 26 July 2016. doi:10.1177/0962280215626466</w:t>
      </w:r>
    </w:p>
    <w:p w14:paraId="0C66A917" w14:textId="21321CDF" w:rsidR="008F081C" w:rsidRPr="008F081C" w:rsidRDefault="008F081C" w:rsidP="001E46BD">
      <w:pPr>
        <w:spacing w:line="276" w:lineRule="auto"/>
      </w:pPr>
      <w:r>
        <w:fldChar w:fldCharType="end"/>
      </w:r>
    </w:p>
    <w:sectPr w:rsidR="008F081C" w:rsidRPr="008F081C" w:rsidSect="00B77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A1AB5"/>
    <w:multiLevelType w:val="hybridMultilevel"/>
    <w:tmpl w:val="7C402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C066B"/>
    <w:multiLevelType w:val="hybridMultilevel"/>
    <w:tmpl w:val="EFDA0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601E6"/>
    <w:multiLevelType w:val="hybridMultilevel"/>
    <w:tmpl w:val="F81E1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21FB4"/>
    <w:multiLevelType w:val="hybridMultilevel"/>
    <w:tmpl w:val="F9F4C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85F46"/>
    <w:multiLevelType w:val="hybridMultilevel"/>
    <w:tmpl w:val="93C2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76B1B"/>
    <w:multiLevelType w:val="hybridMultilevel"/>
    <w:tmpl w:val="74E6F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247D0B"/>
    <w:multiLevelType w:val="hybridMultilevel"/>
    <w:tmpl w:val="B79C6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1224A6"/>
    <w:multiLevelType w:val="hybridMultilevel"/>
    <w:tmpl w:val="6C289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35"/>
    <w:rsid w:val="00086A40"/>
    <w:rsid w:val="000905E8"/>
    <w:rsid w:val="000B13DD"/>
    <w:rsid w:val="000B5F4A"/>
    <w:rsid w:val="000C322C"/>
    <w:rsid w:val="000E6654"/>
    <w:rsid w:val="001362EA"/>
    <w:rsid w:val="00151935"/>
    <w:rsid w:val="001E46BD"/>
    <w:rsid w:val="001E4BA3"/>
    <w:rsid w:val="00230802"/>
    <w:rsid w:val="002B6FEC"/>
    <w:rsid w:val="002D2CB6"/>
    <w:rsid w:val="002E305D"/>
    <w:rsid w:val="002F0E15"/>
    <w:rsid w:val="002F4235"/>
    <w:rsid w:val="002F4939"/>
    <w:rsid w:val="0034193E"/>
    <w:rsid w:val="0039653D"/>
    <w:rsid w:val="003A3450"/>
    <w:rsid w:val="004026A9"/>
    <w:rsid w:val="00425C93"/>
    <w:rsid w:val="00445052"/>
    <w:rsid w:val="004A285A"/>
    <w:rsid w:val="004A343B"/>
    <w:rsid w:val="004A7936"/>
    <w:rsid w:val="005127E3"/>
    <w:rsid w:val="005167A4"/>
    <w:rsid w:val="00523085"/>
    <w:rsid w:val="00573F41"/>
    <w:rsid w:val="005758B8"/>
    <w:rsid w:val="005A211C"/>
    <w:rsid w:val="005B4CA9"/>
    <w:rsid w:val="005E1332"/>
    <w:rsid w:val="005E43F2"/>
    <w:rsid w:val="00632B71"/>
    <w:rsid w:val="00636F36"/>
    <w:rsid w:val="006560D0"/>
    <w:rsid w:val="006E2C42"/>
    <w:rsid w:val="006F1757"/>
    <w:rsid w:val="00751A0D"/>
    <w:rsid w:val="007611F5"/>
    <w:rsid w:val="00765CEC"/>
    <w:rsid w:val="00796506"/>
    <w:rsid w:val="007E2111"/>
    <w:rsid w:val="00804024"/>
    <w:rsid w:val="00835697"/>
    <w:rsid w:val="00842443"/>
    <w:rsid w:val="0087675B"/>
    <w:rsid w:val="008A48E4"/>
    <w:rsid w:val="008B366B"/>
    <w:rsid w:val="008E7830"/>
    <w:rsid w:val="008F081C"/>
    <w:rsid w:val="00923AAC"/>
    <w:rsid w:val="0094316E"/>
    <w:rsid w:val="00977112"/>
    <w:rsid w:val="009822AF"/>
    <w:rsid w:val="00983E15"/>
    <w:rsid w:val="009D56EF"/>
    <w:rsid w:val="00A3736E"/>
    <w:rsid w:val="00A87B21"/>
    <w:rsid w:val="00A94B3A"/>
    <w:rsid w:val="00AB0B08"/>
    <w:rsid w:val="00AE10B8"/>
    <w:rsid w:val="00B75AD2"/>
    <w:rsid w:val="00B771A4"/>
    <w:rsid w:val="00BD7A29"/>
    <w:rsid w:val="00C50E36"/>
    <w:rsid w:val="00C74A5B"/>
    <w:rsid w:val="00D4703F"/>
    <w:rsid w:val="00D651B4"/>
    <w:rsid w:val="00D6717E"/>
    <w:rsid w:val="00D70807"/>
    <w:rsid w:val="00DC5D31"/>
    <w:rsid w:val="00DD6610"/>
    <w:rsid w:val="00E46123"/>
    <w:rsid w:val="00EA2562"/>
    <w:rsid w:val="00EB16F3"/>
    <w:rsid w:val="00EB4FDC"/>
    <w:rsid w:val="00EE7526"/>
    <w:rsid w:val="00FA508E"/>
    <w:rsid w:val="00FB2DD2"/>
    <w:rsid w:val="00FB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2B87"/>
  <w15:chartTrackingRefBased/>
  <w15:docId w15:val="{CEBAC3DC-BE16-491B-90F4-B0861B07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E15"/>
    <w:pPr>
      <w:spacing w:after="40" w:line="48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2F0E15"/>
    <w:pPr>
      <w:keepNext/>
      <w:keepLines/>
      <w:spacing w:before="240" w:after="0"/>
      <w:outlineLvl w:val="0"/>
    </w:pPr>
    <w:rPr>
      <w:rFonts w:eastAsia="Times New Roman"/>
      <w:b/>
      <w:sz w:val="28"/>
      <w:szCs w:val="32"/>
    </w:rPr>
  </w:style>
  <w:style w:type="paragraph" w:styleId="Heading2">
    <w:name w:val="heading 2"/>
    <w:basedOn w:val="Normal"/>
    <w:next w:val="Normal"/>
    <w:link w:val="Heading2Char"/>
    <w:uiPriority w:val="9"/>
    <w:unhideWhenUsed/>
    <w:qFormat/>
    <w:rsid w:val="002F0E15"/>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2F0E15"/>
    <w:pPr>
      <w:keepNext/>
      <w:spacing w:before="240" w:after="60"/>
      <w:outlineLvl w:val="2"/>
    </w:pPr>
    <w:rPr>
      <w:rFonts w:eastAsia="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E15"/>
    <w:pPr>
      <w:spacing w:after="0" w:line="240" w:lineRule="auto"/>
      <w:contextualSpacing/>
    </w:pPr>
    <w:rPr>
      <w:rFonts w:eastAsia="Times New Roman"/>
      <w:b/>
      <w:spacing w:val="-10"/>
      <w:kern w:val="28"/>
      <w:sz w:val="28"/>
      <w:szCs w:val="56"/>
      <w:u w:val="single"/>
    </w:rPr>
  </w:style>
  <w:style w:type="character" w:customStyle="1" w:styleId="TitleChar">
    <w:name w:val="Title Char"/>
    <w:link w:val="Title"/>
    <w:uiPriority w:val="10"/>
    <w:rsid w:val="002F0E15"/>
    <w:rPr>
      <w:rFonts w:ascii="Times New Roman" w:eastAsia="Times New Roman" w:hAnsi="Times New Roman"/>
      <w:b/>
      <w:spacing w:val="-10"/>
      <w:kern w:val="28"/>
      <w:sz w:val="28"/>
      <w:szCs w:val="56"/>
      <w:u w:val="single"/>
    </w:rPr>
  </w:style>
  <w:style w:type="character" w:customStyle="1" w:styleId="Heading1Char">
    <w:name w:val="Heading 1 Char"/>
    <w:link w:val="Heading1"/>
    <w:uiPriority w:val="9"/>
    <w:rsid w:val="002F0E15"/>
    <w:rPr>
      <w:rFonts w:ascii="Times New Roman" w:eastAsia="Times New Roman" w:hAnsi="Times New Roman"/>
      <w:b/>
      <w:sz w:val="28"/>
      <w:szCs w:val="32"/>
    </w:rPr>
  </w:style>
  <w:style w:type="character" w:customStyle="1" w:styleId="Heading2Char">
    <w:name w:val="Heading 2 Char"/>
    <w:link w:val="Heading2"/>
    <w:uiPriority w:val="9"/>
    <w:rsid w:val="002F0E15"/>
    <w:rPr>
      <w:rFonts w:ascii="Times New Roman" w:eastAsia="Times New Roman" w:hAnsi="Times New Roman" w:cs="Times New Roman"/>
      <w:b/>
      <w:bCs/>
      <w:iCs/>
      <w:sz w:val="24"/>
      <w:szCs w:val="28"/>
    </w:rPr>
  </w:style>
  <w:style w:type="character" w:customStyle="1" w:styleId="Heading3Char">
    <w:name w:val="Heading 3 Char"/>
    <w:link w:val="Heading3"/>
    <w:uiPriority w:val="9"/>
    <w:rsid w:val="002F0E15"/>
    <w:rPr>
      <w:rFonts w:ascii="Times New Roman" w:eastAsia="Times New Roman" w:hAnsi="Times New Roman" w:cs="Times New Roman"/>
      <w:bCs/>
      <w:i/>
      <w:sz w:val="24"/>
      <w:szCs w:val="26"/>
    </w:rPr>
  </w:style>
  <w:style w:type="table" w:styleId="TableGrid">
    <w:name w:val="Table Grid"/>
    <w:basedOn w:val="TableNormal"/>
    <w:uiPriority w:val="39"/>
    <w:rsid w:val="0015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43B"/>
    <w:pPr>
      <w:ind w:left="720"/>
      <w:contextualSpacing/>
    </w:pPr>
  </w:style>
  <w:style w:type="character" w:customStyle="1" w:styleId="st">
    <w:name w:val="st"/>
    <w:basedOn w:val="DefaultParagraphFont"/>
    <w:rsid w:val="00835697"/>
  </w:style>
  <w:style w:type="character" w:styleId="CommentReference">
    <w:name w:val="annotation reference"/>
    <w:basedOn w:val="DefaultParagraphFont"/>
    <w:uiPriority w:val="99"/>
    <w:semiHidden/>
    <w:unhideWhenUsed/>
    <w:rsid w:val="00AE10B8"/>
    <w:rPr>
      <w:sz w:val="16"/>
      <w:szCs w:val="16"/>
    </w:rPr>
  </w:style>
  <w:style w:type="paragraph" w:styleId="CommentText">
    <w:name w:val="annotation text"/>
    <w:basedOn w:val="Normal"/>
    <w:link w:val="CommentTextChar"/>
    <w:uiPriority w:val="99"/>
    <w:semiHidden/>
    <w:unhideWhenUsed/>
    <w:rsid w:val="00AE10B8"/>
    <w:pPr>
      <w:spacing w:line="240" w:lineRule="auto"/>
    </w:pPr>
    <w:rPr>
      <w:sz w:val="20"/>
      <w:szCs w:val="20"/>
    </w:rPr>
  </w:style>
  <w:style w:type="character" w:customStyle="1" w:styleId="CommentTextChar">
    <w:name w:val="Comment Text Char"/>
    <w:basedOn w:val="DefaultParagraphFont"/>
    <w:link w:val="CommentText"/>
    <w:uiPriority w:val="99"/>
    <w:semiHidden/>
    <w:rsid w:val="00AE10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10B8"/>
    <w:rPr>
      <w:b/>
      <w:bCs/>
    </w:rPr>
  </w:style>
  <w:style w:type="character" w:customStyle="1" w:styleId="CommentSubjectChar">
    <w:name w:val="Comment Subject Char"/>
    <w:basedOn w:val="CommentTextChar"/>
    <w:link w:val="CommentSubject"/>
    <w:uiPriority w:val="99"/>
    <w:semiHidden/>
    <w:rsid w:val="00AE10B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E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B8"/>
    <w:rPr>
      <w:rFonts w:ascii="Segoe UI" w:hAnsi="Segoe UI" w:cs="Segoe UI"/>
      <w:sz w:val="18"/>
      <w:szCs w:val="18"/>
    </w:rPr>
  </w:style>
  <w:style w:type="character" w:styleId="PlaceholderText">
    <w:name w:val="Placeholder Text"/>
    <w:basedOn w:val="DefaultParagraphFont"/>
    <w:uiPriority w:val="99"/>
    <w:semiHidden/>
    <w:rsid w:val="00983E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7431">
      <w:bodyDiv w:val="1"/>
      <w:marLeft w:val="0"/>
      <w:marRight w:val="0"/>
      <w:marTop w:val="0"/>
      <w:marBottom w:val="0"/>
      <w:divBdr>
        <w:top w:val="none" w:sz="0" w:space="0" w:color="auto"/>
        <w:left w:val="none" w:sz="0" w:space="0" w:color="auto"/>
        <w:bottom w:val="none" w:sz="0" w:space="0" w:color="auto"/>
        <w:right w:val="none" w:sz="0" w:space="0" w:color="auto"/>
      </w:divBdr>
    </w:div>
    <w:div w:id="81100134">
      <w:bodyDiv w:val="1"/>
      <w:marLeft w:val="0"/>
      <w:marRight w:val="0"/>
      <w:marTop w:val="0"/>
      <w:marBottom w:val="0"/>
      <w:divBdr>
        <w:top w:val="none" w:sz="0" w:space="0" w:color="auto"/>
        <w:left w:val="none" w:sz="0" w:space="0" w:color="auto"/>
        <w:bottom w:val="none" w:sz="0" w:space="0" w:color="auto"/>
        <w:right w:val="none" w:sz="0" w:space="0" w:color="auto"/>
      </w:divBdr>
    </w:div>
    <w:div w:id="736707025">
      <w:bodyDiv w:val="1"/>
      <w:marLeft w:val="0"/>
      <w:marRight w:val="0"/>
      <w:marTop w:val="0"/>
      <w:marBottom w:val="0"/>
      <w:divBdr>
        <w:top w:val="none" w:sz="0" w:space="0" w:color="auto"/>
        <w:left w:val="none" w:sz="0" w:space="0" w:color="auto"/>
        <w:bottom w:val="none" w:sz="0" w:space="0" w:color="auto"/>
        <w:right w:val="none" w:sz="0" w:space="0" w:color="auto"/>
      </w:divBdr>
    </w:div>
    <w:div w:id="884223545">
      <w:bodyDiv w:val="1"/>
      <w:marLeft w:val="0"/>
      <w:marRight w:val="0"/>
      <w:marTop w:val="0"/>
      <w:marBottom w:val="0"/>
      <w:divBdr>
        <w:top w:val="none" w:sz="0" w:space="0" w:color="auto"/>
        <w:left w:val="none" w:sz="0" w:space="0" w:color="auto"/>
        <w:bottom w:val="none" w:sz="0" w:space="0" w:color="auto"/>
        <w:right w:val="none" w:sz="0" w:space="0" w:color="auto"/>
      </w:divBdr>
    </w:div>
    <w:div w:id="1004934327">
      <w:bodyDiv w:val="1"/>
      <w:marLeft w:val="0"/>
      <w:marRight w:val="0"/>
      <w:marTop w:val="0"/>
      <w:marBottom w:val="0"/>
      <w:divBdr>
        <w:top w:val="none" w:sz="0" w:space="0" w:color="auto"/>
        <w:left w:val="none" w:sz="0" w:space="0" w:color="auto"/>
        <w:bottom w:val="none" w:sz="0" w:space="0" w:color="auto"/>
        <w:right w:val="none" w:sz="0" w:space="0" w:color="auto"/>
      </w:divBdr>
    </w:div>
    <w:div w:id="1016032429">
      <w:bodyDiv w:val="1"/>
      <w:marLeft w:val="0"/>
      <w:marRight w:val="0"/>
      <w:marTop w:val="0"/>
      <w:marBottom w:val="0"/>
      <w:divBdr>
        <w:top w:val="none" w:sz="0" w:space="0" w:color="auto"/>
        <w:left w:val="none" w:sz="0" w:space="0" w:color="auto"/>
        <w:bottom w:val="none" w:sz="0" w:space="0" w:color="auto"/>
        <w:right w:val="none" w:sz="0" w:space="0" w:color="auto"/>
      </w:divBdr>
    </w:div>
    <w:div w:id="1022054301">
      <w:bodyDiv w:val="1"/>
      <w:marLeft w:val="0"/>
      <w:marRight w:val="0"/>
      <w:marTop w:val="0"/>
      <w:marBottom w:val="0"/>
      <w:divBdr>
        <w:top w:val="none" w:sz="0" w:space="0" w:color="auto"/>
        <w:left w:val="none" w:sz="0" w:space="0" w:color="auto"/>
        <w:bottom w:val="none" w:sz="0" w:space="0" w:color="auto"/>
        <w:right w:val="none" w:sz="0" w:space="0" w:color="auto"/>
      </w:divBdr>
    </w:div>
    <w:div w:id="1080905217">
      <w:bodyDiv w:val="1"/>
      <w:marLeft w:val="0"/>
      <w:marRight w:val="0"/>
      <w:marTop w:val="0"/>
      <w:marBottom w:val="0"/>
      <w:divBdr>
        <w:top w:val="none" w:sz="0" w:space="0" w:color="auto"/>
        <w:left w:val="none" w:sz="0" w:space="0" w:color="auto"/>
        <w:bottom w:val="none" w:sz="0" w:space="0" w:color="auto"/>
        <w:right w:val="none" w:sz="0" w:space="0" w:color="auto"/>
      </w:divBdr>
    </w:div>
    <w:div w:id="1535145345">
      <w:bodyDiv w:val="1"/>
      <w:marLeft w:val="0"/>
      <w:marRight w:val="0"/>
      <w:marTop w:val="0"/>
      <w:marBottom w:val="0"/>
      <w:divBdr>
        <w:top w:val="none" w:sz="0" w:space="0" w:color="auto"/>
        <w:left w:val="none" w:sz="0" w:space="0" w:color="auto"/>
        <w:bottom w:val="none" w:sz="0" w:space="0" w:color="auto"/>
        <w:right w:val="none" w:sz="0" w:space="0" w:color="auto"/>
      </w:divBdr>
    </w:div>
    <w:div w:id="1619558180">
      <w:bodyDiv w:val="1"/>
      <w:marLeft w:val="0"/>
      <w:marRight w:val="0"/>
      <w:marTop w:val="0"/>
      <w:marBottom w:val="0"/>
      <w:divBdr>
        <w:top w:val="none" w:sz="0" w:space="0" w:color="auto"/>
        <w:left w:val="none" w:sz="0" w:space="0" w:color="auto"/>
        <w:bottom w:val="none" w:sz="0" w:space="0" w:color="auto"/>
        <w:right w:val="none" w:sz="0" w:space="0" w:color="auto"/>
      </w:divBdr>
    </w:div>
    <w:div w:id="1651128520">
      <w:bodyDiv w:val="1"/>
      <w:marLeft w:val="0"/>
      <w:marRight w:val="0"/>
      <w:marTop w:val="0"/>
      <w:marBottom w:val="0"/>
      <w:divBdr>
        <w:top w:val="none" w:sz="0" w:space="0" w:color="auto"/>
        <w:left w:val="none" w:sz="0" w:space="0" w:color="auto"/>
        <w:bottom w:val="none" w:sz="0" w:space="0" w:color="auto"/>
        <w:right w:val="none" w:sz="0" w:space="0" w:color="auto"/>
      </w:divBdr>
    </w:div>
    <w:div w:id="1740127822">
      <w:bodyDiv w:val="1"/>
      <w:marLeft w:val="0"/>
      <w:marRight w:val="0"/>
      <w:marTop w:val="0"/>
      <w:marBottom w:val="0"/>
      <w:divBdr>
        <w:top w:val="none" w:sz="0" w:space="0" w:color="auto"/>
        <w:left w:val="none" w:sz="0" w:space="0" w:color="auto"/>
        <w:bottom w:val="none" w:sz="0" w:space="0" w:color="auto"/>
        <w:right w:val="none" w:sz="0" w:space="0" w:color="auto"/>
      </w:divBdr>
    </w:div>
    <w:div w:id="1899776829">
      <w:bodyDiv w:val="1"/>
      <w:marLeft w:val="0"/>
      <w:marRight w:val="0"/>
      <w:marTop w:val="0"/>
      <w:marBottom w:val="0"/>
      <w:divBdr>
        <w:top w:val="none" w:sz="0" w:space="0" w:color="auto"/>
        <w:left w:val="none" w:sz="0" w:space="0" w:color="auto"/>
        <w:bottom w:val="none" w:sz="0" w:space="0" w:color="auto"/>
        <w:right w:val="none" w:sz="0" w:space="0" w:color="auto"/>
      </w:divBdr>
    </w:div>
    <w:div w:id="1968201261">
      <w:bodyDiv w:val="1"/>
      <w:marLeft w:val="0"/>
      <w:marRight w:val="0"/>
      <w:marTop w:val="0"/>
      <w:marBottom w:val="0"/>
      <w:divBdr>
        <w:top w:val="none" w:sz="0" w:space="0" w:color="auto"/>
        <w:left w:val="none" w:sz="0" w:space="0" w:color="auto"/>
        <w:bottom w:val="none" w:sz="0" w:space="0" w:color="auto"/>
        <w:right w:val="none" w:sz="0" w:space="0" w:color="auto"/>
      </w:divBdr>
    </w:div>
    <w:div w:id="1971013756">
      <w:bodyDiv w:val="1"/>
      <w:marLeft w:val="0"/>
      <w:marRight w:val="0"/>
      <w:marTop w:val="0"/>
      <w:marBottom w:val="0"/>
      <w:divBdr>
        <w:top w:val="none" w:sz="0" w:space="0" w:color="auto"/>
        <w:left w:val="none" w:sz="0" w:space="0" w:color="auto"/>
        <w:bottom w:val="none" w:sz="0" w:space="0" w:color="auto"/>
        <w:right w:val="none" w:sz="0" w:space="0" w:color="auto"/>
      </w:divBdr>
    </w:div>
    <w:div w:id="2076586279">
      <w:bodyDiv w:val="1"/>
      <w:marLeft w:val="0"/>
      <w:marRight w:val="0"/>
      <w:marTop w:val="0"/>
      <w:marBottom w:val="0"/>
      <w:divBdr>
        <w:top w:val="none" w:sz="0" w:space="0" w:color="auto"/>
        <w:left w:val="none" w:sz="0" w:space="0" w:color="auto"/>
        <w:bottom w:val="none" w:sz="0" w:space="0" w:color="auto"/>
        <w:right w:val="none" w:sz="0" w:space="0" w:color="auto"/>
      </w:divBdr>
    </w:div>
    <w:div w:id="21173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64514CE-8FE5-41E9-827C-5C8F087F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 Martin</cp:lastModifiedBy>
  <cp:revision>40</cp:revision>
  <dcterms:created xsi:type="dcterms:W3CDTF">2017-07-13T09:19:00Z</dcterms:created>
  <dcterms:modified xsi:type="dcterms:W3CDTF">2017-11-16T16:49:00Z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http://www.zotero.org/styles/circulation</vt:lpwstr>
  </property>
  <property fmtid="{D5CDD505-2E9C-101B-9397-08002B2CF9AE}" pid="11" name="Mendeley Recent Style Name 4_1">
    <vt:lpwstr>Circulation</vt:lpwstr>
  </property>
  <property fmtid="{D5CDD505-2E9C-101B-9397-08002B2CF9AE}" pid="12" name="Mendeley Recent Style Id 5_1">
    <vt:lpwstr>http://www.zotero.org/styles/heart</vt:lpwstr>
  </property>
  <property fmtid="{D5CDD505-2E9C-101B-9397-08002B2CF9AE}" pid="13" name="Mendeley Recent Style Name 5_1">
    <vt:lpwstr>Heart</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http://www.zotero.org/styles/jacc-cardiovascular-imaging</vt:lpwstr>
  </property>
  <property fmtid="{D5CDD505-2E9C-101B-9397-08002B2CF9AE}" pid="17" name="Mendeley Recent Style Name 7_1">
    <vt:lpwstr>JACC: Cardiovascular Imaging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02afbd35-bc8c-37b5-8284-f6a681c4f1b8</vt:lpwstr>
  </property>
  <property fmtid="{D5CDD505-2E9C-101B-9397-08002B2CF9AE}" pid="24" name="Mendeley Citation Style_1">
    <vt:lpwstr>http://www.zotero.org/styles/heart</vt:lpwstr>
  </property>
</Properties>
</file>