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0B58" w:rsidRPr="00EE270C" w:rsidRDefault="00300B58" w:rsidP="00EE270C">
      <w:pPr>
        <w:jc w:val="center"/>
        <w:rPr>
          <w:rFonts w:asciiTheme="majorBidi" w:hAnsiTheme="majorBidi" w:cstheme="majorBidi"/>
          <w:b/>
          <w:bCs/>
          <w:sz w:val="32"/>
          <w:szCs w:val="32"/>
        </w:rPr>
      </w:pPr>
      <w:bookmarkStart w:id="0" w:name="_Toc425666457"/>
      <w:bookmarkStart w:id="1" w:name="_Toc190578485"/>
      <w:bookmarkStart w:id="2" w:name="_Toc190578162"/>
      <w:bookmarkStart w:id="3" w:name="_Toc190576790"/>
      <w:bookmarkStart w:id="4" w:name="_Toc172432895"/>
      <w:bookmarkStart w:id="5" w:name="_Toc172432851"/>
      <w:bookmarkStart w:id="6" w:name="_Toc171502407"/>
      <w:bookmarkStart w:id="7" w:name="_Toc171495417"/>
      <w:bookmarkStart w:id="8" w:name="_Toc167682987"/>
      <w:bookmarkStart w:id="9" w:name="_Toc167682873"/>
      <w:bookmarkStart w:id="10" w:name="_Toc164833402"/>
      <w:bookmarkStart w:id="11" w:name="_Toc156187516"/>
      <w:bookmarkStart w:id="12" w:name="_Toc139258203"/>
      <w:bookmarkStart w:id="13" w:name="_Toc138225964"/>
      <w:bookmarkStart w:id="14" w:name="_Toc127862990"/>
      <w:bookmarkStart w:id="15" w:name="_GoBack"/>
      <w:bookmarkEnd w:id="15"/>
      <w:r w:rsidRPr="00EE270C">
        <w:rPr>
          <w:rFonts w:asciiTheme="majorBidi" w:hAnsiTheme="majorBidi" w:cstheme="majorBidi"/>
          <w:b/>
          <w:bCs/>
          <w:sz w:val="32"/>
          <w:szCs w:val="32"/>
        </w:rPr>
        <w:t xml:space="preserve">The Case for a </w:t>
      </w:r>
      <w:r w:rsidR="008A38DF">
        <w:rPr>
          <w:rFonts w:asciiTheme="majorBidi" w:hAnsiTheme="majorBidi" w:cstheme="majorBidi"/>
          <w:b/>
          <w:bCs/>
          <w:sz w:val="32"/>
          <w:szCs w:val="32"/>
        </w:rPr>
        <w:t xml:space="preserve">General </w:t>
      </w:r>
      <w:r w:rsidRPr="00EE270C">
        <w:rPr>
          <w:rFonts w:asciiTheme="majorBidi" w:hAnsiTheme="majorBidi" w:cstheme="majorBidi"/>
          <w:b/>
          <w:bCs/>
          <w:sz w:val="32"/>
          <w:szCs w:val="32"/>
        </w:rPr>
        <w:t>Constitutional Right to be Granted Conscientious Exemption</w:t>
      </w:r>
      <w:bookmarkEnd w:id="0"/>
    </w:p>
    <w:p w:rsidR="005F6292" w:rsidRDefault="001256F3" w:rsidP="00527B08">
      <w:pPr>
        <w:spacing w:after="0" w:line="240" w:lineRule="auto"/>
        <w:jc w:val="center"/>
        <w:rPr>
          <w:rFonts w:ascii="Times New Roman" w:eastAsia="Times New Roman" w:hAnsi="Times New Roman" w:cs="Monotype Hadassah"/>
          <w:b/>
          <w:bCs/>
          <w:sz w:val="28"/>
          <w:szCs w:val="28"/>
        </w:rPr>
      </w:pPr>
      <w:bookmarkStart w:id="16" w:name="_Toc167682991"/>
      <w:bookmarkStart w:id="17" w:name="_Toc167682877"/>
      <w:bookmarkStart w:id="18" w:name="_Toc164833406"/>
      <w:bookmarkStart w:id="19" w:name="_Toc156187520"/>
      <w:bookmarkStart w:id="20" w:name="_Toc190578164"/>
      <w:bookmarkEnd w:id="1"/>
      <w:bookmarkEnd w:id="2"/>
      <w:bookmarkEnd w:id="3"/>
      <w:bookmarkEnd w:id="4"/>
      <w:bookmarkEnd w:id="5"/>
      <w:bookmarkEnd w:id="6"/>
      <w:bookmarkEnd w:id="7"/>
      <w:bookmarkEnd w:id="8"/>
      <w:bookmarkEnd w:id="9"/>
      <w:bookmarkEnd w:id="10"/>
      <w:bookmarkEnd w:id="11"/>
      <w:bookmarkEnd w:id="12"/>
      <w:r>
        <w:rPr>
          <w:rFonts w:ascii="Times New Roman" w:eastAsia="Times New Roman" w:hAnsi="Times New Roman" w:cs="Monotype Hadassah"/>
          <w:b/>
          <w:bCs/>
          <w:sz w:val="28"/>
          <w:szCs w:val="28"/>
        </w:rPr>
        <w:t>Yossi Nehushtan*</w:t>
      </w:r>
    </w:p>
    <w:p w:rsidR="001256F3" w:rsidRDefault="001256F3" w:rsidP="00527B08">
      <w:pPr>
        <w:spacing w:after="0" w:line="240" w:lineRule="auto"/>
        <w:jc w:val="center"/>
        <w:rPr>
          <w:rFonts w:ascii="Times New Roman" w:eastAsia="Times New Roman" w:hAnsi="Times New Roman" w:cs="Monotype Hadassah"/>
          <w:b/>
          <w:bCs/>
          <w:sz w:val="28"/>
          <w:szCs w:val="28"/>
        </w:rPr>
      </w:pPr>
    </w:p>
    <w:p w:rsidR="00300B58" w:rsidRPr="00300B58" w:rsidRDefault="00300B58" w:rsidP="00170B66">
      <w:pPr>
        <w:spacing w:after="0" w:line="240" w:lineRule="auto"/>
        <w:jc w:val="center"/>
        <w:rPr>
          <w:rFonts w:ascii="Times New Roman" w:eastAsia="Times New Roman" w:hAnsi="Times New Roman" w:cs="Monotype Hadassah"/>
          <w:b/>
          <w:bCs/>
          <w:sz w:val="28"/>
          <w:szCs w:val="28"/>
        </w:rPr>
      </w:pPr>
      <w:r w:rsidRPr="00300B58">
        <w:rPr>
          <w:rFonts w:ascii="Times New Roman" w:eastAsia="Times New Roman" w:hAnsi="Times New Roman" w:cs="Monotype Hadassah"/>
          <w:b/>
          <w:bCs/>
          <w:sz w:val="28"/>
          <w:szCs w:val="28"/>
        </w:rPr>
        <w:t>A</w:t>
      </w:r>
      <w:r w:rsidR="00170B66">
        <w:rPr>
          <w:rFonts w:ascii="Times New Roman" w:eastAsia="Times New Roman" w:hAnsi="Times New Roman" w:cs="Monotype Hadassah"/>
          <w:b/>
          <w:bCs/>
          <w:sz w:val="28"/>
          <w:szCs w:val="28"/>
        </w:rPr>
        <w:t>BSTRACT</w:t>
      </w:r>
    </w:p>
    <w:p w:rsidR="00300B58" w:rsidRPr="00300B58" w:rsidRDefault="00300B58" w:rsidP="00527B08">
      <w:pPr>
        <w:spacing w:after="0" w:line="240" w:lineRule="auto"/>
        <w:rPr>
          <w:rFonts w:ascii="Times New Roman" w:eastAsia="Times New Roman" w:hAnsi="Times New Roman" w:cs="Monotype Hadassah"/>
          <w:sz w:val="24"/>
          <w:szCs w:val="20"/>
        </w:rPr>
      </w:pPr>
    </w:p>
    <w:p w:rsidR="00300B58" w:rsidRPr="00300B58" w:rsidRDefault="00300B58" w:rsidP="00527B08">
      <w:pPr>
        <w:spacing w:after="0" w:line="240" w:lineRule="auto"/>
        <w:rPr>
          <w:rFonts w:ascii="Times New Roman" w:eastAsia="Times New Roman" w:hAnsi="Times New Roman" w:cs="Monotype Hadassah"/>
          <w:sz w:val="24"/>
          <w:szCs w:val="20"/>
        </w:rPr>
      </w:pPr>
    </w:p>
    <w:p w:rsidR="00300B58" w:rsidRPr="00300B58" w:rsidRDefault="00300B58" w:rsidP="0054333A">
      <w:pPr>
        <w:spacing w:after="0" w:line="480" w:lineRule="auto"/>
        <w:jc w:val="both"/>
        <w:rPr>
          <w:rFonts w:ascii="Times New Roman" w:eastAsia="Times New Roman" w:hAnsi="Times New Roman" w:cs="Monotype Hadassah"/>
          <w:sz w:val="24"/>
          <w:szCs w:val="20"/>
        </w:rPr>
      </w:pPr>
      <w:r w:rsidRPr="00300B58">
        <w:rPr>
          <w:rFonts w:ascii="Times New Roman" w:eastAsia="Times New Roman" w:hAnsi="Times New Roman" w:cs="Monotype Hadassah"/>
          <w:sz w:val="24"/>
          <w:szCs w:val="20"/>
        </w:rPr>
        <w:t>Conscientious exemption is called for when a</w:t>
      </w:r>
      <w:r w:rsidR="00E22CCD">
        <w:rPr>
          <w:rFonts w:ascii="Times New Roman" w:eastAsia="Times New Roman" w:hAnsi="Times New Roman" w:cs="Monotype Hadassah"/>
          <w:sz w:val="24"/>
          <w:szCs w:val="20"/>
        </w:rPr>
        <w:t xml:space="preserve"> person’s conscience </w:t>
      </w:r>
      <w:r w:rsidRPr="00300B58">
        <w:rPr>
          <w:rFonts w:ascii="Times New Roman" w:eastAsia="Times New Roman" w:hAnsi="Times New Roman" w:cs="Monotype Hadassah"/>
          <w:sz w:val="24"/>
          <w:szCs w:val="20"/>
        </w:rPr>
        <w:t>conflicts with the demands or the requirements of the law.</w:t>
      </w:r>
      <w:r>
        <w:rPr>
          <w:rFonts w:ascii="Times New Roman" w:eastAsia="Times New Roman" w:hAnsi="Times New Roman" w:cs="Monotype Hadassah"/>
          <w:sz w:val="24"/>
          <w:szCs w:val="20"/>
        </w:rPr>
        <w:t xml:space="preserve"> </w:t>
      </w:r>
      <w:r w:rsidRPr="00300B58">
        <w:rPr>
          <w:rFonts w:ascii="Times New Roman" w:eastAsia="Times New Roman" w:hAnsi="Times New Roman" w:cs="Monotype Hadassah"/>
          <w:sz w:val="24"/>
          <w:szCs w:val="20"/>
        </w:rPr>
        <w:t>Most of the academic research about the practice of granting conscientious exemptions and its justification explores the question of when such exemptions should be granted.</w:t>
      </w:r>
      <w:r>
        <w:rPr>
          <w:rFonts w:ascii="Times New Roman" w:eastAsia="Times New Roman" w:hAnsi="Times New Roman" w:cs="Monotype Hadassah"/>
          <w:sz w:val="24"/>
          <w:szCs w:val="20"/>
        </w:rPr>
        <w:t xml:space="preserve"> </w:t>
      </w:r>
      <w:r w:rsidRPr="00300B58">
        <w:rPr>
          <w:rFonts w:ascii="Times New Roman" w:eastAsia="Times New Roman" w:hAnsi="Times New Roman" w:cs="Monotype Hadassah"/>
          <w:sz w:val="24"/>
          <w:szCs w:val="20"/>
        </w:rPr>
        <w:t>The purpose of this paper is to explore the largely neglected yet highly important and interrelated questions of how conscientious exemptions should be granted</w:t>
      </w:r>
      <w:r w:rsidR="0054333A">
        <w:rPr>
          <w:rFonts w:ascii="Times New Roman" w:eastAsia="Times New Roman" w:hAnsi="Times New Roman" w:cs="Monotype Hadassah"/>
          <w:sz w:val="24"/>
          <w:szCs w:val="20"/>
        </w:rPr>
        <w:t xml:space="preserve"> – and </w:t>
      </w:r>
      <w:r w:rsidRPr="00300B58">
        <w:rPr>
          <w:rFonts w:ascii="Times New Roman" w:eastAsia="Times New Roman" w:hAnsi="Times New Roman" w:cs="Monotype Hadassah"/>
          <w:sz w:val="24"/>
          <w:szCs w:val="20"/>
        </w:rPr>
        <w:t xml:space="preserve">by whom. </w:t>
      </w:r>
    </w:p>
    <w:p w:rsidR="00300B58" w:rsidRPr="00300B58" w:rsidRDefault="00300B58" w:rsidP="00527B08">
      <w:pPr>
        <w:spacing w:after="0" w:line="480" w:lineRule="auto"/>
        <w:jc w:val="both"/>
        <w:rPr>
          <w:rFonts w:ascii="Times New Roman" w:eastAsia="Times New Roman" w:hAnsi="Times New Roman" w:cs="Monotype Hadassah"/>
          <w:sz w:val="24"/>
          <w:szCs w:val="20"/>
        </w:rPr>
      </w:pPr>
      <w:r w:rsidRPr="00300B58">
        <w:rPr>
          <w:rFonts w:ascii="Times New Roman" w:eastAsia="Times New Roman" w:hAnsi="Times New Roman" w:cs="Monotype Hadassah"/>
          <w:sz w:val="24"/>
          <w:szCs w:val="20"/>
        </w:rPr>
        <w:t xml:space="preserve">The argument proposed is that there is no </w:t>
      </w:r>
      <w:r w:rsidR="00AC58A2">
        <w:rPr>
          <w:rFonts w:ascii="Times New Roman" w:eastAsia="Times New Roman" w:hAnsi="Times New Roman" w:cs="Monotype Hadassah"/>
          <w:sz w:val="24"/>
          <w:szCs w:val="20"/>
        </w:rPr>
        <w:t>single</w:t>
      </w:r>
      <w:r w:rsidRPr="00300B58">
        <w:rPr>
          <w:rFonts w:ascii="Times New Roman" w:eastAsia="Times New Roman" w:hAnsi="Times New Roman" w:cs="Monotype Hadassah"/>
          <w:sz w:val="24"/>
          <w:szCs w:val="20"/>
        </w:rPr>
        <w:t xml:space="preserve"> model for granting conscientious exemptions that is preferable in all cases. Therefore, conscientious exemptions should be granted in different ways and by different authorities in different cases. These typical cases are discussed throughout th</w:t>
      </w:r>
      <w:r w:rsidR="00D05044">
        <w:rPr>
          <w:rFonts w:ascii="Times New Roman" w:eastAsia="Times New Roman" w:hAnsi="Times New Roman" w:cs="Monotype Hadassah"/>
          <w:sz w:val="24"/>
          <w:szCs w:val="20"/>
        </w:rPr>
        <w:t>e</w:t>
      </w:r>
      <w:r w:rsidRPr="00300B58">
        <w:rPr>
          <w:rFonts w:ascii="Times New Roman" w:eastAsia="Times New Roman" w:hAnsi="Times New Roman" w:cs="Monotype Hadassah"/>
          <w:sz w:val="24"/>
          <w:szCs w:val="20"/>
        </w:rPr>
        <w:t xml:space="preserve"> paper. The argument that there is no </w:t>
      </w:r>
      <w:r w:rsidR="00AC58A2">
        <w:rPr>
          <w:rFonts w:ascii="Times New Roman" w:eastAsia="Times New Roman" w:hAnsi="Times New Roman" w:cs="Monotype Hadassah"/>
          <w:sz w:val="24"/>
          <w:szCs w:val="20"/>
        </w:rPr>
        <w:t>single</w:t>
      </w:r>
      <w:r w:rsidRPr="00300B58">
        <w:rPr>
          <w:rFonts w:ascii="Times New Roman" w:eastAsia="Times New Roman" w:hAnsi="Times New Roman" w:cs="Monotype Hadassah"/>
          <w:sz w:val="24"/>
          <w:szCs w:val="20"/>
        </w:rPr>
        <w:t xml:space="preserve"> </w:t>
      </w:r>
      <w:r w:rsidR="00AC58A2">
        <w:rPr>
          <w:rFonts w:ascii="Times New Roman" w:eastAsia="Times New Roman" w:hAnsi="Times New Roman" w:cs="Monotype Hadassah"/>
          <w:sz w:val="24"/>
          <w:szCs w:val="20"/>
        </w:rPr>
        <w:t>preferred</w:t>
      </w:r>
      <w:r w:rsidRPr="00300B58">
        <w:rPr>
          <w:rFonts w:ascii="Times New Roman" w:eastAsia="Times New Roman" w:hAnsi="Times New Roman" w:cs="Monotype Hadassah"/>
          <w:sz w:val="24"/>
          <w:szCs w:val="20"/>
        </w:rPr>
        <w:t xml:space="preserve"> model for granting conscientious exemptions leads to a more specific argument, namely that, alongside other ways of granting conscientious exemptions, there should always be a general constitutional right to be granted such an exemption.       </w:t>
      </w:r>
    </w:p>
    <w:p w:rsidR="00EE270C" w:rsidRDefault="00EE270C" w:rsidP="00527B08">
      <w:pPr>
        <w:spacing w:after="0" w:line="240" w:lineRule="auto"/>
        <w:rPr>
          <w:rFonts w:ascii="Times New Roman" w:eastAsia="Times New Roman" w:hAnsi="Times New Roman" w:cs="Monotype Hadassah"/>
          <w:sz w:val="24"/>
          <w:szCs w:val="20"/>
        </w:rPr>
      </w:pPr>
    </w:p>
    <w:p w:rsidR="00D3013B" w:rsidRDefault="00D3013B" w:rsidP="00527B08">
      <w:pPr>
        <w:spacing w:after="0" w:line="240" w:lineRule="auto"/>
        <w:rPr>
          <w:rFonts w:ascii="Times New Roman" w:eastAsia="Times New Roman" w:hAnsi="Times New Roman" w:cs="Monotype Hadassah"/>
          <w:sz w:val="24"/>
          <w:szCs w:val="20"/>
        </w:rPr>
      </w:pPr>
    </w:p>
    <w:p w:rsidR="00D3013B" w:rsidRDefault="00D3013B" w:rsidP="00527B08">
      <w:pPr>
        <w:spacing w:after="0" w:line="240" w:lineRule="auto"/>
        <w:rPr>
          <w:rFonts w:ascii="Times New Roman" w:eastAsia="Times New Roman" w:hAnsi="Times New Roman" w:cs="Monotype Hadassah"/>
          <w:sz w:val="24"/>
          <w:szCs w:val="20"/>
        </w:rPr>
      </w:pPr>
      <w:r w:rsidRPr="00D3013B">
        <w:rPr>
          <w:rFonts w:ascii="Times New Roman" w:eastAsia="Times New Roman" w:hAnsi="Times New Roman" w:cs="Monotype Hadassah"/>
          <w:sz w:val="24"/>
          <w:szCs w:val="20"/>
          <w:u w:val="single"/>
        </w:rPr>
        <w:t>Key words</w:t>
      </w:r>
      <w:r>
        <w:rPr>
          <w:rFonts w:ascii="Times New Roman" w:eastAsia="Times New Roman" w:hAnsi="Times New Roman" w:cs="Monotype Hadassah"/>
          <w:sz w:val="24"/>
          <w:szCs w:val="20"/>
        </w:rPr>
        <w:t>: conscientious objection, conscientious exemption, constitutional rights.</w:t>
      </w:r>
    </w:p>
    <w:p w:rsidR="00F27320" w:rsidRDefault="00F27320">
      <w:pPr>
        <w:rPr>
          <w:rFonts w:ascii="Times New Roman" w:eastAsia="Times New Roman" w:hAnsi="Times New Roman" w:cs="Monotype Hadassah"/>
          <w:sz w:val="24"/>
          <w:szCs w:val="20"/>
        </w:rPr>
      </w:pPr>
      <w:r>
        <w:rPr>
          <w:rFonts w:ascii="Times New Roman" w:eastAsia="Times New Roman" w:hAnsi="Times New Roman" w:cs="Monotype Hadassah"/>
          <w:sz w:val="24"/>
          <w:szCs w:val="20"/>
        </w:rPr>
        <w:br w:type="page"/>
      </w:r>
    </w:p>
    <w:p w:rsidR="00EE270C" w:rsidRDefault="00EE270C" w:rsidP="00527B08">
      <w:pPr>
        <w:spacing w:after="0" w:line="240" w:lineRule="auto"/>
        <w:rPr>
          <w:rFonts w:ascii="Times New Roman" w:eastAsia="Times New Roman" w:hAnsi="Times New Roman" w:cs="Monotype Hadassah"/>
          <w:sz w:val="24"/>
          <w:szCs w:val="20"/>
        </w:rPr>
      </w:pPr>
      <w:r>
        <w:rPr>
          <w:rFonts w:ascii="Times New Roman" w:eastAsia="Times New Roman" w:hAnsi="Times New Roman" w:cs="Monotype Hadassah"/>
          <w:sz w:val="24"/>
          <w:szCs w:val="20"/>
        </w:rPr>
        <w:lastRenderedPageBreak/>
        <w:t>Contents:</w:t>
      </w:r>
    </w:p>
    <w:p w:rsidR="00EE270C" w:rsidRDefault="00EE270C" w:rsidP="00527B08">
      <w:pPr>
        <w:spacing w:after="0" w:line="240" w:lineRule="auto"/>
        <w:rPr>
          <w:rFonts w:ascii="Times New Roman" w:eastAsia="Times New Roman" w:hAnsi="Times New Roman" w:cs="Monotype Hadassah"/>
          <w:sz w:val="24"/>
          <w:szCs w:val="20"/>
        </w:rPr>
      </w:pPr>
    </w:p>
    <w:sdt>
      <w:sdtPr>
        <w:rPr>
          <w:rFonts w:asciiTheme="minorHAnsi" w:eastAsiaTheme="minorHAnsi" w:hAnsiTheme="minorHAnsi" w:cstheme="minorBidi"/>
          <w:b w:val="0"/>
          <w:bCs w:val="0"/>
          <w:color w:val="auto"/>
          <w:sz w:val="22"/>
          <w:szCs w:val="22"/>
          <w:cs w:val="0"/>
          <w:lang w:val="he-IL" w:eastAsia="en-US"/>
        </w:rPr>
        <w:id w:val="-898441903"/>
        <w:docPartObj>
          <w:docPartGallery w:val="Table of Contents"/>
          <w:docPartUnique/>
        </w:docPartObj>
      </w:sdtPr>
      <w:sdtEndPr>
        <w:rPr>
          <w:rtl w:val="0"/>
        </w:rPr>
      </w:sdtEndPr>
      <w:sdtContent>
        <w:p w:rsidR="00EE270C" w:rsidRDefault="00EE270C" w:rsidP="0054333A">
          <w:pPr>
            <w:pStyle w:val="a6"/>
            <w:rPr>
              <w:cs w:val="0"/>
            </w:rPr>
          </w:pPr>
        </w:p>
        <w:p w:rsidR="00EB0E37" w:rsidRDefault="00EE270C">
          <w:pPr>
            <w:pStyle w:val="TOC1"/>
            <w:tabs>
              <w:tab w:val="right" w:leader="dot" w:pos="8296"/>
            </w:tabs>
            <w:rPr>
              <w:rFonts w:eastAsiaTheme="minorEastAsia"/>
              <w:noProof/>
              <w:lang w:eastAsia="en-GB"/>
            </w:rPr>
          </w:pPr>
          <w:r w:rsidRPr="0054333A">
            <w:rPr>
              <w:sz w:val="24"/>
              <w:szCs w:val="24"/>
            </w:rPr>
            <w:fldChar w:fldCharType="begin"/>
          </w:r>
          <w:r w:rsidRPr="0054333A">
            <w:rPr>
              <w:sz w:val="24"/>
              <w:szCs w:val="24"/>
            </w:rPr>
            <w:instrText xml:space="preserve"> TOC \o "1-3" \h \z \u </w:instrText>
          </w:r>
          <w:r w:rsidRPr="0054333A">
            <w:rPr>
              <w:sz w:val="24"/>
              <w:szCs w:val="24"/>
            </w:rPr>
            <w:fldChar w:fldCharType="separate"/>
          </w:r>
          <w:hyperlink w:anchor="_Toc435695342" w:history="1">
            <w:r w:rsidR="00EB0E37" w:rsidRPr="0077211A">
              <w:rPr>
                <w:rStyle w:val="Hyperlink"/>
                <w:rFonts w:eastAsia="Times New Roman"/>
                <w:noProof/>
              </w:rPr>
              <w:t>1. Introduction</w:t>
            </w:r>
            <w:r w:rsidR="00EB0E37">
              <w:rPr>
                <w:noProof/>
                <w:webHidden/>
              </w:rPr>
              <w:tab/>
            </w:r>
            <w:r w:rsidR="00EB0E37">
              <w:rPr>
                <w:noProof/>
                <w:webHidden/>
              </w:rPr>
              <w:fldChar w:fldCharType="begin"/>
            </w:r>
            <w:r w:rsidR="00EB0E37">
              <w:rPr>
                <w:noProof/>
                <w:webHidden/>
              </w:rPr>
              <w:instrText xml:space="preserve"> PAGEREF _Toc435695342 \h </w:instrText>
            </w:r>
            <w:r w:rsidR="00EB0E37">
              <w:rPr>
                <w:noProof/>
                <w:webHidden/>
              </w:rPr>
            </w:r>
            <w:r w:rsidR="00EB0E37">
              <w:rPr>
                <w:noProof/>
                <w:webHidden/>
              </w:rPr>
              <w:fldChar w:fldCharType="separate"/>
            </w:r>
            <w:r w:rsidR="005B634A">
              <w:rPr>
                <w:noProof/>
                <w:webHidden/>
              </w:rPr>
              <w:t>3</w:t>
            </w:r>
            <w:r w:rsidR="00EB0E37">
              <w:rPr>
                <w:noProof/>
                <w:webHidden/>
              </w:rPr>
              <w:fldChar w:fldCharType="end"/>
            </w:r>
          </w:hyperlink>
        </w:p>
        <w:p w:rsidR="00EB0E37" w:rsidRDefault="00B9291F">
          <w:pPr>
            <w:pStyle w:val="TOC1"/>
            <w:tabs>
              <w:tab w:val="right" w:leader="dot" w:pos="8296"/>
            </w:tabs>
            <w:rPr>
              <w:rFonts w:eastAsiaTheme="minorEastAsia"/>
              <w:noProof/>
              <w:lang w:eastAsia="en-GB"/>
            </w:rPr>
          </w:pPr>
          <w:hyperlink w:anchor="_Toc435695343" w:history="1">
            <w:r w:rsidR="00EB0E37" w:rsidRPr="0077211A">
              <w:rPr>
                <w:rStyle w:val="Hyperlink"/>
                <w:rFonts w:eastAsia="Times New Roman"/>
                <w:noProof/>
              </w:rPr>
              <w:t>2. The right to be granted conscientious exemption as a right to be tolerated</w:t>
            </w:r>
            <w:r w:rsidR="00EB0E37">
              <w:rPr>
                <w:noProof/>
                <w:webHidden/>
              </w:rPr>
              <w:tab/>
            </w:r>
            <w:r w:rsidR="00EB0E37">
              <w:rPr>
                <w:noProof/>
                <w:webHidden/>
              </w:rPr>
              <w:fldChar w:fldCharType="begin"/>
            </w:r>
            <w:r w:rsidR="00EB0E37">
              <w:rPr>
                <w:noProof/>
                <w:webHidden/>
              </w:rPr>
              <w:instrText xml:space="preserve"> PAGEREF _Toc435695343 \h </w:instrText>
            </w:r>
            <w:r w:rsidR="00EB0E37">
              <w:rPr>
                <w:noProof/>
                <w:webHidden/>
              </w:rPr>
            </w:r>
            <w:r w:rsidR="00EB0E37">
              <w:rPr>
                <w:noProof/>
                <w:webHidden/>
              </w:rPr>
              <w:fldChar w:fldCharType="separate"/>
            </w:r>
            <w:r w:rsidR="005B634A">
              <w:rPr>
                <w:noProof/>
                <w:webHidden/>
              </w:rPr>
              <w:t>4</w:t>
            </w:r>
            <w:r w:rsidR="00EB0E37">
              <w:rPr>
                <w:noProof/>
                <w:webHidden/>
              </w:rPr>
              <w:fldChar w:fldCharType="end"/>
            </w:r>
          </w:hyperlink>
        </w:p>
        <w:p w:rsidR="00EB0E37" w:rsidRDefault="00B9291F">
          <w:pPr>
            <w:pStyle w:val="TOC1"/>
            <w:tabs>
              <w:tab w:val="right" w:leader="dot" w:pos="8296"/>
            </w:tabs>
            <w:rPr>
              <w:rFonts w:eastAsiaTheme="minorEastAsia"/>
              <w:noProof/>
              <w:lang w:eastAsia="en-GB"/>
            </w:rPr>
          </w:pPr>
          <w:hyperlink w:anchor="_Toc435695344" w:history="1">
            <w:r w:rsidR="00EB0E37" w:rsidRPr="0077211A">
              <w:rPr>
                <w:rStyle w:val="Hyperlink"/>
                <w:rFonts w:eastAsia="Times New Roman"/>
                <w:noProof/>
              </w:rPr>
              <w:t>3. How conscientious exemptions are granted</w:t>
            </w:r>
            <w:r w:rsidR="00EB0E37">
              <w:rPr>
                <w:noProof/>
                <w:webHidden/>
              </w:rPr>
              <w:tab/>
            </w:r>
            <w:r w:rsidR="00EB0E37">
              <w:rPr>
                <w:noProof/>
                <w:webHidden/>
              </w:rPr>
              <w:fldChar w:fldCharType="begin"/>
            </w:r>
            <w:r w:rsidR="00EB0E37">
              <w:rPr>
                <w:noProof/>
                <w:webHidden/>
              </w:rPr>
              <w:instrText xml:space="preserve"> PAGEREF _Toc435695344 \h </w:instrText>
            </w:r>
            <w:r w:rsidR="00EB0E37">
              <w:rPr>
                <w:noProof/>
                <w:webHidden/>
              </w:rPr>
            </w:r>
            <w:r w:rsidR="00EB0E37">
              <w:rPr>
                <w:noProof/>
                <w:webHidden/>
              </w:rPr>
              <w:fldChar w:fldCharType="separate"/>
            </w:r>
            <w:r w:rsidR="005B634A">
              <w:rPr>
                <w:noProof/>
                <w:webHidden/>
              </w:rPr>
              <w:t>6</w:t>
            </w:r>
            <w:r w:rsidR="00EB0E37">
              <w:rPr>
                <w:noProof/>
                <w:webHidden/>
              </w:rPr>
              <w:fldChar w:fldCharType="end"/>
            </w:r>
          </w:hyperlink>
        </w:p>
        <w:p w:rsidR="00EB0E37" w:rsidRDefault="00B9291F">
          <w:pPr>
            <w:pStyle w:val="TOC2"/>
            <w:tabs>
              <w:tab w:val="right" w:leader="dot" w:pos="8296"/>
            </w:tabs>
            <w:rPr>
              <w:rFonts w:eastAsiaTheme="minorEastAsia"/>
              <w:noProof/>
              <w:lang w:eastAsia="en-GB"/>
            </w:rPr>
          </w:pPr>
          <w:hyperlink w:anchor="_Toc435695345" w:history="1">
            <w:r w:rsidR="00EB0E37" w:rsidRPr="0077211A">
              <w:rPr>
                <w:rStyle w:val="Hyperlink"/>
                <w:rFonts w:eastAsia="Times New Roman"/>
                <w:noProof/>
              </w:rPr>
              <w:t>a. Conscientious exemptions in ‘superior legal norms’</w:t>
            </w:r>
            <w:r w:rsidR="00EB0E37">
              <w:rPr>
                <w:noProof/>
                <w:webHidden/>
              </w:rPr>
              <w:tab/>
            </w:r>
            <w:r w:rsidR="00EB0E37">
              <w:rPr>
                <w:noProof/>
                <w:webHidden/>
              </w:rPr>
              <w:fldChar w:fldCharType="begin"/>
            </w:r>
            <w:r w:rsidR="00EB0E37">
              <w:rPr>
                <w:noProof/>
                <w:webHidden/>
              </w:rPr>
              <w:instrText xml:space="preserve"> PAGEREF _Toc435695345 \h </w:instrText>
            </w:r>
            <w:r w:rsidR="00EB0E37">
              <w:rPr>
                <w:noProof/>
                <w:webHidden/>
              </w:rPr>
            </w:r>
            <w:r w:rsidR="00EB0E37">
              <w:rPr>
                <w:noProof/>
                <w:webHidden/>
              </w:rPr>
              <w:fldChar w:fldCharType="separate"/>
            </w:r>
            <w:r w:rsidR="005B634A">
              <w:rPr>
                <w:noProof/>
                <w:webHidden/>
              </w:rPr>
              <w:t>6</w:t>
            </w:r>
            <w:r w:rsidR="00EB0E37">
              <w:rPr>
                <w:noProof/>
                <w:webHidden/>
              </w:rPr>
              <w:fldChar w:fldCharType="end"/>
            </w:r>
          </w:hyperlink>
        </w:p>
        <w:p w:rsidR="00EB0E37" w:rsidRDefault="00B9291F">
          <w:pPr>
            <w:pStyle w:val="TOC2"/>
            <w:tabs>
              <w:tab w:val="right" w:leader="dot" w:pos="8296"/>
            </w:tabs>
            <w:rPr>
              <w:rFonts w:eastAsiaTheme="minorEastAsia"/>
              <w:noProof/>
              <w:lang w:eastAsia="en-GB"/>
            </w:rPr>
          </w:pPr>
          <w:hyperlink w:anchor="_Toc435695346" w:history="1">
            <w:r w:rsidR="00EB0E37" w:rsidRPr="0077211A">
              <w:rPr>
                <w:rStyle w:val="Hyperlink"/>
                <w:rFonts w:eastAsia="Times New Roman"/>
                <w:noProof/>
              </w:rPr>
              <w:t>b. Conscientious exemptions in statutes</w:t>
            </w:r>
            <w:r w:rsidR="00EB0E37">
              <w:rPr>
                <w:noProof/>
                <w:webHidden/>
              </w:rPr>
              <w:tab/>
            </w:r>
            <w:r w:rsidR="00EB0E37">
              <w:rPr>
                <w:noProof/>
                <w:webHidden/>
              </w:rPr>
              <w:fldChar w:fldCharType="begin"/>
            </w:r>
            <w:r w:rsidR="00EB0E37">
              <w:rPr>
                <w:noProof/>
                <w:webHidden/>
              </w:rPr>
              <w:instrText xml:space="preserve"> PAGEREF _Toc435695346 \h </w:instrText>
            </w:r>
            <w:r w:rsidR="00EB0E37">
              <w:rPr>
                <w:noProof/>
                <w:webHidden/>
              </w:rPr>
            </w:r>
            <w:r w:rsidR="00EB0E37">
              <w:rPr>
                <w:noProof/>
                <w:webHidden/>
              </w:rPr>
              <w:fldChar w:fldCharType="separate"/>
            </w:r>
            <w:r w:rsidR="005B634A">
              <w:rPr>
                <w:noProof/>
                <w:webHidden/>
              </w:rPr>
              <w:t>8</w:t>
            </w:r>
            <w:r w:rsidR="00EB0E37">
              <w:rPr>
                <w:noProof/>
                <w:webHidden/>
              </w:rPr>
              <w:fldChar w:fldCharType="end"/>
            </w:r>
          </w:hyperlink>
        </w:p>
        <w:p w:rsidR="00EB0E37" w:rsidRDefault="00B9291F">
          <w:pPr>
            <w:pStyle w:val="TOC2"/>
            <w:tabs>
              <w:tab w:val="right" w:leader="dot" w:pos="8296"/>
            </w:tabs>
            <w:rPr>
              <w:rFonts w:eastAsiaTheme="minorEastAsia"/>
              <w:noProof/>
              <w:lang w:eastAsia="en-GB"/>
            </w:rPr>
          </w:pPr>
          <w:hyperlink w:anchor="_Toc435695347" w:history="1">
            <w:r w:rsidR="00EB0E37" w:rsidRPr="0077211A">
              <w:rPr>
                <w:rStyle w:val="Hyperlink"/>
                <w:rFonts w:eastAsia="Times New Roman"/>
                <w:noProof/>
              </w:rPr>
              <w:t>c. Conscientious exemption as a judicial remedy</w:t>
            </w:r>
            <w:r w:rsidR="00EB0E37">
              <w:rPr>
                <w:noProof/>
                <w:webHidden/>
              </w:rPr>
              <w:tab/>
            </w:r>
            <w:r w:rsidR="00EB0E37">
              <w:rPr>
                <w:noProof/>
                <w:webHidden/>
              </w:rPr>
              <w:fldChar w:fldCharType="begin"/>
            </w:r>
            <w:r w:rsidR="00EB0E37">
              <w:rPr>
                <w:noProof/>
                <w:webHidden/>
              </w:rPr>
              <w:instrText xml:space="preserve"> PAGEREF _Toc435695347 \h </w:instrText>
            </w:r>
            <w:r w:rsidR="00EB0E37">
              <w:rPr>
                <w:noProof/>
                <w:webHidden/>
              </w:rPr>
            </w:r>
            <w:r w:rsidR="00EB0E37">
              <w:rPr>
                <w:noProof/>
                <w:webHidden/>
              </w:rPr>
              <w:fldChar w:fldCharType="separate"/>
            </w:r>
            <w:r w:rsidR="005B634A">
              <w:rPr>
                <w:noProof/>
                <w:webHidden/>
              </w:rPr>
              <w:t>12</w:t>
            </w:r>
            <w:r w:rsidR="00EB0E37">
              <w:rPr>
                <w:noProof/>
                <w:webHidden/>
              </w:rPr>
              <w:fldChar w:fldCharType="end"/>
            </w:r>
          </w:hyperlink>
        </w:p>
        <w:p w:rsidR="00EB0E37" w:rsidRDefault="00B9291F">
          <w:pPr>
            <w:pStyle w:val="TOC1"/>
            <w:tabs>
              <w:tab w:val="right" w:leader="dot" w:pos="8296"/>
            </w:tabs>
            <w:rPr>
              <w:rFonts w:eastAsiaTheme="minorEastAsia"/>
              <w:noProof/>
              <w:lang w:eastAsia="en-GB"/>
            </w:rPr>
          </w:pPr>
          <w:hyperlink w:anchor="_Toc435695348" w:history="1">
            <w:r w:rsidR="00EB0E37" w:rsidRPr="0077211A">
              <w:rPr>
                <w:rStyle w:val="Hyperlink"/>
                <w:rFonts w:eastAsia="Times New Roman"/>
                <w:noProof/>
              </w:rPr>
              <w:t>4. How conscientious exemptions should be granted</w:t>
            </w:r>
            <w:r w:rsidR="00EB0E37">
              <w:rPr>
                <w:noProof/>
                <w:webHidden/>
              </w:rPr>
              <w:tab/>
            </w:r>
            <w:r w:rsidR="00EB0E37">
              <w:rPr>
                <w:noProof/>
                <w:webHidden/>
              </w:rPr>
              <w:fldChar w:fldCharType="begin"/>
            </w:r>
            <w:r w:rsidR="00EB0E37">
              <w:rPr>
                <w:noProof/>
                <w:webHidden/>
              </w:rPr>
              <w:instrText xml:space="preserve"> PAGEREF _Toc435695348 \h </w:instrText>
            </w:r>
            <w:r w:rsidR="00EB0E37">
              <w:rPr>
                <w:noProof/>
                <w:webHidden/>
              </w:rPr>
            </w:r>
            <w:r w:rsidR="00EB0E37">
              <w:rPr>
                <w:noProof/>
                <w:webHidden/>
              </w:rPr>
              <w:fldChar w:fldCharType="separate"/>
            </w:r>
            <w:r w:rsidR="005B634A">
              <w:rPr>
                <w:noProof/>
                <w:webHidden/>
              </w:rPr>
              <w:t>13</w:t>
            </w:r>
            <w:r w:rsidR="00EB0E37">
              <w:rPr>
                <w:noProof/>
                <w:webHidden/>
              </w:rPr>
              <w:fldChar w:fldCharType="end"/>
            </w:r>
          </w:hyperlink>
        </w:p>
        <w:p w:rsidR="00EB0E37" w:rsidRDefault="00B9291F">
          <w:pPr>
            <w:pStyle w:val="TOC2"/>
            <w:tabs>
              <w:tab w:val="right" w:leader="dot" w:pos="8296"/>
            </w:tabs>
            <w:rPr>
              <w:rFonts w:eastAsiaTheme="minorEastAsia"/>
              <w:noProof/>
              <w:lang w:eastAsia="en-GB"/>
            </w:rPr>
          </w:pPr>
          <w:hyperlink w:anchor="_Toc435695349" w:history="1">
            <w:r w:rsidR="00EB0E37" w:rsidRPr="0077211A">
              <w:rPr>
                <w:rStyle w:val="Hyperlink"/>
                <w:rFonts w:eastAsia="Times New Roman"/>
                <w:noProof/>
              </w:rPr>
              <w:t>a. To whom should conscientious exemptions be granted?</w:t>
            </w:r>
            <w:r w:rsidR="00EB0E37">
              <w:rPr>
                <w:noProof/>
                <w:webHidden/>
              </w:rPr>
              <w:tab/>
            </w:r>
            <w:r w:rsidR="00EB0E37">
              <w:rPr>
                <w:noProof/>
                <w:webHidden/>
              </w:rPr>
              <w:fldChar w:fldCharType="begin"/>
            </w:r>
            <w:r w:rsidR="00EB0E37">
              <w:rPr>
                <w:noProof/>
                <w:webHidden/>
              </w:rPr>
              <w:instrText xml:space="preserve"> PAGEREF _Toc435695349 \h </w:instrText>
            </w:r>
            <w:r w:rsidR="00EB0E37">
              <w:rPr>
                <w:noProof/>
                <w:webHidden/>
              </w:rPr>
            </w:r>
            <w:r w:rsidR="00EB0E37">
              <w:rPr>
                <w:noProof/>
                <w:webHidden/>
              </w:rPr>
              <w:fldChar w:fldCharType="separate"/>
            </w:r>
            <w:r w:rsidR="005B634A">
              <w:rPr>
                <w:noProof/>
                <w:webHidden/>
              </w:rPr>
              <w:t>15</w:t>
            </w:r>
            <w:r w:rsidR="00EB0E37">
              <w:rPr>
                <w:noProof/>
                <w:webHidden/>
              </w:rPr>
              <w:fldChar w:fldCharType="end"/>
            </w:r>
          </w:hyperlink>
        </w:p>
        <w:p w:rsidR="00EB0E37" w:rsidRDefault="00B9291F">
          <w:pPr>
            <w:pStyle w:val="TOC2"/>
            <w:tabs>
              <w:tab w:val="right" w:leader="dot" w:pos="8296"/>
            </w:tabs>
            <w:rPr>
              <w:rFonts w:eastAsiaTheme="minorEastAsia"/>
              <w:noProof/>
              <w:lang w:eastAsia="en-GB"/>
            </w:rPr>
          </w:pPr>
          <w:hyperlink w:anchor="_Toc435695350" w:history="1">
            <w:r w:rsidR="00EB0E37" w:rsidRPr="0077211A">
              <w:rPr>
                <w:rStyle w:val="Hyperlink"/>
                <w:rFonts w:eastAsia="Times New Roman"/>
                <w:noProof/>
              </w:rPr>
              <w:t>b. A general legal right or separate and specific ones?</w:t>
            </w:r>
            <w:r w:rsidR="00EB0E37">
              <w:rPr>
                <w:noProof/>
                <w:webHidden/>
              </w:rPr>
              <w:tab/>
            </w:r>
            <w:r w:rsidR="00EB0E37">
              <w:rPr>
                <w:noProof/>
                <w:webHidden/>
              </w:rPr>
              <w:fldChar w:fldCharType="begin"/>
            </w:r>
            <w:r w:rsidR="00EB0E37">
              <w:rPr>
                <w:noProof/>
                <w:webHidden/>
              </w:rPr>
              <w:instrText xml:space="preserve"> PAGEREF _Toc435695350 \h </w:instrText>
            </w:r>
            <w:r w:rsidR="00EB0E37">
              <w:rPr>
                <w:noProof/>
                <w:webHidden/>
              </w:rPr>
            </w:r>
            <w:r w:rsidR="00EB0E37">
              <w:rPr>
                <w:noProof/>
                <w:webHidden/>
              </w:rPr>
              <w:fldChar w:fldCharType="separate"/>
            </w:r>
            <w:r w:rsidR="005B634A">
              <w:rPr>
                <w:noProof/>
                <w:webHidden/>
              </w:rPr>
              <w:t>22</w:t>
            </w:r>
            <w:r w:rsidR="00EB0E37">
              <w:rPr>
                <w:noProof/>
                <w:webHidden/>
              </w:rPr>
              <w:fldChar w:fldCharType="end"/>
            </w:r>
          </w:hyperlink>
        </w:p>
        <w:p w:rsidR="00EB0E37" w:rsidRDefault="00B9291F">
          <w:pPr>
            <w:pStyle w:val="TOC2"/>
            <w:tabs>
              <w:tab w:val="right" w:leader="dot" w:pos="8296"/>
            </w:tabs>
            <w:rPr>
              <w:rFonts w:eastAsiaTheme="minorEastAsia"/>
              <w:noProof/>
              <w:lang w:eastAsia="en-GB"/>
            </w:rPr>
          </w:pPr>
          <w:hyperlink w:anchor="_Toc435695351" w:history="1">
            <w:r w:rsidR="00EB0E37" w:rsidRPr="0077211A">
              <w:rPr>
                <w:rStyle w:val="Hyperlink"/>
                <w:rFonts w:eastAsia="Times New Roman"/>
                <w:noProof/>
              </w:rPr>
              <w:t>c. A general statutory right or a general constitutional one?</w:t>
            </w:r>
            <w:r w:rsidR="00EB0E37">
              <w:rPr>
                <w:noProof/>
                <w:webHidden/>
              </w:rPr>
              <w:tab/>
            </w:r>
            <w:r w:rsidR="00EB0E37">
              <w:rPr>
                <w:noProof/>
                <w:webHidden/>
              </w:rPr>
              <w:fldChar w:fldCharType="begin"/>
            </w:r>
            <w:r w:rsidR="00EB0E37">
              <w:rPr>
                <w:noProof/>
                <w:webHidden/>
              </w:rPr>
              <w:instrText xml:space="preserve"> PAGEREF _Toc435695351 \h </w:instrText>
            </w:r>
            <w:r w:rsidR="00EB0E37">
              <w:rPr>
                <w:noProof/>
                <w:webHidden/>
              </w:rPr>
            </w:r>
            <w:r w:rsidR="00EB0E37">
              <w:rPr>
                <w:noProof/>
                <w:webHidden/>
              </w:rPr>
              <w:fldChar w:fldCharType="separate"/>
            </w:r>
            <w:r w:rsidR="005B634A">
              <w:rPr>
                <w:noProof/>
                <w:webHidden/>
              </w:rPr>
              <w:t>28</w:t>
            </w:r>
            <w:r w:rsidR="00EB0E37">
              <w:rPr>
                <w:noProof/>
                <w:webHidden/>
              </w:rPr>
              <w:fldChar w:fldCharType="end"/>
            </w:r>
          </w:hyperlink>
        </w:p>
        <w:p w:rsidR="00EB0E37" w:rsidRDefault="00B9291F">
          <w:pPr>
            <w:pStyle w:val="TOC2"/>
            <w:tabs>
              <w:tab w:val="right" w:leader="dot" w:pos="8296"/>
            </w:tabs>
            <w:rPr>
              <w:rFonts w:eastAsiaTheme="minorEastAsia"/>
              <w:noProof/>
              <w:lang w:eastAsia="en-GB"/>
            </w:rPr>
          </w:pPr>
          <w:hyperlink w:anchor="_Toc435695352" w:history="1">
            <w:r w:rsidR="00EB0E37" w:rsidRPr="0077211A">
              <w:rPr>
                <w:rStyle w:val="Hyperlink"/>
                <w:rFonts w:eastAsia="Times New Roman"/>
                <w:noProof/>
              </w:rPr>
              <w:t>d. Granting conscientious exemptions: who is to decide?</w:t>
            </w:r>
            <w:r w:rsidR="00EB0E37">
              <w:rPr>
                <w:noProof/>
                <w:webHidden/>
              </w:rPr>
              <w:tab/>
            </w:r>
            <w:r w:rsidR="00EB0E37">
              <w:rPr>
                <w:noProof/>
                <w:webHidden/>
              </w:rPr>
              <w:fldChar w:fldCharType="begin"/>
            </w:r>
            <w:r w:rsidR="00EB0E37">
              <w:rPr>
                <w:noProof/>
                <w:webHidden/>
              </w:rPr>
              <w:instrText xml:space="preserve"> PAGEREF _Toc435695352 \h </w:instrText>
            </w:r>
            <w:r w:rsidR="00EB0E37">
              <w:rPr>
                <w:noProof/>
                <w:webHidden/>
              </w:rPr>
            </w:r>
            <w:r w:rsidR="00EB0E37">
              <w:rPr>
                <w:noProof/>
                <w:webHidden/>
              </w:rPr>
              <w:fldChar w:fldCharType="separate"/>
            </w:r>
            <w:r w:rsidR="005B634A">
              <w:rPr>
                <w:noProof/>
                <w:webHidden/>
              </w:rPr>
              <w:t>41</w:t>
            </w:r>
            <w:r w:rsidR="00EB0E37">
              <w:rPr>
                <w:noProof/>
                <w:webHidden/>
              </w:rPr>
              <w:fldChar w:fldCharType="end"/>
            </w:r>
          </w:hyperlink>
        </w:p>
        <w:p w:rsidR="00EB0E37" w:rsidRDefault="00B9291F">
          <w:pPr>
            <w:pStyle w:val="TOC1"/>
            <w:tabs>
              <w:tab w:val="right" w:leader="dot" w:pos="8296"/>
            </w:tabs>
            <w:rPr>
              <w:rFonts w:eastAsiaTheme="minorEastAsia"/>
              <w:noProof/>
              <w:lang w:eastAsia="en-GB"/>
            </w:rPr>
          </w:pPr>
          <w:hyperlink w:anchor="_Toc435695353" w:history="1">
            <w:r w:rsidR="00EB0E37" w:rsidRPr="0077211A">
              <w:rPr>
                <w:rStyle w:val="Hyperlink"/>
                <w:rFonts w:eastAsia="Times New Roman"/>
                <w:noProof/>
              </w:rPr>
              <w:t>5. Conclusion</w:t>
            </w:r>
            <w:r w:rsidR="00EB0E37">
              <w:rPr>
                <w:noProof/>
                <w:webHidden/>
              </w:rPr>
              <w:tab/>
            </w:r>
            <w:r w:rsidR="00EB0E37">
              <w:rPr>
                <w:noProof/>
                <w:webHidden/>
              </w:rPr>
              <w:fldChar w:fldCharType="begin"/>
            </w:r>
            <w:r w:rsidR="00EB0E37">
              <w:rPr>
                <w:noProof/>
                <w:webHidden/>
              </w:rPr>
              <w:instrText xml:space="preserve"> PAGEREF _Toc435695353 \h </w:instrText>
            </w:r>
            <w:r w:rsidR="00EB0E37">
              <w:rPr>
                <w:noProof/>
                <w:webHidden/>
              </w:rPr>
            </w:r>
            <w:r w:rsidR="00EB0E37">
              <w:rPr>
                <w:noProof/>
                <w:webHidden/>
              </w:rPr>
              <w:fldChar w:fldCharType="separate"/>
            </w:r>
            <w:r w:rsidR="005B634A">
              <w:rPr>
                <w:noProof/>
                <w:webHidden/>
              </w:rPr>
              <w:t>43</w:t>
            </w:r>
            <w:r w:rsidR="00EB0E37">
              <w:rPr>
                <w:noProof/>
                <w:webHidden/>
              </w:rPr>
              <w:fldChar w:fldCharType="end"/>
            </w:r>
          </w:hyperlink>
        </w:p>
        <w:p w:rsidR="00400AAE" w:rsidRDefault="00EE270C" w:rsidP="00400AAE">
          <w:pPr>
            <w:rPr>
              <w:rFonts w:cs="Calibri"/>
              <w:rtl/>
              <w:lang w:val="he-IL"/>
            </w:rPr>
          </w:pPr>
          <w:r w:rsidRPr="0054333A">
            <w:rPr>
              <w:sz w:val="24"/>
              <w:szCs w:val="24"/>
              <w:lang w:val="he-IL"/>
            </w:rPr>
            <w:fldChar w:fldCharType="end"/>
          </w:r>
        </w:p>
      </w:sdtContent>
    </w:sdt>
    <w:p w:rsidR="00400AAE" w:rsidRDefault="00400AAE">
      <w:pPr>
        <w:rPr>
          <w:rFonts w:cs="Calibri"/>
          <w:rtl/>
          <w:lang w:val="he-IL"/>
        </w:rPr>
      </w:pPr>
      <w:r>
        <w:rPr>
          <w:rFonts w:cs="Calibri"/>
          <w:rtl/>
          <w:lang w:val="he-IL"/>
        </w:rPr>
        <w:br w:type="page"/>
      </w:r>
    </w:p>
    <w:p w:rsidR="00300B58" w:rsidRPr="00300B58" w:rsidRDefault="00300B58" w:rsidP="00EE270C">
      <w:pPr>
        <w:pStyle w:val="1"/>
        <w:rPr>
          <w:rFonts w:eastAsia="Times New Roman"/>
        </w:rPr>
      </w:pPr>
      <w:bookmarkStart w:id="21" w:name="_Toc190578488"/>
      <w:bookmarkStart w:id="22" w:name="_Toc171502409"/>
      <w:bookmarkStart w:id="23" w:name="_Toc435695342"/>
      <w:bookmarkEnd w:id="16"/>
      <w:bookmarkEnd w:id="17"/>
      <w:bookmarkEnd w:id="18"/>
      <w:bookmarkEnd w:id="19"/>
      <w:bookmarkEnd w:id="20"/>
      <w:r w:rsidRPr="00300B58">
        <w:rPr>
          <w:rFonts w:eastAsia="Times New Roman"/>
        </w:rPr>
        <w:lastRenderedPageBreak/>
        <w:t>1. Introduction</w:t>
      </w:r>
      <w:bookmarkEnd w:id="13"/>
      <w:bookmarkEnd w:id="21"/>
      <w:bookmarkEnd w:id="22"/>
      <w:bookmarkEnd w:id="23"/>
    </w:p>
    <w:bookmarkEnd w:id="14"/>
    <w:p w:rsidR="00EE270C" w:rsidRDefault="00EE270C" w:rsidP="00E22CCD">
      <w:pPr>
        <w:spacing w:after="0" w:line="480" w:lineRule="auto"/>
        <w:jc w:val="both"/>
        <w:rPr>
          <w:rFonts w:ascii="Times New Roman" w:eastAsia="Times New Roman" w:hAnsi="Times New Roman" w:cs="Monotype Hadassah"/>
          <w:sz w:val="24"/>
          <w:szCs w:val="20"/>
        </w:rPr>
      </w:pPr>
    </w:p>
    <w:p w:rsidR="00300B58" w:rsidRPr="00300B58" w:rsidRDefault="00300B58" w:rsidP="00A36B06">
      <w:pPr>
        <w:spacing w:after="0" w:line="480" w:lineRule="auto"/>
        <w:jc w:val="both"/>
        <w:rPr>
          <w:rFonts w:ascii="Times New Roman" w:eastAsia="Times New Roman" w:hAnsi="Times New Roman" w:cs="Monotype Hadassah"/>
          <w:sz w:val="24"/>
          <w:szCs w:val="20"/>
        </w:rPr>
      </w:pPr>
      <w:r w:rsidRPr="00300B58">
        <w:rPr>
          <w:rFonts w:ascii="Times New Roman" w:eastAsia="Times New Roman" w:hAnsi="Times New Roman" w:cs="Monotype Hadassah"/>
          <w:sz w:val="24"/>
          <w:szCs w:val="20"/>
        </w:rPr>
        <w:t xml:space="preserve">Conscientious exemption is called for when a </w:t>
      </w:r>
      <w:r w:rsidR="00E22CCD">
        <w:rPr>
          <w:rFonts w:ascii="Times New Roman" w:eastAsia="Times New Roman" w:hAnsi="Times New Roman" w:cs="Monotype Hadassah"/>
          <w:sz w:val="24"/>
          <w:szCs w:val="20"/>
        </w:rPr>
        <w:t xml:space="preserve">person’s conscience </w:t>
      </w:r>
      <w:r w:rsidRPr="00300B58">
        <w:rPr>
          <w:rFonts w:ascii="Times New Roman" w:eastAsia="Times New Roman" w:hAnsi="Times New Roman" w:cs="Monotype Hadassah"/>
          <w:sz w:val="24"/>
          <w:szCs w:val="20"/>
        </w:rPr>
        <w:t xml:space="preserve">conflicts with the demands or the requirements of the law. In other words, the conscientious objector seeks an exemption from the law because he </w:t>
      </w:r>
      <w:r w:rsidR="00E22CCD">
        <w:rPr>
          <w:rFonts w:ascii="Times New Roman" w:eastAsia="Times New Roman" w:hAnsi="Times New Roman" w:cs="Monotype Hadassah"/>
          <w:sz w:val="24"/>
          <w:szCs w:val="20"/>
        </w:rPr>
        <w:t xml:space="preserve">deeply </w:t>
      </w:r>
      <w:r w:rsidRPr="00300B58">
        <w:rPr>
          <w:rFonts w:ascii="Times New Roman" w:eastAsia="Times New Roman" w:hAnsi="Times New Roman" w:cs="Monotype Hadassah"/>
          <w:sz w:val="24"/>
          <w:szCs w:val="20"/>
        </w:rPr>
        <w:t>holds an alternative set of basic values or an alternative way of balancing his basic values</w:t>
      </w:r>
      <w:r w:rsidR="00A36B06">
        <w:rPr>
          <w:rFonts w:ascii="Times New Roman" w:eastAsia="Times New Roman" w:hAnsi="Times New Roman" w:cs="Monotype Hadassah"/>
          <w:sz w:val="24"/>
          <w:szCs w:val="20"/>
        </w:rPr>
        <w:t xml:space="preserve"> – which </w:t>
      </w:r>
      <w:r w:rsidRPr="00300B58">
        <w:rPr>
          <w:rFonts w:ascii="Times New Roman" w:eastAsia="Times New Roman" w:hAnsi="Times New Roman" w:cs="Monotype Hadassah"/>
          <w:sz w:val="24"/>
          <w:szCs w:val="20"/>
        </w:rPr>
        <w:t>are all part of his conscience, or the result of it</w:t>
      </w:r>
      <w:r w:rsidR="00A36B06">
        <w:rPr>
          <w:rFonts w:ascii="Times New Roman" w:eastAsia="Times New Roman" w:hAnsi="Times New Roman" w:cs="Monotype Hadassah"/>
          <w:sz w:val="24"/>
          <w:szCs w:val="20"/>
        </w:rPr>
        <w:t xml:space="preserve"> – that </w:t>
      </w:r>
      <w:r w:rsidRPr="00300B58">
        <w:rPr>
          <w:rFonts w:ascii="Times New Roman" w:eastAsia="Times New Roman" w:hAnsi="Times New Roman" w:cs="Monotype Hadassah"/>
          <w:sz w:val="24"/>
          <w:szCs w:val="20"/>
        </w:rPr>
        <w:t>conflicts with the ends, the means or the values of a specific law and ultimately contradicts the demands of that law.</w:t>
      </w:r>
    </w:p>
    <w:p w:rsidR="00300B58" w:rsidRPr="00300B58" w:rsidRDefault="00300B58" w:rsidP="00955A33">
      <w:pPr>
        <w:spacing w:after="0" w:line="480" w:lineRule="auto"/>
        <w:jc w:val="both"/>
        <w:rPr>
          <w:rFonts w:ascii="Times New Roman" w:eastAsia="Times New Roman" w:hAnsi="Times New Roman" w:cs="Monotype Hadassah"/>
          <w:sz w:val="24"/>
          <w:szCs w:val="20"/>
        </w:rPr>
      </w:pPr>
      <w:r w:rsidRPr="00300B58">
        <w:rPr>
          <w:rFonts w:ascii="Times New Roman" w:eastAsia="Times New Roman" w:hAnsi="Times New Roman" w:cs="Monotype Hadassah"/>
          <w:sz w:val="24"/>
          <w:szCs w:val="20"/>
        </w:rPr>
        <w:t xml:space="preserve">Most of the academic research about the practice of granting conscientious exemptions and its justification explores the question of </w:t>
      </w:r>
      <w:r w:rsidRPr="00300B58">
        <w:rPr>
          <w:rFonts w:ascii="Times New Roman" w:eastAsia="Times New Roman" w:hAnsi="Times New Roman" w:cs="Monotype Hadassah"/>
          <w:i/>
          <w:iCs/>
          <w:sz w:val="24"/>
          <w:szCs w:val="20"/>
        </w:rPr>
        <w:t>when</w:t>
      </w:r>
      <w:r w:rsidRPr="00300B58">
        <w:rPr>
          <w:rFonts w:ascii="Times New Roman" w:eastAsia="Times New Roman" w:hAnsi="Times New Roman" w:cs="Monotype Hadassah"/>
          <w:sz w:val="24"/>
          <w:szCs w:val="20"/>
        </w:rPr>
        <w:t xml:space="preserve"> such exemptions should be granted</w:t>
      </w:r>
      <w:r w:rsidR="00E22CCD">
        <w:rPr>
          <w:rFonts w:ascii="Times New Roman" w:eastAsia="Times New Roman" w:hAnsi="Times New Roman" w:cs="Monotype Hadassah"/>
          <w:sz w:val="24"/>
          <w:szCs w:val="20"/>
        </w:rPr>
        <w:t>.</w:t>
      </w:r>
      <w:r w:rsidRPr="00300B58">
        <w:rPr>
          <w:rFonts w:ascii="Times New Roman" w:eastAsia="Times New Roman" w:hAnsi="Times New Roman" w:cs="Monotype Hadassah"/>
          <w:sz w:val="24"/>
          <w:szCs w:val="20"/>
        </w:rPr>
        <w:t xml:space="preserve"> </w:t>
      </w:r>
      <w:r w:rsidR="00E22CCD">
        <w:rPr>
          <w:rFonts w:ascii="Times New Roman" w:eastAsia="Times New Roman" w:hAnsi="Times New Roman" w:cs="Monotype Hadassah"/>
          <w:sz w:val="24"/>
          <w:szCs w:val="20"/>
        </w:rPr>
        <w:t>Many</w:t>
      </w:r>
      <w:r w:rsidRPr="00300B58">
        <w:rPr>
          <w:rFonts w:ascii="Times New Roman" w:eastAsia="Times New Roman" w:hAnsi="Times New Roman" w:cs="Monotype Hadassah"/>
          <w:sz w:val="24"/>
          <w:szCs w:val="20"/>
        </w:rPr>
        <w:t xml:space="preserve"> scholars explore the more specific question of when </w:t>
      </w:r>
      <w:r w:rsidRPr="00D05044">
        <w:rPr>
          <w:rFonts w:ascii="Times New Roman" w:eastAsia="Times New Roman" w:hAnsi="Times New Roman" w:cs="Monotype Hadassah"/>
          <w:iCs/>
          <w:sz w:val="24"/>
          <w:szCs w:val="20"/>
        </w:rPr>
        <w:t>religious</w:t>
      </w:r>
      <w:r w:rsidR="006F0C06" w:rsidRPr="00D05044">
        <w:rPr>
          <w:rFonts w:ascii="Times New Roman" w:eastAsia="Times New Roman" w:hAnsi="Times New Roman" w:cs="Monotype Hadassah"/>
          <w:iCs/>
          <w:sz w:val="24"/>
          <w:szCs w:val="20"/>
        </w:rPr>
        <w:t xml:space="preserve"> </w:t>
      </w:r>
      <w:r w:rsidRPr="00D05044">
        <w:rPr>
          <w:rFonts w:ascii="Times New Roman" w:eastAsia="Times New Roman" w:hAnsi="Times New Roman" w:cs="Monotype Hadassah"/>
          <w:iCs/>
          <w:sz w:val="24"/>
          <w:szCs w:val="20"/>
        </w:rPr>
        <w:t>conscientious</w:t>
      </w:r>
      <w:r w:rsidRPr="00300B58">
        <w:rPr>
          <w:rFonts w:ascii="Times New Roman" w:eastAsia="Times New Roman" w:hAnsi="Times New Roman" w:cs="Monotype Hadassah"/>
          <w:sz w:val="24"/>
          <w:szCs w:val="20"/>
        </w:rPr>
        <w:t xml:space="preserve"> exemptions should be granted, as well the related question of how claims to these exemptions differ – if </w:t>
      </w:r>
      <w:r w:rsidR="006F0C06">
        <w:rPr>
          <w:rFonts w:ascii="Times New Roman" w:eastAsia="Times New Roman" w:hAnsi="Times New Roman" w:cs="Monotype Hadassah"/>
          <w:sz w:val="24"/>
          <w:szCs w:val="20"/>
        </w:rPr>
        <w:t>at all</w:t>
      </w:r>
      <w:r w:rsidRPr="00300B58">
        <w:rPr>
          <w:rFonts w:ascii="Times New Roman" w:eastAsia="Times New Roman" w:hAnsi="Times New Roman" w:cs="Monotype Hadassah"/>
          <w:sz w:val="24"/>
          <w:szCs w:val="20"/>
        </w:rPr>
        <w:t xml:space="preserve"> – from non-religious conscientious claims.</w:t>
      </w:r>
      <w:bookmarkStart w:id="24" w:name="_Ref435178584"/>
      <w:r w:rsidR="00955A33">
        <w:rPr>
          <w:rStyle w:val="a5"/>
          <w:rFonts w:ascii="Times New Roman" w:eastAsia="Times New Roman" w:hAnsi="Times New Roman" w:cs="Monotype Hadassah"/>
          <w:sz w:val="24"/>
          <w:szCs w:val="20"/>
        </w:rPr>
        <w:footnoteReference w:id="1"/>
      </w:r>
      <w:bookmarkEnd w:id="24"/>
      <w:r w:rsidRPr="00300B58">
        <w:rPr>
          <w:rFonts w:ascii="Times New Roman" w:eastAsia="Times New Roman" w:hAnsi="Times New Roman" w:cs="Monotype Hadassah"/>
          <w:sz w:val="24"/>
          <w:szCs w:val="20"/>
        </w:rPr>
        <w:t xml:space="preserve"> </w:t>
      </w:r>
    </w:p>
    <w:p w:rsidR="00300B58" w:rsidRPr="00300B58" w:rsidRDefault="00300B58" w:rsidP="00021B2F">
      <w:pPr>
        <w:spacing w:after="0" w:line="480" w:lineRule="auto"/>
        <w:jc w:val="both"/>
        <w:rPr>
          <w:rFonts w:ascii="Times New Roman" w:eastAsia="Times New Roman" w:hAnsi="Times New Roman" w:cs="Monotype Hadassah"/>
          <w:sz w:val="24"/>
          <w:szCs w:val="20"/>
        </w:rPr>
      </w:pPr>
      <w:r w:rsidRPr="00300B58">
        <w:rPr>
          <w:rFonts w:ascii="Times New Roman" w:eastAsia="Times New Roman" w:hAnsi="Times New Roman" w:cs="Monotype Hadassah"/>
          <w:sz w:val="24"/>
          <w:szCs w:val="20"/>
        </w:rPr>
        <w:t>In this paper, I will overlook these questions</w:t>
      </w:r>
      <w:r w:rsidR="00E22CCD">
        <w:rPr>
          <w:rFonts w:ascii="Times New Roman" w:eastAsia="Times New Roman" w:hAnsi="Times New Roman" w:cs="Monotype Hadassah"/>
          <w:sz w:val="24"/>
          <w:szCs w:val="20"/>
        </w:rPr>
        <w:t xml:space="preserve">. This paper’s </w:t>
      </w:r>
      <w:r w:rsidRPr="00300B58">
        <w:rPr>
          <w:rFonts w:ascii="Times New Roman" w:eastAsia="Times New Roman" w:hAnsi="Times New Roman" w:cs="Monotype Hadassah"/>
          <w:sz w:val="24"/>
          <w:szCs w:val="20"/>
        </w:rPr>
        <w:t xml:space="preserve">purpose is to explore the interrelated questions of </w:t>
      </w:r>
      <w:r w:rsidRPr="00300B58">
        <w:rPr>
          <w:rFonts w:ascii="Times New Roman" w:eastAsia="Times New Roman" w:hAnsi="Times New Roman" w:cs="Monotype Hadassah"/>
          <w:i/>
          <w:iCs/>
          <w:sz w:val="24"/>
          <w:szCs w:val="20"/>
        </w:rPr>
        <w:t>how</w:t>
      </w:r>
      <w:r w:rsidRPr="00300B58">
        <w:rPr>
          <w:rFonts w:ascii="Times New Roman" w:eastAsia="Times New Roman" w:hAnsi="Times New Roman" w:cs="Monotype Hadassah"/>
          <w:sz w:val="24"/>
          <w:szCs w:val="20"/>
        </w:rPr>
        <w:t xml:space="preserve"> conscientious exemptions should be granted</w:t>
      </w:r>
      <w:r w:rsidR="00E22CCD">
        <w:rPr>
          <w:rFonts w:ascii="Times New Roman" w:eastAsia="Times New Roman" w:hAnsi="Times New Roman" w:cs="Monotype Hadassah"/>
          <w:sz w:val="24"/>
          <w:szCs w:val="20"/>
        </w:rPr>
        <w:t xml:space="preserve"> – and </w:t>
      </w:r>
      <w:r w:rsidRPr="00300B58">
        <w:rPr>
          <w:rFonts w:ascii="Times New Roman" w:eastAsia="Times New Roman" w:hAnsi="Times New Roman" w:cs="Monotype Hadassah"/>
          <w:sz w:val="24"/>
          <w:szCs w:val="20"/>
        </w:rPr>
        <w:t xml:space="preserve">by whom. The argument proposed is that there is no </w:t>
      </w:r>
      <w:r w:rsidR="00AC58A2">
        <w:rPr>
          <w:rFonts w:ascii="Times New Roman" w:eastAsia="Times New Roman" w:hAnsi="Times New Roman" w:cs="Monotype Hadassah"/>
          <w:sz w:val="24"/>
          <w:szCs w:val="20"/>
        </w:rPr>
        <w:t>single</w:t>
      </w:r>
      <w:r w:rsidRPr="00300B58">
        <w:rPr>
          <w:rFonts w:ascii="Times New Roman" w:eastAsia="Times New Roman" w:hAnsi="Times New Roman" w:cs="Monotype Hadassah"/>
          <w:sz w:val="24"/>
          <w:szCs w:val="20"/>
        </w:rPr>
        <w:t xml:space="preserve"> model for granting conscientious exemptions </w:t>
      </w:r>
      <w:r w:rsidR="006F0C06">
        <w:rPr>
          <w:rFonts w:ascii="Times New Roman" w:eastAsia="Times New Roman" w:hAnsi="Times New Roman" w:cs="Monotype Hadassah"/>
          <w:sz w:val="24"/>
          <w:szCs w:val="20"/>
        </w:rPr>
        <w:t>that</w:t>
      </w:r>
      <w:r w:rsidRPr="00300B58">
        <w:rPr>
          <w:rFonts w:ascii="Times New Roman" w:eastAsia="Times New Roman" w:hAnsi="Times New Roman" w:cs="Monotype Hadassah"/>
          <w:sz w:val="24"/>
          <w:szCs w:val="20"/>
        </w:rPr>
        <w:t xml:space="preserve"> is preferable in all cases. Therefore, conscientious exemptions should be granted in different ways and by different authorities in different cases. </w:t>
      </w:r>
      <w:r w:rsidR="000D45C4">
        <w:rPr>
          <w:rFonts w:ascii="Times New Roman" w:eastAsia="Times New Roman" w:hAnsi="Times New Roman" w:cs="Monotype Hadassah"/>
          <w:sz w:val="24"/>
          <w:szCs w:val="20"/>
        </w:rPr>
        <w:t>T</w:t>
      </w:r>
      <w:r w:rsidRPr="00300B58">
        <w:rPr>
          <w:rFonts w:ascii="Times New Roman" w:eastAsia="Times New Roman" w:hAnsi="Times New Roman" w:cs="Monotype Hadassah"/>
          <w:sz w:val="24"/>
          <w:szCs w:val="20"/>
        </w:rPr>
        <w:t xml:space="preserve">ypical cases will be discussed throughout this paper. The argument that there is no one better model for granting conscientious exemptions leads, as will </w:t>
      </w:r>
      <w:r w:rsidRPr="00300B58">
        <w:rPr>
          <w:rFonts w:ascii="Times New Roman" w:eastAsia="Times New Roman" w:hAnsi="Times New Roman" w:cs="Monotype Hadassah"/>
          <w:sz w:val="24"/>
          <w:szCs w:val="20"/>
        </w:rPr>
        <w:lastRenderedPageBreak/>
        <w:t>be argued in detail, to a more specific argument, namely that, alongside other ways of granting conscientious exemptions, there should always be a general constitutional right to be granted such an exemption</w:t>
      </w:r>
      <w:r w:rsidR="009B2D84">
        <w:rPr>
          <w:rFonts w:ascii="Times New Roman" w:eastAsia="Times New Roman" w:hAnsi="Times New Roman" w:cs="Monotype Hadassah"/>
          <w:sz w:val="24"/>
          <w:szCs w:val="20"/>
        </w:rPr>
        <w:t xml:space="preserve"> – or a general constitutional right to be a conscientious objector</w:t>
      </w:r>
      <w:r w:rsidRPr="00300B58">
        <w:rPr>
          <w:rFonts w:ascii="Times New Roman" w:eastAsia="Times New Roman" w:hAnsi="Times New Roman" w:cs="Monotype Hadassah"/>
          <w:sz w:val="24"/>
          <w:szCs w:val="20"/>
        </w:rPr>
        <w:t xml:space="preserve">.       </w:t>
      </w:r>
    </w:p>
    <w:p w:rsidR="00300B58" w:rsidRDefault="009B2D84" w:rsidP="00021B2F">
      <w:pPr>
        <w:spacing w:after="0" w:line="480" w:lineRule="auto"/>
        <w:jc w:val="both"/>
        <w:rPr>
          <w:rFonts w:ascii="Times New Roman" w:eastAsia="Times New Roman" w:hAnsi="Times New Roman" w:cs="Monotype Hadassah"/>
          <w:sz w:val="24"/>
          <w:szCs w:val="20"/>
        </w:rPr>
      </w:pPr>
      <w:r>
        <w:rPr>
          <w:rFonts w:ascii="Times New Roman" w:eastAsia="Times New Roman" w:hAnsi="Times New Roman" w:cs="Monotype Hadassah"/>
          <w:sz w:val="24"/>
          <w:szCs w:val="20"/>
        </w:rPr>
        <w:t xml:space="preserve">I will first describe, in short, the </w:t>
      </w:r>
      <w:r w:rsidR="00A36B06">
        <w:rPr>
          <w:rFonts w:ascii="Times New Roman" w:eastAsia="Times New Roman" w:hAnsi="Times New Roman" w:cs="Monotype Hadassah"/>
          <w:sz w:val="24"/>
          <w:szCs w:val="20"/>
        </w:rPr>
        <w:t>nature</w:t>
      </w:r>
      <w:r>
        <w:rPr>
          <w:rFonts w:ascii="Times New Roman" w:eastAsia="Times New Roman" w:hAnsi="Times New Roman" w:cs="Monotype Hadassah"/>
          <w:sz w:val="24"/>
          <w:szCs w:val="20"/>
        </w:rPr>
        <w:t xml:space="preserve"> of </w:t>
      </w:r>
      <w:r w:rsidR="000D45C4">
        <w:rPr>
          <w:rFonts w:ascii="Times New Roman" w:eastAsia="Times New Roman" w:hAnsi="Times New Roman" w:cs="Monotype Hadassah"/>
          <w:sz w:val="24"/>
          <w:szCs w:val="20"/>
        </w:rPr>
        <w:t>the</w:t>
      </w:r>
      <w:r>
        <w:rPr>
          <w:rFonts w:ascii="Times New Roman" w:eastAsia="Times New Roman" w:hAnsi="Times New Roman" w:cs="Monotype Hadassah"/>
          <w:sz w:val="24"/>
          <w:szCs w:val="20"/>
        </w:rPr>
        <w:t xml:space="preserve"> right to be a conscientious objector or the related right to be granted conscientious exemption. </w:t>
      </w:r>
      <w:r w:rsidR="009927B1">
        <w:rPr>
          <w:rFonts w:ascii="Times New Roman" w:eastAsia="Times New Roman" w:hAnsi="Times New Roman" w:cs="Monotype Hadassah"/>
          <w:sz w:val="24"/>
          <w:szCs w:val="20"/>
        </w:rPr>
        <w:t xml:space="preserve">I will then present </w:t>
      </w:r>
      <w:r w:rsidR="00300B58" w:rsidRPr="00300B58">
        <w:rPr>
          <w:rFonts w:ascii="Times New Roman" w:eastAsia="Times New Roman" w:hAnsi="Times New Roman" w:cs="Monotype Hadassah"/>
          <w:sz w:val="24"/>
          <w:szCs w:val="20"/>
        </w:rPr>
        <w:t xml:space="preserve">a short and deliberately </w:t>
      </w:r>
      <w:r w:rsidR="009622E0">
        <w:rPr>
          <w:rFonts w:ascii="Times New Roman" w:eastAsia="Times New Roman" w:hAnsi="Times New Roman" w:cs="Monotype Hadassah"/>
          <w:sz w:val="24"/>
          <w:szCs w:val="20"/>
        </w:rPr>
        <w:t>sketchy</w:t>
      </w:r>
      <w:r w:rsidR="00300B58" w:rsidRPr="00300B58">
        <w:rPr>
          <w:rFonts w:ascii="Times New Roman" w:eastAsia="Times New Roman" w:hAnsi="Times New Roman" w:cs="Monotype Hadassah"/>
          <w:sz w:val="24"/>
          <w:szCs w:val="20"/>
        </w:rPr>
        <w:t xml:space="preserve"> description of how conscientious exemptions are granted</w:t>
      </w:r>
      <w:r w:rsidR="009927B1">
        <w:rPr>
          <w:rFonts w:ascii="Times New Roman" w:eastAsia="Times New Roman" w:hAnsi="Times New Roman" w:cs="Monotype Hadassah"/>
          <w:sz w:val="24"/>
          <w:szCs w:val="20"/>
        </w:rPr>
        <w:t xml:space="preserve"> – and will conclude by answering</w:t>
      </w:r>
      <w:r w:rsidR="00300B58" w:rsidRPr="00300B58">
        <w:rPr>
          <w:rFonts w:ascii="Times New Roman" w:eastAsia="Times New Roman" w:hAnsi="Times New Roman" w:cs="Monotype Hadassah"/>
          <w:sz w:val="24"/>
          <w:szCs w:val="20"/>
        </w:rPr>
        <w:t xml:space="preserve"> the normative question</w:t>
      </w:r>
      <w:r w:rsidR="000D45C4">
        <w:rPr>
          <w:rFonts w:ascii="Times New Roman" w:eastAsia="Times New Roman" w:hAnsi="Times New Roman" w:cs="Monotype Hadassah"/>
          <w:sz w:val="24"/>
          <w:szCs w:val="20"/>
        </w:rPr>
        <w:t>s</w:t>
      </w:r>
      <w:r w:rsidR="00300B58" w:rsidRPr="00300B58">
        <w:rPr>
          <w:rFonts w:ascii="Times New Roman" w:eastAsia="Times New Roman" w:hAnsi="Times New Roman" w:cs="Monotype Hadassah"/>
          <w:sz w:val="24"/>
          <w:szCs w:val="20"/>
        </w:rPr>
        <w:t xml:space="preserve"> of how they should be granted and by whom. </w:t>
      </w:r>
    </w:p>
    <w:p w:rsidR="009927B1" w:rsidRDefault="009927B1" w:rsidP="00021B2F">
      <w:pPr>
        <w:pStyle w:val="1"/>
        <w:rPr>
          <w:rFonts w:eastAsia="Times New Roman"/>
        </w:rPr>
      </w:pPr>
      <w:bookmarkStart w:id="25" w:name="_Toc435695343"/>
      <w:r>
        <w:rPr>
          <w:rFonts w:eastAsia="Times New Roman"/>
        </w:rPr>
        <w:t xml:space="preserve">2. The right to be granted conscientious exemption </w:t>
      </w:r>
      <w:r w:rsidR="00021B2F">
        <w:rPr>
          <w:rFonts w:eastAsia="Times New Roman"/>
        </w:rPr>
        <w:t>as a</w:t>
      </w:r>
      <w:r w:rsidR="002A797F">
        <w:rPr>
          <w:rFonts w:eastAsia="Times New Roman"/>
        </w:rPr>
        <w:t xml:space="preserve"> </w:t>
      </w:r>
      <w:r>
        <w:rPr>
          <w:rFonts w:eastAsia="Times New Roman"/>
        </w:rPr>
        <w:t>right to be tolerated</w:t>
      </w:r>
      <w:bookmarkEnd w:id="25"/>
    </w:p>
    <w:p w:rsidR="004D6E4A" w:rsidRDefault="004D6E4A" w:rsidP="009927B1">
      <w:pPr>
        <w:spacing w:after="0" w:line="480" w:lineRule="auto"/>
        <w:jc w:val="both"/>
        <w:rPr>
          <w:rFonts w:ascii="Times New Roman" w:eastAsia="Times New Roman" w:hAnsi="Times New Roman" w:cs="Monotype Hadassah"/>
          <w:sz w:val="24"/>
          <w:szCs w:val="20"/>
        </w:rPr>
      </w:pPr>
    </w:p>
    <w:p w:rsidR="00A845C2" w:rsidRDefault="004D6E4A" w:rsidP="006922F3">
      <w:pPr>
        <w:spacing w:after="0" w:line="480" w:lineRule="auto"/>
        <w:jc w:val="both"/>
        <w:rPr>
          <w:rFonts w:ascii="Times New Roman" w:eastAsia="Times New Roman" w:hAnsi="Times New Roman" w:cs="Monotype Hadassah"/>
          <w:bCs/>
          <w:sz w:val="24"/>
          <w:szCs w:val="20"/>
        </w:rPr>
      </w:pPr>
      <w:r>
        <w:rPr>
          <w:rFonts w:ascii="Times New Roman" w:eastAsia="Times New Roman" w:hAnsi="Times New Roman" w:cs="Monotype Hadassah"/>
          <w:bCs/>
          <w:sz w:val="24"/>
          <w:szCs w:val="20"/>
        </w:rPr>
        <w:t>T</w:t>
      </w:r>
      <w:r w:rsidRPr="004D6E4A">
        <w:rPr>
          <w:rFonts w:ascii="Times New Roman" w:eastAsia="Times New Roman" w:hAnsi="Times New Roman" w:cs="Monotype Hadassah"/>
          <w:bCs/>
          <w:sz w:val="24"/>
          <w:szCs w:val="20"/>
        </w:rPr>
        <w:t xml:space="preserve">he question </w:t>
      </w:r>
      <w:r w:rsidR="000D45C4">
        <w:rPr>
          <w:rFonts w:ascii="Times New Roman" w:eastAsia="Times New Roman" w:hAnsi="Times New Roman" w:cs="Monotype Hadassah"/>
          <w:bCs/>
          <w:sz w:val="24"/>
          <w:szCs w:val="20"/>
        </w:rPr>
        <w:t xml:space="preserve">of </w:t>
      </w:r>
      <w:r w:rsidRPr="004D6E4A">
        <w:rPr>
          <w:rFonts w:ascii="Times New Roman" w:eastAsia="Times New Roman" w:hAnsi="Times New Roman" w:cs="Monotype Hadassah"/>
          <w:bCs/>
          <w:sz w:val="24"/>
          <w:szCs w:val="20"/>
        </w:rPr>
        <w:t>whether there is a right to be a conscientious objector or whether there is a right to be granted conscientious exemption will not be addressed</w:t>
      </w:r>
      <w:r>
        <w:rPr>
          <w:rFonts w:ascii="Times New Roman" w:eastAsia="Times New Roman" w:hAnsi="Times New Roman" w:cs="Monotype Hadassah"/>
          <w:bCs/>
          <w:sz w:val="24"/>
          <w:szCs w:val="20"/>
        </w:rPr>
        <w:t xml:space="preserve"> here</w:t>
      </w:r>
      <w:r w:rsidR="00021B2F">
        <w:rPr>
          <w:rFonts w:ascii="Times New Roman" w:eastAsia="Times New Roman" w:hAnsi="Times New Roman" w:cs="Monotype Hadassah"/>
          <w:bCs/>
          <w:sz w:val="24"/>
          <w:szCs w:val="20"/>
        </w:rPr>
        <w:t>. It</w:t>
      </w:r>
      <w:r w:rsidRPr="004D6E4A">
        <w:rPr>
          <w:rFonts w:ascii="Times New Roman" w:eastAsia="Times New Roman" w:hAnsi="Times New Roman" w:cs="Monotype Hadassah"/>
          <w:bCs/>
          <w:sz w:val="24"/>
          <w:szCs w:val="20"/>
        </w:rPr>
        <w:t xml:space="preserve"> will </w:t>
      </w:r>
      <w:r w:rsidR="00A36B06">
        <w:rPr>
          <w:rFonts w:ascii="Times New Roman" w:eastAsia="Times New Roman" w:hAnsi="Times New Roman" w:cs="Monotype Hadassah"/>
          <w:bCs/>
          <w:sz w:val="24"/>
          <w:szCs w:val="20"/>
        </w:rPr>
        <w:t>be</w:t>
      </w:r>
      <w:r w:rsidRPr="004D6E4A">
        <w:rPr>
          <w:rFonts w:ascii="Times New Roman" w:eastAsia="Times New Roman" w:hAnsi="Times New Roman" w:cs="Monotype Hadassah"/>
          <w:bCs/>
          <w:sz w:val="24"/>
          <w:szCs w:val="20"/>
        </w:rPr>
        <w:t xml:space="preserve"> assume</w:t>
      </w:r>
      <w:r w:rsidR="00A36B06">
        <w:rPr>
          <w:rFonts w:ascii="Times New Roman" w:eastAsia="Times New Roman" w:hAnsi="Times New Roman" w:cs="Monotype Hadassah"/>
          <w:bCs/>
          <w:sz w:val="24"/>
          <w:szCs w:val="20"/>
        </w:rPr>
        <w:t>d</w:t>
      </w:r>
      <w:r w:rsidRPr="004D6E4A">
        <w:rPr>
          <w:rFonts w:ascii="Times New Roman" w:eastAsia="Times New Roman" w:hAnsi="Times New Roman" w:cs="Monotype Hadassah"/>
          <w:bCs/>
          <w:sz w:val="24"/>
          <w:szCs w:val="20"/>
        </w:rPr>
        <w:t xml:space="preserve"> that there is such a right</w:t>
      </w:r>
      <w:r>
        <w:rPr>
          <w:rFonts w:ascii="Times New Roman" w:eastAsia="Times New Roman" w:hAnsi="Times New Roman" w:cs="Monotype Hadassah"/>
          <w:bCs/>
          <w:sz w:val="24"/>
          <w:szCs w:val="20"/>
        </w:rPr>
        <w:t xml:space="preserve"> </w:t>
      </w:r>
      <w:r w:rsidR="00021B2F">
        <w:rPr>
          <w:rFonts w:ascii="Times New Roman" w:eastAsia="Times New Roman" w:hAnsi="Times New Roman" w:cs="Monotype Hadassah"/>
          <w:bCs/>
          <w:sz w:val="24"/>
          <w:szCs w:val="20"/>
        </w:rPr>
        <w:t>and that</w:t>
      </w:r>
      <w:r w:rsidR="00AC12B5">
        <w:rPr>
          <w:rFonts w:ascii="Times New Roman" w:eastAsia="Times New Roman" w:hAnsi="Times New Roman" w:cs="Monotype Hadassah"/>
          <w:bCs/>
          <w:sz w:val="24"/>
          <w:szCs w:val="20"/>
        </w:rPr>
        <w:t xml:space="preserve"> the interest of the conscientious objector</w:t>
      </w:r>
      <w:r w:rsidR="001C6FBE">
        <w:rPr>
          <w:rFonts w:ascii="Times New Roman" w:eastAsia="Times New Roman" w:hAnsi="Times New Roman" w:cs="Monotype Hadassah"/>
          <w:bCs/>
          <w:sz w:val="24"/>
          <w:szCs w:val="20"/>
        </w:rPr>
        <w:t xml:space="preserve"> (to be able to act upon his conscience)</w:t>
      </w:r>
      <w:r w:rsidR="00AC12B5">
        <w:rPr>
          <w:rFonts w:ascii="Times New Roman" w:eastAsia="Times New Roman" w:hAnsi="Times New Roman" w:cs="Monotype Hadassah"/>
          <w:bCs/>
          <w:sz w:val="24"/>
          <w:szCs w:val="20"/>
        </w:rPr>
        <w:t xml:space="preserve"> is of a kind that justifies</w:t>
      </w:r>
      <w:r w:rsidR="00021B2F">
        <w:rPr>
          <w:rFonts w:ascii="Times New Roman" w:eastAsia="Times New Roman" w:hAnsi="Times New Roman" w:cs="Monotype Hadassah"/>
          <w:bCs/>
          <w:sz w:val="24"/>
          <w:szCs w:val="20"/>
        </w:rPr>
        <w:t>, under certain circumstances,</w:t>
      </w:r>
      <w:r w:rsidR="00AC12B5">
        <w:rPr>
          <w:rFonts w:ascii="Times New Roman" w:eastAsia="Times New Roman" w:hAnsi="Times New Roman" w:cs="Monotype Hadassah"/>
          <w:bCs/>
          <w:sz w:val="24"/>
          <w:szCs w:val="20"/>
        </w:rPr>
        <w:t xml:space="preserve"> imposing duties on others</w:t>
      </w:r>
      <w:r w:rsidR="001C6FBE">
        <w:rPr>
          <w:rFonts w:ascii="Times New Roman" w:eastAsia="Times New Roman" w:hAnsi="Times New Roman" w:cs="Monotype Hadassah"/>
          <w:bCs/>
          <w:sz w:val="24"/>
          <w:szCs w:val="20"/>
        </w:rPr>
        <w:t xml:space="preserve">. </w:t>
      </w:r>
      <w:r w:rsidR="00BE3B4A">
        <w:rPr>
          <w:rFonts w:ascii="Times New Roman" w:eastAsia="Times New Roman" w:hAnsi="Times New Roman" w:cs="Monotype Hadassah"/>
          <w:bCs/>
          <w:sz w:val="24"/>
          <w:szCs w:val="20"/>
        </w:rPr>
        <w:t xml:space="preserve">One of these </w:t>
      </w:r>
      <w:r w:rsidR="001C6FBE">
        <w:rPr>
          <w:rFonts w:ascii="Times New Roman" w:eastAsia="Times New Roman" w:hAnsi="Times New Roman" w:cs="Monotype Hadassah"/>
          <w:bCs/>
          <w:sz w:val="24"/>
          <w:szCs w:val="20"/>
        </w:rPr>
        <w:t>dut</w:t>
      </w:r>
      <w:r w:rsidR="00BE3B4A">
        <w:rPr>
          <w:rFonts w:ascii="Times New Roman" w:eastAsia="Times New Roman" w:hAnsi="Times New Roman" w:cs="Monotype Hadassah"/>
          <w:bCs/>
          <w:sz w:val="24"/>
          <w:szCs w:val="20"/>
        </w:rPr>
        <w:t>ies</w:t>
      </w:r>
      <w:r w:rsidR="001C6FBE">
        <w:rPr>
          <w:rFonts w:ascii="Times New Roman" w:eastAsia="Times New Roman" w:hAnsi="Times New Roman" w:cs="Monotype Hadassah"/>
          <w:bCs/>
          <w:sz w:val="24"/>
          <w:szCs w:val="20"/>
        </w:rPr>
        <w:t xml:space="preserve"> may, but does not have to be, a duty to grant conscientious exemption. A person’s right to act upon his conscience, if such a right indeed exits, may impose</w:t>
      </w:r>
      <w:r w:rsidR="002A797F">
        <w:rPr>
          <w:rFonts w:ascii="Times New Roman" w:eastAsia="Times New Roman" w:hAnsi="Times New Roman" w:cs="Monotype Hadassah"/>
          <w:bCs/>
          <w:sz w:val="24"/>
          <w:szCs w:val="20"/>
        </w:rPr>
        <w:t xml:space="preserve"> a duty on</w:t>
      </w:r>
      <w:r w:rsidR="001C6FBE">
        <w:rPr>
          <w:rFonts w:ascii="Times New Roman" w:eastAsia="Times New Roman" w:hAnsi="Times New Roman" w:cs="Monotype Hadassah"/>
          <w:bCs/>
          <w:sz w:val="24"/>
          <w:szCs w:val="20"/>
        </w:rPr>
        <w:t xml:space="preserve"> the state to accommodate the objector’s conscience by means other than granting conscientious exemption. This paper, however, discusses </w:t>
      </w:r>
      <w:r w:rsidR="000D45C4">
        <w:rPr>
          <w:rFonts w:ascii="Times New Roman" w:eastAsia="Times New Roman" w:hAnsi="Times New Roman" w:cs="Monotype Hadassah"/>
          <w:bCs/>
          <w:sz w:val="24"/>
          <w:szCs w:val="20"/>
        </w:rPr>
        <w:t xml:space="preserve">only </w:t>
      </w:r>
      <w:r w:rsidR="001C6FBE">
        <w:rPr>
          <w:rFonts w:ascii="Times New Roman" w:eastAsia="Times New Roman" w:hAnsi="Times New Roman" w:cs="Monotype Hadassah"/>
          <w:bCs/>
          <w:sz w:val="24"/>
          <w:szCs w:val="20"/>
        </w:rPr>
        <w:t xml:space="preserve">cases in which tolerating conscientious objection </w:t>
      </w:r>
      <w:r w:rsidR="00D05044">
        <w:rPr>
          <w:rFonts w:ascii="Times New Roman" w:eastAsia="Times New Roman" w:hAnsi="Times New Roman" w:cs="Monotype Hadassah"/>
          <w:bCs/>
          <w:sz w:val="24"/>
          <w:szCs w:val="20"/>
        </w:rPr>
        <w:t xml:space="preserve">is </w:t>
      </w:r>
      <w:r w:rsidR="000D45C4">
        <w:rPr>
          <w:rFonts w:ascii="Times New Roman" w:eastAsia="Times New Roman" w:hAnsi="Times New Roman" w:cs="Monotype Hadassah"/>
          <w:bCs/>
          <w:sz w:val="24"/>
          <w:szCs w:val="20"/>
        </w:rPr>
        <w:t>exercised</w:t>
      </w:r>
      <w:r w:rsidR="001C6FBE">
        <w:rPr>
          <w:rFonts w:ascii="Times New Roman" w:eastAsia="Times New Roman" w:hAnsi="Times New Roman" w:cs="Monotype Hadassah"/>
          <w:bCs/>
          <w:sz w:val="24"/>
          <w:szCs w:val="20"/>
        </w:rPr>
        <w:t xml:space="preserve"> by granting </w:t>
      </w:r>
      <w:r w:rsidR="00021B2F">
        <w:rPr>
          <w:rFonts w:ascii="Times New Roman" w:eastAsia="Times New Roman" w:hAnsi="Times New Roman" w:cs="Monotype Hadassah"/>
          <w:bCs/>
          <w:sz w:val="24"/>
          <w:szCs w:val="20"/>
        </w:rPr>
        <w:t xml:space="preserve">an </w:t>
      </w:r>
      <w:r w:rsidR="001C6FBE">
        <w:rPr>
          <w:rFonts w:ascii="Times New Roman" w:eastAsia="Times New Roman" w:hAnsi="Times New Roman" w:cs="Monotype Hadassah"/>
          <w:bCs/>
          <w:sz w:val="24"/>
          <w:szCs w:val="20"/>
        </w:rPr>
        <w:t>exemption</w:t>
      </w:r>
      <w:r w:rsidR="00021B2F">
        <w:rPr>
          <w:rFonts w:ascii="Times New Roman" w:eastAsia="Times New Roman" w:hAnsi="Times New Roman" w:cs="Monotype Hadassah"/>
          <w:bCs/>
          <w:sz w:val="24"/>
          <w:szCs w:val="20"/>
        </w:rPr>
        <w:t xml:space="preserve"> from the law</w:t>
      </w:r>
      <w:r w:rsidR="001C6FBE">
        <w:rPr>
          <w:rFonts w:ascii="Times New Roman" w:eastAsia="Times New Roman" w:hAnsi="Times New Roman" w:cs="Monotype Hadassah"/>
          <w:bCs/>
          <w:sz w:val="24"/>
          <w:szCs w:val="20"/>
        </w:rPr>
        <w:t xml:space="preserve">. </w:t>
      </w:r>
    </w:p>
    <w:p w:rsidR="004D6E4A" w:rsidRPr="004D6E4A" w:rsidRDefault="002A797F" w:rsidP="006922F3">
      <w:pPr>
        <w:spacing w:after="0" w:line="480" w:lineRule="auto"/>
        <w:jc w:val="both"/>
        <w:rPr>
          <w:rFonts w:ascii="Times New Roman" w:eastAsia="Times New Roman" w:hAnsi="Times New Roman" w:cs="Monotype Hadassah"/>
          <w:bCs/>
          <w:sz w:val="24"/>
          <w:szCs w:val="20"/>
        </w:rPr>
      </w:pPr>
      <w:r>
        <w:rPr>
          <w:rFonts w:ascii="Times New Roman" w:eastAsia="Times New Roman" w:hAnsi="Times New Roman" w:cs="Monotype Hadassah"/>
          <w:bCs/>
          <w:sz w:val="24"/>
          <w:szCs w:val="20"/>
        </w:rPr>
        <w:lastRenderedPageBreak/>
        <w:t>The following argument</w:t>
      </w:r>
      <w:r w:rsidR="004D1BBC">
        <w:rPr>
          <w:rFonts w:ascii="Times New Roman" w:eastAsia="Times New Roman" w:hAnsi="Times New Roman" w:cs="Monotype Hadassah"/>
          <w:bCs/>
          <w:sz w:val="24"/>
          <w:szCs w:val="20"/>
        </w:rPr>
        <w:t xml:space="preserve"> which will also be assumed </w:t>
      </w:r>
      <w:r>
        <w:rPr>
          <w:rFonts w:ascii="Times New Roman" w:eastAsia="Times New Roman" w:hAnsi="Times New Roman" w:cs="Monotype Hadassah"/>
          <w:bCs/>
          <w:sz w:val="24"/>
          <w:szCs w:val="20"/>
        </w:rPr>
        <w:t xml:space="preserve">is that a right to be granted </w:t>
      </w:r>
      <w:r w:rsidR="004D1BBC">
        <w:rPr>
          <w:rFonts w:ascii="Times New Roman" w:eastAsia="Times New Roman" w:hAnsi="Times New Roman" w:cs="Monotype Hadassah"/>
          <w:bCs/>
          <w:sz w:val="24"/>
          <w:szCs w:val="20"/>
        </w:rPr>
        <w:t xml:space="preserve">a conscientious </w:t>
      </w:r>
      <w:r>
        <w:rPr>
          <w:rFonts w:ascii="Times New Roman" w:eastAsia="Times New Roman" w:hAnsi="Times New Roman" w:cs="Monotype Hadassah"/>
          <w:bCs/>
          <w:sz w:val="24"/>
          <w:szCs w:val="20"/>
        </w:rPr>
        <w:t>exemption is in fact a right to be tolerated</w:t>
      </w:r>
      <w:r w:rsidR="00A845C2">
        <w:rPr>
          <w:rFonts w:ascii="Times New Roman" w:eastAsia="Times New Roman" w:hAnsi="Times New Roman" w:cs="Monotype Hadassah"/>
          <w:bCs/>
          <w:sz w:val="24"/>
          <w:szCs w:val="20"/>
        </w:rPr>
        <w:t>.</w:t>
      </w:r>
      <w:r w:rsidR="00A845C2">
        <w:rPr>
          <w:rStyle w:val="a5"/>
          <w:rFonts w:ascii="Times New Roman" w:eastAsia="Times New Roman" w:hAnsi="Times New Roman" w:cs="Monotype Hadassah"/>
          <w:bCs/>
          <w:sz w:val="24"/>
          <w:szCs w:val="20"/>
        </w:rPr>
        <w:footnoteReference w:id="2"/>
      </w:r>
      <w:r w:rsidR="00A845C2">
        <w:rPr>
          <w:rFonts w:ascii="Times New Roman" w:eastAsia="Times New Roman" w:hAnsi="Times New Roman" w:cs="Monotype Hadassah"/>
          <w:bCs/>
          <w:sz w:val="24"/>
          <w:szCs w:val="20"/>
        </w:rPr>
        <w:t xml:space="preserve"> It is </w:t>
      </w:r>
      <w:r w:rsidR="006922F3">
        <w:rPr>
          <w:rFonts w:ascii="Times New Roman" w:eastAsia="Times New Roman" w:hAnsi="Times New Roman" w:cs="Monotype Hadassah"/>
          <w:bCs/>
          <w:sz w:val="24"/>
          <w:szCs w:val="20"/>
        </w:rPr>
        <w:t>a right not to be harmed even when the state believes it has good reasons to harm the objector by imposing on him the duty to obey the law</w:t>
      </w:r>
      <w:r>
        <w:rPr>
          <w:rFonts w:ascii="Times New Roman" w:eastAsia="Times New Roman" w:hAnsi="Times New Roman" w:cs="Monotype Hadassah"/>
          <w:bCs/>
          <w:sz w:val="24"/>
          <w:szCs w:val="20"/>
        </w:rPr>
        <w:t xml:space="preserve">. </w:t>
      </w:r>
      <w:r w:rsidR="004D6E4A" w:rsidRPr="004D6E4A">
        <w:rPr>
          <w:rFonts w:ascii="Times New Roman" w:eastAsia="Times New Roman" w:hAnsi="Times New Roman" w:cs="Monotype Hadassah"/>
          <w:bCs/>
          <w:sz w:val="24"/>
          <w:szCs w:val="20"/>
        </w:rPr>
        <w:t>Typically, granting conscientious exemptions from a legal rule presupposes that the state does not share the conscientious objector’s values or his way of balancing between values, or believes it would be unbearable and indeed intolerable if everyone shared the objector’s kind of conscience and reasoning. Otherwise, the exemption would have been the general rule rather than the exception to it. In other words, the state usually makes an adverse judgement about the conscientious objector’s values or his way of balancing between values. This judgement gives the state reasons not to grant the conscientious objector an exemption from the legal rule</w:t>
      </w:r>
      <w:r w:rsidR="009C7EB9">
        <w:rPr>
          <w:rFonts w:ascii="Times New Roman" w:eastAsia="Times New Roman" w:hAnsi="Times New Roman" w:cs="Monotype Hadassah"/>
          <w:bCs/>
          <w:sz w:val="24"/>
          <w:szCs w:val="20"/>
        </w:rPr>
        <w:t>.</w:t>
      </w:r>
      <w:r w:rsidR="004D6E4A" w:rsidRPr="004D6E4A">
        <w:rPr>
          <w:rFonts w:ascii="Times New Roman" w:eastAsia="Times New Roman" w:hAnsi="Times New Roman" w:cs="Monotype Hadassah"/>
          <w:bCs/>
          <w:sz w:val="24"/>
          <w:szCs w:val="20"/>
        </w:rPr>
        <w:t xml:space="preserve"> If the state decides to grant conscientious exemptions after all, it can be seen as tolerant. </w:t>
      </w:r>
      <w:r w:rsidR="009C7EB9">
        <w:rPr>
          <w:rFonts w:ascii="Times New Roman" w:eastAsia="Times New Roman" w:hAnsi="Times New Roman" w:cs="Monotype Hadassah"/>
          <w:bCs/>
          <w:sz w:val="24"/>
          <w:szCs w:val="20"/>
        </w:rPr>
        <w:t>This tolerance can result from acknowledging that the conscientious objector has a right to be tolerated – but it can also result from pragmatic, utilitarian reasons</w:t>
      </w:r>
      <w:r>
        <w:rPr>
          <w:rFonts w:ascii="Times New Roman" w:eastAsia="Times New Roman" w:hAnsi="Times New Roman" w:cs="Monotype Hadassah"/>
          <w:bCs/>
          <w:sz w:val="24"/>
          <w:szCs w:val="20"/>
        </w:rPr>
        <w:t xml:space="preserve">, i.e. </w:t>
      </w:r>
      <w:r w:rsidR="009C7EB9">
        <w:rPr>
          <w:rFonts w:ascii="Times New Roman" w:eastAsia="Times New Roman" w:hAnsi="Times New Roman" w:cs="Monotype Hadassah"/>
          <w:bCs/>
          <w:sz w:val="24"/>
          <w:szCs w:val="20"/>
        </w:rPr>
        <w:t xml:space="preserve">without acknowledging the objector’s right to be tolerated.  </w:t>
      </w:r>
      <w:r w:rsidR="004D6E4A" w:rsidRPr="004D6E4A">
        <w:rPr>
          <w:rFonts w:ascii="Times New Roman" w:eastAsia="Times New Roman" w:hAnsi="Times New Roman" w:cs="Monotype Hadassah"/>
          <w:bCs/>
          <w:sz w:val="24"/>
          <w:szCs w:val="20"/>
        </w:rPr>
        <w:t xml:space="preserve">  </w:t>
      </w:r>
    </w:p>
    <w:p w:rsidR="00300B58" w:rsidRPr="00300B58" w:rsidRDefault="009C7EB9" w:rsidP="00DA18F6">
      <w:pPr>
        <w:spacing w:after="0" w:line="480" w:lineRule="auto"/>
        <w:jc w:val="both"/>
        <w:rPr>
          <w:rFonts w:ascii="Times New Roman" w:eastAsia="Times New Roman" w:hAnsi="Times New Roman" w:cs="Monotype Hadassah"/>
          <w:sz w:val="24"/>
          <w:szCs w:val="20"/>
        </w:rPr>
      </w:pPr>
      <w:r>
        <w:rPr>
          <w:rFonts w:ascii="Times New Roman" w:eastAsia="Times New Roman" w:hAnsi="Times New Roman" w:cs="Monotype Hadassah"/>
          <w:sz w:val="24"/>
          <w:szCs w:val="20"/>
        </w:rPr>
        <w:t xml:space="preserve">If </w:t>
      </w:r>
      <w:r w:rsidR="004D6E4A" w:rsidRPr="004D6E4A">
        <w:rPr>
          <w:rFonts w:ascii="Times New Roman" w:eastAsia="Times New Roman" w:hAnsi="Times New Roman" w:cs="Monotype Hadassah"/>
          <w:sz w:val="24"/>
          <w:szCs w:val="20"/>
        </w:rPr>
        <w:t>granting conscientious exemptions is almost always the result of an attitude of tolerance it affect</w:t>
      </w:r>
      <w:r>
        <w:rPr>
          <w:rFonts w:ascii="Times New Roman" w:eastAsia="Times New Roman" w:hAnsi="Times New Roman" w:cs="Monotype Hadassah"/>
          <w:sz w:val="24"/>
          <w:szCs w:val="20"/>
        </w:rPr>
        <w:t>s</w:t>
      </w:r>
      <w:r w:rsidR="004D6E4A" w:rsidRPr="004D6E4A">
        <w:rPr>
          <w:rFonts w:ascii="Times New Roman" w:eastAsia="Times New Roman" w:hAnsi="Times New Roman" w:cs="Monotype Hadassah"/>
          <w:sz w:val="24"/>
          <w:szCs w:val="20"/>
        </w:rPr>
        <w:t xml:space="preserve"> the question</w:t>
      </w:r>
      <w:r w:rsidR="00DA18F6">
        <w:rPr>
          <w:rFonts w:ascii="Times New Roman" w:eastAsia="Times New Roman" w:hAnsi="Times New Roman" w:cs="Monotype Hadassah"/>
          <w:sz w:val="24"/>
          <w:szCs w:val="20"/>
        </w:rPr>
        <w:t>s</w:t>
      </w:r>
      <w:r w:rsidR="004D6E4A" w:rsidRPr="004D6E4A">
        <w:rPr>
          <w:rFonts w:ascii="Times New Roman" w:eastAsia="Times New Roman" w:hAnsi="Times New Roman" w:cs="Monotype Hadassah"/>
          <w:sz w:val="24"/>
          <w:szCs w:val="20"/>
        </w:rPr>
        <w:t xml:space="preserve"> of </w:t>
      </w:r>
      <w:r>
        <w:rPr>
          <w:rFonts w:ascii="Times New Roman" w:eastAsia="Times New Roman" w:hAnsi="Times New Roman" w:cs="Monotype Hadassah"/>
          <w:sz w:val="24"/>
          <w:szCs w:val="20"/>
        </w:rPr>
        <w:t>how</w:t>
      </w:r>
      <w:r w:rsidR="004D6E4A" w:rsidRPr="004D6E4A">
        <w:rPr>
          <w:rFonts w:ascii="Times New Roman" w:eastAsia="Times New Roman" w:hAnsi="Times New Roman" w:cs="Monotype Hadassah"/>
          <w:sz w:val="24"/>
          <w:szCs w:val="20"/>
        </w:rPr>
        <w:t xml:space="preserve"> conscientious exemptions should be granted and by whom. </w:t>
      </w:r>
      <w:r>
        <w:rPr>
          <w:rFonts w:ascii="Times New Roman" w:eastAsia="Times New Roman" w:hAnsi="Times New Roman" w:cs="Monotype Hadassah"/>
          <w:sz w:val="24"/>
          <w:szCs w:val="20"/>
        </w:rPr>
        <w:t>W</w:t>
      </w:r>
      <w:r w:rsidR="004D6E4A" w:rsidRPr="004D6E4A">
        <w:rPr>
          <w:rFonts w:ascii="Times New Roman" w:eastAsia="Times New Roman" w:hAnsi="Times New Roman" w:cs="Monotype Hadassah"/>
          <w:sz w:val="24"/>
          <w:szCs w:val="20"/>
        </w:rPr>
        <w:t>e should</w:t>
      </w:r>
      <w:r w:rsidR="00DA18F6">
        <w:rPr>
          <w:rFonts w:ascii="Times New Roman" w:eastAsia="Times New Roman" w:hAnsi="Times New Roman" w:cs="Monotype Hadassah"/>
          <w:sz w:val="24"/>
          <w:szCs w:val="20"/>
        </w:rPr>
        <w:t xml:space="preserve"> now</w:t>
      </w:r>
      <w:r>
        <w:rPr>
          <w:rFonts w:ascii="Times New Roman" w:eastAsia="Times New Roman" w:hAnsi="Times New Roman" w:cs="Monotype Hadassah"/>
          <w:sz w:val="24"/>
          <w:szCs w:val="20"/>
        </w:rPr>
        <w:t xml:space="preserve"> </w:t>
      </w:r>
      <w:r w:rsidR="004D6E4A" w:rsidRPr="004D6E4A">
        <w:rPr>
          <w:rFonts w:ascii="Times New Roman" w:eastAsia="Times New Roman" w:hAnsi="Times New Roman" w:cs="Monotype Hadassah"/>
          <w:sz w:val="24"/>
          <w:szCs w:val="20"/>
        </w:rPr>
        <w:t>ask</w:t>
      </w:r>
      <w:r w:rsidR="00DA18F6">
        <w:rPr>
          <w:rFonts w:ascii="Times New Roman" w:eastAsia="Times New Roman" w:hAnsi="Times New Roman" w:cs="Monotype Hadassah"/>
          <w:sz w:val="24"/>
          <w:szCs w:val="20"/>
        </w:rPr>
        <w:t xml:space="preserve"> which methods of granting exemptions are more likely to result in justified tolerance towards conscientious objections and</w:t>
      </w:r>
      <w:r w:rsidR="004D6E4A" w:rsidRPr="004D6E4A">
        <w:rPr>
          <w:rFonts w:ascii="Times New Roman" w:eastAsia="Times New Roman" w:hAnsi="Times New Roman" w:cs="Monotype Hadassah"/>
          <w:sz w:val="24"/>
          <w:szCs w:val="20"/>
        </w:rPr>
        <w:t xml:space="preserve"> which state’s organs are more likely to tolerate conscientious objectors in </w:t>
      </w:r>
      <w:r>
        <w:rPr>
          <w:rFonts w:ascii="Times New Roman" w:eastAsia="Times New Roman" w:hAnsi="Times New Roman" w:cs="Monotype Hadassah"/>
          <w:sz w:val="24"/>
          <w:szCs w:val="20"/>
        </w:rPr>
        <w:t xml:space="preserve">the right </w:t>
      </w:r>
      <w:r w:rsidR="004D6E4A" w:rsidRPr="004D6E4A">
        <w:rPr>
          <w:rFonts w:ascii="Times New Roman" w:eastAsia="Times New Roman" w:hAnsi="Times New Roman" w:cs="Monotype Hadassah"/>
          <w:sz w:val="24"/>
          <w:szCs w:val="20"/>
        </w:rPr>
        <w:t xml:space="preserve">cases. </w:t>
      </w:r>
      <w:r>
        <w:rPr>
          <w:rFonts w:ascii="Times New Roman" w:eastAsia="Times New Roman" w:hAnsi="Times New Roman" w:cs="Monotype Hadassah"/>
          <w:sz w:val="24"/>
          <w:szCs w:val="20"/>
        </w:rPr>
        <w:t>Th</w:t>
      </w:r>
      <w:r w:rsidR="00DA18F6">
        <w:rPr>
          <w:rFonts w:ascii="Times New Roman" w:eastAsia="Times New Roman" w:hAnsi="Times New Roman" w:cs="Monotype Hadassah"/>
          <w:sz w:val="24"/>
          <w:szCs w:val="20"/>
        </w:rPr>
        <w:t>ese</w:t>
      </w:r>
      <w:r>
        <w:rPr>
          <w:rFonts w:ascii="Times New Roman" w:eastAsia="Times New Roman" w:hAnsi="Times New Roman" w:cs="Monotype Hadassah"/>
          <w:sz w:val="24"/>
          <w:szCs w:val="20"/>
        </w:rPr>
        <w:t xml:space="preserve"> question</w:t>
      </w:r>
      <w:r w:rsidR="00DA18F6">
        <w:rPr>
          <w:rFonts w:ascii="Times New Roman" w:eastAsia="Times New Roman" w:hAnsi="Times New Roman" w:cs="Monotype Hadassah"/>
          <w:sz w:val="24"/>
          <w:szCs w:val="20"/>
        </w:rPr>
        <w:t>s</w:t>
      </w:r>
      <w:r>
        <w:rPr>
          <w:rFonts w:ascii="Times New Roman" w:eastAsia="Times New Roman" w:hAnsi="Times New Roman" w:cs="Monotype Hadassah"/>
          <w:sz w:val="24"/>
          <w:szCs w:val="20"/>
        </w:rPr>
        <w:t xml:space="preserve"> will be answered after describing the main ways of granting conscientious exemptions. </w:t>
      </w:r>
    </w:p>
    <w:p w:rsidR="00300B58" w:rsidRPr="00300B58" w:rsidRDefault="00520A4C" w:rsidP="006736B9">
      <w:pPr>
        <w:pStyle w:val="1"/>
        <w:rPr>
          <w:rFonts w:eastAsia="Times New Roman"/>
        </w:rPr>
      </w:pPr>
      <w:bookmarkStart w:id="26" w:name="_Toc190578489"/>
      <w:bookmarkStart w:id="27" w:name="_Toc171502410"/>
      <w:bookmarkStart w:id="28" w:name="_Toc138225965"/>
      <w:bookmarkStart w:id="29" w:name="_Toc435695344"/>
      <w:r>
        <w:rPr>
          <w:rFonts w:eastAsia="Times New Roman"/>
        </w:rPr>
        <w:lastRenderedPageBreak/>
        <w:t>3</w:t>
      </w:r>
      <w:r w:rsidR="00300B58" w:rsidRPr="00300B58">
        <w:rPr>
          <w:rFonts w:eastAsia="Times New Roman"/>
        </w:rPr>
        <w:t>. How conscientious exemptions are granted</w:t>
      </w:r>
      <w:bookmarkEnd w:id="26"/>
      <w:bookmarkEnd w:id="27"/>
      <w:bookmarkEnd w:id="28"/>
      <w:bookmarkEnd w:id="29"/>
    </w:p>
    <w:p w:rsidR="006736B9" w:rsidRDefault="006736B9" w:rsidP="00EE510F">
      <w:pPr>
        <w:spacing w:after="0" w:line="480" w:lineRule="auto"/>
        <w:jc w:val="both"/>
        <w:rPr>
          <w:rFonts w:ascii="Times New Roman" w:eastAsia="Times New Roman" w:hAnsi="Times New Roman" w:cs="Monotype Hadassah"/>
          <w:sz w:val="24"/>
          <w:szCs w:val="20"/>
        </w:rPr>
      </w:pPr>
      <w:bookmarkStart w:id="30" w:name="_Toc171502411"/>
      <w:bookmarkStart w:id="31" w:name="_Toc171495421"/>
      <w:bookmarkStart w:id="32" w:name="_Toc167682994"/>
      <w:bookmarkStart w:id="33" w:name="_Toc167682880"/>
      <w:bookmarkStart w:id="34" w:name="_Toc164833410"/>
      <w:bookmarkStart w:id="35" w:name="_Toc156187524"/>
      <w:bookmarkStart w:id="36" w:name="_Toc139258208"/>
      <w:bookmarkStart w:id="37" w:name="_Toc138225967"/>
    </w:p>
    <w:p w:rsidR="00300B58" w:rsidRDefault="00300B58" w:rsidP="00EE510F">
      <w:pPr>
        <w:spacing w:after="0" w:line="480" w:lineRule="auto"/>
        <w:jc w:val="both"/>
        <w:rPr>
          <w:rFonts w:ascii="Times New Roman" w:eastAsia="Times New Roman" w:hAnsi="Times New Roman" w:cs="Monotype Hadassah"/>
          <w:sz w:val="24"/>
          <w:szCs w:val="20"/>
        </w:rPr>
      </w:pPr>
      <w:r w:rsidRPr="00300B58">
        <w:rPr>
          <w:rFonts w:ascii="Times New Roman" w:eastAsia="Times New Roman" w:hAnsi="Times New Roman" w:cs="Monotype Hadassah"/>
          <w:sz w:val="24"/>
          <w:szCs w:val="20"/>
        </w:rPr>
        <w:t>The purpose of the following</w:t>
      </w:r>
      <w:r w:rsidR="000D4049">
        <w:rPr>
          <w:rFonts w:ascii="Times New Roman" w:eastAsia="Times New Roman" w:hAnsi="Times New Roman" w:cs="Monotype Hadassah"/>
          <w:sz w:val="24"/>
          <w:szCs w:val="20"/>
        </w:rPr>
        <w:t xml:space="preserve"> review</w:t>
      </w:r>
      <w:r w:rsidRPr="00300B58">
        <w:rPr>
          <w:rFonts w:ascii="Times New Roman" w:eastAsia="Times New Roman" w:hAnsi="Times New Roman" w:cs="Monotype Hadassah"/>
          <w:sz w:val="24"/>
          <w:szCs w:val="20"/>
        </w:rPr>
        <w:t xml:space="preserve"> is not to present </w:t>
      </w:r>
      <w:r w:rsidR="000D4049">
        <w:rPr>
          <w:rFonts w:ascii="Times New Roman" w:eastAsia="Times New Roman" w:hAnsi="Times New Roman" w:cs="Monotype Hadassah"/>
          <w:sz w:val="24"/>
          <w:szCs w:val="20"/>
        </w:rPr>
        <w:t xml:space="preserve">a </w:t>
      </w:r>
      <w:r w:rsidRPr="00300B58">
        <w:rPr>
          <w:rFonts w:ascii="Times New Roman" w:eastAsia="Times New Roman" w:hAnsi="Times New Roman" w:cs="Monotype Hadassah"/>
          <w:sz w:val="24"/>
          <w:szCs w:val="20"/>
        </w:rPr>
        <w:t xml:space="preserve">comprehensive or even </w:t>
      </w:r>
      <w:r w:rsidR="000D4049">
        <w:rPr>
          <w:rFonts w:ascii="Times New Roman" w:eastAsia="Times New Roman" w:hAnsi="Times New Roman" w:cs="Monotype Hadassah"/>
          <w:sz w:val="24"/>
          <w:szCs w:val="20"/>
        </w:rPr>
        <w:t xml:space="preserve">an </w:t>
      </w:r>
      <w:r w:rsidRPr="00300B58">
        <w:rPr>
          <w:rFonts w:ascii="Times New Roman" w:eastAsia="Times New Roman" w:hAnsi="Times New Roman" w:cs="Monotype Hadassah"/>
          <w:sz w:val="24"/>
          <w:szCs w:val="20"/>
        </w:rPr>
        <w:t>up</w:t>
      </w:r>
      <w:r w:rsidR="008E14BB">
        <w:rPr>
          <w:rFonts w:ascii="Times New Roman" w:eastAsia="Times New Roman" w:hAnsi="Times New Roman" w:cs="Monotype Hadassah"/>
          <w:sz w:val="24"/>
          <w:szCs w:val="20"/>
        </w:rPr>
        <w:t>-</w:t>
      </w:r>
      <w:r w:rsidRPr="00300B58">
        <w:rPr>
          <w:rFonts w:ascii="Times New Roman" w:eastAsia="Times New Roman" w:hAnsi="Times New Roman" w:cs="Monotype Hadassah"/>
          <w:sz w:val="24"/>
          <w:szCs w:val="20"/>
        </w:rPr>
        <w:t>to</w:t>
      </w:r>
      <w:r w:rsidR="008E14BB">
        <w:rPr>
          <w:rFonts w:ascii="Times New Roman" w:eastAsia="Times New Roman" w:hAnsi="Times New Roman" w:cs="Monotype Hadassah"/>
          <w:sz w:val="24"/>
          <w:szCs w:val="20"/>
        </w:rPr>
        <w:t>-</w:t>
      </w:r>
      <w:r w:rsidRPr="00300B58">
        <w:rPr>
          <w:rFonts w:ascii="Times New Roman" w:eastAsia="Times New Roman" w:hAnsi="Times New Roman" w:cs="Monotype Hadassah"/>
          <w:sz w:val="24"/>
          <w:szCs w:val="20"/>
        </w:rPr>
        <w:t xml:space="preserve">date comparative research about how conscientious exemptions are granted. </w:t>
      </w:r>
      <w:r w:rsidR="008E14BB">
        <w:rPr>
          <w:rFonts w:ascii="Times New Roman" w:eastAsia="Times New Roman" w:hAnsi="Times New Roman" w:cs="Monotype Hadassah"/>
          <w:sz w:val="24"/>
          <w:szCs w:val="20"/>
        </w:rPr>
        <w:t xml:space="preserve">Neither </w:t>
      </w:r>
      <w:r w:rsidRPr="00300B58">
        <w:rPr>
          <w:rFonts w:ascii="Times New Roman" w:eastAsia="Times New Roman" w:hAnsi="Times New Roman" w:cs="Monotype Hadassah"/>
          <w:sz w:val="24"/>
          <w:szCs w:val="20"/>
        </w:rPr>
        <w:t xml:space="preserve">does </w:t>
      </w:r>
      <w:r w:rsidR="008E14BB">
        <w:rPr>
          <w:rFonts w:ascii="Times New Roman" w:eastAsia="Times New Roman" w:hAnsi="Times New Roman" w:cs="Monotype Hadassah"/>
          <w:sz w:val="24"/>
          <w:szCs w:val="20"/>
        </w:rPr>
        <w:t>i</w:t>
      </w:r>
      <w:r w:rsidRPr="00300B58">
        <w:rPr>
          <w:rFonts w:ascii="Times New Roman" w:eastAsia="Times New Roman" w:hAnsi="Times New Roman" w:cs="Monotype Hadassah"/>
          <w:sz w:val="24"/>
          <w:szCs w:val="20"/>
        </w:rPr>
        <w:t>t aim to describe all possible examples of the various ways of granting conscientious exemptions.</w:t>
      </w:r>
      <w:bookmarkEnd w:id="30"/>
      <w:bookmarkEnd w:id="31"/>
      <w:bookmarkEnd w:id="32"/>
      <w:bookmarkEnd w:id="33"/>
      <w:bookmarkEnd w:id="34"/>
      <w:bookmarkEnd w:id="35"/>
      <w:bookmarkEnd w:id="36"/>
      <w:bookmarkEnd w:id="37"/>
      <w:r w:rsidRPr="00300B58">
        <w:rPr>
          <w:rFonts w:ascii="Times New Roman" w:eastAsia="Times New Roman" w:hAnsi="Times New Roman" w:cs="Monotype Hadassah"/>
          <w:sz w:val="24"/>
          <w:szCs w:val="20"/>
        </w:rPr>
        <w:t xml:space="preserve"> </w:t>
      </w:r>
      <w:bookmarkStart w:id="38" w:name="_Toc171502412"/>
      <w:bookmarkStart w:id="39" w:name="_Toc171495422"/>
      <w:bookmarkStart w:id="40" w:name="_Toc167682995"/>
      <w:bookmarkStart w:id="41" w:name="_Toc167682881"/>
      <w:bookmarkStart w:id="42" w:name="_Toc164833411"/>
      <w:bookmarkStart w:id="43" w:name="_Toc156187525"/>
      <w:bookmarkStart w:id="44" w:name="_Toc139258209"/>
      <w:bookmarkStart w:id="45" w:name="_Toc138225968"/>
      <w:r w:rsidRPr="00300B58">
        <w:rPr>
          <w:rFonts w:ascii="Times New Roman" w:eastAsia="Times New Roman" w:hAnsi="Times New Roman" w:cs="Monotype Hadassah"/>
          <w:sz w:val="24"/>
          <w:szCs w:val="20"/>
        </w:rPr>
        <w:t xml:space="preserve">The purpose of </w:t>
      </w:r>
      <w:r w:rsidR="000D4049">
        <w:rPr>
          <w:rFonts w:ascii="Times New Roman" w:eastAsia="Times New Roman" w:hAnsi="Times New Roman" w:cs="Monotype Hadassah"/>
          <w:sz w:val="24"/>
          <w:szCs w:val="20"/>
        </w:rPr>
        <w:t xml:space="preserve">this section </w:t>
      </w:r>
      <w:r w:rsidRPr="00300B58">
        <w:rPr>
          <w:rFonts w:ascii="Times New Roman" w:eastAsia="Times New Roman" w:hAnsi="Times New Roman" w:cs="Monotype Hadassah"/>
          <w:sz w:val="24"/>
          <w:szCs w:val="20"/>
        </w:rPr>
        <w:t>is merely to describe the main ways of granting conscientious exemptions</w:t>
      </w:r>
      <w:r w:rsidR="000D4049">
        <w:rPr>
          <w:rFonts w:ascii="Times New Roman" w:eastAsia="Times New Roman" w:hAnsi="Times New Roman" w:cs="Monotype Hadassah"/>
          <w:sz w:val="24"/>
          <w:szCs w:val="20"/>
        </w:rPr>
        <w:t xml:space="preserve"> in order to better evaluate them</w:t>
      </w:r>
      <w:r w:rsidRPr="00300B58">
        <w:rPr>
          <w:rFonts w:ascii="Times New Roman" w:eastAsia="Times New Roman" w:hAnsi="Times New Roman" w:cs="Monotype Hadassah"/>
          <w:sz w:val="24"/>
          <w:szCs w:val="20"/>
        </w:rPr>
        <w:t xml:space="preserve"> </w:t>
      </w:r>
      <w:r w:rsidR="000D4049">
        <w:rPr>
          <w:rFonts w:ascii="Times New Roman" w:eastAsia="Times New Roman" w:hAnsi="Times New Roman" w:cs="Monotype Hadassah"/>
          <w:sz w:val="24"/>
          <w:szCs w:val="20"/>
        </w:rPr>
        <w:t xml:space="preserve">in the following discussion. </w:t>
      </w:r>
      <w:bookmarkEnd w:id="38"/>
      <w:bookmarkEnd w:id="39"/>
      <w:bookmarkEnd w:id="40"/>
      <w:bookmarkEnd w:id="41"/>
      <w:bookmarkEnd w:id="42"/>
      <w:bookmarkEnd w:id="43"/>
      <w:bookmarkEnd w:id="44"/>
      <w:bookmarkEnd w:id="45"/>
    </w:p>
    <w:p w:rsidR="00300B58" w:rsidRPr="00300B58" w:rsidRDefault="00300B58" w:rsidP="0054333A">
      <w:pPr>
        <w:pStyle w:val="2"/>
        <w:rPr>
          <w:rFonts w:eastAsia="Times New Roman"/>
        </w:rPr>
      </w:pPr>
      <w:bookmarkStart w:id="46" w:name="_Toc190578490"/>
      <w:bookmarkStart w:id="47" w:name="_Toc171502413"/>
      <w:bookmarkStart w:id="48" w:name="_Toc138225969"/>
      <w:bookmarkStart w:id="49" w:name="_Toc435695345"/>
      <w:r w:rsidRPr="00300B58">
        <w:rPr>
          <w:rFonts w:eastAsia="Times New Roman"/>
        </w:rPr>
        <w:t>a. Conscientious exemptions in ‘superior</w:t>
      </w:r>
      <w:r w:rsidR="007D2F72">
        <w:rPr>
          <w:rFonts w:eastAsia="Times New Roman"/>
        </w:rPr>
        <w:t xml:space="preserve"> </w:t>
      </w:r>
      <w:r w:rsidRPr="00300B58">
        <w:rPr>
          <w:rFonts w:eastAsia="Times New Roman"/>
        </w:rPr>
        <w:t>legal</w:t>
      </w:r>
      <w:r w:rsidR="007D2F72">
        <w:rPr>
          <w:rFonts w:eastAsia="Times New Roman"/>
        </w:rPr>
        <w:t xml:space="preserve"> </w:t>
      </w:r>
      <w:r w:rsidRPr="00300B58">
        <w:rPr>
          <w:rFonts w:eastAsia="Times New Roman"/>
        </w:rPr>
        <w:t>norms’</w:t>
      </w:r>
      <w:bookmarkEnd w:id="46"/>
      <w:bookmarkEnd w:id="47"/>
      <w:bookmarkEnd w:id="48"/>
      <w:bookmarkEnd w:id="49"/>
    </w:p>
    <w:p w:rsidR="0054333A" w:rsidRDefault="0054333A" w:rsidP="007B32D8">
      <w:pPr>
        <w:spacing w:after="0" w:line="480" w:lineRule="auto"/>
        <w:jc w:val="both"/>
        <w:rPr>
          <w:rFonts w:ascii="Times New Roman" w:eastAsia="Times New Roman" w:hAnsi="Times New Roman" w:cs="Monotype Hadassah"/>
          <w:sz w:val="24"/>
          <w:szCs w:val="20"/>
        </w:rPr>
      </w:pPr>
    </w:p>
    <w:p w:rsidR="00300B58" w:rsidRPr="00300B58" w:rsidRDefault="00300B58" w:rsidP="00062256">
      <w:pPr>
        <w:spacing w:after="0" w:line="480" w:lineRule="auto"/>
        <w:jc w:val="both"/>
        <w:rPr>
          <w:rFonts w:ascii="Times New Roman" w:eastAsia="Times New Roman" w:hAnsi="Times New Roman" w:cs="Monotype Hadassah"/>
          <w:sz w:val="24"/>
          <w:szCs w:val="20"/>
        </w:rPr>
      </w:pPr>
      <w:r w:rsidRPr="00300B58">
        <w:rPr>
          <w:rFonts w:ascii="Times New Roman" w:eastAsia="Times New Roman" w:hAnsi="Times New Roman" w:cs="Monotype Hadassah"/>
          <w:sz w:val="24"/>
          <w:szCs w:val="20"/>
        </w:rPr>
        <w:t xml:space="preserve">The right to be granted conscientious exemption can be </w:t>
      </w:r>
      <w:r w:rsidR="007B32D8">
        <w:rPr>
          <w:rFonts w:ascii="Times New Roman" w:eastAsia="Times New Roman" w:hAnsi="Times New Roman" w:cs="Monotype Hadassah"/>
          <w:sz w:val="24"/>
          <w:szCs w:val="20"/>
        </w:rPr>
        <w:t xml:space="preserve">entrenched </w:t>
      </w:r>
      <w:r w:rsidRPr="00300B58">
        <w:rPr>
          <w:rFonts w:ascii="Times New Roman" w:eastAsia="Times New Roman" w:hAnsi="Times New Roman" w:cs="Monotype Hadassah"/>
          <w:sz w:val="24"/>
          <w:szCs w:val="20"/>
        </w:rPr>
        <w:t xml:space="preserve">in </w:t>
      </w:r>
      <w:r w:rsidR="007B32D8">
        <w:rPr>
          <w:rFonts w:ascii="Times New Roman" w:eastAsia="Times New Roman" w:hAnsi="Times New Roman" w:cs="Monotype Hadassah"/>
          <w:sz w:val="24"/>
          <w:szCs w:val="20"/>
        </w:rPr>
        <w:t xml:space="preserve">‘superior legal norms’. </w:t>
      </w:r>
      <w:r w:rsidRPr="00300B58">
        <w:rPr>
          <w:rFonts w:ascii="Times New Roman" w:eastAsia="Times New Roman" w:hAnsi="Times New Roman" w:cs="Monotype Hadassah"/>
          <w:sz w:val="24"/>
          <w:szCs w:val="20"/>
        </w:rPr>
        <w:t>Normally, this norm would be the constitution. It could also be included in legal norms other than the constitution that are still superior to ‘regular’ statutes. Such norms are</w:t>
      </w:r>
      <w:r w:rsidR="000D4049">
        <w:rPr>
          <w:rFonts w:ascii="Times New Roman" w:eastAsia="Times New Roman" w:hAnsi="Times New Roman" w:cs="Monotype Hadassah"/>
          <w:sz w:val="24"/>
          <w:szCs w:val="20"/>
        </w:rPr>
        <w:t xml:space="preserve">, for example, </w:t>
      </w:r>
      <w:r w:rsidRPr="00300B58">
        <w:rPr>
          <w:rFonts w:ascii="Times New Roman" w:eastAsia="Times New Roman" w:hAnsi="Times New Roman" w:cs="Monotype Hadassah"/>
          <w:sz w:val="24"/>
          <w:szCs w:val="20"/>
        </w:rPr>
        <w:t xml:space="preserve">federal laws or state constitutions in </w:t>
      </w:r>
      <w:r w:rsidR="000D4049">
        <w:rPr>
          <w:rFonts w:ascii="Times New Roman" w:eastAsia="Times New Roman" w:hAnsi="Times New Roman" w:cs="Monotype Hadassah"/>
          <w:sz w:val="24"/>
          <w:szCs w:val="20"/>
        </w:rPr>
        <w:t xml:space="preserve">a </w:t>
      </w:r>
      <w:r w:rsidRPr="00300B58">
        <w:rPr>
          <w:rFonts w:ascii="Times New Roman" w:eastAsia="Times New Roman" w:hAnsi="Times New Roman" w:cs="Monotype Hadassah"/>
          <w:sz w:val="24"/>
          <w:szCs w:val="20"/>
        </w:rPr>
        <w:t>federal legal system and perhaps</w:t>
      </w:r>
      <w:r w:rsidR="000D4049">
        <w:rPr>
          <w:rFonts w:ascii="Times New Roman" w:eastAsia="Times New Roman" w:hAnsi="Times New Roman" w:cs="Monotype Hadassah"/>
          <w:sz w:val="24"/>
          <w:szCs w:val="20"/>
        </w:rPr>
        <w:t xml:space="preserve"> also</w:t>
      </w:r>
      <w:r w:rsidRPr="00300B58">
        <w:rPr>
          <w:rFonts w:ascii="Times New Roman" w:eastAsia="Times New Roman" w:hAnsi="Times New Roman" w:cs="Monotype Hadassah"/>
          <w:sz w:val="24"/>
          <w:szCs w:val="20"/>
        </w:rPr>
        <w:t xml:space="preserve"> international treaties or conventions. I will refer to all of the above as ‘superior legal norms’ and will separate these from ‘regular statutes’, or simply ‘statutes’ or ‘laws’.  </w:t>
      </w:r>
    </w:p>
    <w:p w:rsidR="00300B58" w:rsidRPr="00300B58" w:rsidRDefault="00300B58" w:rsidP="0088665D">
      <w:pPr>
        <w:spacing w:after="0" w:line="480" w:lineRule="auto"/>
        <w:jc w:val="both"/>
        <w:rPr>
          <w:rFonts w:ascii="Times New Roman" w:eastAsia="Times New Roman" w:hAnsi="Times New Roman" w:cs="Monotype Hadassah"/>
          <w:sz w:val="24"/>
          <w:szCs w:val="20"/>
        </w:rPr>
      </w:pPr>
      <w:r w:rsidRPr="00300B58">
        <w:rPr>
          <w:rFonts w:ascii="Times New Roman" w:eastAsia="Times New Roman" w:hAnsi="Times New Roman" w:cs="Monotype Hadassah"/>
          <w:sz w:val="24"/>
          <w:szCs w:val="20"/>
        </w:rPr>
        <w:t>The only example of granting an explicit</w:t>
      </w:r>
      <w:r w:rsidR="00636517">
        <w:rPr>
          <w:rFonts w:ascii="Times New Roman" w:eastAsia="Times New Roman" w:hAnsi="Times New Roman" w:cs="Monotype Hadassah"/>
          <w:sz w:val="24"/>
          <w:szCs w:val="20"/>
        </w:rPr>
        <w:t xml:space="preserve">, general </w:t>
      </w:r>
      <w:r w:rsidRPr="00300B58">
        <w:rPr>
          <w:rFonts w:ascii="Times New Roman" w:eastAsia="Times New Roman" w:hAnsi="Times New Roman" w:cs="Monotype Hadassah"/>
          <w:sz w:val="24"/>
          <w:szCs w:val="20"/>
        </w:rPr>
        <w:t xml:space="preserve">constitutional right to be a conscientious objector is </w:t>
      </w:r>
      <w:r w:rsidR="007D2F72">
        <w:rPr>
          <w:rFonts w:ascii="Times New Roman" w:eastAsia="Times New Roman" w:hAnsi="Times New Roman" w:cs="Monotype Hadassah"/>
          <w:sz w:val="24"/>
          <w:szCs w:val="20"/>
        </w:rPr>
        <w:t>A</w:t>
      </w:r>
      <w:r w:rsidRPr="00300B58">
        <w:rPr>
          <w:rFonts w:ascii="Times New Roman" w:eastAsia="Times New Roman" w:hAnsi="Times New Roman" w:cs="Monotype Hadassah"/>
          <w:sz w:val="24"/>
          <w:szCs w:val="20"/>
        </w:rPr>
        <w:t>rticle 41(6) of the Portuguese Constitution (1982) that states that ‘</w:t>
      </w:r>
      <w:r w:rsidR="00DF4713">
        <w:rPr>
          <w:rFonts w:ascii="Times New Roman" w:eastAsia="Times New Roman" w:hAnsi="Times New Roman" w:cs="Monotype Hadassah"/>
          <w:sz w:val="24"/>
          <w:szCs w:val="20"/>
        </w:rPr>
        <w:t>t</w:t>
      </w:r>
      <w:r w:rsidR="00DF4713" w:rsidRPr="00DF4713">
        <w:rPr>
          <w:rFonts w:ascii="Times New Roman" w:eastAsia="Times New Roman" w:hAnsi="Times New Roman" w:cs="Monotype Hadassah"/>
          <w:sz w:val="24"/>
          <w:szCs w:val="20"/>
          <w:lang w:val="en"/>
        </w:rPr>
        <w:t>he right to be a conscientious objector, as laid down by law, shall be guaranteed</w:t>
      </w:r>
      <w:r w:rsidR="00DF4713">
        <w:rPr>
          <w:rFonts w:ascii="Times New Roman" w:eastAsia="Times New Roman" w:hAnsi="Times New Roman" w:cs="Monotype Hadassah"/>
          <w:sz w:val="24"/>
          <w:szCs w:val="20"/>
          <w:lang w:val="en"/>
        </w:rPr>
        <w:t xml:space="preserve">’. </w:t>
      </w:r>
      <w:r w:rsidRPr="00300B58">
        <w:rPr>
          <w:rFonts w:ascii="Times New Roman" w:eastAsia="Times New Roman" w:hAnsi="Times New Roman" w:cs="Monotype Hadassah"/>
          <w:sz w:val="24"/>
          <w:szCs w:val="20"/>
        </w:rPr>
        <w:t xml:space="preserve">This is a general right in two important ways: it is not limited to specific areas and it includes one’s religious and secular conscience without giving any priority to the former, as opposed to numerous other legal documents and practices. </w:t>
      </w:r>
      <w:r w:rsidR="0088665D">
        <w:rPr>
          <w:rFonts w:ascii="Times New Roman" w:eastAsia="Times New Roman" w:hAnsi="Times New Roman" w:cs="Monotype Hadassah"/>
          <w:sz w:val="24"/>
          <w:szCs w:val="20"/>
        </w:rPr>
        <w:t>T</w:t>
      </w:r>
      <w:r w:rsidRPr="00300B58">
        <w:rPr>
          <w:rFonts w:ascii="Times New Roman" w:eastAsia="Times New Roman" w:hAnsi="Times New Roman" w:cs="Monotype Hadassah"/>
          <w:sz w:val="24"/>
          <w:szCs w:val="20"/>
        </w:rPr>
        <w:t xml:space="preserve">he right is to ‘be a conscientious objector’ rather than to be granted conscientious exemption. However, since granting conscientious exemption is </w:t>
      </w:r>
      <w:r w:rsidR="00DF4713">
        <w:rPr>
          <w:rFonts w:ascii="Times New Roman" w:eastAsia="Times New Roman" w:hAnsi="Times New Roman" w:cs="Monotype Hadassah"/>
          <w:sz w:val="24"/>
          <w:szCs w:val="20"/>
        </w:rPr>
        <w:t xml:space="preserve">one of </w:t>
      </w:r>
      <w:r w:rsidRPr="00300B58">
        <w:rPr>
          <w:rFonts w:ascii="Times New Roman" w:eastAsia="Times New Roman" w:hAnsi="Times New Roman" w:cs="Monotype Hadassah"/>
          <w:sz w:val="24"/>
          <w:szCs w:val="20"/>
        </w:rPr>
        <w:t>the main way</w:t>
      </w:r>
      <w:r w:rsidR="00DF4713">
        <w:rPr>
          <w:rFonts w:ascii="Times New Roman" w:eastAsia="Times New Roman" w:hAnsi="Times New Roman" w:cs="Monotype Hadassah"/>
          <w:sz w:val="24"/>
          <w:szCs w:val="20"/>
        </w:rPr>
        <w:t>s</w:t>
      </w:r>
      <w:r w:rsidRPr="00300B58">
        <w:rPr>
          <w:rFonts w:ascii="Times New Roman" w:eastAsia="Times New Roman" w:hAnsi="Times New Roman" w:cs="Monotype Hadassah"/>
          <w:sz w:val="24"/>
          <w:szCs w:val="20"/>
        </w:rPr>
        <w:t xml:space="preserve"> </w:t>
      </w:r>
      <w:r w:rsidRPr="00300B58">
        <w:rPr>
          <w:rFonts w:ascii="Times New Roman" w:eastAsia="Times New Roman" w:hAnsi="Times New Roman" w:cs="Monotype Hadassah"/>
          <w:sz w:val="24"/>
          <w:szCs w:val="20"/>
        </w:rPr>
        <w:lastRenderedPageBreak/>
        <w:t xml:space="preserve">of accommodating conscientious objection, having </w:t>
      </w:r>
      <w:r w:rsidR="00DF4713">
        <w:rPr>
          <w:rFonts w:ascii="Times New Roman" w:eastAsia="Times New Roman" w:hAnsi="Times New Roman" w:cs="Monotype Hadassah"/>
          <w:sz w:val="24"/>
          <w:szCs w:val="20"/>
        </w:rPr>
        <w:t xml:space="preserve">a </w:t>
      </w:r>
      <w:r w:rsidRPr="00300B58">
        <w:rPr>
          <w:rFonts w:ascii="Times New Roman" w:eastAsia="Times New Roman" w:hAnsi="Times New Roman" w:cs="Monotype Hadassah"/>
          <w:sz w:val="24"/>
          <w:szCs w:val="20"/>
        </w:rPr>
        <w:t xml:space="preserve">right to be a conscientious objector directly leads to </w:t>
      </w:r>
      <w:r w:rsidR="00DF4713">
        <w:rPr>
          <w:rFonts w:ascii="Times New Roman" w:eastAsia="Times New Roman" w:hAnsi="Times New Roman" w:cs="Monotype Hadassah"/>
          <w:sz w:val="24"/>
          <w:szCs w:val="20"/>
        </w:rPr>
        <w:t>a</w:t>
      </w:r>
      <w:r w:rsidRPr="00300B58">
        <w:rPr>
          <w:rFonts w:ascii="Times New Roman" w:eastAsia="Times New Roman" w:hAnsi="Times New Roman" w:cs="Monotype Hadassah"/>
          <w:sz w:val="24"/>
          <w:szCs w:val="20"/>
        </w:rPr>
        <w:t xml:space="preserve"> right to be granted conscientious exemption. </w:t>
      </w:r>
    </w:p>
    <w:p w:rsidR="00300B58" w:rsidRPr="00300B58" w:rsidRDefault="00300B58" w:rsidP="00527B08">
      <w:pPr>
        <w:spacing w:after="0" w:line="480" w:lineRule="auto"/>
        <w:jc w:val="both"/>
        <w:rPr>
          <w:rFonts w:ascii="Times New Roman" w:eastAsia="Times New Roman" w:hAnsi="Times New Roman" w:cs="Monotype Hadassah"/>
          <w:sz w:val="24"/>
          <w:szCs w:val="20"/>
        </w:rPr>
      </w:pPr>
      <w:r w:rsidRPr="00300B58">
        <w:rPr>
          <w:rFonts w:ascii="Times New Roman" w:eastAsia="Times New Roman" w:hAnsi="Times New Roman" w:cs="Monotype Hadassah"/>
          <w:sz w:val="24"/>
          <w:szCs w:val="20"/>
        </w:rPr>
        <w:t xml:space="preserve">In addition to the Portuguese </w:t>
      </w:r>
      <w:r w:rsidR="007D2F72">
        <w:rPr>
          <w:rFonts w:ascii="Times New Roman" w:eastAsia="Times New Roman" w:hAnsi="Times New Roman" w:cs="Monotype Hadassah"/>
          <w:sz w:val="24"/>
          <w:szCs w:val="20"/>
        </w:rPr>
        <w:t>C</w:t>
      </w:r>
      <w:r w:rsidRPr="00300B58">
        <w:rPr>
          <w:rFonts w:ascii="Times New Roman" w:eastAsia="Times New Roman" w:hAnsi="Times New Roman" w:cs="Monotype Hadassah"/>
          <w:sz w:val="24"/>
          <w:szCs w:val="20"/>
        </w:rPr>
        <w:t>onstitution, there are other constitutions that contain specific articles regarding the right to be granted conscientious exemption from compulsory enlistment into the army, from fulfilling military service involving the use of arms or from enlistment to combat forces.</w:t>
      </w:r>
      <w:r w:rsidRPr="00300B58">
        <w:rPr>
          <w:rFonts w:ascii="Times New Roman" w:eastAsia="Times New Roman" w:hAnsi="Times New Roman" w:cs="Monotype Hadassah"/>
          <w:sz w:val="24"/>
          <w:szCs w:val="20"/>
          <w:vertAlign w:val="superscript"/>
        </w:rPr>
        <w:footnoteReference w:id="3"/>
      </w:r>
      <w:r w:rsidRPr="00300B58">
        <w:rPr>
          <w:rFonts w:ascii="Times New Roman" w:eastAsia="Times New Roman" w:hAnsi="Times New Roman" w:cs="Monotype Hadassah"/>
          <w:sz w:val="24"/>
          <w:szCs w:val="20"/>
        </w:rPr>
        <w:t xml:space="preserve"> </w:t>
      </w:r>
    </w:p>
    <w:p w:rsidR="00300B58" w:rsidRDefault="00300B58" w:rsidP="00236F9A">
      <w:pPr>
        <w:spacing w:after="0" w:line="480" w:lineRule="auto"/>
        <w:jc w:val="both"/>
        <w:rPr>
          <w:rFonts w:ascii="Times New Roman" w:eastAsia="Times New Roman" w:hAnsi="Times New Roman" w:cs="Monotype Hadassah"/>
          <w:sz w:val="24"/>
          <w:szCs w:val="20"/>
        </w:rPr>
      </w:pPr>
      <w:r w:rsidRPr="00300B58">
        <w:rPr>
          <w:rFonts w:ascii="Times New Roman" w:eastAsia="Times New Roman" w:hAnsi="Times New Roman" w:cs="Monotype Hadassah"/>
          <w:sz w:val="24"/>
          <w:szCs w:val="20"/>
        </w:rPr>
        <w:t>Naturally, every constitution that protects the individual’s freedom of</w:t>
      </w:r>
      <w:r w:rsidR="00636517">
        <w:rPr>
          <w:rFonts w:ascii="Times New Roman" w:eastAsia="Times New Roman" w:hAnsi="Times New Roman" w:cs="Monotype Hadassah"/>
          <w:sz w:val="24"/>
          <w:szCs w:val="20"/>
        </w:rPr>
        <w:t xml:space="preserve"> </w:t>
      </w:r>
      <w:r w:rsidRPr="00300B58">
        <w:rPr>
          <w:rFonts w:ascii="Times New Roman" w:eastAsia="Times New Roman" w:hAnsi="Times New Roman" w:cs="Monotype Hadassah"/>
          <w:sz w:val="24"/>
          <w:szCs w:val="20"/>
        </w:rPr>
        <w:t>conscience</w:t>
      </w:r>
      <w:r w:rsidR="00636517">
        <w:rPr>
          <w:rFonts w:ascii="Times New Roman" w:eastAsia="Times New Roman" w:hAnsi="Times New Roman" w:cs="Monotype Hadassah"/>
          <w:sz w:val="24"/>
          <w:szCs w:val="20"/>
        </w:rPr>
        <w:t xml:space="preserve"> and religion</w:t>
      </w:r>
      <w:r w:rsidRPr="00300B58">
        <w:rPr>
          <w:rFonts w:ascii="Times New Roman" w:eastAsia="Times New Roman" w:hAnsi="Times New Roman" w:cs="Monotype Hadassah"/>
          <w:sz w:val="24"/>
          <w:szCs w:val="20"/>
        </w:rPr>
        <w:t xml:space="preserve">, as presumably most constitutions do, </w:t>
      </w:r>
      <w:r w:rsidR="00DF4713">
        <w:rPr>
          <w:rFonts w:ascii="Times New Roman" w:eastAsia="Times New Roman" w:hAnsi="Times New Roman" w:cs="Monotype Hadassah"/>
          <w:sz w:val="24"/>
          <w:szCs w:val="20"/>
        </w:rPr>
        <w:t>allow</w:t>
      </w:r>
      <w:r w:rsidR="00F425EA">
        <w:rPr>
          <w:rFonts w:ascii="Times New Roman" w:eastAsia="Times New Roman" w:hAnsi="Times New Roman" w:cs="Monotype Hadassah"/>
          <w:sz w:val="24"/>
          <w:szCs w:val="20"/>
        </w:rPr>
        <w:t>s</w:t>
      </w:r>
      <w:r w:rsidRPr="00300B58">
        <w:rPr>
          <w:rFonts w:ascii="Times New Roman" w:eastAsia="Times New Roman" w:hAnsi="Times New Roman" w:cs="Monotype Hadassah"/>
          <w:sz w:val="24"/>
          <w:szCs w:val="20"/>
        </w:rPr>
        <w:t xml:space="preserve"> judicial interpretation according to which the constitutional right</w:t>
      </w:r>
      <w:r w:rsidR="00DF4713">
        <w:rPr>
          <w:rFonts w:ascii="Times New Roman" w:eastAsia="Times New Roman" w:hAnsi="Times New Roman" w:cs="Monotype Hadassah"/>
          <w:sz w:val="24"/>
          <w:szCs w:val="20"/>
        </w:rPr>
        <w:t xml:space="preserve"> to freedom of conscience</w:t>
      </w:r>
      <w:r w:rsidR="00636517">
        <w:rPr>
          <w:rFonts w:ascii="Times New Roman" w:eastAsia="Times New Roman" w:hAnsi="Times New Roman" w:cs="Monotype Hadassah"/>
          <w:sz w:val="24"/>
          <w:szCs w:val="20"/>
        </w:rPr>
        <w:t xml:space="preserve"> and religion</w:t>
      </w:r>
      <w:r w:rsidR="00DF4713">
        <w:rPr>
          <w:rFonts w:ascii="Times New Roman" w:eastAsia="Times New Roman" w:hAnsi="Times New Roman" w:cs="Monotype Hadassah"/>
          <w:sz w:val="24"/>
          <w:szCs w:val="20"/>
        </w:rPr>
        <w:t xml:space="preserve"> </w:t>
      </w:r>
      <w:r w:rsidRPr="00300B58">
        <w:rPr>
          <w:rFonts w:ascii="Times New Roman" w:eastAsia="Times New Roman" w:hAnsi="Times New Roman" w:cs="Monotype Hadassah"/>
          <w:sz w:val="24"/>
          <w:szCs w:val="20"/>
        </w:rPr>
        <w:t xml:space="preserve">imposes a </w:t>
      </w:r>
      <w:r w:rsidR="00636517">
        <w:rPr>
          <w:rFonts w:ascii="Times New Roman" w:eastAsia="Times New Roman" w:hAnsi="Times New Roman" w:cs="Monotype Hadassah"/>
          <w:sz w:val="24"/>
          <w:szCs w:val="20"/>
        </w:rPr>
        <w:t xml:space="preserve">general </w:t>
      </w:r>
      <w:r w:rsidRPr="00300B58">
        <w:rPr>
          <w:rFonts w:ascii="Times New Roman" w:eastAsia="Times New Roman" w:hAnsi="Times New Roman" w:cs="Monotype Hadassah"/>
          <w:sz w:val="24"/>
          <w:szCs w:val="20"/>
        </w:rPr>
        <w:t>duty</w:t>
      </w:r>
      <w:r w:rsidR="00F425EA">
        <w:rPr>
          <w:rFonts w:ascii="Times New Roman" w:eastAsia="Times New Roman" w:hAnsi="Times New Roman" w:cs="Monotype Hadassah"/>
          <w:sz w:val="24"/>
          <w:szCs w:val="20"/>
        </w:rPr>
        <w:t xml:space="preserve"> on the state</w:t>
      </w:r>
      <w:r w:rsidRPr="00300B58">
        <w:rPr>
          <w:rFonts w:ascii="Times New Roman" w:eastAsia="Times New Roman" w:hAnsi="Times New Roman" w:cs="Monotype Hadassah"/>
          <w:sz w:val="24"/>
          <w:szCs w:val="20"/>
        </w:rPr>
        <w:t xml:space="preserve"> to grant conscientious exemptions</w:t>
      </w:r>
      <w:r w:rsidR="00636517">
        <w:rPr>
          <w:rFonts w:ascii="Times New Roman" w:eastAsia="Times New Roman" w:hAnsi="Times New Roman" w:cs="Monotype Hadassah"/>
          <w:sz w:val="24"/>
          <w:szCs w:val="20"/>
        </w:rPr>
        <w:t xml:space="preserve">. </w:t>
      </w:r>
      <w:r w:rsidR="00F425EA">
        <w:rPr>
          <w:rFonts w:ascii="Times New Roman" w:eastAsia="Times New Roman" w:hAnsi="Times New Roman" w:cs="Monotype Hadassah"/>
          <w:sz w:val="24"/>
          <w:szCs w:val="20"/>
        </w:rPr>
        <w:t xml:space="preserve">However, courts normally do not </w:t>
      </w:r>
      <w:r w:rsidR="00636517">
        <w:rPr>
          <w:rFonts w:ascii="Times New Roman" w:eastAsia="Times New Roman" w:hAnsi="Times New Roman" w:cs="Monotype Hadassah"/>
          <w:sz w:val="24"/>
          <w:szCs w:val="20"/>
        </w:rPr>
        <w:t>adopt this line of interpretation.</w:t>
      </w:r>
      <w:bookmarkStart w:id="50" w:name="_Ref425664777"/>
      <w:r w:rsidR="00636517">
        <w:rPr>
          <w:rStyle w:val="a5"/>
          <w:rFonts w:ascii="Times New Roman" w:eastAsia="Times New Roman" w:hAnsi="Times New Roman" w:cs="Monotype Hadassah"/>
          <w:sz w:val="24"/>
          <w:szCs w:val="20"/>
        </w:rPr>
        <w:footnoteReference w:id="4"/>
      </w:r>
      <w:bookmarkEnd w:id="50"/>
      <w:r w:rsidR="00636517">
        <w:rPr>
          <w:rFonts w:ascii="Times New Roman" w:eastAsia="Times New Roman" w:hAnsi="Times New Roman" w:cs="Monotype Hadassah"/>
          <w:sz w:val="24"/>
          <w:szCs w:val="20"/>
        </w:rPr>
        <w:t xml:space="preserve"> </w:t>
      </w:r>
    </w:p>
    <w:p w:rsidR="00300B58" w:rsidRPr="00300B58" w:rsidRDefault="00300B58" w:rsidP="00874BCC">
      <w:pPr>
        <w:spacing w:after="0" w:line="480" w:lineRule="auto"/>
        <w:jc w:val="both"/>
        <w:rPr>
          <w:rFonts w:ascii="Times New Roman" w:eastAsia="Times New Roman" w:hAnsi="Times New Roman" w:cs="Monotype Hadassah"/>
          <w:sz w:val="24"/>
          <w:szCs w:val="20"/>
        </w:rPr>
      </w:pPr>
      <w:r w:rsidRPr="00300B58">
        <w:rPr>
          <w:rFonts w:ascii="Times New Roman" w:eastAsia="Times New Roman" w:hAnsi="Times New Roman" w:cs="Monotype Hadassah"/>
          <w:sz w:val="24"/>
          <w:szCs w:val="20"/>
        </w:rPr>
        <w:t>Many international conventions do include articles concerning freedom of thought, faith, conscience and religion but not a general or a specific right to be granted conscientious exemption or to be a conscientious objector.</w:t>
      </w:r>
      <w:bookmarkStart w:id="51" w:name="_Ref128472639"/>
      <w:r w:rsidRPr="00300B58">
        <w:rPr>
          <w:rFonts w:ascii="Times New Roman" w:eastAsia="Times New Roman" w:hAnsi="Times New Roman" w:cs="Monotype Hadassah"/>
          <w:sz w:val="24"/>
          <w:szCs w:val="20"/>
          <w:vertAlign w:val="superscript"/>
        </w:rPr>
        <w:footnoteReference w:id="5"/>
      </w:r>
      <w:bookmarkEnd w:id="51"/>
      <w:r w:rsidRPr="00300B58">
        <w:rPr>
          <w:rFonts w:ascii="Times New Roman" w:eastAsia="Times New Roman" w:hAnsi="Times New Roman" w:cs="Monotype Hadassah"/>
          <w:sz w:val="24"/>
          <w:szCs w:val="20"/>
        </w:rPr>
        <w:t xml:space="preserve">  </w:t>
      </w:r>
    </w:p>
    <w:p w:rsidR="00300B58" w:rsidRPr="00300B58" w:rsidRDefault="00300B58" w:rsidP="00545FFD">
      <w:pPr>
        <w:spacing w:after="0" w:line="480" w:lineRule="auto"/>
        <w:jc w:val="both"/>
        <w:rPr>
          <w:rFonts w:ascii="Times New Roman" w:eastAsia="Times New Roman" w:hAnsi="Times New Roman" w:cs="Monotype Hadassah"/>
          <w:sz w:val="24"/>
          <w:szCs w:val="20"/>
        </w:rPr>
      </w:pPr>
      <w:r w:rsidRPr="00300B58">
        <w:rPr>
          <w:rFonts w:ascii="Times New Roman" w:eastAsia="Times New Roman" w:hAnsi="Times New Roman" w:cs="Monotype Hadassah"/>
          <w:sz w:val="24"/>
          <w:szCs w:val="20"/>
        </w:rPr>
        <w:t xml:space="preserve">There are </w:t>
      </w:r>
      <w:r w:rsidR="00C71181">
        <w:rPr>
          <w:rFonts w:ascii="Times New Roman" w:eastAsia="Times New Roman" w:hAnsi="Times New Roman" w:cs="Monotype Hadassah"/>
          <w:sz w:val="24"/>
          <w:szCs w:val="20"/>
        </w:rPr>
        <w:t xml:space="preserve">two main </w:t>
      </w:r>
      <w:r w:rsidRPr="00300B58">
        <w:rPr>
          <w:rFonts w:ascii="Times New Roman" w:eastAsia="Times New Roman" w:hAnsi="Times New Roman" w:cs="Monotype Hadassah"/>
          <w:sz w:val="24"/>
          <w:szCs w:val="20"/>
        </w:rPr>
        <w:t>exceptions to th</w:t>
      </w:r>
      <w:r w:rsidR="00C71181">
        <w:rPr>
          <w:rFonts w:ascii="Times New Roman" w:eastAsia="Times New Roman" w:hAnsi="Times New Roman" w:cs="Monotype Hadassah"/>
          <w:sz w:val="24"/>
          <w:szCs w:val="20"/>
        </w:rPr>
        <w:t>e</w:t>
      </w:r>
      <w:r w:rsidRPr="00300B58">
        <w:rPr>
          <w:rFonts w:ascii="Times New Roman" w:eastAsia="Times New Roman" w:hAnsi="Times New Roman" w:cs="Monotype Hadassah"/>
          <w:sz w:val="24"/>
          <w:szCs w:val="20"/>
        </w:rPr>
        <w:t xml:space="preserve"> general avoidance </w:t>
      </w:r>
      <w:r w:rsidR="003D7A34">
        <w:rPr>
          <w:rFonts w:ascii="Times New Roman" w:eastAsia="Times New Roman" w:hAnsi="Times New Roman" w:cs="Monotype Hadassah"/>
          <w:sz w:val="24"/>
          <w:szCs w:val="20"/>
        </w:rPr>
        <w:t>and</w:t>
      </w:r>
      <w:r w:rsidRPr="00300B58">
        <w:rPr>
          <w:rFonts w:ascii="Times New Roman" w:eastAsia="Times New Roman" w:hAnsi="Times New Roman" w:cs="Monotype Hadassah"/>
          <w:sz w:val="24"/>
          <w:szCs w:val="20"/>
        </w:rPr>
        <w:t xml:space="preserve"> reluctance</w:t>
      </w:r>
      <w:r w:rsidR="003D7A34">
        <w:rPr>
          <w:rFonts w:ascii="Times New Roman" w:eastAsia="Times New Roman" w:hAnsi="Times New Roman" w:cs="Monotype Hadassah"/>
          <w:sz w:val="24"/>
          <w:szCs w:val="20"/>
        </w:rPr>
        <w:t xml:space="preserve"> to</w:t>
      </w:r>
      <w:r w:rsidRPr="00300B58">
        <w:rPr>
          <w:rFonts w:ascii="Times New Roman" w:eastAsia="Times New Roman" w:hAnsi="Times New Roman" w:cs="Monotype Hadassah"/>
          <w:sz w:val="24"/>
          <w:szCs w:val="20"/>
        </w:rPr>
        <w:t xml:space="preserve"> </w:t>
      </w:r>
      <w:r w:rsidR="00A1228C">
        <w:rPr>
          <w:rFonts w:ascii="Times New Roman" w:eastAsia="Times New Roman" w:hAnsi="Times New Roman" w:cs="Monotype Hadassah"/>
          <w:sz w:val="24"/>
          <w:szCs w:val="20"/>
        </w:rPr>
        <w:t>having</w:t>
      </w:r>
      <w:r w:rsidRPr="00300B58">
        <w:rPr>
          <w:rFonts w:ascii="Times New Roman" w:eastAsia="Times New Roman" w:hAnsi="Times New Roman" w:cs="Monotype Hadassah"/>
          <w:sz w:val="24"/>
          <w:szCs w:val="20"/>
        </w:rPr>
        <w:t xml:space="preserve"> an international right to be granted conscientious exemption. First, </w:t>
      </w:r>
      <w:r w:rsidR="003D7A34">
        <w:rPr>
          <w:rFonts w:ascii="Times New Roman" w:eastAsia="Times New Roman" w:hAnsi="Times New Roman" w:cs="Monotype Hadassah"/>
          <w:sz w:val="24"/>
          <w:szCs w:val="20"/>
        </w:rPr>
        <w:t xml:space="preserve">according to </w:t>
      </w:r>
      <w:r w:rsidR="00A35D60" w:rsidRPr="00A35D60">
        <w:rPr>
          <w:rFonts w:ascii="Times New Roman" w:eastAsia="Times New Roman" w:hAnsi="Times New Roman" w:cs="Monotype Hadassah"/>
          <w:sz w:val="24"/>
          <w:szCs w:val="20"/>
        </w:rPr>
        <w:t>the</w:t>
      </w:r>
      <w:r w:rsidR="000F06CE">
        <w:rPr>
          <w:rFonts w:ascii="Times New Roman" w:eastAsia="Times New Roman" w:hAnsi="Times New Roman" w:cs="Monotype Hadassah"/>
          <w:sz w:val="24"/>
          <w:szCs w:val="20"/>
        </w:rPr>
        <w:t xml:space="preserve"> </w:t>
      </w:r>
      <w:r w:rsidR="000F06CE">
        <w:rPr>
          <w:rFonts w:ascii="Times New Roman" w:eastAsia="Times New Roman" w:hAnsi="Times New Roman" w:cs="Monotype Hadassah"/>
          <w:sz w:val="24"/>
          <w:szCs w:val="20"/>
        </w:rPr>
        <w:lastRenderedPageBreak/>
        <w:t>ruling of the</w:t>
      </w:r>
      <w:r w:rsidR="00A35D60" w:rsidRPr="00A35D60">
        <w:rPr>
          <w:rFonts w:ascii="Times New Roman" w:eastAsia="Times New Roman" w:hAnsi="Times New Roman" w:cs="Monotype Hadassah"/>
          <w:sz w:val="24"/>
          <w:szCs w:val="20"/>
        </w:rPr>
        <w:t xml:space="preserve"> European Court of Human Rights</w:t>
      </w:r>
      <w:r w:rsidR="000F06CE">
        <w:rPr>
          <w:rFonts w:ascii="Times New Roman" w:eastAsia="Times New Roman" w:hAnsi="Times New Roman" w:cs="Monotype Hadassah"/>
          <w:sz w:val="24"/>
          <w:szCs w:val="20"/>
        </w:rPr>
        <w:t xml:space="preserve"> </w:t>
      </w:r>
      <w:r w:rsidR="00A35D60" w:rsidRPr="00A35D60">
        <w:rPr>
          <w:rFonts w:ascii="Times New Roman" w:eastAsia="Times New Roman" w:hAnsi="Times New Roman" w:cs="Monotype Hadassah"/>
          <w:sz w:val="24"/>
          <w:szCs w:val="20"/>
        </w:rPr>
        <w:t>in</w:t>
      </w:r>
      <w:r w:rsidR="00A35D60" w:rsidRPr="00A35D60">
        <w:rPr>
          <w:rFonts w:ascii="Times New Roman" w:eastAsia="Times New Roman" w:hAnsi="Times New Roman" w:cs="Monotype Hadassah"/>
          <w:i/>
          <w:iCs/>
          <w:sz w:val="24"/>
          <w:szCs w:val="20"/>
          <w:lang w:val="en-US"/>
        </w:rPr>
        <w:t xml:space="preserve"> Bayatyan v. Armenia</w:t>
      </w:r>
      <w:r w:rsidR="007F39BC">
        <w:rPr>
          <w:rFonts w:ascii="Times New Roman" w:eastAsia="Times New Roman" w:hAnsi="Times New Roman" w:cs="Monotype Hadassah"/>
          <w:iCs/>
          <w:sz w:val="24"/>
          <w:szCs w:val="20"/>
          <w:lang w:val="en-US"/>
        </w:rPr>
        <w:t>,</w:t>
      </w:r>
      <w:r w:rsidR="00A35D60" w:rsidRPr="00A35D60">
        <w:rPr>
          <w:rFonts w:ascii="Times New Roman" w:eastAsia="Times New Roman" w:hAnsi="Times New Roman" w:cs="Monotype Hadassah"/>
          <w:i/>
          <w:iCs/>
          <w:sz w:val="24"/>
          <w:szCs w:val="20"/>
          <w:lang w:val="en-US"/>
        </w:rPr>
        <w:t xml:space="preserve"> </w:t>
      </w:r>
      <w:r w:rsidR="007F39BC">
        <w:rPr>
          <w:rFonts w:ascii="Times New Roman" w:eastAsia="Times New Roman" w:hAnsi="Times New Roman" w:cs="Monotype Hadassah"/>
          <w:sz w:val="24"/>
          <w:szCs w:val="20"/>
          <w:lang w:val="en-US"/>
        </w:rPr>
        <w:t>A</w:t>
      </w:r>
      <w:r w:rsidR="00A35D60" w:rsidRPr="00A35D60">
        <w:rPr>
          <w:rFonts w:ascii="Times New Roman" w:eastAsia="Times New Roman" w:hAnsi="Times New Roman" w:cs="Monotype Hadassah"/>
          <w:sz w:val="24"/>
          <w:szCs w:val="20"/>
          <w:lang w:val="en-US"/>
        </w:rPr>
        <w:t>rticle 9</w:t>
      </w:r>
      <w:r w:rsidR="00A35D60" w:rsidRPr="00A35D60">
        <w:rPr>
          <w:rFonts w:ascii="Times New Roman" w:eastAsia="Times New Roman" w:hAnsi="Times New Roman" w:cs="Monotype Hadassah" w:hint="cs"/>
          <w:sz w:val="24"/>
          <w:szCs w:val="20"/>
          <w:lang w:val="en-US"/>
        </w:rPr>
        <w:t xml:space="preserve"> </w:t>
      </w:r>
      <w:r w:rsidR="00A35D60" w:rsidRPr="00A35D60">
        <w:rPr>
          <w:rFonts w:ascii="Times New Roman" w:eastAsia="Times New Roman" w:hAnsi="Times New Roman" w:cs="Monotype Hadassah"/>
          <w:sz w:val="24"/>
          <w:szCs w:val="20"/>
          <w:lang w:val="en-US"/>
        </w:rPr>
        <w:t>of the European Convention on Human Rights imposes a duty to respect the right to conscientious objection to military service.</w:t>
      </w:r>
      <w:r w:rsidR="00A35D60" w:rsidRPr="00A35D60">
        <w:rPr>
          <w:rFonts w:ascii="Times New Roman" w:eastAsia="Times New Roman" w:hAnsi="Times New Roman" w:cs="Monotype Hadassah"/>
          <w:sz w:val="24"/>
          <w:szCs w:val="20"/>
          <w:vertAlign w:val="superscript"/>
          <w:lang w:val="en-US"/>
        </w:rPr>
        <w:footnoteReference w:id="6"/>
      </w:r>
      <w:r w:rsidR="000F06CE">
        <w:rPr>
          <w:rFonts w:ascii="Times New Roman" w:eastAsia="Times New Roman" w:hAnsi="Times New Roman" w:cs="Monotype Hadassah"/>
          <w:sz w:val="24"/>
          <w:szCs w:val="20"/>
          <w:lang w:val="en-US"/>
        </w:rPr>
        <w:t xml:space="preserve"> </w:t>
      </w:r>
      <w:r w:rsidR="00A35D60" w:rsidRPr="00A35D60">
        <w:rPr>
          <w:rFonts w:ascii="Times New Roman" w:eastAsia="Times New Roman" w:hAnsi="Times New Roman" w:cs="Monotype Hadassah"/>
          <w:sz w:val="24"/>
          <w:szCs w:val="20"/>
          <w:lang w:val="en-US"/>
        </w:rPr>
        <w:t xml:space="preserve">This right </w:t>
      </w:r>
      <w:r w:rsidR="00832D3E">
        <w:rPr>
          <w:rFonts w:ascii="Times New Roman" w:eastAsia="Times New Roman" w:hAnsi="Times New Roman" w:cs="Monotype Hadassah"/>
          <w:sz w:val="24"/>
          <w:szCs w:val="20"/>
          <w:lang w:val="en-US"/>
        </w:rPr>
        <w:t xml:space="preserve">will normally </w:t>
      </w:r>
      <w:r w:rsidR="00A35D60" w:rsidRPr="00A35D60">
        <w:rPr>
          <w:rFonts w:ascii="Times New Roman" w:eastAsia="Times New Roman" w:hAnsi="Times New Roman" w:cs="Monotype Hadassah"/>
          <w:sz w:val="24"/>
          <w:szCs w:val="20"/>
          <w:lang w:val="en-US"/>
        </w:rPr>
        <w:t>impose a duty to grant conscientious exemptions.</w:t>
      </w:r>
      <w:r w:rsidR="00545FFD">
        <w:rPr>
          <w:rFonts w:ascii="Times New Roman" w:eastAsia="Times New Roman" w:hAnsi="Times New Roman" w:cs="Monotype Hadassah"/>
          <w:sz w:val="24"/>
          <w:szCs w:val="20"/>
          <w:lang w:val="en-US"/>
        </w:rPr>
        <w:t xml:space="preserve"> Second, </w:t>
      </w:r>
      <w:r w:rsidRPr="00300B58">
        <w:rPr>
          <w:rFonts w:ascii="Times New Roman" w:eastAsia="Times New Roman" w:hAnsi="Times New Roman" w:cs="Monotype Hadassah"/>
          <w:sz w:val="24"/>
          <w:szCs w:val="20"/>
        </w:rPr>
        <w:t>the</w:t>
      </w:r>
      <w:r w:rsidR="00545FFD">
        <w:rPr>
          <w:rFonts w:ascii="Times New Roman" w:eastAsia="Times New Roman" w:hAnsi="Times New Roman" w:cs="Monotype Hadassah"/>
          <w:sz w:val="24"/>
          <w:szCs w:val="20"/>
        </w:rPr>
        <w:t>re are the</w:t>
      </w:r>
      <w:r w:rsidRPr="00300B58">
        <w:rPr>
          <w:rFonts w:ascii="Times New Roman" w:eastAsia="Times New Roman" w:hAnsi="Times New Roman" w:cs="Monotype Hadassah"/>
          <w:sz w:val="24"/>
          <w:szCs w:val="20"/>
        </w:rPr>
        <w:t xml:space="preserve"> </w:t>
      </w:r>
      <w:r w:rsidR="003D7A34">
        <w:rPr>
          <w:rFonts w:ascii="Times New Roman" w:eastAsia="Times New Roman" w:hAnsi="Times New Roman" w:cs="Monotype Hadassah"/>
          <w:sz w:val="24"/>
          <w:szCs w:val="20"/>
        </w:rPr>
        <w:t>common</w:t>
      </w:r>
      <w:r w:rsidRPr="00300B58">
        <w:rPr>
          <w:rFonts w:ascii="Times New Roman" w:eastAsia="Times New Roman" w:hAnsi="Times New Roman" w:cs="Monotype Hadassah"/>
          <w:sz w:val="24"/>
          <w:szCs w:val="20"/>
        </w:rPr>
        <w:t xml:space="preserve"> exemption</w:t>
      </w:r>
      <w:r w:rsidR="003D7A34">
        <w:rPr>
          <w:rFonts w:ascii="Times New Roman" w:eastAsia="Times New Roman" w:hAnsi="Times New Roman" w:cs="Monotype Hadassah"/>
          <w:sz w:val="24"/>
          <w:szCs w:val="20"/>
        </w:rPr>
        <w:t>s</w:t>
      </w:r>
      <w:r w:rsidRPr="00300B58">
        <w:rPr>
          <w:rFonts w:ascii="Times New Roman" w:eastAsia="Times New Roman" w:hAnsi="Times New Roman" w:cs="Monotype Hadassah"/>
          <w:sz w:val="24"/>
          <w:szCs w:val="20"/>
        </w:rPr>
        <w:t xml:space="preserve"> from equality laws</w:t>
      </w:r>
      <w:r w:rsidR="000F06CE">
        <w:rPr>
          <w:rFonts w:ascii="Times New Roman" w:eastAsia="Times New Roman" w:hAnsi="Times New Roman" w:cs="Monotype Hadassah"/>
          <w:sz w:val="24"/>
          <w:szCs w:val="20"/>
        </w:rPr>
        <w:t xml:space="preserve"> </w:t>
      </w:r>
      <w:r w:rsidRPr="00300B58">
        <w:rPr>
          <w:rFonts w:ascii="Times New Roman" w:eastAsia="Times New Roman" w:hAnsi="Times New Roman" w:cs="Monotype Hadassah"/>
          <w:sz w:val="24"/>
          <w:szCs w:val="20"/>
        </w:rPr>
        <w:t xml:space="preserve">that </w:t>
      </w:r>
      <w:r w:rsidR="003D7A34">
        <w:rPr>
          <w:rFonts w:ascii="Times New Roman" w:eastAsia="Times New Roman" w:hAnsi="Times New Roman" w:cs="Monotype Hadassah"/>
          <w:sz w:val="24"/>
          <w:szCs w:val="20"/>
        </w:rPr>
        <w:t>are</w:t>
      </w:r>
      <w:r w:rsidRPr="00300B58">
        <w:rPr>
          <w:rFonts w:ascii="Times New Roman" w:eastAsia="Times New Roman" w:hAnsi="Times New Roman" w:cs="Monotype Hadassah"/>
          <w:sz w:val="24"/>
          <w:szCs w:val="20"/>
        </w:rPr>
        <w:t xml:space="preserve"> granted to religious institutions in appointing members of staff or religious leaders.</w:t>
      </w:r>
      <w:r w:rsidR="00545FFD" w:rsidRPr="00545FFD">
        <w:rPr>
          <w:rFonts w:asciiTheme="majorBidi" w:hAnsiTheme="majorBidi" w:cstheme="majorBidi"/>
          <w:sz w:val="20"/>
        </w:rPr>
        <w:t xml:space="preserve"> </w:t>
      </w:r>
      <w:r w:rsidR="00545FFD" w:rsidRPr="00545FFD">
        <w:rPr>
          <w:rFonts w:ascii="Times New Roman" w:eastAsia="Times New Roman" w:hAnsi="Times New Roman" w:cs="Monotype Hadassah"/>
          <w:sz w:val="24"/>
          <w:szCs w:val="20"/>
        </w:rPr>
        <w:t>An implicit right to be granted an exemption from equality laws is drawn, as a matter of judicial practice, from the general right to freedom of religion that can be found in many international legal documents</w:t>
      </w:r>
      <w:r w:rsidR="00545FFD">
        <w:rPr>
          <w:rFonts w:ascii="Times New Roman" w:eastAsia="Times New Roman" w:hAnsi="Times New Roman" w:cs="Monotype Hadassah"/>
          <w:sz w:val="24"/>
          <w:szCs w:val="20"/>
        </w:rPr>
        <w:t>.</w:t>
      </w:r>
      <w:r w:rsidRPr="00300B58">
        <w:rPr>
          <w:rFonts w:ascii="Times New Roman" w:eastAsia="Times New Roman" w:hAnsi="Times New Roman" w:cs="Monotype Hadassah"/>
          <w:sz w:val="24"/>
          <w:szCs w:val="20"/>
          <w:vertAlign w:val="superscript"/>
        </w:rPr>
        <w:footnoteReference w:id="7"/>
      </w:r>
      <w:r w:rsidRPr="00300B58">
        <w:rPr>
          <w:rFonts w:ascii="Times New Roman" w:eastAsia="Times New Roman" w:hAnsi="Times New Roman" w:cs="Monotype Hadassah"/>
          <w:sz w:val="24"/>
          <w:szCs w:val="20"/>
        </w:rPr>
        <w:t xml:space="preserve">    </w:t>
      </w:r>
    </w:p>
    <w:p w:rsidR="00300B58" w:rsidRPr="00300B58" w:rsidRDefault="00300B58" w:rsidP="0054333A">
      <w:pPr>
        <w:pStyle w:val="2"/>
        <w:rPr>
          <w:rFonts w:eastAsia="Times New Roman"/>
        </w:rPr>
      </w:pPr>
      <w:bookmarkStart w:id="52" w:name="_Toc190578491"/>
      <w:bookmarkStart w:id="53" w:name="_Toc171502414"/>
      <w:bookmarkStart w:id="54" w:name="_Toc138225970"/>
      <w:bookmarkStart w:id="55" w:name="_Toc435695346"/>
      <w:r w:rsidRPr="00300B58">
        <w:rPr>
          <w:rFonts w:eastAsia="Times New Roman"/>
        </w:rPr>
        <w:t>b. Conscientious exemptions in statutes</w:t>
      </w:r>
      <w:bookmarkEnd w:id="52"/>
      <w:bookmarkEnd w:id="53"/>
      <w:bookmarkEnd w:id="54"/>
      <w:bookmarkEnd w:id="55"/>
    </w:p>
    <w:p w:rsidR="0054333A" w:rsidRDefault="0054333A" w:rsidP="000F06CE">
      <w:pPr>
        <w:spacing w:after="0" w:line="480" w:lineRule="auto"/>
        <w:jc w:val="both"/>
        <w:rPr>
          <w:rFonts w:ascii="Times New Roman" w:eastAsia="Times New Roman" w:hAnsi="Times New Roman" w:cs="Monotype Hadassah"/>
          <w:sz w:val="24"/>
          <w:szCs w:val="20"/>
        </w:rPr>
      </w:pPr>
    </w:p>
    <w:p w:rsidR="00300B58" w:rsidRPr="00300B58" w:rsidRDefault="00300B58" w:rsidP="000F06CE">
      <w:pPr>
        <w:spacing w:after="0" w:line="480" w:lineRule="auto"/>
        <w:jc w:val="both"/>
        <w:rPr>
          <w:rFonts w:ascii="Times New Roman" w:eastAsia="Times New Roman" w:hAnsi="Times New Roman" w:cs="Monotype Hadassah"/>
          <w:sz w:val="24"/>
          <w:szCs w:val="20"/>
        </w:rPr>
      </w:pPr>
      <w:r w:rsidRPr="00300B58">
        <w:rPr>
          <w:rFonts w:ascii="Times New Roman" w:eastAsia="Times New Roman" w:hAnsi="Times New Roman" w:cs="Monotype Hadassah"/>
          <w:sz w:val="24"/>
          <w:szCs w:val="20"/>
        </w:rPr>
        <w:t>This is by far the most common way of granting conscientious exemptions.</w:t>
      </w:r>
      <w:r w:rsidRPr="00300B58">
        <w:rPr>
          <w:rFonts w:ascii="Times New Roman" w:eastAsia="Times New Roman" w:hAnsi="Times New Roman" w:cs="Monotype Hadassah"/>
          <w:sz w:val="24"/>
          <w:szCs w:val="20"/>
          <w:vertAlign w:val="superscript"/>
        </w:rPr>
        <w:footnoteReference w:id="8"/>
      </w:r>
      <w:r w:rsidRPr="00300B58">
        <w:rPr>
          <w:rFonts w:ascii="Times New Roman" w:eastAsia="Times New Roman" w:hAnsi="Times New Roman" w:cs="Monotype Hadassah"/>
          <w:sz w:val="24"/>
          <w:szCs w:val="20"/>
        </w:rPr>
        <w:t xml:space="preserve"> The legislature may use various techniques for granting statutory conscientious exemptions. I will describe only some of the most popular ones. </w:t>
      </w:r>
    </w:p>
    <w:p w:rsidR="00300B58" w:rsidRPr="0054333A" w:rsidRDefault="00300B58" w:rsidP="000F06CE">
      <w:pPr>
        <w:spacing w:after="0" w:line="480" w:lineRule="auto"/>
        <w:jc w:val="both"/>
        <w:rPr>
          <w:rFonts w:ascii="Times New Roman" w:eastAsia="Times New Roman" w:hAnsi="Times New Roman" w:cs="Monotype Hadassah"/>
          <w:i/>
          <w:iCs/>
          <w:sz w:val="24"/>
          <w:szCs w:val="20"/>
        </w:rPr>
      </w:pPr>
      <w:r w:rsidRPr="0054333A">
        <w:rPr>
          <w:rFonts w:ascii="Times New Roman" w:eastAsia="Times New Roman" w:hAnsi="Times New Roman" w:cs="Monotype Hadassah"/>
          <w:i/>
          <w:iCs/>
          <w:sz w:val="24"/>
          <w:szCs w:val="20"/>
        </w:rPr>
        <w:t>Granting conscientious exemption to a specific group</w:t>
      </w:r>
      <w:r w:rsidR="000F06CE" w:rsidRPr="0054333A">
        <w:rPr>
          <w:rFonts w:ascii="Times New Roman" w:eastAsia="Times New Roman" w:hAnsi="Times New Roman" w:cs="Monotype Hadassah"/>
          <w:i/>
          <w:iCs/>
          <w:sz w:val="24"/>
          <w:szCs w:val="20"/>
        </w:rPr>
        <w:t xml:space="preserve"> – or to its members</w:t>
      </w:r>
    </w:p>
    <w:p w:rsidR="00300B58" w:rsidRPr="00300B58" w:rsidRDefault="00E340EF" w:rsidP="000F06CE">
      <w:pPr>
        <w:spacing w:after="0" w:line="480" w:lineRule="auto"/>
        <w:jc w:val="both"/>
        <w:rPr>
          <w:rFonts w:ascii="Times New Roman" w:eastAsia="Times New Roman" w:hAnsi="Times New Roman" w:cs="Monotype Hadassah"/>
          <w:sz w:val="24"/>
          <w:szCs w:val="20"/>
        </w:rPr>
      </w:pPr>
      <w:r>
        <w:rPr>
          <w:rFonts w:ascii="Times New Roman" w:eastAsia="Times New Roman" w:hAnsi="Times New Roman" w:cs="Monotype Hadassah"/>
          <w:sz w:val="24"/>
          <w:szCs w:val="20"/>
        </w:rPr>
        <w:t>T</w:t>
      </w:r>
      <w:r w:rsidR="00300B58" w:rsidRPr="00300B58">
        <w:rPr>
          <w:rFonts w:ascii="Times New Roman" w:eastAsia="Times New Roman" w:hAnsi="Times New Roman" w:cs="Monotype Hadassah"/>
          <w:sz w:val="24"/>
          <w:szCs w:val="20"/>
        </w:rPr>
        <w:t xml:space="preserve">he practice of granting conscientious exemption to a specific group or groups – or more accurately – to specific religious groups was a common practice a few centuries ago but has become less popular over time. Many of the exemptions that were granted to specific religious groups are now being granted to all religious groups </w:t>
      </w:r>
      <w:r w:rsidR="00BE11F8">
        <w:rPr>
          <w:rFonts w:ascii="Times New Roman" w:eastAsia="Times New Roman" w:hAnsi="Times New Roman" w:cs="Monotype Hadassah"/>
          <w:sz w:val="24"/>
          <w:szCs w:val="20"/>
        </w:rPr>
        <w:t>(</w:t>
      </w:r>
      <w:r w:rsidR="00300B58" w:rsidRPr="00300B58">
        <w:rPr>
          <w:rFonts w:ascii="Times New Roman" w:eastAsia="Times New Roman" w:hAnsi="Times New Roman" w:cs="Monotype Hadassah"/>
          <w:sz w:val="24"/>
          <w:szCs w:val="20"/>
        </w:rPr>
        <w:t>and, frequently, only to religious groups</w:t>
      </w:r>
      <w:r w:rsidR="00BE11F8">
        <w:rPr>
          <w:rFonts w:ascii="Times New Roman" w:eastAsia="Times New Roman" w:hAnsi="Times New Roman" w:cs="Monotype Hadassah"/>
          <w:sz w:val="24"/>
          <w:szCs w:val="20"/>
        </w:rPr>
        <w:t>)</w:t>
      </w:r>
      <w:r w:rsidR="00300B58" w:rsidRPr="00300B58">
        <w:rPr>
          <w:rFonts w:ascii="Times New Roman" w:eastAsia="Times New Roman" w:hAnsi="Times New Roman" w:cs="Monotype Hadassah"/>
          <w:sz w:val="24"/>
          <w:szCs w:val="20"/>
        </w:rPr>
        <w:t xml:space="preserve">. </w:t>
      </w:r>
    </w:p>
    <w:p w:rsidR="00300B58" w:rsidRPr="00300B58" w:rsidRDefault="00300B58" w:rsidP="0024379C">
      <w:pPr>
        <w:spacing w:after="0" w:line="480" w:lineRule="auto"/>
        <w:jc w:val="both"/>
        <w:rPr>
          <w:rFonts w:ascii="Times New Roman" w:eastAsia="Times New Roman" w:hAnsi="Times New Roman" w:cs="Monotype Hadassah"/>
          <w:sz w:val="24"/>
          <w:szCs w:val="20"/>
        </w:rPr>
      </w:pPr>
      <w:r w:rsidRPr="00300B58">
        <w:rPr>
          <w:rFonts w:ascii="Times New Roman" w:eastAsia="Times New Roman" w:hAnsi="Times New Roman" w:cs="Monotype Hadassah"/>
          <w:sz w:val="24"/>
          <w:szCs w:val="20"/>
        </w:rPr>
        <w:lastRenderedPageBreak/>
        <w:t>A good example of granting conscientious exemption to specific religious groups can be found as far back as 17</w:t>
      </w:r>
      <w:r w:rsidRPr="00300B58">
        <w:rPr>
          <w:rFonts w:ascii="Times New Roman" w:eastAsia="Times New Roman" w:hAnsi="Times New Roman" w:cs="Monotype Hadassah"/>
          <w:sz w:val="24"/>
          <w:szCs w:val="20"/>
          <w:vertAlign w:val="superscript"/>
        </w:rPr>
        <w:t>th</w:t>
      </w:r>
      <w:r w:rsidR="009E796F">
        <w:rPr>
          <w:rFonts w:ascii="Times New Roman" w:eastAsia="Times New Roman" w:hAnsi="Times New Roman" w:cs="Monotype Hadassah"/>
          <w:sz w:val="24"/>
          <w:szCs w:val="20"/>
        </w:rPr>
        <w:t>-c</w:t>
      </w:r>
      <w:r w:rsidRPr="00300B58">
        <w:rPr>
          <w:rFonts w:ascii="Times New Roman" w:eastAsia="Times New Roman" w:hAnsi="Times New Roman" w:cs="Monotype Hadassah"/>
          <w:sz w:val="24"/>
          <w:szCs w:val="20"/>
        </w:rPr>
        <w:t>entury England. The Oath of Allegiance and Supremacy Act of 1559 imposed a duty to take an oath of a religious-Christian nature as a condition for serving in some public positions and as a condition for validating some legal acts.</w:t>
      </w:r>
      <w:bookmarkStart w:id="56" w:name="_Ref128997491"/>
      <w:r w:rsidRPr="00300B58">
        <w:rPr>
          <w:rFonts w:ascii="Times New Roman" w:eastAsia="Times New Roman" w:hAnsi="Times New Roman" w:cs="Monotype Hadassah"/>
          <w:sz w:val="24"/>
          <w:szCs w:val="20"/>
          <w:vertAlign w:val="superscript"/>
        </w:rPr>
        <w:footnoteReference w:id="9"/>
      </w:r>
      <w:bookmarkEnd w:id="56"/>
      <w:r w:rsidRPr="00300B58">
        <w:rPr>
          <w:rFonts w:ascii="Times New Roman" w:eastAsia="Times New Roman" w:hAnsi="Times New Roman" w:cs="Monotype Hadassah"/>
          <w:sz w:val="24"/>
          <w:szCs w:val="20"/>
        </w:rPr>
        <w:t xml:space="preserve"> Three different laws, enacted in 1696, 1749 and 1833, exempted the Quakers, Moravians and Separatists from the religious-Christian character of the oath. Only in the Oaths Act of 1888 did the law grant exemption to anyone who claimed it.</w:t>
      </w:r>
      <w:r w:rsidRPr="00300B58">
        <w:rPr>
          <w:rFonts w:ascii="Times New Roman" w:eastAsia="Times New Roman" w:hAnsi="Times New Roman" w:cs="Monotype Hadassah"/>
          <w:sz w:val="24"/>
          <w:szCs w:val="20"/>
          <w:vertAlign w:val="superscript"/>
        </w:rPr>
        <w:footnoteReference w:id="10"/>
      </w:r>
      <w:r w:rsidR="0024379C">
        <w:rPr>
          <w:rFonts w:ascii="Times New Roman" w:eastAsia="Times New Roman" w:hAnsi="Times New Roman" w:cs="Monotype Hadassah"/>
          <w:sz w:val="24"/>
          <w:szCs w:val="20"/>
        </w:rPr>
        <w:t xml:space="preserve"> </w:t>
      </w:r>
      <w:r w:rsidRPr="00300B58">
        <w:rPr>
          <w:rFonts w:ascii="Times New Roman" w:eastAsia="Times New Roman" w:hAnsi="Times New Roman" w:cs="Monotype Hadassah"/>
          <w:sz w:val="24"/>
          <w:szCs w:val="20"/>
        </w:rPr>
        <w:t>Similar exemptions were granted in England at that time from compulsory military service. Laws passed in 1757 and 1786 exempted only Quakers from this, while a law from 1803 exempted Moravians.</w:t>
      </w:r>
      <w:r w:rsidRPr="00300B58">
        <w:rPr>
          <w:rFonts w:ascii="Times New Roman" w:eastAsia="Times New Roman" w:hAnsi="Times New Roman" w:cs="Monotype Hadassah"/>
          <w:sz w:val="24"/>
          <w:szCs w:val="20"/>
          <w:vertAlign w:val="superscript"/>
        </w:rPr>
        <w:footnoteReference w:id="11"/>
      </w:r>
    </w:p>
    <w:p w:rsidR="00300B58" w:rsidRPr="00300B58" w:rsidRDefault="00300B58" w:rsidP="00527B08">
      <w:pPr>
        <w:spacing w:after="0" w:line="480" w:lineRule="auto"/>
        <w:jc w:val="both"/>
        <w:rPr>
          <w:rFonts w:ascii="Times New Roman" w:eastAsia="Times New Roman" w:hAnsi="Times New Roman" w:cs="Monotype Hadassah"/>
          <w:sz w:val="24"/>
          <w:szCs w:val="20"/>
        </w:rPr>
      </w:pPr>
      <w:r w:rsidRPr="00300B58">
        <w:rPr>
          <w:rFonts w:ascii="Times New Roman" w:eastAsia="Times New Roman" w:hAnsi="Times New Roman" w:cs="Monotype Hadassah"/>
          <w:sz w:val="24"/>
          <w:szCs w:val="20"/>
        </w:rPr>
        <w:t>One of the most common statutory conscientious exemptions that are granted only to religious believers is the exemption from the principle of equality in labour laws. This exemption is usually granted from the duty not to discriminate on the basis of religious belief, sex and sexual orientation in the workplace.</w:t>
      </w:r>
      <w:r w:rsidRPr="00300B58">
        <w:rPr>
          <w:rFonts w:ascii="Times New Roman" w:eastAsia="Times New Roman" w:hAnsi="Times New Roman" w:cs="Monotype Hadassah"/>
          <w:sz w:val="24"/>
          <w:szCs w:val="20"/>
          <w:vertAlign w:val="superscript"/>
        </w:rPr>
        <w:footnoteReference w:id="12"/>
      </w:r>
      <w:r w:rsidRPr="00300B58">
        <w:rPr>
          <w:rFonts w:ascii="Times New Roman" w:eastAsia="Times New Roman" w:hAnsi="Times New Roman" w:cs="Monotype Hadassah"/>
          <w:sz w:val="24"/>
          <w:szCs w:val="20"/>
        </w:rPr>
        <w:t xml:space="preserve"> </w:t>
      </w:r>
    </w:p>
    <w:p w:rsidR="00300B58" w:rsidRPr="00300B58" w:rsidRDefault="00300B58" w:rsidP="007A5D45">
      <w:pPr>
        <w:spacing w:after="0" w:line="480" w:lineRule="auto"/>
        <w:jc w:val="both"/>
        <w:rPr>
          <w:rFonts w:ascii="Times New Roman" w:eastAsia="Times New Roman" w:hAnsi="Times New Roman" w:cs="Monotype Hadassah"/>
          <w:sz w:val="24"/>
          <w:szCs w:val="20"/>
        </w:rPr>
      </w:pPr>
      <w:r w:rsidRPr="00300B58">
        <w:rPr>
          <w:rFonts w:ascii="Times New Roman" w:eastAsia="Times New Roman" w:hAnsi="Times New Roman" w:cs="Monotype Hadassah"/>
          <w:sz w:val="24"/>
          <w:szCs w:val="20"/>
        </w:rPr>
        <w:t xml:space="preserve">Another common statutory religious exemption is the one that is granted by ‘Sunday Laws’. </w:t>
      </w:r>
      <w:r w:rsidR="007A5D45">
        <w:rPr>
          <w:rFonts w:ascii="Times New Roman" w:eastAsia="Times New Roman" w:hAnsi="Times New Roman" w:cs="Monotype Hadassah"/>
          <w:sz w:val="24"/>
          <w:szCs w:val="20"/>
        </w:rPr>
        <w:t>Many</w:t>
      </w:r>
      <w:r w:rsidRPr="00300B58">
        <w:rPr>
          <w:rFonts w:ascii="Times New Roman" w:eastAsia="Times New Roman" w:hAnsi="Times New Roman" w:cs="Monotype Hadassah"/>
          <w:sz w:val="24"/>
          <w:szCs w:val="20"/>
        </w:rPr>
        <w:t xml:space="preserve"> Western states grant an exemption from the prohibition of some commercial activities on Sunday for religious believers whose religion designates their day of rest as Friday (Muslims) or Saturday (Jews and Sabbatarians).</w:t>
      </w:r>
      <w:r w:rsidR="00904A88">
        <w:rPr>
          <w:rStyle w:val="a5"/>
          <w:rFonts w:ascii="Times New Roman" w:eastAsia="Times New Roman" w:hAnsi="Times New Roman" w:cs="Monotype Hadassah"/>
          <w:sz w:val="24"/>
          <w:szCs w:val="20"/>
        </w:rPr>
        <w:footnoteReference w:id="13"/>
      </w:r>
      <w:r w:rsidRPr="00300B58">
        <w:rPr>
          <w:rFonts w:ascii="Times New Roman" w:eastAsia="Times New Roman" w:hAnsi="Times New Roman" w:cs="Monotype Hadassah"/>
          <w:sz w:val="24"/>
          <w:szCs w:val="20"/>
        </w:rPr>
        <w:t xml:space="preserve"> </w:t>
      </w:r>
      <w:r w:rsidRPr="00300B58">
        <w:rPr>
          <w:rFonts w:ascii="Times New Roman" w:eastAsia="Times New Roman" w:hAnsi="Times New Roman" w:cs="Monotype Hadassah"/>
          <w:sz w:val="24"/>
          <w:szCs w:val="20"/>
        </w:rPr>
        <w:lastRenderedPageBreak/>
        <w:t>Occasionally, the exemption is granted only to those whose day of rest is Saturday rather than any other day.</w:t>
      </w:r>
      <w:r w:rsidRPr="00300B58">
        <w:rPr>
          <w:rFonts w:ascii="Times New Roman" w:eastAsia="Times New Roman" w:hAnsi="Times New Roman" w:cs="Monotype Hadassah"/>
          <w:sz w:val="24"/>
          <w:szCs w:val="20"/>
          <w:vertAlign w:val="superscript"/>
        </w:rPr>
        <w:footnoteReference w:id="14"/>
      </w:r>
      <w:r w:rsidRPr="00300B58">
        <w:rPr>
          <w:rFonts w:ascii="Times New Roman" w:eastAsia="Times New Roman" w:hAnsi="Times New Roman" w:cs="Monotype Hadassah"/>
          <w:sz w:val="24"/>
          <w:szCs w:val="20"/>
        </w:rPr>
        <w:t xml:space="preserve"> </w:t>
      </w:r>
    </w:p>
    <w:p w:rsidR="0054333A" w:rsidRDefault="0054333A" w:rsidP="00527B08">
      <w:pPr>
        <w:spacing w:after="0" w:line="480" w:lineRule="auto"/>
        <w:jc w:val="both"/>
        <w:rPr>
          <w:rFonts w:ascii="Times New Roman" w:eastAsia="Times New Roman" w:hAnsi="Times New Roman" w:cs="Monotype Hadassah"/>
          <w:i/>
          <w:iCs/>
          <w:sz w:val="24"/>
          <w:szCs w:val="20"/>
        </w:rPr>
      </w:pPr>
    </w:p>
    <w:p w:rsidR="00300B58" w:rsidRPr="0054333A" w:rsidRDefault="00300B58" w:rsidP="00527B08">
      <w:pPr>
        <w:spacing w:after="0" w:line="480" w:lineRule="auto"/>
        <w:jc w:val="both"/>
        <w:rPr>
          <w:rFonts w:ascii="Times New Roman" w:eastAsia="Times New Roman" w:hAnsi="Times New Roman" w:cs="Monotype Hadassah"/>
          <w:i/>
          <w:iCs/>
          <w:sz w:val="24"/>
          <w:szCs w:val="20"/>
        </w:rPr>
      </w:pPr>
      <w:r w:rsidRPr="0054333A">
        <w:rPr>
          <w:rFonts w:ascii="Times New Roman" w:eastAsia="Times New Roman" w:hAnsi="Times New Roman" w:cs="Monotype Hadassah"/>
          <w:i/>
          <w:iCs/>
          <w:sz w:val="24"/>
          <w:szCs w:val="20"/>
        </w:rPr>
        <w:t>A general statutory exemption that leaves considerable discretion to the executive</w:t>
      </w:r>
    </w:p>
    <w:p w:rsidR="00300B58" w:rsidRPr="00300B58" w:rsidRDefault="00300B58" w:rsidP="00A438E5">
      <w:pPr>
        <w:spacing w:after="0" w:line="480" w:lineRule="auto"/>
        <w:jc w:val="both"/>
        <w:rPr>
          <w:rFonts w:ascii="Times New Roman" w:eastAsia="Times New Roman" w:hAnsi="Times New Roman" w:cs="Monotype Hadassah"/>
          <w:sz w:val="24"/>
          <w:szCs w:val="20"/>
        </w:rPr>
      </w:pPr>
      <w:r w:rsidRPr="00300B58">
        <w:rPr>
          <w:rFonts w:ascii="Times New Roman" w:eastAsia="Times New Roman" w:hAnsi="Times New Roman" w:cs="Monotype Hadassah"/>
          <w:sz w:val="24"/>
          <w:szCs w:val="20"/>
        </w:rPr>
        <w:t xml:space="preserve">In this case the law states in general terms the conditions for </w:t>
      </w:r>
      <w:r w:rsidR="008F391B">
        <w:rPr>
          <w:rFonts w:ascii="Times New Roman" w:eastAsia="Times New Roman" w:hAnsi="Times New Roman" w:cs="Monotype Hadassah"/>
          <w:sz w:val="24"/>
          <w:szCs w:val="20"/>
        </w:rPr>
        <w:t xml:space="preserve">the </w:t>
      </w:r>
      <w:r w:rsidRPr="00300B58">
        <w:rPr>
          <w:rFonts w:ascii="Times New Roman" w:eastAsia="Times New Roman" w:hAnsi="Times New Roman" w:cs="Monotype Hadassah"/>
          <w:sz w:val="24"/>
          <w:szCs w:val="20"/>
        </w:rPr>
        <w:t>grant</w:t>
      </w:r>
      <w:r w:rsidR="008F391B">
        <w:rPr>
          <w:rFonts w:ascii="Times New Roman" w:eastAsia="Times New Roman" w:hAnsi="Times New Roman" w:cs="Monotype Hadassah"/>
          <w:sz w:val="24"/>
          <w:szCs w:val="20"/>
        </w:rPr>
        <w:t xml:space="preserve"> of</w:t>
      </w:r>
      <w:r w:rsidRPr="00300B58">
        <w:rPr>
          <w:rFonts w:ascii="Times New Roman" w:eastAsia="Times New Roman" w:hAnsi="Times New Roman" w:cs="Monotype Hadassah"/>
          <w:sz w:val="24"/>
          <w:szCs w:val="20"/>
        </w:rPr>
        <w:t xml:space="preserve"> an exemption and authorises the executive to decide whether or not these conditions are met. </w:t>
      </w:r>
    </w:p>
    <w:p w:rsidR="00300B58" w:rsidRPr="00300B58" w:rsidRDefault="00300B58" w:rsidP="00065233">
      <w:pPr>
        <w:spacing w:after="0" w:line="480" w:lineRule="auto"/>
        <w:jc w:val="both"/>
        <w:rPr>
          <w:rFonts w:ascii="Times New Roman" w:eastAsia="Times New Roman" w:hAnsi="Times New Roman" w:cs="Times New Roman"/>
          <w:sz w:val="24"/>
          <w:szCs w:val="24"/>
        </w:rPr>
      </w:pPr>
      <w:r w:rsidRPr="00300B58">
        <w:rPr>
          <w:rFonts w:ascii="Times New Roman" w:eastAsia="Times New Roman" w:hAnsi="Times New Roman" w:cs="Times New Roman"/>
          <w:sz w:val="24"/>
          <w:szCs w:val="24"/>
        </w:rPr>
        <w:t xml:space="preserve">In the case of the American Indian Religious Freedom Act of 1978, the law merely stated that ‘the President shall direct the various Federal Departments, agencies, and other instrumentalities responsible for administrating relevant laws to evaluate their policies and procedures in order to determine appropriate changes necessary to protect and preserve Native American religious cultural rights and practices’. This general statement, </w:t>
      </w:r>
      <w:r w:rsidR="008F391B">
        <w:rPr>
          <w:rFonts w:ascii="Times New Roman" w:eastAsia="Times New Roman" w:hAnsi="Times New Roman" w:cs="Times New Roman"/>
          <w:sz w:val="24"/>
          <w:szCs w:val="24"/>
        </w:rPr>
        <w:t>which</w:t>
      </w:r>
      <w:r w:rsidRPr="00300B58">
        <w:rPr>
          <w:rFonts w:ascii="Times New Roman" w:eastAsia="Times New Roman" w:hAnsi="Times New Roman" w:cs="Times New Roman"/>
          <w:sz w:val="24"/>
          <w:szCs w:val="24"/>
        </w:rPr>
        <w:t xml:space="preserve"> can be and indeed has been perceived as a general authority to grant conscientious</w:t>
      </w:r>
      <w:r w:rsidR="00B64366">
        <w:rPr>
          <w:rFonts w:ascii="Times New Roman" w:eastAsia="Times New Roman" w:hAnsi="Times New Roman" w:cs="Times New Roman"/>
          <w:sz w:val="24"/>
          <w:szCs w:val="24"/>
        </w:rPr>
        <w:t xml:space="preserve">, </w:t>
      </w:r>
      <w:r w:rsidRPr="00300B58">
        <w:rPr>
          <w:rFonts w:ascii="Times New Roman" w:eastAsia="Times New Roman" w:hAnsi="Times New Roman" w:cs="Times New Roman"/>
          <w:sz w:val="24"/>
          <w:szCs w:val="24"/>
        </w:rPr>
        <w:t xml:space="preserve">religious or cultural exemptions, was implemented in a series of executive orders, regulations and directives. In this case, the executive acted more as a legislature than as a judicial or executive authority, as far as the differences between these functions are </w:t>
      </w:r>
      <w:r w:rsidR="009251E5" w:rsidRPr="00300B58">
        <w:rPr>
          <w:rFonts w:ascii="Times New Roman" w:eastAsia="Times New Roman" w:hAnsi="Times New Roman" w:cs="Times New Roman"/>
          <w:sz w:val="24"/>
          <w:szCs w:val="24"/>
        </w:rPr>
        <w:t>discernible</w:t>
      </w:r>
      <w:r w:rsidRPr="00300B58">
        <w:rPr>
          <w:rFonts w:ascii="Times New Roman" w:eastAsia="Times New Roman" w:hAnsi="Times New Roman" w:cs="Times New Roman"/>
          <w:sz w:val="24"/>
          <w:szCs w:val="24"/>
        </w:rPr>
        <w:t>.</w:t>
      </w:r>
    </w:p>
    <w:p w:rsidR="00300B58" w:rsidRPr="00300B58" w:rsidRDefault="00300B58" w:rsidP="00613DC1">
      <w:pPr>
        <w:spacing w:after="0" w:line="480" w:lineRule="auto"/>
        <w:jc w:val="both"/>
        <w:rPr>
          <w:rFonts w:ascii="Times New Roman" w:eastAsia="Times New Roman" w:hAnsi="Times New Roman" w:cs="Times New Roman"/>
          <w:sz w:val="24"/>
          <w:szCs w:val="24"/>
        </w:rPr>
      </w:pPr>
      <w:r w:rsidRPr="00300B58">
        <w:rPr>
          <w:rFonts w:ascii="Times New Roman" w:eastAsia="Times New Roman" w:hAnsi="Times New Roman" w:cs="Times New Roman"/>
          <w:sz w:val="24"/>
          <w:szCs w:val="24"/>
        </w:rPr>
        <w:t xml:space="preserve">An example of the executive operating as a judicial authority can be found in </w:t>
      </w:r>
      <w:smartTag w:uri="urn:schemas-microsoft-com:office:smarttags" w:element="place">
        <w:smartTag w:uri="urn:schemas-microsoft-com:office:smarttags" w:element="country-region">
          <w:r w:rsidRPr="00300B58">
            <w:rPr>
              <w:rFonts w:ascii="Times New Roman" w:eastAsia="Times New Roman" w:hAnsi="Times New Roman" w:cs="Times New Roman"/>
              <w:sz w:val="24"/>
              <w:szCs w:val="24"/>
            </w:rPr>
            <w:t>England</w:t>
          </w:r>
        </w:smartTag>
      </w:smartTag>
      <w:r w:rsidRPr="00300B58">
        <w:rPr>
          <w:rFonts w:ascii="Times New Roman" w:eastAsia="Times New Roman" w:hAnsi="Times New Roman" w:cs="Times New Roman"/>
          <w:sz w:val="24"/>
          <w:szCs w:val="24"/>
        </w:rPr>
        <w:t>, where exemptions from military service during the two World Wars were granted by special tribunals.</w:t>
      </w:r>
      <w:r w:rsidRPr="00300B58">
        <w:rPr>
          <w:rFonts w:ascii="Times New Roman" w:eastAsia="Times New Roman" w:hAnsi="Times New Roman" w:cs="Times New Roman"/>
          <w:sz w:val="24"/>
          <w:szCs w:val="24"/>
          <w:vertAlign w:val="superscript"/>
        </w:rPr>
        <w:footnoteReference w:id="15"/>
      </w:r>
      <w:r w:rsidRPr="00300B58">
        <w:rPr>
          <w:rFonts w:ascii="Times New Roman" w:eastAsia="Times New Roman" w:hAnsi="Times New Roman" w:cs="Times New Roman"/>
          <w:sz w:val="24"/>
          <w:szCs w:val="24"/>
        </w:rPr>
        <w:t xml:space="preserve"> Th</w:t>
      </w:r>
      <w:r w:rsidR="00613DC1">
        <w:rPr>
          <w:rFonts w:ascii="Times New Roman" w:eastAsia="Times New Roman" w:hAnsi="Times New Roman" w:cs="Times New Roman"/>
          <w:sz w:val="24"/>
          <w:szCs w:val="24"/>
        </w:rPr>
        <w:t>e</w:t>
      </w:r>
      <w:r w:rsidRPr="00300B58">
        <w:rPr>
          <w:rFonts w:ascii="Times New Roman" w:eastAsia="Times New Roman" w:hAnsi="Times New Roman" w:cs="Times New Roman"/>
          <w:sz w:val="24"/>
          <w:szCs w:val="24"/>
        </w:rPr>
        <w:t xml:space="preserve"> tribunals were administrative authorities that acted as quasi-judicial ones and enjoyed a wide discretion in deciding the cases before them. The law (first the military Service Act 1916 and then the Military Training Act 1939), apart from </w:t>
      </w:r>
      <w:r w:rsidR="00613DC1">
        <w:rPr>
          <w:rFonts w:ascii="Times New Roman" w:eastAsia="Times New Roman" w:hAnsi="Times New Roman" w:cs="Times New Roman"/>
          <w:sz w:val="24"/>
          <w:szCs w:val="24"/>
        </w:rPr>
        <w:t>setting</w:t>
      </w:r>
      <w:r w:rsidRPr="00300B58">
        <w:rPr>
          <w:rFonts w:ascii="Times New Roman" w:eastAsia="Times New Roman" w:hAnsi="Times New Roman" w:cs="Times New Roman"/>
          <w:sz w:val="24"/>
          <w:szCs w:val="24"/>
        </w:rPr>
        <w:t xml:space="preserve"> appointments and procedure, simply authorised the tribunals </w:t>
      </w:r>
      <w:r w:rsidRPr="00300B58">
        <w:rPr>
          <w:rFonts w:ascii="Times New Roman" w:eastAsia="Times New Roman" w:hAnsi="Times New Roman" w:cs="Times New Roman"/>
          <w:sz w:val="24"/>
          <w:szCs w:val="24"/>
        </w:rPr>
        <w:lastRenderedPageBreak/>
        <w:t xml:space="preserve">to grant anyone who </w:t>
      </w:r>
      <w:r w:rsidR="008F391B">
        <w:rPr>
          <w:rFonts w:ascii="Times New Roman" w:eastAsia="Times New Roman" w:hAnsi="Times New Roman" w:cs="Times New Roman"/>
          <w:sz w:val="24"/>
          <w:szCs w:val="24"/>
        </w:rPr>
        <w:t>wa</w:t>
      </w:r>
      <w:r w:rsidRPr="00300B58">
        <w:rPr>
          <w:rFonts w:ascii="Times New Roman" w:eastAsia="Times New Roman" w:hAnsi="Times New Roman" w:cs="Times New Roman"/>
          <w:sz w:val="24"/>
          <w:szCs w:val="24"/>
        </w:rPr>
        <w:t xml:space="preserve">s a conscientious objector conscientious exemption from serving in the combat forces or in the military altogether. It was up to the tribunals to decide how to determine whether or not individuals </w:t>
      </w:r>
      <w:r w:rsidR="008F391B">
        <w:rPr>
          <w:rFonts w:ascii="Times New Roman" w:eastAsia="Times New Roman" w:hAnsi="Times New Roman" w:cs="Times New Roman"/>
          <w:sz w:val="24"/>
          <w:szCs w:val="24"/>
        </w:rPr>
        <w:t>we</w:t>
      </w:r>
      <w:r w:rsidRPr="00300B58">
        <w:rPr>
          <w:rFonts w:ascii="Times New Roman" w:eastAsia="Times New Roman" w:hAnsi="Times New Roman" w:cs="Times New Roman"/>
          <w:sz w:val="24"/>
          <w:szCs w:val="24"/>
        </w:rPr>
        <w:t xml:space="preserve">re sincere conscientious objectors.             </w:t>
      </w:r>
    </w:p>
    <w:p w:rsidR="0054333A" w:rsidRDefault="0054333A" w:rsidP="00527B08">
      <w:pPr>
        <w:spacing w:after="0" w:line="480" w:lineRule="auto"/>
        <w:jc w:val="both"/>
        <w:rPr>
          <w:rFonts w:ascii="Times New Roman" w:eastAsia="Times New Roman" w:hAnsi="Times New Roman" w:cs="Monotype Hadassah"/>
          <w:b/>
          <w:bCs/>
          <w:sz w:val="24"/>
          <w:szCs w:val="20"/>
        </w:rPr>
      </w:pPr>
    </w:p>
    <w:p w:rsidR="00300B58" w:rsidRPr="0054333A" w:rsidRDefault="00300B58" w:rsidP="00527B08">
      <w:pPr>
        <w:spacing w:after="0" w:line="480" w:lineRule="auto"/>
        <w:jc w:val="both"/>
        <w:rPr>
          <w:rFonts w:ascii="Times New Roman" w:eastAsia="Times New Roman" w:hAnsi="Times New Roman" w:cs="Times New Roman"/>
          <w:i/>
          <w:iCs/>
          <w:sz w:val="24"/>
          <w:szCs w:val="24"/>
        </w:rPr>
      </w:pPr>
      <w:r w:rsidRPr="0054333A">
        <w:rPr>
          <w:rFonts w:ascii="Times New Roman" w:eastAsia="Times New Roman" w:hAnsi="Times New Roman" w:cs="Monotype Hadassah"/>
          <w:i/>
          <w:iCs/>
          <w:sz w:val="24"/>
          <w:szCs w:val="20"/>
        </w:rPr>
        <w:t>A general statutory exemption that leaves considerable discretion to the judiciary</w:t>
      </w:r>
    </w:p>
    <w:p w:rsidR="00300B58" w:rsidRPr="00300B58" w:rsidRDefault="00300B58" w:rsidP="00613DC1">
      <w:pPr>
        <w:spacing w:after="0" w:line="480" w:lineRule="auto"/>
        <w:jc w:val="both"/>
        <w:rPr>
          <w:rFonts w:ascii="Times New Roman" w:eastAsia="Times New Roman" w:hAnsi="Times New Roman" w:cs="Times New Roman"/>
          <w:sz w:val="24"/>
          <w:szCs w:val="24"/>
        </w:rPr>
      </w:pPr>
      <w:r w:rsidRPr="00300B58">
        <w:rPr>
          <w:rFonts w:ascii="Times New Roman" w:eastAsia="Times New Roman" w:hAnsi="Times New Roman" w:cs="Times New Roman"/>
          <w:sz w:val="24"/>
          <w:szCs w:val="24"/>
        </w:rPr>
        <w:t>This is usually the case where the exemption is granted in a superior</w:t>
      </w:r>
      <w:r w:rsidR="008F391B">
        <w:rPr>
          <w:rFonts w:ascii="Times New Roman" w:eastAsia="Times New Roman" w:hAnsi="Times New Roman" w:cs="Times New Roman"/>
          <w:sz w:val="24"/>
          <w:szCs w:val="24"/>
        </w:rPr>
        <w:t xml:space="preserve"> </w:t>
      </w:r>
      <w:r w:rsidRPr="00300B58">
        <w:rPr>
          <w:rFonts w:ascii="Times New Roman" w:eastAsia="Times New Roman" w:hAnsi="Times New Roman" w:cs="Times New Roman"/>
          <w:sz w:val="24"/>
          <w:szCs w:val="24"/>
        </w:rPr>
        <w:t>legal</w:t>
      </w:r>
      <w:r w:rsidR="008F391B">
        <w:rPr>
          <w:rFonts w:ascii="Times New Roman" w:eastAsia="Times New Roman" w:hAnsi="Times New Roman" w:cs="Times New Roman"/>
          <w:sz w:val="24"/>
          <w:szCs w:val="24"/>
        </w:rPr>
        <w:t xml:space="preserve"> </w:t>
      </w:r>
      <w:r w:rsidRPr="00300B58">
        <w:rPr>
          <w:rFonts w:ascii="Times New Roman" w:eastAsia="Times New Roman" w:hAnsi="Times New Roman" w:cs="Times New Roman"/>
          <w:sz w:val="24"/>
          <w:szCs w:val="24"/>
        </w:rPr>
        <w:t xml:space="preserve">norm (typically </w:t>
      </w:r>
      <w:r w:rsidR="008F391B">
        <w:rPr>
          <w:rFonts w:ascii="Times New Roman" w:eastAsia="Times New Roman" w:hAnsi="Times New Roman" w:cs="Times New Roman"/>
          <w:sz w:val="24"/>
          <w:szCs w:val="24"/>
        </w:rPr>
        <w:t>a c</w:t>
      </w:r>
      <w:r w:rsidRPr="00300B58">
        <w:rPr>
          <w:rFonts w:ascii="Times New Roman" w:eastAsia="Times New Roman" w:hAnsi="Times New Roman" w:cs="Times New Roman"/>
          <w:sz w:val="24"/>
          <w:szCs w:val="24"/>
        </w:rPr>
        <w:t>onstitution or an international legal document) since the text in th</w:t>
      </w:r>
      <w:r w:rsidR="00613DC1">
        <w:rPr>
          <w:rFonts w:ascii="Times New Roman" w:eastAsia="Times New Roman" w:hAnsi="Times New Roman" w:cs="Times New Roman"/>
          <w:sz w:val="24"/>
          <w:szCs w:val="24"/>
        </w:rPr>
        <w:t xml:space="preserve">is </w:t>
      </w:r>
      <w:r w:rsidRPr="00300B58">
        <w:rPr>
          <w:rFonts w:ascii="Times New Roman" w:eastAsia="Times New Roman" w:hAnsi="Times New Roman" w:cs="Times New Roman"/>
          <w:sz w:val="24"/>
          <w:szCs w:val="24"/>
        </w:rPr>
        <w:t xml:space="preserve">kind of legal norm </w:t>
      </w:r>
      <w:r w:rsidR="008F391B">
        <w:rPr>
          <w:rFonts w:ascii="Times New Roman" w:eastAsia="Times New Roman" w:hAnsi="Times New Roman" w:cs="Times New Roman"/>
          <w:sz w:val="24"/>
          <w:szCs w:val="24"/>
        </w:rPr>
        <w:t>gener</w:t>
      </w:r>
      <w:r w:rsidRPr="00300B58">
        <w:rPr>
          <w:rFonts w:ascii="Times New Roman" w:eastAsia="Times New Roman" w:hAnsi="Times New Roman" w:cs="Times New Roman"/>
          <w:sz w:val="24"/>
          <w:szCs w:val="24"/>
        </w:rPr>
        <w:t xml:space="preserve">ally consists of principles or general rules that </w:t>
      </w:r>
      <w:r w:rsidR="00613DC1">
        <w:rPr>
          <w:rFonts w:ascii="Times New Roman" w:eastAsia="Times New Roman" w:hAnsi="Times New Roman" w:cs="Times New Roman"/>
          <w:sz w:val="24"/>
          <w:szCs w:val="24"/>
        </w:rPr>
        <w:t xml:space="preserve">allow </w:t>
      </w:r>
      <w:r w:rsidRPr="00300B58">
        <w:rPr>
          <w:rFonts w:ascii="Times New Roman" w:eastAsia="Times New Roman" w:hAnsi="Times New Roman" w:cs="Times New Roman"/>
          <w:sz w:val="24"/>
          <w:szCs w:val="24"/>
        </w:rPr>
        <w:t xml:space="preserve">extensive judicial discretion </w:t>
      </w:r>
      <w:r w:rsidR="00613DC1">
        <w:rPr>
          <w:rFonts w:ascii="Times New Roman" w:eastAsia="Times New Roman" w:hAnsi="Times New Roman" w:cs="Times New Roman"/>
          <w:sz w:val="24"/>
          <w:szCs w:val="24"/>
        </w:rPr>
        <w:t>while</w:t>
      </w:r>
      <w:r w:rsidRPr="00300B58">
        <w:rPr>
          <w:rFonts w:ascii="Times New Roman" w:eastAsia="Times New Roman" w:hAnsi="Times New Roman" w:cs="Times New Roman"/>
          <w:sz w:val="24"/>
          <w:szCs w:val="24"/>
        </w:rPr>
        <w:t xml:space="preserve"> interpreting them. This is either when the superior</w:t>
      </w:r>
      <w:r w:rsidR="008F391B">
        <w:rPr>
          <w:rFonts w:ascii="Times New Roman" w:eastAsia="Times New Roman" w:hAnsi="Times New Roman" w:cs="Times New Roman"/>
          <w:sz w:val="24"/>
          <w:szCs w:val="24"/>
        </w:rPr>
        <w:t xml:space="preserve"> </w:t>
      </w:r>
      <w:r w:rsidRPr="00300B58">
        <w:rPr>
          <w:rFonts w:ascii="Times New Roman" w:eastAsia="Times New Roman" w:hAnsi="Times New Roman" w:cs="Times New Roman"/>
          <w:sz w:val="24"/>
          <w:szCs w:val="24"/>
        </w:rPr>
        <w:t>legal</w:t>
      </w:r>
      <w:r w:rsidR="008F391B">
        <w:rPr>
          <w:rFonts w:ascii="Times New Roman" w:eastAsia="Times New Roman" w:hAnsi="Times New Roman" w:cs="Times New Roman"/>
          <w:sz w:val="24"/>
          <w:szCs w:val="24"/>
        </w:rPr>
        <w:t xml:space="preserve"> </w:t>
      </w:r>
      <w:r w:rsidRPr="00300B58">
        <w:rPr>
          <w:rFonts w:ascii="Times New Roman" w:eastAsia="Times New Roman" w:hAnsi="Times New Roman" w:cs="Times New Roman"/>
          <w:sz w:val="24"/>
          <w:szCs w:val="24"/>
        </w:rPr>
        <w:t>norm explicitly constitutes the right to be granted conscientious exemption or when it grants such a right implicitly by reference to freedom of conscience, belief or religion.</w:t>
      </w:r>
    </w:p>
    <w:p w:rsidR="00300B58" w:rsidRPr="00300B58" w:rsidRDefault="00300B58" w:rsidP="0054333A">
      <w:pPr>
        <w:spacing w:after="0" w:line="480" w:lineRule="auto"/>
        <w:jc w:val="both"/>
        <w:rPr>
          <w:rFonts w:ascii="Times New Roman" w:eastAsia="Times New Roman" w:hAnsi="Times New Roman" w:cs="Times New Roman"/>
          <w:sz w:val="24"/>
          <w:szCs w:val="24"/>
        </w:rPr>
      </w:pPr>
      <w:r w:rsidRPr="00300B58">
        <w:rPr>
          <w:rFonts w:ascii="Times New Roman" w:eastAsia="Times New Roman" w:hAnsi="Times New Roman" w:cs="Times New Roman"/>
          <w:sz w:val="24"/>
          <w:szCs w:val="24"/>
        </w:rPr>
        <w:t xml:space="preserve">Occasionally, the judicial interpretation </w:t>
      </w:r>
      <w:r w:rsidR="00EC1954">
        <w:rPr>
          <w:rFonts w:ascii="Times New Roman" w:eastAsia="Times New Roman" w:hAnsi="Times New Roman" w:cs="Times New Roman"/>
          <w:sz w:val="24"/>
          <w:szCs w:val="24"/>
        </w:rPr>
        <w:t xml:space="preserve">may </w:t>
      </w:r>
      <w:r w:rsidRPr="00300B58">
        <w:rPr>
          <w:rFonts w:ascii="Times New Roman" w:eastAsia="Times New Roman" w:hAnsi="Times New Roman" w:cs="Times New Roman"/>
          <w:sz w:val="24"/>
          <w:szCs w:val="24"/>
        </w:rPr>
        <w:t>contradict the legislature’s will.</w:t>
      </w:r>
      <w:r w:rsidR="00EC1954">
        <w:rPr>
          <w:rFonts w:ascii="Times New Roman" w:eastAsia="Times New Roman" w:hAnsi="Times New Roman" w:cs="Times New Roman"/>
          <w:sz w:val="24"/>
          <w:szCs w:val="24"/>
        </w:rPr>
        <w:t xml:space="preserve"> This, in turn, could result in a ‘constitutional dialogue’ between the judiciary and the legislature. </w:t>
      </w:r>
      <w:r w:rsidRPr="00300B58">
        <w:rPr>
          <w:rFonts w:ascii="Times New Roman" w:eastAsia="Times New Roman" w:hAnsi="Times New Roman" w:cs="Times New Roman"/>
          <w:sz w:val="24"/>
          <w:szCs w:val="24"/>
        </w:rPr>
        <w:t xml:space="preserve">This kind of </w:t>
      </w:r>
      <w:r w:rsidR="00EC1954">
        <w:rPr>
          <w:rFonts w:ascii="Times New Roman" w:eastAsia="Times New Roman" w:hAnsi="Times New Roman" w:cs="Times New Roman"/>
          <w:sz w:val="24"/>
          <w:szCs w:val="24"/>
        </w:rPr>
        <w:t xml:space="preserve">dialogue occurred </w:t>
      </w:r>
      <w:r w:rsidRPr="00300B58">
        <w:rPr>
          <w:rFonts w:ascii="Times New Roman" w:eastAsia="Times New Roman" w:hAnsi="Times New Roman" w:cs="Times New Roman"/>
          <w:sz w:val="24"/>
          <w:szCs w:val="24"/>
        </w:rPr>
        <w:t>in the US</w:t>
      </w:r>
      <w:r w:rsidR="008F391B">
        <w:rPr>
          <w:rFonts w:ascii="Times New Roman" w:eastAsia="Times New Roman" w:hAnsi="Times New Roman" w:cs="Times New Roman"/>
          <w:sz w:val="24"/>
          <w:szCs w:val="24"/>
        </w:rPr>
        <w:t>A</w:t>
      </w:r>
      <w:r w:rsidRPr="00300B58">
        <w:rPr>
          <w:rFonts w:ascii="Times New Roman" w:eastAsia="Times New Roman" w:hAnsi="Times New Roman" w:cs="Times New Roman"/>
          <w:sz w:val="24"/>
          <w:szCs w:val="24"/>
        </w:rPr>
        <w:t xml:space="preserve">, and in a very interesting way, following the </w:t>
      </w:r>
      <w:r w:rsidRPr="00300B58">
        <w:rPr>
          <w:rFonts w:ascii="Times New Roman" w:eastAsia="Times New Roman" w:hAnsi="Times New Roman" w:cs="Times New Roman"/>
          <w:i/>
          <w:iCs/>
          <w:sz w:val="24"/>
          <w:szCs w:val="24"/>
        </w:rPr>
        <w:t>Smith</w:t>
      </w:r>
      <w:r w:rsidRPr="00300B58">
        <w:rPr>
          <w:rFonts w:ascii="Times New Roman" w:eastAsia="Times New Roman" w:hAnsi="Times New Roman" w:cs="Times New Roman"/>
          <w:sz w:val="24"/>
          <w:szCs w:val="24"/>
        </w:rPr>
        <w:t xml:space="preserve"> decision</w:t>
      </w:r>
      <w:r w:rsidR="00787FD8">
        <w:rPr>
          <w:rFonts w:ascii="Times New Roman" w:eastAsia="Times New Roman" w:hAnsi="Times New Roman" w:cs="Times New Roman"/>
          <w:sz w:val="24"/>
          <w:szCs w:val="24"/>
        </w:rPr>
        <w:t xml:space="preserve"> of 199</w:t>
      </w:r>
      <w:r w:rsidR="00615C8B">
        <w:rPr>
          <w:rFonts w:ascii="Times New Roman" w:eastAsia="Times New Roman" w:hAnsi="Times New Roman" w:cs="Times New Roman"/>
          <w:sz w:val="24"/>
          <w:szCs w:val="24"/>
        </w:rPr>
        <w:t>0</w:t>
      </w:r>
      <w:r w:rsidRPr="00300B58">
        <w:rPr>
          <w:rFonts w:ascii="Times New Roman" w:eastAsia="Times New Roman" w:hAnsi="Times New Roman" w:cs="Times New Roman"/>
          <w:sz w:val="24"/>
          <w:szCs w:val="24"/>
        </w:rPr>
        <w:t>.</w:t>
      </w:r>
      <w:r w:rsidRPr="00300B58">
        <w:rPr>
          <w:rFonts w:ascii="Times New Roman" w:eastAsia="Times New Roman" w:hAnsi="Times New Roman" w:cs="Times New Roman"/>
          <w:sz w:val="24"/>
          <w:szCs w:val="24"/>
          <w:vertAlign w:val="superscript"/>
        </w:rPr>
        <w:footnoteReference w:id="16"/>
      </w:r>
      <w:r w:rsidRPr="00300B58">
        <w:rPr>
          <w:rFonts w:ascii="Times New Roman" w:eastAsia="Times New Roman" w:hAnsi="Times New Roman" w:cs="Times New Roman"/>
          <w:sz w:val="24"/>
          <w:szCs w:val="24"/>
        </w:rPr>
        <w:t xml:space="preserve"> In </w:t>
      </w:r>
      <w:r w:rsidR="00787FD8">
        <w:rPr>
          <w:rFonts w:ascii="Times New Roman" w:eastAsia="Times New Roman" w:hAnsi="Times New Roman" w:cs="Times New Roman"/>
          <w:sz w:val="24"/>
          <w:szCs w:val="24"/>
        </w:rPr>
        <w:t>that</w:t>
      </w:r>
      <w:r w:rsidRPr="00300B58">
        <w:rPr>
          <w:rFonts w:ascii="Times New Roman" w:eastAsia="Times New Roman" w:hAnsi="Times New Roman" w:cs="Times New Roman"/>
          <w:sz w:val="24"/>
          <w:szCs w:val="24"/>
        </w:rPr>
        <w:t xml:space="preserve"> decision the court decided that freedom of religion</w:t>
      </w:r>
      <w:r w:rsidR="00787FD8">
        <w:rPr>
          <w:rFonts w:ascii="Times New Roman" w:eastAsia="Times New Roman" w:hAnsi="Times New Roman" w:cs="Times New Roman"/>
          <w:sz w:val="24"/>
          <w:szCs w:val="24"/>
        </w:rPr>
        <w:t>, which is entrenched in the First Amendment,</w:t>
      </w:r>
      <w:r w:rsidRPr="00300B58">
        <w:rPr>
          <w:rFonts w:ascii="Times New Roman" w:eastAsia="Times New Roman" w:hAnsi="Times New Roman" w:cs="Times New Roman"/>
          <w:sz w:val="24"/>
          <w:szCs w:val="24"/>
        </w:rPr>
        <w:t xml:space="preserve"> does not entail a right to be granted religious exemption</w:t>
      </w:r>
      <w:r w:rsidR="00613DC1">
        <w:rPr>
          <w:rFonts w:ascii="Times New Roman" w:eastAsia="Times New Roman" w:hAnsi="Times New Roman" w:cs="Times New Roman"/>
          <w:sz w:val="24"/>
          <w:szCs w:val="24"/>
        </w:rPr>
        <w:t>s</w:t>
      </w:r>
      <w:r w:rsidR="009B0E40">
        <w:rPr>
          <w:rFonts w:ascii="Times New Roman" w:eastAsia="Times New Roman" w:hAnsi="Times New Roman" w:cs="Times New Roman"/>
          <w:sz w:val="24"/>
          <w:szCs w:val="24"/>
        </w:rPr>
        <w:t xml:space="preserve"> from ‘neutral’ laws</w:t>
      </w:r>
      <w:r w:rsidRPr="00300B58">
        <w:rPr>
          <w:rFonts w:ascii="Times New Roman" w:eastAsia="Times New Roman" w:hAnsi="Times New Roman" w:cs="Times New Roman"/>
          <w:sz w:val="24"/>
          <w:szCs w:val="24"/>
        </w:rPr>
        <w:t xml:space="preserve">, even in cases where there is no ‘compelling state interest’ in not granting the exemption. Instead, the court decided that, in cases where the law is neutral i.e. it does not intend to infringe freedom of religion, religious exemption can be granted if: (a) the law infringes another constitutional right; or (b) the law itself grants a specific religious exemption from its specific demands. </w:t>
      </w:r>
    </w:p>
    <w:p w:rsidR="00300B58" w:rsidRPr="00300B58" w:rsidRDefault="00300B58" w:rsidP="00674305">
      <w:pPr>
        <w:spacing w:after="0" w:line="480" w:lineRule="auto"/>
        <w:jc w:val="both"/>
        <w:rPr>
          <w:rFonts w:ascii="Times New Roman" w:eastAsia="Times New Roman" w:hAnsi="Times New Roman" w:cs="Times New Roman"/>
          <w:sz w:val="24"/>
          <w:szCs w:val="24"/>
        </w:rPr>
      </w:pPr>
      <w:r w:rsidRPr="00300B58">
        <w:rPr>
          <w:rFonts w:ascii="Times New Roman" w:eastAsia="Times New Roman" w:hAnsi="Times New Roman" w:cs="Times New Roman"/>
          <w:sz w:val="24"/>
          <w:szCs w:val="24"/>
        </w:rPr>
        <w:lastRenderedPageBreak/>
        <w:t>In response to th</w:t>
      </w:r>
      <w:r w:rsidR="009B0E40">
        <w:rPr>
          <w:rFonts w:ascii="Times New Roman" w:eastAsia="Times New Roman" w:hAnsi="Times New Roman" w:cs="Times New Roman"/>
          <w:sz w:val="24"/>
          <w:szCs w:val="24"/>
        </w:rPr>
        <w:t>at</w:t>
      </w:r>
      <w:r w:rsidRPr="00300B58">
        <w:rPr>
          <w:rFonts w:ascii="Times New Roman" w:eastAsia="Times New Roman" w:hAnsi="Times New Roman" w:cs="Times New Roman"/>
          <w:sz w:val="24"/>
          <w:szCs w:val="24"/>
        </w:rPr>
        <w:t>,</w:t>
      </w:r>
      <w:r w:rsidR="00674305">
        <w:rPr>
          <w:rFonts w:ascii="Times New Roman" w:eastAsia="Times New Roman" w:hAnsi="Times New Roman" w:cs="Times New Roman"/>
          <w:sz w:val="24"/>
          <w:szCs w:val="24"/>
        </w:rPr>
        <w:t xml:space="preserve"> the</w:t>
      </w:r>
      <w:r w:rsidRPr="00300B58">
        <w:rPr>
          <w:rFonts w:ascii="Times New Roman" w:eastAsia="Times New Roman" w:hAnsi="Times New Roman" w:cs="Times New Roman"/>
          <w:sz w:val="24"/>
          <w:szCs w:val="24"/>
        </w:rPr>
        <w:t xml:space="preserve"> </w:t>
      </w:r>
      <w:r w:rsidR="00674305">
        <w:rPr>
          <w:rFonts w:ascii="Times New Roman" w:eastAsia="Times New Roman" w:hAnsi="Times New Roman" w:cs="Times New Roman"/>
          <w:sz w:val="24"/>
          <w:szCs w:val="24"/>
        </w:rPr>
        <w:t xml:space="preserve">Congress </w:t>
      </w:r>
      <w:r w:rsidRPr="00300B58">
        <w:rPr>
          <w:rFonts w:ascii="Times New Roman" w:eastAsia="Times New Roman" w:hAnsi="Times New Roman" w:cs="Times New Roman"/>
          <w:sz w:val="24"/>
          <w:szCs w:val="24"/>
        </w:rPr>
        <w:t>enacted the R</w:t>
      </w:r>
      <w:r w:rsidR="00613DC1">
        <w:rPr>
          <w:rFonts w:ascii="Times New Roman" w:eastAsia="Times New Roman" w:hAnsi="Times New Roman" w:cs="Times New Roman"/>
          <w:sz w:val="24"/>
          <w:szCs w:val="24"/>
        </w:rPr>
        <w:t xml:space="preserve">eligious </w:t>
      </w:r>
      <w:r w:rsidRPr="00300B58">
        <w:rPr>
          <w:rFonts w:ascii="Times New Roman" w:eastAsia="Times New Roman" w:hAnsi="Times New Roman" w:cs="Times New Roman"/>
          <w:sz w:val="24"/>
          <w:szCs w:val="24"/>
        </w:rPr>
        <w:t>F</w:t>
      </w:r>
      <w:r w:rsidR="00613DC1">
        <w:rPr>
          <w:rFonts w:ascii="Times New Roman" w:eastAsia="Times New Roman" w:hAnsi="Times New Roman" w:cs="Times New Roman"/>
          <w:sz w:val="24"/>
          <w:szCs w:val="24"/>
        </w:rPr>
        <w:t xml:space="preserve">reedom </w:t>
      </w:r>
      <w:r w:rsidRPr="00300B58">
        <w:rPr>
          <w:rFonts w:ascii="Times New Roman" w:eastAsia="Times New Roman" w:hAnsi="Times New Roman" w:cs="Times New Roman"/>
          <w:sz w:val="24"/>
          <w:szCs w:val="24"/>
        </w:rPr>
        <w:t>R</w:t>
      </w:r>
      <w:r w:rsidR="00613DC1">
        <w:rPr>
          <w:rFonts w:ascii="Times New Roman" w:eastAsia="Times New Roman" w:hAnsi="Times New Roman" w:cs="Times New Roman"/>
          <w:sz w:val="24"/>
          <w:szCs w:val="24"/>
        </w:rPr>
        <w:t xml:space="preserve">estoration </w:t>
      </w:r>
      <w:r w:rsidRPr="00300B58">
        <w:rPr>
          <w:rFonts w:ascii="Times New Roman" w:eastAsia="Times New Roman" w:hAnsi="Times New Roman" w:cs="Times New Roman"/>
          <w:sz w:val="24"/>
          <w:szCs w:val="24"/>
        </w:rPr>
        <w:t>A</w:t>
      </w:r>
      <w:r w:rsidR="00613DC1">
        <w:rPr>
          <w:rFonts w:ascii="Times New Roman" w:eastAsia="Times New Roman" w:hAnsi="Times New Roman" w:cs="Times New Roman"/>
          <w:sz w:val="24"/>
          <w:szCs w:val="24"/>
        </w:rPr>
        <w:t>ct of 1993 (RFRA)</w:t>
      </w:r>
      <w:r w:rsidRPr="00300B58">
        <w:rPr>
          <w:rFonts w:ascii="Times New Roman" w:eastAsia="Times New Roman" w:hAnsi="Times New Roman" w:cs="Times New Roman"/>
          <w:sz w:val="24"/>
          <w:szCs w:val="24"/>
        </w:rPr>
        <w:t xml:space="preserve">, </w:t>
      </w:r>
      <w:r w:rsidR="00613DC1">
        <w:rPr>
          <w:rFonts w:ascii="Times New Roman" w:eastAsia="Times New Roman" w:hAnsi="Times New Roman" w:cs="Times New Roman"/>
          <w:sz w:val="24"/>
          <w:szCs w:val="24"/>
        </w:rPr>
        <w:t xml:space="preserve">which </w:t>
      </w:r>
      <w:r w:rsidRPr="00300B58">
        <w:rPr>
          <w:rFonts w:ascii="Times New Roman" w:eastAsia="Times New Roman" w:hAnsi="Times New Roman" w:cs="Times New Roman"/>
          <w:sz w:val="24"/>
          <w:szCs w:val="24"/>
        </w:rPr>
        <w:t xml:space="preserve">in fact contradicts </w:t>
      </w:r>
      <w:r w:rsidRPr="00300B58">
        <w:rPr>
          <w:rFonts w:ascii="Times New Roman" w:eastAsia="Times New Roman" w:hAnsi="Times New Roman" w:cs="Times New Roman"/>
          <w:i/>
          <w:iCs/>
          <w:sz w:val="24"/>
          <w:szCs w:val="24"/>
        </w:rPr>
        <w:t>Smith</w:t>
      </w:r>
      <w:r w:rsidRPr="00300B58">
        <w:rPr>
          <w:rFonts w:ascii="Times New Roman" w:eastAsia="Times New Roman" w:hAnsi="Times New Roman" w:cs="Times New Roman"/>
          <w:sz w:val="24"/>
          <w:szCs w:val="24"/>
        </w:rPr>
        <w:t xml:space="preserve"> by saying that the court is indeed under a duty to grant religious exemption from any law whenever there is no ‘compelling state interest’ in not granting the exemption.</w:t>
      </w:r>
      <w:r w:rsidR="00613DC1">
        <w:rPr>
          <w:rStyle w:val="a5"/>
          <w:rFonts w:ascii="Times New Roman" w:eastAsia="Times New Roman" w:hAnsi="Times New Roman" w:cs="Times New Roman"/>
          <w:sz w:val="24"/>
          <w:szCs w:val="24"/>
        </w:rPr>
        <w:footnoteReference w:id="17"/>
      </w:r>
      <w:r w:rsidR="00145B3E">
        <w:rPr>
          <w:rFonts w:ascii="Times New Roman" w:eastAsia="Times New Roman" w:hAnsi="Times New Roman" w:cs="Times New Roman"/>
          <w:sz w:val="24"/>
          <w:szCs w:val="24"/>
        </w:rPr>
        <w:t xml:space="preserve"> </w:t>
      </w:r>
      <w:r w:rsidR="00145B3E" w:rsidRPr="00145B3E">
        <w:rPr>
          <w:rFonts w:ascii="Times New Roman" w:eastAsia="Times New Roman" w:hAnsi="Times New Roman" w:cs="Times New Roman"/>
          <w:sz w:val="24"/>
          <w:szCs w:val="24"/>
          <w:lang w:val="en"/>
        </w:rPr>
        <w:t>The</w:t>
      </w:r>
      <w:r w:rsidR="00145B3E">
        <w:rPr>
          <w:rFonts w:ascii="Times New Roman" w:eastAsia="Times New Roman" w:hAnsi="Times New Roman" w:cs="Times New Roman"/>
          <w:sz w:val="24"/>
          <w:szCs w:val="24"/>
          <w:lang w:val="en"/>
        </w:rPr>
        <w:t xml:space="preserve"> Supreme Court replied by ruling that the</w:t>
      </w:r>
      <w:r w:rsidR="00145B3E" w:rsidRPr="00145B3E">
        <w:rPr>
          <w:rFonts w:ascii="Times New Roman" w:eastAsia="Times New Roman" w:hAnsi="Times New Roman" w:cs="Times New Roman"/>
          <w:sz w:val="24"/>
          <w:szCs w:val="24"/>
          <w:lang w:val="en"/>
        </w:rPr>
        <w:t xml:space="preserve"> RFRA was unconstitutional</w:t>
      </w:r>
      <w:r w:rsidR="00145B3E">
        <w:rPr>
          <w:rFonts w:ascii="Times New Roman" w:eastAsia="Times New Roman" w:hAnsi="Times New Roman" w:cs="Times New Roman"/>
          <w:sz w:val="24"/>
          <w:szCs w:val="24"/>
          <w:lang w:val="en"/>
        </w:rPr>
        <w:t xml:space="preserve"> </w:t>
      </w:r>
      <w:r w:rsidR="00C92CA3">
        <w:rPr>
          <w:rFonts w:ascii="Times New Roman" w:eastAsia="Times New Roman" w:hAnsi="Times New Roman" w:cs="Times New Roman"/>
          <w:sz w:val="24"/>
          <w:szCs w:val="24"/>
          <w:lang w:val="en"/>
        </w:rPr>
        <w:t>so</w:t>
      </w:r>
      <w:r w:rsidR="00145B3E">
        <w:rPr>
          <w:rFonts w:ascii="Times New Roman" w:eastAsia="Times New Roman" w:hAnsi="Times New Roman" w:cs="Times New Roman"/>
          <w:sz w:val="24"/>
          <w:szCs w:val="24"/>
          <w:lang w:val="en"/>
        </w:rPr>
        <w:t xml:space="preserve"> far as it applies to the s</w:t>
      </w:r>
      <w:r w:rsidR="00145B3E" w:rsidRPr="00145B3E">
        <w:rPr>
          <w:rFonts w:ascii="Times New Roman" w:eastAsia="Times New Roman" w:hAnsi="Times New Roman" w:cs="Times New Roman"/>
          <w:sz w:val="24"/>
          <w:szCs w:val="24"/>
          <w:lang w:val="en"/>
        </w:rPr>
        <w:t>t</w:t>
      </w:r>
      <w:r w:rsidR="00145B3E">
        <w:rPr>
          <w:rFonts w:ascii="Times New Roman" w:eastAsia="Times New Roman" w:hAnsi="Times New Roman" w:cs="Times New Roman"/>
          <w:sz w:val="24"/>
          <w:szCs w:val="24"/>
          <w:lang w:val="en"/>
        </w:rPr>
        <w:t>at</w:t>
      </w:r>
      <w:r w:rsidR="00145B3E" w:rsidRPr="00145B3E">
        <w:rPr>
          <w:rFonts w:ascii="Times New Roman" w:eastAsia="Times New Roman" w:hAnsi="Times New Roman" w:cs="Times New Roman"/>
          <w:sz w:val="24"/>
          <w:szCs w:val="24"/>
          <w:lang w:val="en"/>
        </w:rPr>
        <w:t>es</w:t>
      </w:r>
      <w:r w:rsidR="00145B3E">
        <w:rPr>
          <w:rFonts w:ascii="Times New Roman" w:eastAsia="Times New Roman" w:hAnsi="Times New Roman" w:cs="Times New Roman"/>
          <w:sz w:val="24"/>
          <w:szCs w:val="24"/>
          <w:lang w:val="en"/>
        </w:rPr>
        <w:t xml:space="preserve">, i.e. it can only be applied </w:t>
      </w:r>
      <w:r w:rsidR="00145B3E" w:rsidRPr="00145B3E">
        <w:rPr>
          <w:rFonts w:ascii="Times New Roman" w:eastAsia="Times New Roman" w:hAnsi="Times New Roman" w:cs="Times New Roman"/>
          <w:sz w:val="24"/>
          <w:szCs w:val="24"/>
          <w:lang w:val="en"/>
        </w:rPr>
        <w:t>to the federal government</w:t>
      </w:r>
      <w:r w:rsidR="00145B3E">
        <w:rPr>
          <w:rFonts w:ascii="Times New Roman" w:eastAsia="Times New Roman" w:hAnsi="Times New Roman" w:cs="Times New Roman"/>
          <w:sz w:val="24"/>
          <w:szCs w:val="24"/>
          <w:lang w:val="en"/>
        </w:rPr>
        <w:t>.</w:t>
      </w:r>
      <w:r w:rsidR="00145B3E">
        <w:rPr>
          <w:rStyle w:val="a5"/>
          <w:rFonts w:ascii="Times New Roman" w:eastAsia="Times New Roman" w:hAnsi="Times New Roman" w:cs="Times New Roman"/>
          <w:sz w:val="24"/>
          <w:szCs w:val="24"/>
          <w:lang w:val="en"/>
        </w:rPr>
        <w:footnoteReference w:id="18"/>
      </w:r>
    </w:p>
    <w:p w:rsidR="00300B58" w:rsidRPr="00300B58" w:rsidRDefault="00300B58" w:rsidP="000E3107">
      <w:pPr>
        <w:spacing w:after="0" w:line="480" w:lineRule="auto"/>
        <w:jc w:val="both"/>
        <w:rPr>
          <w:rFonts w:ascii="Times New Roman" w:eastAsia="Times New Roman" w:hAnsi="Times New Roman" w:cs="Times New Roman"/>
          <w:sz w:val="24"/>
          <w:szCs w:val="24"/>
        </w:rPr>
      </w:pPr>
      <w:r w:rsidRPr="00300B58">
        <w:rPr>
          <w:rFonts w:ascii="Times New Roman" w:eastAsia="Times New Roman" w:hAnsi="Times New Roman" w:cs="Times New Roman"/>
          <w:sz w:val="24"/>
          <w:szCs w:val="24"/>
        </w:rPr>
        <w:t xml:space="preserve">This is an extraordinary case, in which the court interprets the Constitution in a way that limits its own discretion in future cases where conscientious exemption would be </w:t>
      </w:r>
      <w:r w:rsidR="000E3107">
        <w:rPr>
          <w:rFonts w:ascii="Times New Roman" w:eastAsia="Times New Roman" w:hAnsi="Times New Roman" w:cs="Times New Roman"/>
          <w:sz w:val="24"/>
          <w:szCs w:val="24"/>
        </w:rPr>
        <w:t>claimed</w:t>
      </w:r>
      <w:r w:rsidRPr="00300B58">
        <w:rPr>
          <w:rFonts w:ascii="Times New Roman" w:eastAsia="Times New Roman" w:hAnsi="Times New Roman" w:cs="Times New Roman"/>
          <w:sz w:val="24"/>
          <w:szCs w:val="24"/>
        </w:rPr>
        <w:t>, and, accordingly, states that it is the legislature’s responsibility to grant specific religious exemption</w:t>
      </w:r>
      <w:r w:rsidR="00145B3E">
        <w:rPr>
          <w:rFonts w:ascii="Times New Roman" w:eastAsia="Times New Roman" w:hAnsi="Times New Roman" w:cs="Times New Roman"/>
          <w:sz w:val="24"/>
          <w:szCs w:val="24"/>
        </w:rPr>
        <w:t>s</w:t>
      </w:r>
      <w:r w:rsidRPr="00300B58">
        <w:rPr>
          <w:rFonts w:ascii="Times New Roman" w:eastAsia="Times New Roman" w:hAnsi="Times New Roman" w:cs="Times New Roman"/>
          <w:sz w:val="24"/>
          <w:szCs w:val="24"/>
        </w:rPr>
        <w:t xml:space="preserve"> whenever the legislature finds it necessary. The legislature, however, first through the federal RFRA and then through states’ RFRAs, specifically state</w:t>
      </w:r>
      <w:r w:rsidR="00145B3E">
        <w:rPr>
          <w:rFonts w:ascii="Times New Roman" w:eastAsia="Times New Roman" w:hAnsi="Times New Roman" w:cs="Times New Roman"/>
          <w:sz w:val="24"/>
          <w:szCs w:val="24"/>
        </w:rPr>
        <w:t>d</w:t>
      </w:r>
      <w:r w:rsidRPr="00300B58">
        <w:rPr>
          <w:rFonts w:ascii="Times New Roman" w:eastAsia="Times New Roman" w:hAnsi="Times New Roman" w:cs="Times New Roman"/>
          <w:sz w:val="24"/>
          <w:szCs w:val="24"/>
        </w:rPr>
        <w:t xml:space="preserve"> that the court is the appropriate authority for granting religious exemption</w:t>
      </w:r>
      <w:r w:rsidR="00615C8B">
        <w:rPr>
          <w:rFonts w:ascii="Times New Roman" w:eastAsia="Times New Roman" w:hAnsi="Times New Roman" w:cs="Times New Roman"/>
          <w:sz w:val="24"/>
          <w:szCs w:val="24"/>
        </w:rPr>
        <w:t>s</w:t>
      </w:r>
      <w:r w:rsidRPr="00300B58">
        <w:rPr>
          <w:rFonts w:ascii="Times New Roman" w:eastAsia="Times New Roman" w:hAnsi="Times New Roman" w:cs="Times New Roman"/>
          <w:sz w:val="24"/>
          <w:szCs w:val="24"/>
        </w:rPr>
        <w:t xml:space="preserve"> and that it is under a duty to do so in the right cases.  </w:t>
      </w:r>
    </w:p>
    <w:p w:rsidR="00300B58" w:rsidRPr="00300B58" w:rsidRDefault="00300B58" w:rsidP="0054333A">
      <w:pPr>
        <w:pStyle w:val="2"/>
        <w:rPr>
          <w:rFonts w:eastAsia="Times New Roman"/>
        </w:rPr>
      </w:pPr>
      <w:bookmarkStart w:id="57" w:name="_Toc190578492"/>
      <w:bookmarkStart w:id="58" w:name="_Toc171502415"/>
      <w:bookmarkStart w:id="59" w:name="_Toc138225971"/>
      <w:bookmarkStart w:id="60" w:name="_Toc435695347"/>
      <w:r w:rsidRPr="00300B58">
        <w:rPr>
          <w:rFonts w:eastAsia="Times New Roman"/>
        </w:rPr>
        <w:t>c. Conscientious exemption as a judicial remedy</w:t>
      </w:r>
      <w:bookmarkEnd w:id="57"/>
      <w:bookmarkEnd w:id="58"/>
      <w:bookmarkEnd w:id="59"/>
      <w:bookmarkEnd w:id="60"/>
    </w:p>
    <w:p w:rsidR="0054333A" w:rsidRDefault="0054333A" w:rsidP="005439C4">
      <w:pPr>
        <w:spacing w:after="0" w:line="480" w:lineRule="auto"/>
        <w:jc w:val="both"/>
        <w:rPr>
          <w:rFonts w:ascii="Times New Roman" w:eastAsia="Times New Roman" w:hAnsi="Times New Roman" w:cs="Times New Roman"/>
          <w:sz w:val="24"/>
          <w:szCs w:val="24"/>
        </w:rPr>
      </w:pPr>
    </w:p>
    <w:p w:rsidR="00300B58" w:rsidRPr="00300B58" w:rsidRDefault="00300B58" w:rsidP="00A438E5">
      <w:pPr>
        <w:spacing w:after="0" w:line="480" w:lineRule="auto"/>
        <w:jc w:val="both"/>
        <w:rPr>
          <w:rFonts w:ascii="Times New Roman" w:eastAsia="Times New Roman" w:hAnsi="Times New Roman" w:cs="Times New Roman"/>
          <w:sz w:val="24"/>
          <w:szCs w:val="24"/>
        </w:rPr>
      </w:pPr>
      <w:r w:rsidRPr="00300B58">
        <w:rPr>
          <w:rFonts w:ascii="Times New Roman" w:eastAsia="Times New Roman" w:hAnsi="Times New Roman" w:cs="Times New Roman"/>
          <w:sz w:val="24"/>
          <w:szCs w:val="24"/>
        </w:rPr>
        <w:t xml:space="preserve">As already shown, conscientious exemptions can be granted in the law itself, whether it is a ‘superior’ law or a ‘regular’ one. The law itself may sometime grant the judiciary wide discretion in deciding cases of conscientious exemption. </w:t>
      </w:r>
      <w:r w:rsidR="00A438E5">
        <w:rPr>
          <w:rFonts w:ascii="Times New Roman" w:eastAsia="Times New Roman" w:hAnsi="Times New Roman" w:cs="Times New Roman"/>
          <w:sz w:val="24"/>
          <w:szCs w:val="24"/>
        </w:rPr>
        <w:t xml:space="preserve">However, </w:t>
      </w:r>
      <w:r w:rsidRPr="00300B58">
        <w:rPr>
          <w:rFonts w:ascii="Times New Roman" w:eastAsia="Times New Roman" w:hAnsi="Times New Roman" w:cs="Times New Roman"/>
          <w:sz w:val="24"/>
          <w:szCs w:val="24"/>
        </w:rPr>
        <w:t>exemptions can be granted also as a judicial remedy</w:t>
      </w:r>
      <w:r w:rsidR="00E44505">
        <w:rPr>
          <w:rFonts w:ascii="Times New Roman" w:eastAsia="Times New Roman" w:hAnsi="Times New Roman" w:cs="Times New Roman"/>
          <w:sz w:val="24"/>
          <w:szCs w:val="24"/>
        </w:rPr>
        <w:t xml:space="preserve"> following a legislative omission</w:t>
      </w:r>
      <w:r w:rsidRPr="00300B58">
        <w:rPr>
          <w:rFonts w:ascii="Times New Roman" w:eastAsia="Times New Roman" w:hAnsi="Times New Roman" w:cs="Times New Roman"/>
          <w:sz w:val="24"/>
          <w:szCs w:val="24"/>
        </w:rPr>
        <w:t xml:space="preserve">. In these cases, the specific law does not grant an exemption or grants one that is too narrow, by which (and here I assume that this is the case) it fails to comply with an explicit or implicit constitutional rule or principle. Although the court can now strike </w:t>
      </w:r>
      <w:r w:rsidRPr="00300B58">
        <w:rPr>
          <w:rFonts w:ascii="Times New Roman" w:eastAsia="Times New Roman" w:hAnsi="Times New Roman" w:cs="Times New Roman"/>
          <w:sz w:val="24"/>
          <w:szCs w:val="24"/>
        </w:rPr>
        <w:lastRenderedPageBreak/>
        <w:t xml:space="preserve">down the law entirely, in most cases this would not be a desirable remedy, since we assume that the general rule itself is not unconstitutional. Another option is to ‘read into the law’ the required exemption and thereby comply with the </w:t>
      </w:r>
      <w:r w:rsidR="00B92D6E">
        <w:rPr>
          <w:rFonts w:ascii="Times New Roman" w:eastAsia="Times New Roman" w:hAnsi="Times New Roman" w:cs="Times New Roman"/>
          <w:sz w:val="24"/>
          <w:szCs w:val="24"/>
        </w:rPr>
        <w:t xml:space="preserve">(implied) </w:t>
      </w:r>
      <w:r w:rsidRPr="00300B58">
        <w:rPr>
          <w:rFonts w:ascii="Times New Roman" w:eastAsia="Times New Roman" w:hAnsi="Times New Roman" w:cs="Times New Roman"/>
          <w:sz w:val="24"/>
          <w:szCs w:val="24"/>
        </w:rPr>
        <w:t>constitutional demand</w:t>
      </w:r>
      <w:r w:rsidR="00B92D6E">
        <w:rPr>
          <w:rFonts w:ascii="Times New Roman" w:eastAsia="Times New Roman" w:hAnsi="Times New Roman" w:cs="Times New Roman"/>
          <w:sz w:val="24"/>
          <w:szCs w:val="24"/>
        </w:rPr>
        <w:t xml:space="preserve"> to tolerate conscientious objection by granting exemptions</w:t>
      </w:r>
      <w:r w:rsidR="007D2517">
        <w:rPr>
          <w:rFonts w:ascii="Times New Roman" w:eastAsia="Times New Roman" w:hAnsi="Times New Roman" w:cs="Times New Roman"/>
          <w:sz w:val="24"/>
          <w:szCs w:val="24"/>
        </w:rPr>
        <w:t xml:space="preserve"> – or to tolerate </w:t>
      </w:r>
      <w:r w:rsidR="006D0761">
        <w:rPr>
          <w:rFonts w:ascii="Times New Roman" w:eastAsia="Times New Roman" w:hAnsi="Times New Roman" w:cs="Times New Roman"/>
          <w:sz w:val="24"/>
          <w:szCs w:val="24"/>
        </w:rPr>
        <w:t xml:space="preserve">all conscientious </w:t>
      </w:r>
      <w:r w:rsidR="007D2517">
        <w:rPr>
          <w:rFonts w:ascii="Times New Roman" w:eastAsia="Times New Roman" w:hAnsi="Times New Roman" w:cs="Times New Roman"/>
          <w:sz w:val="24"/>
          <w:szCs w:val="24"/>
        </w:rPr>
        <w:t>objections equally</w:t>
      </w:r>
      <w:r w:rsidRPr="00300B58">
        <w:rPr>
          <w:rFonts w:ascii="Times New Roman" w:eastAsia="Times New Roman" w:hAnsi="Times New Roman" w:cs="Times New Roman"/>
          <w:sz w:val="24"/>
          <w:szCs w:val="24"/>
        </w:rPr>
        <w:t xml:space="preserve">. In this way, the desirable general rule remains intact, apart from </w:t>
      </w:r>
      <w:r w:rsidRPr="008231D2">
        <w:rPr>
          <w:rFonts w:ascii="Times New Roman" w:eastAsia="Times New Roman" w:hAnsi="Times New Roman" w:cs="Times New Roman"/>
          <w:sz w:val="24"/>
          <w:szCs w:val="24"/>
        </w:rPr>
        <w:t>the specific exemption to it, as added by the court.</w:t>
      </w:r>
      <w:r w:rsidR="00223B96" w:rsidRPr="008231D2">
        <w:rPr>
          <w:rStyle w:val="a5"/>
          <w:rFonts w:ascii="Times New Roman" w:eastAsia="Times New Roman" w:hAnsi="Times New Roman" w:cs="Times New Roman"/>
          <w:sz w:val="24"/>
          <w:szCs w:val="24"/>
        </w:rPr>
        <w:footnoteReference w:id="19"/>
      </w:r>
      <w:r w:rsidR="001D3C9E" w:rsidRPr="008231D2">
        <w:rPr>
          <w:rFonts w:ascii="Times New Roman" w:eastAsia="Times New Roman" w:hAnsi="Times New Roman" w:cs="Times New Roman"/>
          <w:sz w:val="24"/>
          <w:szCs w:val="24"/>
        </w:rPr>
        <w:t xml:space="preserve"> </w:t>
      </w:r>
    </w:p>
    <w:p w:rsidR="00300B58" w:rsidRPr="00300B58" w:rsidRDefault="00300B58" w:rsidP="009C0F9D">
      <w:pPr>
        <w:spacing w:after="0" w:line="480" w:lineRule="auto"/>
        <w:jc w:val="both"/>
        <w:rPr>
          <w:rFonts w:ascii="Times New Roman" w:eastAsia="Times New Roman" w:hAnsi="Times New Roman" w:cs="Times New Roman"/>
          <w:sz w:val="24"/>
          <w:szCs w:val="24"/>
        </w:rPr>
      </w:pPr>
      <w:r w:rsidRPr="00300B58">
        <w:rPr>
          <w:rFonts w:ascii="Times New Roman" w:eastAsia="Times New Roman" w:hAnsi="Times New Roman" w:cs="Monotype Hadassah"/>
          <w:sz w:val="24"/>
          <w:szCs w:val="20"/>
        </w:rPr>
        <w:t>This judicial practice can be perceived as a special case of constitutional interpretation whereby the court, through its interpretation, narrows the scope of the rule, or widens the scope of the existing under-inclusive exemption, in order for it to comply with the Constitution.</w:t>
      </w:r>
      <w:r w:rsidR="006D0761">
        <w:rPr>
          <w:rFonts w:ascii="Times New Roman" w:eastAsia="Times New Roman" w:hAnsi="Times New Roman" w:cs="Monotype Hadassah"/>
          <w:sz w:val="24"/>
          <w:szCs w:val="20"/>
        </w:rPr>
        <w:t xml:space="preserve"> It can also be seen as judicial law-making.</w:t>
      </w:r>
      <w:r w:rsidRPr="00300B58">
        <w:rPr>
          <w:rFonts w:ascii="Times New Roman" w:eastAsia="Times New Roman" w:hAnsi="Times New Roman" w:cs="Monotype Hadassah"/>
          <w:sz w:val="24"/>
          <w:szCs w:val="20"/>
        </w:rPr>
        <w:t xml:space="preserve"> </w:t>
      </w:r>
      <w:r w:rsidR="00B92D6E">
        <w:rPr>
          <w:rFonts w:ascii="Times New Roman" w:eastAsia="Times New Roman" w:hAnsi="Times New Roman" w:cs="Monotype Hadassah"/>
          <w:sz w:val="24"/>
          <w:szCs w:val="20"/>
        </w:rPr>
        <w:t>I</w:t>
      </w:r>
      <w:r w:rsidRPr="00300B58">
        <w:rPr>
          <w:rFonts w:ascii="Times New Roman" w:eastAsia="Times New Roman" w:hAnsi="Times New Roman" w:cs="Monotype Hadassah"/>
          <w:sz w:val="24"/>
          <w:szCs w:val="20"/>
        </w:rPr>
        <w:t>n cases in which the constitutional text is unclear about the existence of a duty or power to grant conscientious exemptions, granting conscientious exemptions as a judicial remedy gives rise to complicated constitutional issues, most of which are</w:t>
      </w:r>
      <w:r w:rsidR="00203B0B">
        <w:rPr>
          <w:rFonts w:ascii="Times New Roman" w:eastAsia="Times New Roman" w:hAnsi="Times New Roman" w:cs="Monotype Hadassah"/>
          <w:sz w:val="24"/>
          <w:szCs w:val="20"/>
        </w:rPr>
        <w:t xml:space="preserve"> </w:t>
      </w:r>
      <w:r w:rsidRPr="00300B58">
        <w:rPr>
          <w:rFonts w:ascii="Times New Roman" w:eastAsia="Times New Roman" w:hAnsi="Times New Roman" w:cs="Monotype Hadassah"/>
          <w:sz w:val="24"/>
          <w:szCs w:val="20"/>
        </w:rPr>
        <w:t>related in one way or another to the separation of powers</w:t>
      </w:r>
      <w:r w:rsidR="00203B0B">
        <w:rPr>
          <w:rFonts w:ascii="Times New Roman" w:eastAsia="Times New Roman" w:hAnsi="Times New Roman" w:cs="Monotype Hadassah"/>
          <w:sz w:val="24"/>
          <w:szCs w:val="20"/>
        </w:rPr>
        <w:t xml:space="preserve"> principle</w:t>
      </w:r>
      <w:r w:rsidRPr="00300B58">
        <w:rPr>
          <w:rFonts w:ascii="Times New Roman" w:eastAsia="Times New Roman" w:hAnsi="Times New Roman" w:cs="Monotype Hadassah"/>
          <w:sz w:val="24"/>
          <w:szCs w:val="20"/>
        </w:rPr>
        <w:t xml:space="preserve">, an issue that will be addressed later.  </w:t>
      </w:r>
      <w:r w:rsidRPr="00300B58">
        <w:rPr>
          <w:rFonts w:ascii="Times New Roman" w:eastAsia="Times New Roman" w:hAnsi="Times New Roman" w:cs="Times New Roman"/>
          <w:sz w:val="24"/>
          <w:szCs w:val="24"/>
        </w:rPr>
        <w:t xml:space="preserve"> </w:t>
      </w:r>
    </w:p>
    <w:p w:rsidR="00300B58" w:rsidRPr="00300B58" w:rsidRDefault="00807686" w:rsidP="0054333A">
      <w:pPr>
        <w:pStyle w:val="1"/>
        <w:rPr>
          <w:rFonts w:eastAsia="Times New Roman"/>
        </w:rPr>
      </w:pPr>
      <w:bookmarkStart w:id="61" w:name="_Toc190578493"/>
      <w:bookmarkStart w:id="62" w:name="_Toc171502416"/>
      <w:bookmarkStart w:id="63" w:name="_Toc138225972"/>
      <w:bookmarkStart w:id="64" w:name="_Toc435695348"/>
      <w:r>
        <w:rPr>
          <w:rFonts w:eastAsia="Times New Roman"/>
        </w:rPr>
        <w:t>4</w:t>
      </w:r>
      <w:r w:rsidR="00300B58" w:rsidRPr="00300B58">
        <w:rPr>
          <w:rFonts w:eastAsia="Times New Roman"/>
        </w:rPr>
        <w:t>. How conscientious exemptions should be granted</w:t>
      </w:r>
      <w:bookmarkEnd w:id="61"/>
      <w:bookmarkEnd w:id="62"/>
      <w:bookmarkEnd w:id="63"/>
      <w:bookmarkEnd w:id="64"/>
    </w:p>
    <w:p w:rsidR="0054333A" w:rsidRDefault="0054333A" w:rsidP="00527B08">
      <w:pPr>
        <w:spacing w:after="0" w:line="480" w:lineRule="auto"/>
        <w:jc w:val="both"/>
        <w:rPr>
          <w:rFonts w:ascii="Times New Roman" w:eastAsia="Times New Roman" w:hAnsi="Times New Roman" w:cs="Monotype Hadassah"/>
          <w:sz w:val="24"/>
          <w:szCs w:val="20"/>
        </w:rPr>
      </w:pPr>
    </w:p>
    <w:p w:rsidR="00300B58" w:rsidRPr="00300B58" w:rsidRDefault="00300B58" w:rsidP="009C0F9D">
      <w:pPr>
        <w:spacing w:after="0" w:line="480" w:lineRule="auto"/>
        <w:jc w:val="both"/>
        <w:rPr>
          <w:rFonts w:ascii="Times New Roman" w:eastAsia="Times New Roman" w:hAnsi="Times New Roman" w:cs="Monotype Hadassah"/>
          <w:sz w:val="24"/>
          <w:szCs w:val="20"/>
        </w:rPr>
      </w:pPr>
      <w:r w:rsidRPr="00300B58">
        <w:rPr>
          <w:rFonts w:ascii="Times New Roman" w:eastAsia="Times New Roman" w:hAnsi="Times New Roman" w:cs="Monotype Hadassah"/>
          <w:sz w:val="24"/>
          <w:szCs w:val="20"/>
        </w:rPr>
        <w:t>The general question of how conscientious exemptions should be granted can be addressed in many different ways. A</w:t>
      </w:r>
      <w:r w:rsidR="008231D2">
        <w:rPr>
          <w:rFonts w:ascii="Times New Roman" w:eastAsia="Times New Roman" w:hAnsi="Times New Roman" w:cs="Monotype Hadassah"/>
          <w:sz w:val="24"/>
          <w:szCs w:val="20"/>
        </w:rPr>
        <w:t xml:space="preserve"> preliminary</w:t>
      </w:r>
      <w:r w:rsidRPr="00300B58">
        <w:rPr>
          <w:rFonts w:ascii="Times New Roman" w:eastAsia="Times New Roman" w:hAnsi="Times New Roman" w:cs="Monotype Hadassah"/>
          <w:sz w:val="24"/>
          <w:szCs w:val="20"/>
        </w:rPr>
        <w:t xml:space="preserve"> discussion of this complex topic would have to address the following questions: in which legal norm should the exemption be included? How should the exemption be phrased? And which </w:t>
      </w:r>
      <w:r w:rsidR="009C0F9D">
        <w:rPr>
          <w:rFonts w:ascii="Times New Roman" w:eastAsia="Times New Roman" w:hAnsi="Times New Roman" w:cs="Monotype Hadassah"/>
          <w:sz w:val="24"/>
          <w:szCs w:val="20"/>
        </w:rPr>
        <w:t xml:space="preserve">state </w:t>
      </w:r>
      <w:r w:rsidR="009C0F9D">
        <w:rPr>
          <w:rFonts w:ascii="Times New Roman" w:eastAsia="Times New Roman" w:hAnsi="Times New Roman" w:cs="Monotype Hadassah"/>
          <w:sz w:val="24"/>
          <w:szCs w:val="20"/>
        </w:rPr>
        <w:lastRenderedPageBreak/>
        <w:t xml:space="preserve">organ </w:t>
      </w:r>
      <w:r w:rsidRPr="00300B58">
        <w:rPr>
          <w:rFonts w:ascii="Times New Roman" w:eastAsia="Times New Roman" w:hAnsi="Times New Roman" w:cs="Monotype Hadassah"/>
          <w:sz w:val="24"/>
          <w:szCs w:val="20"/>
        </w:rPr>
        <w:t xml:space="preserve">should play the major role in granting the exemption? Taking these questions into account, I will divide the following discussion into four </w:t>
      </w:r>
      <w:r w:rsidR="00885C15">
        <w:rPr>
          <w:rFonts w:ascii="Times New Roman" w:eastAsia="Times New Roman" w:hAnsi="Times New Roman" w:cs="Monotype Hadassah"/>
          <w:sz w:val="24"/>
          <w:szCs w:val="20"/>
        </w:rPr>
        <w:t>part</w:t>
      </w:r>
      <w:r w:rsidRPr="00300B58">
        <w:rPr>
          <w:rFonts w:ascii="Times New Roman" w:eastAsia="Times New Roman" w:hAnsi="Times New Roman" w:cs="Monotype Hadassah"/>
          <w:sz w:val="24"/>
          <w:szCs w:val="20"/>
        </w:rPr>
        <w:t>s.</w:t>
      </w:r>
    </w:p>
    <w:p w:rsidR="00300B58" w:rsidRPr="00300B58" w:rsidRDefault="00300B58" w:rsidP="008231D2">
      <w:pPr>
        <w:spacing w:after="0" w:line="480" w:lineRule="auto"/>
        <w:jc w:val="both"/>
        <w:rPr>
          <w:rFonts w:ascii="Times New Roman" w:eastAsia="Times New Roman" w:hAnsi="Times New Roman" w:cs="Monotype Hadassah"/>
          <w:sz w:val="24"/>
          <w:szCs w:val="20"/>
        </w:rPr>
      </w:pPr>
      <w:r w:rsidRPr="00300B58">
        <w:rPr>
          <w:rFonts w:ascii="Times New Roman" w:eastAsia="Times New Roman" w:hAnsi="Times New Roman" w:cs="Monotype Hadassah"/>
          <w:sz w:val="24"/>
          <w:szCs w:val="20"/>
        </w:rPr>
        <w:t xml:space="preserve">Firstly, assuming that there </w:t>
      </w:r>
      <w:r w:rsidR="005D7105">
        <w:rPr>
          <w:rFonts w:ascii="Times New Roman" w:eastAsia="Times New Roman" w:hAnsi="Times New Roman" w:cs="Monotype Hadassah"/>
          <w:sz w:val="24"/>
          <w:szCs w:val="20"/>
        </w:rPr>
        <w:t>is</w:t>
      </w:r>
      <w:r w:rsidRPr="00300B58">
        <w:rPr>
          <w:rFonts w:ascii="Times New Roman" w:eastAsia="Times New Roman" w:hAnsi="Times New Roman" w:cs="Monotype Hadassah"/>
          <w:sz w:val="24"/>
          <w:szCs w:val="20"/>
        </w:rPr>
        <w:t xml:space="preserve"> a legal right to be granted conscientious exemption and that this </w:t>
      </w:r>
      <w:r w:rsidR="008231D2">
        <w:rPr>
          <w:rFonts w:ascii="Times New Roman" w:eastAsia="Times New Roman" w:hAnsi="Times New Roman" w:cs="Monotype Hadassah"/>
          <w:sz w:val="24"/>
          <w:szCs w:val="20"/>
        </w:rPr>
        <w:t>right is</w:t>
      </w:r>
      <w:r w:rsidRPr="00300B58">
        <w:rPr>
          <w:rFonts w:ascii="Times New Roman" w:eastAsia="Times New Roman" w:hAnsi="Times New Roman" w:cs="Monotype Hadassah"/>
          <w:sz w:val="24"/>
          <w:szCs w:val="20"/>
        </w:rPr>
        <w:t xml:space="preserve"> included in specific laws regarding specific cases, I shall enquire whether statutory conscientious exemptions should be granted to specific groups, to unidentified individuals according to a neutral test, or to anyone who claims it.</w:t>
      </w:r>
    </w:p>
    <w:p w:rsidR="00300B58" w:rsidRPr="00300B58" w:rsidRDefault="00300B58" w:rsidP="00527B08">
      <w:pPr>
        <w:spacing w:after="0" w:line="480" w:lineRule="auto"/>
        <w:jc w:val="both"/>
        <w:rPr>
          <w:rFonts w:ascii="Times New Roman" w:eastAsia="Times New Roman" w:hAnsi="Times New Roman" w:cs="Monotype Hadassah"/>
          <w:sz w:val="24"/>
          <w:szCs w:val="20"/>
        </w:rPr>
      </w:pPr>
      <w:r w:rsidRPr="00300B58">
        <w:rPr>
          <w:rFonts w:ascii="Times New Roman" w:eastAsia="Times New Roman" w:hAnsi="Times New Roman" w:cs="Monotype Hadassah"/>
          <w:sz w:val="24"/>
          <w:szCs w:val="20"/>
        </w:rPr>
        <w:t>Secondly, I shall enquire whether there should be a general legal right to be granted conscientious exemption (either a statutory or a constitutional one) or whether conscientious exemptions should be granted only in specific laws regarding specific cases.</w:t>
      </w:r>
    </w:p>
    <w:p w:rsidR="00300B58" w:rsidRPr="00300B58" w:rsidRDefault="00300B58" w:rsidP="008231D2">
      <w:pPr>
        <w:spacing w:after="0" w:line="480" w:lineRule="auto"/>
        <w:jc w:val="both"/>
        <w:rPr>
          <w:rFonts w:ascii="Times New Roman" w:eastAsia="Times New Roman" w:hAnsi="Times New Roman" w:cs="Monotype Hadassah"/>
          <w:sz w:val="24"/>
          <w:szCs w:val="20"/>
        </w:rPr>
      </w:pPr>
      <w:r w:rsidRPr="00300B58">
        <w:rPr>
          <w:rFonts w:ascii="Times New Roman" w:eastAsia="Times New Roman" w:hAnsi="Times New Roman" w:cs="Monotype Hadassah"/>
          <w:sz w:val="24"/>
          <w:szCs w:val="20"/>
        </w:rPr>
        <w:t xml:space="preserve">Thirdly, assuming that there should be a general legal right to be granted conscientious exemption, I shall ask by which legal norm this right should be protected: by ‘regular’ </w:t>
      </w:r>
      <w:r w:rsidR="005D7105">
        <w:rPr>
          <w:rFonts w:ascii="Times New Roman" w:eastAsia="Times New Roman" w:hAnsi="Times New Roman" w:cs="Monotype Hadassah"/>
          <w:sz w:val="24"/>
          <w:szCs w:val="20"/>
        </w:rPr>
        <w:t>statutes</w:t>
      </w:r>
      <w:r w:rsidRPr="00300B58">
        <w:rPr>
          <w:rFonts w:ascii="Times New Roman" w:eastAsia="Times New Roman" w:hAnsi="Times New Roman" w:cs="Monotype Hadassah"/>
          <w:sz w:val="24"/>
          <w:szCs w:val="20"/>
        </w:rPr>
        <w:t xml:space="preserve"> or by the </w:t>
      </w:r>
      <w:r w:rsidR="00885C15">
        <w:rPr>
          <w:rFonts w:ascii="Times New Roman" w:eastAsia="Times New Roman" w:hAnsi="Times New Roman" w:cs="Monotype Hadassah"/>
          <w:sz w:val="24"/>
          <w:szCs w:val="20"/>
        </w:rPr>
        <w:t>c</w:t>
      </w:r>
      <w:r w:rsidRPr="00300B58">
        <w:rPr>
          <w:rFonts w:ascii="Times New Roman" w:eastAsia="Times New Roman" w:hAnsi="Times New Roman" w:cs="Monotype Hadassah"/>
          <w:sz w:val="24"/>
          <w:szCs w:val="20"/>
        </w:rPr>
        <w:t>onstitution?</w:t>
      </w:r>
    </w:p>
    <w:p w:rsidR="00300B58" w:rsidRPr="00300B58" w:rsidRDefault="00300B58" w:rsidP="008231D2">
      <w:pPr>
        <w:spacing w:after="0" w:line="480" w:lineRule="auto"/>
        <w:jc w:val="both"/>
        <w:rPr>
          <w:rFonts w:ascii="Times New Roman" w:eastAsia="Times New Roman" w:hAnsi="Times New Roman" w:cs="Monotype Hadassah"/>
          <w:sz w:val="24"/>
          <w:szCs w:val="20"/>
        </w:rPr>
      </w:pPr>
      <w:r w:rsidRPr="00300B58">
        <w:rPr>
          <w:rFonts w:ascii="Times New Roman" w:eastAsia="Times New Roman" w:hAnsi="Times New Roman" w:cs="Monotype Hadassah"/>
          <w:sz w:val="24"/>
          <w:szCs w:val="20"/>
        </w:rPr>
        <w:t>Fourthly, I shall ask who should be the dominant authority in deciding whether or not to grant exemptions: the legislature, the judiciary</w:t>
      </w:r>
      <w:r w:rsidR="008231D2">
        <w:rPr>
          <w:rFonts w:ascii="Times New Roman" w:eastAsia="Times New Roman" w:hAnsi="Times New Roman" w:cs="Monotype Hadassah"/>
          <w:sz w:val="24"/>
          <w:szCs w:val="20"/>
        </w:rPr>
        <w:t xml:space="preserve"> or</w:t>
      </w:r>
      <w:r w:rsidRPr="00300B58">
        <w:rPr>
          <w:rFonts w:ascii="Times New Roman" w:eastAsia="Times New Roman" w:hAnsi="Times New Roman" w:cs="Monotype Hadassah"/>
          <w:sz w:val="24"/>
          <w:szCs w:val="20"/>
        </w:rPr>
        <w:t xml:space="preserve"> the executive</w:t>
      </w:r>
      <w:r w:rsidR="008231D2">
        <w:rPr>
          <w:rFonts w:ascii="Times New Roman" w:eastAsia="Times New Roman" w:hAnsi="Times New Roman" w:cs="Monotype Hadassah"/>
          <w:sz w:val="24"/>
          <w:szCs w:val="20"/>
        </w:rPr>
        <w:t>.</w:t>
      </w:r>
      <w:r w:rsidRPr="00300B58">
        <w:rPr>
          <w:rFonts w:ascii="Times New Roman" w:eastAsia="Times New Roman" w:hAnsi="Times New Roman" w:cs="Monotype Hadassah"/>
          <w:sz w:val="24"/>
          <w:szCs w:val="20"/>
        </w:rPr>
        <w:t xml:space="preserve"> </w:t>
      </w:r>
    </w:p>
    <w:p w:rsidR="00300B58" w:rsidRPr="00300B58" w:rsidRDefault="00300B58" w:rsidP="00527B08">
      <w:pPr>
        <w:spacing w:after="0" w:line="480" w:lineRule="auto"/>
        <w:jc w:val="both"/>
        <w:rPr>
          <w:rFonts w:ascii="Times New Roman" w:eastAsia="Times New Roman" w:hAnsi="Times New Roman" w:cs="Monotype Hadassah"/>
          <w:sz w:val="24"/>
          <w:szCs w:val="20"/>
        </w:rPr>
      </w:pPr>
      <w:r w:rsidRPr="00300B58">
        <w:rPr>
          <w:rFonts w:ascii="Times New Roman" w:eastAsia="Times New Roman" w:hAnsi="Times New Roman" w:cs="Monotype Hadassah"/>
          <w:sz w:val="24"/>
          <w:szCs w:val="20"/>
        </w:rPr>
        <w:t xml:space="preserve">These four questions are interrelated in various ways, and so will be discussed separately only to some degree. Other parts of the following discussion will address some of these questions simultaneously.    </w:t>
      </w:r>
    </w:p>
    <w:p w:rsidR="00300B58" w:rsidRPr="00300B58" w:rsidRDefault="009C0F9D" w:rsidP="00527B08">
      <w:pPr>
        <w:spacing w:after="0" w:line="480" w:lineRule="auto"/>
        <w:jc w:val="both"/>
        <w:rPr>
          <w:rFonts w:ascii="Times New Roman" w:eastAsia="Times New Roman" w:hAnsi="Times New Roman" w:cs="Monotype Hadassah"/>
          <w:sz w:val="24"/>
          <w:szCs w:val="20"/>
        </w:rPr>
      </w:pPr>
      <w:r>
        <w:rPr>
          <w:rFonts w:ascii="Times New Roman" w:eastAsia="Times New Roman" w:hAnsi="Times New Roman" w:cs="Monotype Hadassah"/>
          <w:sz w:val="24"/>
          <w:szCs w:val="20"/>
        </w:rPr>
        <w:t xml:space="preserve">The </w:t>
      </w:r>
      <w:r w:rsidR="00300B58" w:rsidRPr="00300B58">
        <w:rPr>
          <w:rFonts w:ascii="Times New Roman" w:eastAsia="Times New Roman" w:hAnsi="Times New Roman" w:cs="Monotype Hadassah"/>
          <w:sz w:val="24"/>
          <w:szCs w:val="20"/>
        </w:rPr>
        <w:t xml:space="preserve">main purpose is to determine whether there is a better way of granting conscientious exemptions in all or most cases and, if not, which ways are preferable and in which circumstances. </w:t>
      </w:r>
    </w:p>
    <w:p w:rsidR="00300B58" w:rsidRPr="00300B58" w:rsidRDefault="00300B58" w:rsidP="009C0F9D">
      <w:pPr>
        <w:spacing w:after="0" w:line="480" w:lineRule="auto"/>
        <w:jc w:val="both"/>
        <w:rPr>
          <w:rFonts w:ascii="Times New Roman" w:eastAsia="Times New Roman" w:hAnsi="Times New Roman" w:cs="Monotype Hadassah"/>
          <w:sz w:val="24"/>
          <w:szCs w:val="20"/>
        </w:rPr>
      </w:pPr>
      <w:r w:rsidRPr="00300B58">
        <w:rPr>
          <w:rFonts w:ascii="Times New Roman" w:eastAsia="Times New Roman" w:hAnsi="Times New Roman" w:cs="Monotype Hadassah"/>
          <w:sz w:val="24"/>
          <w:szCs w:val="20"/>
        </w:rPr>
        <w:t>Before embarking on this normative analysis, its framework</w:t>
      </w:r>
      <w:r w:rsidR="005D7105">
        <w:rPr>
          <w:rFonts w:ascii="Times New Roman" w:eastAsia="Times New Roman" w:hAnsi="Times New Roman" w:cs="Monotype Hadassah"/>
          <w:sz w:val="24"/>
          <w:szCs w:val="20"/>
        </w:rPr>
        <w:t xml:space="preserve"> should be clarified</w:t>
      </w:r>
      <w:r w:rsidRPr="00300B58">
        <w:rPr>
          <w:rFonts w:ascii="Times New Roman" w:eastAsia="Times New Roman" w:hAnsi="Times New Roman" w:cs="Monotype Hadassah"/>
          <w:sz w:val="24"/>
          <w:szCs w:val="20"/>
        </w:rPr>
        <w:t xml:space="preserve">. No doubt the right way to grant conscientious exemptions may depend on various </w:t>
      </w:r>
      <w:r w:rsidR="008231D2">
        <w:rPr>
          <w:rFonts w:ascii="Times New Roman" w:eastAsia="Times New Roman" w:hAnsi="Times New Roman" w:cs="Monotype Hadassah"/>
          <w:sz w:val="24"/>
          <w:szCs w:val="20"/>
        </w:rPr>
        <w:t xml:space="preserve">legal, </w:t>
      </w:r>
      <w:r w:rsidRPr="00300B58">
        <w:rPr>
          <w:rFonts w:ascii="Times New Roman" w:eastAsia="Times New Roman" w:hAnsi="Times New Roman" w:cs="Monotype Hadassah"/>
          <w:sz w:val="24"/>
          <w:szCs w:val="20"/>
        </w:rPr>
        <w:t xml:space="preserve">cultural, sociological and historical differences between democratic states. Nevertheless, the following discussion will ignore these variants. For the purposes of </w:t>
      </w:r>
      <w:r w:rsidRPr="00300B58">
        <w:rPr>
          <w:rFonts w:ascii="Times New Roman" w:eastAsia="Times New Roman" w:hAnsi="Times New Roman" w:cs="Monotype Hadassah"/>
          <w:sz w:val="24"/>
          <w:szCs w:val="20"/>
        </w:rPr>
        <w:lastRenderedPageBreak/>
        <w:t>this paper, I will assume a basic model of constitutional democracy that has some sort of ‘</w:t>
      </w:r>
      <w:r w:rsidR="005D7105">
        <w:rPr>
          <w:rFonts w:ascii="Times New Roman" w:eastAsia="Times New Roman" w:hAnsi="Times New Roman" w:cs="Monotype Hadassah"/>
          <w:sz w:val="24"/>
          <w:szCs w:val="20"/>
        </w:rPr>
        <w:t>B</w:t>
      </w:r>
      <w:r w:rsidRPr="00300B58">
        <w:rPr>
          <w:rFonts w:ascii="Times New Roman" w:eastAsia="Times New Roman" w:hAnsi="Times New Roman" w:cs="Monotype Hadassah"/>
          <w:sz w:val="24"/>
          <w:szCs w:val="20"/>
        </w:rPr>
        <w:t xml:space="preserve">ill of </w:t>
      </w:r>
      <w:r w:rsidR="005D7105">
        <w:rPr>
          <w:rFonts w:ascii="Times New Roman" w:eastAsia="Times New Roman" w:hAnsi="Times New Roman" w:cs="Monotype Hadassah"/>
          <w:sz w:val="24"/>
          <w:szCs w:val="20"/>
        </w:rPr>
        <w:t>R</w:t>
      </w:r>
      <w:r w:rsidRPr="00300B58">
        <w:rPr>
          <w:rFonts w:ascii="Times New Roman" w:eastAsia="Times New Roman" w:hAnsi="Times New Roman" w:cs="Monotype Hadassah"/>
          <w:sz w:val="24"/>
          <w:szCs w:val="20"/>
        </w:rPr>
        <w:t>ights’</w:t>
      </w:r>
      <w:r w:rsidR="00D13BDD">
        <w:rPr>
          <w:rFonts w:ascii="Times New Roman" w:eastAsia="Times New Roman" w:hAnsi="Times New Roman" w:cs="Monotype Hadassah"/>
          <w:sz w:val="24"/>
          <w:szCs w:val="20"/>
        </w:rPr>
        <w:t xml:space="preserve"> </w:t>
      </w:r>
      <w:r w:rsidRPr="00300B58">
        <w:rPr>
          <w:rFonts w:ascii="Times New Roman" w:eastAsia="Times New Roman" w:hAnsi="Times New Roman" w:cs="Monotype Hadassah"/>
          <w:sz w:val="24"/>
          <w:szCs w:val="20"/>
        </w:rPr>
        <w:t xml:space="preserve">and, by definition, adopts the principle of the separation of powers. Whatever other specific features the principle of separation of powers may have, I will assume the existence of an independent court that has </w:t>
      </w:r>
      <w:r w:rsidR="005D7105">
        <w:rPr>
          <w:rFonts w:ascii="Times New Roman" w:eastAsia="Times New Roman" w:hAnsi="Times New Roman" w:cs="Monotype Hadassah"/>
          <w:sz w:val="24"/>
          <w:szCs w:val="20"/>
        </w:rPr>
        <w:t xml:space="preserve">the </w:t>
      </w:r>
      <w:r w:rsidRPr="00300B58">
        <w:rPr>
          <w:rFonts w:ascii="Times New Roman" w:eastAsia="Times New Roman" w:hAnsi="Times New Roman" w:cs="Monotype Hadassah"/>
          <w:sz w:val="24"/>
          <w:szCs w:val="20"/>
        </w:rPr>
        <w:t xml:space="preserve">power to strike down legislation that contradicts the </w:t>
      </w:r>
      <w:r w:rsidR="00885C15">
        <w:rPr>
          <w:rFonts w:ascii="Times New Roman" w:eastAsia="Times New Roman" w:hAnsi="Times New Roman" w:cs="Monotype Hadassah"/>
          <w:sz w:val="24"/>
          <w:szCs w:val="20"/>
        </w:rPr>
        <w:t>c</w:t>
      </w:r>
      <w:r w:rsidRPr="00300B58">
        <w:rPr>
          <w:rFonts w:ascii="Times New Roman" w:eastAsia="Times New Roman" w:hAnsi="Times New Roman" w:cs="Monotype Hadassah"/>
          <w:sz w:val="24"/>
          <w:szCs w:val="20"/>
        </w:rPr>
        <w:t>onstitution</w:t>
      </w:r>
      <w:r w:rsidR="009C0F9D">
        <w:rPr>
          <w:rFonts w:ascii="Times New Roman" w:eastAsia="Times New Roman" w:hAnsi="Times New Roman" w:cs="Monotype Hadassah"/>
          <w:sz w:val="24"/>
          <w:szCs w:val="20"/>
        </w:rPr>
        <w:t xml:space="preserve"> or to declare that a statute i</w:t>
      </w:r>
      <w:r w:rsidR="00885C15">
        <w:rPr>
          <w:rFonts w:ascii="Times New Roman" w:eastAsia="Times New Roman" w:hAnsi="Times New Roman" w:cs="Monotype Hadassah"/>
          <w:sz w:val="24"/>
          <w:szCs w:val="20"/>
        </w:rPr>
        <w:t>s</w:t>
      </w:r>
      <w:r w:rsidR="009C0F9D">
        <w:rPr>
          <w:rFonts w:ascii="Times New Roman" w:eastAsia="Times New Roman" w:hAnsi="Times New Roman" w:cs="Monotype Hadassah"/>
          <w:sz w:val="24"/>
          <w:szCs w:val="20"/>
        </w:rPr>
        <w:t xml:space="preserve"> incompatible with a ‘superior legal norm’ (as UK courts are authorised to declare that an Act of Parliament is incompatible with the European Convention on Human Rights)</w:t>
      </w:r>
      <w:r w:rsidRPr="00300B58">
        <w:rPr>
          <w:rFonts w:ascii="Times New Roman" w:eastAsia="Times New Roman" w:hAnsi="Times New Roman" w:cs="Monotype Hadassah"/>
          <w:sz w:val="24"/>
          <w:szCs w:val="20"/>
        </w:rPr>
        <w:t>.</w:t>
      </w:r>
      <w:r w:rsidR="008231D2">
        <w:rPr>
          <w:rFonts w:ascii="Times New Roman" w:eastAsia="Times New Roman" w:hAnsi="Times New Roman" w:cs="Monotype Hadassah"/>
          <w:sz w:val="24"/>
          <w:szCs w:val="20"/>
        </w:rPr>
        <w:t xml:space="preserve"> </w:t>
      </w:r>
      <w:r w:rsidRPr="00300B58">
        <w:rPr>
          <w:rFonts w:ascii="Times New Roman" w:eastAsia="Times New Roman" w:hAnsi="Times New Roman" w:cs="Monotype Hadassah"/>
          <w:sz w:val="24"/>
          <w:szCs w:val="20"/>
        </w:rPr>
        <w:t>Within this framework, the following arguments can apply in a similar way to any democracy that falls within the very basic model described above.</w:t>
      </w:r>
      <w:r w:rsidR="00D3107D">
        <w:rPr>
          <w:rStyle w:val="a5"/>
          <w:rFonts w:ascii="Times New Roman" w:eastAsia="Times New Roman" w:hAnsi="Times New Roman" w:cs="Monotype Hadassah"/>
          <w:sz w:val="24"/>
          <w:szCs w:val="20"/>
        </w:rPr>
        <w:footnoteReference w:id="20"/>
      </w:r>
      <w:r w:rsidRPr="00300B58">
        <w:rPr>
          <w:rFonts w:ascii="Times New Roman" w:eastAsia="Times New Roman" w:hAnsi="Times New Roman" w:cs="Monotype Hadassah"/>
          <w:sz w:val="24"/>
          <w:szCs w:val="20"/>
        </w:rPr>
        <w:t xml:space="preserve"> </w:t>
      </w:r>
    </w:p>
    <w:p w:rsidR="00300B58" w:rsidRPr="00300B58" w:rsidRDefault="00885C15" w:rsidP="0054333A">
      <w:pPr>
        <w:pStyle w:val="2"/>
        <w:rPr>
          <w:rFonts w:eastAsia="Times New Roman"/>
        </w:rPr>
      </w:pPr>
      <w:bookmarkStart w:id="65" w:name="_Toc190578495"/>
      <w:bookmarkStart w:id="66" w:name="_Toc171502418"/>
      <w:bookmarkStart w:id="67" w:name="_Toc138225974"/>
      <w:bookmarkStart w:id="68" w:name="_Toc435695349"/>
      <w:r>
        <w:rPr>
          <w:rFonts w:eastAsia="Times New Roman"/>
        </w:rPr>
        <w:t>a</w:t>
      </w:r>
      <w:r w:rsidR="00300B58" w:rsidRPr="00300B58">
        <w:rPr>
          <w:rFonts w:eastAsia="Times New Roman"/>
        </w:rPr>
        <w:t>. To whom should conscientious exemptions be granted?</w:t>
      </w:r>
      <w:bookmarkEnd w:id="65"/>
      <w:bookmarkEnd w:id="66"/>
      <w:bookmarkEnd w:id="67"/>
      <w:bookmarkEnd w:id="68"/>
    </w:p>
    <w:p w:rsidR="0054333A" w:rsidRDefault="0054333A" w:rsidP="00B82751">
      <w:pPr>
        <w:spacing w:after="0" w:line="480" w:lineRule="auto"/>
        <w:jc w:val="both"/>
        <w:rPr>
          <w:rFonts w:ascii="Times New Roman" w:eastAsia="Times New Roman" w:hAnsi="Times New Roman" w:cs="Monotype Hadassah"/>
          <w:sz w:val="24"/>
          <w:szCs w:val="20"/>
        </w:rPr>
      </w:pPr>
    </w:p>
    <w:p w:rsidR="00300B58" w:rsidRPr="00300B58" w:rsidRDefault="00300B58" w:rsidP="00B76B29">
      <w:pPr>
        <w:spacing w:after="0" w:line="480" w:lineRule="auto"/>
        <w:jc w:val="both"/>
        <w:rPr>
          <w:rFonts w:ascii="Times New Roman" w:eastAsia="Times New Roman" w:hAnsi="Times New Roman" w:cs="Monotype Hadassah"/>
          <w:sz w:val="24"/>
          <w:szCs w:val="20"/>
        </w:rPr>
      </w:pPr>
      <w:r w:rsidRPr="00300B58">
        <w:rPr>
          <w:rFonts w:ascii="Times New Roman" w:eastAsia="Times New Roman" w:hAnsi="Times New Roman" w:cs="Monotype Hadassah"/>
          <w:sz w:val="24"/>
          <w:szCs w:val="20"/>
        </w:rPr>
        <w:t>I shall examine three models for granting conscientious exemptions: granting exemption</w:t>
      </w:r>
      <w:r w:rsidR="00715063">
        <w:rPr>
          <w:rFonts w:ascii="Times New Roman" w:eastAsia="Times New Roman" w:hAnsi="Times New Roman" w:cs="Monotype Hadassah"/>
          <w:sz w:val="24"/>
          <w:szCs w:val="20"/>
        </w:rPr>
        <w:t>s</w:t>
      </w:r>
      <w:r w:rsidRPr="00300B58">
        <w:rPr>
          <w:rFonts w:ascii="Times New Roman" w:eastAsia="Times New Roman" w:hAnsi="Times New Roman" w:cs="Monotype Hadassah"/>
          <w:sz w:val="24"/>
          <w:szCs w:val="20"/>
        </w:rPr>
        <w:t xml:space="preserve"> to specific groups; granting them to unidentified individuals according to a neutral test; and granting exemption to anyone who claims </w:t>
      </w:r>
      <w:r w:rsidR="00B82751">
        <w:rPr>
          <w:rFonts w:ascii="Times New Roman" w:eastAsia="Times New Roman" w:hAnsi="Times New Roman" w:cs="Monotype Hadassah"/>
          <w:sz w:val="24"/>
          <w:szCs w:val="20"/>
        </w:rPr>
        <w:t>it</w:t>
      </w:r>
      <w:r w:rsidRPr="00300B58">
        <w:rPr>
          <w:rFonts w:ascii="Times New Roman" w:eastAsia="Times New Roman" w:hAnsi="Times New Roman" w:cs="Monotype Hadassah"/>
          <w:sz w:val="24"/>
          <w:szCs w:val="20"/>
        </w:rPr>
        <w:t>.</w:t>
      </w:r>
    </w:p>
    <w:p w:rsidR="00300B58" w:rsidRPr="00300B58" w:rsidRDefault="00F27320" w:rsidP="00F27320">
      <w:pPr>
        <w:spacing w:after="0" w:line="480" w:lineRule="auto"/>
        <w:jc w:val="both"/>
        <w:rPr>
          <w:rFonts w:ascii="Times New Roman" w:eastAsia="Times New Roman" w:hAnsi="Times New Roman" w:cs="Monotype Hadassah"/>
          <w:sz w:val="24"/>
          <w:szCs w:val="20"/>
        </w:rPr>
      </w:pPr>
      <w:r>
        <w:rPr>
          <w:rFonts w:ascii="Times New Roman" w:eastAsia="Times New Roman" w:hAnsi="Times New Roman" w:cs="Monotype Hadassah"/>
          <w:sz w:val="24"/>
          <w:szCs w:val="20"/>
        </w:rPr>
        <w:t xml:space="preserve">As to </w:t>
      </w:r>
      <w:r w:rsidR="00300B58" w:rsidRPr="00300B58">
        <w:rPr>
          <w:rFonts w:ascii="Times New Roman" w:eastAsia="Times New Roman" w:hAnsi="Times New Roman" w:cs="Monotype Hadassah"/>
          <w:sz w:val="24"/>
          <w:szCs w:val="20"/>
        </w:rPr>
        <w:t>the model of granting conscientious exemptions to members of specific groups (‘the specific group model’), some of its advantages are merely a mirror image of the other models’ drawbacks and vice versa.</w:t>
      </w:r>
    </w:p>
    <w:p w:rsidR="00300B58" w:rsidRPr="00300B58" w:rsidRDefault="0067701B" w:rsidP="0067701B">
      <w:pPr>
        <w:spacing w:after="0" w:line="480" w:lineRule="auto"/>
        <w:jc w:val="both"/>
        <w:rPr>
          <w:rFonts w:ascii="Times New Roman" w:eastAsia="Times New Roman" w:hAnsi="Times New Roman" w:cs="Monotype Hadassah"/>
          <w:sz w:val="24"/>
          <w:szCs w:val="20"/>
        </w:rPr>
      </w:pPr>
      <w:r>
        <w:rPr>
          <w:rFonts w:ascii="Times New Roman" w:eastAsia="Times New Roman" w:hAnsi="Times New Roman" w:cs="Monotype Hadassah"/>
          <w:sz w:val="24"/>
          <w:szCs w:val="20"/>
        </w:rPr>
        <w:t>M</w:t>
      </w:r>
      <w:r w:rsidR="00300B58" w:rsidRPr="00300B58">
        <w:rPr>
          <w:rFonts w:ascii="Times New Roman" w:eastAsia="Times New Roman" w:hAnsi="Times New Roman" w:cs="Monotype Hadassah"/>
          <w:sz w:val="24"/>
          <w:szCs w:val="20"/>
        </w:rPr>
        <w:t>ost of the specific groups to which membership entitles individuals to be granted conscientious exemptions are religious groups. Only a few are cultural groups. I will not discuss here the differences between conscientious exemption, religious exemption and cultural exemption. I will</w:t>
      </w:r>
      <w:r w:rsidR="00B82751">
        <w:rPr>
          <w:rFonts w:ascii="Times New Roman" w:eastAsia="Times New Roman" w:hAnsi="Times New Roman" w:cs="Monotype Hadassah"/>
          <w:sz w:val="24"/>
          <w:szCs w:val="20"/>
        </w:rPr>
        <w:t xml:space="preserve"> also</w:t>
      </w:r>
      <w:r w:rsidR="00300B58" w:rsidRPr="00300B58">
        <w:rPr>
          <w:rFonts w:ascii="Times New Roman" w:eastAsia="Times New Roman" w:hAnsi="Times New Roman" w:cs="Monotype Hadassah"/>
          <w:sz w:val="24"/>
          <w:szCs w:val="20"/>
        </w:rPr>
        <w:t xml:space="preserve"> refer to granting exemptions to a ‘specific group’ as including granting exemptions to members of a specific religious </w:t>
      </w:r>
      <w:r w:rsidR="00300B58" w:rsidRPr="00300B58">
        <w:rPr>
          <w:rFonts w:ascii="Times New Roman" w:eastAsia="Times New Roman" w:hAnsi="Times New Roman" w:cs="Monotype Hadassah"/>
          <w:sz w:val="24"/>
          <w:szCs w:val="20"/>
        </w:rPr>
        <w:lastRenderedPageBreak/>
        <w:t xml:space="preserve">group or any religious group. Notwithstanding the differences between these two cases, both can be separated from the other two models for granting exemptions. </w:t>
      </w:r>
    </w:p>
    <w:p w:rsidR="00300B58" w:rsidRPr="00300B58" w:rsidRDefault="00300B58" w:rsidP="00847143">
      <w:pPr>
        <w:spacing w:after="0" w:line="480" w:lineRule="auto"/>
        <w:jc w:val="both"/>
        <w:rPr>
          <w:rFonts w:ascii="Times New Roman" w:eastAsia="Times New Roman" w:hAnsi="Times New Roman" w:cs="Monotype Hadassah"/>
          <w:sz w:val="24"/>
          <w:szCs w:val="20"/>
        </w:rPr>
      </w:pPr>
      <w:r w:rsidRPr="00F27320">
        <w:rPr>
          <w:rFonts w:ascii="Times New Roman" w:eastAsia="Times New Roman" w:hAnsi="Times New Roman" w:cs="Monotype Hadassah"/>
          <w:sz w:val="24"/>
          <w:szCs w:val="20"/>
        </w:rPr>
        <w:t>The specific group model has three main advantages. Firstly, in some cases, it is justifiable to grant the exemption only to members of an identified group.</w:t>
      </w:r>
      <w:r w:rsidRPr="00300B58">
        <w:rPr>
          <w:rFonts w:ascii="Times New Roman" w:eastAsia="Times New Roman" w:hAnsi="Times New Roman" w:cs="Monotype Hadassah"/>
          <w:sz w:val="24"/>
          <w:szCs w:val="20"/>
        </w:rPr>
        <w:t xml:space="preserve"> In these cases, there is little point in trying to conceal the aim of the exemption by using either alleged or real general and neutral criteria. Apart from the undesirable dishonesty, such concealment would result in increasing the danger of fraud and lead to unnecessary loss of judicial and administrative resources. </w:t>
      </w:r>
    </w:p>
    <w:p w:rsidR="00300B58" w:rsidRPr="00300B58" w:rsidRDefault="00300B58" w:rsidP="000C47E4">
      <w:pPr>
        <w:spacing w:after="0" w:line="480" w:lineRule="auto"/>
        <w:jc w:val="both"/>
        <w:rPr>
          <w:rFonts w:ascii="Times New Roman" w:eastAsia="Times New Roman" w:hAnsi="Times New Roman" w:cs="Monotype Hadassah"/>
          <w:sz w:val="24"/>
          <w:szCs w:val="20"/>
        </w:rPr>
      </w:pPr>
      <w:r w:rsidRPr="00300B58">
        <w:rPr>
          <w:rFonts w:ascii="Times New Roman" w:eastAsia="Times New Roman" w:hAnsi="Times New Roman" w:cs="Monotype Hadassah"/>
          <w:sz w:val="24"/>
          <w:szCs w:val="20"/>
        </w:rPr>
        <w:t>Assume that a legal norm prohibits the carrying of weapon</w:t>
      </w:r>
      <w:r w:rsidR="00C766E5">
        <w:rPr>
          <w:rFonts w:ascii="Times New Roman" w:eastAsia="Times New Roman" w:hAnsi="Times New Roman" w:cs="Monotype Hadassah"/>
          <w:sz w:val="24"/>
          <w:szCs w:val="20"/>
        </w:rPr>
        <w:t>s</w:t>
      </w:r>
      <w:r w:rsidRPr="00300B58">
        <w:rPr>
          <w:rFonts w:ascii="Times New Roman" w:eastAsia="Times New Roman" w:hAnsi="Times New Roman" w:cs="Monotype Hadassah"/>
          <w:sz w:val="24"/>
          <w:szCs w:val="20"/>
        </w:rPr>
        <w:t xml:space="preserve"> by pupils in schools.</w:t>
      </w:r>
      <w:r w:rsidR="000C47E4">
        <w:rPr>
          <w:rStyle w:val="a5"/>
          <w:rFonts w:ascii="Times New Roman" w:eastAsia="Times New Roman" w:hAnsi="Times New Roman" w:cs="Monotype Hadassah"/>
          <w:sz w:val="24"/>
          <w:szCs w:val="20"/>
        </w:rPr>
        <w:footnoteReference w:id="21"/>
      </w:r>
      <w:r w:rsidRPr="00300B58">
        <w:rPr>
          <w:rFonts w:ascii="Times New Roman" w:eastAsia="Times New Roman" w:hAnsi="Times New Roman" w:cs="Monotype Hadassah"/>
          <w:sz w:val="24"/>
          <w:szCs w:val="20"/>
        </w:rPr>
        <w:t xml:space="preserve"> Sikhs, however, believe that their religion requires them to carry a kirpan (a small metal knife) at all times. Assuming that there is a compelling reason to exempt Sikh pupils from the general rule, there is also a compelling reason to grant the exemption only to Sikh pupils. There is no point in phrasing the exemption in general terms, e.g. ‘to anyone whose conscience or religion requires him to </w:t>
      </w:r>
      <w:r w:rsidR="000C47E4">
        <w:rPr>
          <w:rFonts w:ascii="Times New Roman" w:eastAsia="Times New Roman" w:hAnsi="Times New Roman" w:cs="Monotype Hadassah"/>
          <w:sz w:val="24"/>
          <w:szCs w:val="20"/>
        </w:rPr>
        <w:t>carry</w:t>
      </w:r>
      <w:r w:rsidRPr="00300B58">
        <w:rPr>
          <w:rFonts w:ascii="Times New Roman" w:eastAsia="Times New Roman" w:hAnsi="Times New Roman" w:cs="Monotype Hadassah"/>
          <w:sz w:val="24"/>
          <w:szCs w:val="20"/>
        </w:rPr>
        <w:t xml:space="preserve"> a weapon to school’. Not only do we know of no other similar religious or conscientious demand but, as argued above, describing the exemption in general terms will only increase the risk of fraud and lead to a</w:t>
      </w:r>
      <w:r w:rsidR="000C47E4">
        <w:rPr>
          <w:rFonts w:ascii="Times New Roman" w:eastAsia="Times New Roman" w:hAnsi="Times New Roman" w:cs="Monotype Hadassah"/>
          <w:sz w:val="24"/>
          <w:szCs w:val="20"/>
        </w:rPr>
        <w:t>n unnecessary</w:t>
      </w:r>
      <w:r w:rsidRPr="00300B58">
        <w:rPr>
          <w:rFonts w:ascii="Times New Roman" w:eastAsia="Times New Roman" w:hAnsi="Times New Roman" w:cs="Monotype Hadassah"/>
          <w:sz w:val="24"/>
          <w:szCs w:val="20"/>
        </w:rPr>
        <w:t xml:space="preserve"> loss of judicial and administrative resources.  </w:t>
      </w:r>
    </w:p>
    <w:p w:rsidR="00300B58" w:rsidRPr="00300B58" w:rsidRDefault="00300B58" w:rsidP="007C0E18">
      <w:pPr>
        <w:spacing w:after="0" w:line="480" w:lineRule="auto"/>
        <w:jc w:val="both"/>
        <w:rPr>
          <w:rFonts w:ascii="Times New Roman" w:eastAsia="Times New Roman" w:hAnsi="Times New Roman" w:cs="Monotype Hadassah"/>
          <w:sz w:val="24"/>
          <w:szCs w:val="20"/>
        </w:rPr>
      </w:pPr>
      <w:r w:rsidRPr="00300B58">
        <w:rPr>
          <w:rFonts w:ascii="Times New Roman" w:eastAsia="Times New Roman" w:hAnsi="Times New Roman" w:cs="Monotype Hadassah"/>
          <w:sz w:val="24"/>
          <w:szCs w:val="24"/>
        </w:rPr>
        <w:t>Secondly, the specific group model decreases the uncertainty of the potential objector, at least when this model is compared to the ‘</w:t>
      </w:r>
      <w:r w:rsidRPr="00300B58">
        <w:rPr>
          <w:rFonts w:ascii="Times New Roman" w:eastAsia="Times New Roman" w:hAnsi="Times New Roman" w:cs="Monotype Hadassah"/>
          <w:sz w:val="24"/>
          <w:szCs w:val="20"/>
        </w:rPr>
        <w:t>neutral test’ one</w:t>
      </w:r>
      <w:r w:rsidR="007C0E18">
        <w:rPr>
          <w:rFonts w:ascii="Times New Roman" w:eastAsia="Times New Roman" w:hAnsi="Times New Roman" w:cs="Monotype Hadassah"/>
          <w:sz w:val="24"/>
          <w:szCs w:val="20"/>
        </w:rPr>
        <w:t xml:space="preserve">, as being a member of the protected group practically ensures </w:t>
      </w:r>
      <w:r w:rsidR="00C766E5">
        <w:rPr>
          <w:rFonts w:ascii="Times New Roman" w:eastAsia="Times New Roman" w:hAnsi="Times New Roman" w:cs="Monotype Hadassah"/>
          <w:sz w:val="24"/>
          <w:szCs w:val="20"/>
        </w:rPr>
        <w:t xml:space="preserve">the </w:t>
      </w:r>
      <w:r w:rsidR="007C0E18">
        <w:rPr>
          <w:rFonts w:ascii="Times New Roman" w:eastAsia="Times New Roman" w:hAnsi="Times New Roman" w:cs="Monotype Hadassah"/>
          <w:sz w:val="24"/>
          <w:szCs w:val="20"/>
        </w:rPr>
        <w:t>granting</w:t>
      </w:r>
      <w:r w:rsidR="00C766E5">
        <w:rPr>
          <w:rFonts w:ascii="Times New Roman" w:eastAsia="Times New Roman" w:hAnsi="Times New Roman" w:cs="Monotype Hadassah"/>
          <w:sz w:val="24"/>
          <w:szCs w:val="20"/>
        </w:rPr>
        <w:t xml:space="preserve"> of</w:t>
      </w:r>
      <w:r w:rsidR="007C0E18">
        <w:rPr>
          <w:rFonts w:ascii="Times New Roman" w:eastAsia="Times New Roman" w:hAnsi="Times New Roman" w:cs="Monotype Hadassah"/>
          <w:sz w:val="24"/>
          <w:szCs w:val="20"/>
        </w:rPr>
        <w:t xml:space="preserve"> the exemption. </w:t>
      </w:r>
    </w:p>
    <w:p w:rsidR="00300B58" w:rsidRPr="00300B58" w:rsidRDefault="00300B58" w:rsidP="007C0E18">
      <w:pPr>
        <w:spacing w:after="0" w:line="480" w:lineRule="auto"/>
        <w:jc w:val="both"/>
        <w:rPr>
          <w:rFonts w:ascii="Times New Roman" w:eastAsia="Times New Roman" w:hAnsi="Times New Roman" w:cs="Monotype Hadassah"/>
          <w:sz w:val="24"/>
          <w:szCs w:val="24"/>
        </w:rPr>
      </w:pPr>
      <w:r w:rsidRPr="00300B58">
        <w:rPr>
          <w:rFonts w:ascii="Times New Roman" w:eastAsia="Times New Roman" w:hAnsi="Times New Roman" w:cs="Monotype Hadassah"/>
          <w:sz w:val="24"/>
          <w:szCs w:val="20"/>
        </w:rPr>
        <w:t xml:space="preserve">Thirdly, </w:t>
      </w:r>
      <w:r w:rsidR="00EC6CF6">
        <w:rPr>
          <w:rFonts w:ascii="Times New Roman" w:eastAsia="Times New Roman" w:hAnsi="Times New Roman" w:cs="Monotype Hadassah"/>
          <w:sz w:val="24"/>
          <w:szCs w:val="20"/>
        </w:rPr>
        <w:t xml:space="preserve">not only does </w:t>
      </w:r>
      <w:r w:rsidRPr="00300B58">
        <w:rPr>
          <w:rFonts w:ascii="Times New Roman" w:eastAsia="Times New Roman" w:hAnsi="Times New Roman" w:cs="Monotype Hadassah"/>
          <w:sz w:val="24"/>
          <w:szCs w:val="20"/>
        </w:rPr>
        <w:t>this model reduce the risk of the exemption being abused</w:t>
      </w:r>
      <w:r w:rsidR="00EC6CF6">
        <w:rPr>
          <w:rFonts w:ascii="Times New Roman" w:eastAsia="Times New Roman" w:hAnsi="Times New Roman" w:cs="Monotype Hadassah"/>
          <w:sz w:val="24"/>
          <w:szCs w:val="20"/>
        </w:rPr>
        <w:t xml:space="preserve">, it </w:t>
      </w:r>
      <w:r w:rsidRPr="00300B58">
        <w:rPr>
          <w:rFonts w:ascii="Times New Roman" w:eastAsia="Times New Roman" w:hAnsi="Times New Roman" w:cs="Monotype Hadassah"/>
          <w:sz w:val="24"/>
          <w:szCs w:val="20"/>
        </w:rPr>
        <w:t xml:space="preserve">also reduces the risk of </w:t>
      </w:r>
      <w:r w:rsidR="00EC6CF6">
        <w:rPr>
          <w:rFonts w:ascii="Times New Roman" w:eastAsia="Times New Roman" w:hAnsi="Times New Roman" w:cs="Monotype Hadassah"/>
          <w:sz w:val="24"/>
          <w:szCs w:val="20"/>
        </w:rPr>
        <w:t>people being forced</w:t>
      </w:r>
      <w:r w:rsidR="00D13BDD">
        <w:rPr>
          <w:rFonts w:ascii="Times New Roman" w:eastAsia="Times New Roman" w:hAnsi="Times New Roman" w:cs="Monotype Hadassah"/>
          <w:sz w:val="24"/>
          <w:szCs w:val="20"/>
        </w:rPr>
        <w:t xml:space="preserve"> by others</w:t>
      </w:r>
      <w:r w:rsidR="00EC6CF6">
        <w:rPr>
          <w:rFonts w:ascii="Times New Roman" w:eastAsia="Times New Roman" w:hAnsi="Times New Roman" w:cs="Monotype Hadassah"/>
          <w:sz w:val="24"/>
          <w:szCs w:val="20"/>
        </w:rPr>
        <w:t xml:space="preserve"> to object </w:t>
      </w:r>
      <w:r w:rsidR="00C766E5">
        <w:rPr>
          <w:rFonts w:ascii="Times New Roman" w:eastAsia="Times New Roman" w:hAnsi="Times New Roman" w:cs="Monotype Hadassah"/>
          <w:sz w:val="24"/>
          <w:szCs w:val="20"/>
        </w:rPr>
        <w:t xml:space="preserve">to </w:t>
      </w:r>
      <w:r w:rsidR="00EC6CF6">
        <w:rPr>
          <w:rFonts w:ascii="Times New Roman" w:eastAsia="Times New Roman" w:hAnsi="Times New Roman" w:cs="Monotype Hadassah"/>
          <w:sz w:val="24"/>
          <w:szCs w:val="20"/>
        </w:rPr>
        <w:t xml:space="preserve">the law. </w:t>
      </w:r>
      <w:r w:rsidR="000C47E4">
        <w:rPr>
          <w:rFonts w:ascii="Times New Roman" w:eastAsia="Times New Roman" w:hAnsi="Times New Roman" w:cs="Monotype Hadassah"/>
          <w:sz w:val="24"/>
          <w:szCs w:val="20"/>
        </w:rPr>
        <w:t>Take</w:t>
      </w:r>
      <w:r w:rsidR="00C766E5">
        <w:rPr>
          <w:rFonts w:ascii="Times New Roman" w:eastAsia="Times New Roman" w:hAnsi="Times New Roman" w:cs="Monotype Hadassah"/>
          <w:sz w:val="24"/>
          <w:szCs w:val="20"/>
        </w:rPr>
        <w:t>,</w:t>
      </w:r>
      <w:r w:rsidRPr="00300B58">
        <w:rPr>
          <w:rFonts w:ascii="Times New Roman" w:eastAsia="Times New Roman" w:hAnsi="Times New Roman" w:cs="Monotype Hadassah"/>
          <w:sz w:val="24"/>
          <w:szCs w:val="20"/>
        </w:rPr>
        <w:t xml:space="preserve"> for example</w:t>
      </w:r>
      <w:r w:rsidR="00C766E5">
        <w:rPr>
          <w:rFonts w:ascii="Times New Roman" w:eastAsia="Times New Roman" w:hAnsi="Times New Roman" w:cs="Monotype Hadassah"/>
          <w:sz w:val="24"/>
          <w:szCs w:val="20"/>
        </w:rPr>
        <w:t>,</w:t>
      </w:r>
      <w:r w:rsidRPr="00300B58">
        <w:rPr>
          <w:rFonts w:ascii="Times New Roman" w:eastAsia="Times New Roman" w:hAnsi="Times New Roman" w:cs="Monotype Hadassah"/>
          <w:sz w:val="24"/>
          <w:szCs w:val="20"/>
        </w:rPr>
        <w:t xml:space="preserve"> a law that allows physicians to refuse to perform abortions. If the law grants this right only to practi</w:t>
      </w:r>
      <w:r w:rsidR="00C766E5">
        <w:rPr>
          <w:rFonts w:ascii="Times New Roman" w:eastAsia="Times New Roman" w:hAnsi="Times New Roman" w:cs="Monotype Hadassah"/>
          <w:sz w:val="24"/>
          <w:szCs w:val="20"/>
        </w:rPr>
        <w:t>s</w:t>
      </w:r>
      <w:r w:rsidRPr="00300B58">
        <w:rPr>
          <w:rFonts w:ascii="Times New Roman" w:eastAsia="Times New Roman" w:hAnsi="Times New Roman" w:cs="Monotype Hadassah"/>
          <w:sz w:val="24"/>
          <w:szCs w:val="20"/>
        </w:rPr>
        <w:t xml:space="preserve">ing religious physicians whose religion clearly objects to the </w:t>
      </w:r>
      <w:r w:rsidRPr="00300B58">
        <w:rPr>
          <w:rFonts w:ascii="Times New Roman" w:eastAsia="Times New Roman" w:hAnsi="Times New Roman" w:cs="Monotype Hadassah"/>
          <w:sz w:val="24"/>
          <w:szCs w:val="20"/>
        </w:rPr>
        <w:lastRenderedPageBreak/>
        <w:t>performance of abortions (whether at all or only ‘</w:t>
      </w:r>
      <w:r w:rsidRPr="00300B58">
        <w:rPr>
          <w:rFonts w:ascii="Times New Roman" w:eastAsia="Times New Roman" w:hAnsi="Times New Roman" w:cs="Monotype Hadassah"/>
          <w:sz w:val="24"/>
          <w:szCs w:val="24"/>
        </w:rPr>
        <w:t xml:space="preserve">non-indicated’ ones), it is highly reasonable that </w:t>
      </w:r>
      <w:r w:rsidR="00EC6CF6">
        <w:rPr>
          <w:rFonts w:ascii="Times New Roman" w:eastAsia="Times New Roman" w:hAnsi="Times New Roman" w:cs="Monotype Hadassah"/>
          <w:sz w:val="24"/>
          <w:szCs w:val="24"/>
        </w:rPr>
        <w:t xml:space="preserve">most exemptions would be granted to </w:t>
      </w:r>
      <w:r w:rsidRPr="00300B58">
        <w:rPr>
          <w:rFonts w:ascii="Times New Roman" w:eastAsia="Times New Roman" w:hAnsi="Times New Roman" w:cs="Monotype Hadassah"/>
          <w:sz w:val="24"/>
          <w:szCs w:val="24"/>
        </w:rPr>
        <w:t>sincere conscientious objectors. However, if the law grants the</w:t>
      </w:r>
      <w:r w:rsidRPr="00300B58">
        <w:rPr>
          <w:rFonts w:ascii="Times New Roman" w:eastAsia="Times New Roman" w:hAnsi="Times New Roman" w:cs="Monotype Hadassah"/>
          <w:sz w:val="24"/>
          <w:szCs w:val="20"/>
        </w:rPr>
        <w:t xml:space="preserve"> exemption to any sincere conscientious objector or to anyone who claims the exemption, it is reasonable to assume that some claimers would object to performing abortions because of social pressure or even threats. When the exemption is granted to any conscientious objector or worse – to anyone who claims it – it would be much easier for pressure groups or even for </w:t>
      </w:r>
      <w:r w:rsidR="00EC6CF6">
        <w:rPr>
          <w:rFonts w:ascii="Times New Roman" w:eastAsia="Times New Roman" w:hAnsi="Times New Roman" w:cs="Monotype Hadassah"/>
          <w:sz w:val="24"/>
          <w:szCs w:val="20"/>
        </w:rPr>
        <w:t>m</w:t>
      </w:r>
      <w:r w:rsidRPr="00300B58">
        <w:rPr>
          <w:rFonts w:ascii="Times New Roman" w:eastAsia="Times New Roman" w:hAnsi="Times New Roman" w:cs="Monotype Hadassah"/>
          <w:sz w:val="24"/>
          <w:szCs w:val="20"/>
        </w:rPr>
        <w:t>edical institutions themselves to force</w:t>
      </w:r>
      <w:r w:rsidR="007C0E18">
        <w:rPr>
          <w:rFonts w:ascii="Times New Roman" w:eastAsia="Times New Roman" w:hAnsi="Times New Roman" w:cs="Monotype Hadassah"/>
          <w:sz w:val="24"/>
          <w:szCs w:val="20"/>
        </w:rPr>
        <w:t xml:space="preserve"> or encourage</w:t>
      </w:r>
      <w:r w:rsidRPr="00300B58">
        <w:rPr>
          <w:rFonts w:ascii="Times New Roman" w:eastAsia="Times New Roman" w:hAnsi="Times New Roman" w:cs="Monotype Hadassah"/>
          <w:sz w:val="24"/>
          <w:szCs w:val="20"/>
        </w:rPr>
        <w:t xml:space="preserve"> </w:t>
      </w:r>
      <w:r w:rsidR="007C0E18">
        <w:rPr>
          <w:rFonts w:ascii="Times New Roman" w:eastAsia="Times New Roman" w:hAnsi="Times New Roman" w:cs="Monotype Hadassah"/>
          <w:sz w:val="24"/>
          <w:szCs w:val="20"/>
        </w:rPr>
        <w:t>physicians</w:t>
      </w:r>
      <w:r w:rsidRPr="00300B58">
        <w:rPr>
          <w:rFonts w:ascii="Times New Roman" w:eastAsia="Times New Roman" w:hAnsi="Times New Roman" w:cs="Monotype Hadassah"/>
          <w:sz w:val="24"/>
          <w:szCs w:val="20"/>
        </w:rPr>
        <w:t xml:space="preserve"> to object to performing abortions. Naturally, this is not an inevitable outcome</w:t>
      </w:r>
      <w:r w:rsidR="00EC6CF6">
        <w:rPr>
          <w:rFonts w:ascii="Times New Roman" w:eastAsia="Times New Roman" w:hAnsi="Times New Roman" w:cs="Monotype Hadassah"/>
          <w:sz w:val="24"/>
          <w:szCs w:val="20"/>
        </w:rPr>
        <w:t xml:space="preserve"> of a more relaxed policy of granting exemptions</w:t>
      </w:r>
      <w:r w:rsidRPr="00300B58">
        <w:rPr>
          <w:rFonts w:ascii="Times New Roman" w:eastAsia="Times New Roman" w:hAnsi="Times New Roman" w:cs="Monotype Hadassah"/>
          <w:sz w:val="24"/>
          <w:szCs w:val="20"/>
        </w:rPr>
        <w:t>. It will possibly be the case, however, in places where the ‘pro-life’ approach is held by the majority, by a strong or militant minority or by the medical establishment itself.</w:t>
      </w:r>
      <w:bookmarkStart w:id="69" w:name="_Ref131319500"/>
      <w:r w:rsidRPr="00300B58">
        <w:rPr>
          <w:rFonts w:ascii="Times New Roman" w:eastAsia="Times New Roman" w:hAnsi="Times New Roman" w:cs="Monotype Hadassah"/>
          <w:sz w:val="24"/>
          <w:szCs w:val="20"/>
          <w:vertAlign w:val="superscript"/>
        </w:rPr>
        <w:footnoteReference w:id="22"/>
      </w:r>
      <w:bookmarkEnd w:id="69"/>
      <w:r w:rsidRPr="00300B58">
        <w:rPr>
          <w:rFonts w:ascii="Times New Roman" w:eastAsia="Times New Roman" w:hAnsi="Times New Roman" w:cs="Monotype Hadassah"/>
          <w:sz w:val="24"/>
          <w:szCs w:val="20"/>
        </w:rPr>
        <w:t xml:space="preserve">      </w:t>
      </w:r>
    </w:p>
    <w:p w:rsidR="00300B58" w:rsidRPr="00300B58" w:rsidRDefault="00300B58" w:rsidP="00527B08">
      <w:pPr>
        <w:spacing w:after="0" w:line="480" w:lineRule="auto"/>
        <w:jc w:val="both"/>
        <w:rPr>
          <w:rFonts w:ascii="Times New Roman" w:eastAsia="Times New Roman" w:hAnsi="Times New Roman" w:cs="Monotype Hadassah"/>
          <w:sz w:val="24"/>
          <w:szCs w:val="20"/>
        </w:rPr>
      </w:pPr>
      <w:r w:rsidRPr="00300B58">
        <w:rPr>
          <w:rFonts w:ascii="Times New Roman" w:eastAsia="Times New Roman" w:hAnsi="Times New Roman" w:cs="Monotype Hadassah"/>
          <w:sz w:val="24"/>
          <w:szCs w:val="20"/>
        </w:rPr>
        <w:t>Granting conscientious exemptions only to members of a specific group also has several substantial drawbacks.</w:t>
      </w:r>
    </w:p>
    <w:p w:rsidR="00300B58" w:rsidRPr="00300B58" w:rsidRDefault="00300B58" w:rsidP="00F44710">
      <w:pPr>
        <w:spacing w:after="0" w:line="480" w:lineRule="auto"/>
        <w:jc w:val="both"/>
        <w:rPr>
          <w:rFonts w:ascii="Times New Roman" w:eastAsia="Times New Roman" w:hAnsi="Times New Roman" w:cs="Monotype Hadassah"/>
          <w:sz w:val="24"/>
          <w:szCs w:val="20"/>
        </w:rPr>
      </w:pPr>
      <w:r w:rsidRPr="00300B58">
        <w:rPr>
          <w:rFonts w:ascii="Times New Roman" w:eastAsia="Times New Roman" w:hAnsi="Times New Roman" w:cs="Monotype Hadassah"/>
          <w:sz w:val="24"/>
          <w:szCs w:val="20"/>
        </w:rPr>
        <w:t>Firstly, it ignores the individual and the secular conscience. As noted, this kind of exemption is given mostly to members of religious groups, for several reasons: some of these religious groups are more organised</w:t>
      </w:r>
      <w:r w:rsidR="00C766E5">
        <w:rPr>
          <w:rFonts w:ascii="Times New Roman" w:eastAsia="Times New Roman" w:hAnsi="Times New Roman" w:cs="Monotype Hadassah"/>
          <w:sz w:val="24"/>
          <w:szCs w:val="20"/>
        </w:rPr>
        <w:t xml:space="preserve"> and</w:t>
      </w:r>
      <w:r w:rsidRPr="00300B58">
        <w:rPr>
          <w:rFonts w:ascii="Times New Roman" w:eastAsia="Times New Roman" w:hAnsi="Times New Roman" w:cs="Monotype Hadassah"/>
          <w:sz w:val="24"/>
          <w:szCs w:val="20"/>
        </w:rPr>
        <w:t xml:space="preserve"> th</w:t>
      </w:r>
      <w:r w:rsidR="00F44710">
        <w:rPr>
          <w:rFonts w:ascii="Times New Roman" w:eastAsia="Times New Roman" w:hAnsi="Times New Roman" w:cs="Monotype Hadassah"/>
          <w:sz w:val="24"/>
          <w:szCs w:val="20"/>
        </w:rPr>
        <w:t>us more powerful than</w:t>
      </w:r>
      <w:r w:rsidRPr="00300B58">
        <w:rPr>
          <w:rFonts w:ascii="Times New Roman" w:eastAsia="Times New Roman" w:hAnsi="Times New Roman" w:cs="Monotype Hadassah"/>
          <w:sz w:val="24"/>
          <w:szCs w:val="20"/>
        </w:rPr>
        <w:t xml:space="preserve"> others; others are </w:t>
      </w:r>
      <w:r w:rsidR="00C766E5">
        <w:rPr>
          <w:rFonts w:ascii="Times New Roman" w:eastAsia="Times New Roman" w:hAnsi="Times New Roman" w:cs="Monotype Hadassah"/>
          <w:sz w:val="24"/>
          <w:szCs w:val="20"/>
        </w:rPr>
        <w:t>better</w:t>
      </w:r>
      <w:r w:rsidRPr="00300B58">
        <w:rPr>
          <w:rFonts w:ascii="Times New Roman" w:eastAsia="Times New Roman" w:hAnsi="Times New Roman" w:cs="Monotype Hadassah"/>
          <w:sz w:val="24"/>
          <w:szCs w:val="20"/>
        </w:rPr>
        <w:t xml:space="preserve"> known and have long-established historical roots; and all offer the state an easy method of assessing the objector’s sincerity. Yet, none of these reasons </w:t>
      </w:r>
      <w:r w:rsidR="00597BF6">
        <w:rPr>
          <w:rFonts w:ascii="Times New Roman" w:eastAsia="Times New Roman" w:hAnsi="Times New Roman" w:cs="Monotype Hadassah"/>
          <w:sz w:val="24"/>
          <w:szCs w:val="20"/>
        </w:rPr>
        <w:t xml:space="preserve">can justify </w:t>
      </w:r>
      <w:r w:rsidRPr="00300B58">
        <w:rPr>
          <w:rFonts w:ascii="Times New Roman" w:eastAsia="Times New Roman" w:hAnsi="Times New Roman" w:cs="Monotype Hadassah"/>
          <w:sz w:val="24"/>
          <w:szCs w:val="20"/>
        </w:rPr>
        <w:t>disregard</w:t>
      </w:r>
      <w:r w:rsidR="00597BF6">
        <w:rPr>
          <w:rFonts w:ascii="Times New Roman" w:eastAsia="Times New Roman" w:hAnsi="Times New Roman" w:cs="Monotype Hadassah"/>
          <w:sz w:val="24"/>
          <w:szCs w:val="20"/>
        </w:rPr>
        <w:t>ing completely</w:t>
      </w:r>
      <w:r w:rsidRPr="00300B58">
        <w:rPr>
          <w:rFonts w:ascii="Times New Roman" w:eastAsia="Times New Roman" w:hAnsi="Times New Roman" w:cs="Monotype Hadassah"/>
          <w:sz w:val="24"/>
          <w:szCs w:val="20"/>
        </w:rPr>
        <w:t xml:space="preserve"> the freedom of conscience of those who are not members of such groups.</w:t>
      </w:r>
    </w:p>
    <w:p w:rsidR="003C380D" w:rsidRDefault="00300B58" w:rsidP="008928C3">
      <w:pPr>
        <w:spacing w:after="0" w:line="480" w:lineRule="auto"/>
        <w:jc w:val="both"/>
        <w:rPr>
          <w:rFonts w:ascii="Times New Roman" w:eastAsia="Times New Roman" w:hAnsi="Times New Roman" w:cs="Monotype Hadassah"/>
          <w:sz w:val="24"/>
          <w:szCs w:val="20"/>
        </w:rPr>
      </w:pPr>
      <w:r w:rsidRPr="00300B58">
        <w:rPr>
          <w:rFonts w:ascii="Times New Roman" w:eastAsia="Times New Roman" w:hAnsi="Times New Roman" w:cs="Monotype Hadassah"/>
          <w:sz w:val="24"/>
          <w:szCs w:val="20"/>
        </w:rPr>
        <w:t xml:space="preserve">Secondly and partly related to the above, granting exemptions only to members of specific groups should always </w:t>
      </w:r>
      <w:r w:rsidR="005E0B91">
        <w:rPr>
          <w:rFonts w:ascii="Times New Roman" w:eastAsia="Times New Roman" w:hAnsi="Times New Roman" w:cs="Monotype Hadassah"/>
          <w:sz w:val="24"/>
          <w:szCs w:val="20"/>
        </w:rPr>
        <w:t xml:space="preserve">raise </w:t>
      </w:r>
      <w:r w:rsidR="005E0B91" w:rsidRPr="00300B58">
        <w:rPr>
          <w:rFonts w:ascii="Times New Roman" w:eastAsia="Times New Roman" w:hAnsi="Times New Roman" w:cs="Monotype Hadassah"/>
          <w:sz w:val="24"/>
          <w:szCs w:val="20"/>
        </w:rPr>
        <w:t>suspicio</w:t>
      </w:r>
      <w:r w:rsidR="005E0B91">
        <w:rPr>
          <w:rFonts w:ascii="Times New Roman" w:eastAsia="Times New Roman" w:hAnsi="Times New Roman" w:cs="Monotype Hadassah"/>
          <w:sz w:val="24"/>
          <w:szCs w:val="20"/>
        </w:rPr>
        <w:t>n</w:t>
      </w:r>
      <w:r w:rsidRPr="00300B58">
        <w:rPr>
          <w:rFonts w:ascii="Times New Roman" w:eastAsia="Times New Roman" w:hAnsi="Times New Roman" w:cs="Monotype Hadassah"/>
          <w:sz w:val="24"/>
          <w:szCs w:val="20"/>
        </w:rPr>
        <w:t>. Too often, this</w:t>
      </w:r>
      <w:r w:rsidR="005E0B91">
        <w:rPr>
          <w:rFonts w:ascii="Times New Roman" w:eastAsia="Times New Roman" w:hAnsi="Times New Roman" w:cs="Monotype Hadassah"/>
          <w:sz w:val="24"/>
          <w:szCs w:val="20"/>
        </w:rPr>
        <w:t xml:space="preserve"> practice</w:t>
      </w:r>
      <w:r w:rsidRPr="00300B58">
        <w:rPr>
          <w:rFonts w:ascii="Times New Roman" w:eastAsia="Times New Roman" w:hAnsi="Times New Roman" w:cs="Monotype Hadassah"/>
          <w:sz w:val="24"/>
          <w:szCs w:val="20"/>
        </w:rPr>
        <w:t xml:space="preserve"> results in </w:t>
      </w:r>
      <w:r w:rsidR="00C766E5">
        <w:rPr>
          <w:rFonts w:ascii="Times New Roman" w:eastAsia="Times New Roman" w:hAnsi="Times New Roman" w:cs="Monotype Hadassah"/>
          <w:sz w:val="24"/>
          <w:szCs w:val="20"/>
        </w:rPr>
        <w:t xml:space="preserve">the </w:t>
      </w:r>
      <w:r w:rsidRPr="00300B58">
        <w:rPr>
          <w:rFonts w:ascii="Times New Roman" w:eastAsia="Times New Roman" w:hAnsi="Times New Roman" w:cs="Monotype Hadassah"/>
          <w:sz w:val="24"/>
          <w:szCs w:val="20"/>
        </w:rPr>
        <w:lastRenderedPageBreak/>
        <w:t xml:space="preserve">unjustified exclusion of other groups </w:t>
      </w:r>
      <w:r w:rsidR="00C766E5">
        <w:rPr>
          <w:rFonts w:ascii="Times New Roman" w:eastAsia="Times New Roman" w:hAnsi="Times New Roman" w:cs="Monotype Hadassah"/>
          <w:sz w:val="24"/>
          <w:szCs w:val="20"/>
        </w:rPr>
        <w:t>that</w:t>
      </w:r>
      <w:r w:rsidRPr="00300B58">
        <w:rPr>
          <w:rFonts w:ascii="Times New Roman" w:eastAsia="Times New Roman" w:hAnsi="Times New Roman" w:cs="Monotype Hadassah"/>
          <w:sz w:val="24"/>
          <w:szCs w:val="20"/>
        </w:rPr>
        <w:t xml:space="preserve"> are powerless, less known, unpopular or simply fail to comply with any acceptable definition of ‘religion’ or indeed ‘group’. More generally, this model might not comply with the requirement of generality which is part of any meaningful account of the rule of law. Although the requirement for generality may be overridden by compelling interests in some cases, arguably the one who </w:t>
      </w:r>
      <w:r w:rsidR="008928C3">
        <w:rPr>
          <w:rFonts w:ascii="Times New Roman" w:eastAsia="Times New Roman" w:hAnsi="Times New Roman" w:cs="Monotype Hadassah"/>
          <w:sz w:val="24"/>
          <w:szCs w:val="20"/>
        </w:rPr>
        <w:t>wishes</w:t>
      </w:r>
      <w:r w:rsidRPr="00300B58">
        <w:rPr>
          <w:rFonts w:ascii="Times New Roman" w:eastAsia="Times New Roman" w:hAnsi="Times New Roman" w:cs="Monotype Hadassah"/>
          <w:sz w:val="24"/>
          <w:szCs w:val="20"/>
        </w:rPr>
        <w:t xml:space="preserve"> to deviate from this requirement </w:t>
      </w:r>
      <w:r w:rsidR="003C380D">
        <w:rPr>
          <w:rFonts w:ascii="Times New Roman" w:eastAsia="Times New Roman" w:hAnsi="Times New Roman" w:cs="Monotype Hadassah"/>
          <w:sz w:val="24"/>
          <w:szCs w:val="20"/>
        </w:rPr>
        <w:t>needs to provide reasons for this.</w:t>
      </w:r>
    </w:p>
    <w:p w:rsidR="00300B58" w:rsidRPr="00300B58" w:rsidRDefault="00300B58" w:rsidP="008928C3">
      <w:pPr>
        <w:spacing w:after="0" w:line="480" w:lineRule="auto"/>
        <w:jc w:val="both"/>
        <w:rPr>
          <w:rFonts w:ascii="Times New Roman" w:eastAsia="Times New Roman" w:hAnsi="Times New Roman" w:cs="Monotype Hadassah"/>
          <w:sz w:val="24"/>
          <w:szCs w:val="20"/>
        </w:rPr>
      </w:pPr>
      <w:r w:rsidRPr="00300B58">
        <w:rPr>
          <w:rFonts w:ascii="Times New Roman" w:eastAsia="Times New Roman" w:hAnsi="Times New Roman" w:cs="Monotype Hadassah"/>
          <w:sz w:val="24"/>
          <w:szCs w:val="20"/>
        </w:rPr>
        <w:t xml:space="preserve">The </w:t>
      </w:r>
      <w:r w:rsidR="00147AD2">
        <w:rPr>
          <w:rFonts w:ascii="Times New Roman" w:eastAsia="Times New Roman" w:hAnsi="Times New Roman" w:cs="Monotype Hadassah"/>
          <w:sz w:val="24"/>
          <w:szCs w:val="20"/>
        </w:rPr>
        <w:t>‘</w:t>
      </w:r>
      <w:r w:rsidRPr="00300B58">
        <w:rPr>
          <w:rFonts w:ascii="Times New Roman" w:eastAsia="Times New Roman" w:hAnsi="Times New Roman" w:cs="Monotype Hadassah"/>
          <w:sz w:val="24"/>
          <w:szCs w:val="20"/>
        </w:rPr>
        <w:t>neutral</w:t>
      </w:r>
      <w:r w:rsidR="00147AD2">
        <w:rPr>
          <w:rFonts w:ascii="Times New Roman" w:eastAsia="Times New Roman" w:hAnsi="Times New Roman" w:cs="Monotype Hadassah"/>
          <w:sz w:val="24"/>
          <w:szCs w:val="20"/>
        </w:rPr>
        <w:t xml:space="preserve"> test’</w:t>
      </w:r>
      <w:r w:rsidRPr="00300B58">
        <w:rPr>
          <w:rFonts w:ascii="Times New Roman" w:eastAsia="Times New Roman" w:hAnsi="Times New Roman" w:cs="Monotype Hadassah"/>
          <w:sz w:val="24"/>
          <w:szCs w:val="20"/>
        </w:rPr>
        <w:t xml:space="preserve"> model is, in a sense, the opposite of the ‘specific group’ model. It avoids the danger of under-inclusive exemptions and allows flexibility, although at the risk of fraud and inefficiency. Good examples of the use of the </w:t>
      </w:r>
      <w:r w:rsidR="008928C3">
        <w:rPr>
          <w:rFonts w:ascii="Times New Roman" w:eastAsia="Times New Roman" w:hAnsi="Times New Roman" w:cs="Monotype Hadassah"/>
          <w:sz w:val="24"/>
          <w:szCs w:val="20"/>
        </w:rPr>
        <w:t>‘neutral test’ m</w:t>
      </w:r>
      <w:r w:rsidRPr="00300B58">
        <w:rPr>
          <w:rFonts w:ascii="Times New Roman" w:eastAsia="Times New Roman" w:hAnsi="Times New Roman" w:cs="Monotype Hadassah"/>
          <w:sz w:val="24"/>
          <w:szCs w:val="20"/>
        </w:rPr>
        <w:t>odel are the exemption of all pacifists from compulsory military enlistment and that of physicians from performing abortions if it contradicts their conscience. Note that the ‘neutral</w:t>
      </w:r>
      <w:r w:rsidR="002378C2">
        <w:rPr>
          <w:rFonts w:ascii="Times New Roman" w:eastAsia="Times New Roman" w:hAnsi="Times New Roman" w:cs="Monotype Hadassah"/>
          <w:sz w:val="24"/>
          <w:szCs w:val="20"/>
        </w:rPr>
        <w:t xml:space="preserve"> test</w:t>
      </w:r>
      <w:r w:rsidRPr="00300B58">
        <w:rPr>
          <w:rFonts w:ascii="Times New Roman" w:eastAsia="Times New Roman" w:hAnsi="Times New Roman" w:cs="Monotype Hadassah"/>
          <w:sz w:val="24"/>
          <w:szCs w:val="20"/>
        </w:rPr>
        <w:t xml:space="preserve">’ model puts the focus on the act from which an exemption is sought rather than on the identity of the objector as a member of a discrete cultural or religious group. Nevertheless, this model does not grant exemption to anyone who seeks it. One still has to prove that one is a conscientious objector, which may be a demanding task from the factual-evidential point of view and also from emotional and mental perspectives.       </w:t>
      </w:r>
    </w:p>
    <w:p w:rsidR="00300B58" w:rsidRPr="00300B58" w:rsidRDefault="00300B58" w:rsidP="002378C2">
      <w:pPr>
        <w:spacing w:after="0" w:line="480" w:lineRule="auto"/>
        <w:jc w:val="both"/>
        <w:rPr>
          <w:rFonts w:ascii="Times New Roman" w:eastAsia="Times New Roman" w:hAnsi="Times New Roman" w:cs="Monotype Hadassah"/>
          <w:sz w:val="24"/>
          <w:szCs w:val="20"/>
        </w:rPr>
      </w:pPr>
      <w:r w:rsidRPr="00300B58">
        <w:rPr>
          <w:rFonts w:ascii="Times New Roman" w:eastAsia="Times New Roman" w:hAnsi="Times New Roman" w:cs="Monotype Hadassah"/>
          <w:sz w:val="24"/>
          <w:szCs w:val="20"/>
        </w:rPr>
        <w:t>An examination of the advantages and disadvantages</w:t>
      </w:r>
      <w:r w:rsidR="002F1F20">
        <w:rPr>
          <w:rFonts w:ascii="Times New Roman" w:eastAsia="Times New Roman" w:hAnsi="Times New Roman" w:cs="Monotype Hadassah"/>
          <w:sz w:val="24"/>
          <w:szCs w:val="20"/>
        </w:rPr>
        <w:t xml:space="preserve"> of the ‘specific group model’ and the ‘neutral</w:t>
      </w:r>
      <w:r w:rsidR="002378C2">
        <w:rPr>
          <w:rFonts w:ascii="Times New Roman" w:eastAsia="Times New Roman" w:hAnsi="Times New Roman" w:cs="Monotype Hadassah"/>
          <w:sz w:val="24"/>
          <w:szCs w:val="20"/>
        </w:rPr>
        <w:t xml:space="preserve"> test’</w:t>
      </w:r>
      <w:r w:rsidR="002F1F20">
        <w:rPr>
          <w:rFonts w:ascii="Times New Roman" w:eastAsia="Times New Roman" w:hAnsi="Times New Roman" w:cs="Monotype Hadassah"/>
          <w:sz w:val="24"/>
          <w:szCs w:val="20"/>
        </w:rPr>
        <w:t xml:space="preserve"> model</w:t>
      </w:r>
      <w:r w:rsidRPr="00300B58">
        <w:rPr>
          <w:rFonts w:ascii="Times New Roman" w:eastAsia="Times New Roman" w:hAnsi="Times New Roman" w:cs="Monotype Hadassah"/>
          <w:sz w:val="24"/>
          <w:szCs w:val="20"/>
        </w:rPr>
        <w:t xml:space="preserve"> leads to the following three intermediate conclusions.</w:t>
      </w:r>
    </w:p>
    <w:p w:rsidR="00300B58" w:rsidRPr="00300B58" w:rsidRDefault="00300B58" w:rsidP="00527B08">
      <w:pPr>
        <w:spacing w:after="0" w:line="480" w:lineRule="auto"/>
        <w:jc w:val="both"/>
        <w:rPr>
          <w:rFonts w:ascii="Times New Roman" w:eastAsia="Times New Roman" w:hAnsi="Times New Roman" w:cs="Monotype Hadassah"/>
          <w:sz w:val="24"/>
          <w:szCs w:val="20"/>
        </w:rPr>
      </w:pPr>
      <w:r w:rsidRPr="00300B58">
        <w:rPr>
          <w:rFonts w:ascii="Times New Roman" w:eastAsia="Times New Roman" w:hAnsi="Times New Roman" w:cs="Monotype Hadassah"/>
          <w:sz w:val="24"/>
          <w:szCs w:val="20"/>
        </w:rPr>
        <w:t>Firstly, the specific group model should be applied only when there is an extremely high probability that there are no other conscientious objectors to the specific law apart from the group’s members (e.g. the Sikh kirpan case) and when any other model would significantly increase the risk of fraud and inefficiency.</w:t>
      </w:r>
    </w:p>
    <w:p w:rsidR="00300B58" w:rsidRPr="00300B58" w:rsidRDefault="00300B58" w:rsidP="000E115E">
      <w:pPr>
        <w:spacing w:after="0" w:line="480" w:lineRule="auto"/>
        <w:jc w:val="both"/>
        <w:rPr>
          <w:rFonts w:ascii="Times New Roman" w:eastAsia="Times New Roman" w:hAnsi="Times New Roman" w:cs="Monotype Hadassah"/>
          <w:sz w:val="24"/>
          <w:szCs w:val="20"/>
        </w:rPr>
      </w:pPr>
      <w:r w:rsidRPr="00300B58">
        <w:rPr>
          <w:rFonts w:ascii="Times New Roman" w:eastAsia="Times New Roman" w:hAnsi="Times New Roman" w:cs="Monotype Hadassah"/>
          <w:sz w:val="24"/>
          <w:szCs w:val="20"/>
        </w:rPr>
        <w:t xml:space="preserve">Secondly, using the specific group model would be more justifiable if the legislature acknowledges the legitimacy of the judicial remedy of reading into the law in order to </w:t>
      </w:r>
      <w:r w:rsidRPr="00300B58">
        <w:rPr>
          <w:rFonts w:ascii="Times New Roman" w:eastAsia="Times New Roman" w:hAnsi="Times New Roman" w:cs="Monotype Hadassah"/>
          <w:sz w:val="24"/>
          <w:szCs w:val="20"/>
        </w:rPr>
        <w:lastRenderedPageBreak/>
        <w:t xml:space="preserve">expand the exemption’s scope, whenever necessary. The judicial remedy of ‘reading in’ offers flexibility and brings the specific group model closer to the </w:t>
      </w:r>
      <w:r w:rsidR="002378C2">
        <w:rPr>
          <w:rFonts w:ascii="Times New Roman" w:eastAsia="Times New Roman" w:hAnsi="Times New Roman" w:cs="Monotype Hadassah"/>
          <w:sz w:val="24"/>
          <w:szCs w:val="20"/>
        </w:rPr>
        <w:t>‘</w:t>
      </w:r>
      <w:r w:rsidRPr="00300B58">
        <w:rPr>
          <w:rFonts w:ascii="Times New Roman" w:eastAsia="Times New Roman" w:hAnsi="Times New Roman" w:cs="Monotype Hadassah"/>
          <w:sz w:val="24"/>
          <w:szCs w:val="20"/>
        </w:rPr>
        <w:t>neutral</w:t>
      </w:r>
      <w:r w:rsidR="002378C2">
        <w:rPr>
          <w:rFonts w:ascii="Times New Roman" w:eastAsia="Times New Roman" w:hAnsi="Times New Roman" w:cs="Monotype Hadassah"/>
          <w:sz w:val="24"/>
          <w:szCs w:val="20"/>
        </w:rPr>
        <w:t xml:space="preserve"> test’</w:t>
      </w:r>
      <w:r w:rsidRPr="00300B58">
        <w:rPr>
          <w:rFonts w:ascii="Times New Roman" w:eastAsia="Times New Roman" w:hAnsi="Times New Roman" w:cs="Monotype Hadassah"/>
          <w:sz w:val="24"/>
          <w:szCs w:val="20"/>
        </w:rPr>
        <w:t xml:space="preserve"> </w:t>
      </w:r>
      <w:r w:rsidR="00C766E5">
        <w:rPr>
          <w:rFonts w:ascii="Times New Roman" w:eastAsia="Times New Roman" w:hAnsi="Times New Roman" w:cs="Monotype Hadassah"/>
          <w:sz w:val="24"/>
          <w:szCs w:val="20"/>
        </w:rPr>
        <w:t>model</w:t>
      </w:r>
      <w:r w:rsidRPr="00300B58">
        <w:rPr>
          <w:rFonts w:ascii="Times New Roman" w:eastAsia="Times New Roman" w:hAnsi="Times New Roman" w:cs="Monotype Hadassah"/>
          <w:sz w:val="24"/>
          <w:szCs w:val="20"/>
        </w:rPr>
        <w:t xml:space="preserve">, thus weakening the drawbacks of both models. </w:t>
      </w:r>
      <w:r w:rsidR="00875C57">
        <w:rPr>
          <w:rFonts w:ascii="Times New Roman" w:eastAsia="Times New Roman" w:hAnsi="Times New Roman" w:cs="Monotype Hadassah"/>
          <w:sz w:val="24"/>
          <w:szCs w:val="20"/>
        </w:rPr>
        <w:t>T</w:t>
      </w:r>
      <w:r w:rsidRPr="00300B58">
        <w:rPr>
          <w:rFonts w:ascii="Times New Roman" w:eastAsia="Times New Roman" w:hAnsi="Times New Roman" w:cs="Monotype Hadassah"/>
          <w:sz w:val="24"/>
          <w:szCs w:val="20"/>
        </w:rPr>
        <w:t xml:space="preserve">he legitimacy of the ‘reading in’ remedy in this context can be best achieved when the constitution includes a general right to be a conscientious objector, although the same result can be achieved by </w:t>
      </w:r>
      <w:r w:rsidR="002F1F20">
        <w:rPr>
          <w:rFonts w:ascii="Times New Roman" w:eastAsia="Times New Roman" w:hAnsi="Times New Roman" w:cs="Monotype Hadassah"/>
          <w:sz w:val="24"/>
          <w:szCs w:val="20"/>
        </w:rPr>
        <w:t>entrenching</w:t>
      </w:r>
      <w:r w:rsidRPr="00300B58">
        <w:rPr>
          <w:rFonts w:ascii="Times New Roman" w:eastAsia="Times New Roman" w:hAnsi="Times New Roman" w:cs="Monotype Hadassah"/>
          <w:sz w:val="24"/>
          <w:szCs w:val="20"/>
        </w:rPr>
        <w:t xml:space="preserve"> freedom of conscience or </w:t>
      </w:r>
      <w:r w:rsidR="002F1F20">
        <w:rPr>
          <w:rFonts w:ascii="Times New Roman" w:eastAsia="Times New Roman" w:hAnsi="Times New Roman" w:cs="Monotype Hadassah"/>
          <w:sz w:val="24"/>
          <w:szCs w:val="20"/>
        </w:rPr>
        <w:t>by applying the</w:t>
      </w:r>
      <w:r w:rsidRPr="00300B58">
        <w:rPr>
          <w:rFonts w:ascii="Times New Roman" w:eastAsia="Times New Roman" w:hAnsi="Times New Roman" w:cs="Monotype Hadassah"/>
          <w:sz w:val="24"/>
          <w:szCs w:val="20"/>
        </w:rPr>
        <w:t xml:space="preserve"> general right to equality</w:t>
      </w:r>
      <w:r w:rsidR="002F1F20">
        <w:rPr>
          <w:rFonts w:ascii="Times New Roman" w:eastAsia="Times New Roman" w:hAnsi="Times New Roman" w:cs="Monotype Hadassah"/>
          <w:sz w:val="24"/>
          <w:szCs w:val="20"/>
        </w:rPr>
        <w:t xml:space="preserve"> or non-discrimination.</w:t>
      </w:r>
      <w:r w:rsidRPr="00300B58">
        <w:rPr>
          <w:rFonts w:ascii="Times New Roman" w:eastAsia="Times New Roman" w:hAnsi="Times New Roman" w:cs="Monotype Hadassah"/>
          <w:sz w:val="24"/>
          <w:szCs w:val="20"/>
          <w:vertAlign w:val="superscript"/>
        </w:rPr>
        <w:footnoteReference w:id="23"/>
      </w:r>
      <w:r w:rsidRPr="00300B58">
        <w:rPr>
          <w:rFonts w:ascii="Times New Roman" w:eastAsia="Times New Roman" w:hAnsi="Times New Roman" w:cs="Monotype Hadassah"/>
          <w:sz w:val="24"/>
          <w:szCs w:val="20"/>
        </w:rPr>
        <w:t xml:space="preserve"> </w:t>
      </w:r>
    </w:p>
    <w:p w:rsidR="00300B58" w:rsidRPr="00300B58" w:rsidRDefault="00300B58" w:rsidP="00583433">
      <w:pPr>
        <w:spacing w:after="0" w:line="480" w:lineRule="auto"/>
        <w:jc w:val="both"/>
        <w:rPr>
          <w:rFonts w:ascii="Times New Roman" w:eastAsia="Times New Roman" w:hAnsi="Times New Roman" w:cs="Monotype Hadassah"/>
          <w:sz w:val="24"/>
          <w:szCs w:val="20"/>
        </w:rPr>
      </w:pPr>
      <w:r w:rsidRPr="00300B58">
        <w:rPr>
          <w:rFonts w:ascii="Times New Roman" w:eastAsia="Times New Roman" w:hAnsi="Times New Roman" w:cs="Monotype Hadassah"/>
          <w:sz w:val="24"/>
          <w:szCs w:val="20"/>
        </w:rPr>
        <w:t>The possibility of using the remedy of ‘reading in’ does not transfer the ‘specific group’ model to the ‘neutral</w:t>
      </w:r>
      <w:r w:rsidR="00583433">
        <w:rPr>
          <w:rFonts w:ascii="Times New Roman" w:eastAsia="Times New Roman" w:hAnsi="Times New Roman" w:cs="Monotype Hadassah"/>
          <w:sz w:val="24"/>
          <w:szCs w:val="20"/>
        </w:rPr>
        <w:t xml:space="preserve"> test</w:t>
      </w:r>
      <w:r w:rsidRPr="00300B58">
        <w:rPr>
          <w:rFonts w:ascii="Times New Roman" w:eastAsia="Times New Roman" w:hAnsi="Times New Roman" w:cs="Monotype Hadassah"/>
          <w:sz w:val="24"/>
          <w:szCs w:val="20"/>
        </w:rPr>
        <w:t>’ one. It is one thing to have a law stating that every conscientious objector – having proved his sincerity – is exempt from the law, but another to name one group, the members of which are entitled to exemption, and to recognise the court’s discretion to grant exemptions to other objectors in future,</w:t>
      </w:r>
      <w:r w:rsidR="002F1F20">
        <w:rPr>
          <w:rFonts w:ascii="Times New Roman" w:eastAsia="Times New Roman" w:hAnsi="Times New Roman" w:cs="Monotype Hadassah"/>
          <w:sz w:val="24"/>
          <w:szCs w:val="20"/>
        </w:rPr>
        <w:t xml:space="preserve"> currently</w:t>
      </w:r>
      <w:r w:rsidRPr="00300B58">
        <w:rPr>
          <w:rFonts w:ascii="Times New Roman" w:eastAsia="Times New Roman" w:hAnsi="Times New Roman" w:cs="Monotype Hadassah"/>
          <w:sz w:val="24"/>
          <w:szCs w:val="20"/>
        </w:rPr>
        <w:t xml:space="preserve"> unexpected cases. Presumably, the court will be more reluctant to grant exemptions in the second case, assuming, of course, that there was a good reason to </w:t>
      </w:r>
      <w:r w:rsidR="00583433">
        <w:rPr>
          <w:rFonts w:ascii="Times New Roman" w:eastAsia="Times New Roman" w:hAnsi="Times New Roman" w:cs="Monotype Hadassah"/>
          <w:sz w:val="24"/>
          <w:szCs w:val="20"/>
        </w:rPr>
        <w:t xml:space="preserve">apply </w:t>
      </w:r>
      <w:r w:rsidRPr="00300B58">
        <w:rPr>
          <w:rFonts w:ascii="Times New Roman" w:eastAsia="Times New Roman" w:hAnsi="Times New Roman" w:cs="Monotype Hadassah"/>
          <w:sz w:val="24"/>
          <w:szCs w:val="20"/>
        </w:rPr>
        <w:t xml:space="preserve">the ‘specific group’ model initially. Moreover, the conscientious objector who is not part of the ‘chosen group’ would have to defeat the law’s implied assumption that his objection is neither a conscientious nor a sincere one. For these reasons, there is less danger of fraud when applying the ‘specific group’ model combined with the ‘reading in’ remedy, than in applying the </w:t>
      </w:r>
      <w:r w:rsidR="00583433">
        <w:rPr>
          <w:rFonts w:ascii="Times New Roman" w:eastAsia="Times New Roman" w:hAnsi="Times New Roman" w:cs="Monotype Hadassah"/>
          <w:sz w:val="24"/>
          <w:szCs w:val="20"/>
        </w:rPr>
        <w:t>‘</w:t>
      </w:r>
      <w:r w:rsidRPr="00300B58">
        <w:rPr>
          <w:rFonts w:ascii="Times New Roman" w:eastAsia="Times New Roman" w:hAnsi="Times New Roman" w:cs="Monotype Hadassah"/>
          <w:sz w:val="24"/>
          <w:szCs w:val="20"/>
        </w:rPr>
        <w:t>neutral</w:t>
      </w:r>
      <w:r w:rsidR="00583433">
        <w:rPr>
          <w:rFonts w:ascii="Times New Roman" w:eastAsia="Times New Roman" w:hAnsi="Times New Roman" w:cs="Monotype Hadassah"/>
          <w:sz w:val="24"/>
          <w:szCs w:val="20"/>
        </w:rPr>
        <w:t xml:space="preserve"> test’</w:t>
      </w:r>
      <w:r w:rsidRPr="00300B58">
        <w:rPr>
          <w:rFonts w:ascii="Times New Roman" w:eastAsia="Times New Roman" w:hAnsi="Times New Roman" w:cs="Monotype Hadassah"/>
          <w:sz w:val="24"/>
          <w:szCs w:val="20"/>
        </w:rPr>
        <w:t xml:space="preserve"> model.    </w:t>
      </w:r>
    </w:p>
    <w:p w:rsidR="00300B58" w:rsidRPr="00300B58" w:rsidRDefault="00300B58" w:rsidP="00583433">
      <w:pPr>
        <w:spacing w:after="0" w:line="480" w:lineRule="auto"/>
        <w:jc w:val="both"/>
        <w:rPr>
          <w:rFonts w:ascii="Times New Roman" w:eastAsia="Times New Roman" w:hAnsi="Times New Roman" w:cs="Monotype Hadassah"/>
          <w:sz w:val="24"/>
          <w:szCs w:val="20"/>
        </w:rPr>
      </w:pPr>
      <w:r w:rsidRPr="00300B58">
        <w:rPr>
          <w:rFonts w:ascii="Times New Roman" w:eastAsia="Times New Roman" w:hAnsi="Times New Roman" w:cs="Monotype Hadassah"/>
          <w:sz w:val="24"/>
          <w:szCs w:val="20"/>
        </w:rPr>
        <w:t>Thirdly, granting exemptions according to the ‘neutral</w:t>
      </w:r>
      <w:r w:rsidR="00583433">
        <w:rPr>
          <w:rFonts w:ascii="Times New Roman" w:eastAsia="Times New Roman" w:hAnsi="Times New Roman" w:cs="Monotype Hadassah"/>
          <w:sz w:val="24"/>
          <w:szCs w:val="20"/>
        </w:rPr>
        <w:t xml:space="preserve"> test</w:t>
      </w:r>
      <w:r w:rsidRPr="00300B58">
        <w:rPr>
          <w:rFonts w:ascii="Times New Roman" w:eastAsia="Times New Roman" w:hAnsi="Times New Roman" w:cs="Monotype Hadassah"/>
          <w:sz w:val="24"/>
          <w:szCs w:val="20"/>
        </w:rPr>
        <w:t xml:space="preserve">’ model is justified in cases where the following two cumulative conditions apply: firstly, when some of the conscientious objectors are not expected to be part of any specific group, and, secondly, when granting the exemption to anyone who claims it will result in </w:t>
      </w:r>
      <w:r w:rsidRPr="00300B58">
        <w:rPr>
          <w:rFonts w:ascii="Times New Roman" w:eastAsia="Times New Roman" w:hAnsi="Times New Roman" w:cs="Monotype Hadassah"/>
          <w:sz w:val="24"/>
          <w:szCs w:val="20"/>
        </w:rPr>
        <w:lastRenderedPageBreak/>
        <w:t xml:space="preserve">undermining the justified purpose of the law or of any other justified and compelling interest. The case of granting exemption from compulsory military enlistment, for example, usually meets these conditions.  </w:t>
      </w:r>
    </w:p>
    <w:p w:rsidR="00300B58" w:rsidRPr="00300B58" w:rsidRDefault="00300B58" w:rsidP="000E115E">
      <w:pPr>
        <w:spacing w:after="0" w:line="480" w:lineRule="auto"/>
        <w:jc w:val="both"/>
        <w:rPr>
          <w:rFonts w:ascii="Times New Roman" w:eastAsia="Times New Roman" w:hAnsi="Times New Roman" w:cs="Monotype Hadassah"/>
          <w:sz w:val="24"/>
          <w:szCs w:val="20"/>
        </w:rPr>
      </w:pPr>
      <w:r w:rsidRPr="00300B58">
        <w:rPr>
          <w:rFonts w:ascii="Times New Roman" w:eastAsia="Times New Roman" w:hAnsi="Times New Roman" w:cs="Monotype Hadassah"/>
          <w:sz w:val="24"/>
          <w:szCs w:val="20"/>
        </w:rPr>
        <w:t xml:space="preserve">I have not yet discussed the third model, according to which conscientious exemption should be granted to anyone who seeks it. At first sight, this seems slightly odd. </w:t>
      </w:r>
      <w:r w:rsidR="000E115E">
        <w:rPr>
          <w:rFonts w:ascii="Times New Roman" w:eastAsia="Times New Roman" w:hAnsi="Times New Roman" w:cs="Monotype Hadassah"/>
          <w:sz w:val="24"/>
          <w:szCs w:val="20"/>
        </w:rPr>
        <w:t xml:space="preserve">It can be argued that there is little </w:t>
      </w:r>
      <w:r w:rsidRPr="00300B58">
        <w:rPr>
          <w:rFonts w:ascii="Times New Roman" w:eastAsia="Times New Roman" w:hAnsi="Times New Roman" w:cs="Monotype Hadassah"/>
          <w:sz w:val="24"/>
          <w:szCs w:val="20"/>
        </w:rPr>
        <w:t xml:space="preserve">point </w:t>
      </w:r>
      <w:r w:rsidR="000E115E">
        <w:rPr>
          <w:rFonts w:ascii="Times New Roman" w:eastAsia="Times New Roman" w:hAnsi="Times New Roman" w:cs="Monotype Hadassah"/>
          <w:sz w:val="24"/>
          <w:szCs w:val="20"/>
        </w:rPr>
        <w:t>in</w:t>
      </w:r>
      <w:r w:rsidRPr="00300B58">
        <w:rPr>
          <w:rFonts w:ascii="Times New Roman" w:eastAsia="Times New Roman" w:hAnsi="Times New Roman" w:cs="Monotype Hadassah"/>
          <w:sz w:val="24"/>
          <w:szCs w:val="20"/>
        </w:rPr>
        <w:t xml:space="preserve"> enacting a law if the law itself allows practically anyone to disobey it regardless of </w:t>
      </w:r>
      <w:r w:rsidR="0051616D">
        <w:rPr>
          <w:rFonts w:ascii="Times New Roman" w:eastAsia="Times New Roman" w:hAnsi="Times New Roman" w:cs="Monotype Hadassah"/>
          <w:sz w:val="24"/>
          <w:szCs w:val="20"/>
        </w:rPr>
        <w:t>their</w:t>
      </w:r>
      <w:r w:rsidRPr="00300B58">
        <w:rPr>
          <w:rFonts w:ascii="Times New Roman" w:eastAsia="Times New Roman" w:hAnsi="Times New Roman" w:cs="Monotype Hadassah"/>
          <w:sz w:val="24"/>
          <w:szCs w:val="20"/>
        </w:rPr>
        <w:t xml:space="preserve"> motives</w:t>
      </w:r>
      <w:r w:rsidR="000E115E">
        <w:rPr>
          <w:rFonts w:ascii="Times New Roman" w:eastAsia="Times New Roman" w:hAnsi="Times New Roman" w:cs="Monotype Hadassah"/>
          <w:sz w:val="24"/>
          <w:szCs w:val="20"/>
        </w:rPr>
        <w:t>.</w:t>
      </w:r>
      <w:r w:rsidRPr="00300B58">
        <w:rPr>
          <w:rFonts w:ascii="Times New Roman" w:eastAsia="Times New Roman" w:hAnsi="Times New Roman" w:cs="Monotype Hadassah"/>
          <w:sz w:val="24"/>
          <w:szCs w:val="20"/>
        </w:rPr>
        <w:t xml:space="preserve"> This is, of course, only partly true. As noted above, applying this model </w:t>
      </w:r>
      <w:r w:rsidR="0051616D">
        <w:rPr>
          <w:rFonts w:ascii="Times New Roman" w:eastAsia="Times New Roman" w:hAnsi="Times New Roman" w:cs="Monotype Hadassah"/>
          <w:sz w:val="24"/>
          <w:szCs w:val="20"/>
        </w:rPr>
        <w:t xml:space="preserve">will protect </w:t>
      </w:r>
      <w:r w:rsidRPr="00300B58">
        <w:rPr>
          <w:rFonts w:ascii="Times New Roman" w:eastAsia="Times New Roman" w:hAnsi="Times New Roman" w:cs="Monotype Hadassah"/>
          <w:sz w:val="24"/>
          <w:szCs w:val="20"/>
        </w:rPr>
        <w:t>more effectively freedom of conscience in cases where the conscientious objectors are not expected to be part of any specific group, and when this will not result in undermining the justified purpose of the law or of any other justified and compelling interest.</w:t>
      </w:r>
    </w:p>
    <w:p w:rsidR="00300B58" w:rsidRPr="00300B58" w:rsidRDefault="000E115E" w:rsidP="008041C5">
      <w:pPr>
        <w:spacing w:after="0" w:line="480" w:lineRule="auto"/>
        <w:jc w:val="both"/>
        <w:rPr>
          <w:rFonts w:ascii="Times New Roman" w:eastAsia="Times New Roman" w:hAnsi="Times New Roman" w:cs="Monotype Hadassah"/>
          <w:sz w:val="24"/>
          <w:szCs w:val="20"/>
        </w:rPr>
      </w:pPr>
      <w:r>
        <w:rPr>
          <w:rFonts w:ascii="Times New Roman" w:eastAsia="Times New Roman" w:hAnsi="Times New Roman" w:cs="Monotype Hadassah"/>
          <w:sz w:val="24"/>
          <w:szCs w:val="20"/>
        </w:rPr>
        <w:t xml:space="preserve">However, </w:t>
      </w:r>
      <w:r w:rsidR="0051616D">
        <w:rPr>
          <w:rFonts w:ascii="Times New Roman" w:eastAsia="Times New Roman" w:hAnsi="Times New Roman" w:cs="Monotype Hadassah"/>
          <w:sz w:val="24"/>
          <w:szCs w:val="20"/>
        </w:rPr>
        <w:t>we</w:t>
      </w:r>
      <w:r>
        <w:rPr>
          <w:rFonts w:ascii="Times New Roman" w:eastAsia="Times New Roman" w:hAnsi="Times New Roman" w:cs="Monotype Hadassah"/>
          <w:sz w:val="24"/>
          <w:szCs w:val="20"/>
        </w:rPr>
        <w:t xml:space="preserve"> cannot always</w:t>
      </w:r>
      <w:r w:rsidR="0051616D">
        <w:rPr>
          <w:rFonts w:ascii="Times New Roman" w:eastAsia="Times New Roman" w:hAnsi="Times New Roman" w:cs="Monotype Hadassah"/>
          <w:sz w:val="24"/>
          <w:szCs w:val="20"/>
        </w:rPr>
        <w:t xml:space="preserve"> know in advance </w:t>
      </w:r>
      <w:r w:rsidR="00300B58" w:rsidRPr="00300B58">
        <w:rPr>
          <w:rFonts w:ascii="Times New Roman" w:eastAsia="Times New Roman" w:hAnsi="Times New Roman" w:cs="Monotype Hadassah"/>
          <w:sz w:val="24"/>
          <w:szCs w:val="20"/>
        </w:rPr>
        <w:t>whether granting exemption to anyone who claims it will actually undermine the purpose of the law</w:t>
      </w:r>
      <w:r>
        <w:rPr>
          <w:rFonts w:ascii="Times New Roman" w:eastAsia="Times New Roman" w:hAnsi="Times New Roman" w:cs="Monotype Hadassah"/>
          <w:sz w:val="24"/>
          <w:szCs w:val="20"/>
        </w:rPr>
        <w:t xml:space="preserve">. </w:t>
      </w:r>
      <w:r w:rsidR="00300B58" w:rsidRPr="00300B58">
        <w:rPr>
          <w:rFonts w:ascii="Times New Roman" w:eastAsia="Times New Roman" w:hAnsi="Times New Roman" w:cs="Monotype Hadassah"/>
          <w:sz w:val="24"/>
          <w:szCs w:val="20"/>
        </w:rPr>
        <w:t>There are numerous considerations that should be taken into account</w:t>
      </w:r>
      <w:r>
        <w:rPr>
          <w:rFonts w:ascii="Times New Roman" w:eastAsia="Times New Roman" w:hAnsi="Times New Roman" w:cs="Monotype Hadassah"/>
          <w:sz w:val="24"/>
          <w:szCs w:val="20"/>
        </w:rPr>
        <w:t xml:space="preserve"> while trying to evaluate the risks of applying this model</w:t>
      </w:r>
      <w:r w:rsidR="00300B58" w:rsidRPr="00300B58">
        <w:rPr>
          <w:rFonts w:ascii="Times New Roman" w:eastAsia="Times New Roman" w:hAnsi="Times New Roman" w:cs="Monotype Hadassah"/>
          <w:sz w:val="24"/>
          <w:szCs w:val="20"/>
        </w:rPr>
        <w:t>. The difficulty is that the</w:t>
      </w:r>
      <w:r w:rsidR="008041C5">
        <w:rPr>
          <w:rFonts w:ascii="Times New Roman" w:eastAsia="Times New Roman" w:hAnsi="Times New Roman" w:cs="Monotype Hadassah"/>
          <w:sz w:val="24"/>
          <w:szCs w:val="20"/>
        </w:rPr>
        <w:t>se considerations</w:t>
      </w:r>
      <w:r w:rsidR="00300B58" w:rsidRPr="00300B58">
        <w:rPr>
          <w:rFonts w:ascii="Times New Roman" w:eastAsia="Times New Roman" w:hAnsi="Times New Roman" w:cs="Monotype Hadassah"/>
          <w:sz w:val="24"/>
          <w:szCs w:val="20"/>
        </w:rPr>
        <w:t xml:space="preserve"> do not apply in the same way in all cases. This is one good reason why the decision will have to be made on a case</w:t>
      </w:r>
      <w:r w:rsidR="00083A47">
        <w:rPr>
          <w:rFonts w:ascii="Times New Roman" w:eastAsia="Times New Roman" w:hAnsi="Times New Roman" w:cs="Monotype Hadassah"/>
          <w:sz w:val="24"/>
          <w:szCs w:val="20"/>
        </w:rPr>
        <w:t>-</w:t>
      </w:r>
      <w:r w:rsidR="00300B58" w:rsidRPr="00300B58">
        <w:rPr>
          <w:rFonts w:ascii="Times New Roman" w:eastAsia="Times New Roman" w:hAnsi="Times New Roman" w:cs="Monotype Hadassah"/>
          <w:sz w:val="24"/>
          <w:szCs w:val="20"/>
        </w:rPr>
        <w:t>by</w:t>
      </w:r>
      <w:r w:rsidR="00083A47">
        <w:rPr>
          <w:rFonts w:ascii="Times New Roman" w:eastAsia="Times New Roman" w:hAnsi="Times New Roman" w:cs="Monotype Hadassah"/>
          <w:sz w:val="24"/>
          <w:szCs w:val="20"/>
        </w:rPr>
        <w:t>-</w:t>
      </w:r>
      <w:r w:rsidR="00300B58" w:rsidRPr="00300B58">
        <w:rPr>
          <w:rFonts w:ascii="Times New Roman" w:eastAsia="Times New Roman" w:hAnsi="Times New Roman" w:cs="Monotype Hadassah"/>
          <w:sz w:val="24"/>
          <w:szCs w:val="20"/>
        </w:rPr>
        <w:t xml:space="preserve">case basis. Three examples </w:t>
      </w:r>
      <w:r w:rsidR="0051616D">
        <w:rPr>
          <w:rFonts w:ascii="Times New Roman" w:eastAsia="Times New Roman" w:hAnsi="Times New Roman" w:cs="Monotype Hadassah"/>
          <w:sz w:val="24"/>
          <w:szCs w:val="20"/>
        </w:rPr>
        <w:t xml:space="preserve">can </w:t>
      </w:r>
      <w:r w:rsidR="00300B58" w:rsidRPr="00300B58">
        <w:rPr>
          <w:rFonts w:ascii="Times New Roman" w:eastAsia="Times New Roman" w:hAnsi="Times New Roman" w:cs="Monotype Hadassah"/>
          <w:sz w:val="24"/>
          <w:szCs w:val="20"/>
        </w:rPr>
        <w:t>clarify this point.</w:t>
      </w:r>
    </w:p>
    <w:p w:rsidR="00300B58" w:rsidRPr="00300B58" w:rsidRDefault="00300B58" w:rsidP="00583433">
      <w:pPr>
        <w:spacing w:after="0" w:line="480" w:lineRule="auto"/>
        <w:jc w:val="both"/>
        <w:rPr>
          <w:rFonts w:ascii="Times New Roman" w:eastAsia="Times New Roman" w:hAnsi="Times New Roman" w:cs="Monotype Hadassah"/>
          <w:sz w:val="24"/>
          <w:szCs w:val="20"/>
        </w:rPr>
      </w:pPr>
      <w:r w:rsidRPr="00300B58">
        <w:rPr>
          <w:rFonts w:ascii="Times New Roman" w:eastAsia="Times New Roman" w:hAnsi="Times New Roman" w:cs="Monotype Hadassah"/>
          <w:sz w:val="24"/>
          <w:szCs w:val="20"/>
        </w:rPr>
        <w:t xml:space="preserve">Firstly, in some cases, the expected number of objectors (some of whom </w:t>
      </w:r>
      <w:r w:rsidR="00857611">
        <w:rPr>
          <w:rFonts w:ascii="Times New Roman" w:eastAsia="Times New Roman" w:hAnsi="Times New Roman" w:cs="Monotype Hadassah"/>
          <w:sz w:val="24"/>
          <w:szCs w:val="20"/>
        </w:rPr>
        <w:t xml:space="preserve">will not be </w:t>
      </w:r>
      <w:r w:rsidRPr="00300B58">
        <w:rPr>
          <w:rFonts w:ascii="Times New Roman" w:eastAsia="Times New Roman" w:hAnsi="Times New Roman" w:cs="Monotype Hadassah"/>
          <w:sz w:val="24"/>
          <w:szCs w:val="20"/>
        </w:rPr>
        <w:t xml:space="preserve">sincere conscientious objectors) </w:t>
      </w:r>
      <w:r w:rsidR="00857611">
        <w:rPr>
          <w:rFonts w:ascii="Times New Roman" w:eastAsia="Times New Roman" w:hAnsi="Times New Roman" w:cs="Monotype Hadassah"/>
          <w:sz w:val="24"/>
          <w:szCs w:val="20"/>
        </w:rPr>
        <w:t>is</w:t>
      </w:r>
      <w:r w:rsidRPr="00300B58">
        <w:rPr>
          <w:rFonts w:ascii="Times New Roman" w:eastAsia="Times New Roman" w:hAnsi="Times New Roman" w:cs="Monotype Hadassah"/>
          <w:sz w:val="24"/>
          <w:szCs w:val="20"/>
        </w:rPr>
        <w:t xml:space="preserve"> crucial, whereas in other cases it </w:t>
      </w:r>
      <w:r w:rsidR="00857611">
        <w:rPr>
          <w:rFonts w:ascii="Times New Roman" w:eastAsia="Times New Roman" w:hAnsi="Times New Roman" w:cs="Monotype Hadassah"/>
          <w:sz w:val="24"/>
          <w:szCs w:val="20"/>
        </w:rPr>
        <w:t>is</w:t>
      </w:r>
      <w:r w:rsidRPr="00300B58">
        <w:rPr>
          <w:rFonts w:ascii="Times New Roman" w:eastAsia="Times New Roman" w:hAnsi="Times New Roman" w:cs="Monotype Hadassah"/>
          <w:sz w:val="24"/>
          <w:szCs w:val="20"/>
        </w:rPr>
        <w:t xml:space="preserve"> not. Even if we assume, for example, that there are good reasons for granting </w:t>
      </w:r>
      <w:r w:rsidR="00857611">
        <w:rPr>
          <w:rFonts w:ascii="Times New Roman" w:eastAsia="Times New Roman" w:hAnsi="Times New Roman" w:cs="Monotype Hadassah"/>
          <w:sz w:val="24"/>
          <w:szCs w:val="20"/>
        </w:rPr>
        <w:t xml:space="preserve">conscientious </w:t>
      </w:r>
      <w:r w:rsidRPr="00300B58">
        <w:rPr>
          <w:rFonts w:ascii="Times New Roman" w:eastAsia="Times New Roman" w:hAnsi="Times New Roman" w:cs="Monotype Hadassah"/>
          <w:sz w:val="24"/>
          <w:szCs w:val="20"/>
        </w:rPr>
        <w:t xml:space="preserve">exemptions from tax </w:t>
      </w:r>
      <w:r w:rsidR="00857611">
        <w:rPr>
          <w:rFonts w:ascii="Times New Roman" w:eastAsia="Times New Roman" w:hAnsi="Times New Roman" w:cs="Monotype Hadassah"/>
          <w:sz w:val="24"/>
          <w:szCs w:val="20"/>
        </w:rPr>
        <w:t xml:space="preserve">laws </w:t>
      </w:r>
      <w:r w:rsidRPr="00300B58">
        <w:rPr>
          <w:rFonts w:ascii="Times New Roman" w:eastAsia="Times New Roman" w:hAnsi="Times New Roman" w:cs="Monotype Hadassah"/>
          <w:sz w:val="24"/>
          <w:szCs w:val="20"/>
        </w:rPr>
        <w:t xml:space="preserve">or social security laws, clearly there is not much sense in granting them simply to anyone who seeks </w:t>
      </w:r>
      <w:r w:rsidR="00583433">
        <w:rPr>
          <w:rFonts w:ascii="Times New Roman" w:eastAsia="Times New Roman" w:hAnsi="Times New Roman" w:cs="Monotype Hadassah"/>
          <w:sz w:val="24"/>
          <w:szCs w:val="20"/>
        </w:rPr>
        <w:t>them</w:t>
      </w:r>
      <w:r w:rsidRPr="00300B58">
        <w:rPr>
          <w:rFonts w:ascii="Times New Roman" w:eastAsia="Times New Roman" w:hAnsi="Times New Roman" w:cs="Monotype Hadassah"/>
          <w:sz w:val="24"/>
          <w:szCs w:val="20"/>
        </w:rPr>
        <w:t xml:space="preserve">. This might also be the case regarding numerous laws, the main aim of which is to coordinate behaviour. However, when the law imposes a duty to take a religiously oriented oath during legal </w:t>
      </w:r>
      <w:r w:rsidRPr="00300B58">
        <w:rPr>
          <w:rFonts w:ascii="Times New Roman" w:eastAsia="Times New Roman" w:hAnsi="Times New Roman" w:cs="Monotype Hadassah"/>
          <w:sz w:val="24"/>
          <w:szCs w:val="20"/>
        </w:rPr>
        <w:lastRenderedPageBreak/>
        <w:t xml:space="preserve">proceedings, for example, and grants exemption to anyone who claims it, the expected number of objectors seeking the exemption is simply irrelevant.    </w:t>
      </w:r>
    </w:p>
    <w:p w:rsidR="00300B58" w:rsidRPr="00300B58" w:rsidRDefault="00933611" w:rsidP="00933611">
      <w:pPr>
        <w:spacing w:after="0" w:line="480" w:lineRule="auto"/>
        <w:jc w:val="both"/>
        <w:rPr>
          <w:rFonts w:ascii="Times New Roman" w:eastAsia="Times New Roman" w:hAnsi="Times New Roman" w:cs="Monotype Hadassah"/>
          <w:sz w:val="24"/>
          <w:szCs w:val="20"/>
        </w:rPr>
      </w:pPr>
      <w:r>
        <w:rPr>
          <w:rFonts w:ascii="Times New Roman" w:eastAsia="Times New Roman" w:hAnsi="Times New Roman" w:cs="Monotype Hadassah"/>
          <w:sz w:val="24"/>
          <w:szCs w:val="20"/>
        </w:rPr>
        <w:t>Secondly</w:t>
      </w:r>
      <w:r w:rsidR="00300B58" w:rsidRPr="00300B58">
        <w:rPr>
          <w:rFonts w:ascii="Times New Roman" w:eastAsia="Times New Roman" w:hAnsi="Times New Roman" w:cs="Monotype Hadassah"/>
          <w:sz w:val="24"/>
          <w:szCs w:val="20"/>
        </w:rPr>
        <w:t xml:space="preserve">, in some cases, it will be crucial or at least extremely helpful to </w:t>
      </w:r>
      <w:r w:rsidR="00A43546">
        <w:rPr>
          <w:rFonts w:ascii="Times New Roman" w:eastAsia="Times New Roman" w:hAnsi="Times New Roman" w:cs="Monotype Hadassah"/>
          <w:sz w:val="24"/>
          <w:szCs w:val="20"/>
        </w:rPr>
        <w:t xml:space="preserve">impose </w:t>
      </w:r>
      <w:r w:rsidR="00300B58" w:rsidRPr="00300B58">
        <w:rPr>
          <w:rFonts w:ascii="Times New Roman" w:eastAsia="Times New Roman" w:hAnsi="Times New Roman" w:cs="Monotype Hadassah"/>
          <w:sz w:val="24"/>
          <w:szCs w:val="20"/>
        </w:rPr>
        <w:t xml:space="preserve">an alternative duty to the one from which the objector is being exempted. Even if we assume, for example, that taking a religious oath before being appointed to certain public positions is vital </w:t>
      </w:r>
      <w:r w:rsidR="00A43546">
        <w:rPr>
          <w:rFonts w:ascii="Times New Roman" w:eastAsia="Times New Roman" w:hAnsi="Times New Roman" w:cs="Monotype Hadassah"/>
          <w:sz w:val="24"/>
          <w:szCs w:val="20"/>
        </w:rPr>
        <w:t>(</w:t>
      </w:r>
      <w:r w:rsidR="00300B58" w:rsidRPr="00300B58">
        <w:rPr>
          <w:rFonts w:ascii="Times New Roman" w:eastAsia="Times New Roman" w:hAnsi="Times New Roman" w:cs="Monotype Hadassah"/>
          <w:sz w:val="24"/>
          <w:szCs w:val="20"/>
        </w:rPr>
        <w:t>even if only symbolically</w:t>
      </w:r>
      <w:r w:rsidR="00A43546">
        <w:rPr>
          <w:rFonts w:ascii="Times New Roman" w:eastAsia="Times New Roman" w:hAnsi="Times New Roman" w:cs="Monotype Hadassah"/>
          <w:sz w:val="24"/>
          <w:szCs w:val="20"/>
        </w:rPr>
        <w:t>)</w:t>
      </w:r>
      <w:r w:rsidR="00300B58" w:rsidRPr="00300B58">
        <w:rPr>
          <w:rFonts w:ascii="Times New Roman" w:eastAsia="Times New Roman" w:hAnsi="Times New Roman" w:cs="Monotype Hadassah"/>
          <w:sz w:val="24"/>
          <w:szCs w:val="20"/>
        </w:rPr>
        <w:t xml:space="preserve"> acknowledging a non-religious affirmation as a reasonable alternative duty would enable an exemption to be granted to anyone who claims it.</w:t>
      </w:r>
      <w:r w:rsidR="00300B58" w:rsidRPr="00300B58">
        <w:rPr>
          <w:rFonts w:ascii="Times New Roman" w:eastAsia="Times New Roman" w:hAnsi="Times New Roman" w:cs="Monotype Hadassah"/>
          <w:sz w:val="24"/>
          <w:szCs w:val="20"/>
          <w:vertAlign w:val="superscript"/>
        </w:rPr>
        <w:footnoteReference w:id="24"/>
      </w:r>
    </w:p>
    <w:p w:rsidR="00300B58" w:rsidRDefault="00300B58" w:rsidP="000B2F38">
      <w:pPr>
        <w:spacing w:after="0" w:line="480" w:lineRule="auto"/>
        <w:jc w:val="both"/>
        <w:rPr>
          <w:rFonts w:ascii="Times New Roman" w:eastAsia="Times New Roman" w:hAnsi="Times New Roman" w:cs="Monotype Hadassah"/>
          <w:sz w:val="24"/>
          <w:szCs w:val="20"/>
        </w:rPr>
      </w:pPr>
      <w:r w:rsidRPr="00300B58">
        <w:rPr>
          <w:rFonts w:ascii="Times New Roman" w:eastAsia="Times New Roman" w:hAnsi="Times New Roman" w:cs="Monotype Hadassah"/>
          <w:sz w:val="24"/>
          <w:szCs w:val="20"/>
        </w:rPr>
        <w:t xml:space="preserve">In some cases, there may be no </w:t>
      </w:r>
      <w:r w:rsidR="000B2F38">
        <w:rPr>
          <w:rFonts w:ascii="Times New Roman" w:eastAsia="Times New Roman" w:hAnsi="Times New Roman" w:cs="Monotype Hadassah"/>
          <w:sz w:val="24"/>
          <w:szCs w:val="20"/>
        </w:rPr>
        <w:t>appropriate</w:t>
      </w:r>
      <w:r w:rsidRPr="00300B58">
        <w:rPr>
          <w:rFonts w:ascii="Times New Roman" w:eastAsia="Times New Roman" w:hAnsi="Times New Roman" w:cs="Monotype Hadassah"/>
          <w:sz w:val="24"/>
          <w:szCs w:val="20"/>
        </w:rPr>
        <w:t xml:space="preserve"> alternative duty that would enable the law to grant exemption to anyone who claims it, as in the case of a generally justified compulsory military enlistment</w:t>
      </w:r>
      <w:r w:rsidR="00A43546">
        <w:rPr>
          <w:rFonts w:ascii="Times New Roman" w:eastAsia="Times New Roman" w:hAnsi="Times New Roman" w:cs="Monotype Hadassah"/>
          <w:sz w:val="24"/>
          <w:szCs w:val="20"/>
        </w:rPr>
        <w:t>, and under the assumption that granting an exemption to anyone who claims it will result in jeopardising the rational</w:t>
      </w:r>
      <w:r w:rsidR="00083A47">
        <w:rPr>
          <w:rFonts w:ascii="Times New Roman" w:eastAsia="Times New Roman" w:hAnsi="Times New Roman" w:cs="Monotype Hadassah"/>
          <w:sz w:val="24"/>
          <w:szCs w:val="20"/>
        </w:rPr>
        <w:t>e</w:t>
      </w:r>
      <w:r w:rsidR="00A43546">
        <w:rPr>
          <w:rFonts w:ascii="Times New Roman" w:eastAsia="Times New Roman" w:hAnsi="Times New Roman" w:cs="Monotype Hadassah"/>
          <w:sz w:val="24"/>
          <w:szCs w:val="20"/>
        </w:rPr>
        <w:t xml:space="preserve"> of having </w:t>
      </w:r>
      <w:r w:rsidR="00A43546" w:rsidRPr="00A43546">
        <w:rPr>
          <w:rFonts w:ascii="Times New Roman" w:eastAsia="Times New Roman" w:hAnsi="Times New Roman" w:cs="Monotype Hadassah"/>
          <w:sz w:val="24"/>
          <w:szCs w:val="20"/>
        </w:rPr>
        <w:t>compulsory military enlistment</w:t>
      </w:r>
      <w:r w:rsidR="00A43546">
        <w:rPr>
          <w:rFonts w:ascii="Times New Roman" w:eastAsia="Times New Roman" w:hAnsi="Times New Roman" w:cs="Monotype Hadassah"/>
          <w:sz w:val="24"/>
          <w:szCs w:val="20"/>
        </w:rPr>
        <w:t xml:space="preserve"> to begin with</w:t>
      </w:r>
      <w:r w:rsidRPr="00300B58">
        <w:rPr>
          <w:rFonts w:ascii="Times New Roman" w:eastAsia="Times New Roman" w:hAnsi="Times New Roman" w:cs="Monotype Hadassah"/>
          <w:sz w:val="24"/>
          <w:szCs w:val="20"/>
        </w:rPr>
        <w:t>. In other cases, there is no alternative duty possible, although this will not be a sufficient reason not to grant an exemption to anyone who claims it, as in the case of exempting pupils in state schools from school prayers, religious classes or saluting the flag (assuming, of course, that these are generally justified practices).</w:t>
      </w:r>
    </w:p>
    <w:p w:rsidR="00933611" w:rsidRPr="00933611" w:rsidRDefault="00933611" w:rsidP="00137297">
      <w:pPr>
        <w:spacing w:after="0" w:line="480" w:lineRule="auto"/>
        <w:jc w:val="both"/>
        <w:rPr>
          <w:rFonts w:ascii="Times New Roman" w:eastAsia="Times New Roman" w:hAnsi="Times New Roman" w:cs="Monotype Hadassah"/>
          <w:sz w:val="24"/>
          <w:szCs w:val="20"/>
        </w:rPr>
      </w:pPr>
      <w:r>
        <w:rPr>
          <w:rFonts w:ascii="Times New Roman" w:eastAsia="Times New Roman" w:hAnsi="Times New Roman" w:cs="Monotype Hadassah"/>
          <w:sz w:val="24"/>
          <w:szCs w:val="20"/>
        </w:rPr>
        <w:t>Thirdly</w:t>
      </w:r>
      <w:r w:rsidRPr="00933611">
        <w:rPr>
          <w:rFonts w:ascii="Times New Roman" w:eastAsia="Times New Roman" w:hAnsi="Times New Roman" w:cs="Monotype Hadassah"/>
          <w:sz w:val="24"/>
          <w:szCs w:val="20"/>
        </w:rPr>
        <w:t xml:space="preserve">, it </w:t>
      </w:r>
      <w:r w:rsidR="00137297">
        <w:rPr>
          <w:rFonts w:ascii="Times New Roman" w:eastAsia="Times New Roman" w:hAnsi="Times New Roman" w:cs="Monotype Hadassah"/>
          <w:sz w:val="24"/>
          <w:szCs w:val="20"/>
        </w:rPr>
        <w:t>is</w:t>
      </w:r>
      <w:r w:rsidRPr="00933611">
        <w:rPr>
          <w:rFonts w:ascii="Times New Roman" w:eastAsia="Times New Roman" w:hAnsi="Times New Roman" w:cs="Monotype Hadassah"/>
          <w:sz w:val="24"/>
          <w:szCs w:val="20"/>
        </w:rPr>
        <w:t xml:space="preserve"> </w:t>
      </w:r>
      <w:r>
        <w:rPr>
          <w:rFonts w:ascii="Times New Roman" w:eastAsia="Times New Roman" w:hAnsi="Times New Roman" w:cs="Monotype Hadassah"/>
          <w:sz w:val="24"/>
          <w:szCs w:val="20"/>
        </w:rPr>
        <w:t>always</w:t>
      </w:r>
      <w:r w:rsidRPr="00933611">
        <w:rPr>
          <w:rFonts w:ascii="Times New Roman" w:eastAsia="Times New Roman" w:hAnsi="Times New Roman" w:cs="Monotype Hadassah"/>
          <w:sz w:val="24"/>
          <w:szCs w:val="20"/>
        </w:rPr>
        <w:t xml:space="preserve"> important to ask whether applying this model adds only non-conscientious objectors when comparing it to other models. Assume that there is a good case for imposing a legal duty to wear a crash helmet when riding a bike or motorcycle. The only known conscientious objectors to this demand are the Sikhs, who are religiously committed to wearing the </w:t>
      </w:r>
      <w:r w:rsidR="00083A47">
        <w:rPr>
          <w:rFonts w:ascii="Times New Roman" w:eastAsia="Times New Roman" w:hAnsi="Times New Roman" w:cs="Monotype Hadassah"/>
          <w:sz w:val="24"/>
          <w:szCs w:val="20"/>
        </w:rPr>
        <w:t>t</w:t>
      </w:r>
      <w:r w:rsidRPr="00933611">
        <w:rPr>
          <w:rFonts w:ascii="Times New Roman" w:eastAsia="Times New Roman" w:hAnsi="Times New Roman" w:cs="Monotype Hadassah"/>
          <w:sz w:val="24"/>
          <w:szCs w:val="20"/>
        </w:rPr>
        <w:t xml:space="preserve">urban at all times. Granting an exemption from the law to anyone who claims it would add only non-conscientious objectors, compared with the ‘specific group’ model. In other words, it will </w:t>
      </w:r>
      <w:r w:rsidRPr="00933611">
        <w:rPr>
          <w:rFonts w:ascii="Times New Roman" w:eastAsia="Times New Roman" w:hAnsi="Times New Roman" w:cs="Monotype Hadassah"/>
          <w:sz w:val="24"/>
          <w:szCs w:val="20"/>
        </w:rPr>
        <w:lastRenderedPageBreak/>
        <w:t xml:space="preserve">undermine a justifiable and compelling interest while not enhancing the protection of freedom of conscience at all. </w:t>
      </w:r>
    </w:p>
    <w:p w:rsidR="00300B58" w:rsidRPr="00300B58" w:rsidRDefault="00300B58" w:rsidP="00527B08">
      <w:pPr>
        <w:spacing w:after="0" w:line="480" w:lineRule="auto"/>
        <w:jc w:val="both"/>
        <w:rPr>
          <w:rFonts w:ascii="Times New Roman" w:eastAsia="Times New Roman" w:hAnsi="Times New Roman" w:cs="Monotype Hadassah"/>
          <w:sz w:val="24"/>
          <w:szCs w:val="20"/>
        </w:rPr>
      </w:pPr>
      <w:r w:rsidRPr="00300B58">
        <w:rPr>
          <w:rFonts w:ascii="Times New Roman" w:eastAsia="Times New Roman" w:hAnsi="Times New Roman" w:cs="Monotype Hadassah"/>
          <w:sz w:val="24"/>
          <w:szCs w:val="20"/>
        </w:rPr>
        <w:t>Looking back at the three models for granting conscientious exemptions, it is clear that no single model is preferable in all cases. Choosing the right model must be done on a case</w:t>
      </w:r>
      <w:r w:rsidR="00083A47">
        <w:rPr>
          <w:rFonts w:ascii="Times New Roman" w:eastAsia="Times New Roman" w:hAnsi="Times New Roman" w:cs="Monotype Hadassah"/>
          <w:sz w:val="24"/>
          <w:szCs w:val="20"/>
        </w:rPr>
        <w:t>-</w:t>
      </w:r>
      <w:r w:rsidRPr="00300B58">
        <w:rPr>
          <w:rFonts w:ascii="Times New Roman" w:eastAsia="Times New Roman" w:hAnsi="Times New Roman" w:cs="Monotype Hadassah"/>
          <w:sz w:val="24"/>
          <w:szCs w:val="20"/>
        </w:rPr>
        <w:t>by</w:t>
      </w:r>
      <w:r w:rsidR="00083A47">
        <w:rPr>
          <w:rFonts w:ascii="Times New Roman" w:eastAsia="Times New Roman" w:hAnsi="Times New Roman" w:cs="Monotype Hadassah"/>
          <w:sz w:val="24"/>
          <w:szCs w:val="20"/>
        </w:rPr>
        <w:t>-</w:t>
      </w:r>
      <w:r w:rsidRPr="00300B58">
        <w:rPr>
          <w:rFonts w:ascii="Times New Roman" w:eastAsia="Times New Roman" w:hAnsi="Times New Roman" w:cs="Monotype Hadassah"/>
          <w:sz w:val="24"/>
          <w:szCs w:val="20"/>
        </w:rPr>
        <w:t>case basis. Moreover, the constant checking of changes in circumstances is vital, as these may justify the transferral from one model to another.</w:t>
      </w:r>
    </w:p>
    <w:p w:rsidR="00300B58" w:rsidRPr="00300B58" w:rsidRDefault="00300B58" w:rsidP="00137297">
      <w:pPr>
        <w:spacing w:after="0" w:line="480" w:lineRule="auto"/>
        <w:jc w:val="both"/>
        <w:rPr>
          <w:rFonts w:ascii="Times New Roman" w:eastAsia="Times New Roman" w:hAnsi="Times New Roman" w:cs="Monotype Hadassah"/>
          <w:sz w:val="24"/>
          <w:szCs w:val="20"/>
        </w:rPr>
      </w:pPr>
      <w:r w:rsidRPr="00300B58">
        <w:rPr>
          <w:rFonts w:ascii="Times New Roman" w:eastAsia="Times New Roman" w:hAnsi="Times New Roman" w:cs="Monotype Hadassah"/>
          <w:sz w:val="24"/>
          <w:szCs w:val="20"/>
        </w:rPr>
        <w:t>Even though a case</w:t>
      </w:r>
      <w:r w:rsidR="00083A47">
        <w:rPr>
          <w:rFonts w:ascii="Times New Roman" w:eastAsia="Times New Roman" w:hAnsi="Times New Roman" w:cs="Monotype Hadassah"/>
          <w:sz w:val="24"/>
          <w:szCs w:val="20"/>
        </w:rPr>
        <w:t>-</w:t>
      </w:r>
      <w:r w:rsidRPr="00300B58">
        <w:rPr>
          <w:rFonts w:ascii="Times New Roman" w:eastAsia="Times New Roman" w:hAnsi="Times New Roman" w:cs="Monotype Hadassah"/>
          <w:sz w:val="24"/>
          <w:szCs w:val="20"/>
        </w:rPr>
        <w:t>by</w:t>
      </w:r>
      <w:r w:rsidR="00083A47">
        <w:rPr>
          <w:rFonts w:ascii="Times New Roman" w:eastAsia="Times New Roman" w:hAnsi="Times New Roman" w:cs="Monotype Hadassah"/>
          <w:sz w:val="24"/>
          <w:szCs w:val="20"/>
        </w:rPr>
        <w:t>-</w:t>
      </w:r>
      <w:r w:rsidRPr="00300B58">
        <w:rPr>
          <w:rFonts w:ascii="Times New Roman" w:eastAsia="Times New Roman" w:hAnsi="Times New Roman" w:cs="Monotype Hadassah"/>
          <w:sz w:val="24"/>
          <w:szCs w:val="20"/>
        </w:rPr>
        <w:t xml:space="preserve">case policy is inevitable, I have laid out some general guidelines that, although inconclusive, do exemplify the kind of cases in which each model should be applied. Moreover, having examined the models’ advantages and disadvantages, a general conclusion does appear. If the </w:t>
      </w:r>
      <w:r w:rsidR="00A43546">
        <w:rPr>
          <w:rFonts w:ascii="Times New Roman" w:eastAsia="Times New Roman" w:hAnsi="Times New Roman" w:cs="Monotype Hadassah"/>
          <w:sz w:val="24"/>
          <w:szCs w:val="20"/>
        </w:rPr>
        <w:t>state</w:t>
      </w:r>
      <w:r w:rsidRPr="00300B58">
        <w:rPr>
          <w:rFonts w:ascii="Times New Roman" w:eastAsia="Times New Roman" w:hAnsi="Times New Roman" w:cs="Monotype Hadassah"/>
          <w:sz w:val="24"/>
          <w:szCs w:val="20"/>
        </w:rPr>
        <w:t xml:space="preserve"> takes freedom of conscience seriously, then conscientious exemptions should be granted to anyone who seeks them, whenever this is possible. Granting exemptions according to the </w:t>
      </w:r>
      <w:r w:rsidR="00692E7A">
        <w:rPr>
          <w:rFonts w:ascii="Times New Roman" w:eastAsia="Times New Roman" w:hAnsi="Times New Roman" w:cs="Monotype Hadassah"/>
          <w:sz w:val="24"/>
          <w:szCs w:val="20"/>
        </w:rPr>
        <w:t>‘</w:t>
      </w:r>
      <w:r w:rsidRPr="00300B58">
        <w:rPr>
          <w:rFonts w:ascii="Times New Roman" w:eastAsia="Times New Roman" w:hAnsi="Times New Roman" w:cs="Monotype Hadassah"/>
          <w:sz w:val="24"/>
          <w:szCs w:val="20"/>
        </w:rPr>
        <w:t>neutral</w:t>
      </w:r>
      <w:r w:rsidR="00692E7A">
        <w:rPr>
          <w:rFonts w:ascii="Times New Roman" w:eastAsia="Times New Roman" w:hAnsi="Times New Roman" w:cs="Monotype Hadassah"/>
          <w:sz w:val="24"/>
          <w:szCs w:val="20"/>
        </w:rPr>
        <w:t xml:space="preserve"> test’</w:t>
      </w:r>
      <w:r w:rsidRPr="00300B58">
        <w:rPr>
          <w:rFonts w:ascii="Times New Roman" w:eastAsia="Times New Roman" w:hAnsi="Times New Roman" w:cs="Monotype Hadassah"/>
          <w:sz w:val="24"/>
          <w:szCs w:val="20"/>
        </w:rPr>
        <w:t xml:space="preserve"> model might be a reasonable, second</w:t>
      </w:r>
      <w:r w:rsidR="00083A47">
        <w:rPr>
          <w:rFonts w:ascii="Times New Roman" w:eastAsia="Times New Roman" w:hAnsi="Times New Roman" w:cs="Monotype Hadassah"/>
          <w:sz w:val="24"/>
          <w:szCs w:val="20"/>
        </w:rPr>
        <w:t>-</w:t>
      </w:r>
      <w:r w:rsidRPr="00300B58">
        <w:rPr>
          <w:rFonts w:ascii="Times New Roman" w:eastAsia="Times New Roman" w:hAnsi="Times New Roman" w:cs="Monotype Hadassah"/>
          <w:sz w:val="24"/>
          <w:szCs w:val="20"/>
        </w:rPr>
        <w:t>best solution. I</w:t>
      </w:r>
      <w:r w:rsidR="00083A47">
        <w:rPr>
          <w:rFonts w:ascii="Times New Roman" w:eastAsia="Times New Roman" w:hAnsi="Times New Roman" w:cs="Monotype Hadassah"/>
          <w:sz w:val="24"/>
          <w:szCs w:val="20"/>
        </w:rPr>
        <w:t>n</w:t>
      </w:r>
      <w:r w:rsidRPr="00300B58">
        <w:rPr>
          <w:rFonts w:ascii="Times New Roman" w:eastAsia="Times New Roman" w:hAnsi="Times New Roman" w:cs="Monotype Hadassah"/>
          <w:sz w:val="24"/>
          <w:szCs w:val="20"/>
        </w:rPr>
        <w:t xml:space="preserve"> other cases, as noted, it might </w:t>
      </w:r>
      <w:r w:rsidR="00F432D2">
        <w:rPr>
          <w:rFonts w:ascii="Times New Roman" w:eastAsia="Times New Roman" w:hAnsi="Times New Roman" w:cs="Monotype Hadassah"/>
          <w:sz w:val="24"/>
          <w:szCs w:val="20"/>
        </w:rPr>
        <w:t xml:space="preserve">even </w:t>
      </w:r>
      <w:r w:rsidRPr="00300B58">
        <w:rPr>
          <w:rFonts w:ascii="Times New Roman" w:eastAsia="Times New Roman" w:hAnsi="Times New Roman" w:cs="Monotype Hadassah"/>
          <w:sz w:val="24"/>
          <w:szCs w:val="20"/>
        </w:rPr>
        <w:t xml:space="preserve">be the best way to protect individuals’ freedom of conscience. Turning to the ‘specific group’ model should be a last resort and should be done only when there is a high degree of certainty that the conditions for its application are met. For reasons that were mentioned only briefly above and that will be elaborated in the following discussion, using the ‘specific group’ model should always be accompanied by the </w:t>
      </w:r>
      <w:r w:rsidR="00F432D2">
        <w:rPr>
          <w:rFonts w:ascii="Times New Roman" w:eastAsia="Times New Roman" w:hAnsi="Times New Roman" w:cs="Monotype Hadassah"/>
          <w:sz w:val="24"/>
          <w:szCs w:val="20"/>
        </w:rPr>
        <w:t>availability of the judicial remedy of</w:t>
      </w:r>
      <w:r w:rsidRPr="00300B58">
        <w:rPr>
          <w:rFonts w:ascii="Times New Roman" w:eastAsia="Times New Roman" w:hAnsi="Times New Roman" w:cs="Monotype Hadassah"/>
          <w:sz w:val="24"/>
          <w:szCs w:val="20"/>
        </w:rPr>
        <w:t xml:space="preserve"> reading into the law </w:t>
      </w:r>
      <w:r w:rsidR="00F432D2">
        <w:rPr>
          <w:rFonts w:ascii="Times New Roman" w:eastAsia="Times New Roman" w:hAnsi="Times New Roman" w:cs="Monotype Hadassah"/>
          <w:sz w:val="24"/>
          <w:szCs w:val="20"/>
        </w:rPr>
        <w:t xml:space="preserve">in order to amend under-inclusive exemptions. </w:t>
      </w:r>
      <w:r w:rsidRPr="00300B58">
        <w:rPr>
          <w:rFonts w:ascii="Times New Roman" w:eastAsia="Times New Roman" w:hAnsi="Times New Roman" w:cs="Monotype Hadassah"/>
          <w:sz w:val="24"/>
          <w:szCs w:val="20"/>
        </w:rPr>
        <w:t xml:space="preserve">      </w:t>
      </w:r>
    </w:p>
    <w:p w:rsidR="00300B58" w:rsidRPr="00300B58" w:rsidRDefault="00083A47" w:rsidP="0054333A">
      <w:pPr>
        <w:pStyle w:val="2"/>
        <w:rPr>
          <w:rFonts w:eastAsia="Times New Roman"/>
        </w:rPr>
      </w:pPr>
      <w:bookmarkStart w:id="70" w:name="_Toc190578496"/>
      <w:bookmarkStart w:id="71" w:name="_Toc171502419"/>
      <w:bookmarkStart w:id="72" w:name="_Toc138225975"/>
      <w:bookmarkStart w:id="73" w:name="_Toc435695350"/>
      <w:r>
        <w:rPr>
          <w:rFonts w:eastAsia="Times New Roman"/>
        </w:rPr>
        <w:t>b</w:t>
      </w:r>
      <w:r w:rsidR="00300B58" w:rsidRPr="00300B58">
        <w:rPr>
          <w:rFonts w:eastAsia="Times New Roman"/>
        </w:rPr>
        <w:t>. A general legal right or separate and specific ones?</w:t>
      </w:r>
      <w:bookmarkEnd w:id="70"/>
      <w:bookmarkEnd w:id="71"/>
      <w:bookmarkEnd w:id="72"/>
      <w:bookmarkEnd w:id="73"/>
    </w:p>
    <w:p w:rsidR="0054333A" w:rsidRDefault="0054333A" w:rsidP="007D27E6">
      <w:pPr>
        <w:spacing w:after="0" w:line="480" w:lineRule="auto"/>
        <w:jc w:val="both"/>
        <w:rPr>
          <w:rFonts w:ascii="Times New Roman" w:eastAsia="Times New Roman" w:hAnsi="Times New Roman" w:cs="Monotype Hadassah"/>
          <w:sz w:val="24"/>
          <w:szCs w:val="20"/>
        </w:rPr>
      </w:pPr>
    </w:p>
    <w:p w:rsidR="00300B58" w:rsidRPr="00300B58" w:rsidRDefault="00300B58" w:rsidP="00137297">
      <w:pPr>
        <w:spacing w:after="0" w:line="480" w:lineRule="auto"/>
        <w:jc w:val="both"/>
        <w:rPr>
          <w:rFonts w:ascii="Times New Roman" w:eastAsia="Times New Roman" w:hAnsi="Times New Roman" w:cs="Monotype Hadassah"/>
          <w:sz w:val="24"/>
          <w:szCs w:val="20"/>
        </w:rPr>
      </w:pPr>
      <w:r w:rsidRPr="00300B58">
        <w:rPr>
          <w:rFonts w:ascii="Times New Roman" w:eastAsia="Times New Roman" w:hAnsi="Times New Roman" w:cs="Monotype Hadassah"/>
          <w:sz w:val="24"/>
          <w:szCs w:val="20"/>
        </w:rPr>
        <w:t xml:space="preserve">There are two main reasons for </w:t>
      </w:r>
      <w:r w:rsidR="00137297">
        <w:rPr>
          <w:rFonts w:ascii="Times New Roman" w:eastAsia="Times New Roman" w:hAnsi="Times New Roman" w:cs="Monotype Hadassah"/>
          <w:sz w:val="24"/>
          <w:szCs w:val="20"/>
        </w:rPr>
        <w:t>having</w:t>
      </w:r>
      <w:r w:rsidRPr="00300B58">
        <w:rPr>
          <w:rFonts w:ascii="Times New Roman" w:eastAsia="Times New Roman" w:hAnsi="Times New Roman" w:cs="Monotype Hadassah"/>
          <w:sz w:val="24"/>
          <w:szCs w:val="20"/>
        </w:rPr>
        <w:t xml:space="preserve"> a general legal right (</w:t>
      </w:r>
      <w:r w:rsidR="007D27E6">
        <w:rPr>
          <w:rFonts w:ascii="Times New Roman" w:eastAsia="Times New Roman" w:hAnsi="Times New Roman" w:cs="Monotype Hadassah"/>
          <w:sz w:val="24"/>
          <w:szCs w:val="20"/>
        </w:rPr>
        <w:t>either</w:t>
      </w:r>
      <w:r w:rsidRPr="00300B58">
        <w:rPr>
          <w:rFonts w:ascii="Times New Roman" w:eastAsia="Times New Roman" w:hAnsi="Times New Roman" w:cs="Monotype Hadassah"/>
          <w:sz w:val="24"/>
          <w:szCs w:val="20"/>
        </w:rPr>
        <w:t xml:space="preserve"> statutory </w:t>
      </w:r>
      <w:r w:rsidR="007D27E6">
        <w:rPr>
          <w:rFonts w:ascii="Times New Roman" w:eastAsia="Times New Roman" w:hAnsi="Times New Roman" w:cs="Monotype Hadassah"/>
          <w:sz w:val="24"/>
          <w:szCs w:val="20"/>
        </w:rPr>
        <w:t xml:space="preserve">right or </w:t>
      </w:r>
      <w:r w:rsidRPr="00300B58">
        <w:rPr>
          <w:rFonts w:ascii="Times New Roman" w:eastAsia="Times New Roman" w:hAnsi="Times New Roman" w:cs="Monotype Hadassah"/>
          <w:sz w:val="24"/>
          <w:szCs w:val="20"/>
        </w:rPr>
        <w:t>constitutional</w:t>
      </w:r>
      <w:r w:rsidR="007D27E6">
        <w:rPr>
          <w:rFonts w:ascii="Times New Roman" w:eastAsia="Times New Roman" w:hAnsi="Times New Roman" w:cs="Monotype Hadassah"/>
          <w:sz w:val="24"/>
          <w:szCs w:val="20"/>
        </w:rPr>
        <w:t xml:space="preserve"> one</w:t>
      </w:r>
      <w:r w:rsidRPr="00300B58">
        <w:rPr>
          <w:rFonts w:ascii="Times New Roman" w:eastAsia="Times New Roman" w:hAnsi="Times New Roman" w:cs="Monotype Hadassah"/>
          <w:sz w:val="24"/>
          <w:szCs w:val="20"/>
        </w:rPr>
        <w:t>) to be granted conscientious exemption.</w:t>
      </w:r>
    </w:p>
    <w:p w:rsidR="00300B58" w:rsidRPr="00300B58" w:rsidRDefault="00300B58" w:rsidP="007D27E6">
      <w:pPr>
        <w:spacing w:after="0" w:line="480" w:lineRule="auto"/>
        <w:jc w:val="both"/>
        <w:rPr>
          <w:rFonts w:ascii="Times New Roman" w:eastAsia="Times New Roman" w:hAnsi="Times New Roman" w:cs="Monotype Hadassah"/>
          <w:sz w:val="24"/>
          <w:szCs w:val="20"/>
        </w:rPr>
      </w:pPr>
      <w:r w:rsidRPr="00300B58">
        <w:rPr>
          <w:rFonts w:ascii="Times New Roman" w:eastAsia="Times New Roman" w:hAnsi="Times New Roman" w:cs="Monotype Hadassah"/>
          <w:sz w:val="24"/>
          <w:szCs w:val="20"/>
        </w:rPr>
        <w:lastRenderedPageBreak/>
        <w:t>Firstly, the legislature cannot be expected to predict every specific case in which freedom of conscience would justify granting an exemption from the demands of a specific law. Even when the legislature does predict a potential contradiction between a general rule and freedom of conscience of certain individuals, it may miscalculate the extent of such a contradiction. Miscalculating the extent of the harm that may be caused by the law, or, more generally, lack</w:t>
      </w:r>
      <w:r w:rsidR="007D27E6">
        <w:rPr>
          <w:rFonts w:ascii="Times New Roman" w:eastAsia="Times New Roman" w:hAnsi="Times New Roman" w:cs="Monotype Hadassah"/>
          <w:sz w:val="24"/>
          <w:szCs w:val="20"/>
        </w:rPr>
        <w:t>ing the</w:t>
      </w:r>
      <w:r w:rsidRPr="00300B58">
        <w:rPr>
          <w:rFonts w:ascii="Times New Roman" w:eastAsia="Times New Roman" w:hAnsi="Times New Roman" w:cs="Monotype Hadassah"/>
          <w:sz w:val="24"/>
          <w:szCs w:val="20"/>
        </w:rPr>
        <w:t xml:space="preserve"> </w:t>
      </w:r>
      <w:r w:rsidR="007D27E6">
        <w:rPr>
          <w:rFonts w:ascii="Times New Roman" w:eastAsia="Times New Roman" w:hAnsi="Times New Roman" w:cs="Monotype Hadassah"/>
          <w:sz w:val="24"/>
          <w:szCs w:val="20"/>
        </w:rPr>
        <w:t>a</w:t>
      </w:r>
      <w:r w:rsidRPr="00300B58">
        <w:rPr>
          <w:rFonts w:ascii="Times New Roman" w:eastAsia="Times New Roman" w:hAnsi="Times New Roman" w:cs="Monotype Hadassah"/>
          <w:sz w:val="24"/>
          <w:szCs w:val="20"/>
        </w:rPr>
        <w:t xml:space="preserve">bility </w:t>
      </w:r>
      <w:r w:rsidR="007D27E6">
        <w:rPr>
          <w:rFonts w:ascii="Times New Roman" w:eastAsia="Times New Roman" w:hAnsi="Times New Roman" w:cs="Monotype Hadassah"/>
          <w:sz w:val="24"/>
          <w:szCs w:val="20"/>
        </w:rPr>
        <w:t xml:space="preserve">to </w:t>
      </w:r>
      <w:r w:rsidRPr="00300B58">
        <w:rPr>
          <w:rFonts w:ascii="Times New Roman" w:eastAsia="Times New Roman" w:hAnsi="Times New Roman" w:cs="Monotype Hadassah"/>
          <w:sz w:val="24"/>
          <w:szCs w:val="20"/>
        </w:rPr>
        <w:t xml:space="preserve">fully </w:t>
      </w:r>
      <w:r w:rsidR="007D27E6">
        <w:rPr>
          <w:rFonts w:ascii="Times New Roman" w:eastAsia="Times New Roman" w:hAnsi="Times New Roman" w:cs="Monotype Hadassah"/>
          <w:sz w:val="24"/>
          <w:szCs w:val="20"/>
        </w:rPr>
        <w:t>a</w:t>
      </w:r>
      <w:r w:rsidRPr="00300B58">
        <w:rPr>
          <w:rFonts w:ascii="Times New Roman" w:eastAsia="Times New Roman" w:hAnsi="Times New Roman" w:cs="Monotype Hadassah"/>
          <w:sz w:val="24"/>
          <w:szCs w:val="20"/>
        </w:rPr>
        <w:t xml:space="preserve">nticipate the results and implications of every law </w:t>
      </w:r>
      <w:r w:rsidR="007D27E6">
        <w:rPr>
          <w:rFonts w:ascii="Times New Roman" w:eastAsia="Times New Roman" w:hAnsi="Times New Roman" w:cs="Monotype Hadassah"/>
          <w:sz w:val="24"/>
          <w:szCs w:val="20"/>
        </w:rPr>
        <w:t xml:space="preserve">are </w:t>
      </w:r>
      <w:r w:rsidRPr="00300B58">
        <w:rPr>
          <w:rFonts w:ascii="Times New Roman" w:eastAsia="Times New Roman" w:hAnsi="Times New Roman" w:cs="Monotype Hadassah"/>
          <w:sz w:val="24"/>
          <w:szCs w:val="20"/>
        </w:rPr>
        <w:t>unavoidable characteristic</w:t>
      </w:r>
      <w:r w:rsidR="007045B7">
        <w:rPr>
          <w:rFonts w:ascii="Times New Roman" w:eastAsia="Times New Roman" w:hAnsi="Times New Roman" w:cs="Monotype Hadassah"/>
          <w:sz w:val="24"/>
          <w:szCs w:val="20"/>
        </w:rPr>
        <w:t>s</w:t>
      </w:r>
      <w:r w:rsidRPr="00300B58">
        <w:rPr>
          <w:rFonts w:ascii="Times New Roman" w:eastAsia="Times New Roman" w:hAnsi="Times New Roman" w:cs="Monotype Hadassah"/>
          <w:sz w:val="24"/>
          <w:szCs w:val="20"/>
        </w:rPr>
        <w:t xml:space="preserve"> of any legislative process. Nevertheless, these general limits </w:t>
      </w:r>
      <w:r w:rsidR="007D27E6">
        <w:rPr>
          <w:rFonts w:ascii="Times New Roman" w:eastAsia="Times New Roman" w:hAnsi="Times New Roman" w:cs="Monotype Hadassah"/>
          <w:sz w:val="24"/>
          <w:szCs w:val="20"/>
        </w:rPr>
        <w:t>of</w:t>
      </w:r>
      <w:r w:rsidRPr="00300B58">
        <w:rPr>
          <w:rFonts w:ascii="Times New Roman" w:eastAsia="Times New Roman" w:hAnsi="Times New Roman" w:cs="Monotype Hadassah"/>
          <w:sz w:val="24"/>
          <w:szCs w:val="20"/>
        </w:rPr>
        <w:t xml:space="preserve"> the legislative process apply in a special way when a new law affects the freedom of conscience of members of small and unfamiliar religious or cultural groups, or simply that of individuals.</w:t>
      </w:r>
      <w:r w:rsidRPr="00300B58">
        <w:rPr>
          <w:rFonts w:ascii="Times New Roman" w:eastAsia="Times New Roman" w:hAnsi="Times New Roman" w:cs="Monotype Hadassah"/>
          <w:sz w:val="24"/>
          <w:szCs w:val="20"/>
          <w:vertAlign w:val="superscript"/>
        </w:rPr>
        <w:footnoteReference w:id="25"/>
      </w:r>
      <w:r w:rsidRPr="00300B58">
        <w:rPr>
          <w:rFonts w:ascii="Times New Roman" w:eastAsia="Times New Roman" w:hAnsi="Times New Roman" w:cs="Monotype Hadassah"/>
          <w:sz w:val="24"/>
          <w:szCs w:val="20"/>
        </w:rPr>
        <w:t xml:space="preserve"> Precisely because the powerless minorities or simply individuals who are not part of an organi</w:t>
      </w:r>
      <w:r w:rsidR="00083A47">
        <w:rPr>
          <w:rFonts w:ascii="Times New Roman" w:eastAsia="Times New Roman" w:hAnsi="Times New Roman" w:cs="Monotype Hadassah"/>
          <w:sz w:val="24"/>
          <w:szCs w:val="20"/>
        </w:rPr>
        <w:t>s</w:t>
      </w:r>
      <w:r w:rsidRPr="00300B58">
        <w:rPr>
          <w:rFonts w:ascii="Times New Roman" w:eastAsia="Times New Roman" w:hAnsi="Times New Roman" w:cs="Monotype Hadassah"/>
          <w:sz w:val="24"/>
          <w:szCs w:val="20"/>
        </w:rPr>
        <w:t xml:space="preserve">ed group do not have an effective voice – if any – in the legislative process, they should be protected from the result of that process, even when the harm caused to them was neither intentional nor predicted. Having a general right to be a conscientious objector is one way of granting such </w:t>
      </w:r>
      <w:r w:rsidR="003D422A">
        <w:rPr>
          <w:rFonts w:ascii="Times New Roman" w:eastAsia="Times New Roman" w:hAnsi="Times New Roman" w:cs="Monotype Hadassah"/>
          <w:sz w:val="24"/>
          <w:szCs w:val="20"/>
        </w:rPr>
        <w:t xml:space="preserve">a </w:t>
      </w:r>
      <w:r w:rsidRPr="00300B58">
        <w:rPr>
          <w:rFonts w:ascii="Times New Roman" w:eastAsia="Times New Roman" w:hAnsi="Times New Roman" w:cs="Monotype Hadassah"/>
          <w:sz w:val="24"/>
          <w:szCs w:val="20"/>
        </w:rPr>
        <w:t xml:space="preserve">protection. </w:t>
      </w:r>
    </w:p>
    <w:p w:rsidR="00300B58" w:rsidRPr="00300B58" w:rsidRDefault="00300B58" w:rsidP="00341898">
      <w:pPr>
        <w:spacing w:after="0" w:line="480" w:lineRule="auto"/>
        <w:jc w:val="both"/>
        <w:rPr>
          <w:rFonts w:ascii="Times New Roman" w:eastAsia="Times New Roman" w:hAnsi="Times New Roman" w:cs="Monotype Hadassah"/>
          <w:sz w:val="24"/>
          <w:szCs w:val="20"/>
          <w:lang w:val="en-US"/>
        </w:rPr>
      </w:pPr>
      <w:r w:rsidRPr="00300B58">
        <w:rPr>
          <w:rFonts w:ascii="Times New Roman" w:eastAsia="Times New Roman" w:hAnsi="Times New Roman" w:cs="Monotype Hadassah"/>
          <w:sz w:val="24"/>
          <w:szCs w:val="20"/>
        </w:rPr>
        <w:t xml:space="preserve">This line of argument is not necessarily part of a general theory of </w:t>
      </w:r>
      <w:r w:rsidRPr="00300B58">
        <w:rPr>
          <w:rFonts w:ascii="Times New Roman" w:eastAsia="Times New Roman" w:hAnsi="Times New Roman" w:cs="Monotype Hadassah"/>
          <w:sz w:val="24"/>
          <w:szCs w:val="20"/>
          <w:lang w:val="en-US"/>
        </w:rPr>
        <w:t>process-</w:t>
      </w:r>
      <w:r w:rsidR="00137297">
        <w:rPr>
          <w:rFonts w:ascii="Times New Roman" w:eastAsia="Times New Roman" w:hAnsi="Times New Roman" w:cs="Monotype Hadassah"/>
          <w:sz w:val="24"/>
          <w:szCs w:val="20"/>
          <w:lang w:val="en-US"/>
        </w:rPr>
        <w:t>minded</w:t>
      </w:r>
      <w:r w:rsidRPr="00300B58">
        <w:rPr>
          <w:rFonts w:ascii="Times New Roman" w:eastAsia="Times New Roman" w:hAnsi="Times New Roman" w:cs="Monotype Hadassah"/>
          <w:sz w:val="24"/>
          <w:szCs w:val="20"/>
          <w:lang w:val="en-US"/>
        </w:rPr>
        <w:t xml:space="preserve"> constitutional law, since</w:t>
      </w:r>
      <w:r w:rsidR="003D422A">
        <w:rPr>
          <w:rFonts w:ascii="Times New Roman" w:eastAsia="Times New Roman" w:hAnsi="Times New Roman" w:cs="Monotype Hadassah"/>
          <w:sz w:val="24"/>
          <w:szCs w:val="20"/>
          <w:lang w:val="en-US"/>
        </w:rPr>
        <w:t xml:space="preserve"> it is now assumed </w:t>
      </w:r>
      <w:r w:rsidRPr="00300B58">
        <w:rPr>
          <w:rFonts w:ascii="Times New Roman" w:eastAsia="Times New Roman" w:hAnsi="Times New Roman" w:cs="Monotype Hadassah"/>
          <w:sz w:val="24"/>
          <w:szCs w:val="20"/>
          <w:lang w:val="en-US"/>
        </w:rPr>
        <w:t>that the general right to be a conscientious objector can also be a statutory rather than a constitutional one.</w:t>
      </w:r>
      <w:r w:rsidRPr="00300B58">
        <w:rPr>
          <w:rFonts w:ascii="Times New Roman" w:eastAsia="Times New Roman" w:hAnsi="Times New Roman" w:cs="Monotype Hadassah"/>
          <w:sz w:val="24"/>
          <w:szCs w:val="20"/>
          <w:vertAlign w:val="superscript"/>
          <w:lang w:val="en-US"/>
        </w:rPr>
        <w:footnoteReference w:id="26"/>
      </w:r>
      <w:r w:rsidRPr="00300B58">
        <w:rPr>
          <w:rFonts w:ascii="Times New Roman" w:eastAsia="Times New Roman" w:hAnsi="Times New Roman" w:cs="Monotype Hadassah"/>
          <w:sz w:val="24"/>
          <w:szCs w:val="20"/>
          <w:lang w:val="en-US"/>
        </w:rPr>
        <w:t xml:space="preserve"> </w:t>
      </w:r>
      <w:r w:rsidR="003D422A">
        <w:rPr>
          <w:rFonts w:ascii="Times New Roman" w:eastAsia="Times New Roman" w:hAnsi="Times New Roman" w:cs="Monotype Hadassah"/>
          <w:sz w:val="24"/>
          <w:szCs w:val="20"/>
          <w:lang w:val="en-US"/>
        </w:rPr>
        <w:t>T</w:t>
      </w:r>
      <w:r w:rsidRPr="00300B58">
        <w:rPr>
          <w:rFonts w:ascii="Times New Roman" w:eastAsia="Times New Roman" w:hAnsi="Times New Roman" w:cs="Monotype Hadassah"/>
          <w:sz w:val="24"/>
          <w:szCs w:val="20"/>
          <w:lang w:val="en-US"/>
        </w:rPr>
        <w:t>he related constitutional issues</w:t>
      </w:r>
      <w:r w:rsidR="003D422A">
        <w:rPr>
          <w:rFonts w:ascii="Times New Roman" w:eastAsia="Times New Roman" w:hAnsi="Times New Roman" w:cs="Monotype Hadassah"/>
          <w:sz w:val="24"/>
          <w:szCs w:val="20"/>
          <w:lang w:val="en-US"/>
        </w:rPr>
        <w:t xml:space="preserve"> will be discussed </w:t>
      </w:r>
      <w:r w:rsidRPr="00300B58">
        <w:rPr>
          <w:rFonts w:ascii="Times New Roman" w:eastAsia="Times New Roman" w:hAnsi="Times New Roman" w:cs="Monotype Hadassah"/>
          <w:sz w:val="24"/>
          <w:szCs w:val="20"/>
          <w:lang w:val="en-US"/>
        </w:rPr>
        <w:t xml:space="preserve">when </w:t>
      </w:r>
      <w:r w:rsidR="003D422A">
        <w:rPr>
          <w:rFonts w:ascii="Times New Roman" w:eastAsia="Times New Roman" w:hAnsi="Times New Roman" w:cs="Monotype Hadassah"/>
          <w:sz w:val="24"/>
          <w:szCs w:val="20"/>
          <w:lang w:val="en-US"/>
        </w:rPr>
        <w:t>t</w:t>
      </w:r>
      <w:r w:rsidRPr="00300B58">
        <w:rPr>
          <w:rFonts w:ascii="Times New Roman" w:eastAsia="Times New Roman" w:hAnsi="Times New Roman" w:cs="Monotype Hadassah"/>
          <w:sz w:val="24"/>
          <w:szCs w:val="20"/>
          <w:lang w:val="en-US"/>
        </w:rPr>
        <w:t xml:space="preserve">he argument for a </w:t>
      </w:r>
      <w:r w:rsidRPr="00D212EE">
        <w:rPr>
          <w:rFonts w:ascii="Times New Roman" w:eastAsia="Times New Roman" w:hAnsi="Times New Roman" w:cs="Monotype Hadassah"/>
          <w:i/>
          <w:iCs/>
          <w:sz w:val="24"/>
          <w:szCs w:val="20"/>
          <w:lang w:val="en-US"/>
        </w:rPr>
        <w:t>constitutional</w:t>
      </w:r>
      <w:r w:rsidRPr="00300B58">
        <w:rPr>
          <w:rFonts w:ascii="Times New Roman" w:eastAsia="Times New Roman" w:hAnsi="Times New Roman" w:cs="Monotype Hadassah"/>
          <w:sz w:val="24"/>
          <w:szCs w:val="20"/>
          <w:lang w:val="en-US"/>
        </w:rPr>
        <w:t xml:space="preserve"> general right</w:t>
      </w:r>
      <w:r w:rsidR="007045B7">
        <w:rPr>
          <w:rFonts w:ascii="Times New Roman" w:eastAsia="Times New Roman" w:hAnsi="Times New Roman" w:cs="Monotype Hadassah"/>
          <w:sz w:val="24"/>
          <w:szCs w:val="20"/>
          <w:lang w:val="en-US"/>
        </w:rPr>
        <w:t xml:space="preserve"> to be granted conscientious exemption</w:t>
      </w:r>
      <w:r w:rsidR="003D422A">
        <w:rPr>
          <w:rFonts w:ascii="Times New Roman" w:eastAsia="Times New Roman" w:hAnsi="Times New Roman" w:cs="Monotype Hadassah"/>
          <w:sz w:val="24"/>
          <w:szCs w:val="20"/>
          <w:lang w:val="en-US"/>
        </w:rPr>
        <w:t xml:space="preserve"> is presented</w:t>
      </w:r>
      <w:r w:rsidRPr="00300B58">
        <w:rPr>
          <w:rFonts w:ascii="Times New Roman" w:eastAsia="Times New Roman" w:hAnsi="Times New Roman" w:cs="Monotype Hadassah"/>
          <w:sz w:val="24"/>
          <w:szCs w:val="20"/>
          <w:lang w:val="en-US"/>
        </w:rPr>
        <w:t xml:space="preserve">. </w:t>
      </w:r>
    </w:p>
    <w:p w:rsidR="00300B58" w:rsidRPr="00300B58" w:rsidRDefault="00300B58" w:rsidP="003D422A">
      <w:pPr>
        <w:spacing w:after="0" w:line="480" w:lineRule="auto"/>
        <w:jc w:val="both"/>
        <w:rPr>
          <w:rFonts w:ascii="Times New Roman" w:eastAsia="Times New Roman" w:hAnsi="Times New Roman" w:cs="Monotype Hadassah"/>
          <w:sz w:val="24"/>
          <w:szCs w:val="20"/>
          <w:lang w:val="en-US"/>
        </w:rPr>
      </w:pPr>
      <w:r w:rsidRPr="00300B58">
        <w:rPr>
          <w:rFonts w:ascii="Times New Roman" w:eastAsia="Times New Roman" w:hAnsi="Times New Roman" w:cs="Monotype Hadassah"/>
          <w:sz w:val="24"/>
          <w:szCs w:val="20"/>
          <w:lang w:val="en-US"/>
        </w:rPr>
        <w:t xml:space="preserve">The above argument is also not to be considered as purely procedural. Firstly, any procedural rights theory must have certain substantial values (and, indeed, substantial </w:t>
      </w:r>
      <w:r w:rsidRPr="00300B58">
        <w:rPr>
          <w:rFonts w:ascii="Times New Roman" w:eastAsia="Times New Roman" w:hAnsi="Times New Roman" w:cs="Monotype Hadassah"/>
          <w:sz w:val="24"/>
          <w:szCs w:val="20"/>
          <w:lang w:val="en-US"/>
        </w:rPr>
        <w:lastRenderedPageBreak/>
        <w:t>rights) as it</w:t>
      </w:r>
      <w:r w:rsidR="00FF65E7">
        <w:rPr>
          <w:rFonts w:ascii="Times New Roman" w:eastAsia="Times New Roman" w:hAnsi="Times New Roman" w:cs="Monotype Hadassah"/>
          <w:sz w:val="24"/>
          <w:szCs w:val="20"/>
          <w:lang w:val="en-US"/>
        </w:rPr>
        <w:t>s</w:t>
      </w:r>
      <w:r w:rsidRPr="00300B58">
        <w:rPr>
          <w:rFonts w:ascii="Times New Roman" w:eastAsia="Times New Roman" w:hAnsi="Times New Roman" w:cs="Monotype Hadassah"/>
          <w:sz w:val="24"/>
          <w:szCs w:val="20"/>
          <w:lang w:val="en-US"/>
        </w:rPr>
        <w:t xml:space="preserve"> basis.</w:t>
      </w:r>
      <w:r w:rsidRPr="00300B58">
        <w:rPr>
          <w:rFonts w:ascii="Times New Roman" w:eastAsia="Times New Roman" w:hAnsi="Times New Roman" w:cs="Monotype Hadassah"/>
          <w:sz w:val="24"/>
          <w:szCs w:val="20"/>
          <w:vertAlign w:val="superscript"/>
          <w:lang w:val="en-US"/>
        </w:rPr>
        <w:footnoteReference w:id="27"/>
      </w:r>
      <w:r w:rsidRPr="00300B58">
        <w:rPr>
          <w:rFonts w:ascii="Times New Roman" w:eastAsia="Times New Roman" w:hAnsi="Times New Roman" w:cs="Monotype Hadassah"/>
          <w:sz w:val="24"/>
          <w:szCs w:val="20"/>
          <w:lang w:val="en-US"/>
        </w:rPr>
        <w:t xml:space="preserve"> Here, the argument for </w:t>
      </w:r>
      <w:r w:rsidR="003D422A">
        <w:rPr>
          <w:rFonts w:ascii="Times New Roman" w:eastAsia="Times New Roman" w:hAnsi="Times New Roman" w:cs="Monotype Hadassah"/>
          <w:sz w:val="24"/>
          <w:szCs w:val="20"/>
          <w:lang w:val="en-US"/>
        </w:rPr>
        <w:t xml:space="preserve">the need to </w:t>
      </w:r>
      <w:r w:rsidRPr="00300B58">
        <w:rPr>
          <w:rFonts w:ascii="Times New Roman" w:eastAsia="Times New Roman" w:hAnsi="Times New Roman" w:cs="Monotype Hadassah"/>
          <w:sz w:val="24"/>
          <w:szCs w:val="20"/>
          <w:lang w:val="en-US"/>
        </w:rPr>
        <w:t xml:space="preserve">amend the results of </w:t>
      </w:r>
      <w:r w:rsidR="003D422A">
        <w:rPr>
          <w:rFonts w:ascii="Times New Roman" w:eastAsia="Times New Roman" w:hAnsi="Times New Roman" w:cs="Monotype Hadassah"/>
          <w:sz w:val="24"/>
          <w:szCs w:val="20"/>
          <w:lang w:val="en-US"/>
        </w:rPr>
        <w:t xml:space="preserve">having no (or very little) </w:t>
      </w:r>
      <w:r w:rsidRPr="00300B58">
        <w:rPr>
          <w:rFonts w:ascii="Times New Roman" w:eastAsia="Times New Roman" w:hAnsi="Times New Roman" w:cs="Monotype Hadassah"/>
          <w:sz w:val="24"/>
          <w:szCs w:val="20"/>
          <w:lang w:val="en-US"/>
        </w:rPr>
        <w:t xml:space="preserve">political power is incidental to the argument for the importance of freedom of conscience. Moreover, the specific argument for a general right to be a conscientious objector is not an argument for </w:t>
      </w:r>
      <w:r w:rsidR="003D422A">
        <w:rPr>
          <w:rFonts w:ascii="Times New Roman" w:eastAsia="Times New Roman" w:hAnsi="Times New Roman" w:cs="Monotype Hadassah"/>
          <w:sz w:val="24"/>
          <w:szCs w:val="20"/>
          <w:lang w:val="en-US"/>
        </w:rPr>
        <w:t xml:space="preserve">basing </w:t>
      </w:r>
      <w:r w:rsidRPr="00300B58">
        <w:rPr>
          <w:rFonts w:ascii="Times New Roman" w:eastAsia="Times New Roman" w:hAnsi="Times New Roman" w:cs="Monotype Hadassah"/>
          <w:sz w:val="24"/>
          <w:szCs w:val="20"/>
          <w:lang w:val="en-US"/>
        </w:rPr>
        <w:t xml:space="preserve">judicial review on suspect classifications, which is one of the central ideas of a procedural rights theory. Proving prejudice against ‘discrete and insular minorities’ is not a condition for judicial review in cases of conscientious exemption. As noted above, judicial review should take place also in cases where the harm to freedom of conscience was not predicted and so was not the result of intention or prejudice.  </w:t>
      </w:r>
    </w:p>
    <w:p w:rsidR="00300B58" w:rsidRPr="00300B58" w:rsidRDefault="00300B58" w:rsidP="007045B7">
      <w:pPr>
        <w:spacing w:after="0" w:line="480" w:lineRule="auto"/>
        <w:jc w:val="both"/>
        <w:rPr>
          <w:rFonts w:ascii="Times New Roman" w:eastAsia="Times New Roman" w:hAnsi="Times New Roman" w:cs="Monotype Hadassah"/>
          <w:sz w:val="24"/>
          <w:szCs w:val="20"/>
        </w:rPr>
      </w:pPr>
      <w:r w:rsidRPr="00300B58">
        <w:rPr>
          <w:rFonts w:ascii="Times New Roman" w:eastAsia="Times New Roman" w:hAnsi="Times New Roman" w:cs="Monotype Hadassah"/>
          <w:sz w:val="24"/>
          <w:szCs w:val="20"/>
        </w:rPr>
        <w:t xml:space="preserve">The second reason for having a general right to be granted conscientious exemption is that if </w:t>
      </w:r>
      <w:r w:rsidR="000E0997">
        <w:rPr>
          <w:rFonts w:ascii="Times New Roman" w:eastAsia="Times New Roman" w:hAnsi="Times New Roman" w:cs="Monotype Hadassah"/>
          <w:sz w:val="24"/>
          <w:szCs w:val="20"/>
        </w:rPr>
        <w:t>exemptions</w:t>
      </w:r>
      <w:r w:rsidRPr="00300B58">
        <w:rPr>
          <w:rFonts w:ascii="Times New Roman" w:eastAsia="Times New Roman" w:hAnsi="Times New Roman" w:cs="Monotype Hadassah"/>
          <w:sz w:val="24"/>
          <w:szCs w:val="20"/>
        </w:rPr>
        <w:t xml:space="preserve"> were </w:t>
      </w:r>
      <w:r w:rsidR="000E0997">
        <w:rPr>
          <w:rFonts w:ascii="Times New Roman" w:eastAsia="Times New Roman" w:hAnsi="Times New Roman" w:cs="Monotype Hadassah"/>
          <w:sz w:val="24"/>
          <w:szCs w:val="20"/>
        </w:rPr>
        <w:t xml:space="preserve">granted </w:t>
      </w:r>
      <w:r w:rsidRPr="00300B58">
        <w:rPr>
          <w:rFonts w:ascii="Times New Roman" w:eastAsia="Times New Roman" w:hAnsi="Times New Roman" w:cs="Monotype Hadassah"/>
          <w:sz w:val="24"/>
          <w:szCs w:val="20"/>
        </w:rPr>
        <w:t xml:space="preserve">only by specific laws, the legislature could deliberately ignore the need to </w:t>
      </w:r>
      <w:r w:rsidR="007045B7">
        <w:rPr>
          <w:rFonts w:ascii="Times New Roman" w:eastAsia="Times New Roman" w:hAnsi="Times New Roman" w:cs="Monotype Hadassah"/>
          <w:sz w:val="24"/>
          <w:szCs w:val="20"/>
        </w:rPr>
        <w:t>tolerate</w:t>
      </w:r>
      <w:r w:rsidRPr="00300B58">
        <w:rPr>
          <w:rFonts w:ascii="Times New Roman" w:eastAsia="Times New Roman" w:hAnsi="Times New Roman" w:cs="Monotype Hadassah"/>
          <w:sz w:val="24"/>
          <w:szCs w:val="20"/>
        </w:rPr>
        <w:t xml:space="preserve"> the conscientious objections of those who hold appalling values (in the majority’s opinion) or the conscientious objections of members of unpopular groups. A general right to be granted conscientious exemption would enable the court to apply it equally, in order to remedy the minority’s lack of political power and implement more successfully an attitude of tolerance. As the last argument shows, having a general legal right to be granted conscientious exemption shifts some legislative power from the legislature to the courts. This issue will be discussed in detail later. </w:t>
      </w:r>
    </w:p>
    <w:p w:rsidR="00300B58" w:rsidRPr="00300B58" w:rsidRDefault="00300B58" w:rsidP="00527B08">
      <w:pPr>
        <w:spacing w:after="0" w:line="480" w:lineRule="auto"/>
        <w:jc w:val="both"/>
        <w:rPr>
          <w:rFonts w:ascii="Times New Roman" w:eastAsia="Times New Roman" w:hAnsi="Times New Roman" w:cs="Monotype Hadassah"/>
          <w:sz w:val="24"/>
          <w:szCs w:val="20"/>
        </w:rPr>
      </w:pPr>
      <w:r w:rsidRPr="00300B58">
        <w:rPr>
          <w:rFonts w:ascii="Times New Roman" w:eastAsia="Times New Roman" w:hAnsi="Times New Roman" w:cs="Monotype Hadassah"/>
          <w:sz w:val="24"/>
          <w:szCs w:val="20"/>
        </w:rPr>
        <w:t xml:space="preserve">There are also good reasons for granting specific conscientious exemptions in specific statutes, rather than in a law that constitutes a general statutory right. However, none of these reasons, separately or cumulatively, justifies granting exemptions only in specific statutes. These reasons can only justify granting exemptions in specific statutes alongside a general legal right to be granted conscientious exemption.   </w:t>
      </w:r>
    </w:p>
    <w:p w:rsidR="00300B58" w:rsidRPr="00300B58" w:rsidRDefault="00300B58" w:rsidP="007045B7">
      <w:pPr>
        <w:spacing w:after="0" w:line="480" w:lineRule="auto"/>
        <w:jc w:val="both"/>
        <w:rPr>
          <w:rFonts w:ascii="Times New Roman" w:eastAsia="Times New Roman" w:hAnsi="Times New Roman" w:cs="Monotype Hadassah"/>
          <w:sz w:val="24"/>
          <w:szCs w:val="20"/>
        </w:rPr>
      </w:pPr>
      <w:r w:rsidRPr="00300B58">
        <w:rPr>
          <w:rFonts w:ascii="Times New Roman" w:eastAsia="Times New Roman" w:hAnsi="Times New Roman" w:cs="Monotype Hadassah"/>
          <w:sz w:val="24"/>
          <w:szCs w:val="20"/>
        </w:rPr>
        <w:lastRenderedPageBreak/>
        <w:t xml:space="preserve">The </w:t>
      </w:r>
      <w:r w:rsidR="00D25B6B" w:rsidRPr="00300B58">
        <w:rPr>
          <w:rFonts w:ascii="Times New Roman" w:eastAsia="Times New Roman" w:hAnsi="Times New Roman" w:cs="Monotype Hadassah"/>
          <w:sz w:val="24"/>
          <w:szCs w:val="20"/>
        </w:rPr>
        <w:t xml:space="preserve">first </w:t>
      </w:r>
      <w:r w:rsidR="000E0997">
        <w:rPr>
          <w:rFonts w:ascii="Times New Roman" w:eastAsia="Times New Roman" w:hAnsi="Times New Roman" w:cs="Monotype Hadassah"/>
          <w:sz w:val="24"/>
          <w:szCs w:val="20"/>
        </w:rPr>
        <w:t xml:space="preserve">possible </w:t>
      </w:r>
      <w:r w:rsidRPr="00300B58">
        <w:rPr>
          <w:rFonts w:ascii="Times New Roman" w:eastAsia="Times New Roman" w:hAnsi="Times New Roman" w:cs="Monotype Hadassah"/>
          <w:sz w:val="24"/>
          <w:szCs w:val="20"/>
        </w:rPr>
        <w:t xml:space="preserve">reason for granting specific exemptions is that no general balancing test (as </w:t>
      </w:r>
      <w:r w:rsidR="00060B79">
        <w:rPr>
          <w:rFonts w:ascii="Times New Roman" w:eastAsia="Times New Roman" w:hAnsi="Times New Roman" w:cs="Monotype Hadassah"/>
          <w:sz w:val="24"/>
          <w:szCs w:val="20"/>
        </w:rPr>
        <w:t>t</w:t>
      </w:r>
      <w:r w:rsidRPr="00300B58">
        <w:rPr>
          <w:rFonts w:ascii="Times New Roman" w:eastAsia="Times New Roman" w:hAnsi="Times New Roman" w:cs="Monotype Hadassah"/>
          <w:sz w:val="24"/>
          <w:szCs w:val="20"/>
        </w:rPr>
        <w:t xml:space="preserve">he </w:t>
      </w:r>
      <w:r w:rsidR="00060B79">
        <w:rPr>
          <w:rFonts w:ascii="Times New Roman" w:eastAsia="Times New Roman" w:hAnsi="Times New Roman" w:cs="Monotype Hadassah"/>
          <w:sz w:val="24"/>
          <w:szCs w:val="20"/>
        </w:rPr>
        <w:t>‘</w:t>
      </w:r>
      <w:r w:rsidRPr="00300B58">
        <w:rPr>
          <w:rFonts w:ascii="Times New Roman" w:eastAsia="Times New Roman" w:hAnsi="Times New Roman" w:cs="Monotype Hadassah"/>
          <w:sz w:val="24"/>
          <w:szCs w:val="20"/>
        </w:rPr>
        <w:t xml:space="preserve">compelling state interest’ test) can be the right </w:t>
      </w:r>
      <w:r w:rsidR="000E0997">
        <w:rPr>
          <w:rFonts w:ascii="Times New Roman" w:eastAsia="Times New Roman" w:hAnsi="Times New Roman" w:cs="Monotype Hadassah"/>
          <w:sz w:val="24"/>
          <w:szCs w:val="20"/>
        </w:rPr>
        <w:t>test</w:t>
      </w:r>
      <w:r w:rsidRPr="00300B58">
        <w:rPr>
          <w:rFonts w:ascii="Times New Roman" w:eastAsia="Times New Roman" w:hAnsi="Times New Roman" w:cs="Monotype Hadassah"/>
          <w:sz w:val="24"/>
          <w:szCs w:val="20"/>
        </w:rPr>
        <w:t xml:space="preserve"> for all exemption cases. </w:t>
      </w:r>
      <w:r w:rsidR="000E0997">
        <w:rPr>
          <w:rFonts w:ascii="Times New Roman" w:eastAsia="Times New Roman" w:hAnsi="Times New Roman" w:cs="Monotype Hadassah"/>
          <w:sz w:val="24"/>
          <w:szCs w:val="20"/>
        </w:rPr>
        <w:t>One may argue that t</w:t>
      </w:r>
      <w:r w:rsidRPr="00300B58">
        <w:rPr>
          <w:rFonts w:ascii="Times New Roman" w:eastAsia="Times New Roman" w:hAnsi="Times New Roman" w:cs="Monotype Hadassah"/>
          <w:sz w:val="24"/>
          <w:szCs w:val="20"/>
        </w:rPr>
        <w:t>hese cases are too complicated</w:t>
      </w:r>
      <w:r w:rsidR="000E0997">
        <w:rPr>
          <w:rFonts w:ascii="Times New Roman" w:eastAsia="Times New Roman" w:hAnsi="Times New Roman" w:cs="Monotype Hadassah"/>
          <w:sz w:val="24"/>
          <w:szCs w:val="20"/>
        </w:rPr>
        <w:t>. E</w:t>
      </w:r>
      <w:r w:rsidRPr="00300B58">
        <w:rPr>
          <w:rFonts w:ascii="Times New Roman" w:eastAsia="Times New Roman" w:hAnsi="Times New Roman" w:cs="Monotype Hadassah"/>
          <w:sz w:val="24"/>
          <w:szCs w:val="20"/>
        </w:rPr>
        <w:t xml:space="preserve">very so often they are utterly different from one another and, occasionally, they are simply unpredictable. </w:t>
      </w:r>
      <w:r w:rsidR="000E0997">
        <w:rPr>
          <w:rFonts w:ascii="Times New Roman" w:eastAsia="Times New Roman" w:hAnsi="Times New Roman" w:cs="Monotype Hadassah"/>
          <w:sz w:val="24"/>
          <w:szCs w:val="20"/>
        </w:rPr>
        <w:t>T</w:t>
      </w:r>
      <w:r w:rsidRPr="00300B58">
        <w:rPr>
          <w:rFonts w:ascii="Times New Roman" w:eastAsia="Times New Roman" w:hAnsi="Times New Roman" w:cs="Monotype Hadassah"/>
          <w:sz w:val="24"/>
          <w:szCs w:val="20"/>
        </w:rPr>
        <w:t xml:space="preserve">he lack of a sufficient general balancing test or guideline is a good reason for enacting specific exemptions in specific statutes. It is not, however, a reason to avoid enacting </w:t>
      </w:r>
      <w:r w:rsidR="007045B7">
        <w:rPr>
          <w:rFonts w:ascii="Times New Roman" w:eastAsia="Times New Roman" w:hAnsi="Times New Roman" w:cs="Monotype Hadassah"/>
          <w:sz w:val="24"/>
          <w:szCs w:val="20"/>
        </w:rPr>
        <w:t>a</w:t>
      </w:r>
      <w:r w:rsidRPr="00300B58">
        <w:rPr>
          <w:rFonts w:ascii="Times New Roman" w:eastAsia="Times New Roman" w:hAnsi="Times New Roman" w:cs="Monotype Hadassah"/>
          <w:sz w:val="24"/>
          <w:szCs w:val="20"/>
        </w:rPr>
        <w:t xml:space="preserve"> general legal or constitutional right to be granted conscientious exemption. </w:t>
      </w:r>
    </w:p>
    <w:p w:rsidR="00300B58" w:rsidRPr="00300B58" w:rsidRDefault="00300B58" w:rsidP="000E0997">
      <w:pPr>
        <w:spacing w:after="0" w:line="480" w:lineRule="auto"/>
        <w:jc w:val="both"/>
        <w:rPr>
          <w:rFonts w:ascii="Times New Roman" w:eastAsia="Times New Roman" w:hAnsi="Times New Roman" w:cs="Monotype Hadassah"/>
          <w:sz w:val="24"/>
          <w:szCs w:val="20"/>
        </w:rPr>
      </w:pPr>
      <w:r w:rsidRPr="00300B58">
        <w:rPr>
          <w:rFonts w:ascii="Times New Roman" w:eastAsia="Times New Roman" w:hAnsi="Times New Roman" w:cs="Monotype Hadassah"/>
          <w:sz w:val="24"/>
          <w:szCs w:val="20"/>
        </w:rPr>
        <w:t xml:space="preserve">More specifically, the argument that there should not be a general right to be granted conscientious exemption since no general balancing test can cover the complexity of the subject is unconvincing. This could be part of a coherent argument, although not necessarily a persuasive one, only if one </w:t>
      </w:r>
      <w:r w:rsidR="000E0997">
        <w:rPr>
          <w:rFonts w:ascii="Times New Roman" w:eastAsia="Times New Roman" w:hAnsi="Times New Roman" w:cs="Monotype Hadassah"/>
          <w:sz w:val="24"/>
          <w:szCs w:val="20"/>
        </w:rPr>
        <w:t xml:space="preserve">opposes </w:t>
      </w:r>
      <w:r w:rsidRPr="00300B58">
        <w:rPr>
          <w:rFonts w:ascii="Times New Roman" w:eastAsia="Times New Roman" w:hAnsi="Times New Roman" w:cs="Monotype Hadassah"/>
          <w:sz w:val="24"/>
          <w:szCs w:val="20"/>
        </w:rPr>
        <w:t>general</w:t>
      </w:r>
      <w:r w:rsidR="000E0997">
        <w:rPr>
          <w:rFonts w:ascii="Times New Roman" w:eastAsia="Times New Roman" w:hAnsi="Times New Roman" w:cs="Monotype Hadassah"/>
          <w:sz w:val="24"/>
          <w:szCs w:val="20"/>
        </w:rPr>
        <w:t xml:space="preserve"> statutory</w:t>
      </w:r>
      <w:r w:rsidRPr="00300B58">
        <w:rPr>
          <w:rFonts w:ascii="Times New Roman" w:eastAsia="Times New Roman" w:hAnsi="Times New Roman" w:cs="Monotype Hadassah"/>
          <w:sz w:val="24"/>
          <w:szCs w:val="20"/>
        </w:rPr>
        <w:t xml:space="preserve"> or constitutional rights altogether. If this is not the case, then </w:t>
      </w:r>
      <w:r w:rsidR="000E0997">
        <w:rPr>
          <w:rFonts w:ascii="Times New Roman" w:eastAsia="Times New Roman" w:hAnsi="Times New Roman" w:cs="Monotype Hadassah"/>
          <w:sz w:val="24"/>
          <w:szCs w:val="20"/>
        </w:rPr>
        <w:t>with regard to</w:t>
      </w:r>
      <w:r w:rsidRPr="00300B58">
        <w:rPr>
          <w:rFonts w:ascii="Times New Roman" w:eastAsia="Times New Roman" w:hAnsi="Times New Roman" w:cs="Monotype Hadassah"/>
          <w:sz w:val="24"/>
          <w:szCs w:val="20"/>
        </w:rPr>
        <w:t xml:space="preserve"> the inability of a </w:t>
      </w:r>
      <w:r w:rsidR="000E0997">
        <w:rPr>
          <w:rFonts w:ascii="Times New Roman" w:eastAsia="Times New Roman" w:hAnsi="Times New Roman" w:cs="Monotype Hadassah"/>
          <w:sz w:val="24"/>
          <w:szCs w:val="20"/>
        </w:rPr>
        <w:t xml:space="preserve">general balancing test </w:t>
      </w:r>
      <w:r w:rsidRPr="00300B58">
        <w:rPr>
          <w:rFonts w:ascii="Times New Roman" w:eastAsia="Times New Roman" w:hAnsi="Times New Roman" w:cs="Monotype Hadassah"/>
          <w:sz w:val="24"/>
          <w:szCs w:val="20"/>
        </w:rPr>
        <w:t>to answer all future cases, there is nothing</w:t>
      </w:r>
      <w:r w:rsidR="000E0997">
        <w:rPr>
          <w:rFonts w:ascii="Times New Roman" w:eastAsia="Times New Roman" w:hAnsi="Times New Roman" w:cs="Monotype Hadassah"/>
          <w:sz w:val="24"/>
          <w:szCs w:val="20"/>
        </w:rPr>
        <w:t xml:space="preserve"> special about </w:t>
      </w:r>
      <w:r w:rsidRPr="00300B58">
        <w:rPr>
          <w:rFonts w:ascii="Times New Roman" w:eastAsia="Times New Roman" w:hAnsi="Times New Roman" w:cs="Monotype Hadassah"/>
          <w:sz w:val="24"/>
          <w:szCs w:val="20"/>
        </w:rPr>
        <w:t>a general right to be granted conscientious exemptions</w:t>
      </w:r>
      <w:r w:rsidR="000E0997">
        <w:rPr>
          <w:rFonts w:ascii="Times New Roman" w:eastAsia="Times New Roman" w:hAnsi="Times New Roman" w:cs="Monotype Hadassah"/>
          <w:sz w:val="24"/>
          <w:szCs w:val="20"/>
        </w:rPr>
        <w:t xml:space="preserve">. </w:t>
      </w:r>
      <w:r w:rsidR="00D25B6B">
        <w:rPr>
          <w:rFonts w:ascii="Times New Roman" w:eastAsia="Times New Roman" w:hAnsi="Times New Roman" w:cs="Monotype Hadassah"/>
          <w:sz w:val="24"/>
          <w:szCs w:val="20"/>
        </w:rPr>
        <w:t>The s</w:t>
      </w:r>
      <w:r w:rsidR="000E0997">
        <w:rPr>
          <w:rFonts w:ascii="Times New Roman" w:eastAsia="Times New Roman" w:hAnsi="Times New Roman" w:cs="Monotype Hadassah"/>
          <w:sz w:val="24"/>
          <w:szCs w:val="20"/>
        </w:rPr>
        <w:t>ame inability can be found with regard to most</w:t>
      </w:r>
      <w:r w:rsidRPr="00300B58">
        <w:rPr>
          <w:rFonts w:ascii="Times New Roman" w:eastAsia="Times New Roman" w:hAnsi="Times New Roman" w:cs="Monotype Hadassah"/>
          <w:sz w:val="24"/>
          <w:szCs w:val="20"/>
        </w:rPr>
        <w:t xml:space="preserve"> general legal rights, such as freedom of expression, privacy, property and so on.           </w:t>
      </w:r>
    </w:p>
    <w:p w:rsidR="00300B58" w:rsidRPr="00300B58" w:rsidRDefault="00300B58" w:rsidP="007045B7">
      <w:pPr>
        <w:spacing w:after="0" w:line="480" w:lineRule="auto"/>
        <w:jc w:val="both"/>
        <w:rPr>
          <w:rFonts w:ascii="Times New Roman" w:eastAsia="Times New Roman" w:hAnsi="Times New Roman" w:cs="Monotype Hadassah"/>
          <w:sz w:val="24"/>
          <w:szCs w:val="20"/>
        </w:rPr>
      </w:pPr>
      <w:r w:rsidRPr="00300B58">
        <w:rPr>
          <w:rFonts w:ascii="Times New Roman" w:eastAsia="Times New Roman" w:hAnsi="Times New Roman" w:cs="Monotype Hadassah"/>
          <w:sz w:val="24"/>
          <w:szCs w:val="20"/>
        </w:rPr>
        <w:t xml:space="preserve">A second possible reason for granting specific exemptions is that a general right is inevitably vague; thus, conscientious objectors would find it extremely difficult to predict whether or not their objection falls within the scope of the general right. This is a valid argument but only in the short term. In the long term, we can expect the court to develop judicial guidelines that would significantly decrease uncertainty in </w:t>
      </w:r>
      <w:r w:rsidR="00A36AF8">
        <w:rPr>
          <w:rFonts w:ascii="Times New Roman" w:eastAsia="Times New Roman" w:hAnsi="Times New Roman" w:cs="Monotype Hadassah"/>
          <w:sz w:val="24"/>
          <w:szCs w:val="20"/>
        </w:rPr>
        <w:t>typical</w:t>
      </w:r>
      <w:r w:rsidRPr="00300B58">
        <w:rPr>
          <w:rFonts w:ascii="Times New Roman" w:eastAsia="Times New Roman" w:hAnsi="Times New Roman" w:cs="Monotype Hadassah"/>
          <w:sz w:val="24"/>
          <w:szCs w:val="20"/>
        </w:rPr>
        <w:t xml:space="preserve"> cases.</w:t>
      </w:r>
      <w:bookmarkStart w:id="74" w:name="_Ref129433537"/>
      <w:r w:rsidRPr="00300B58">
        <w:rPr>
          <w:rFonts w:ascii="Times New Roman" w:eastAsia="Times New Roman" w:hAnsi="Times New Roman" w:cs="Monotype Hadassah"/>
          <w:sz w:val="24"/>
          <w:szCs w:val="20"/>
          <w:vertAlign w:val="superscript"/>
        </w:rPr>
        <w:footnoteReference w:id="28"/>
      </w:r>
      <w:bookmarkEnd w:id="74"/>
      <w:r w:rsidRPr="00300B58">
        <w:rPr>
          <w:rFonts w:ascii="Times New Roman" w:eastAsia="Times New Roman" w:hAnsi="Times New Roman" w:cs="Monotype Hadassah"/>
          <w:sz w:val="24"/>
          <w:szCs w:val="20"/>
        </w:rPr>
        <w:t xml:space="preserve"> The vagueness of the general right is a good reason for enacting </w:t>
      </w:r>
      <w:r w:rsidRPr="00300B58">
        <w:rPr>
          <w:rFonts w:ascii="Times New Roman" w:eastAsia="Times New Roman" w:hAnsi="Times New Roman" w:cs="Monotype Hadassah"/>
          <w:sz w:val="24"/>
          <w:szCs w:val="20"/>
        </w:rPr>
        <w:lastRenderedPageBreak/>
        <w:t xml:space="preserve">specific exemptions alongside the general right. It is not a good reason for granting exemptions only in specific statutes.             </w:t>
      </w:r>
    </w:p>
    <w:p w:rsidR="00300B58" w:rsidRPr="00300B58" w:rsidRDefault="00300B58" w:rsidP="002253E7">
      <w:pPr>
        <w:spacing w:after="0" w:line="480" w:lineRule="auto"/>
        <w:jc w:val="both"/>
        <w:rPr>
          <w:rFonts w:ascii="Times New Roman" w:eastAsia="Times New Roman" w:hAnsi="Times New Roman" w:cs="Monotype Hadassah"/>
          <w:sz w:val="24"/>
          <w:szCs w:val="20"/>
        </w:rPr>
      </w:pPr>
      <w:r w:rsidRPr="00300B58">
        <w:rPr>
          <w:rFonts w:ascii="Times New Roman" w:eastAsia="Times New Roman" w:hAnsi="Times New Roman" w:cs="Monotype Hadassah"/>
          <w:sz w:val="24"/>
          <w:szCs w:val="20"/>
        </w:rPr>
        <w:t>Thirdly, a general right to be granted conscientious exemption is, by definition, a right granted to all conscientious objectors, regardless of whether or not they belong to a discrete group. Such a right is more likely to be abused by allegedly conscientious objectors. It is easier to examine the sincerity of the objector and the extent of the harm caused to his conscience when he is part of a specific group, the members of which share the same values. Specific exemptions, as opposed to a general right, can indeed solve this evidential difficulty in different ways in different cases. Yet, once again, this is a good argument for adding specific exemptions to the general right</w:t>
      </w:r>
      <w:r w:rsidR="009C2F8D">
        <w:rPr>
          <w:rFonts w:ascii="Times New Roman" w:eastAsia="Times New Roman" w:hAnsi="Times New Roman" w:cs="Monotype Hadassah"/>
          <w:sz w:val="24"/>
          <w:szCs w:val="20"/>
        </w:rPr>
        <w:t xml:space="preserve">. It is </w:t>
      </w:r>
      <w:r w:rsidRPr="00300B58">
        <w:rPr>
          <w:rFonts w:ascii="Times New Roman" w:eastAsia="Times New Roman" w:hAnsi="Times New Roman" w:cs="Monotype Hadassah"/>
          <w:sz w:val="24"/>
          <w:szCs w:val="20"/>
        </w:rPr>
        <w:t>not a</w:t>
      </w:r>
      <w:r w:rsidR="002253E7">
        <w:rPr>
          <w:rFonts w:ascii="Times New Roman" w:eastAsia="Times New Roman" w:hAnsi="Times New Roman" w:cs="Monotype Hadassah"/>
          <w:sz w:val="24"/>
          <w:szCs w:val="20"/>
        </w:rPr>
        <w:t xml:space="preserve"> persuasive</w:t>
      </w:r>
      <w:r w:rsidRPr="00300B58">
        <w:rPr>
          <w:rFonts w:ascii="Times New Roman" w:eastAsia="Times New Roman" w:hAnsi="Times New Roman" w:cs="Monotype Hadassah"/>
          <w:sz w:val="24"/>
          <w:szCs w:val="20"/>
        </w:rPr>
        <w:t xml:space="preserve"> argument for granting exemptions solely on the base of specific laws, as the argument about the evidential difficulty does not apply in the same way and to the same extent in all cases.</w:t>
      </w:r>
      <w:r w:rsidR="009C2F8D" w:rsidRPr="009C2F8D">
        <w:rPr>
          <w:rFonts w:ascii="Times New Roman" w:eastAsia="Times New Roman" w:hAnsi="Times New Roman" w:cs="Monotype Hadassah"/>
          <w:sz w:val="24"/>
          <w:szCs w:val="20"/>
        </w:rPr>
        <w:t xml:space="preserve"> </w:t>
      </w:r>
      <w:r w:rsidR="009C2F8D">
        <w:rPr>
          <w:rFonts w:ascii="Times New Roman" w:eastAsia="Times New Roman" w:hAnsi="Times New Roman" w:cs="Monotype Hadassah"/>
          <w:sz w:val="24"/>
          <w:szCs w:val="20"/>
        </w:rPr>
        <w:t>E</w:t>
      </w:r>
      <w:r w:rsidR="009C2F8D" w:rsidRPr="009C2F8D">
        <w:rPr>
          <w:rFonts w:ascii="Times New Roman" w:eastAsia="Times New Roman" w:hAnsi="Times New Roman" w:cs="Monotype Hadassah"/>
          <w:sz w:val="24"/>
          <w:szCs w:val="20"/>
        </w:rPr>
        <w:t>vidential difficult</w:t>
      </w:r>
      <w:r w:rsidR="009C2F8D">
        <w:rPr>
          <w:rFonts w:ascii="Times New Roman" w:eastAsia="Times New Roman" w:hAnsi="Times New Roman" w:cs="Monotype Hadassah"/>
          <w:sz w:val="24"/>
          <w:szCs w:val="20"/>
        </w:rPr>
        <w:t xml:space="preserve">ies may help in deciding the scope of the general </w:t>
      </w:r>
      <w:r w:rsidR="007B0E62">
        <w:rPr>
          <w:rFonts w:ascii="Times New Roman" w:eastAsia="Times New Roman" w:hAnsi="Times New Roman" w:cs="Monotype Hadassah"/>
          <w:sz w:val="24"/>
          <w:szCs w:val="20"/>
        </w:rPr>
        <w:t xml:space="preserve">right </w:t>
      </w:r>
      <w:r w:rsidR="009C2F8D">
        <w:rPr>
          <w:rFonts w:ascii="Times New Roman" w:eastAsia="Times New Roman" w:hAnsi="Times New Roman" w:cs="Monotype Hadassah"/>
          <w:sz w:val="24"/>
          <w:szCs w:val="20"/>
        </w:rPr>
        <w:t xml:space="preserve">to be granted exemptions – and its limits. It is not a strong enough argument against having such a right.   </w:t>
      </w:r>
    </w:p>
    <w:p w:rsidR="00493CAF" w:rsidRDefault="00493CAF" w:rsidP="008F0751">
      <w:pPr>
        <w:spacing w:after="0" w:line="480" w:lineRule="auto"/>
        <w:jc w:val="both"/>
        <w:rPr>
          <w:rFonts w:ascii="Times New Roman" w:eastAsia="Times New Roman" w:hAnsi="Times New Roman" w:cs="Monotype Hadassah"/>
          <w:sz w:val="24"/>
          <w:szCs w:val="20"/>
        </w:rPr>
      </w:pPr>
      <w:r>
        <w:rPr>
          <w:rFonts w:ascii="Times New Roman" w:eastAsia="Times New Roman" w:hAnsi="Times New Roman" w:cs="Monotype Hadassah"/>
          <w:sz w:val="24"/>
          <w:szCs w:val="20"/>
        </w:rPr>
        <w:t>Fourthly</w:t>
      </w:r>
      <w:r w:rsidR="00300B58" w:rsidRPr="00300B58">
        <w:rPr>
          <w:rFonts w:ascii="Times New Roman" w:eastAsia="Times New Roman" w:hAnsi="Times New Roman" w:cs="Monotype Hadassah"/>
          <w:sz w:val="24"/>
          <w:szCs w:val="20"/>
        </w:rPr>
        <w:t>, a general right to be granted conscientious exemption does not mean that anyone who declares himself to be a conscientious objector is always to be regarded as such. In some cases, and presumably in the usual case, the conscientious objector will have to prove his sincerity. This will have to be done by allowing the authorities to examine his motives and way of life, to investigate his friends and family and so on. In other words, the application for the exemption results in a significant loss of privacy that eventually might be in vain.</w:t>
      </w:r>
      <w:r w:rsidR="00300B58" w:rsidRPr="00300B58">
        <w:rPr>
          <w:rFonts w:ascii="Times New Roman" w:eastAsia="Times New Roman" w:hAnsi="Times New Roman" w:cs="Monotype Hadassah"/>
          <w:sz w:val="24"/>
          <w:szCs w:val="20"/>
          <w:vertAlign w:val="superscript"/>
        </w:rPr>
        <w:footnoteReference w:id="29"/>
      </w:r>
      <w:r w:rsidR="00300B58" w:rsidRPr="00300B58">
        <w:rPr>
          <w:rFonts w:ascii="Times New Roman" w:eastAsia="Times New Roman" w:hAnsi="Times New Roman" w:cs="Monotype Hadassah"/>
          <w:sz w:val="24"/>
          <w:szCs w:val="20"/>
        </w:rPr>
        <w:t xml:space="preserve"> </w:t>
      </w:r>
      <w:r w:rsidR="00786DBF">
        <w:rPr>
          <w:rFonts w:ascii="Times New Roman" w:eastAsia="Times New Roman" w:hAnsi="Times New Roman" w:cs="Monotype Hadassah"/>
          <w:sz w:val="24"/>
          <w:szCs w:val="20"/>
        </w:rPr>
        <w:t>The case here is that of a sincere conscientious object</w:t>
      </w:r>
      <w:r w:rsidR="00EF2891">
        <w:rPr>
          <w:rFonts w:ascii="Times New Roman" w:eastAsia="Times New Roman" w:hAnsi="Times New Roman" w:cs="Monotype Hadassah"/>
          <w:sz w:val="24"/>
          <w:szCs w:val="20"/>
        </w:rPr>
        <w:t>or who</w:t>
      </w:r>
      <w:r w:rsidR="00786DBF">
        <w:rPr>
          <w:rFonts w:ascii="Times New Roman" w:eastAsia="Times New Roman" w:hAnsi="Times New Roman" w:cs="Monotype Hadassah"/>
          <w:sz w:val="24"/>
          <w:szCs w:val="20"/>
        </w:rPr>
        <w:t xml:space="preserve"> fails to prove his sincerity having to compromise his privacy</w:t>
      </w:r>
      <w:r w:rsidR="007B0E62">
        <w:rPr>
          <w:rFonts w:ascii="Times New Roman" w:eastAsia="Times New Roman" w:hAnsi="Times New Roman" w:cs="Monotype Hadassah"/>
          <w:sz w:val="24"/>
          <w:szCs w:val="20"/>
        </w:rPr>
        <w:t xml:space="preserve"> – in </w:t>
      </w:r>
      <w:r w:rsidR="00786DBF">
        <w:rPr>
          <w:rFonts w:ascii="Times New Roman" w:eastAsia="Times New Roman" w:hAnsi="Times New Roman" w:cs="Monotype Hadassah"/>
          <w:sz w:val="24"/>
          <w:szCs w:val="20"/>
        </w:rPr>
        <w:t>vain.</w:t>
      </w:r>
      <w:r w:rsidR="007A167F">
        <w:rPr>
          <w:rFonts w:ascii="Times New Roman" w:eastAsia="Times New Roman" w:hAnsi="Times New Roman" w:cs="Monotype Hadassah"/>
          <w:sz w:val="24"/>
          <w:szCs w:val="20"/>
        </w:rPr>
        <w:t xml:space="preserve"> </w:t>
      </w:r>
      <w:r w:rsidR="00300B58" w:rsidRPr="00300B58">
        <w:rPr>
          <w:rFonts w:ascii="Times New Roman" w:eastAsia="Times New Roman" w:hAnsi="Times New Roman" w:cs="Monotype Hadassah"/>
          <w:sz w:val="24"/>
          <w:szCs w:val="20"/>
        </w:rPr>
        <w:t xml:space="preserve">Granting exemptions in specific laws (mainly but not only to </w:t>
      </w:r>
      <w:r w:rsidR="00300B58" w:rsidRPr="00300B58">
        <w:rPr>
          <w:rFonts w:ascii="Times New Roman" w:eastAsia="Times New Roman" w:hAnsi="Times New Roman" w:cs="Monotype Hadassah"/>
          <w:sz w:val="24"/>
          <w:szCs w:val="20"/>
        </w:rPr>
        <w:lastRenderedPageBreak/>
        <w:t xml:space="preserve">members of discrete groups) can </w:t>
      </w:r>
      <w:r w:rsidR="00EC7D24">
        <w:rPr>
          <w:rFonts w:ascii="Times New Roman" w:eastAsia="Times New Roman" w:hAnsi="Times New Roman" w:cs="Monotype Hadassah"/>
          <w:sz w:val="24"/>
          <w:szCs w:val="20"/>
        </w:rPr>
        <w:t xml:space="preserve">partially </w:t>
      </w:r>
      <w:r w:rsidR="00300B58" w:rsidRPr="00300B58">
        <w:rPr>
          <w:rFonts w:ascii="Times New Roman" w:eastAsia="Times New Roman" w:hAnsi="Times New Roman" w:cs="Monotype Hadassah"/>
          <w:sz w:val="24"/>
          <w:szCs w:val="20"/>
        </w:rPr>
        <w:t>solve this problem, as being part of a specific group may be prima facie evidence that one shares its values. In this way, the risk of the unnecessary invasion of one’s privacy is reduced.</w:t>
      </w:r>
      <w:r>
        <w:rPr>
          <w:rFonts w:ascii="Times New Roman" w:eastAsia="Times New Roman" w:hAnsi="Times New Roman" w:cs="Monotype Hadassah"/>
          <w:sz w:val="24"/>
          <w:szCs w:val="20"/>
        </w:rPr>
        <w:t xml:space="preserve"> This is a</w:t>
      </w:r>
      <w:r w:rsidR="007A167F">
        <w:rPr>
          <w:rFonts w:ascii="Times New Roman" w:eastAsia="Times New Roman" w:hAnsi="Times New Roman" w:cs="Monotype Hadassah"/>
          <w:sz w:val="24"/>
          <w:szCs w:val="20"/>
        </w:rPr>
        <w:t xml:space="preserve"> paternalistic </w:t>
      </w:r>
      <w:r>
        <w:rPr>
          <w:rFonts w:ascii="Times New Roman" w:eastAsia="Times New Roman" w:hAnsi="Times New Roman" w:cs="Monotype Hadassah"/>
          <w:sz w:val="24"/>
          <w:szCs w:val="20"/>
        </w:rPr>
        <w:t>argument for g</w:t>
      </w:r>
      <w:r w:rsidRPr="00493CAF">
        <w:rPr>
          <w:rFonts w:ascii="Times New Roman" w:eastAsia="Times New Roman" w:hAnsi="Times New Roman" w:cs="Monotype Hadassah"/>
          <w:sz w:val="24"/>
          <w:szCs w:val="20"/>
        </w:rPr>
        <w:t>ranting exemptions in specific laws</w:t>
      </w:r>
      <w:r w:rsidR="007A167F">
        <w:rPr>
          <w:rFonts w:ascii="Times New Roman" w:eastAsia="Times New Roman" w:hAnsi="Times New Roman" w:cs="Monotype Hadassah"/>
          <w:sz w:val="24"/>
          <w:szCs w:val="20"/>
        </w:rPr>
        <w:t xml:space="preserve"> and therefore should be treated with caution. Any method of granting exemption that allows </w:t>
      </w:r>
      <w:r w:rsidR="00EF2891">
        <w:rPr>
          <w:rFonts w:ascii="Times New Roman" w:eastAsia="Times New Roman" w:hAnsi="Times New Roman" w:cs="Monotype Hadassah"/>
          <w:sz w:val="24"/>
          <w:szCs w:val="20"/>
        </w:rPr>
        <w:t xml:space="preserve">a </w:t>
      </w:r>
      <w:r w:rsidR="007A167F">
        <w:rPr>
          <w:rFonts w:ascii="Times New Roman" w:eastAsia="Times New Roman" w:hAnsi="Times New Roman" w:cs="Monotype Hadassah"/>
          <w:sz w:val="24"/>
          <w:szCs w:val="20"/>
        </w:rPr>
        <w:t>judicial or administrative body to exercise discretion is not fault</w:t>
      </w:r>
      <w:r w:rsidR="007B0E62">
        <w:rPr>
          <w:rFonts w:ascii="Times New Roman" w:eastAsia="Times New Roman" w:hAnsi="Times New Roman" w:cs="Monotype Hadassah"/>
          <w:sz w:val="24"/>
          <w:szCs w:val="20"/>
        </w:rPr>
        <w:t>-</w:t>
      </w:r>
      <w:r w:rsidR="007A167F">
        <w:rPr>
          <w:rFonts w:ascii="Times New Roman" w:eastAsia="Times New Roman" w:hAnsi="Times New Roman" w:cs="Monotype Hadassah"/>
          <w:sz w:val="24"/>
          <w:szCs w:val="20"/>
        </w:rPr>
        <w:t>proof as it may result in wrong decision</w:t>
      </w:r>
      <w:r w:rsidR="00137297">
        <w:rPr>
          <w:rFonts w:ascii="Times New Roman" w:eastAsia="Times New Roman" w:hAnsi="Times New Roman" w:cs="Monotype Hadassah"/>
          <w:sz w:val="24"/>
          <w:szCs w:val="20"/>
        </w:rPr>
        <w:t>s</w:t>
      </w:r>
      <w:r w:rsidR="007A167F">
        <w:rPr>
          <w:rFonts w:ascii="Times New Roman" w:eastAsia="Times New Roman" w:hAnsi="Times New Roman" w:cs="Monotype Hadassah"/>
          <w:sz w:val="24"/>
          <w:szCs w:val="20"/>
        </w:rPr>
        <w:t xml:space="preserve"> for or against both sincere and insincere objectors</w:t>
      </w:r>
      <w:r w:rsidR="008F0751">
        <w:rPr>
          <w:rFonts w:ascii="Times New Roman" w:eastAsia="Times New Roman" w:hAnsi="Times New Roman" w:cs="Monotype Hadassah"/>
          <w:sz w:val="24"/>
          <w:szCs w:val="20"/>
        </w:rPr>
        <w:t xml:space="preserve">. </w:t>
      </w:r>
      <w:r w:rsidR="00EF2891">
        <w:rPr>
          <w:rFonts w:ascii="Times New Roman" w:eastAsia="Times New Roman" w:hAnsi="Times New Roman" w:cs="Monotype Hadassah"/>
          <w:sz w:val="24"/>
          <w:szCs w:val="20"/>
        </w:rPr>
        <w:t>However, the s</w:t>
      </w:r>
      <w:r w:rsidR="007A167F">
        <w:rPr>
          <w:rFonts w:ascii="Times New Roman" w:eastAsia="Times New Roman" w:hAnsi="Times New Roman" w:cs="Monotype Hadassah"/>
          <w:sz w:val="24"/>
          <w:szCs w:val="20"/>
        </w:rPr>
        <w:t>ame thing can be said about granting specific exemptions</w:t>
      </w:r>
      <w:r w:rsidR="008F0751">
        <w:rPr>
          <w:rFonts w:ascii="Times New Roman" w:eastAsia="Times New Roman" w:hAnsi="Times New Roman" w:cs="Monotype Hadassah"/>
          <w:sz w:val="24"/>
          <w:szCs w:val="20"/>
        </w:rPr>
        <w:t xml:space="preserve"> to specific groups</w:t>
      </w:r>
      <w:r w:rsidR="007A167F">
        <w:rPr>
          <w:rFonts w:ascii="Times New Roman" w:eastAsia="Times New Roman" w:hAnsi="Times New Roman" w:cs="Monotype Hadassah"/>
          <w:sz w:val="24"/>
          <w:szCs w:val="20"/>
        </w:rPr>
        <w:t xml:space="preserve"> in specific statutes</w:t>
      </w:r>
      <w:r w:rsidR="002E2CAA">
        <w:rPr>
          <w:rFonts w:ascii="Times New Roman" w:eastAsia="Times New Roman" w:hAnsi="Times New Roman" w:cs="Monotype Hadassah"/>
          <w:sz w:val="24"/>
          <w:szCs w:val="20"/>
        </w:rPr>
        <w:t xml:space="preserve"> (e.g. exempting only members of a certain religious group from compulsory enlistment to the army).</w:t>
      </w:r>
      <w:r w:rsidR="008F0751">
        <w:rPr>
          <w:rFonts w:ascii="Times New Roman" w:eastAsia="Times New Roman" w:hAnsi="Times New Roman" w:cs="Monotype Hadassah"/>
          <w:sz w:val="24"/>
          <w:szCs w:val="20"/>
        </w:rPr>
        <w:t xml:space="preserve"> This model may not result in having individuals compromising their privacy in vain but may cause other forms of individual injustice.</w:t>
      </w:r>
      <w:r w:rsidR="002E2CAA">
        <w:rPr>
          <w:rFonts w:ascii="Times New Roman" w:eastAsia="Times New Roman" w:hAnsi="Times New Roman" w:cs="Monotype Hadassah"/>
          <w:sz w:val="24"/>
          <w:szCs w:val="20"/>
        </w:rPr>
        <w:t xml:space="preserve"> </w:t>
      </w:r>
      <w:r w:rsidR="008F0751">
        <w:rPr>
          <w:rFonts w:ascii="Times New Roman" w:eastAsia="Times New Roman" w:hAnsi="Times New Roman" w:cs="Monotype Hadassah"/>
          <w:sz w:val="24"/>
          <w:szCs w:val="20"/>
        </w:rPr>
        <w:t xml:space="preserve">Granting exemption according to this model </w:t>
      </w:r>
      <w:r w:rsidR="002E2CAA">
        <w:rPr>
          <w:rFonts w:ascii="Times New Roman" w:eastAsia="Times New Roman" w:hAnsi="Times New Roman" w:cs="Monotype Hadassah"/>
          <w:sz w:val="24"/>
          <w:szCs w:val="20"/>
        </w:rPr>
        <w:t xml:space="preserve">may unjustly discriminate against sincere conscientious </w:t>
      </w:r>
      <w:r w:rsidR="007B0E62">
        <w:rPr>
          <w:rFonts w:ascii="Times New Roman" w:eastAsia="Times New Roman" w:hAnsi="Times New Roman" w:cs="Monotype Hadassah"/>
          <w:sz w:val="24"/>
          <w:szCs w:val="20"/>
        </w:rPr>
        <w:t>objectors</w:t>
      </w:r>
      <w:r w:rsidR="002E2CAA">
        <w:rPr>
          <w:rFonts w:ascii="Times New Roman" w:eastAsia="Times New Roman" w:hAnsi="Times New Roman" w:cs="Monotype Hadassah"/>
          <w:sz w:val="24"/>
          <w:szCs w:val="20"/>
        </w:rPr>
        <w:t xml:space="preserve"> who are not members of the protected group</w:t>
      </w:r>
      <w:r w:rsidR="008F0751">
        <w:rPr>
          <w:rFonts w:ascii="Times New Roman" w:eastAsia="Times New Roman" w:hAnsi="Times New Roman" w:cs="Monotype Hadassah"/>
          <w:sz w:val="24"/>
          <w:szCs w:val="20"/>
        </w:rPr>
        <w:t xml:space="preserve"> </w:t>
      </w:r>
      <w:r w:rsidR="002E2CAA">
        <w:rPr>
          <w:rFonts w:ascii="Times New Roman" w:eastAsia="Times New Roman" w:hAnsi="Times New Roman" w:cs="Monotype Hadassah"/>
          <w:sz w:val="24"/>
          <w:szCs w:val="20"/>
        </w:rPr>
        <w:t xml:space="preserve">– and to benefit members of the group who do object to military service but not necessarily for conscientious reasons. </w:t>
      </w:r>
      <w:r w:rsidR="007A167F">
        <w:rPr>
          <w:rFonts w:ascii="Times New Roman" w:eastAsia="Times New Roman" w:hAnsi="Times New Roman" w:cs="Monotype Hadassah"/>
          <w:sz w:val="24"/>
          <w:szCs w:val="20"/>
        </w:rPr>
        <w:t xml:space="preserve">     </w:t>
      </w:r>
      <w:r>
        <w:rPr>
          <w:rFonts w:ascii="Times New Roman" w:eastAsia="Times New Roman" w:hAnsi="Times New Roman" w:cs="Monotype Hadassah"/>
          <w:sz w:val="24"/>
          <w:szCs w:val="20"/>
        </w:rPr>
        <w:t xml:space="preserve">  </w:t>
      </w:r>
    </w:p>
    <w:p w:rsidR="00300B58" w:rsidRPr="00300B58" w:rsidRDefault="00493CAF" w:rsidP="00580B1D">
      <w:pPr>
        <w:spacing w:after="0" w:line="480" w:lineRule="auto"/>
        <w:jc w:val="both"/>
        <w:rPr>
          <w:rFonts w:ascii="Times New Roman" w:eastAsia="Times New Roman" w:hAnsi="Times New Roman" w:cs="Monotype Hadassah"/>
          <w:sz w:val="24"/>
          <w:szCs w:val="20"/>
        </w:rPr>
      </w:pPr>
      <w:r>
        <w:rPr>
          <w:rFonts w:ascii="Times New Roman" w:eastAsia="Times New Roman" w:hAnsi="Times New Roman" w:cs="Monotype Hadassah"/>
          <w:sz w:val="24"/>
          <w:szCs w:val="20"/>
        </w:rPr>
        <w:t xml:space="preserve">Fifthly, </w:t>
      </w:r>
      <w:r w:rsidR="002E2CAA">
        <w:rPr>
          <w:rFonts w:ascii="Times New Roman" w:eastAsia="Times New Roman" w:hAnsi="Times New Roman" w:cs="Monotype Hadassah"/>
          <w:sz w:val="24"/>
          <w:szCs w:val="20"/>
        </w:rPr>
        <w:t>m</w:t>
      </w:r>
      <w:r>
        <w:rPr>
          <w:rFonts w:ascii="Times New Roman" w:eastAsia="Times New Roman" w:hAnsi="Times New Roman" w:cs="Monotype Hadassah"/>
          <w:sz w:val="24"/>
          <w:szCs w:val="20"/>
        </w:rPr>
        <w:t>any of those</w:t>
      </w:r>
      <w:r w:rsidR="002E2CAA">
        <w:rPr>
          <w:rFonts w:ascii="Times New Roman" w:eastAsia="Times New Roman" w:hAnsi="Times New Roman" w:cs="Monotype Hadassah"/>
          <w:sz w:val="24"/>
          <w:szCs w:val="20"/>
        </w:rPr>
        <w:t xml:space="preserve"> who prefer the ‘specific statutes model’ over the ‘general right model’ base their preference on the separation of powers principle</w:t>
      </w:r>
      <w:r w:rsidR="00580B1D">
        <w:rPr>
          <w:rFonts w:ascii="Times New Roman" w:eastAsia="Times New Roman" w:hAnsi="Times New Roman" w:cs="Monotype Hadassah"/>
          <w:sz w:val="24"/>
          <w:szCs w:val="20"/>
        </w:rPr>
        <w:t xml:space="preserve">, </w:t>
      </w:r>
      <w:r w:rsidR="009F0A30">
        <w:rPr>
          <w:rFonts w:ascii="Times New Roman" w:eastAsia="Times New Roman" w:hAnsi="Times New Roman" w:cs="Monotype Hadassah"/>
          <w:sz w:val="24"/>
          <w:szCs w:val="20"/>
        </w:rPr>
        <w:t xml:space="preserve">on </w:t>
      </w:r>
      <w:r w:rsidR="008D78CC">
        <w:rPr>
          <w:rFonts w:ascii="Times New Roman" w:eastAsia="Times New Roman" w:hAnsi="Times New Roman" w:cs="Monotype Hadassah"/>
          <w:sz w:val="24"/>
          <w:szCs w:val="20"/>
        </w:rPr>
        <w:t>a general mistrust of the courts</w:t>
      </w:r>
      <w:r w:rsidR="00580B1D">
        <w:rPr>
          <w:rFonts w:ascii="Times New Roman" w:eastAsia="Times New Roman" w:hAnsi="Times New Roman" w:cs="Monotype Hadassah"/>
          <w:sz w:val="24"/>
          <w:szCs w:val="20"/>
        </w:rPr>
        <w:t xml:space="preserve"> or </w:t>
      </w:r>
      <w:r w:rsidR="009F0A30">
        <w:rPr>
          <w:rFonts w:ascii="Times New Roman" w:eastAsia="Times New Roman" w:hAnsi="Times New Roman" w:cs="Monotype Hadassah"/>
          <w:sz w:val="24"/>
          <w:szCs w:val="20"/>
        </w:rPr>
        <w:t xml:space="preserve">on </w:t>
      </w:r>
      <w:r w:rsidR="002E2CAA">
        <w:rPr>
          <w:rFonts w:ascii="Times New Roman" w:eastAsia="Times New Roman" w:hAnsi="Times New Roman" w:cs="Monotype Hadassah"/>
          <w:sz w:val="24"/>
          <w:szCs w:val="20"/>
        </w:rPr>
        <w:t>the will to prevent the courts from being the dominant authority in cases of conscientious exemptions.</w:t>
      </w:r>
      <w:bookmarkStart w:id="75" w:name="_Ref425934769"/>
      <w:r w:rsidR="00534E9F">
        <w:rPr>
          <w:rStyle w:val="a5"/>
          <w:rFonts w:ascii="Times New Roman" w:eastAsia="Times New Roman" w:hAnsi="Times New Roman" w:cs="Monotype Hadassah"/>
          <w:sz w:val="24"/>
          <w:szCs w:val="20"/>
        </w:rPr>
        <w:footnoteReference w:id="30"/>
      </w:r>
      <w:bookmarkEnd w:id="75"/>
      <w:r w:rsidR="002E2CAA">
        <w:rPr>
          <w:rFonts w:ascii="Times New Roman" w:eastAsia="Times New Roman" w:hAnsi="Times New Roman" w:cs="Monotype Hadassah"/>
          <w:sz w:val="24"/>
          <w:szCs w:val="20"/>
        </w:rPr>
        <w:t xml:space="preserve"> I will come </w:t>
      </w:r>
      <w:r w:rsidR="00ED6CF3">
        <w:rPr>
          <w:rFonts w:ascii="Times New Roman" w:eastAsia="Times New Roman" w:hAnsi="Times New Roman" w:cs="Monotype Hadassah"/>
          <w:sz w:val="24"/>
          <w:szCs w:val="20"/>
        </w:rPr>
        <w:t xml:space="preserve">back </w:t>
      </w:r>
      <w:r w:rsidR="002E2CAA">
        <w:rPr>
          <w:rFonts w:ascii="Times New Roman" w:eastAsia="Times New Roman" w:hAnsi="Times New Roman" w:cs="Monotype Hadassah"/>
          <w:sz w:val="24"/>
          <w:szCs w:val="20"/>
        </w:rPr>
        <w:t xml:space="preserve">to the separation of powers issue and to the question of which authority is better placed to decide cases of conscientious exemptions in the following section.   </w:t>
      </w:r>
      <w:r>
        <w:rPr>
          <w:rFonts w:ascii="Times New Roman" w:eastAsia="Times New Roman" w:hAnsi="Times New Roman" w:cs="Monotype Hadassah"/>
          <w:sz w:val="24"/>
          <w:szCs w:val="20"/>
        </w:rPr>
        <w:t xml:space="preserve"> </w:t>
      </w:r>
      <w:r w:rsidR="00300B58" w:rsidRPr="00300B58">
        <w:rPr>
          <w:rFonts w:ascii="Times New Roman" w:eastAsia="Times New Roman" w:hAnsi="Times New Roman" w:cs="Monotype Hadassah"/>
          <w:sz w:val="24"/>
          <w:szCs w:val="20"/>
        </w:rPr>
        <w:t xml:space="preserve"> </w:t>
      </w:r>
    </w:p>
    <w:p w:rsidR="00300B58" w:rsidRPr="00300B58" w:rsidRDefault="00300B58" w:rsidP="0054333A">
      <w:pPr>
        <w:spacing w:after="0" w:line="480" w:lineRule="auto"/>
        <w:jc w:val="both"/>
        <w:rPr>
          <w:rFonts w:ascii="Times New Roman" w:eastAsia="Times New Roman" w:hAnsi="Times New Roman" w:cs="Monotype Hadassah"/>
          <w:sz w:val="24"/>
          <w:szCs w:val="20"/>
        </w:rPr>
      </w:pPr>
      <w:r w:rsidRPr="00300B58">
        <w:rPr>
          <w:rFonts w:ascii="Times New Roman" w:eastAsia="Times New Roman" w:hAnsi="Times New Roman" w:cs="Monotype Hadassah"/>
          <w:sz w:val="24"/>
          <w:szCs w:val="20"/>
        </w:rPr>
        <w:lastRenderedPageBreak/>
        <w:t xml:space="preserve">To sum up, there are good arguments for granting conscientious exemptions in specific laws regarding specific cases. The downside of this technique </w:t>
      </w:r>
      <w:r w:rsidR="00EC7D24">
        <w:rPr>
          <w:rFonts w:ascii="Times New Roman" w:eastAsia="Times New Roman" w:hAnsi="Times New Roman" w:cs="Monotype Hadassah"/>
          <w:sz w:val="24"/>
          <w:szCs w:val="20"/>
        </w:rPr>
        <w:t>is</w:t>
      </w:r>
      <w:r w:rsidRPr="00300B58">
        <w:rPr>
          <w:rFonts w:ascii="Times New Roman" w:eastAsia="Times New Roman" w:hAnsi="Times New Roman" w:cs="Monotype Hadassah"/>
          <w:sz w:val="24"/>
          <w:szCs w:val="20"/>
        </w:rPr>
        <w:t xml:space="preserve"> remedied by having a general legal right to be granted conscientious exemption. The question of whether this legal right should be statutory or constitutional is a separate question that will now be addressed.       </w:t>
      </w:r>
    </w:p>
    <w:p w:rsidR="00300B58" w:rsidRPr="00300B58" w:rsidRDefault="00EF2891" w:rsidP="0054333A">
      <w:pPr>
        <w:pStyle w:val="2"/>
        <w:rPr>
          <w:rFonts w:eastAsia="Times New Roman"/>
        </w:rPr>
      </w:pPr>
      <w:bookmarkStart w:id="76" w:name="_Toc190578497"/>
      <w:bookmarkStart w:id="77" w:name="_Toc171502420"/>
      <w:bookmarkStart w:id="78" w:name="_Toc138225976"/>
      <w:bookmarkStart w:id="79" w:name="_Toc435695351"/>
      <w:r>
        <w:rPr>
          <w:rFonts w:eastAsia="Times New Roman"/>
        </w:rPr>
        <w:t>c</w:t>
      </w:r>
      <w:r w:rsidR="00300B58" w:rsidRPr="00300B58">
        <w:rPr>
          <w:rFonts w:eastAsia="Times New Roman"/>
        </w:rPr>
        <w:t>. A general statutory right or a general constitutional one?</w:t>
      </w:r>
      <w:bookmarkEnd w:id="76"/>
      <w:bookmarkEnd w:id="77"/>
      <w:bookmarkEnd w:id="78"/>
      <w:bookmarkEnd w:id="79"/>
    </w:p>
    <w:p w:rsidR="0054333A" w:rsidRDefault="0054333A" w:rsidP="006F473C">
      <w:pPr>
        <w:spacing w:after="0" w:line="480" w:lineRule="auto"/>
        <w:jc w:val="both"/>
        <w:rPr>
          <w:rFonts w:ascii="Times New Roman" w:eastAsia="Times New Roman" w:hAnsi="Times New Roman" w:cs="Monotype Hadassah"/>
          <w:sz w:val="24"/>
          <w:szCs w:val="20"/>
        </w:rPr>
      </w:pPr>
    </w:p>
    <w:p w:rsidR="00300B58" w:rsidRPr="00300B58" w:rsidRDefault="00300B58" w:rsidP="009C4DE4">
      <w:pPr>
        <w:spacing w:after="0" w:line="480" w:lineRule="auto"/>
        <w:jc w:val="both"/>
        <w:rPr>
          <w:rFonts w:ascii="Times New Roman" w:eastAsia="Times New Roman" w:hAnsi="Times New Roman" w:cs="Monotype Hadassah"/>
          <w:sz w:val="24"/>
          <w:szCs w:val="20"/>
        </w:rPr>
      </w:pPr>
      <w:r w:rsidRPr="00300B58">
        <w:rPr>
          <w:rFonts w:ascii="Times New Roman" w:eastAsia="Times New Roman" w:hAnsi="Times New Roman" w:cs="Monotype Hadassah"/>
          <w:sz w:val="24"/>
          <w:szCs w:val="20"/>
        </w:rPr>
        <w:t xml:space="preserve">Here, </w:t>
      </w:r>
      <w:r w:rsidR="006F473C">
        <w:rPr>
          <w:rFonts w:ascii="Times New Roman" w:eastAsia="Times New Roman" w:hAnsi="Times New Roman" w:cs="Monotype Hadassah"/>
          <w:sz w:val="24"/>
          <w:szCs w:val="20"/>
        </w:rPr>
        <w:t>it is</w:t>
      </w:r>
      <w:r w:rsidRPr="00300B58">
        <w:rPr>
          <w:rFonts w:ascii="Times New Roman" w:eastAsia="Times New Roman" w:hAnsi="Times New Roman" w:cs="Monotype Hadassah"/>
          <w:sz w:val="24"/>
          <w:szCs w:val="20"/>
        </w:rPr>
        <w:t xml:space="preserve"> assume</w:t>
      </w:r>
      <w:r w:rsidR="006F473C">
        <w:rPr>
          <w:rFonts w:ascii="Times New Roman" w:eastAsia="Times New Roman" w:hAnsi="Times New Roman" w:cs="Monotype Hadassah"/>
          <w:sz w:val="24"/>
          <w:szCs w:val="20"/>
        </w:rPr>
        <w:t>d</w:t>
      </w:r>
      <w:r w:rsidRPr="00300B58">
        <w:rPr>
          <w:rFonts w:ascii="Times New Roman" w:eastAsia="Times New Roman" w:hAnsi="Times New Roman" w:cs="Monotype Hadassah"/>
          <w:sz w:val="24"/>
          <w:szCs w:val="20"/>
        </w:rPr>
        <w:t xml:space="preserve"> that there should be a general legal right to be a conscientious objector or to be granted conscientious exemption. This right could be an explicit one, as in </w:t>
      </w:r>
      <w:r w:rsidR="00681FB9">
        <w:rPr>
          <w:rFonts w:ascii="Times New Roman" w:eastAsia="Times New Roman" w:hAnsi="Times New Roman" w:cs="Monotype Hadassah"/>
          <w:sz w:val="24"/>
          <w:szCs w:val="20"/>
        </w:rPr>
        <w:t>A</w:t>
      </w:r>
      <w:r w:rsidR="006F473C">
        <w:rPr>
          <w:rFonts w:ascii="Times New Roman" w:eastAsia="Times New Roman" w:hAnsi="Times New Roman" w:cs="Monotype Hadassah"/>
          <w:sz w:val="24"/>
          <w:szCs w:val="20"/>
        </w:rPr>
        <w:t xml:space="preserve">rticle 41(6) of </w:t>
      </w:r>
      <w:r w:rsidRPr="00300B58">
        <w:rPr>
          <w:rFonts w:ascii="Times New Roman" w:eastAsia="Times New Roman" w:hAnsi="Times New Roman" w:cs="Monotype Hadassah"/>
          <w:sz w:val="24"/>
          <w:szCs w:val="20"/>
        </w:rPr>
        <w:t xml:space="preserve">the Portuguese Constitution </w:t>
      </w:r>
      <w:r w:rsidR="006F473C">
        <w:rPr>
          <w:rFonts w:ascii="Times New Roman" w:eastAsia="Times New Roman" w:hAnsi="Times New Roman" w:cs="Monotype Hadassah"/>
          <w:sz w:val="24"/>
          <w:szCs w:val="20"/>
        </w:rPr>
        <w:t>(</w:t>
      </w:r>
      <w:r w:rsidRPr="00300B58">
        <w:rPr>
          <w:rFonts w:ascii="Times New Roman" w:eastAsia="Times New Roman" w:hAnsi="Times New Roman" w:cs="Monotype Hadassah"/>
          <w:sz w:val="24"/>
          <w:szCs w:val="20"/>
        </w:rPr>
        <w:t>‘</w:t>
      </w:r>
      <w:r w:rsidR="006F473C" w:rsidRPr="006F473C">
        <w:rPr>
          <w:rFonts w:ascii="Times New Roman" w:eastAsia="Times New Roman" w:hAnsi="Times New Roman" w:cs="Monotype Hadassah"/>
          <w:sz w:val="24"/>
          <w:szCs w:val="20"/>
        </w:rPr>
        <w:t>t</w:t>
      </w:r>
      <w:r w:rsidR="006F473C" w:rsidRPr="006F473C">
        <w:rPr>
          <w:rFonts w:ascii="Times New Roman" w:eastAsia="Times New Roman" w:hAnsi="Times New Roman" w:cs="Monotype Hadassah"/>
          <w:sz w:val="24"/>
          <w:szCs w:val="20"/>
          <w:lang w:val="en"/>
        </w:rPr>
        <w:t>he right to be a conscientious objector, as laid down by law, shall be guaranteed’</w:t>
      </w:r>
      <w:r w:rsidRPr="00300B58">
        <w:rPr>
          <w:rFonts w:ascii="Times New Roman" w:eastAsia="Times New Roman" w:hAnsi="Times New Roman" w:cs="Monotype Hadassah"/>
          <w:sz w:val="24"/>
          <w:szCs w:val="20"/>
        </w:rPr>
        <w:t xml:space="preserve">), or an implicit one, as in cases where </w:t>
      </w:r>
      <w:r w:rsidR="00681FB9">
        <w:rPr>
          <w:rFonts w:ascii="Times New Roman" w:eastAsia="Times New Roman" w:hAnsi="Times New Roman" w:cs="Monotype Hadassah"/>
          <w:sz w:val="24"/>
          <w:szCs w:val="20"/>
        </w:rPr>
        <w:t>a c</w:t>
      </w:r>
      <w:r w:rsidRPr="00300B58">
        <w:rPr>
          <w:rFonts w:ascii="Times New Roman" w:eastAsia="Times New Roman" w:hAnsi="Times New Roman" w:cs="Monotype Hadassah"/>
          <w:sz w:val="24"/>
          <w:szCs w:val="20"/>
        </w:rPr>
        <w:t>onstitution protects freedom of conscience</w:t>
      </w:r>
      <w:r w:rsidR="006F473C">
        <w:rPr>
          <w:rFonts w:ascii="Times New Roman" w:eastAsia="Times New Roman" w:hAnsi="Times New Roman" w:cs="Monotype Hadassah"/>
          <w:sz w:val="24"/>
          <w:szCs w:val="20"/>
        </w:rPr>
        <w:t xml:space="preserve">. </w:t>
      </w:r>
      <w:r w:rsidRPr="00300B58">
        <w:rPr>
          <w:rFonts w:ascii="Times New Roman" w:eastAsia="Times New Roman" w:hAnsi="Times New Roman" w:cs="Monotype Hadassah"/>
          <w:sz w:val="24"/>
          <w:szCs w:val="20"/>
        </w:rPr>
        <w:t xml:space="preserve">For the sake of simplicity and clarity, </w:t>
      </w:r>
      <w:r w:rsidR="006F473C">
        <w:rPr>
          <w:rFonts w:ascii="Times New Roman" w:eastAsia="Times New Roman" w:hAnsi="Times New Roman" w:cs="Monotype Hadassah"/>
          <w:sz w:val="24"/>
          <w:szCs w:val="20"/>
        </w:rPr>
        <w:t>it</w:t>
      </w:r>
      <w:r w:rsidRPr="00300B58">
        <w:rPr>
          <w:rFonts w:ascii="Times New Roman" w:eastAsia="Times New Roman" w:hAnsi="Times New Roman" w:cs="Monotype Hadassah"/>
          <w:sz w:val="24"/>
          <w:szCs w:val="20"/>
        </w:rPr>
        <w:t xml:space="preserve"> will</w:t>
      </w:r>
      <w:r w:rsidR="006F473C">
        <w:rPr>
          <w:rFonts w:ascii="Times New Roman" w:eastAsia="Times New Roman" w:hAnsi="Times New Roman" w:cs="Monotype Hadassah"/>
          <w:sz w:val="24"/>
          <w:szCs w:val="20"/>
        </w:rPr>
        <w:t xml:space="preserve"> be</w:t>
      </w:r>
      <w:r w:rsidRPr="00300B58">
        <w:rPr>
          <w:rFonts w:ascii="Times New Roman" w:eastAsia="Times New Roman" w:hAnsi="Times New Roman" w:cs="Monotype Hadassah"/>
          <w:sz w:val="24"/>
          <w:szCs w:val="20"/>
        </w:rPr>
        <w:t xml:space="preserve"> assume</w:t>
      </w:r>
      <w:r w:rsidR="005468C5">
        <w:rPr>
          <w:rFonts w:ascii="Times New Roman" w:eastAsia="Times New Roman" w:hAnsi="Times New Roman" w:cs="Monotype Hadassah"/>
          <w:sz w:val="24"/>
          <w:szCs w:val="20"/>
        </w:rPr>
        <w:t>d</w:t>
      </w:r>
      <w:r w:rsidRPr="00300B58">
        <w:rPr>
          <w:rFonts w:ascii="Times New Roman" w:eastAsia="Times New Roman" w:hAnsi="Times New Roman" w:cs="Monotype Hadassah"/>
          <w:sz w:val="24"/>
          <w:szCs w:val="20"/>
        </w:rPr>
        <w:t xml:space="preserve"> that the general right should be an explicit one. The question that follows is should such a general right be </w:t>
      </w:r>
      <w:r w:rsidR="009C4DE4">
        <w:rPr>
          <w:rFonts w:ascii="Times New Roman" w:eastAsia="Times New Roman" w:hAnsi="Times New Roman" w:cs="Monotype Hadassah"/>
          <w:sz w:val="24"/>
          <w:szCs w:val="20"/>
        </w:rPr>
        <w:t xml:space="preserve">included </w:t>
      </w:r>
      <w:r w:rsidRPr="00300B58">
        <w:rPr>
          <w:rFonts w:ascii="Times New Roman" w:eastAsia="Times New Roman" w:hAnsi="Times New Roman" w:cs="Monotype Hadassah"/>
          <w:sz w:val="24"/>
          <w:szCs w:val="20"/>
        </w:rPr>
        <w:t xml:space="preserve">in a statute or in the </w:t>
      </w:r>
      <w:r w:rsidR="00681FB9">
        <w:rPr>
          <w:rFonts w:ascii="Times New Roman" w:eastAsia="Times New Roman" w:hAnsi="Times New Roman" w:cs="Monotype Hadassah"/>
          <w:sz w:val="24"/>
          <w:szCs w:val="20"/>
        </w:rPr>
        <w:t>c</w:t>
      </w:r>
      <w:r w:rsidRPr="00300B58">
        <w:rPr>
          <w:rFonts w:ascii="Times New Roman" w:eastAsia="Times New Roman" w:hAnsi="Times New Roman" w:cs="Monotype Hadassah"/>
          <w:sz w:val="24"/>
          <w:szCs w:val="20"/>
        </w:rPr>
        <w:t>onstitution</w:t>
      </w:r>
      <w:r w:rsidR="00681FB9">
        <w:rPr>
          <w:rFonts w:ascii="Times New Roman" w:eastAsia="Times New Roman" w:hAnsi="Times New Roman" w:cs="Monotype Hadassah"/>
          <w:sz w:val="24"/>
          <w:szCs w:val="20"/>
        </w:rPr>
        <w:t>?</w:t>
      </w:r>
    </w:p>
    <w:p w:rsidR="00300B58" w:rsidRPr="00300B58" w:rsidRDefault="00300B58" w:rsidP="00F3209A">
      <w:pPr>
        <w:spacing w:after="0" w:line="480" w:lineRule="auto"/>
        <w:jc w:val="both"/>
        <w:rPr>
          <w:rFonts w:ascii="Times New Roman" w:eastAsia="Times New Roman" w:hAnsi="Times New Roman" w:cs="Monotype Hadassah"/>
          <w:sz w:val="24"/>
          <w:szCs w:val="20"/>
        </w:rPr>
      </w:pPr>
      <w:r w:rsidRPr="00300B58">
        <w:rPr>
          <w:rFonts w:ascii="Times New Roman" w:eastAsia="Times New Roman" w:hAnsi="Times New Roman" w:cs="Monotype Hadassah"/>
          <w:sz w:val="24"/>
          <w:szCs w:val="20"/>
        </w:rPr>
        <w:t xml:space="preserve">This question is quite similar to the question of who should grant the exemption or decide its content and limits. A general constitutional right to be granted an exemption places the power in the hands of the court as the interpreter of the </w:t>
      </w:r>
      <w:r w:rsidR="00681FB9">
        <w:rPr>
          <w:rFonts w:ascii="Times New Roman" w:eastAsia="Times New Roman" w:hAnsi="Times New Roman" w:cs="Monotype Hadassah"/>
          <w:sz w:val="24"/>
          <w:szCs w:val="20"/>
        </w:rPr>
        <w:t>c</w:t>
      </w:r>
      <w:r w:rsidRPr="00300B58">
        <w:rPr>
          <w:rFonts w:ascii="Times New Roman" w:eastAsia="Times New Roman" w:hAnsi="Times New Roman" w:cs="Monotype Hadassah"/>
          <w:sz w:val="24"/>
          <w:szCs w:val="20"/>
        </w:rPr>
        <w:t xml:space="preserve">onstitution. Since most </w:t>
      </w:r>
      <w:r w:rsidR="00681FB9">
        <w:rPr>
          <w:rFonts w:ascii="Times New Roman" w:eastAsia="Times New Roman" w:hAnsi="Times New Roman" w:cs="Monotype Hadassah"/>
          <w:sz w:val="24"/>
          <w:szCs w:val="20"/>
        </w:rPr>
        <w:t>c</w:t>
      </w:r>
      <w:r w:rsidRPr="00300B58">
        <w:rPr>
          <w:rFonts w:ascii="Times New Roman" w:eastAsia="Times New Roman" w:hAnsi="Times New Roman" w:cs="Monotype Hadassah"/>
          <w:sz w:val="24"/>
          <w:szCs w:val="20"/>
        </w:rPr>
        <w:t xml:space="preserve">onstitutions are protected from being changed by an ordinary political procedure, the majority may find it extremely difficult to amend the </w:t>
      </w:r>
      <w:r w:rsidR="00681FB9">
        <w:rPr>
          <w:rFonts w:ascii="Times New Roman" w:eastAsia="Times New Roman" w:hAnsi="Times New Roman" w:cs="Monotype Hadassah"/>
          <w:sz w:val="24"/>
          <w:szCs w:val="20"/>
        </w:rPr>
        <w:t>c</w:t>
      </w:r>
      <w:r w:rsidRPr="00300B58">
        <w:rPr>
          <w:rFonts w:ascii="Times New Roman" w:eastAsia="Times New Roman" w:hAnsi="Times New Roman" w:cs="Monotype Hadassah"/>
          <w:sz w:val="24"/>
          <w:szCs w:val="20"/>
        </w:rPr>
        <w:t xml:space="preserve">onstitution in response to a disputable judicial interpretation of it. Presumably, in most constitutional democracies, there are also informal obstacles that restrict the possibility of amending the </w:t>
      </w:r>
      <w:r w:rsidR="00681FB9">
        <w:rPr>
          <w:rFonts w:ascii="Times New Roman" w:eastAsia="Times New Roman" w:hAnsi="Times New Roman" w:cs="Monotype Hadassah"/>
          <w:sz w:val="24"/>
          <w:szCs w:val="20"/>
        </w:rPr>
        <w:t>c</w:t>
      </w:r>
      <w:r w:rsidRPr="00300B58">
        <w:rPr>
          <w:rFonts w:ascii="Times New Roman" w:eastAsia="Times New Roman" w:hAnsi="Times New Roman" w:cs="Monotype Hadassah"/>
          <w:sz w:val="24"/>
          <w:szCs w:val="20"/>
        </w:rPr>
        <w:t xml:space="preserve">onstitution in response to </w:t>
      </w:r>
      <w:r w:rsidR="00681FB9">
        <w:rPr>
          <w:rFonts w:ascii="Times New Roman" w:eastAsia="Times New Roman" w:hAnsi="Times New Roman" w:cs="Monotype Hadassah"/>
          <w:sz w:val="24"/>
          <w:szCs w:val="20"/>
        </w:rPr>
        <w:t xml:space="preserve">a </w:t>
      </w:r>
      <w:r w:rsidRPr="00300B58">
        <w:rPr>
          <w:rFonts w:ascii="Times New Roman" w:eastAsia="Times New Roman" w:hAnsi="Times New Roman" w:cs="Monotype Hadassah"/>
          <w:sz w:val="24"/>
          <w:szCs w:val="20"/>
        </w:rPr>
        <w:t xml:space="preserve">judicial interpretation of it. A stable political culture, which generally accepts the need and the legitimacy of a </w:t>
      </w:r>
      <w:r w:rsidR="00681FB9" w:rsidRPr="00300B58">
        <w:rPr>
          <w:rFonts w:ascii="Times New Roman" w:eastAsia="Times New Roman" w:hAnsi="Times New Roman" w:cs="Monotype Hadassah"/>
          <w:sz w:val="24"/>
          <w:szCs w:val="20"/>
        </w:rPr>
        <w:t>supreme c</w:t>
      </w:r>
      <w:r w:rsidRPr="00300B58">
        <w:rPr>
          <w:rFonts w:ascii="Times New Roman" w:eastAsia="Times New Roman" w:hAnsi="Times New Roman" w:cs="Monotype Hadassah"/>
          <w:sz w:val="24"/>
          <w:szCs w:val="20"/>
        </w:rPr>
        <w:t xml:space="preserve">ourt as the </w:t>
      </w:r>
      <w:r w:rsidR="00681FB9">
        <w:rPr>
          <w:rFonts w:ascii="Times New Roman" w:eastAsia="Times New Roman" w:hAnsi="Times New Roman" w:cs="Monotype Hadassah"/>
          <w:sz w:val="24"/>
          <w:szCs w:val="20"/>
        </w:rPr>
        <w:t>c</w:t>
      </w:r>
      <w:r w:rsidRPr="00300B58">
        <w:rPr>
          <w:rFonts w:ascii="Times New Roman" w:eastAsia="Times New Roman" w:hAnsi="Times New Roman" w:cs="Monotype Hadassah"/>
          <w:sz w:val="24"/>
          <w:szCs w:val="20"/>
        </w:rPr>
        <w:t xml:space="preserve">onstitution’s interpreter, would </w:t>
      </w:r>
      <w:r w:rsidR="00F3209A">
        <w:rPr>
          <w:rFonts w:ascii="Times New Roman" w:eastAsia="Times New Roman" w:hAnsi="Times New Roman" w:cs="Monotype Hadassah"/>
          <w:sz w:val="24"/>
          <w:szCs w:val="20"/>
        </w:rPr>
        <w:t xml:space="preserve">sometimes </w:t>
      </w:r>
      <w:r w:rsidRPr="00300B58">
        <w:rPr>
          <w:rFonts w:ascii="Times New Roman" w:eastAsia="Times New Roman" w:hAnsi="Times New Roman" w:cs="Monotype Hadassah"/>
          <w:sz w:val="24"/>
          <w:szCs w:val="20"/>
        </w:rPr>
        <w:t xml:space="preserve">hold back the will of </w:t>
      </w:r>
      <w:r w:rsidRPr="00300B58">
        <w:rPr>
          <w:rFonts w:ascii="Times New Roman" w:eastAsia="Times New Roman" w:hAnsi="Times New Roman" w:cs="Monotype Hadassah"/>
          <w:sz w:val="24"/>
          <w:szCs w:val="20"/>
        </w:rPr>
        <w:lastRenderedPageBreak/>
        <w:t xml:space="preserve">any current majority to implement its short-term policy or even basic values by amending the </w:t>
      </w:r>
      <w:r w:rsidR="00681FB9">
        <w:rPr>
          <w:rFonts w:ascii="Times New Roman" w:eastAsia="Times New Roman" w:hAnsi="Times New Roman" w:cs="Monotype Hadassah"/>
          <w:sz w:val="24"/>
          <w:szCs w:val="20"/>
        </w:rPr>
        <w:t>c</w:t>
      </w:r>
      <w:r w:rsidRPr="00300B58">
        <w:rPr>
          <w:rFonts w:ascii="Times New Roman" w:eastAsia="Times New Roman" w:hAnsi="Times New Roman" w:cs="Monotype Hadassah"/>
          <w:sz w:val="24"/>
          <w:szCs w:val="20"/>
        </w:rPr>
        <w:t xml:space="preserve">onstitution.  </w:t>
      </w:r>
    </w:p>
    <w:p w:rsidR="00300B58" w:rsidRPr="00300B58" w:rsidRDefault="00300B58" w:rsidP="00863FEE">
      <w:pPr>
        <w:spacing w:after="0" w:line="480" w:lineRule="auto"/>
        <w:jc w:val="both"/>
        <w:rPr>
          <w:rFonts w:ascii="Times New Roman" w:eastAsia="Times New Roman" w:hAnsi="Times New Roman" w:cs="Monotype Hadassah"/>
          <w:sz w:val="24"/>
          <w:szCs w:val="20"/>
        </w:rPr>
      </w:pPr>
      <w:r w:rsidRPr="00300B58">
        <w:rPr>
          <w:rFonts w:ascii="Times New Roman" w:eastAsia="Times New Roman" w:hAnsi="Times New Roman" w:cs="Monotype Hadassah"/>
          <w:sz w:val="24"/>
          <w:szCs w:val="20"/>
        </w:rPr>
        <w:t xml:space="preserve">However, when a general right to be granted conscientious exemption is granted by a statute, then whenever the court grants or refuses to grant conscientious exemption as a result of its interpretation of that statute, all the legislature has to do, if it disagrees with the court, is to turn to the regular legislative process and enact a new statute that specifically overrides the court’s ruling. Here, there are no special formal procedural obstacles and, arguably, the informal obstacles are far weaker than in the former case. </w:t>
      </w:r>
      <w:r w:rsidR="00796177">
        <w:rPr>
          <w:rFonts w:ascii="Times New Roman" w:eastAsia="Times New Roman" w:hAnsi="Times New Roman" w:cs="Monotype Hadassah"/>
          <w:sz w:val="24"/>
          <w:szCs w:val="20"/>
        </w:rPr>
        <w:t xml:space="preserve">The courts still </w:t>
      </w:r>
      <w:r w:rsidR="002B42BA">
        <w:rPr>
          <w:rFonts w:ascii="Times New Roman" w:eastAsia="Times New Roman" w:hAnsi="Times New Roman" w:cs="Monotype Hadassah"/>
          <w:sz w:val="24"/>
          <w:szCs w:val="20"/>
        </w:rPr>
        <w:t>exercise wide discretion in interpreting and applying the general statutory right to be granted exemptions. The legislature, however, can quite easily override judicial decisions by enacting specific statutes</w:t>
      </w:r>
      <w:r w:rsidR="00863FEE">
        <w:rPr>
          <w:rFonts w:ascii="Times New Roman" w:eastAsia="Times New Roman" w:hAnsi="Times New Roman" w:cs="Monotype Hadassah"/>
          <w:sz w:val="24"/>
          <w:szCs w:val="20"/>
        </w:rPr>
        <w:t xml:space="preserve"> or by qualifying the general right to be granted exemptions</w:t>
      </w:r>
      <w:r w:rsidR="002B42BA">
        <w:rPr>
          <w:rFonts w:ascii="Times New Roman" w:eastAsia="Times New Roman" w:hAnsi="Times New Roman" w:cs="Monotype Hadassah"/>
          <w:sz w:val="24"/>
          <w:szCs w:val="20"/>
        </w:rPr>
        <w:t>.</w:t>
      </w:r>
      <w:bookmarkStart w:id="80" w:name="_Ref425934635"/>
      <w:r w:rsidR="00863FEE">
        <w:rPr>
          <w:rStyle w:val="a5"/>
          <w:rFonts w:ascii="Times New Roman" w:eastAsia="Times New Roman" w:hAnsi="Times New Roman" w:cs="Monotype Hadassah"/>
          <w:sz w:val="24"/>
          <w:szCs w:val="20"/>
        </w:rPr>
        <w:footnoteReference w:id="31"/>
      </w:r>
      <w:bookmarkEnd w:id="80"/>
      <w:r w:rsidR="002B42BA">
        <w:rPr>
          <w:rFonts w:ascii="Times New Roman" w:eastAsia="Times New Roman" w:hAnsi="Times New Roman" w:cs="Monotype Hadassah"/>
          <w:sz w:val="24"/>
          <w:szCs w:val="20"/>
        </w:rPr>
        <w:t xml:space="preserve">    </w:t>
      </w:r>
    </w:p>
    <w:p w:rsidR="00300B58" w:rsidRPr="00300B58" w:rsidRDefault="00300B58" w:rsidP="009E1E9A">
      <w:pPr>
        <w:spacing w:after="0" w:line="480" w:lineRule="auto"/>
        <w:jc w:val="both"/>
        <w:rPr>
          <w:rFonts w:ascii="Times New Roman" w:eastAsia="Times New Roman" w:hAnsi="Times New Roman" w:cs="Monotype Hadassah"/>
          <w:sz w:val="24"/>
          <w:szCs w:val="20"/>
        </w:rPr>
      </w:pPr>
      <w:r w:rsidRPr="00300B58">
        <w:rPr>
          <w:rFonts w:ascii="Times New Roman" w:eastAsia="Times New Roman" w:hAnsi="Times New Roman" w:cs="Monotype Hadassah"/>
          <w:sz w:val="24"/>
          <w:szCs w:val="20"/>
        </w:rPr>
        <w:t>Eugene Volokh refers to having a constitutional general right to be granted exemption as a ‘constitutional exemption model’ and to having such a right in a statute as a ‘common law exemption model’.</w:t>
      </w:r>
      <w:bookmarkStart w:id="81" w:name="_Ref130193199"/>
      <w:r w:rsidRPr="00300B58">
        <w:rPr>
          <w:rFonts w:ascii="Times New Roman" w:eastAsia="Times New Roman" w:hAnsi="Times New Roman" w:cs="Monotype Hadassah"/>
          <w:sz w:val="24"/>
          <w:szCs w:val="20"/>
          <w:vertAlign w:val="superscript"/>
        </w:rPr>
        <w:footnoteReference w:id="32"/>
      </w:r>
      <w:bookmarkEnd w:id="81"/>
      <w:r w:rsidRPr="00300B58">
        <w:rPr>
          <w:rFonts w:ascii="Times New Roman" w:eastAsia="Times New Roman" w:hAnsi="Times New Roman" w:cs="Monotype Hadassah"/>
          <w:sz w:val="24"/>
          <w:szCs w:val="20"/>
        </w:rPr>
        <w:t xml:space="preserve"> The latter is a common law </w:t>
      </w:r>
      <w:r w:rsidR="00F3209A">
        <w:rPr>
          <w:rFonts w:ascii="Times New Roman" w:eastAsia="Times New Roman" w:hAnsi="Times New Roman" w:cs="Monotype Hadassah"/>
          <w:sz w:val="24"/>
          <w:szCs w:val="20"/>
        </w:rPr>
        <w:t xml:space="preserve">model </w:t>
      </w:r>
      <w:r w:rsidRPr="00300B58">
        <w:rPr>
          <w:rFonts w:ascii="Times New Roman" w:eastAsia="Times New Roman" w:hAnsi="Times New Roman" w:cs="Monotype Hadassah"/>
          <w:sz w:val="24"/>
          <w:szCs w:val="20"/>
        </w:rPr>
        <w:t>in the sense that the law is being made initially by the court but is subject to statutory override.</w:t>
      </w:r>
      <w:r w:rsidRPr="00300B58">
        <w:rPr>
          <w:rFonts w:ascii="Times New Roman" w:eastAsia="Times New Roman" w:hAnsi="Times New Roman" w:cs="Monotype Hadassah"/>
          <w:sz w:val="24"/>
          <w:szCs w:val="20"/>
          <w:vertAlign w:val="superscript"/>
        </w:rPr>
        <w:footnoteReference w:id="33"/>
      </w:r>
      <w:r w:rsidRPr="00300B58">
        <w:rPr>
          <w:rFonts w:ascii="Times New Roman" w:eastAsia="Times New Roman" w:hAnsi="Times New Roman" w:cs="Monotype Hadassah"/>
          <w:sz w:val="24"/>
          <w:szCs w:val="20"/>
        </w:rPr>
        <w:t xml:space="preserve"> </w:t>
      </w:r>
    </w:p>
    <w:p w:rsidR="00300B58" w:rsidRPr="00300B58" w:rsidRDefault="00300B58" w:rsidP="007E62FA">
      <w:pPr>
        <w:spacing w:after="0" w:line="480" w:lineRule="auto"/>
        <w:jc w:val="both"/>
        <w:rPr>
          <w:rFonts w:ascii="Times New Roman" w:eastAsia="Times New Roman" w:hAnsi="Times New Roman" w:cs="Monotype Hadassah"/>
          <w:sz w:val="24"/>
          <w:szCs w:val="20"/>
        </w:rPr>
      </w:pPr>
      <w:r w:rsidRPr="00300B58">
        <w:rPr>
          <w:rFonts w:ascii="Times New Roman" w:eastAsia="Times New Roman" w:hAnsi="Times New Roman" w:cs="Monotype Hadassah"/>
          <w:sz w:val="24"/>
          <w:szCs w:val="20"/>
        </w:rPr>
        <w:t>Volokh argues for th</w:t>
      </w:r>
      <w:r w:rsidR="0016472F">
        <w:rPr>
          <w:rFonts w:ascii="Times New Roman" w:eastAsia="Times New Roman" w:hAnsi="Times New Roman" w:cs="Monotype Hadassah"/>
          <w:sz w:val="24"/>
          <w:szCs w:val="20"/>
        </w:rPr>
        <w:t>is</w:t>
      </w:r>
      <w:r w:rsidRPr="00300B58">
        <w:rPr>
          <w:rFonts w:ascii="Times New Roman" w:eastAsia="Times New Roman" w:hAnsi="Times New Roman" w:cs="Monotype Hadassah"/>
          <w:sz w:val="24"/>
          <w:szCs w:val="20"/>
        </w:rPr>
        <w:t xml:space="preserve"> common law model.</w:t>
      </w:r>
      <w:r w:rsidRPr="00300B58">
        <w:rPr>
          <w:rFonts w:ascii="Times New Roman" w:eastAsia="Times New Roman" w:hAnsi="Times New Roman" w:cs="Monotype Hadassah"/>
          <w:sz w:val="24"/>
          <w:szCs w:val="20"/>
          <w:vertAlign w:val="superscript"/>
        </w:rPr>
        <w:footnoteReference w:id="34"/>
      </w:r>
      <w:r w:rsidRPr="00300B58">
        <w:rPr>
          <w:rFonts w:ascii="Times New Roman" w:eastAsia="Times New Roman" w:hAnsi="Times New Roman" w:cs="Monotype Hadassah"/>
          <w:sz w:val="24"/>
          <w:szCs w:val="20"/>
        </w:rPr>
        <w:t xml:space="preserve"> In his opinion, the constitutional exemption model grants the courts excessive power, with no real possibility for the legislature to react to the judicial interpretation of the constitutional right. The </w:t>
      </w:r>
      <w:r w:rsidRPr="00300B58">
        <w:rPr>
          <w:rFonts w:ascii="Times New Roman" w:eastAsia="Times New Roman" w:hAnsi="Times New Roman" w:cs="Monotype Hadassah"/>
          <w:sz w:val="24"/>
          <w:szCs w:val="20"/>
        </w:rPr>
        <w:lastRenderedPageBreak/>
        <w:t xml:space="preserve">common law model, however, succeeds in enabling judicial discretion, on the one hand, and in creating a real possibility </w:t>
      </w:r>
      <w:r w:rsidR="0016472F">
        <w:rPr>
          <w:rFonts w:ascii="Times New Roman" w:eastAsia="Times New Roman" w:hAnsi="Times New Roman" w:cs="Monotype Hadassah"/>
          <w:sz w:val="24"/>
          <w:szCs w:val="20"/>
        </w:rPr>
        <w:t>of</w:t>
      </w:r>
      <w:r w:rsidRPr="00300B58">
        <w:rPr>
          <w:rFonts w:ascii="Times New Roman" w:eastAsia="Times New Roman" w:hAnsi="Times New Roman" w:cs="Monotype Hadassah"/>
          <w:sz w:val="24"/>
          <w:szCs w:val="20"/>
        </w:rPr>
        <w:t xml:space="preserve"> legislative reaction, on the other. For this balance to occur, Volokh suggests that </w:t>
      </w:r>
      <w:r w:rsidR="00DD6AEE">
        <w:rPr>
          <w:rFonts w:ascii="Times New Roman" w:eastAsia="Times New Roman" w:hAnsi="Times New Roman" w:cs="Monotype Hadassah"/>
          <w:sz w:val="24"/>
          <w:szCs w:val="20"/>
        </w:rPr>
        <w:t>(</w:t>
      </w:r>
      <w:r w:rsidRPr="00300B58">
        <w:rPr>
          <w:rFonts w:ascii="Times New Roman" w:eastAsia="Times New Roman" w:hAnsi="Times New Roman" w:cs="Monotype Hadassah"/>
          <w:sz w:val="24"/>
          <w:szCs w:val="20"/>
        </w:rPr>
        <w:t xml:space="preserve">at least in the </w:t>
      </w:r>
      <w:r w:rsidR="0016472F">
        <w:rPr>
          <w:rFonts w:ascii="Times New Roman" w:eastAsia="Times New Roman" w:hAnsi="Times New Roman" w:cs="Monotype Hadassah"/>
          <w:sz w:val="24"/>
          <w:szCs w:val="20"/>
        </w:rPr>
        <w:t>US</w:t>
      </w:r>
      <w:r w:rsidRPr="00300B58">
        <w:rPr>
          <w:rFonts w:ascii="Times New Roman" w:eastAsia="Times New Roman" w:hAnsi="Times New Roman" w:cs="Monotype Hadassah"/>
          <w:sz w:val="24"/>
          <w:szCs w:val="20"/>
        </w:rPr>
        <w:t xml:space="preserve"> context</w:t>
      </w:r>
      <w:r w:rsidR="00DD6AEE">
        <w:rPr>
          <w:rFonts w:ascii="Times New Roman" w:eastAsia="Times New Roman" w:hAnsi="Times New Roman" w:cs="Monotype Hadassah"/>
          <w:sz w:val="24"/>
          <w:szCs w:val="20"/>
        </w:rPr>
        <w:t>)</w:t>
      </w:r>
      <w:r w:rsidRPr="00300B58">
        <w:rPr>
          <w:rFonts w:ascii="Times New Roman" w:eastAsia="Times New Roman" w:hAnsi="Times New Roman" w:cs="Monotype Hadassah"/>
          <w:sz w:val="24"/>
          <w:szCs w:val="20"/>
        </w:rPr>
        <w:t xml:space="preserve"> the general right should be placed in states’ statutes rather than</w:t>
      </w:r>
      <w:r w:rsidR="007E62FA">
        <w:rPr>
          <w:rFonts w:ascii="Times New Roman" w:eastAsia="Times New Roman" w:hAnsi="Times New Roman" w:cs="Monotype Hadassah"/>
          <w:sz w:val="24"/>
          <w:szCs w:val="20"/>
        </w:rPr>
        <w:t xml:space="preserve"> in</w:t>
      </w:r>
      <w:r w:rsidRPr="00300B58">
        <w:rPr>
          <w:rFonts w:ascii="Times New Roman" w:eastAsia="Times New Roman" w:hAnsi="Times New Roman" w:cs="Monotype Hadassah"/>
          <w:sz w:val="24"/>
          <w:szCs w:val="20"/>
        </w:rPr>
        <w:t xml:space="preserve"> </w:t>
      </w:r>
      <w:r w:rsidR="00DD6AEE">
        <w:rPr>
          <w:rFonts w:ascii="Times New Roman" w:eastAsia="Times New Roman" w:hAnsi="Times New Roman" w:cs="Monotype Hadassah"/>
          <w:sz w:val="24"/>
          <w:szCs w:val="20"/>
        </w:rPr>
        <w:t>states</w:t>
      </w:r>
      <w:r w:rsidR="0016472F">
        <w:rPr>
          <w:rFonts w:ascii="Times New Roman" w:eastAsia="Times New Roman" w:hAnsi="Times New Roman" w:cs="Monotype Hadassah"/>
          <w:sz w:val="24"/>
          <w:szCs w:val="20"/>
        </w:rPr>
        <w:t>’</w:t>
      </w:r>
      <w:r w:rsidR="00DD6AEE">
        <w:rPr>
          <w:rFonts w:ascii="Times New Roman" w:eastAsia="Times New Roman" w:hAnsi="Times New Roman" w:cs="Monotype Hadassah"/>
          <w:sz w:val="24"/>
          <w:szCs w:val="20"/>
        </w:rPr>
        <w:t xml:space="preserve"> </w:t>
      </w:r>
      <w:r w:rsidR="0016472F">
        <w:rPr>
          <w:rFonts w:ascii="Times New Roman" w:eastAsia="Times New Roman" w:hAnsi="Times New Roman" w:cs="Monotype Hadassah"/>
          <w:sz w:val="24"/>
          <w:szCs w:val="20"/>
        </w:rPr>
        <w:t>c</w:t>
      </w:r>
      <w:r w:rsidR="00DD6AEE">
        <w:rPr>
          <w:rFonts w:ascii="Times New Roman" w:eastAsia="Times New Roman" w:hAnsi="Times New Roman" w:cs="Monotype Hadassah"/>
          <w:sz w:val="24"/>
          <w:szCs w:val="20"/>
        </w:rPr>
        <w:t>onsti</w:t>
      </w:r>
      <w:r w:rsidRPr="00300B58">
        <w:rPr>
          <w:rFonts w:ascii="Times New Roman" w:eastAsia="Times New Roman" w:hAnsi="Times New Roman" w:cs="Monotype Hadassah"/>
          <w:sz w:val="24"/>
          <w:szCs w:val="20"/>
        </w:rPr>
        <w:t xml:space="preserve">tutions, federal laws or the </w:t>
      </w:r>
      <w:r w:rsidR="0016472F">
        <w:rPr>
          <w:rFonts w:ascii="Times New Roman" w:eastAsia="Times New Roman" w:hAnsi="Times New Roman" w:cs="Monotype Hadassah"/>
          <w:sz w:val="24"/>
          <w:szCs w:val="20"/>
        </w:rPr>
        <w:t>US</w:t>
      </w:r>
      <w:r w:rsidR="007E62FA">
        <w:rPr>
          <w:rFonts w:ascii="Times New Roman" w:eastAsia="Times New Roman" w:hAnsi="Times New Roman" w:cs="Monotype Hadassah"/>
          <w:sz w:val="24"/>
          <w:szCs w:val="20"/>
        </w:rPr>
        <w:t xml:space="preserve"> </w:t>
      </w:r>
      <w:r w:rsidRPr="00300B58">
        <w:rPr>
          <w:rFonts w:ascii="Times New Roman" w:eastAsia="Times New Roman" w:hAnsi="Times New Roman" w:cs="Monotype Hadassah"/>
          <w:sz w:val="24"/>
          <w:szCs w:val="20"/>
        </w:rPr>
        <w:t>Constitution.</w:t>
      </w:r>
      <w:r w:rsidR="00DD6AEE">
        <w:rPr>
          <w:rFonts w:ascii="Times New Roman" w:eastAsia="Times New Roman" w:hAnsi="Times New Roman" w:cs="Monotype Hadassah"/>
          <w:sz w:val="24"/>
          <w:szCs w:val="20"/>
        </w:rPr>
        <w:t xml:space="preserve"> </w:t>
      </w:r>
      <w:r w:rsidRPr="00300B58">
        <w:rPr>
          <w:rFonts w:ascii="Times New Roman" w:eastAsia="Times New Roman" w:hAnsi="Times New Roman" w:cs="Monotype Hadassah"/>
          <w:sz w:val="24"/>
          <w:szCs w:val="20"/>
        </w:rPr>
        <w:t xml:space="preserve">Volokh’s view about the desirability of the common law model derives from a more </w:t>
      </w:r>
      <w:r w:rsidR="006D62DB">
        <w:rPr>
          <w:rFonts w:ascii="Times New Roman" w:eastAsia="Times New Roman" w:hAnsi="Times New Roman" w:cs="Monotype Hadassah"/>
          <w:sz w:val="24"/>
          <w:szCs w:val="20"/>
        </w:rPr>
        <w:t>general theory</w:t>
      </w:r>
      <w:r w:rsidRPr="00300B58">
        <w:rPr>
          <w:rFonts w:ascii="Times New Roman" w:eastAsia="Times New Roman" w:hAnsi="Times New Roman" w:cs="Monotype Hadassah"/>
          <w:sz w:val="24"/>
          <w:szCs w:val="20"/>
        </w:rPr>
        <w:t>, according to which determining the correct balance between freedom of conscience and other rights or interests is an exercise of moral and practical judgement that must, ultimately, be left to the political process.</w:t>
      </w:r>
      <w:r w:rsidRPr="00300B58">
        <w:rPr>
          <w:rFonts w:ascii="Times New Roman" w:eastAsia="Times New Roman" w:hAnsi="Times New Roman" w:cs="Monotype Hadassah"/>
          <w:sz w:val="24"/>
          <w:szCs w:val="20"/>
          <w:vertAlign w:val="superscript"/>
        </w:rPr>
        <w:footnoteReference w:id="35"/>
      </w:r>
      <w:r w:rsidRPr="00300B58">
        <w:rPr>
          <w:rFonts w:ascii="Times New Roman" w:eastAsia="Times New Roman" w:hAnsi="Times New Roman" w:cs="Monotype Hadassah"/>
          <w:sz w:val="24"/>
          <w:szCs w:val="20"/>
        </w:rPr>
        <w:t xml:space="preserve"> </w:t>
      </w:r>
    </w:p>
    <w:p w:rsidR="00300B58" w:rsidRPr="00300B58" w:rsidRDefault="006D62DB" w:rsidP="006D62DB">
      <w:pPr>
        <w:spacing w:after="0" w:line="480" w:lineRule="auto"/>
        <w:jc w:val="both"/>
        <w:rPr>
          <w:rFonts w:ascii="Times New Roman" w:eastAsia="Times New Roman" w:hAnsi="Times New Roman" w:cs="Monotype Hadassah"/>
          <w:sz w:val="24"/>
          <w:szCs w:val="20"/>
        </w:rPr>
      </w:pPr>
      <w:r>
        <w:rPr>
          <w:rFonts w:ascii="Times New Roman" w:eastAsia="Times New Roman" w:hAnsi="Times New Roman" w:cs="Monotype Hadassah"/>
          <w:sz w:val="24"/>
          <w:szCs w:val="20"/>
        </w:rPr>
        <w:t>Th</w:t>
      </w:r>
      <w:r w:rsidR="00300B58" w:rsidRPr="00300B58">
        <w:rPr>
          <w:rFonts w:ascii="Times New Roman" w:eastAsia="Times New Roman" w:hAnsi="Times New Roman" w:cs="Monotype Hadassah"/>
          <w:sz w:val="24"/>
          <w:szCs w:val="20"/>
        </w:rPr>
        <w:t>ere are</w:t>
      </w:r>
      <w:r w:rsidR="0016472F">
        <w:rPr>
          <w:rFonts w:ascii="Times New Roman" w:eastAsia="Times New Roman" w:hAnsi="Times New Roman" w:cs="Monotype Hadassah"/>
          <w:sz w:val="24"/>
          <w:szCs w:val="20"/>
        </w:rPr>
        <w:t>,</w:t>
      </w:r>
      <w:r>
        <w:rPr>
          <w:rFonts w:ascii="Times New Roman" w:eastAsia="Times New Roman" w:hAnsi="Times New Roman" w:cs="Monotype Hadassah"/>
          <w:sz w:val="24"/>
          <w:szCs w:val="20"/>
        </w:rPr>
        <w:t xml:space="preserve"> however</w:t>
      </w:r>
      <w:r w:rsidR="0016472F">
        <w:rPr>
          <w:rFonts w:ascii="Times New Roman" w:eastAsia="Times New Roman" w:hAnsi="Times New Roman" w:cs="Monotype Hadassah"/>
          <w:sz w:val="24"/>
          <w:szCs w:val="20"/>
        </w:rPr>
        <w:t>,</w:t>
      </w:r>
      <w:r w:rsidR="00300B58" w:rsidRPr="00300B58">
        <w:rPr>
          <w:rFonts w:ascii="Times New Roman" w:eastAsia="Times New Roman" w:hAnsi="Times New Roman" w:cs="Monotype Hadassah"/>
          <w:sz w:val="24"/>
          <w:szCs w:val="20"/>
        </w:rPr>
        <w:t xml:space="preserve"> overriding reasons for rejecting legislative dominance, or, more accurately, legislative supremacy, when deciding questions of conscientious exemption</w:t>
      </w:r>
      <w:r>
        <w:rPr>
          <w:rFonts w:ascii="Times New Roman" w:eastAsia="Times New Roman" w:hAnsi="Times New Roman" w:cs="Monotype Hadassah"/>
          <w:sz w:val="24"/>
          <w:szCs w:val="20"/>
        </w:rPr>
        <w:t xml:space="preserve">. </w:t>
      </w:r>
      <w:r w:rsidR="00300B58" w:rsidRPr="00300B58">
        <w:rPr>
          <w:rFonts w:ascii="Times New Roman" w:eastAsia="Times New Roman" w:hAnsi="Times New Roman" w:cs="Monotype Hadassah"/>
          <w:sz w:val="24"/>
          <w:szCs w:val="20"/>
        </w:rPr>
        <w:t>The argument presented here against the common law model being the sole model is actually an argument for having a</w:t>
      </w:r>
      <w:r w:rsidR="005468C5">
        <w:rPr>
          <w:rFonts w:ascii="Times New Roman" w:eastAsia="Times New Roman" w:hAnsi="Times New Roman" w:cs="Monotype Hadassah"/>
          <w:sz w:val="24"/>
          <w:szCs w:val="20"/>
        </w:rPr>
        <w:t xml:space="preserve"> gen</w:t>
      </w:r>
      <w:r w:rsidR="007E62FA">
        <w:rPr>
          <w:rFonts w:ascii="Times New Roman" w:eastAsia="Times New Roman" w:hAnsi="Times New Roman" w:cs="Monotype Hadassah"/>
          <w:sz w:val="24"/>
          <w:szCs w:val="20"/>
        </w:rPr>
        <w:t>e</w:t>
      </w:r>
      <w:r w:rsidR="005468C5">
        <w:rPr>
          <w:rFonts w:ascii="Times New Roman" w:eastAsia="Times New Roman" w:hAnsi="Times New Roman" w:cs="Monotype Hadassah"/>
          <w:sz w:val="24"/>
          <w:szCs w:val="20"/>
        </w:rPr>
        <w:t>ral</w:t>
      </w:r>
      <w:r w:rsidR="00300B58" w:rsidRPr="00300B58">
        <w:rPr>
          <w:rFonts w:ascii="Times New Roman" w:eastAsia="Times New Roman" w:hAnsi="Times New Roman" w:cs="Monotype Hadassah"/>
          <w:sz w:val="24"/>
          <w:szCs w:val="20"/>
        </w:rPr>
        <w:t xml:space="preserve"> constitutional right to be granted conscientious exemption. Naturally, every argument for having a constitutional right to be a conscientious objector is part of the more general argument for having constitutional rights at all. However, here, I assume that there should be constitutional rights in general or that we face a regime that has constitutional rights, so the only question remaining is whether the right to be a conscientious objector should also be a constitutional one.</w:t>
      </w:r>
      <w:bookmarkStart w:id="82" w:name="_Ref131482754"/>
      <w:r w:rsidR="00300B58" w:rsidRPr="00300B58">
        <w:rPr>
          <w:rFonts w:ascii="Times New Roman" w:eastAsia="Times New Roman" w:hAnsi="Times New Roman" w:cs="Monotype Hadassah"/>
          <w:sz w:val="24"/>
          <w:szCs w:val="20"/>
          <w:vertAlign w:val="superscript"/>
        </w:rPr>
        <w:footnoteReference w:id="36"/>
      </w:r>
      <w:bookmarkEnd w:id="82"/>
      <w:r w:rsidR="00300B58" w:rsidRPr="00300B58">
        <w:rPr>
          <w:rFonts w:ascii="Times New Roman" w:eastAsia="Times New Roman" w:hAnsi="Times New Roman" w:cs="Monotype Hadassah"/>
          <w:sz w:val="24"/>
          <w:szCs w:val="20"/>
        </w:rPr>
        <w:t xml:space="preserve"> </w:t>
      </w:r>
    </w:p>
    <w:p w:rsidR="00300B58" w:rsidRPr="00300B58" w:rsidRDefault="00300B58" w:rsidP="005468C5">
      <w:pPr>
        <w:spacing w:after="0" w:line="480" w:lineRule="auto"/>
        <w:jc w:val="both"/>
        <w:rPr>
          <w:rFonts w:ascii="Times New Roman" w:eastAsia="Times New Roman" w:hAnsi="Times New Roman" w:cs="Monotype Hadassah"/>
          <w:sz w:val="24"/>
          <w:szCs w:val="20"/>
        </w:rPr>
      </w:pPr>
      <w:r w:rsidRPr="00300B58">
        <w:rPr>
          <w:rFonts w:ascii="Times New Roman" w:eastAsia="Times New Roman" w:hAnsi="Times New Roman" w:cs="Monotype Hadassah"/>
          <w:sz w:val="24"/>
          <w:szCs w:val="20"/>
        </w:rPr>
        <w:t>The first reason for having a constitutional right to be a conscientious objector is the nature of that right (note that Volokh argues there should be such a right, although not a constitutional one). It is a special right in at least two important aspects.</w:t>
      </w:r>
    </w:p>
    <w:p w:rsidR="00300B58" w:rsidRPr="00DA74E2" w:rsidRDefault="00300B58" w:rsidP="00A35688">
      <w:pPr>
        <w:spacing w:after="0" w:line="480" w:lineRule="auto"/>
        <w:jc w:val="both"/>
        <w:rPr>
          <w:rFonts w:asciiTheme="majorBidi" w:eastAsia="Times New Roman" w:hAnsiTheme="majorBidi" w:cstheme="majorBidi"/>
          <w:sz w:val="24"/>
          <w:szCs w:val="24"/>
        </w:rPr>
      </w:pPr>
      <w:r w:rsidRPr="00300B58">
        <w:rPr>
          <w:rFonts w:ascii="Times New Roman" w:eastAsia="Times New Roman" w:hAnsi="Times New Roman" w:cs="Monotype Hadassah"/>
          <w:sz w:val="24"/>
          <w:szCs w:val="20"/>
        </w:rPr>
        <w:lastRenderedPageBreak/>
        <w:t>Firstly, it enables its holders not to comply with a general rule that was decided by the majority, because they reject the content of the rule. It is a right to disobey the will of the majority, as reflected in a legal norm, because the right-holder strongly, and indeed conscientiously, rejects the majority’s values or</w:t>
      </w:r>
      <w:r w:rsidR="00FB53B3">
        <w:rPr>
          <w:rFonts w:ascii="Times New Roman" w:eastAsia="Times New Roman" w:hAnsi="Times New Roman" w:cs="Monotype Hadassah"/>
          <w:sz w:val="24"/>
          <w:szCs w:val="20"/>
        </w:rPr>
        <w:t xml:space="preserve"> its way of</w:t>
      </w:r>
      <w:r w:rsidRPr="00300B58">
        <w:rPr>
          <w:rFonts w:ascii="Times New Roman" w:eastAsia="Times New Roman" w:hAnsi="Times New Roman" w:cs="Monotype Hadassah"/>
          <w:sz w:val="24"/>
          <w:szCs w:val="20"/>
        </w:rPr>
        <w:t xml:space="preserve"> balanc</w:t>
      </w:r>
      <w:r w:rsidR="00FB53B3">
        <w:rPr>
          <w:rFonts w:ascii="Times New Roman" w:eastAsia="Times New Roman" w:hAnsi="Times New Roman" w:cs="Monotype Hadassah"/>
          <w:sz w:val="24"/>
          <w:szCs w:val="20"/>
        </w:rPr>
        <w:t xml:space="preserve">ing </w:t>
      </w:r>
      <w:r w:rsidRPr="00300B58">
        <w:rPr>
          <w:rFonts w:ascii="Times New Roman" w:eastAsia="Times New Roman" w:hAnsi="Times New Roman" w:cs="Monotype Hadassah"/>
          <w:sz w:val="24"/>
          <w:szCs w:val="20"/>
        </w:rPr>
        <w:t>values. It is unreasonable to expect the majority to exempt from obedience, in all right cases, those who perceive the majority’s values as utterly unacceptable or immoral. More accurately, it is unreasonable to expect the majority to do this better than an independent judiciary.</w:t>
      </w:r>
      <w:r w:rsidR="00FB53B3">
        <w:rPr>
          <w:rStyle w:val="a5"/>
          <w:rFonts w:ascii="Times New Roman" w:eastAsia="Times New Roman" w:hAnsi="Times New Roman" w:cs="Monotype Hadassah"/>
          <w:sz w:val="24"/>
          <w:szCs w:val="20"/>
        </w:rPr>
        <w:footnoteReference w:id="37"/>
      </w:r>
      <w:r w:rsidR="00FB53B3" w:rsidRPr="00FB53B3">
        <w:rPr>
          <w:rFonts w:ascii="Times New Roman" w:hAnsi="Times New Roman" w:cs="Times New Roman"/>
          <w:sz w:val="21"/>
          <w:szCs w:val="21"/>
        </w:rPr>
        <w:t xml:space="preserve"> </w:t>
      </w:r>
      <w:r w:rsidR="00FB53B3">
        <w:rPr>
          <w:rFonts w:ascii="Times New Roman" w:eastAsia="Times New Roman" w:hAnsi="Times New Roman" w:cs="Monotype Hadassah"/>
          <w:sz w:val="24"/>
          <w:szCs w:val="20"/>
        </w:rPr>
        <w:t>These are not mere speculations. In a recent study, Zoe Robinson found that s</w:t>
      </w:r>
      <w:r w:rsidR="00FB53B3" w:rsidRPr="00FB53B3">
        <w:rPr>
          <w:rFonts w:ascii="Times New Roman" w:eastAsia="Times New Roman" w:hAnsi="Times New Roman" w:cs="Monotype Hadassah"/>
          <w:bCs/>
          <w:sz w:val="24"/>
          <w:szCs w:val="20"/>
        </w:rPr>
        <w:t>tate legislatures in the United States are overly responsive to majoritarian interests at the expense of minority religious liberty, and that expected constituent voting support heavily affects legislative decisions as to whether to create statutory exemption from neutral laws.</w:t>
      </w:r>
      <w:r w:rsidR="00FB53B3" w:rsidRPr="00FB53B3">
        <w:rPr>
          <w:rFonts w:ascii="Times New Roman" w:eastAsia="Times New Roman" w:hAnsi="Times New Roman" w:cs="Monotype Hadassah"/>
          <w:bCs/>
          <w:sz w:val="24"/>
          <w:szCs w:val="20"/>
          <w:vertAlign w:val="superscript"/>
        </w:rPr>
        <w:footnoteReference w:id="38"/>
      </w:r>
      <w:r w:rsidR="00DA74E2" w:rsidRPr="00DA74E2">
        <w:rPr>
          <w:rFonts w:ascii="TimesNewRoman" w:cs="TimesNewRoman"/>
        </w:rPr>
        <w:t xml:space="preserve"> </w:t>
      </w:r>
      <w:r w:rsidR="00DA74E2" w:rsidRPr="00DA74E2">
        <w:rPr>
          <w:rFonts w:asciiTheme="majorBidi" w:hAnsiTheme="majorBidi" w:cstheme="majorBidi"/>
          <w:sz w:val="24"/>
          <w:szCs w:val="24"/>
        </w:rPr>
        <w:t xml:space="preserve">Robinson’s conclusion that </w:t>
      </w:r>
      <w:r w:rsidR="00DA74E2" w:rsidRPr="00DA74E2">
        <w:rPr>
          <w:rFonts w:asciiTheme="majorBidi" w:eastAsia="Times New Roman" w:hAnsiTheme="majorBidi" w:cstheme="majorBidi"/>
          <w:bCs/>
          <w:sz w:val="24"/>
          <w:szCs w:val="24"/>
        </w:rPr>
        <w:t>a person’s religious freedom in the US</w:t>
      </w:r>
      <w:r w:rsidR="0016472F">
        <w:rPr>
          <w:rFonts w:asciiTheme="majorBidi" w:eastAsia="Times New Roman" w:hAnsiTheme="majorBidi" w:cstheme="majorBidi"/>
          <w:bCs/>
          <w:sz w:val="24"/>
          <w:szCs w:val="24"/>
        </w:rPr>
        <w:t>A</w:t>
      </w:r>
      <w:r w:rsidR="00DA74E2" w:rsidRPr="00DA74E2">
        <w:rPr>
          <w:rFonts w:asciiTheme="majorBidi" w:eastAsia="Times New Roman" w:hAnsiTheme="majorBidi" w:cstheme="majorBidi"/>
          <w:bCs/>
          <w:sz w:val="24"/>
          <w:szCs w:val="24"/>
        </w:rPr>
        <w:t xml:space="preserve"> is dependent on their political power is alarming </w:t>
      </w:r>
      <w:r w:rsidR="00DA74E2">
        <w:rPr>
          <w:rFonts w:asciiTheme="majorBidi" w:eastAsia="Times New Roman" w:hAnsiTheme="majorBidi" w:cstheme="majorBidi"/>
          <w:bCs/>
          <w:sz w:val="24"/>
          <w:szCs w:val="24"/>
        </w:rPr>
        <w:t xml:space="preserve">but also </w:t>
      </w:r>
      <w:r w:rsidR="00DA74E2" w:rsidRPr="00DA74E2">
        <w:rPr>
          <w:rFonts w:asciiTheme="majorBidi" w:eastAsia="Times New Roman" w:hAnsiTheme="majorBidi" w:cstheme="majorBidi"/>
          <w:bCs/>
          <w:sz w:val="24"/>
          <w:szCs w:val="24"/>
        </w:rPr>
        <w:t>quite expected</w:t>
      </w:r>
      <w:r w:rsidR="00DA74E2">
        <w:rPr>
          <w:rFonts w:asciiTheme="majorBidi" w:eastAsia="Times New Roman" w:hAnsiTheme="majorBidi" w:cstheme="majorBidi"/>
          <w:bCs/>
          <w:sz w:val="24"/>
          <w:szCs w:val="24"/>
        </w:rPr>
        <w:t xml:space="preserve"> as an almost inevitable result of trusting representative institution</w:t>
      </w:r>
      <w:r w:rsidR="007E62FA">
        <w:rPr>
          <w:rFonts w:asciiTheme="majorBidi" w:eastAsia="Times New Roman" w:hAnsiTheme="majorBidi" w:cstheme="majorBidi"/>
          <w:bCs/>
          <w:sz w:val="24"/>
          <w:szCs w:val="24"/>
        </w:rPr>
        <w:t>s</w:t>
      </w:r>
      <w:r w:rsidR="00DA74E2">
        <w:rPr>
          <w:rFonts w:asciiTheme="majorBidi" w:eastAsia="Times New Roman" w:hAnsiTheme="majorBidi" w:cstheme="majorBidi"/>
          <w:bCs/>
          <w:sz w:val="24"/>
          <w:szCs w:val="24"/>
        </w:rPr>
        <w:t xml:space="preserve"> to protect minority rights</w:t>
      </w:r>
      <w:r w:rsidR="00A35688">
        <w:rPr>
          <w:rFonts w:asciiTheme="majorBidi" w:eastAsia="Times New Roman" w:hAnsiTheme="majorBidi" w:cstheme="majorBidi"/>
          <w:bCs/>
          <w:sz w:val="24"/>
          <w:szCs w:val="24"/>
        </w:rPr>
        <w:t xml:space="preserve"> while denying any possibility of effective judicial review</w:t>
      </w:r>
      <w:r w:rsidR="00DA74E2">
        <w:rPr>
          <w:rFonts w:asciiTheme="majorBidi" w:eastAsia="Times New Roman" w:hAnsiTheme="majorBidi" w:cstheme="majorBidi"/>
          <w:bCs/>
          <w:sz w:val="24"/>
          <w:szCs w:val="24"/>
        </w:rPr>
        <w:t xml:space="preserve">. </w:t>
      </w:r>
      <w:r w:rsidR="00DA74E2" w:rsidRPr="00DA74E2">
        <w:rPr>
          <w:rFonts w:asciiTheme="majorBidi" w:eastAsia="Times New Roman" w:hAnsiTheme="majorBidi" w:cstheme="majorBidi"/>
          <w:bCs/>
          <w:sz w:val="24"/>
          <w:szCs w:val="24"/>
        </w:rPr>
        <w:t xml:space="preserve"> </w:t>
      </w:r>
    </w:p>
    <w:p w:rsidR="00300B58" w:rsidRPr="00300B58" w:rsidRDefault="00300B58" w:rsidP="00554F23">
      <w:pPr>
        <w:spacing w:after="0" w:line="480" w:lineRule="auto"/>
        <w:jc w:val="both"/>
        <w:rPr>
          <w:rFonts w:ascii="Times New Roman" w:eastAsia="Times New Roman" w:hAnsi="Times New Roman" w:cs="Monotype Hadassah"/>
          <w:sz w:val="24"/>
          <w:szCs w:val="20"/>
        </w:rPr>
      </w:pPr>
      <w:r w:rsidRPr="00300B58">
        <w:rPr>
          <w:rFonts w:ascii="Times New Roman" w:eastAsia="Times New Roman" w:hAnsi="Times New Roman" w:cs="Monotype Hadassah"/>
          <w:sz w:val="24"/>
          <w:szCs w:val="20"/>
        </w:rPr>
        <w:t>Secondly, the right to be granted conscientious exemption is normally not exercised by those who have the potential of forming a political majority, whereas most constitutional</w:t>
      </w:r>
      <w:r w:rsidR="00554F23">
        <w:rPr>
          <w:rFonts w:ascii="Times New Roman" w:eastAsia="Times New Roman" w:hAnsi="Times New Roman" w:cs="Monotype Hadassah"/>
          <w:sz w:val="24"/>
          <w:szCs w:val="20"/>
        </w:rPr>
        <w:t xml:space="preserve"> or human</w:t>
      </w:r>
      <w:r w:rsidRPr="00300B58">
        <w:rPr>
          <w:rFonts w:ascii="Times New Roman" w:eastAsia="Times New Roman" w:hAnsi="Times New Roman" w:cs="Monotype Hadassah"/>
          <w:sz w:val="24"/>
          <w:szCs w:val="20"/>
        </w:rPr>
        <w:t xml:space="preserve"> rights are. Most human rights are exercised or have a real potential of being exercised, albeit in different ways, by virtually all citizens, or at least are not limited, by their nature, to ideological minorities. The right to be a conscientious objector, however, is exercised or has </w:t>
      </w:r>
      <w:r w:rsidR="0016472F">
        <w:rPr>
          <w:rFonts w:ascii="Times New Roman" w:eastAsia="Times New Roman" w:hAnsi="Times New Roman" w:cs="Monotype Hadassah"/>
          <w:sz w:val="24"/>
          <w:szCs w:val="20"/>
        </w:rPr>
        <w:t>the</w:t>
      </w:r>
      <w:r w:rsidRPr="00300B58">
        <w:rPr>
          <w:rFonts w:ascii="Times New Roman" w:eastAsia="Times New Roman" w:hAnsi="Times New Roman" w:cs="Monotype Hadassah"/>
          <w:sz w:val="24"/>
          <w:szCs w:val="20"/>
        </w:rPr>
        <w:t xml:space="preserve"> real potential of being </w:t>
      </w:r>
      <w:r w:rsidRPr="00300B58">
        <w:rPr>
          <w:rFonts w:ascii="Times New Roman" w:eastAsia="Times New Roman" w:hAnsi="Times New Roman" w:cs="Monotype Hadassah"/>
          <w:sz w:val="24"/>
          <w:szCs w:val="20"/>
        </w:rPr>
        <w:lastRenderedPageBreak/>
        <w:t>exercised mostly by ideological minorities, small or powerless groups, or simply individuals who depart from consensual values. All of them, by definition, cannot form a political majority. They may, of course, share the majority opinion concerning certain issues. However, the possibility that the specific value upon which they rest their conscientious objection would be endorsed by a future majority is presumably quite distant. There is little incentive for a current or potential political majority to protect a right that they cannot enjoy, especially when this right, by its nature, benefits only those who hold, in the majority’s opinion, unacceptable values.</w:t>
      </w:r>
    </w:p>
    <w:p w:rsidR="00300B58" w:rsidRPr="00300B58" w:rsidRDefault="00300B58" w:rsidP="00BF70BB">
      <w:pPr>
        <w:spacing w:after="0" w:line="480" w:lineRule="auto"/>
        <w:jc w:val="both"/>
        <w:rPr>
          <w:rFonts w:ascii="Times New Roman" w:eastAsia="Times New Roman" w:hAnsi="Times New Roman" w:cs="Monotype Hadassah"/>
          <w:sz w:val="24"/>
          <w:szCs w:val="20"/>
        </w:rPr>
      </w:pPr>
      <w:r w:rsidRPr="00300B58">
        <w:rPr>
          <w:rFonts w:ascii="Times New Roman" w:eastAsia="Times New Roman" w:hAnsi="Times New Roman" w:cs="Monotype Hadassah"/>
          <w:sz w:val="24"/>
          <w:szCs w:val="20"/>
        </w:rPr>
        <w:t>It is important to appreciate the above argument accurately. The argument is not that the legislature is incapable of granting conscientious exemptions or that the legislature may be reluctant to grant them in most cases</w:t>
      </w:r>
      <w:r w:rsidR="00446253">
        <w:rPr>
          <w:rFonts w:ascii="Times New Roman" w:eastAsia="Times New Roman" w:hAnsi="Times New Roman" w:cs="Monotype Hadassah"/>
          <w:sz w:val="24"/>
          <w:szCs w:val="20"/>
        </w:rPr>
        <w:t>.</w:t>
      </w:r>
      <w:r w:rsidR="006F75C1" w:rsidRPr="006F75C1">
        <w:rPr>
          <w:rFonts w:ascii="Times New Roman" w:eastAsia="Times New Roman" w:hAnsi="Times New Roman" w:cs="Monotype Hadassah"/>
          <w:sz w:val="24"/>
          <w:szCs w:val="20"/>
          <w:vertAlign w:val="superscript"/>
        </w:rPr>
        <w:footnoteReference w:id="39"/>
      </w:r>
      <w:r w:rsidRPr="00300B58">
        <w:rPr>
          <w:rFonts w:ascii="Times New Roman" w:eastAsia="Times New Roman" w:hAnsi="Times New Roman" w:cs="Monotype Hadassah"/>
          <w:sz w:val="24"/>
          <w:szCs w:val="20"/>
        </w:rPr>
        <w:t xml:space="preserve"> </w:t>
      </w:r>
      <w:r w:rsidR="00BF70BB">
        <w:rPr>
          <w:rFonts w:ascii="Times New Roman" w:eastAsia="Times New Roman" w:hAnsi="Times New Roman" w:cs="Monotype Hadassah"/>
          <w:sz w:val="24"/>
          <w:szCs w:val="20"/>
        </w:rPr>
        <w:t>This argument would be false since</w:t>
      </w:r>
      <w:r w:rsidR="00446253">
        <w:rPr>
          <w:rFonts w:ascii="Times New Roman" w:eastAsia="Times New Roman" w:hAnsi="Times New Roman" w:cs="Monotype Hadassah"/>
          <w:sz w:val="24"/>
          <w:szCs w:val="20"/>
        </w:rPr>
        <w:t xml:space="preserve"> most conscientious exemptions are granted by the legislature. </w:t>
      </w:r>
      <w:r w:rsidR="00446253" w:rsidRPr="00446253">
        <w:rPr>
          <w:rFonts w:ascii="Times New Roman" w:eastAsia="Times New Roman" w:hAnsi="Times New Roman" w:cs="Monotype Hadassah"/>
          <w:sz w:val="24"/>
          <w:szCs w:val="20"/>
        </w:rPr>
        <w:t>Th</w:t>
      </w:r>
      <w:r w:rsidR="00446253">
        <w:rPr>
          <w:rFonts w:ascii="Times New Roman" w:eastAsia="Times New Roman" w:hAnsi="Times New Roman" w:cs="Monotype Hadassah"/>
          <w:sz w:val="24"/>
          <w:szCs w:val="20"/>
        </w:rPr>
        <w:t xml:space="preserve">is fact, however, </w:t>
      </w:r>
      <w:r w:rsidR="00446253" w:rsidRPr="00446253">
        <w:rPr>
          <w:rFonts w:ascii="Times New Roman" w:eastAsia="Times New Roman" w:hAnsi="Times New Roman" w:cs="Monotype Hadassah"/>
          <w:sz w:val="24"/>
          <w:szCs w:val="20"/>
        </w:rPr>
        <w:t>does not necessarily mean that the legislature can protect, or simply does protect, freedom of conscience better than the court.</w:t>
      </w:r>
      <w:r w:rsidR="006F75C1" w:rsidRPr="006F75C1">
        <w:rPr>
          <w:rFonts w:ascii="Times New Roman" w:eastAsia="Times New Roman" w:hAnsi="Times New Roman" w:cs="Monotype Hadassah"/>
          <w:sz w:val="24"/>
          <w:szCs w:val="20"/>
          <w:vertAlign w:val="superscript"/>
        </w:rPr>
        <w:t xml:space="preserve"> </w:t>
      </w:r>
      <w:r w:rsidR="00446253" w:rsidRPr="00446253">
        <w:rPr>
          <w:rFonts w:ascii="Times New Roman" w:eastAsia="Times New Roman" w:hAnsi="Times New Roman" w:cs="Monotype Hadassah"/>
          <w:sz w:val="24"/>
          <w:szCs w:val="20"/>
        </w:rPr>
        <w:t xml:space="preserve">All it means is that the legislature is capable of protecting freedom of conscience to some extent. </w:t>
      </w:r>
      <w:r w:rsidR="00446253">
        <w:rPr>
          <w:rFonts w:ascii="Times New Roman" w:eastAsia="Times New Roman" w:hAnsi="Times New Roman" w:cs="Monotype Hadassah"/>
          <w:sz w:val="24"/>
          <w:szCs w:val="20"/>
        </w:rPr>
        <w:t xml:space="preserve">Thus, the argument here is </w:t>
      </w:r>
      <w:r w:rsidRPr="00300B58">
        <w:rPr>
          <w:rFonts w:ascii="Times New Roman" w:eastAsia="Times New Roman" w:hAnsi="Times New Roman" w:cs="Monotype Hadassah"/>
          <w:sz w:val="24"/>
          <w:szCs w:val="20"/>
        </w:rPr>
        <w:t xml:space="preserve">that we cannot trust the legislature to reach the correct decisions in some typical cases. </w:t>
      </w:r>
      <w:r w:rsidR="00446253">
        <w:rPr>
          <w:rFonts w:ascii="Times New Roman" w:eastAsia="Times New Roman" w:hAnsi="Times New Roman" w:cs="Monotype Hadassah"/>
          <w:sz w:val="24"/>
          <w:szCs w:val="20"/>
        </w:rPr>
        <w:t>This means that a</w:t>
      </w:r>
      <w:r w:rsidR="009B0CBB">
        <w:rPr>
          <w:rFonts w:ascii="Times New Roman" w:eastAsia="Times New Roman" w:hAnsi="Times New Roman" w:cs="Monotype Hadassah"/>
          <w:sz w:val="24"/>
          <w:szCs w:val="20"/>
        </w:rPr>
        <w:t xml:space="preserve"> complementary</w:t>
      </w:r>
      <w:r w:rsidRPr="00300B58">
        <w:rPr>
          <w:rFonts w:ascii="Times New Roman" w:eastAsia="Times New Roman" w:hAnsi="Times New Roman" w:cs="Monotype Hadassah"/>
          <w:sz w:val="24"/>
          <w:szCs w:val="20"/>
        </w:rPr>
        <w:t xml:space="preserve"> judicial power to grant exemptions, which should be relatively immune from legislative response, is necessary in order to better protect freedom of conscience and the public interest alike.                   </w:t>
      </w:r>
    </w:p>
    <w:p w:rsidR="00300B58" w:rsidRPr="00300B58" w:rsidRDefault="00300B58" w:rsidP="00E27C3E">
      <w:pPr>
        <w:spacing w:after="0" w:line="480" w:lineRule="auto"/>
        <w:jc w:val="both"/>
        <w:rPr>
          <w:rFonts w:ascii="Times New Roman" w:eastAsia="Times New Roman" w:hAnsi="Times New Roman" w:cs="Monotype Hadassah"/>
          <w:sz w:val="24"/>
          <w:szCs w:val="20"/>
        </w:rPr>
      </w:pPr>
      <w:r w:rsidRPr="00300B58">
        <w:rPr>
          <w:rFonts w:ascii="Times New Roman" w:eastAsia="Times New Roman" w:hAnsi="Times New Roman" w:cs="Monotype Hadassah"/>
          <w:sz w:val="24"/>
          <w:szCs w:val="20"/>
        </w:rPr>
        <w:t xml:space="preserve">The second reason for rejecting the common law model is the general incapability of the political majority </w:t>
      </w:r>
      <w:r w:rsidR="009B0CBB">
        <w:rPr>
          <w:rFonts w:ascii="Times New Roman" w:eastAsia="Times New Roman" w:hAnsi="Times New Roman" w:cs="Monotype Hadassah"/>
          <w:sz w:val="24"/>
          <w:szCs w:val="20"/>
        </w:rPr>
        <w:t>to</w:t>
      </w:r>
      <w:r w:rsidRPr="00300B58">
        <w:rPr>
          <w:rFonts w:ascii="Times New Roman" w:eastAsia="Times New Roman" w:hAnsi="Times New Roman" w:cs="Monotype Hadassah"/>
          <w:sz w:val="24"/>
          <w:szCs w:val="20"/>
        </w:rPr>
        <w:t xml:space="preserve"> determin</w:t>
      </w:r>
      <w:r w:rsidR="00E27C3E">
        <w:rPr>
          <w:rFonts w:ascii="Times New Roman" w:eastAsia="Times New Roman" w:hAnsi="Times New Roman" w:cs="Monotype Hadassah"/>
          <w:sz w:val="24"/>
          <w:szCs w:val="20"/>
        </w:rPr>
        <w:t>e</w:t>
      </w:r>
      <w:r w:rsidRPr="00300B58">
        <w:rPr>
          <w:rFonts w:ascii="Times New Roman" w:eastAsia="Times New Roman" w:hAnsi="Times New Roman" w:cs="Monotype Hadassah"/>
          <w:sz w:val="24"/>
          <w:szCs w:val="20"/>
        </w:rPr>
        <w:t xml:space="preserve"> the justifiable limits of tolerance towards conscientious objectors.</w:t>
      </w:r>
    </w:p>
    <w:p w:rsidR="00300B58" w:rsidRPr="00300B58" w:rsidRDefault="00300B58" w:rsidP="00DF3117">
      <w:pPr>
        <w:spacing w:after="0" w:line="480" w:lineRule="auto"/>
        <w:jc w:val="both"/>
        <w:rPr>
          <w:rFonts w:ascii="Times New Roman" w:eastAsia="Times New Roman" w:hAnsi="Times New Roman" w:cs="Monotype Hadassah"/>
          <w:sz w:val="24"/>
          <w:szCs w:val="20"/>
        </w:rPr>
      </w:pPr>
      <w:r w:rsidRPr="00300B58">
        <w:rPr>
          <w:rFonts w:ascii="Times New Roman" w:eastAsia="Times New Roman" w:hAnsi="Times New Roman" w:cs="Monotype Hadassah"/>
          <w:sz w:val="24"/>
          <w:szCs w:val="20"/>
        </w:rPr>
        <w:lastRenderedPageBreak/>
        <w:t>Leaving these kinds of decision to the political process is likely to lead to deciding these issues according to temporary political interests and contemporary political power, which has nothing to do with the desirable way to protect freedom of conscience.</w:t>
      </w:r>
      <w:r w:rsidR="00173A93">
        <w:rPr>
          <w:rStyle w:val="a5"/>
          <w:rFonts w:ascii="Times New Roman" w:eastAsia="Times New Roman" w:hAnsi="Times New Roman" w:cs="Monotype Hadassah"/>
          <w:sz w:val="24"/>
          <w:szCs w:val="20"/>
        </w:rPr>
        <w:footnoteReference w:id="40"/>
      </w:r>
      <w:r w:rsidRPr="00300B58">
        <w:rPr>
          <w:rFonts w:ascii="Times New Roman" w:eastAsia="Times New Roman" w:hAnsi="Times New Roman" w:cs="Monotype Hadassah"/>
          <w:sz w:val="24"/>
          <w:szCs w:val="20"/>
        </w:rPr>
        <w:t xml:space="preserve"> More generally,</w:t>
      </w:r>
      <w:r w:rsidR="009B0CBB">
        <w:rPr>
          <w:rFonts w:ascii="Times New Roman" w:eastAsia="Times New Roman" w:hAnsi="Times New Roman" w:cs="Monotype Hadassah"/>
          <w:sz w:val="24"/>
          <w:szCs w:val="20"/>
        </w:rPr>
        <w:t xml:space="preserve"> Jeremy</w:t>
      </w:r>
      <w:r w:rsidRPr="00300B58">
        <w:rPr>
          <w:rFonts w:ascii="Times New Roman" w:eastAsia="Times New Roman" w:hAnsi="Times New Roman" w:cs="Monotype Hadassah"/>
          <w:sz w:val="24"/>
          <w:szCs w:val="20"/>
        </w:rPr>
        <w:t xml:space="preserve"> Waldron’s assumption that the normal outcome of the political process </w:t>
      </w:r>
      <w:r w:rsidR="00DF3117">
        <w:rPr>
          <w:rFonts w:ascii="Times New Roman" w:eastAsia="Times New Roman" w:hAnsi="Times New Roman" w:cs="Monotype Hadassah"/>
          <w:sz w:val="24"/>
          <w:szCs w:val="20"/>
        </w:rPr>
        <w:t>is</w:t>
      </w:r>
      <w:r w:rsidRPr="00300B58">
        <w:rPr>
          <w:rFonts w:ascii="Times New Roman" w:eastAsia="Times New Roman" w:hAnsi="Times New Roman" w:cs="Monotype Hadassah"/>
          <w:sz w:val="24"/>
          <w:szCs w:val="20"/>
        </w:rPr>
        <w:t xml:space="preserve"> decisions that are being made by those who have ‘</w:t>
      </w:r>
      <w:r w:rsidRPr="00300B58">
        <w:rPr>
          <w:rFonts w:ascii="Times New Roman" w:eastAsia="Times New Roman" w:hAnsi="Times New Roman" w:cs="Monotype Hadassah"/>
          <w:sz w:val="24"/>
          <w:szCs w:val="20"/>
          <w:lang w:val="en-US"/>
        </w:rPr>
        <w:t xml:space="preserve">good faith and relatively impartial opinion’ is simply indefensible, especially in cases of </w:t>
      </w:r>
      <w:r w:rsidR="00E27C3E">
        <w:rPr>
          <w:rFonts w:ascii="Times New Roman" w:eastAsia="Times New Roman" w:hAnsi="Times New Roman" w:cs="Monotype Hadassah"/>
          <w:sz w:val="24"/>
          <w:szCs w:val="20"/>
          <w:lang w:val="en-US"/>
        </w:rPr>
        <w:t xml:space="preserve">tolerating </w:t>
      </w:r>
      <w:r w:rsidRPr="00300B58">
        <w:rPr>
          <w:rFonts w:ascii="Times New Roman" w:eastAsia="Times New Roman" w:hAnsi="Times New Roman" w:cs="Monotype Hadassah"/>
          <w:sz w:val="24"/>
          <w:szCs w:val="20"/>
          <w:lang w:val="en-US"/>
        </w:rPr>
        <w:t>conscientious objections.</w:t>
      </w:r>
      <w:r w:rsidRPr="00300B58">
        <w:rPr>
          <w:rFonts w:ascii="Times New Roman" w:eastAsia="Times New Roman" w:hAnsi="Times New Roman" w:cs="Monotype Hadassah"/>
          <w:sz w:val="24"/>
          <w:szCs w:val="20"/>
          <w:vertAlign w:val="superscript"/>
          <w:lang w:val="en-US"/>
        </w:rPr>
        <w:footnoteReference w:id="41"/>
      </w:r>
      <w:r w:rsidRPr="00300B58">
        <w:rPr>
          <w:rFonts w:ascii="Times New Roman" w:eastAsia="Times New Roman" w:hAnsi="Times New Roman" w:cs="Monotype Hadassah"/>
          <w:sz w:val="24"/>
          <w:szCs w:val="20"/>
          <w:lang w:val="en-US"/>
        </w:rPr>
        <w:t xml:space="preserve"> </w:t>
      </w:r>
      <w:r w:rsidRPr="00300B58">
        <w:rPr>
          <w:rFonts w:ascii="Times New Roman" w:eastAsia="Times New Roman" w:hAnsi="Times New Roman" w:cs="Monotype Hadassah"/>
          <w:sz w:val="24"/>
          <w:szCs w:val="20"/>
        </w:rPr>
        <w:t xml:space="preserve">The political majority will normally grant exemptions to relatively powerful minorities or to those who do not pose a symbolic or actual threat to the majority’s values or simply to those who have gained the majority’s empathy. </w:t>
      </w:r>
      <w:r w:rsidR="00103871">
        <w:rPr>
          <w:rFonts w:ascii="Times New Roman" w:eastAsia="Times New Roman" w:hAnsi="Times New Roman" w:cs="Monotype Hadassah"/>
          <w:sz w:val="24"/>
          <w:szCs w:val="20"/>
        </w:rPr>
        <w:t>Laycock put it nicely when he said that ‘j</w:t>
      </w:r>
      <w:r w:rsidR="00103871" w:rsidRPr="00103871">
        <w:rPr>
          <w:rFonts w:ascii="Times New Roman" w:eastAsia="Times New Roman" w:hAnsi="Times New Roman" w:cs="Monotype Hadassah"/>
          <w:sz w:val="24"/>
          <w:szCs w:val="20"/>
        </w:rPr>
        <w:t xml:space="preserve">udges </w:t>
      </w:r>
      <w:r w:rsidR="00103871" w:rsidRPr="00103871">
        <w:rPr>
          <w:rFonts w:ascii="Times New Roman" w:eastAsia="Times New Roman" w:hAnsi="Times New Roman" w:cs="Monotype Hadassah"/>
          <w:i/>
          <w:iCs/>
          <w:sz w:val="24"/>
          <w:szCs w:val="20"/>
        </w:rPr>
        <w:t xml:space="preserve">sometimes </w:t>
      </w:r>
      <w:r w:rsidR="00103871" w:rsidRPr="00103871">
        <w:rPr>
          <w:rFonts w:ascii="Times New Roman" w:eastAsia="Times New Roman" w:hAnsi="Times New Roman" w:cs="Monotype Hadassah"/>
          <w:sz w:val="24"/>
          <w:szCs w:val="20"/>
        </w:rPr>
        <w:t>are willing to protect unpopular minorities, but legislators are hardly ever willing</w:t>
      </w:r>
      <w:r w:rsidR="00DF3117">
        <w:rPr>
          <w:rFonts w:ascii="Times New Roman" w:eastAsia="Times New Roman" w:hAnsi="Times New Roman" w:cs="Monotype Hadassah"/>
          <w:sz w:val="24"/>
          <w:szCs w:val="20"/>
        </w:rPr>
        <w:t xml:space="preserve"> – not </w:t>
      </w:r>
      <w:r w:rsidR="00103871" w:rsidRPr="00103871">
        <w:rPr>
          <w:rFonts w:ascii="Times New Roman" w:eastAsia="Times New Roman" w:hAnsi="Times New Roman" w:cs="Monotype Hadassah"/>
          <w:sz w:val="24"/>
          <w:szCs w:val="20"/>
        </w:rPr>
        <w:t>if the legislature has to legislate specifically about the unpopular minority and its religious practices</w:t>
      </w:r>
      <w:r w:rsidR="00103871">
        <w:rPr>
          <w:rFonts w:ascii="Times New Roman" w:eastAsia="Times New Roman" w:hAnsi="Times New Roman" w:cs="Monotype Hadassah"/>
          <w:sz w:val="24"/>
          <w:szCs w:val="20"/>
        </w:rPr>
        <w:t>’</w:t>
      </w:r>
      <w:r w:rsidR="00103871" w:rsidRPr="00103871">
        <w:rPr>
          <w:rFonts w:ascii="Times New Roman" w:eastAsia="Times New Roman" w:hAnsi="Times New Roman" w:cs="Monotype Hadassah"/>
          <w:sz w:val="24"/>
          <w:szCs w:val="20"/>
        </w:rPr>
        <w:t>.</w:t>
      </w:r>
      <w:r w:rsidR="00103871">
        <w:rPr>
          <w:rStyle w:val="a5"/>
          <w:rFonts w:ascii="Times New Roman" w:eastAsia="Times New Roman" w:hAnsi="Times New Roman" w:cs="Monotype Hadassah"/>
          <w:sz w:val="24"/>
          <w:szCs w:val="20"/>
        </w:rPr>
        <w:footnoteReference w:id="42"/>
      </w:r>
    </w:p>
    <w:p w:rsidR="00300B58" w:rsidRPr="00300B58" w:rsidRDefault="00300B58" w:rsidP="00DF3117">
      <w:pPr>
        <w:spacing w:after="0" w:line="480" w:lineRule="auto"/>
        <w:jc w:val="both"/>
        <w:rPr>
          <w:rFonts w:ascii="Times New Roman" w:eastAsia="Times New Roman" w:hAnsi="Times New Roman" w:cs="Monotype Hadassah"/>
          <w:sz w:val="24"/>
          <w:szCs w:val="20"/>
        </w:rPr>
      </w:pPr>
      <w:r w:rsidRPr="00300B58">
        <w:rPr>
          <w:rFonts w:ascii="Times New Roman" w:eastAsia="Times New Roman" w:hAnsi="Times New Roman" w:cs="Monotype Hadassah"/>
          <w:sz w:val="24"/>
          <w:szCs w:val="20"/>
        </w:rPr>
        <w:t>The political majority is likely to adopt an attitude of tolerance due to pragmatic reasons rather than regarding tolerance as a right. That may lead to unjustifiable intolerance towards powerless minorities, as well as</w:t>
      </w:r>
      <w:r w:rsidR="00DF3117">
        <w:rPr>
          <w:rFonts w:ascii="Times New Roman" w:eastAsia="Times New Roman" w:hAnsi="Times New Roman" w:cs="Monotype Hadassah"/>
          <w:sz w:val="24"/>
          <w:szCs w:val="20"/>
        </w:rPr>
        <w:t xml:space="preserve"> to unjustifiable tolerance </w:t>
      </w:r>
      <w:r w:rsidRPr="00300B58">
        <w:rPr>
          <w:rFonts w:ascii="Times New Roman" w:eastAsia="Times New Roman" w:hAnsi="Times New Roman" w:cs="Monotype Hadassah"/>
          <w:sz w:val="24"/>
          <w:szCs w:val="20"/>
        </w:rPr>
        <w:t xml:space="preserve">towards powerful or favourite minorities. An independent court in a constitutional democracy is more likely to tolerate powerless minorities and </w:t>
      </w:r>
      <w:r w:rsidR="009B0CBB">
        <w:rPr>
          <w:rFonts w:ascii="Times New Roman" w:eastAsia="Times New Roman" w:hAnsi="Times New Roman" w:cs="Monotype Hadassah"/>
          <w:sz w:val="24"/>
          <w:szCs w:val="20"/>
        </w:rPr>
        <w:t>not to</w:t>
      </w:r>
      <w:r w:rsidRPr="00300B58">
        <w:rPr>
          <w:rFonts w:ascii="Times New Roman" w:eastAsia="Times New Roman" w:hAnsi="Times New Roman" w:cs="Monotype Hadassah"/>
          <w:sz w:val="24"/>
          <w:szCs w:val="20"/>
        </w:rPr>
        <w:t xml:space="preserve"> tolerate intolerant powerful ones</w:t>
      </w:r>
      <w:r w:rsidR="00DF3117">
        <w:rPr>
          <w:rFonts w:ascii="Times New Roman" w:eastAsia="Times New Roman" w:hAnsi="Times New Roman" w:cs="Monotype Hadassah"/>
          <w:sz w:val="24"/>
          <w:szCs w:val="20"/>
        </w:rPr>
        <w:t xml:space="preserve"> in the right cases</w:t>
      </w:r>
      <w:r w:rsidRPr="00300B58">
        <w:rPr>
          <w:rFonts w:ascii="Times New Roman" w:eastAsia="Times New Roman" w:hAnsi="Times New Roman" w:cs="Monotype Hadassah"/>
          <w:sz w:val="24"/>
          <w:szCs w:val="20"/>
        </w:rPr>
        <w:t xml:space="preserve">. </w:t>
      </w:r>
    </w:p>
    <w:p w:rsidR="00300B58" w:rsidRPr="00300B58" w:rsidRDefault="00300B58" w:rsidP="00C50AA4">
      <w:pPr>
        <w:spacing w:after="0" w:line="480" w:lineRule="auto"/>
        <w:jc w:val="both"/>
        <w:rPr>
          <w:rFonts w:ascii="Times New Roman" w:eastAsia="Times New Roman" w:hAnsi="Times New Roman" w:cs="Monotype Hadassah"/>
          <w:sz w:val="24"/>
          <w:szCs w:val="20"/>
        </w:rPr>
      </w:pPr>
      <w:r w:rsidRPr="00300B58">
        <w:rPr>
          <w:rFonts w:ascii="Times New Roman" w:eastAsia="Times New Roman" w:hAnsi="Times New Roman" w:cs="Monotype Hadassah"/>
          <w:sz w:val="24"/>
          <w:szCs w:val="20"/>
        </w:rPr>
        <w:t xml:space="preserve">More specifically, the common law model </w:t>
      </w:r>
      <w:r w:rsidR="009B0CBB">
        <w:rPr>
          <w:rFonts w:ascii="Times New Roman" w:eastAsia="Times New Roman" w:hAnsi="Times New Roman" w:cs="Monotype Hadassah"/>
          <w:sz w:val="24"/>
          <w:szCs w:val="20"/>
        </w:rPr>
        <w:t xml:space="preserve">allows </w:t>
      </w:r>
      <w:r w:rsidRPr="00300B58">
        <w:rPr>
          <w:rFonts w:ascii="Times New Roman" w:eastAsia="Times New Roman" w:hAnsi="Times New Roman" w:cs="Monotype Hadassah"/>
          <w:sz w:val="24"/>
          <w:szCs w:val="20"/>
        </w:rPr>
        <w:t xml:space="preserve">an easy legislative response to the judicial decision with no constitutional restraint whatsoever. It is likely that this response will take one of the two following forms: firstly, cancelling justified </w:t>
      </w:r>
      <w:r w:rsidRPr="00300B58">
        <w:rPr>
          <w:rFonts w:ascii="Times New Roman" w:eastAsia="Times New Roman" w:hAnsi="Times New Roman" w:cs="Monotype Hadassah"/>
          <w:sz w:val="24"/>
          <w:szCs w:val="20"/>
        </w:rPr>
        <w:lastRenderedPageBreak/>
        <w:t>exemptions that were granted by the court to powerless or non-popular minorities (or individuals who hold unpopular values), and, secondly, granting unjustified exemptions to powerful or popular minorities after a judicial refusal to do</w:t>
      </w:r>
      <w:r w:rsidR="009D753B">
        <w:rPr>
          <w:rFonts w:ascii="Times New Roman" w:eastAsia="Times New Roman" w:hAnsi="Times New Roman" w:cs="Monotype Hadassah"/>
          <w:sz w:val="24"/>
          <w:szCs w:val="20"/>
        </w:rPr>
        <w:t xml:space="preserve"> so</w:t>
      </w:r>
      <w:r w:rsidRPr="00300B58">
        <w:rPr>
          <w:rFonts w:ascii="Times New Roman" w:eastAsia="Times New Roman" w:hAnsi="Times New Roman" w:cs="Monotype Hadassah"/>
          <w:sz w:val="24"/>
          <w:szCs w:val="20"/>
        </w:rPr>
        <w:t xml:space="preserve">. </w:t>
      </w:r>
    </w:p>
    <w:p w:rsidR="00300B58" w:rsidRPr="00300B58" w:rsidRDefault="00300B58" w:rsidP="008A319B">
      <w:pPr>
        <w:spacing w:after="0" w:line="480" w:lineRule="auto"/>
        <w:jc w:val="both"/>
        <w:rPr>
          <w:rFonts w:ascii="Times New Roman" w:eastAsia="Times New Roman" w:hAnsi="Times New Roman" w:cs="Monotype Hadassah"/>
          <w:sz w:val="24"/>
          <w:szCs w:val="20"/>
        </w:rPr>
      </w:pPr>
      <w:r w:rsidRPr="00300B58">
        <w:rPr>
          <w:rFonts w:ascii="Times New Roman" w:eastAsia="Times New Roman" w:hAnsi="Times New Roman" w:cs="Monotype Hadassah"/>
          <w:sz w:val="24"/>
          <w:szCs w:val="20"/>
        </w:rPr>
        <w:t xml:space="preserve">The third reason for rejecting the common law model is the nature of statutory exemptions vis-à-vis the nature of constitutional ones. </w:t>
      </w:r>
      <w:r w:rsidR="008916A1">
        <w:rPr>
          <w:rFonts w:ascii="Times New Roman" w:eastAsia="Times New Roman" w:hAnsi="Times New Roman" w:cs="Monotype Hadassah"/>
          <w:sz w:val="24"/>
          <w:szCs w:val="20"/>
        </w:rPr>
        <w:t>A</w:t>
      </w:r>
      <w:r w:rsidRPr="00300B58">
        <w:rPr>
          <w:rFonts w:ascii="Times New Roman" w:eastAsia="Times New Roman" w:hAnsi="Times New Roman" w:cs="Monotype Hadassah"/>
          <w:sz w:val="24"/>
          <w:szCs w:val="20"/>
        </w:rPr>
        <w:t xml:space="preserve">ccording to the common law model, whenever the court grants or refuses to grant conscientious exemption the legislature can reply by enacting an overriding statute. The statutory reply is bound to be relatively specific. As such, it should be suspected of favouritism towards specific groups or </w:t>
      </w:r>
      <w:r w:rsidR="008A319B">
        <w:rPr>
          <w:rFonts w:ascii="Times New Roman" w:eastAsia="Times New Roman" w:hAnsi="Times New Roman" w:cs="Monotype Hadassah"/>
          <w:sz w:val="24"/>
          <w:szCs w:val="20"/>
        </w:rPr>
        <w:t xml:space="preserve">of </w:t>
      </w:r>
      <w:r w:rsidRPr="00300B58">
        <w:rPr>
          <w:rFonts w:ascii="Times New Roman" w:eastAsia="Times New Roman" w:hAnsi="Times New Roman" w:cs="Monotype Hadassah"/>
          <w:sz w:val="24"/>
          <w:szCs w:val="20"/>
        </w:rPr>
        <w:t xml:space="preserve">discrimination </w:t>
      </w:r>
      <w:r w:rsidR="008A319B">
        <w:rPr>
          <w:rFonts w:ascii="Times New Roman" w:eastAsia="Times New Roman" w:hAnsi="Times New Roman" w:cs="Monotype Hadassah"/>
          <w:sz w:val="24"/>
          <w:szCs w:val="20"/>
        </w:rPr>
        <w:t>against</w:t>
      </w:r>
      <w:r w:rsidRPr="00300B58">
        <w:rPr>
          <w:rFonts w:ascii="Times New Roman" w:eastAsia="Times New Roman" w:hAnsi="Times New Roman" w:cs="Monotype Hadassah"/>
          <w:sz w:val="24"/>
          <w:szCs w:val="20"/>
        </w:rPr>
        <w:t xml:space="preserve"> others. A constitutional right, however, is, by its nature, a general one. Applying this right by the court </w:t>
      </w:r>
      <w:r w:rsidR="008A319B">
        <w:rPr>
          <w:rFonts w:ascii="Times New Roman" w:eastAsia="Times New Roman" w:hAnsi="Times New Roman" w:cs="Monotype Hadassah"/>
          <w:sz w:val="24"/>
          <w:szCs w:val="20"/>
        </w:rPr>
        <w:t>normally does not raise similar difficulties</w:t>
      </w:r>
      <w:r w:rsidRPr="00300B58">
        <w:rPr>
          <w:rFonts w:ascii="Times New Roman" w:eastAsia="Times New Roman" w:hAnsi="Times New Roman" w:cs="Monotype Hadassah"/>
          <w:sz w:val="24"/>
          <w:szCs w:val="20"/>
        </w:rPr>
        <w:t>. Naturally, this argument should be read in line with</w:t>
      </w:r>
      <w:r w:rsidR="008A319B">
        <w:rPr>
          <w:rFonts w:ascii="Times New Roman" w:eastAsia="Times New Roman" w:hAnsi="Times New Roman" w:cs="Monotype Hadassah"/>
          <w:sz w:val="24"/>
          <w:szCs w:val="20"/>
        </w:rPr>
        <w:t xml:space="preserve"> a more </w:t>
      </w:r>
      <w:r w:rsidRPr="00300B58">
        <w:rPr>
          <w:rFonts w:ascii="Times New Roman" w:eastAsia="Times New Roman" w:hAnsi="Times New Roman" w:cs="Monotype Hadassah"/>
          <w:sz w:val="24"/>
          <w:szCs w:val="20"/>
        </w:rPr>
        <w:t xml:space="preserve">general approach that, overall, prefers judicial supremacy in interpreting a Constitution over legislative supremacy within the regular legislative process, </w:t>
      </w:r>
      <w:r w:rsidR="008A319B">
        <w:rPr>
          <w:rFonts w:ascii="Times New Roman" w:eastAsia="Times New Roman" w:hAnsi="Times New Roman" w:cs="Monotype Hadassah"/>
          <w:sz w:val="24"/>
          <w:szCs w:val="20"/>
        </w:rPr>
        <w:t xml:space="preserve">and </w:t>
      </w:r>
      <w:r w:rsidRPr="00300B58">
        <w:rPr>
          <w:rFonts w:ascii="Times New Roman" w:eastAsia="Times New Roman" w:hAnsi="Times New Roman" w:cs="Monotype Hadassah"/>
          <w:sz w:val="24"/>
          <w:szCs w:val="20"/>
        </w:rPr>
        <w:t xml:space="preserve">certainly within the context of granting conscientious exemption.   </w:t>
      </w:r>
    </w:p>
    <w:p w:rsidR="00300B58" w:rsidRPr="00300B58" w:rsidRDefault="00300B58" w:rsidP="008A319B">
      <w:pPr>
        <w:spacing w:after="0" w:line="480" w:lineRule="auto"/>
        <w:jc w:val="both"/>
        <w:rPr>
          <w:rFonts w:ascii="Times New Roman" w:eastAsia="Times New Roman" w:hAnsi="Times New Roman" w:cs="Monotype Hadassah"/>
          <w:sz w:val="24"/>
          <w:szCs w:val="20"/>
        </w:rPr>
      </w:pPr>
      <w:r w:rsidRPr="00300B58">
        <w:rPr>
          <w:rFonts w:ascii="Times New Roman" w:eastAsia="Times New Roman" w:hAnsi="Times New Roman" w:cs="Monotype Hadassah"/>
          <w:sz w:val="24"/>
          <w:szCs w:val="20"/>
        </w:rPr>
        <w:t xml:space="preserve">A fourth reason for rejecting Volokh’s view of favouring legislative dominance over a judicial one is </w:t>
      </w:r>
      <w:r w:rsidR="008A319B">
        <w:rPr>
          <w:rFonts w:ascii="Times New Roman" w:eastAsia="Times New Roman" w:hAnsi="Times New Roman" w:cs="Monotype Hadassah"/>
          <w:sz w:val="24"/>
          <w:szCs w:val="20"/>
        </w:rPr>
        <w:t>the</w:t>
      </w:r>
      <w:r w:rsidRPr="00300B58">
        <w:rPr>
          <w:rFonts w:ascii="Times New Roman" w:eastAsia="Times New Roman" w:hAnsi="Times New Roman" w:cs="Monotype Hadassah"/>
          <w:sz w:val="24"/>
          <w:szCs w:val="20"/>
        </w:rPr>
        <w:t xml:space="preserve"> misguided connection</w:t>
      </w:r>
      <w:r w:rsidR="00493A18">
        <w:rPr>
          <w:rFonts w:ascii="Times New Roman" w:eastAsia="Times New Roman" w:hAnsi="Times New Roman" w:cs="Monotype Hadassah"/>
          <w:sz w:val="24"/>
          <w:szCs w:val="20"/>
        </w:rPr>
        <w:t xml:space="preserve"> made by Volokh</w:t>
      </w:r>
      <w:r w:rsidRPr="00300B58">
        <w:rPr>
          <w:rFonts w:ascii="Times New Roman" w:eastAsia="Times New Roman" w:hAnsi="Times New Roman" w:cs="Monotype Hadassah"/>
          <w:sz w:val="24"/>
          <w:szCs w:val="20"/>
        </w:rPr>
        <w:t xml:space="preserve"> between the existence of harm and the superiority of the political process. Volokh’s argument is as follows:</w:t>
      </w:r>
    </w:p>
    <w:p w:rsidR="00300B58" w:rsidRPr="00300B58" w:rsidRDefault="00300B58" w:rsidP="00C16523">
      <w:pPr>
        <w:spacing w:after="0" w:line="240" w:lineRule="auto"/>
        <w:ind w:left="567" w:right="567"/>
        <w:jc w:val="both"/>
        <w:rPr>
          <w:rFonts w:ascii="Times New Roman" w:eastAsia="Times New Roman" w:hAnsi="Times New Roman" w:cs="Monotype Hadassah"/>
          <w:sz w:val="24"/>
          <w:szCs w:val="24"/>
        </w:rPr>
      </w:pPr>
      <w:r w:rsidRPr="00300B58">
        <w:rPr>
          <w:rFonts w:ascii="Times New Roman" w:eastAsia="Times New Roman" w:hAnsi="Times New Roman" w:cs="Monotype Hadassah"/>
          <w:sz w:val="24"/>
          <w:szCs w:val="24"/>
        </w:rPr>
        <w:t>Hostility to a particular practice, which is usually justified by the belief (right or wrong) that the practice causes harm, is a presumptively proper basis for legislative action</w:t>
      </w:r>
      <w:r w:rsidR="009D753B">
        <w:rPr>
          <w:rFonts w:ascii="Times New Roman" w:eastAsia="Times New Roman" w:hAnsi="Times New Roman" w:cs="Monotype Hadassah"/>
          <w:sz w:val="24"/>
          <w:szCs w:val="24"/>
        </w:rPr>
        <w:t xml:space="preserve"> </w:t>
      </w:r>
      <w:r w:rsidRPr="00300B58">
        <w:rPr>
          <w:rFonts w:ascii="Times New Roman" w:eastAsia="Times New Roman" w:hAnsi="Times New Roman" w:cs="Monotype Hadassah"/>
          <w:sz w:val="24"/>
          <w:szCs w:val="24"/>
        </w:rPr>
        <w:t>… so long as there is no objective standard by which court</w:t>
      </w:r>
      <w:r w:rsidR="009D753B">
        <w:rPr>
          <w:rFonts w:ascii="Times New Roman" w:eastAsia="Times New Roman" w:hAnsi="Times New Roman" w:cs="Monotype Hadassah"/>
          <w:sz w:val="24"/>
          <w:szCs w:val="24"/>
        </w:rPr>
        <w:t>s</w:t>
      </w:r>
      <w:r w:rsidRPr="00300B58">
        <w:rPr>
          <w:rFonts w:ascii="Times New Roman" w:eastAsia="Times New Roman" w:hAnsi="Times New Roman" w:cs="Monotype Hadassah"/>
          <w:sz w:val="24"/>
          <w:szCs w:val="24"/>
        </w:rPr>
        <w:t xml:space="preserve"> can determine whether or not the legislature erred, judges ought not</w:t>
      </w:r>
      <w:r w:rsidR="009D753B">
        <w:rPr>
          <w:rFonts w:ascii="Times New Roman" w:eastAsia="Times New Roman" w:hAnsi="Times New Roman" w:cs="Monotype Hadassah"/>
          <w:sz w:val="24"/>
          <w:szCs w:val="24"/>
        </w:rPr>
        <w:t xml:space="preserve"> </w:t>
      </w:r>
      <w:r w:rsidRPr="00300B58">
        <w:rPr>
          <w:rFonts w:ascii="Times New Roman" w:eastAsia="Times New Roman" w:hAnsi="Times New Roman" w:cs="Monotype Hadassah"/>
          <w:sz w:val="24"/>
          <w:szCs w:val="24"/>
        </w:rPr>
        <w:t>… replace legislative definitions of harm with their own</w:t>
      </w:r>
      <w:r w:rsidR="009D753B">
        <w:rPr>
          <w:rFonts w:ascii="Times New Roman" w:eastAsia="Times New Roman" w:hAnsi="Times New Roman" w:cs="Monotype Hadassah"/>
          <w:sz w:val="24"/>
          <w:szCs w:val="24"/>
        </w:rPr>
        <w:t xml:space="preserve"> </w:t>
      </w:r>
      <w:r w:rsidRPr="00300B58">
        <w:rPr>
          <w:rFonts w:ascii="Times New Roman" w:eastAsia="Times New Roman" w:hAnsi="Times New Roman" w:cs="Monotype Hadassah"/>
          <w:sz w:val="24"/>
          <w:szCs w:val="24"/>
        </w:rPr>
        <w:t>… laws that prohibit certain behavior and therefore rest on a discrimination between what the majority thinks is harmful and what the majority thinks is harmless are the essence of democratic decision making</w:t>
      </w:r>
      <w:r w:rsidR="009D753B">
        <w:rPr>
          <w:rFonts w:ascii="Times New Roman" w:eastAsia="Times New Roman" w:hAnsi="Times New Roman" w:cs="Monotype Hadassah"/>
          <w:sz w:val="24"/>
          <w:szCs w:val="24"/>
        </w:rPr>
        <w:t xml:space="preserve"> </w:t>
      </w:r>
      <w:r w:rsidRPr="00300B58">
        <w:rPr>
          <w:rFonts w:ascii="Times New Roman" w:eastAsia="Times New Roman" w:hAnsi="Times New Roman" w:cs="Monotype Hadassah"/>
          <w:sz w:val="24"/>
          <w:szCs w:val="24"/>
        </w:rPr>
        <w:t>… this sort of burden on minorities is inevitable and generally proper.</w:t>
      </w:r>
      <w:r w:rsidRPr="00300B58">
        <w:rPr>
          <w:rFonts w:ascii="Times New Roman" w:eastAsia="Times New Roman" w:hAnsi="Times New Roman" w:cs="Monotype Hadassah"/>
          <w:sz w:val="24"/>
          <w:szCs w:val="24"/>
          <w:vertAlign w:val="superscript"/>
        </w:rPr>
        <w:footnoteReference w:id="43"/>
      </w:r>
    </w:p>
    <w:p w:rsidR="00300B58" w:rsidRPr="00300B58" w:rsidRDefault="00300B58" w:rsidP="00527B08">
      <w:pPr>
        <w:spacing w:after="0" w:line="240" w:lineRule="auto"/>
        <w:jc w:val="both"/>
        <w:rPr>
          <w:rFonts w:ascii="Times New Roman" w:eastAsia="Times New Roman" w:hAnsi="Times New Roman" w:cs="Monotype Hadassah"/>
          <w:sz w:val="24"/>
          <w:szCs w:val="20"/>
        </w:rPr>
      </w:pPr>
    </w:p>
    <w:p w:rsidR="00300B58" w:rsidRPr="00300B58" w:rsidRDefault="00300B58" w:rsidP="00493A18">
      <w:pPr>
        <w:spacing w:after="0" w:line="480" w:lineRule="auto"/>
        <w:jc w:val="both"/>
        <w:rPr>
          <w:rFonts w:ascii="Times New Roman" w:eastAsia="Times New Roman" w:hAnsi="Times New Roman" w:cs="Monotype Hadassah"/>
          <w:sz w:val="24"/>
          <w:szCs w:val="20"/>
        </w:rPr>
      </w:pPr>
      <w:r w:rsidRPr="00300B58">
        <w:rPr>
          <w:rFonts w:ascii="Times New Roman" w:eastAsia="Times New Roman" w:hAnsi="Times New Roman" w:cs="Monotype Hadassah"/>
          <w:sz w:val="24"/>
          <w:szCs w:val="20"/>
        </w:rPr>
        <w:t xml:space="preserve">Indeed, there might be no objective standard for the court, or for anyone for that matter, by which to decide what constitutes harm. The answer to the question </w:t>
      </w:r>
      <w:r w:rsidR="00493A18">
        <w:rPr>
          <w:rFonts w:ascii="Times New Roman" w:eastAsia="Times New Roman" w:hAnsi="Times New Roman" w:cs="Monotype Hadassah"/>
          <w:sz w:val="24"/>
          <w:szCs w:val="20"/>
        </w:rPr>
        <w:t xml:space="preserve">of </w:t>
      </w:r>
      <w:r w:rsidRPr="00300B58">
        <w:rPr>
          <w:rFonts w:ascii="Times New Roman" w:eastAsia="Times New Roman" w:hAnsi="Times New Roman" w:cs="Monotype Hadassah"/>
          <w:sz w:val="24"/>
          <w:szCs w:val="20"/>
        </w:rPr>
        <w:lastRenderedPageBreak/>
        <w:t xml:space="preserve">whether harm has actually occurred depends on how the term ‘harm’ is defined. The latter may depend on the </w:t>
      </w:r>
      <w:r w:rsidR="00493A18">
        <w:rPr>
          <w:rFonts w:ascii="Times New Roman" w:eastAsia="Times New Roman" w:hAnsi="Times New Roman" w:cs="Monotype Hadassah"/>
          <w:sz w:val="24"/>
          <w:szCs w:val="20"/>
        </w:rPr>
        <w:t xml:space="preserve">political or moral theory </w:t>
      </w:r>
      <w:r w:rsidRPr="00300B58">
        <w:rPr>
          <w:rFonts w:ascii="Times New Roman" w:eastAsia="Times New Roman" w:hAnsi="Times New Roman" w:cs="Monotype Hadassah"/>
          <w:sz w:val="24"/>
          <w:szCs w:val="20"/>
        </w:rPr>
        <w:t xml:space="preserve">one holds. More importantly, the question of whether it is justifiable to cause harm or to prevent it always depends on the kind of values one holds. Having said that, </w:t>
      </w:r>
      <w:r w:rsidR="00493A18">
        <w:rPr>
          <w:rFonts w:ascii="Times New Roman" w:eastAsia="Times New Roman" w:hAnsi="Times New Roman" w:cs="Monotype Hadassah"/>
          <w:sz w:val="24"/>
          <w:szCs w:val="20"/>
        </w:rPr>
        <w:t xml:space="preserve">it is not clear why it provides </w:t>
      </w:r>
      <w:r w:rsidRPr="00300B58">
        <w:rPr>
          <w:rFonts w:ascii="Times New Roman" w:eastAsia="Times New Roman" w:hAnsi="Times New Roman" w:cs="Monotype Hadassah"/>
          <w:sz w:val="24"/>
          <w:szCs w:val="20"/>
        </w:rPr>
        <w:t xml:space="preserve">a reason for leaving the final decisions in these matters in the hand of the political majority. </w:t>
      </w:r>
    </w:p>
    <w:p w:rsidR="00300B58" w:rsidRPr="00300B58" w:rsidRDefault="00300B58" w:rsidP="00DF3117">
      <w:pPr>
        <w:spacing w:after="0" w:line="480" w:lineRule="auto"/>
        <w:jc w:val="both"/>
        <w:rPr>
          <w:rFonts w:ascii="Times New Roman" w:eastAsia="Times New Roman" w:hAnsi="Times New Roman" w:cs="Monotype Hadassah"/>
          <w:sz w:val="24"/>
          <w:szCs w:val="20"/>
        </w:rPr>
      </w:pPr>
      <w:r w:rsidRPr="00300B58">
        <w:rPr>
          <w:rFonts w:ascii="Times New Roman" w:eastAsia="Times New Roman" w:hAnsi="Times New Roman" w:cs="Monotype Hadassah"/>
          <w:sz w:val="24"/>
          <w:szCs w:val="20"/>
        </w:rPr>
        <w:t xml:space="preserve">Volokh’s view that the court should not replace the legislature’s perception of harm or the legislative view regarding when harm should be prevented could easily be part of a more general view, according to which there should not be any constitutional rights whatsoever. However, Volokh is not arguing against constitutional rights in general but only against the constitutional exemption model. </w:t>
      </w:r>
      <w:r w:rsidR="00C50AA4">
        <w:rPr>
          <w:rFonts w:ascii="Times New Roman" w:eastAsia="Times New Roman" w:hAnsi="Times New Roman" w:cs="Monotype Hadassah"/>
          <w:sz w:val="24"/>
          <w:szCs w:val="20"/>
        </w:rPr>
        <w:t>He</w:t>
      </w:r>
      <w:r w:rsidRPr="00300B58">
        <w:rPr>
          <w:rFonts w:ascii="Times New Roman" w:eastAsia="Times New Roman" w:hAnsi="Times New Roman" w:cs="Monotype Hadassah"/>
          <w:sz w:val="24"/>
          <w:szCs w:val="20"/>
        </w:rPr>
        <w:t xml:space="preserve"> does not explain what is special about the right to be a conscientious objector</w:t>
      </w:r>
      <w:r w:rsidR="00A83BD1">
        <w:rPr>
          <w:rFonts w:ascii="Times New Roman" w:eastAsia="Times New Roman" w:hAnsi="Times New Roman" w:cs="Monotype Hadassah"/>
          <w:sz w:val="24"/>
          <w:szCs w:val="20"/>
        </w:rPr>
        <w:t xml:space="preserve"> (within the context of defining what harm is) </w:t>
      </w:r>
      <w:r w:rsidRPr="00300B58">
        <w:rPr>
          <w:rFonts w:ascii="Times New Roman" w:eastAsia="Times New Roman" w:hAnsi="Times New Roman" w:cs="Monotype Hadassah"/>
          <w:sz w:val="24"/>
          <w:szCs w:val="20"/>
        </w:rPr>
        <w:t>that justifies applying the common law model rather than the constitutional one</w:t>
      </w:r>
      <w:r w:rsidR="00A83BD1">
        <w:rPr>
          <w:rFonts w:ascii="Times New Roman" w:eastAsia="Times New Roman" w:hAnsi="Times New Roman" w:cs="Monotype Hadassah"/>
          <w:sz w:val="24"/>
          <w:szCs w:val="20"/>
        </w:rPr>
        <w:t>. I suspect no such explanation exists. L</w:t>
      </w:r>
      <w:r w:rsidRPr="00300B58">
        <w:rPr>
          <w:rFonts w:ascii="Times New Roman" w:eastAsia="Times New Roman" w:hAnsi="Times New Roman" w:cs="Monotype Hadassah"/>
          <w:sz w:val="24"/>
          <w:szCs w:val="20"/>
        </w:rPr>
        <w:t xml:space="preserve">imiting our discussion to the connection between the existence of harm and the desirability of the common law model, it remains unclear why this model, if we follow Volokh’s line of argument, should not be applied regarding other rights, e.g. freedom of </w:t>
      </w:r>
      <w:r w:rsidR="00A83BD1">
        <w:rPr>
          <w:rFonts w:ascii="Times New Roman" w:eastAsia="Times New Roman" w:hAnsi="Times New Roman" w:cs="Monotype Hadassah"/>
          <w:sz w:val="24"/>
          <w:szCs w:val="20"/>
        </w:rPr>
        <w:t>expression</w:t>
      </w:r>
      <w:r w:rsidRPr="00300B58">
        <w:rPr>
          <w:rFonts w:ascii="Times New Roman" w:eastAsia="Times New Roman" w:hAnsi="Times New Roman" w:cs="Monotype Hadassah"/>
          <w:sz w:val="24"/>
          <w:szCs w:val="20"/>
        </w:rPr>
        <w:t>, equality, privacy and so on. All constitutional rights engage in one way or another with the</w:t>
      </w:r>
      <w:r w:rsidR="00A83BD1">
        <w:rPr>
          <w:rFonts w:ascii="Times New Roman" w:eastAsia="Times New Roman" w:hAnsi="Times New Roman" w:cs="Monotype Hadassah"/>
          <w:sz w:val="24"/>
          <w:szCs w:val="20"/>
        </w:rPr>
        <w:t xml:space="preserve"> harm principle</w:t>
      </w:r>
      <w:r w:rsidR="00D7602F">
        <w:rPr>
          <w:rFonts w:ascii="Times New Roman" w:eastAsia="Times New Roman" w:hAnsi="Times New Roman" w:cs="Monotype Hadassah"/>
          <w:sz w:val="24"/>
          <w:szCs w:val="20"/>
        </w:rPr>
        <w:t>,</w:t>
      </w:r>
      <w:r w:rsidR="00A83BD1">
        <w:rPr>
          <w:rFonts w:ascii="Times New Roman" w:eastAsia="Times New Roman" w:hAnsi="Times New Roman" w:cs="Monotype Hadassah"/>
          <w:sz w:val="24"/>
          <w:szCs w:val="20"/>
        </w:rPr>
        <w:t xml:space="preserve"> which requires us to decide the</w:t>
      </w:r>
      <w:r w:rsidRPr="00300B58">
        <w:rPr>
          <w:rFonts w:ascii="Times New Roman" w:eastAsia="Times New Roman" w:hAnsi="Times New Roman" w:cs="Monotype Hadassah"/>
          <w:sz w:val="24"/>
          <w:szCs w:val="20"/>
        </w:rPr>
        <w:t xml:space="preserve"> definition of </w:t>
      </w:r>
      <w:r w:rsidR="00A83BD1">
        <w:rPr>
          <w:rFonts w:ascii="Times New Roman" w:eastAsia="Times New Roman" w:hAnsi="Times New Roman" w:cs="Monotype Hadassah"/>
          <w:sz w:val="24"/>
          <w:szCs w:val="20"/>
        </w:rPr>
        <w:t>‘</w:t>
      </w:r>
      <w:r w:rsidRPr="00300B58">
        <w:rPr>
          <w:rFonts w:ascii="Times New Roman" w:eastAsia="Times New Roman" w:hAnsi="Times New Roman" w:cs="Monotype Hadassah"/>
          <w:sz w:val="24"/>
          <w:szCs w:val="20"/>
        </w:rPr>
        <w:t>harm</w:t>
      </w:r>
      <w:r w:rsidR="00A83BD1">
        <w:rPr>
          <w:rFonts w:ascii="Times New Roman" w:eastAsia="Times New Roman" w:hAnsi="Times New Roman" w:cs="Monotype Hadassah"/>
          <w:sz w:val="24"/>
          <w:szCs w:val="20"/>
        </w:rPr>
        <w:t>’</w:t>
      </w:r>
      <w:r w:rsidRPr="00300B58">
        <w:rPr>
          <w:rFonts w:ascii="Times New Roman" w:eastAsia="Times New Roman" w:hAnsi="Times New Roman" w:cs="Monotype Hadassah"/>
          <w:sz w:val="24"/>
          <w:szCs w:val="20"/>
        </w:rPr>
        <w:t xml:space="preserve">, </w:t>
      </w:r>
      <w:r w:rsidR="00A83BD1">
        <w:rPr>
          <w:rFonts w:ascii="Times New Roman" w:eastAsia="Times New Roman" w:hAnsi="Times New Roman" w:cs="Monotype Hadassah"/>
          <w:sz w:val="24"/>
          <w:szCs w:val="20"/>
        </w:rPr>
        <w:t xml:space="preserve">the proper ways to prevent it and the proper ways to respond to its infliction. </w:t>
      </w:r>
      <w:r w:rsidRPr="00300B58">
        <w:rPr>
          <w:rFonts w:ascii="Times New Roman" w:eastAsia="Times New Roman" w:hAnsi="Times New Roman" w:cs="Monotype Hadassah"/>
          <w:sz w:val="24"/>
          <w:szCs w:val="20"/>
        </w:rPr>
        <w:t>Yet, Volokh does not argue that</w:t>
      </w:r>
      <w:r w:rsidRPr="00300B58">
        <w:rPr>
          <w:rFonts w:ascii="Times New Roman" w:eastAsia="Times New Roman" w:hAnsi="Times New Roman" w:cs="Monotype Hadassah"/>
          <w:sz w:val="24"/>
          <w:szCs w:val="24"/>
        </w:rPr>
        <w:t xml:space="preserve"> the majority</w:t>
      </w:r>
      <w:r w:rsidR="00C50AA4">
        <w:rPr>
          <w:rFonts w:ascii="Times New Roman" w:eastAsia="Times New Roman" w:hAnsi="Times New Roman" w:cs="Monotype Hadassah"/>
          <w:sz w:val="24"/>
          <w:szCs w:val="24"/>
        </w:rPr>
        <w:t xml:space="preserve">’s views about </w:t>
      </w:r>
      <w:r w:rsidRPr="00300B58">
        <w:rPr>
          <w:rFonts w:ascii="Times New Roman" w:eastAsia="Times New Roman" w:hAnsi="Times New Roman" w:cs="Monotype Hadassah"/>
          <w:sz w:val="24"/>
          <w:szCs w:val="24"/>
        </w:rPr>
        <w:t xml:space="preserve">the limits of </w:t>
      </w:r>
      <w:r w:rsidR="00C50AA4">
        <w:rPr>
          <w:rFonts w:ascii="Times New Roman" w:eastAsia="Times New Roman" w:hAnsi="Times New Roman" w:cs="Monotype Hadassah"/>
          <w:sz w:val="24"/>
          <w:szCs w:val="24"/>
        </w:rPr>
        <w:t xml:space="preserve">freedom of </w:t>
      </w:r>
      <w:r w:rsidR="00A83BD1">
        <w:rPr>
          <w:rFonts w:ascii="Times New Roman" w:eastAsia="Times New Roman" w:hAnsi="Times New Roman" w:cs="Monotype Hadassah"/>
          <w:sz w:val="24"/>
          <w:szCs w:val="24"/>
        </w:rPr>
        <w:t>expression</w:t>
      </w:r>
      <w:r w:rsidRPr="00300B58">
        <w:rPr>
          <w:rFonts w:ascii="Times New Roman" w:eastAsia="Times New Roman" w:hAnsi="Times New Roman" w:cs="Monotype Hadassah"/>
          <w:sz w:val="24"/>
          <w:szCs w:val="24"/>
        </w:rPr>
        <w:t xml:space="preserve">, privacy and so on </w:t>
      </w:r>
      <w:r w:rsidR="00C50AA4">
        <w:rPr>
          <w:rFonts w:ascii="Times New Roman" w:eastAsia="Times New Roman" w:hAnsi="Times New Roman" w:cs="Monotype Hadassah"/>
          <w:sz w:val="24"/>
          <w:szCs w:val="24"/>
        </w:rPr>
        <w:t>form</w:t>
      </w:r>
      <w:r w:rsidRPr="00300B58">
        <w:rPr>
          <w:rFonts w:ascii="Times New Roman" w:eastAsia="Times New Roman" w:hAnsi="Times New Roman" w:cs="Monotype Hadassah"/>
          <w:sz w:val="24"/>
          <w:szCs w:val="24"/>
        </w:rPr>
        <w:t xml:space="preserve"> the essence of democratic decision-making and that the burden on minorities that results from this democratic process is </w:t>
      </w:r>
      <w:r w:rsidR="00C50AA4">
        <w:rPr>
          <w:rFonts w:ascii="Times New Roman" w:eastAsia="Times New Roman" w:hAnsi="Times New Roman" w:cs="Monotype Hadassah"/>
          <w:sz w:val="24"/>
          <w:szCs w:val="24"/>
        </w:rPr>
        <w:t>‘</w:t>
      </w:r>
      <w:r w:rsidRPr="00300B58">
        <w:rPr>
          <w:rFonts w:ascii="Times New Roman" w:eastAsia="Times New Roman" w:hAnsi="Times New Roman" w:cs="Monotype Hadassah"/>
          <w:sz w:val="24"/>
          <w:szCs w:val="24"/>
        </w:rPr>
        <w:t>inevitable and generally proper</w:t>
      </w:r>
      <w:r w:rsidR="00C50AA4">
        <w:rPr>
          <w:rFonts w:ascii="Times New Roman" w:eastAsia="Times New Roman" w:hAnsi="Times New Roman" w:cs="Monotype Hadassah"/>
          <w:sz w:val="24"/>
          <w:szCs w:val="24"/>
        </w:rPr>
        <w:t>’</w:t>
      </w:r>
      <w:r w:rsidRPr="00300B58">
        <w:rPr>
          <w:rFonts w:ascii="Times New Roman" w:eastAsia="Times New Roman" w:hAnsi="Times New Roman" w:cs="Monotype Hadassah"/>
          <w:sz w:val="24"/>
          <w:szCs w:val="24"/>
        </w:rPr>
        <w:t xml:space="preserve">. </w:t>
      </w:r>
    </w:p>
    <w:p w:rsidR="00300B58" w:rsidRPr="00300B58" w:rsidRDefault="00300B58" w:rsidP="00527B08">
      <w:pPr>
        <w:spacing w:after="0" w:line="480" w:lineRule="auto"/>
        <w:jc w:val="both"/>
        <w:rPr>
          <w:rFonts w:ascii="Times New Roman" w:eastAsia="Times New Roman" w:hAnsi="Times New Roman" w:cs="Monotype Hadassah"/>
          <w:sz w:val="24"/>
          <w:szCs w:val="20"/>
        </w:rPr>
      </w:pPr>
      <w:r w:rsidRPr="00300B58">
        <w:rPr>
          <w:rFonts w:ascii="Times New Roman" w:eastAsia="Times New Roman" w:hAnsi="Times New Roman" w:cs="Monotype Hadassah"/>
          <w:sz w:val="24"/>
          <w:szCs w:val="20"/>
        </w:rPr>
        <w:t xml:space="preserve">A fifth drawback to Volokh’s thesis is his argument that the constitutional exemption model will deter the courts from granting exemptions even in cases where they should </w:t>
      </w:r>
      <w:r w:rsidRPr="00300B58">
        <w:rPr>
          <w:rFonts w:ascii="Times New Roman" w:eastAsia="Times New Roman" w:hAnsi="Times New Roman" w:cs="Monotype Hadassah"/>
          <w:sz w:val="24"/>
          <w:szCs w:val="20"/>
        </w:rPr>
        <w:lastRenderedPageBreak/>
        <w:t>be granted.</w:t>
      </w:r>
      <w:r w:rsidRPr="00300B58">
        <w:rPr>
          <w:rFonts w:ascii="Times New Roman" w:eastAsia="Times New Roman" w:hAnsi="Times New Roman" w:cs="Monotype Hadassah"/>
          <w:sz w:val="24"/>
          <w:szCs w:val="20"/>
          <w:vertAlign w:val="superscript"/>
        </w:rPr>
        <w:footnoteReference w:id="44"/>
      </w:r>
      <w:r w:rsidRPr="00300B58">
        <w:rPr>
          <w:rFonts w:ascii="Times New Roman" w:eastAsia="Times New Roman" w:hAnsi="Times New Roman" w:cs="Monotype Hadassah"/>
          <w:sz w:val="24"/>
          <w:szCs w:val="20"/>
        </w:rPr>
        <w:t xml:space="preserve"> Volokh argues that the courts would prefer to grant exemptions when there is a realistic opportunity for a legislative response than in cases where the court is the final interpreter of the </w:t>
      </w:r>
      <w:r w:rsidR="00D7602F">
        <w:rPr>
          <w:rFonts w:ascii="Times New Roman" w:eastAsia="Times New Roman" w:hAnsi="Times New Roman" w:cs="Monotype Hadassah"/>
          <w:sz w:val="24"/>
          <w:szCs w:val="20"/>
        </w:rPr>
        <w:t>c</w:t>
      </w:r>
      <w:r w:rsidRPr="00300B58">
        <w:rPr>
          <w:rFonts w:ascii="Times New Roman" w:eastAsia="Times New Roman" w:hAnsi="Times New Roman" w:cs="Monotype Hadassah"/>
          <w:sz w:val="24"/>
          <w:szCs w:val="20"/>
        </w:rPr>
        <w:t xml:space="preserve">onstitution. </w:t>
      </w:r>
    </w:p>
    <w:p w:rsidR="00405054" w:rsidRDefault="00300B58" w:rsidP="00A63377">
      <w:pPr>
        <w:spacing w:after="0" w:line="480" w:lineRule="auto"/>
        <w:jc w:val="both"/>
        <w:rPr>
          <w:rFonts w:ascii="Times New Roman" w:eastAsia="Times New Roman" w:hAnsi="Times New Roman" w:cs="Monotype Hadassah"/>
          <w:sz w:val="24"/>
          <w:szCs w:val="20"/>
        </w:rPr>
      </w:pPr>
      <w:r w:rsidRPr="00300B58">
        <w:rPr>
          <w:rFonts w:ascii="Times New Roman" w:eastAsia="Times New Roman" w:hAnsi="Times New Roman" w:cs="Monotype Hadassah"/>
          <w:sz w:val="24"/>
          <w:szCs w:val="20"/>
        </w:rPr>
        <w:t>Volokh fails to provide any empirical support for this argument</w:t>
      </w:r>
      <w:r w:rsidR="00D7602F">
        <w:rPr>
          <w:rFonts w:ascii="Times New Roman" w:eastAsia="Times New Roman" w:hAnsi="Times New Roman" w:cs="Monotype Hadassah"/>
          <w:sz w:val="24"/>
          <w:szCs w:val="20"/>
        </w:rPr>
        <w:t>,</w:t>
      </w:r>
      <w:r w:rsidRPr="00300B58">
        <w:rPr>
          <w:rFonts w:ascii="Times New Roman" w:eastAsia="Times New Roman" w:hAnsi="Times New Roman" w:cs="Monotype Hadassah"/>
          <w:sz w:val="24"/>
          <w:szCs w:val="20"/>
        </w:rPr>
        <w:t xml:space="preserve"> nor does he quote judicial decisions or </w:t>
      </w:r>
      <w:r w:rsidRPr="00D05044">
        <w:rPr>
          <w:rFonts w:ascii="Times New Roman" w:eastAsia="Times New Roman" w:hAnsi="Times New Roman" w:cs="Monotype Hadassah"/>
          <w:i/>
          <w:sz w:val="24"/>
          <w:szCs w:val="20"/>
        </w:rPr>
        <w:t>obiter dicta</w:t>
      </w:r>
      <w:r w:rsidRPr="00300B58">
        <w:rPr>
          <w:rFonts w:ascii="Times New Roman" w:eastAsia="Times New Roman" w:hAnsi="Times New Roman" w:cs="Monotype Hadassah"/>
          <w:sz w:val="24"/>
          <w:szCs w:val="20"/>
        </w:rPr>
        <w:t xml:space="preserve"> reflecting this line of thinking. Unsurprisingly, neither is there any evidence that the opposite view is correct</w:t>
      </w:r>
      <w:r w:rsidR="00405054">
        <w:rPr>
          <w:rFonts w:ascii="Times New Roman" w:eastAsia="Times New Roman" w:hAnsi="Times New Roman" w:cs="Monotype Hadassah"/>
          <w:sz w:val="24"/>
          <w:szCs w:val="20"/>
        </w:rPr>
        <w:t>. It might be impossible</w:t>
      </w:r>
      <w:r w:rsidRPr="00300B58">
        <w:rPr>
          <w:rFonts w:ascii="Times New Roman" w:eastAsia="Times New Roman" w:hAnsi="Times New Roman" w:cs="Monotype Hadassah"/>
          <w:sz w:val="24"/>
          <w:szCs w:val="20"/>
        </w:rPr>
        <w:t xml:space="preserve"> to back up this kind of argument with </w:t>
      </w:r>
      <w:r w:rsidR="00D7602F">
        <w:rPr>
          <w:rFonts w:ascii="Times New Roman" w:eastAsia="Times New Roman" w:hAnsi="Times New Roman" w:cs="Monotype Hadassah"/>
          <w:sz w:val="24"/>
          <w:szCs w:val="20"/>
        </w:rPr>
        <w:t>in</w:t>
      </w:r>
      <w:r w:rsidRPr="00300B58">
        <w:rPr>
          <w:rFonts w:ascii="Times New Roman" w:eastAsia="Times New Roman" w:hAnsi="Times New Roman" w:cs="Monotype Hadassah"/>
          <w:sz w:val="24"/>
          <w:szCs w:val="20"/>
        </w:rPr>
        <w:t xml:space="preserve">disputable empirical findings. All that is left is to set forth </w:t>
      </w:r>
      <w:r w:rsidR="00A63377">
        <w:rPr>
          <w:rFonts w:ascii="Times New Roman" w:eastAsia="Times New Roman" w:hAnsi="Times New Roman" w:cs="Monotype Hadassah"/>
          <w:sz w:val="24"/>
          <w:szCs w:val="20"/>
        </w:rPr>
        <w:t xml:space="preserve">a few </w:t>
      </w:r>
      <w:r w:rsidRPr="00300B58">
        <w:rPr>
          <w:rFonts w:ascii="Times New Roman" w:eastAsia="Times New Roman" w:hAnsi="Times New Roman" w:cs="Monotype Hadassah"/>
          <w:sz w:val="24"/>
          <w:szCs w:val="20"/>
        </w:rPr>
        <w:t>short, non-empirical, principled comment</w:t>
      </w:r>
      <w:r w:rsidR="00A63377">
        <w:rPr>
          <w:rFonts w:ascii="Times New Roman" w:eastAsia="Times New Roman" w:hAnsi="Times New Roman" w:cs="Monotype Hadassah"/>
          <w:sz w:val="24"/>
          <w:szCs w:val="20"/>
        </w:rPr>
        <w:t>s</w:t>
      </w:r>
      <w:r w:rsidRPr="00300B58">
        <w:rPr>
          <w:rFonts w:ascii="Times New Roman" w:eastAsia="Times New Roman" w:hAnsi="Times New Roman" w:cs="Monotype Hadassah"/>
          <w:sz w:val="24"/>
          <w:szCs w:val="20"/>
        </w:rPr>
        <w:t>. Volokh’s main thesis is that the constitutional model places extensive and unjustifiable power in the hands of the courts. Here, however, he argues that the constitutional model would deter the courts from granting exemptions. These two arguments cannot be proposed simultaneously.</w:t>
      </w:r>
      <w:r w:rsidR="00405054">
        <w:rPr>
          <w:rFonts w:ascii="Times New Roman" w:eastAsia="Times New Roman" w:hAnsi="Times New Roman" w:cs="Monotype Hadassah"/>
          <w:sz w:val="24"/>
          <w:szCs w:val="20"/>
        </w:rPr>
        <w:t xml:space="preserve"> One cannot raise concerns about placing </w:t>
      </w:r>
      <w:r w:rsidR="00405054" w:rsidRPr="00405054">
        <w:rPr>
          <w:rFonts w:ascii="Times New Roman" w:eastAsia="Times New Roman" w:hAnsi="Times New Roman" w:cs="Monotype Hadassah"/>
          <w:sz w:val="24"/>
          <w:szCs w:val="20"/>
        </w:rPr>
        <w:t>extensive and unjustifiable power in the hands of the courts</w:t>
      </w:r>
      <w:r w:rsidR="00405054">
        <w:rPr>
          <w:rFonts w:ascii="Times New Roman" w:eastAsia="Times New Roman" w:hAnsi="Times New Roman" w:cs="Monotype Hadassah"/>
          <w:sz w:val="24"/>
          <w:szCs w:val="20"/>
        </w:rPr>
        <w:t xml:space="preserve"> – and at the same </w:t>
      </w:r>
      <w:r w:rsidR="00D7602F">
        <w:rPr>
          <w:rFonts w:ascii="Times New Roman" w:eastAsia="Times New Roman" w:hAnsi="Times New Roman" w:cs="Monotype Hadassah"/>
          <w:sz w:val="24"/>
          <w:szCs w:val="20"/>
        </w:rPr>
        <w:t xml:space="preserve">time </w:t>
      </w:r>
      <w:r w:rsidR="00405054">
        <w:rPr>
          <w:rFonts w:ascii="Times New Roman" w:eastAsia="Times New Roman" w:hAnsi="Times New Roman" w:cs="Monotype Hadassah"/>
          <w:sz w:val="24"/>
          <w:szCs w:val="20"/>
        </w:rPr>
        <w:t>argue that these powers will probably not be exercised</w:t>
      </w:r>
      <w:r w:rsidR="00405054" w:rsidRPr="00405054">
        <w:rPr>
          <w:rFonts w:ascii="Times New Roman" w:eastAsia="Times New Roman" w:hAnsi="Times New Roman" w:cs="Monotype Hadassah"/>
          <w:sz w:val="24"/>
          <w:szCs w:val="20"/>
        </w:rPr>
        <w:t>.</w:t>
      </w:r>
      <w:r w:rsidR="00405054">
        <w:rPr>
          <w:rFonts w:ascii="Times New Roman" w:eastAsia="Times New Roman" w:hAnsi="Times New Roman" w:cs="Monotype Hadassah"/>
          <w:sz w:val="24"/>
          <w:szCs w:val="20"/>
        </w:rPr>
        <w:t xml:space="preserve"> Also, even if we agree that the ‘constitutional exemption model’ will result in judicial reluctance to grant exemptions, this reluctance is likely to be expressed by a judicial decision according to which there is no constitutional right to be granted exemption rather than by a decision that the constitution prevents granting an exemption. Therefore, the legislature will normally be able to decide to grant a statutory exemption despite a judicial decision that the constitution does not impose a duty to do so.</w:t>
      </w:r>
      <w:r w:rsidR="00A63377">
        <w:rPr>
          <w:rFonts w:ascii="Times New Roman" w:eastAsia="Times New Roman" w:hAnsi="Times New Roman" w:cs="Monotype Hadassah"/>
          <w:sz w:val="24"/>
          <w:szCs w:val="20"/>
        </w:rPr>
        <w:t xml:space="preserve"> In fact, the judicial reluctance that Volokh is concerned about will normally allow the legislature to make the final decision in these cases. It will take the constitution out of the equation and will make way </w:t>
      </w:r>
      <w:r w:rsidR="00590978">
        <w:rPr>
          <w:rFonts w:ascii="Times New Roman" w:eastAsia="Times New Roman" w:hAnsi="Times New Roman" w:cs="Monotype Hadassah"/>
          <w:sz w:val="24"/>
          <w:szCs w:val="20"/>
        </w:rPr>
        <w:t>for</w:t>
      </w:r>
      <w:r w:rsidR="00A63377" w:rsidRPr="00A63377">
        <w:rPr>
          <w:rFonts w:ascii="Times New Roman" w:eastAsia="Times New Roman" w:hAnsi="Times New Roman" w:cs="Monotype Hadassah"/>
          <w:sz w:val="24"/>
          <w:szCs w:val="20"/>
        </w:rPr>
        <w:t xml:space="preserve"> the ‘common law’ model </w:t>
      </w:r>
      <w:r w:rsidR="00A63377">
        <w:rPr>
          <w:rFonts w:ascii="Times New Roman" w:eastAsia="Times New Roman" w:hAnsi="Times New Roman" w:cs="Monotype Hadassah"/>
          <w:sz w:val="24"/>
          <w:szCs w:val="20"/>
        </w:rPr>
        <w:t>(</w:t>
      </w:r>
      <w:r w:rsidR="00590978">
        <w:rPr>
          <w:rFonts w:ascii="Times New Roman" w:eastAsia="Times New Roman" w:hAnsi="Times New Roman" w:cs="Monotype Hadassah"/>
          <w:sz w:val="24"/>
          <w:szCs w:val="20"/>
        </w:rPr>
        <w:t>which</w:t>
      </w:r>
      <w:r w:rsidR="00A63377" w:rsidRPr="00A63377">
        <w:rPr>
          <w:rFonts w:ascii="Times New Roman" w:eastAsia="Times New Roman" w:hAnsi="Times New Roman" w:cs="Monotype Hadassah"/>
          <w:sz w:val="24"/>
          <w:szCs w:val="20"/>
        </w:rPr>
        <w:t xml:space="preserve"> Volokh supports</w:t>
      </w:r>
      <w:r w:rsidR="00A63377">
        <w:rPr>
          <w:rFonts w:ascii="Times New Roman" w:eastAsia="Times New Roman" w:hAnsi="Times New Roman" w:cs="Monotype Hadassah"/>
          <w:sz w:val="24"/>
          <w:szCs w:val="20"/>
        </w:rPr>
        <w:t>)</w:t>
      </w:r>
      <w:r w:rsidR="00590978">
        <w:rPr>
          <w:rFonts w:ascii="Times New Roman" w:eastAsia="Times New Roman" w:hAnsi="Times New Roman" w:cs="Monotype Hadassah"/>
          <w:sz w:val="24"/>
          <w:szCs w:val="20"/>
        </w:rPr>
        <w:t>,</w:t>
      </w:r>
      <w:r w:rsidR="00A63377">
        <w:rPr>
          <w:rFonts w:ascii="Times New Roman" w:eastAsia="Times New Roman" w:hAnsi="Times New Roman" w:cs="Monotype Hadassah"/>
          <w:sz w:val="24"/>
          <w:szCs w:val="20"/>
        </w:rPr>
        <w:t xml:space="preserve"> according to which the legislature has the last say in exemption cases.     </w:t>
      </w:r>
      <w:r w:rsidR="00405054">
        <w:rPr>
          <w:rFonts w:ascii="Times New Roman" w:eastAsia="Times New Roman" w:hAnsi="Times New Roman" w:cs="Monotype Hadassah"/>
          <w:sz w:val="24"/>
          <w:szCs w:val="20"/>
        </w:rPr>
        <w:t xml:space="preserve">        </w:t>
      </w:r>
    </w:p>
    <w:p w:rsidR="00300B58" w:rsidRPr="00300B58" w:rsidRDefault="005F357B" w:rsidP="00DF3117">
      <w:pPr>
        <w:spacing w:after="0" w:line="480" w:lineRule="auto"/>
        <w:jc w:val="both"/>
        <w:rPr>
          <w:rFonts w:ascii="Times New Roman" w:eastAsia="Times New Roman" w:hAnsi="Times New Roman" w:cs="Monotype Hadassah"/>
          <w:sz w:val="24"/>
          <w:szCs w:val="20"/>
        </w:rPr>
      </w:pPr>
      <w:r>
        <w:rPr>
          <w:rFonts w:ascii="Times New Roman" w:eastAsia="Times New Roman" w:hAnsi="Times New Roman" w:cs="Monotype Hadassah"/>
          <w:sz w:val="24"/>
          <w:szCs w:val="20"/>
        </w:rPr>
        <w:lastRenderedPageBreak/>
        <w:t>The above response assume</w:t>
      </w:r>
      <w:r w:rsidR="00DF3117">
        <w:rPr>
          <w:rFonts w:ascii="Times New Roman" w:eastAsia="Times New Roman" w:hAnsi="Times New Roman" w:cs="Monotype Hadassah"/>
          <w:sz w:val="24"/>
          <w:szCs w:val="20"/>
        </w:rPr>
        <w:t>s</w:t>
      </w:r>
      <w:r>
        <w:rPr>
          <w:rFonts w:ascii="Times New Roman" w:eastAsia="Times New Roman" w:hAnsi="Times New Roman" w:cs="Monotype Hadassah"/>
          <w:sz w:val="24"/>
          <w:szCs w:val="20"/>
        </w:rPr>
        <w:t xml:space="preserve"> that Volokh is right when he suggests that </w:t>
      </w:r>
      <w:r w:rsidR="00986CF2">
        <w:rPr>
          <w:rFonts w:ascii="Times New Roman" w:eastAsia="Times New Roman" w:hAnsi="Times New Roman" w:cs="Monotype Hadassah"/>
          <w:sz w:val="24"/>
          <w:szCs w:val="20"/>
        </w:rPr>
        <w:t xml:space="preserve">the constitutional model will result in judicial reluctance to grant exemptions. However, </w:t>
      </w:r>
      <w:r w:rsidR="00DF3117">
        <w:rPr>
          <w:rFonts w:ascii="Times New Roman" w:eastAsia="Times New Roman" w:hAnsi="Times New Roman" w:cs="Monotype Hadassah"/>
          <w:sz w:val="24"/>
          <w:szCs w:val="20"/>
        </w:rPr>
        <w:t xml:space="preserve">this argument </w:t>
      </w:r>
      <w:r w:rsidR="00300B58" w:rsidRPr="00300B58">
        <w:rPr>
          <w:rFonts w:ascii="Times New Roman" w:eastAsia="Times New Roman" w:hAnsi="Times New Roman" w:cs="Monotype Hadassah"/>
          <w:sz w:val="24"/>
          <w:szCs w:val="20"/>
        </w:rPr>
        <w:t>is unconvincing</w:t>
      </w:r>
      <w:r w:rsidR="00DF3117">
        <w:rPr>
          <w:rFonts w:ascii="Times New Roman" w:eastAsia="Times New Roman" w:hAnsi="Times New Roman" w:cs="Monotype Hadassah"/>
          <w:sz w:val="24"/>
          <w:szCs w:val="20"/>
        </w:rPr>
        <w:t>. P</w:t>
      </w:r>
      <w:r w:rsidR="00300B58" w:rsidRPr="00300B58">
        <w:rPr>
          <w:rFonts w:ascii="Times New Roman" w:eastAsia="Times New Roman" w:hAnsi="Times New Roman" w:cs="Monotype Hadassah"/>
          <w:sz w:val="24"/>
          <w:szCs w:val="20"/>
        </w:rPr>
        <w:t xml:space="preserve">recisely because the constitutional model prevents a legislative response, the court </w:t>
      </w:r>
      <w:r w:rsidR="00DF3117">
        <w:rPr>
          <w:rFonts w:ascii="Times New Roman" w:eastAsia="Times New Roman" w:hAnsi="Times New Roman" w:cs="Monotype Hadassah"/>
          <w:sz w:val="24"/>
          <w:szCs w:val="20"/>
        </w:rPr>
        <w:t xml:space="preserve">should </w:t>
      </w:r>
      <w:r w:rsidR="00300B58" w:rsidRPr="00300B58">
        <w:rPr>
          <w:rFonts w:ascii="Times New Roman" w:eastAsia="Times New Roman" w:hAnsi="Times New Roman" w:cs="Monotype Hadassah"/>
          <w:sz w:val="24"/>
          <w:szCs w:val="20"/>
        </w:rPr>
        <w:t xml:space="preserve">be </w:t>
      </w:r>
      <w:r w:rsidR="00DF3117">
        <w:rPr>
          <w:rFonts w:ascii="Times New Roman" w:eastAsia="Times New Roman" w:hAnsi="Times New Roman" w:cs="Monotype Hadassah"/>
          <w:sz w:val="24"/>
          <w:szCs w:val="20"/>
        </w:rPr>
        <w:t xml:space="preserve">more willing </w:t>
      </w:r>
      <w:r w:rsidR="00300B58" w:rsidRPr="00300B58">
        <w:rPr>
          <w:rFonts w:ascii="Times New Roman" w:eastAsia="Times New Roman" w:hAnsi="Times New Roman" w:cs="Monotype Hadassah"/>
          <w:sz w:val="24"/>
          <w:szCs w:val="20"/>
        </w:rPr>
        <w:t xml:space="preserve">to grant conscientious exemptions. </w:t>
      </w:r>
      <w:r w:rsidR="00DF3117">
        <w:rPr>
          <w:rFonts w:ascii="Times New Roman" w:eastAsia="Times New Roman" w:hAnsi="Times New Roman" w:cs="Monotype Hadassah"/>
          <w:sz w:val="24"/>
          <w:szCs w:val="20"/>
        </w:rPr>
        <w:t>S</w:t>
      </w:r>
      <w:r w:rsidR="00D632C1">
        <w:rPr>
          <w:rFonts w:ascii="Times New Roman" w:eastAsia="Times New Roman" w:hAnsi="Times New Roman" w:cs="Monotype Hadassah"/>
          <w:sz w:val="24"/>
          <w:szCs w:val="20"/>
        </w:rPr>
        <w:t>tate institutions (of any kind) normally exercise the powers allocated to them rather than expressing reluctance to do so</w:t>
      </w:r>
      <w:r w:rsidR="00300B58" w:rsidRPr="00300B58">
        <w:rPr>
          <w:rFonts w:ascii="Times New Roman" w:eastAsia="Times New Roman" w:hAnsi="Times New Roman" w:cs="Monotype Hadassah"/>
          <w:sz w:val="24"/>
          <w:szCs w:val="20"/>
        </w:rPr>
        <w:t>. Moreover, even if th</w:t>
      </w:r>
      <w:r w:rsidR="00D632C1">
        <w:rPr>
          <w:rFonts w:ascii="Times New Roman" w:eastAsia="Times New Roman" w:hAnsi="Times New Roman" w:cs="Monotype Hadassah"/>
          <w:sz w:val="24"/>
          <w:szCs w:val="20"/>
        </w:rPr>
        <w:t>e</w:t>
      </w:r>
      <w:r w:rsidR="00300B58" w:rsidRPr="00300B58">
        <w:rPr>
          <w:rFonts w:ascii="Times New Roman" w:eastAsia="Times New Roman" w:hAnsi="Times New Roman" w:cs="Monotype Hadassah"/>
          <w:sz w:val="24"/>
          <w:szCs w:val="20"/>
        </w:rPr>
        <w:t xml:space="preserve"> possibility</w:t>
      </w:r>
      <w:r w:rsidR="00D632C1">
        <w:rPr>
          <w:rFonts w:ascii="Times New Roman" w:eastAsia="Times New Roman" w:hAnsi="Times New Roman" w:cs="Monotype Hadassah"/>
          <w:sz w:val="24"/>
          <w:szCs w:val="20"/>
        </w:rPr>
        <w:t xml:space="preserve"> of judicial reluctance</w:t>
      </w:r>
      <w:r w:rsidR="00300B58" w:rsidRPr="00300B58">
        <w:rPr>
          <w:rFonts w:ascii="Times New Roman" w:eastAsia="Times New Roman" w:hAnsi="Times New Roman" w:cs="Monotype Hadassah"/>
          <w:sz w:val="24"/>
          <w:szCs w:val="20"/>
        </w:rPr>
        <w:t xml:space="preserve"> exists, it is far less troubling than the risk of having the political majority decid</w:t>
      </w:r>
      <w:r w:rsidR="00DF3117">
        <w:rPr>
          <w:rFonts w:ascii="Times New Roman" w:eastAsia="Times New Roman" w:hAnsi="Times New Roman" w:cs="Monotype Hadassah"/>
          <w:sz w:val="24"/>
          <w:szCs w:val="20"/>
        </w:rPr>
        <w:t>ing</w:t>
      </w:r>
      <w:r w:rsidR="00300B58" w:rsidRPr="00300B58">
        <w:rPr>
          <w:rFonts w:ascii="Times New Roman" w:eastAsia="Times New Roman" w:hAnsi="Times New Roman" w:cs="Monotype Hadassah"/>
          <w:sz w:val="24"/>
          <w:szCs w:val="20"/>
        </w:rPr>
        <w:t xml:space="preserve"> the limits of tolerance towards conscientious objectors, without any </w:t>
      </w:r>
      <w:r w:rsidR="00612155">
        <w:rPr>
          <w:rFonts w:ascii="Times New Roman" w:eastAsia="Times New Roman" w:hAnsi="Times New Roman" w:cs="Monotype Hadassah"/>
          <w:sz w:val="24"/>
          <w:szCs w:val="20"/>
        </w:rPr>
        <w:t xml:space="preserve">restraining </w:t>
      </w:r>
      <w:r w:rsidR="00300B58" w:rsidRPr="00300B58">
        <w:rPr>
          <w:rFonts w:ascii="Times New Roman" w:eastAsia="Times New Roman" w:hAnsi="Times New Roman" w:cs="Monotype Hadassah"/>
          <w:sz w:val="24"/>
          <w:szCs w:val="20"/>
        </w:rPr>
        <w:t xml:space="preserve">judicial review.         </w:t>
      </w:r>
    </w:p>
    <w:p w:rsidR="00300B58" w:rsidRPr="00300B58" w:rsidRDefault="00300B58" w:rsidP="00527B08">
      <w:pPr>
        <w:spacing w:after="0" w:line="480" w:lineRule="auto"/>
        <w:jc w:val="both"/>
        <w:rPr>
          <w:rFonts w:ascii="Times New Roman" w:eastAsia="Times New Roman" w:hAnsi="Times New Roman" w:cs="Monotype Hadassah"/>
          <w:sz w:val="24"/>
          <w:szCs w:val="20"/>
        </w:rPr>
      </w:pPr>
      <w:r w:rsidRPr="00300B58">
        <w:rPr>
          <w:rFonts w:ascii="Times New Roman" w:eastAsia="Times New Roman" w:hAnsi="Times New Roman" w:cs="Monotype Hadassah"/>
          <w:sz w:val="24"/>
          <w:szCs w:val="20"/>
        </w:rPr>
        <w:t>A sixth reason for rejecting the common law model lies in the weakness of another of Volokh’s argument</w:t>
      </w:r>
      <w:r w:rsidR="00E258CF">
        <w:rPr>
          <w:rFonts w:ascii="Times New Roman" w:eastAsia="Times New Roman" w:hAnsi="Times New Roman" w:cs="Monotype Hadassah"/>
          <w:sz w:val="24"/>
          <w:szCs w:val="20"/>
        </w:rPr>
        <w:t>s</w:t>
      </w:r>
      <w:r w:rsidRPr="00300B58">
        <w:rPr>
          <w:rFonts w:ascii="Times New Roman" w:eastAsia="Times New Roman" w:hAnsi="Times New Roman" w:cs="Monotype Hadassah"/>
          <w:sz w:val="24"/>
          <w:szCs w:val="20"/>
        </w:rPr>
        <w:t xml:space="preserve">, which is </w:t>
      </w:r>
      <w:r w:rsidR="00DA0C4C" w:rsidRPr="00300B58">
        <w:rPr>
          <w:rFonts w:ascii="Times New Roman" w:eastAsia="Times New Roman" w:hAnsi="Times New Roman" w:cs="Monotype Hadassah"/>
          <w:sz w:val="24"/>
          <w:szCs w:val="20"/>
        </w:rPr>
        <w:t>fairly</w:t>
      </w:r>
      <w:r w:rsidRPr="00300B58">
        <w:rPr>
          <w:rFonts w:ascii="Times New Roman" w:eastAsia="Times New Roman" w:hAnsi="Times New Roman" w:cs="Monotype Hadassah"/>
          <w:sz w:val="24"/>
          <w:szCs w:val="20"/>
        </w:rPr>
        <w:t xml:space="preserve"> similar to the previous one. Volokh argues that, in a constitutional exemption regime, the courts will be reluctant to grant exemptions in hard cases or for a fixed period of time (the latter can also be called an experimental exemption). This is so, Volokh argues, because the courts usually refrain from making frequent changes in constitutional interpretations or in constitutional doctrines and, thus, would prefer not to make new, controversial or risky decisions at the constitutional level. Things are different, according to Volokh, at the statutory level.</w:t>
      </w:r>
      <w:r w:rsidRPr="00300B58">
        <w:rPr>
          <w:rFonts w:ascii="Times New Roman" w:eastAsia="Times New Roman" w:hAnsi="Times New Roman" w:cs="Monotype Hadassah"/>
          <w:sz w:val="24"/>
          <w:szCs w:val="20"/>
          <w:vertAlign w:val="superscript"/>
        </w:rPr>
        <w:footnoteReference w:id="45"/>
      </w:r>
      <w:r w:rsidRPr="00300B58">
        <w:rPr>
          <w:rFonts w:ascii="Times New Roman" w:eastAsia="Times New Roman" w:hAnsi="Times New Roman" w:cs="Monotype Hadassah"/>
          <w:sz w:val="24"/>
          <w:szCs w:val="20"/>
        </w:rPr>
        <w:t xml:space="preserve"> </w:t>
      </w:r>
    </w:p>
    <w:p w:rsidR="00300B58" w:rsidRPr="00300B58" w:rsidRDefault="00300B58" w:rsidP="00AA3F0A">
      <w:pPr>
        <w:spacing w:after="0" w:line="480" w:lineRule="auto"/>
        <w:jc w:val="both"/>
        <w:rPr>
          <w:rFonts w:ascii="Times New Roman" w:eastAsia="Times New Roman" w:hAnsi="Times New Roman" w:cs="Monotype Hadassah"/>
          <w:sz w:val="24"/>
          <w:szCs w:val="20"/>
        </w:rPr>
      </w:pPr>
      <w:r w:rsidRPr="00300B58">
        <w:rPr>
          <w:rFonts w:ascii="Times New Roman" w:eastAsia="Times New Roman" w:hAnsi="Times New Roman" w:cs="Monotype Hadassah"/>
          <w:sz w:val="24"/>
          <w:szCs w:val="20"/>
        </w:rPr>
        <w:t>This argument also fails to support the common law model. Firstly, if Volokh agrees that the courts should be allowed to grant temporary</w:t>
      </w:r>
      <w:r w:rsidR="00E258CF">
        <w:rPr>
          <w:rFonts w:ascii="Times New Roman" w:eastAsia="Times New Roman" w:hAnsi="Times New Roman" w:cs="Monotype Hadassah"/>
          <w:sz w:val="24"/>
          <w:szCs w:val="20"/>
        </w:rPr>
        <w:t xml:space="preserve">, </w:t>
      </w:r>
      <w:r w:rsidRPr="00300B58">
        <w:rPr>
          <w:rFonts w:ascii="Times New Roman" w:eastAsia="Times New Roman" w:hAnsi="Times New Roman" w:cs="Monotype Hadassah"/>
          <w:sz w:val="24"/>
          <w:szCs w:val="20"/>
        </w:rPr>
        <w:t xml:space="preserve">experimental exemptions, then it should not make any difference if the court does so as an interpretation of a general constitutional right or a general statutory right. In both cases, the court can cancel the exemption if the experiment fails. </w:t>
      </w:r>
      <w:r w:rsidR="00EF170C">
        <w:rPr>
          <w:rFonts w:ascii="Times New Roman" w:eastAsia="Times New Roman" w:hAnsi="Times New Roman" w:cs="Monotype Hadassah"/>
          <w:sz w:val="24"/>
          <w:szCs w:val="20"/>
        </w:rPr>
        <w:t>While doing so, the court will</w:t>
      </w:r>
      <w:r w:rsidR="003B7752">
        <w:rPr>
          <w:rFonts w:ascii="Times New Roman" w:eastAsia="Times New Roman" w:hAnsi="Times New Roman" w:cs="Monotype Hadassah"/>
          <w:sz w:val="24"/>
          <w:szCs w:val="20"/>
        </w:rPr>
        <w:t xml:space="preserve"> not</w:t>
      </w:r>
      <w:r w:rsidR="00EF170C">
        <w:rPr>
          <w:rFonts w:ascii="Times New Roman" w:eastAsia="Times New Roman" w:hAnsi="Times New Roman" w:cs="Monotype Hadassah"/>
          <w:sz w:val="24"/>
          <w:szCs w:val="20"/>
        </w:rPr>
        <w:t xml:space="preserve"> set aside a judicial p</w:t>
      </w:r>
      <w:r w:rsidRPr="00300B58">
        <w:rPr>
          <w:rFonts w:ascii="Times New Roman" w:eastAsia="Times New Roman" w:hAnsi="Times New Roman" w:cs="Monotype Hadassah"/>
          <w:sz w:val="24"/>
          <w:szCs w:val="20"/>
        </w:rPr>
        <w:t>recedent</w:t>
      </w:r>
      <w:r w:rsidR="00EF170C">
        <w:rPr>
          <w:rFonts w:ascii="Times New Roman" w:eastAsia="Times New Roman" w:hAnsi="Times New Roman" w:cs="Monotype Hadassah"/>
          <w:sz w:val="24"/>
          <w:szCs w:val="20"/>
        </w:rPr>
        <w:t xml:space="preserve"> or change legal </w:t>
      </w:r>
      <w:r w:rsidRPr="00300B58">
        <w:rPr>
          <w:rFonts w:ascii="Times New Roman" w:eastAsia="Times New Roman" w:hAnsi="Times New Roman" w:cs="Monotype Hadassah"/>
          <w:sz w:val="24"/>
          <w:szCs w:val="20"/>
        </w:rPr>
        <w:t>doctrine</w:t>
      </w:r>
      <w:r w:rsidR="00EF170C">
        <w:rPr>
          <w:rFonts w:ascii="Times New Roman" w:eastAsia="Times New Roman" w:hAnsi="Times New Roman" w:cs="Monotype Hadassah"/>
          <w:sz w:val="24"/>
          <w:szCs w:val="20"/>
        </w:rPr>
        <w:t xml:space="preserve">s. It will merely follow its previous </w:t>
      </w:r>
      <w:r w:rsidR="00EF170C">
        <w:rPr>
          <w:rFonts w:ascii="Times New Roman" w:eastAsia="Times New Roman" w:hAnsi="Times New Roman" w:cs="Monotype Hadassah"/>
          <w:sz w:val="24"/>
          <w:szCs w:val="20"/>
        </w:rPr>
        <w:lastRenderedPageBreak/>
        <w:t xml:space="preserve">decision that allows cancelling an exemption in response to </w:t>
      </w:r>
      <w:r w:rsidRPr="00300B58">
        <w:rPr>
          <w:rFonts w:ascii="Times New Roman" w:eastAsia="Times New Roman" w:hAnsi="Times New Roman" w:cs="Monotype Hadassah"/>
          <w:sz w:val="24"/>
          <w:szCs w:val="20"/>
        </w:rPr>
        <w:t>a change in circumstances</w:t>
      </w:r>
      <w:r w:rsidR="003B7752">
        <w:rPr>
          <w:rFonts w:ascii="Times New Roman" w:eastAsia="Times New Roman" w:hAnsi="Times New Roman" w:cs="Monotype Hadassah"/>
          <w:sz w:val="24"/>
          <w:szCs w:val="20"/>
        </w:rPr>
        <w:t xml:space="preserve"> or after </w:t>
      </w:r>
      <w:r w:rsidR="00D20C4E">
        <w:rPr>
          <w:rFonts w:ascii="Times New Roman" w:eastAsia="Times New Roman" w:hAnsi="Times New Roman" w:cs="Monotype Hadassah"/>
          <w:sz w:val="24"/>
          <w:szCs w:val="20"/>
        </w:rPr>
        <w:t>being provided with</w:t>
      </w:r>
      <w:r w:rsidR="003B7752">
        <w:rPr>
          <w:rFonts w:ascii="Times New Roman" w:eastAsia="Times New Roman" w:hAnsi="Times New Roman" w:cs="Monotype Hadassah"/>
          <w:sz w:val="24"/>
          <w:szCs w:val="20"/>
        </w:rPr>
        <w:t xml:space="preserve"> new information. </w:t>
      </w:r>
    </w:p>
    <w:p w:rsidR="00300B58" w:rsidRPr="00300B58" w:rsidRDefault="00300B58" w:rsidP="00EF170C">
      <w:pPr>
        <w:spacing w:after="0" w:line="480" w:lineRule="auto"/>
        <w:jc w:val="both"/>
        <w:rPr>
          <w:rFonts w:ascii="Times New Roman" w:eastAsia="Times New Roman" w:hAnsi="Times New Roman" w:cs="Monotype Hadassah"/>
          <w:sz w:val="24"/>
          <w:szCs w:val="20"/>
        </w:rPr>
      </w:pPr>
      <w:r w:rsidRPr="00300B58">
        <w:rPr>
          <w:rFonts w:ascii="Times New Roman" w:eastAsia="Times New Roman" w:hAnsi="Times New Roman" w:cs="Monotype Hadassah"/>
          <w:sz w:val="24"/>
          <w:szCs w:val="20"/>
        </w:rPr>
        <w:t>Secondly, it may be true that constitutional doctrines are, or at least should be, more difficult to change than most other legal doctrines. However, there is nothing inherently wrong about a relatively stable general doctrine for granting conscientious exemptions. Moreover, being related to a basic human right, this kind of general doctrine should indeed not be subject to legislative or judicial whims. Furthermore, changing constitutional doctrines is not that rare and, when necessary, the court does take up the challenge and change them. Volokh himself mentions that, in the US</w:t>
      </w:r>
      <w:r w:rsidR="00BD24BA">
        <w:rPr>
          <w:rFonts w:ascii="Times New Roman" w:eastAsia="Times New Roman" w:hAnsi="Times New Roman" w:cs="Monotype Hadassah"/>
          <w:sz w:val="24"/>
          <w:szCs w:val="20"/>
        </w:rPr>
        <w:t>A</w:t>
      </w:r>
      <w:r w:rsidRPr="00300B58">
        <w:rPr>
          <w:rFonts w:ascii="Times New Roman" w:eastAsia="Times New Roman" w:hAnsi="Times New Roman" w:cs="Monotype Hadassah"/>
          <w:sz w:val="24"/>
          <w:szCs w:val="20"/>
        </w:rPr>
        <w:t>, the general judicial-constitutional doctrine regarding conscientious exemptions has been changed</w:t>
      </w:r>
      <w:r w:rsidR="00D20C4E">
        <w:rPr>
          <w:rFonts w:ascii="Times New Roman" w:eastAsia="Times New Roman" w:hAnsi="Times New Roman" w:cs="Monotype Hadassah"/>
          <w:sz w:val="24"/>
          <w:szCs w:val="20"/>
        </w:rPr>
        <w:t>, and quite significantly,</w:t>
      </w:r>
      <w:r w:rsidRPr="00300B58">
        <w:rPr>
          <w:rFonts w:ascii="Times New Roman" w:eastAsia="Times New Roman" w:hAnsi="Times New Roman" w:cs="Monotype Hadassah"/>
          <w:sz w:val="24"/>
          <w:szCs w:val="20"/>
        </w:rPr>
        <w:t xml:space="preserve"> three times </w:t>
      </w:r>
      <w:r w:rsidR="00EF170C">
        <w:rPr>
          <w:rFonts w:ascii="Times New Roman" w:eastAsia="Times New Roman" w:hAnsi="Times New Roman" w:cs="Monotype Hadassah"/>
          <w:sz w:val="24"/>
          <w:szCs w:val="20"/>
        </w:rPr>
        <w:t xml:space="preserve">since the 1960s. </w:t>
      </w:r>
    </w:p>
    <w:p w:rsidR="00300B58" w:rsidRPr="00300B58" w:rsidRDefault="00300B58" w:rsidP="00EF170C">
      <w:pPr>
        <w:spacing w:after="0" w:line="480" w:lineRule="auto"/>
        <w:jc w:val="both"/>
        <w:rPr>
          <w:rFonts w:ascii="Times New Roman" w:eastAsia="Times New Roman" w:hAnsi="Times New Roman" w:cs="Monotype Hadassah"/>
          <w:sz w:val="24"/>
          <w:szCs w:val="20"/>
        </w:rPr>
      </w:pPr>
      <w:r w:rsidRPr="00300B58">
        <w:rPr>
          <w:rFonts w:ascii="Times New Roman" w:eastAsia="Times New Roman" w:hAnsi="Times New Roman" w:cs="Monotype Hadassah"/>
          <w:sz w:val="24"/>
          <w:szCs w:val="20"/>
        </w:rPr>
        <w:t>Finally, Volokh is wrong to assume that a change to a doctrine or a judicial precedence is required whenever the court wishes to cancel an exemption</w:t>
      </w:r>
      <w:r w:rsidR="00EF170C">
        <w:rPr>
          <w:rFonts w:ascii="Times New Roman" w:eastAsia="Times New Roman" w:hAnsi="Times New Roman" w:cs="Monotype Hadassah"/>
          <w:sz w:val="24"/>
          <w:szCs w:val="20"/>
        </w:rPr>
        <w:t xml:space="preserve"> that was granted as a judicial remedy,</w:t>
      </w:r>
      <w:r w:rsidRPr="00300B58">
        <w:rPr>
          <w:rFonts w:ascii="Times New Roman" w:eastAsia="Times New Roman" w:hAnsi="Times New Roman" w:cs="Monotype Hadassah"/>
          <w:sz w:val="24"/>
          <w:szCs w:val="20"/>
        </w:rPr>
        <w:t xml:space="preserve"> or to grant an exemption that </w:t>
      </w:r>
      <w:r w:rsidR="00EF170C">
        <w:rPr>
          <w:rFonts w:ascii="Times New Roman" w:eastAsia="Times New Roman" w:hAnsi="Times New Roman" w:cs="Monotype Hadassah"/>
          <w:sz w:val="24"/>
          <w:szCs w:val="20"/>
        </w:rPr>
        <w:t xml:space="preserve">the court previously </w:t>
      </w:r>
      <w:r w:rsidRPr="00300B58">
        <w:rPr>
          <w:rFonts w:ascii="Times New Roman" w:eastAsia="Times New Roman" w:hAnsi="Times New Roman" w:cs="Monotype Hadassah"/>
          <w:sz w:val="24"/>
          <w:szCs w:val="20"/>
        </w:rPr>
        <w:t xml:space="preserve">refused to grant. A general constitutional right usually requires a general balancing test alongside some more specific guidelines. The court can change its former decisions while keeping the constitutional balancing test intact when there is a change in circumstances or when the court reads </w:t>
      </w:r>
      <w:r w:rsidR="00D20C4E">
        <w:rPr>
          <w:rFonts w:ascii="Times New Roman" w:eastAsia="Times New Roman" w:hAnsi="Times New Roman" w:cs="Monotype Hadassah"/>
          <w:sz w:val="24"/>
          <w:szCs w:val="20"/>
        </w:rPr>
        <w:t xml:space="preserve">or applies </w:t>
      </w:r>
      <w:r w:rsidRPr="00300B58">
        <w:rPr>
          <w:rFonts w:ascii="Times New Roman" w:eastAsia="Times New Roman" w:hAnsi="Times New Roman" w:cs="Monotype Hadassah"/>
          <w:sz w:val="24"/>
          <w:szCs w:val="20"/>
        </w:rPr>
        <w:t xml:space="preserve">the same test differently. </w:t>
      </w:r>
    </w:p>
    <w:p w:rsidR="00300B58" w:rsidRPr="00300B58" w:rsidRDefault="00300B58" w:rsidP="00D54EAE">
      <w:pPr>
        <w:spacing w:after="0" w:line="480" w:lineRule="auto"/>
        <w:jc w:val="both"/>
        <w:rPr>
          <w:rFonts w:ascii="Times New Roman" w:eastAsia="Times New Roman" w:hAnsi="Times New Roman" w:cs="Monotype Hadassah"/>
          <w:sz w:val="24"/>
          <w:szCs w:val="20"/>
        </w:rPr>
      </w:pPr>
      <w:r w:rsidRPr="00300B58">
        <w:rPr>
          <w:rFonts w:ascii="Times New Roman" w:eastAsia="Times New Roman" w:hAnsi="Times New Roman" w:cs="Monotype Hadassah"/>
          <w:sz w:val="24"/>
          <w:szCs w:val="20"/>
        </w:rPr>
        <w:t xml:space="preserve">The seventh reason for rejecting the common law model is that the constitutional model does not necessarily lead to judicial tyranny or legislative incapacity. When a constitutional right to be granted conscientious exemption does exist, the court has three courses of action from which to choose in each and every specific case. Firstly, it can decide that there is a constitutional duty to grant the exemption. Secondly, it can decide that there is a constitutional prohibition </w:t>
      </w:r>
      <w:r w:rsidR="00BD24BA">
        <w:rPr>
          <w:rFonts w:ascii="Times New Roman" w:eastAsia="Times New Roman" w:hAnsi="Times New Roman" w:cs="Monotype Hadassah"/>
          <w:sz w:val="24"/>
          <w:szCs w:val="20"/>
        </w:rPr>
        <w:t>against</w:t>
      </w:r>
      <w:r w:rsidRPr="00300B58">
        <w:rPr>
          <w:rFonts w:ascii="Times New Roman" w:eastAsia="Times New Roman" w:hAnsi="Times New Roman" w:cs="Monotype Hadassah"/>
          <w:sz w:val="24"/>
          <w:szCs w:val="20"/>
        </w:rPr>
        <w:t xml:space="preserve"> granting the exemption. In these two cases, the legislature is, indeed, relatively powerless. However, the court </w:t>
      </w:r>
      <w:r w:rsidRPr="00300B58">
        <w:rPr>
          <w:rFonts w:ascii="Times New Roman" w:eastAsia="Times New Roman" w:hAnsi="Times New Roman" w:cs="Monotype Hadassah"/>
          <w:sz w:val="24"/>
          <w:szCs w:val="20"/>
        </w:rPr>
        <w:lastRenderedPageBreak/>
        <w:t xml:space="preserve">can also decide in response to a claim to be granted exemption that the constitutional right does not apply or that there is no constitutional duty to grant the exemption, yet the legislature is free to grant the exemption in a specific statute, if it wishes to do so. In other words, the court has the final word when it finds that the conscientious objector has a right to be tolerated. The legislature, however, has the final word, even under a constitutional exemption model, when the court decides that the conscientious objector does not have a right to be tolerated, yet the legislature may grant the exemption as a matter of grace or </w:t>
      </w:r>
      <w:r w:rsidR="00D54EAE">
        <w:rPr>
          <w:rFonts w:ascii="Times New Roman" w:eastAsia="Times New Roman" w:hAnsi="Times New Roman" w:cs="Monotype Hadassah"/>
          <w:sz w:val="24"/>
          <w:szCs w:val="20"/>
        </w:rPr>
        <w:t xml:space="preserve">because of </w:t>
      </w:r>
      <w:r w:rsidRPr="00300B58">
        <w:rPr>
          <w:rFonts w:ascii="Times New Roman" w:eastAsia="Times New Roman" w:hAnsi="Times New Roman" w:cs="Monotype Hadassah"/>
          <w:sz w:val="24"/>
          <w:szCs w:val="20"/>
        </w:rPr>
        <w:t xml:space="preserve">pragmatic </w:t>
      </w:r>
      <w:r w:rsidR="00D54EAE">
        <w:rPr>
          <w:rFonts w:ascii="Times New Roman" w:eastAsia="Times New Roman" w:hAnsi="Times New Roman" w:cs="Monotype Hadassah"/>
          <w:sz w:val="24"/>
          <w:szCs w:val="20"/>
        </w:rPr>
        <w:t xml:space="preserve">justifications. </w:t>
      </w:r>
      <w:r w:rsidRPr="00300B58">
        <w:rPr>
          <w:rFonts w:ascii="Times New Roman" w:eastAsia="Times New Roman" w:hAnsi="Times New Roman" w:cs="Monotype Hadassah"/>
          <w:sz w:val="24"/>
          <w:szCs w:val="20"/>
        </w:rPr>
        <w:t xml:space="preserve">                 </w:t>
      </w:r>
    </w:p>
    <w:p w:rsidR="00300B58" w:rsidRPr="00300B58" w:rsidRDefault="00300B58" w:rsidP="00AA3F0A">
      <w:pPr>
        <w:spacing w:after="0" w:line="480" w:lineRule="auto"/>
        <w:jc w:val="both"/>
        <w:rPr>
          <w:rFonts w:ascii="Times New Roman" w:eastAsia="Times New Roman" w:hAnsi="Times New Roman" w:cs="Monotype Hadassah"/>
          <w:sz w:val="24"/>
          <w:szCs w:val="20"/>
        </w:rPr>
      </w:pPr>
      <w:r w:rsidRPr="00300B58">
        <w:rPr>
          <w:rFonts w:ascii="Times New Roman" w:eastAsia="Times New Roman" w:hAnsi="Times New Roman" w:cs="Monotype Hadassah"/>
          <w:sz w:val="24"/>
          <w:szCs w:val="20"/>
        </w:rPr>
        <w:t>The eighth and final reason for rejecting the common law model is the principle of equality</w:t>
      </w:r>
      <w:r w:rsidR="00387EED">
        <w:rPr>
          <w:rFonts w:ascii="Times New Roman" w:eastAsia="Times New Roman" w:hAnsi="Times New Roman" w:cs="Monotype Hadassah"/>
          <w:sz w:val="24"/>
          <w:szCs w:val="20"/>
        </w:rPr>
        <w:t>,</w:t>
      </w:r>
      <w:r w:rsidRPr="00300B58">
        <w:rPr>
          <w:rFonts w:ascii="Times New Roman" w:eastAsia="Times New Roman" w:hAnsi="Times New Roman" w:cs="Monotype Hadassah"/>
          <w:sz w:val="24"/>
          <w:szCs w:val="20"/>
        </w:rPr>
        <w:t xml:space="preserve"> </w:t>
      </w:r>
      <w:r w:rsidR="00387EED">
        <w:rPr>
          <w:rFonts w:ascii="Times New Roman" w:eastAsia="Times New Roman" w:hAnsi="Times New Roman" w:cs="Monotype Hadassah"/>
          <w:sz w:val="24"/>
          <w:szCs w:val="20"/>
        </w:rPr>
        <w:t>which</w:t>
      </w:r>
      <w:r w:rsidRPr="00300B58">
        <w:rPr>
          <w:rFonts w:ascii="Times New Roman" w:eastAsia="Times New Roman" w:hAnsi="Times New Roman" w:cs="Monotype Hadassah"/>
          <w:sz w:val="24"/>
          <w:szCs w:val="20"/>
        </w:rPr>
        <w:t xml:space="preserve"> Volokh disregards (and quite rightly within the </w:t>
      </w:r>
      <w:r w:rsidR="00387EED">
        <w:rPr>
          <w:rFonts w:ascii="Times New Roman" w:eastAsia="Times New Roman" w:hAnsi="Times New Roman" w:cs="Monotype Hadassah"/>
          <w:sz w:val="24"/>
          <w:szCs w:val="20"/>
        </w:rPr>
        <w:t>US</w:t>
      </w:r>
      <w:r w:rsidRPr="00300B58">
        <w:rPr>
          <w:rFonts w:ascii="Times New Roman" w:eastAsia="Times New Roman" w:hAnsi="Times New Roman" w:cs="Monotype Hadassah"/>
          <w:sz w:val="24"/>
          <w:szCs w:val="20"/>
        </w:rPr>
        <w:t xml:space="preserve"> context). </w:t>
      </w:r>
      <w:r w:rsidR="00213565">
        <w:rPr>
          <w:rFonts w:ascii="Times New Roman" w:eastAsia="Times New Roman" w:hAnsi="Times New Roman" w:cs="Monotype Hadassah"/>
          <w:sz w:val="24"/>
          <w:szCs w:val="20"/>
        </w:rPr>
        <w:t xml:space="preserve">If, however, </w:t>
      </w:r>
      <w:r w:rsidRPr="00300B58">
        <w:rPr>
          <w:rFonts w:ascii="Times New Roman" w:eastAsia="Times New Roman" w:hAnsi="Times New Roman" w:cs="Monotype Hadassah"/>
          <w:sz w:val="24"/>
          <w:szCs w:val="20"/>
        </w:rPr>
        <w:t xml:space="preserve">the general principle of equality is, or should be, a constitutional right or principle, </w:t>
      </w:r>
      <w:r w:rsidR="00213565">
        <w:rPr>
          <w:rFonts w:ascii="Times New Roman" w:eastAsia="Times New Roman" w:hAnsi="Times New Roman" w:cs="Monotype Hadassah"/>
          <w:sz w:val="24"/>
          <w:szCs w:val="20"/>
        </w:rPr>
        <w:t xml:space="preserve">it </w:t>
      </w:r>
      <w:r w:rsidRPr="00300B58">
        <w:rPr>
          <w:rFonts w:ascii="Times New Roman" w:eastAsia="Times New Roman" w:hAnsi="Times New Roman" w:cs="Monotype Hadassah"/>
          <w:sz w:val="24"/>
          <w:szCs w:val="20"/>
        </w:rPr>
        <w:t xml:space="preserve">enables the court to expand under-inclusive exemptions or to narrow over-inclusive ones, regardless of the existence of a right to be granted conscientious exemption. Unless Volokh suggests that the principle of equality should </w:t>
      </w:r>
      <w:r w:rsidR="00AA3F0A">
        <w:rPr>
          <w:rFonts w:ascii="Times New Roman" w:eastAsia="Times New Roman" w:hAnsi="Times New Roman" w:cs="Monotype Hadassah"/>
          <w:sz w:val="24"/>
          <w:szCs w:val="20"/>
        </w:rPr>
        <w:t>only</w:t>
      </w:r>
      <w:r w:rsidRPr="00300B58">
        <w:rPr>
          <w:rFonts w:ascii="Times New Roman" w:eastAsia="Times New Roman" w:hAnsi="Times New Roman" w:cs="Monotype Hadassah"/>
          <w:sz w:val="24"/>
          <w:szCs w:val="20"/>
        </w:rPr>
        <w:t xml:space="preserve"> be applied, as freedom of conscience, through a common law model rather than a constitutional one, then nothing in the common law exemption model prevents the court from applying the constitutional right to equality and to modify any conscientious exemption that was granted by the legislature in specific statutes. In other words, if equality is a constitutional right, and if it includes equality between conscientious objectors, the common law exemption model simply cannot</w:t>
      </w:r>
      <w:r w:rsidR="00213565">
        <w:rPr>
          <w:rFonts w:ascii="Times New Roman" w:eastAsia="Times New Roman" w:hAnsi="Times New Roman" w:cs="Monotype Hadassah"/>
          <w:sz w:val="24"/>
          <w:szCs w:val="20"/>
        </w:rPr>
        <w:t xml:space="preserve"> be</w:t>
      </w:r>
      <w:r w:rsidRPr="00300B58">
        <w:rPr>
          <w:rFonts w:ascii="Times New Roman" w:eastAsia="Times New Roman" w:hAnsi="Times New Roman" w:cs="Monotype Hadassah"/>
          <w:sz w:val="24"/>
          <w:szCs w:val="20"/>
        </w:rPr>
        <w:t xml:space="preserve"> appl</w:t>
      </w:r>
      <w:r w:rsidR="00213565">
        <w:rPr>
          <w:rFonts w:ascii="Times New Roman" w:eastAsia="Times New Roman" w:hAnsi="Times New Roman" w:cs="Monotype Hadassah"/>
          <w:sz w:val="24"/>
          <w:szCs w:val="20"/>
        </w:rPr>
        <w:t>ied</w:t>
      </w:r>
      <w:r w:rsidRPr="00300B58">
        <w:rPr>
          <w:rFonts w:ascii="Times New Roman" w:eastAsia="Times New Roman" w:hAnsi="Times New Roman" w:cs="Monotype Hadassah"/>
          <w:sz w:val="24"/>
          <w:szCs w:val="20"/>
        </w:rPr>
        <w:t xml:space="preserve">, at least not in full. </w:t>
      </w:r>
    </w:p>
    <w:p w:rsidR="00300B58" w:rsidRPr="00300B58" w:rsidRDefault="00300B58" w:rsidP="00305F3F">
      <w:pPr>
        <w:spacing w:after="0" w:line="480" w:lineRule="auto"/>
        <w:jc w:val="both"/>
        <w:rPr>
          <w:rFonts w:ascii="Times New Roman" w:eastAsia="Times New Roman" w:hAnsi="Times New Roman" w:cs="Monotype Hadassah"/>
          <w:sz w:val="24"/>
          <w:szCs w:val="20"/>
        </w:rPr>
      </w:pPr>
      <w:r w:rsidRPr="00300B58">
        <w:rPr>
          <w:rFonts w:ascii="Times New Roman" w:eastAsia="Times New Roman" w:hAnsi="Times New Roman" w:cs="Monotype Hadassah"/>
          <w:sz w:val="24"/>
          <w:szCs w:val="20"/>
        </w:rPr>
        <w:t xml:space="preserve">The arguments for and against having a constitutional right to be granted conscientious exemption, much like the general argument for and against judicial dominance in granting exemptions, are – at least to some extent – speculative. Much of Volokh’s arguments, and my response to them, are hybrid ones, in that they contain </w:t>
      </w:r>
      <w:r w:rsidRPr="00300B58">
        <w:rPr>
          <w:rFonts w:ascii="Times New Roman" w:eastAsia="Times New Roman" w:hAnsi="Times New Roman" w:cs="Monotype Hadassah"/>
          <w:sz w:val="24"/>
          <w:szCs w:val="20"/>
        </w:rPr>
        <w:lastRenderedPageBreak/>
        <w:t>both principled and empirical elements, yet th</w:t>
      </w:r>
      <w:r w:rsidR="00213565">
        <w:rPr>
          <w:rFonts w:ascii="Times New Roman" w:eastAsia="Times New Roman" w:hAnsi="Times New Roman" w:cs="Monotype Hadassah"/>
          <w:sz w:val="24"/>
          <w:szCs w:val="20"/>
        </w:rPr>
        <w:t>ey</w:t>
      </w:r>
      <w:r w:rsidRPr="00300B58">
        <w:rPr>
          <w:rFonts w:ascii="Times New Roman" w:eastAsia="Times New Roman" w:hAnsi="Times New Roman" w:cs="Monotype Hadassah"/>
          <w:sz w:val="24"/>
          <w:szCs w:val="20"/>
        </w:rPr>
        <w:t xml:space="preserve"> are not supported by empirical findings. I suspect that the speculative nature of these arguments is inevitable </w:t>
      </w:r>
      <w:r w:rsidR="00213565">
        <w:rPr>
          <w:rFonts w:ascii="Times New Roman" w:eastAsia="Times New Roman" w:hAnsi="Times New Roman" w:cs="Monotype Hadassah"/>
          <w:sz w:val="24"/>
          <w:szCs w:val="20"/>
        </w:rPr>
        <w:t>also</w:t>
      </w:r>
      <w:r w:rsidRPr="00300B58">
        <w:rPr>
          <w:rFonts w:ascii="Times New Roman" w:eastAsia="Times New Roman" w:hAnsi="Times New Roman" w:cs="Monotype Hadassah"/>
          <w:sz w:val="24"/>
          <w:szCs w:val="20"/>
        </w:rPr>
        <w:t xml:space="preserve"> because of the lack of relevant empirical studies. The lack of such studies is unsurprising. It is difficult to think of any empirical study that c</w:t>
      </w:r>
      <w:r w:rsidR="00387EED">
        <w:rPr>
          <w:rFonts w:ascii="Times New Roman" w:eastAsia="Times New Roman" w:hAnsi="Times New Roman" w:cs="Monotype Hadassah"/>
          <w:sz w:val="24"/>
          <w:szCs w:val="20"/>
        </w:rPr>
        <w:t>ould</w:t>
      </w:r>
      <w:r w:rsidR="00305F3F">
        <w:rPr>
          <w:rFonts w:ascii="Times New Roman" w:eastAsia="Times New Roman" w:hAnsi="Times New Roman" w:cs="Monotype Hadassah"/>
          <w:sz w:val="24"/>
          <w:szCs w:val="20"/>
        </w:rPr>
        <w:t xml:space="preserve"> provide definite</w:t>
      </w:r>
      <w:r w:rsidRPr="00300B58">
        <w:rPr>
          <w:rFonts w:ascii="Times New Roman" w:eastAsia="Times New Roman" w:hAnsi="Times New Roman" w:cs="Monotype Hadassah"/>
          <w:sz w:val="24"/>
          <w:szCs w:val="20"/>
        </w:rPr>
        <w:t xml:space="preserve"> answer</w:t>
      </w:r>
      <w:r w:rsidR="00305F3F">
        <w:rPr>
          <w:rFonts w:ascii="Times New Roman" w:eastAsia="Times New Roman" w:hAnsi="Times New Roman" w:cs="Monotype Hadassah"/>
          <w:sz w:val="24"/>
          <w:szCs w:val="20"/>
        </w:rPr>
        <w:t>s to</w:t>
      </w:r>
      <w:r w:rsidRPr="00300B58">
        <w:rPr>
          <w:rFonts w:ascii="Times New Roman" w:eastAsia="Times New Roman" w:hAnsi="Times New Roman" w:cs="Monotype Hadassah"/>
          <w:sz w:val="24"/>
          <w:szCs w:val="20"/>
        </w:rPr>
        <w:t xml:space="preserve"> questions such as who protects minorities better – the court or the legislature; which authority is more likely to tolerate conscientious objectors, and so on. Such questions can be answered empirically, if they can be answered at all, only within specific context</w:t>
      </w:r>
      <w:r w:rsidR="00213565">
        <w:rPr>
          <w:rFonts w:ascii="Times New Roman" w:eastAsia="Times New Roman" w:hAnsi="Times New Roman" w:cs="Monotype Hadassah"/>
          <w:sz w:val="24"/>
          <w:szCs w:val="20"/>
        </w:rPr>
        <w:t>s</w:t>
      </w:r>
      <w:r w:rsidRPr="00300B58">
        <w:rPr>
          <w:rFonts w:ascii="Times New Roman" w:eastAsia="Times New Roman" w:hAnsi="Times New Roman" w:cs="Monotype Hadassah"/>
          <w:sz w:val="24"/>
          <w:szCs w:val="20"/>
        </w:rPr>
        <w:t xml:space="preserve"> of time, political culture and subject</w:t>
      </w:r>
      <w:r w:rsidR="00387EED">
        <w:rPr>
          <w:rFonts w:ascii="Times New Roman" w:eastAsia="Times New Roman" w:hAnsi="Times New Roman" w:cs="Monotype Hadassah"/>
          <w:sz w:val="24"/>
          <w:szCs w:val="20"/>
        </w:rPr>
        <w:t xml:space="preserve"> </w:t>
      </w:r>
      <w:r w:rsidRPr="00300B58">
        <w:rPr>
          <w:rFonts w:ascii="Times New Roman" w:eastAsia="Times New Roman" w:hAnsi="Times New Roman" w:cs="Monotype Hadassah"/>
          <w:sz w:val="24"/>
          <w:szCs w:val="20"/>
        </w:rPr>
        <w:t xml:space="preserve">matter. </w:t>
      </w:r>
    </w:p>
    <w:p w:rsidR="00300B58" w:rsidRPr="00300B58" w:rsidRDefault="00300B58" w:rsidP="00A45DD0">
      <w:pPr>
        <w:spacing w:after="0" w:line="480" w:lineRule="auto"/>
        <w:jc w:val="both"/>
        <w:rPr>
          <w:rFonts w:ascii="Times New Roman" w:eastAsia="Times New Roman" w:hAnsi="Times New Roman" w:cs="Monotype Hadassah"/>
          <w:sz w:val="24"/>
          <w:szCs w:val="20"/>
        </w:rPr>
      </w:pPr>
      <w:r w:rsidRPr="00300B58">
        <w:rPr>
          <w:rFonts w:ascii="Times New Roman" w:eastAsia="Times New Roman" w:hAnsi="Times New Roman" w:cs="Monotype Hadassah"/>
          <w:sz w:val="24"/>
          <w:szCs w:val="20"/>
        </w:rPr>
        <w:t xml:space="preserve">Two </w:t>
      </w:r>
      <w:r w:rsidR="00EC13DF">
        <w:rPr>
          <w:rFonts w:ascii="Times New Roman" w:eastAsia="Times New Roman" w:hAnsi="Times New Roman" w:cs="Monotype Hadassah"/>
          <w:sz w:val="24"/>
          <w:szCs w:val="20"/>
        </w:rPr>
        <w:t>relevant</w:t>
      </w:r>
      <w:r w:rsidRPr="00300B58">
        <w:rPr>
          <w:rFonts w:ascii="Times New Roman" w:eastAsia="Times New Roman" w:hAnsi="Times New Roman" w:cs="Monotype Hadassah"/>
          <w:sz w:val="24"/>
          <w:szCs w:val="20"/>
        </w:rPr>
        <w:t xml:space="preserve"> studies exemplify this point. In a study conducted in 2005, Sisk found that</w:t>
      </w:r>
      <w:r w:rsidR="00A45DD0" w:rsidRPr="00A45DD0">
        <w:rPr>
          <w:rFonts w:ascii="Times New Roman" w:eastAsia="Times New Roman" w:hAnsi="Times New Roman" w:cs="Monotype Hadassah"/>
          <w:sz w:val="24"/>
          <w:szCs w:val="20"/>
        </w:rPr>
        <w:t xml:space="preserve"> the hypothesis that minority religious adherents in the US</w:t>
      </w:r>
      <w:r w:rsidR="00387EED">
        <w:rPr>
          <w:rFonts w:ascii="Times New Roman" w:eastAsia="Times New Roman" w:hAnsi="Times New Roman" w:cs="Monotype Hadassah"/>
          <w:sz w:val="24"/>
          <w:szCs w:val="20"/>
        </w:rPr>
        <w:t>A</w:t>
      </w:r>
      <w:r w:rsidR="00A45DD0" w:rsidRPr="00A45DD0">
        <w:rPr>
          <w:rFonts w:ascii="Times New Roman" w:eastAsia="Times New Roman" w:hAnsi="Times New Roman" w:cs="Monotype Hadassah"/>
          <w:sz w:val="24"/>
          <w:szCs w:val="20"/>
        </w:rPr>
        <w:t xml:space="preserve"> are more likely to lose and that the Christian faithful are more likely to win religious liberty claims is of doubtful continuing validity</w:t>
      </w:r>
      <w:r w:rsidR="00A45DD0">
        <w:rPr>
          <w:rFonts w:ascii="Times New Roman" w:eastAsia="Times New Roman" w:hAnsi="Times New Roman" w:cs="Monotype Hadassah"/>
          <w:sz w:val="24"/>
          <w:szCs w:val="20"/>
        </w:rPr>
        <w:t>.</w:t>
      </w:r>
      <w:r w:rsidR="00A45DD0" w:rsidRPr="00A45DD0">
        <w:rPr>
          <w:rFonts w:ascii="Times New Roman" w:eastAsia="Times New Roman" w:hAnsi="Times New Roman" w:cs="Monotype Hadassah"/>
          <w:sz w:val="24"/>
          <w:szCs w:val="20"/>
          <w:vertAlign w:val="superscript"/>
        </w:rPr>
        <w:footnoteReference w:id="46"/>
      </w:r>
      <w:r w:rsidR="00A45DD0">
        <w:rPr>
          <w:rFonts w:ascii="Times New Roman" w:eastAsia="Times New Roman" w:hAnsi="Times New Roman" w:cs="Monotype Hadassah"/>
          <w:sz w:val="24"/>
          <w:szCs w:val="20"/>
        </w:rPr>
        <w:t xml:space="preserve"> </w:t>
      </w:r>
      <w:r w:rsidRPr="00300B58">
        <w:rPr>
          <w:rFonts w:ascii="Times New Roman" w:eastAsia="Times New Roman" w:hAnsi="Times New Roman" w:cs="Monotype Hadassah"/>
          <w:sz w:val="24"/>
          <w:szCs w:val="20"/>
        </w:rPr>
        <w:t xml:space="preserve">This conclusion, however interesting, should be read within the very narrow context of contemporary </w:t>
      </w:r>
      <w:r w:rsidR="00387EED">
        <w:rPr>
          <w:rFonts w:ascii="Times New Roman" w:eastAsia="Times New Roman" w:hAnsi="Times New Roman" w:cs="Monotype Hadassah"/>
          <w:sz w:val="24"/>
          <w:szCs w:val="20"/>
        </w:rPr>
        <w:t>US</w:t>
      </w:r>
      <w:r w:rsidRPr="00300B58">
        <w:rPr>
          <w:rFonts w:ascii="Times New Roman" w:eastAsia="Times New Roman" w:hAnsi="Times New Roman" w:cs="Monotype Hadassah"/>
          <w:sz w:val="24"/>
          <w:szCs w:val="20"/>
        </w:rPr>
        <w:t xml:space="preserve"> politics and the relatively recent and unique legal developments that have occurred in the U</w:t>
      </w:r>
      <w:r w:rsidR="00387EED">
        <w:rPr>
          <w:rFonts w:ascii="Times New Roman" w:eastAsia="Times New Roman" w:hAnsi="Times New Roman" w:cs="Monotype Hadassah"/>
          <w:sz w:val="24"/>
          <w:szCs w:val="20"/>
        </w:rPr>
        <w:t xml:space="preserve">nited </w:t>
      </w:r>
      <w:r w:rsidRPr="00300B58">
        <w:rPr>
          <w:rFonts w:ascii="Times New Roman" w:eastAsia="Times New Roman" w:hAnsi="Times New Roman" w:cs="Monotype Hadassah"/>
          <w:sz w:val="24"/>
          <w:szCs w:val="20"/>
        </w:rPr>
        <w:t>S</w:t>
      </w:r>
      <w:r w:rsidR="00387EED">
        <w:rPr>
          <w:rFonts w:ascii="Times New Roman" w:eastAsia="Times New Roman" w:hAnsi="Times New Roman" w:cs="Monotype Hadassah"/>
          <w:sz w:val="24"/>
          <w:szCs w:val="20"/>
        </w:rPr>
        <w:t>tates</w:t>
      </w:r>
      <w:r w:rsidRPr="00300B58">
        <w:rPr>
          <w:rFonts w:ascii="Times New Roman" w:eastAsia="Times New Roman" w:hAnsi="Times New Roman" w:cs="Monotype Hadassah"/>
          <w:sz w:val="24"/>
          <w:szCs w:val="20"/>
        </w:rPr>
        <w:t xml:space="preserve">. Interestingly, even within this narrow context, this conclusion </w:t>
      </w:r>
      <w:r w:rsidR="00A45DD0">
        <w:rPr>
          <w:rFonts w:ascii="Times New Roman" w:eastAsia="Times New Roman" w:hAnsi="Times New Roman" w:cs="Monotype Hadassah"/>
          <w:sz w:val="24"/>
          <w:szCs w:val="20"/>
        </w:rPr>
        <w:t>does not coincide</w:t>
      </w:r>
      <w:r w:rsidRPr="00300B58">
        <w:rPr>
          <w:rFonts w:ascii="Times New Roman" w:eastAsia="Times New Roman" w:hAnsi="Times New Roman" w:cs="Monotype Hadassah"/>
          <w:sz w:val="24"/>
          <w:szCs w:val="20"/>
        </w:rPr>
        <w:t xml:space="preserve"> with the findings of </w:t>
      </w:r>
      <w:r w:rsidR="00EC13DF">
        <w:rPr>
          <w:rFonts w:ascii="Times New Roman" w:eastAsia="Times New Roman" w:hAnsi="Times New Roman" w:cs="Monotype Hadassah"/>
          <w:sz w:val="24"/>
          <w:szCs w:val="20"/>
        </w:rPr>
        <w:t xml:space="preserve">a </w:t>
      </w:r>
      <w:r w:rsidRPr="00300B58">
        <w:rPr>
          <w:rFonts w:ascii="Times New Roman" w:eastAsia="Times New Roman" w:hAnsi="Times New Roman" w:cs="Monotype Hadassah"/>
          <w:sz w:val="24"/>
          <w:szCs w:val="20"/>
        </w:rPr>
        <w:t>research from 2001 that examined 2,109 court cases on religion in the US</w:t>
      </w:r>
      <w:r w:rsidR="00387EED">
        <w:rPr>
          <w:rFonts w:ascii="Times New Roman" w:eastAsia="Times New Roman" w:hAnsi="Times New Roman" w:cs="Monotype Hadassah"/>
          <w:sz w:val="24"/>
          <w:szCs w:val="20"/>
        </w:rPr>
        <w:t>A</w:t>
      </w:r>
      <w:r w:rsidRPr="00300B58">
        <w:rPr>
          <w:rFonts w:ascii="Times New Roman" w:eastAsia="Times New Roman" w:hAnsi="Times New Roman" w:cs="Monotype Hadassah"/>
          <w:sz w:val="24"/>
          <w:szCs w:val="20"/>
        </w:rPr>
        <w:t>, from 1981</w:t>
      </w:r>
      <w:r w:rsidR="00387EED">
        <w:rPr>
          <w:rFonts w:ascii="Times New Roman" w:eastAsia="Times New Roman" w:hAnsi="Times New Roman" w:cs="Monotype Hadassah"/>
          <w:sz w:val="24"/>
          <w:szCs w:val="20"/>
        </w:rPr>
        <w:t xml:space="preserve"> to </w:t>
      </w:r>
      <w:r w:rsidRPr="00300B58">
        <w:rPr>
          <w:rFonts w:ascii="Times New Roman" w:eastAsia="Times New Roman" w:hAnsi="Times New Roman" w:cs="Monotype Hadassah"/>
          <w:sz w:val="24"/>
          <w:szCs w:val="20"/>
        </w:rPr>
        <w:t xml:space="preserve">1996, </w:t>
      </w:r>
      <w:r w:rsidR="00387EED">
        <w:rPr>
          <w:rFonts w:ascii="Times New Roman" w:eastAsia="Times New Roman" w:hAnsi="Times New Roman" w:cs="Monotype Hadassah"/>
          <w:sz w:val="24"/>
          <w:szCs w:val="20"/>
        </w:rPr>
        <w:t>and which</w:t>
      </w:r>
      <w:r w:rsidRPr="00300B58">
        <w:rPr>
          <w:rFonts w:ascii="Times New Roman" w:eastAsia="Times New Roman" w:hAnsi="Times New Roman" w:cs="Monotype Hadassah"/>
          <w:sz w:val="24"/>
          <w:szCs w:val="20"/>
        </w:rPr>
        <w:t xml:space="preserve"> concluded that religious sects and cults were more likely to be involved in court cases and more likely to receive unfavourable rulings.</w:t>
      </w:r>
      <w:r w:rsidRPr="00300B58">
        <w:rPr>
          <w:rFonts w:ascii="Times New Roman" w:eastAsia="Times New Roman" w:hAnsi="Times New Roman" w:cs="Monotype Hadassah"/>
          <w:sz w:val="24"/>
          <w:szCs w:val="20"/>
          <w:vertAlign w:val="superscript"/>
        </w:rPr>
        <w:footnoteReference w:id="47"/>
      </w:r>
      <w:r w:rsidRPr="00300B58">
        <w:rPr>
          <w:rFonts w:ascii="Times New Roman" w:eastAsia="Times New Roman" w:hAnsi="Times New Roman" w:cs="Monotype Hadassah"/>
          <w:sz w:val="24"/>
          <w:szCs w:val="20"/>
        </w:rPr>
        <w:t xml:space="preserve"> </w:t>
      </w:r>
    </w:p>
    <w:p w:rsidR="00300B58" w:rsidRPr="00300B58" w:rsidRDefault="00300B58" w:rsidP="00527B08">
      <w:pPr>
        <w:spacing w:after="0" w:line="480" w:lineRule="auto"/>
        <w:jc w:val="both"/>
        <w:rPr>
          <w:rFonts w:ascii="Times New Roman" w:eastAsia="Times New Roman" w:hAnsi="Times New Roman" w:cs="Monotype Hadassah"/>
          <w:sz w:val="24"/>
          <w:szCs w:val="20"/>
        </w:rPr>
      </w:pPr>
      <w:r w:rsidRPr="00300B58">
        <w:rPr>
          <w:rFonts w:ascii="Times New Roman" w:eastAsia="Times New Roman" w:hAnsi="Times New Roman" w:cs="Monotype Hadassah"/>
          <w:sz w:val="24"/>
          <w:szCs w:val="20"/>
        </w:rPr>
        <w:t xml:space="preserve">Therefore, although the above discussion does speculate about the possible consequences that may or may not take place if a constitutional right to be granted </w:t>
      </w:r>
      <w:r w:rsidRPr="00300B58">
        <w:rPr>
          <w:rFonts w:ascii="Times New Roman" w:eastAsia="Times New Roman" w:hAnsi="Times New Roman" w:cs="Monotype Hadassah"/>
          <w:sz w:val="24"/>
          <w:szCs w:val="20"/>
        </w:rPr>
        <w:lastRenderedPageBreak/>
        <w:t xml:space="preserve">conscientious exemption were to be recognised, the strength of the relevant arguments should </w:t>
      </w:r>
      <w:r w:rsidR="00444640">
        <w:rPr>
          <w:rFonts w:ascii="Times New Roman" w:eastAsia="Times New Roman" w:hAnsi="Times New Roman" w:cs="Monotype Hadassah"/>
          <w:sz w:val="24"/>
          <w:szCs w:val="20"/>
        </w:rPr>
        <w:t xml:space="preserve">also </w:t>
      </w:r>
      <w:r w:rsidRPr="00300B58">
        <w:rPr>
          <w:rFonts w:ascii="Times New Roman" w:eastAsia="Times New Roman" w:hAnsi="Times New Roman" w:cs="Monotype Hadassah"/>
          <w:sz w:val="24"/>
          <w:szCs w:val="20"/>
        </w:rPr>
        <w:t xml:space="preserve">be appreciated by their principled, theoretical merits.     </w:t>
      </w:r>
    </w:p>
    <w:p w:rsidR="00300B58" w:rsidRPr="00300B58" w:rsidRDefault="00387EED" w:rsidP="0090720D">
      <w:pPr>
        <w:pStyle w:val="2"/>
        <w:rPr>
          <w:rFonts w:eastAsia="Times New Roman"/>
        </w:rPr>
      </w:pPr>
      <w:bookmarkStart w:id="83" w:name="_Toc190578498"/>
      <w:bookmarkStart w:id="84" w:name="_Toc171502421"/>
      <w:bookmarkStart w:id="85" w:name="_Toc138225977"/>
      <w:bookmarkStart w:id="86" w:name="_Toc435695352"/>
      <w:r>
        <w:rPr>
          <w:rFonts w:eastAsia="Times New Roman"/>
        </w:rPr>
        <w:t>d</w:t>
      </w:r>
      <w:r w:rsidR="00300B58" w:rsidRPr="00300B58">
        <w:rPr>
          <w:rFonts w:eastAsia="Times New Roman"/>
        </w:rPr>
        <w:t>. Granting conscientious exemptions: who is to decide?</w:t>
      </w:r>
      <w:bookmarkEnd w:id="83"/>
      <w:bookmarkEnd w:id="84"/>
      <w:bookmarkEnd w:id="85"/>
      <w:bookmarkEnd w:id="86"/>
    </w:p>
    <w:p w:rsidR="0090720D" w:rsidRDefault="0090720D" w:rsidP="00527B08">
      <w:pPr>
        <w:spacing w:after="0" w:line="480" w:lineRule="auto"/>
        <w:jc w:val="both"/>
        <w:rPr>
          <w:rFonts w:ascii="Times New Roman" w:eastAsia="Times New Roman" w:hAnsi="Times New Roman" w:cs="Monotype Hadassah"/>
          <w:sz w:val="24"/>
          <w:szCs w:val="20"/>
        </w:rPr>
      </w:pPr>
    </w:p>
    <w:p w:rsidR="00300B58" w:rsidRPr="00300B58" w:rsidRDefault="00300B58" w:rsidP="00527B08">
      <w:pPr>
        <w:spacing w:after="0" w:line="480" w:lineRule="auto"/>
        <w:jc w:val="both"/>
        <w:rPr>
          <w:rFonts w:ascii="Times New Roman" w:eastAsia="Times New Roman" w:hAnsi="Times New Roman" w:cs="Monotype Hadassah"/>
          <w:sz w:val="24"/>
          <w:szCs w:val="20"/>
        </w:rPr>
      </w:pPr>
      <w:r w:rsidRPr="00300B58">
        <w:rPr>
          <w:rFonts w:ascii="Times New Roman" w:eastAsia="Times New Roman" w:hAnsi="Times New Roman" w:cs="Monotype Hadassah"/>
          <w:sz w:val="24"/>
          <w:szCs w:val="20"/>
        </w:rPr>
        <w:t xml:space="preserve">As mentioned above, some of the earlier questions about </w:t>
      </w:r>
      <w:r w:rsidRPr="00A52C8F">
        <w:rPr>
          <w:rFonts w:ascii="Times New Roman" w:eastAsia="Times New Roman" w:hAnsi="Times New Roman" w:cs="Monotype Hadassah"/>
          <w:i/>
          <w:iCs/>
          <w:sz w:val="24"/>
          <w:szCs w:val="20"/>
        </w:rPr>
        <w:t>how</w:t>
      </w:r>
      <w:r w:rsidRPr="00300B58">
        <w:rPr>
          <w:rFonts w:ascii="Times New Roman" w:eastAsia="Times New Roman" w:hAnsi="Times New Roman" w:cs="Monotype Hadassah"/>
          <w:sz w:val="24"/>
          <w:szCs w:val="20"/>
        </w:rPr>
        <w:t xml:space="preserve"> conscientious exemptions should be granted are closely related to the question of </w:t>
      </w:r>
      <w:r w:rsidRPr="00A52C8F">
        <w:rPr>
          <w:rFonts w:ascii="Times New Roman" w:eastAsia="Times New Roman" w:hAnsi="Times New Roman" w:cs="Monotype Hadassah"/>
          <w:i/>
          <w:iCs/>
          <w:sz w:val="24"/>
          <w:szCs w:val="20"/>
        </w:rPr>
        <w:t>who</w:t>
      </w:r>
      <w:r w:rsidRPr="00300B58">
        <w:rPr>
          <w:rFonts w:ascii="Times New Roman" w:eastAsia="Times New Roman" w:hAnsi="Times New Roman" w:cs="Monotype Hadassah"/>
          <w:sz w:val="24"/>
          <w:szCs w:val="20"/>
        </w:rPr>
        <w:t xml:space="preserve"> is to decide when they should be granted. The constitutional exemption model places the power with the courts, whereas the common law exemption model creates a more balanced distribution of power between the courts and the legislature. A general statutory right to be granted exemptions enables judicial flexibility, whereas specific statutory exemptions limit judicial discretion. A statutory exemption regime can grant wide discretion to the executive by allowing it to apply its quasi-legislative or quasi-judicial functions but can also address the executive as a mere administrator.</w:t>
      </w:r>
    </w:p>
    <w:p w:rsidR="00300B58" w:rsidRPr="00300B58" w:rsidRDefault="00300B58" w:rsidP="00444640">
      <w:pPr>
        <w:spacing w:after="0" w:line="480" w:lineRule="auto"/>
        <w:jc w:val="both"/>
        <w:rPr>
          <w:rFonts w:ascii="Times New Roman" w:eastAsia="Times New Roman" w:hAnsi="Times New Roman" w:cs="Monotype Hadassah"/>
          <w:sz w:val="24"/>
          <w:szCs w:val="20"/>
        </w:rPr>
      </w:pPr>
      <w:r w:rsidRPr="00300B58">
        <w:rPr>
          <w:rFonts w:ascii="Times New Roman" w:eastAsia="Times New Roman" w:hAnsi="Times New Roman" w:cs="Monotype Hadassah"/>
          <w:sz w:val="24"/>
          <w:szCs w:val="20"/>
        </w:rPr>
        <w:t xml:space="preserve">Some of the relevant considerations </w:t>
      </w:r>
      <w:r w:rsidR="00387EED">
        <w:rPr>
          <w:rFonts w:ascii="Times New Roman" w:eastAsia="Times New Roman" w:hAnsi="Times New Roman" w:cs="Monotype Hadassah"/>
          <w:sz w:val="24"/>
          <w:szCs w:val="20"/>
        </w:rPr>
        <w:t>have</w:t>
      </w:r>
      <w:r w:rsidRPr="00300B58">
        <w:rPr>
          <w:rFonts w:ascii="Times New Roman" w:eastAsia="Times New Roman" w:hAnsi="Times New Roman" w:cs="Monotype Hadassah"/>
          <w:sz w:val="24"/>
          <w:szCs w:val="20"/>
        </w:rPr>
        <w:t xml:space="preserve"> already</w:t>
      </w:r>
      <w:r w:rsidR="00387EED">
        <w:rPr>
          <w:rFonts w:ascii="Times New Roman" w:eastAsia="Times New Roman" w:hAnsi="Times New Roman" w:cs="Monotype Hadassah"/>
          <w:sz w:val="24"/>
          <w:szCs w:val="20"/>
        </w:rPr>
        <w:t xml:space="preserve"> been</w:t>
      </w:r>
      <w:r w:rsidRPr="00300B58">
        <w:rPr>
          <w:rFonts w:ascii="Times New Roman" w:eastAsia="Times New Roman" w:hAnsi="Times New Roman" w:cs="Monotype Hadassah"/>
          <w:sz w:val="24"/>
          <w:szCs w:val="20"/>
        </w:rPr>
        <w:t xml:space="preserve"> discussed throughout this paper. Here, I wish to add more focused and specific ones, i.e. considerations that derive not from the general issue of the balance of power</w:t>
      </w:r>
      <w:r w:rsidR="00A402F7">
        <w:rPr>
          <w:rFonts w:ascii="Times New Roman" w:eastAsia="Times New Roman" w:hAnsi="Times New Roman" w:cs="Monotype Hadassah"/>
          <w:sz w:val="24"/>
          <w:szCs w:val="20"/>
        </w:rPr>
        <w:t>s</w:t>
      </w:r>
      <w:r w:rsidRPr="00300B58">
        <w:rPr>
          <w:rFonts w:ascii="Times New Roman" w:eastAsia="Times New Roman" w:hAnsi="Times New Roman" w:cs="Monotype Hadassah"/>
          <w:sz w:val="24"/>
          <w:szCs w:val="20"/>
        </w:rPr>
        <w:t xml:space="preserve"> between </w:t>
      </w:r>
      <w:r w:rsidR="00387EED">
        <w:rPr>
          <w:rFonts w:ascii="Times New Roman" w:eastAsia="Times New Roman" w:hAnsi="Times New Roman" w:cs="Monotype Hadassah"/>
          <w:sz w:val="24"/>
          <w:szCs w:val="20"/>
        </w:rPr>
        <w:t>a</w:t>
      </w:r>
      <w:r w:rsidRPr="00300B58">
        <w:rPr>
          <w:rFonts w:ascii="Times New Roman" w:eastAsia="Times New Roman" w:hAnsi="Times New Roman" w:cs="Monotype Hadassah"/>
          <w:sz w:val="24"/>
          <w:szCs w:val="20"/>
        </w:rPr>
        <w:t xml:space="preserve"> </w:t>
      </w:r>
      <w:r w:rsidR="00387EED">
        <w:rPr>
          <w:rFonts w:ascii="Times New Roman" w:eastAsia="Times New Roman" w:hAnsi="Times New Roman" w:cs="Monotype Hadassah"/>
          <w:sz w:val="24"/>
          <w:szCs w:val="20"/>
        </w:rPr>
        <w:t xml:space="preserve">state’s </w:t>
      </w:r>
      <w:r w:rsidRPr="00300B58">
        <w:rPr>
          <w:rFonts w:ascii="Times New Roman" w:eastAsia="Times New Roman" w:hAnsi="Times New Roman" w:cs="Monotype Hadassah"/>
          <w:sz w:val="24"/>
          <w:szCs w:val="20"/>
        </w:rPr>
        <w:t xml:space="preserve">three </w:t>
      </w:r>
      <w:r w:rsidR="00444640">
        <w:rPr>
          <w:rFonts w:ascii="Times New Roman" w:eastAsia="Times New Roman" w:hAnsi="Times New Roman" w:cs="Monotype Hadassah"/>
          <w:sz w:val="24"/>
          <w:szCs w:val="20"/>
        </w:rPr>
        <w:t xml:space="preserve">branches </w:t>
      </w:r>
      <w:r w:rsidRPr="00300B58">
        <w:rPr>
          <w:rFonts w:ascii="Times New Roman" w:eastAsia="Times New Roman" w:hAnsi="Times New Roman" w:cs="Monotype Hadassah"/>
          <w:sz w:val="24"/>
          <w:szCs w:val="20"/>
        </w:rPr>
        <w:t>but from the specific case of granting conscientious exemptions. No single consideration is a decisive or sufficient reason for placing the power of decision</w:t>
      </w:r>
      <w:r w:rsidR="00CD10B1">
        <w:rPr>
          <w:rFonts w:ascii="Times New Roman" w:eastAsia="Times New Roman" w:hAnsi="Times New Roman" w:cs="Monotype Hadassah"/>
          <w:sz w:val="24"/>
          <w:szCs w:val="20"/>
        </w:rPr>
        <w:t>-</w:t>
      </w:r>
      <w:r w:rsidRPr="00300B58">
        <w:rPr>
          <w:rFonts w:ascii="Times New Roman" w:eastAsia="Times New Roman" w:hAnsi="Times New Roman" w:cs="Monotype Hadassah"/>
          <w:sz w:val="24"/>
          <w:szCs w:val="20"/>
        </w:rPr>
        <w:t xml:space="preserve">making in one authority and not in others. In many cases, contradictory considerations will apply. The purpose of the following is merely to set forth some basic guidelines for deciding who is to decide when to grant conscientious exemptions.    </w:t>
      </w:r>
    </w:p>
    <w:p w:rsidR="00300B58" w:rsidRPr="00300B58" w:rsidRDefault="00300B58" w:rsidP="000A0920">
      <w:pPr>
        <w:spacing w:after="0" w:line="480" w:lineRule="auto"/>
        <w:jc w:val="both"/>
        <w:rPr>
          <w:rFonts w:ascii="Times New Roman" w:eastAsia="Times New Roman" w:hAnsi="Times New Roman" w:cs="Monotype Hadassah"/>
          <w:sz w:val="24"/>
          <w:szCs w:val="20"/>
        </w:rPr>
      </w:pPr>
      <w:r w:rsidRPr="00300B58">
        <w:rPr>
          <w:rFonts w:ascii="Times New Roman" w:eastAsia="Times New Roman" w:hAnsi="Times New Roman" w:cs="Monotype Hadassah"/>
          <w:sz w:val="24"/>
          <w:szCs w:val="20"/>
        </w:rPr>
        <w:t xml:space="preserve">Firstly, in cases where the expected number of conscientious objectors is relatively small and where their motives may vary, it is better to leave the decision to the court by formulating a relatively general statutory exemption. In these cases, the court would not have to face too many applications; it would be able to discuss the special </w:t>
      </w:r>
      <w:r w:rsidRPr="00300B58">
        <w:rPr>
          <w:rFonts w:ascii="Times New Roman" w:eastAsia="Times New Roman" w:hAnsi="Times New Roman" w:cs="Monotype Hadassah"/>
          <w:sz w:val="24"/>
          <w:szCs w:val="20"/>
        </w:rPr>
        <w:lastRenderedPageBreak/>
        <w:t>merits of each case – a classic judicial function – and even when the court deviates from the political majority’s will or simply errs, other rights or interests would normally not be threatened, at least not severely, because of the small number of anticipated exemptions.</w:t>
      </w:r>
      <w:r w:rsidR="000A0920">
        <w:rPr>
          <w:rFonts w:ascii="Times New Roman" w:eastAsia="Times New Roman" w:hAnsi="Times New Roman" w:cs="Monotype Hadassah"/>
          <w:sz w:val="24"/>
          <w:szCs w:val="20"/>
        </w:rPr>
        <w:t xml:space="preserve"> </w:t>
      </w:r>
      <w:r w:rsidRPr="00300B58">
        <w:rPr>
          <w:rFonts w:ascii="Times New Roman" w:eastAsia="Times New Roman" w:hAnsi="Times New Roman" w:cs="Monotype Hadassah"/>
          <w:sz w:val="24"/>
          <w:szCs w:val="20"/>
        </w:rPr>
        <w:t xml:space="preserve">Such is the case, </w:t>
      </w:r>
      <w:r w:rsidR="000A0920">
        <w:rPr>
          <w:rFonts w:ascii="Times New Roman" w:eastAsia="Times New Roman" w:hAnsi="Times New Roman" w:cs="Monotype Hadassah"/>
          <w:sz w:val="24"/>
          <w:szCs w:val="20"/>
        </w:rPr>
        <w:t>for example</w:t>
      </w:r>
      <w:r w:rsidRPr="00300B58">
        <w:rPr>
          <w:rFonts w:ascii="Times New Roman" w:eastAsia="Times New Roman" w:hAnsi="Times New Roman" w:cs="Monotype Hadassah"/>
          <w:sz w:val="24"/>
          <w:szCs w:val="20"/>
        </w:rPr>
        <w:t>, regarding conscientious objections to</w:t>
      </w:r>
      <w:r w:rsidR="000A0920">
        <w:rPr>
          <w:rFonts w:ascii="Times New Roman" w:eastAsia="Times New Roman" w:hAnsi="Times New Roman" w:cs="Monotype Hadassah"/>
          <w:sz w:val="24"/>
          <w:szCs w:val="20"/>
        </w:rPr>
        <w:t xml:space="preserve"> receiving medical treatment or to</w:t>
      </w:r>
      <w:r w:rsidRPr="00300B58">
        <w:rPr>
          <w:rFonts w:ascii="Times New Roman" w:eastAsia="Times New Roman" w:hAnsi="Times New Roman" w:cs="Monotype Hadassah"/>
          <w:sz w:val="24"/>
          <w:szCs w:val="20"/>
        </w:rPr>
        <w:t xml:space="preserve"> paying income tax.</w:t>
      </w:r>
      <w:r w:rsidRPr="00300B58">
        <w:rPr>
          <w:rFonts w:ascii="Times New Roman" w:eastAsia="Times New Roman" w:hAnsi="Times New Roman" w:cs="Monotype Hadassah"/>
          <w:sz w:val="24"/>
          <w:szCs w:val="20"/>
          <w:vertAlign w:val="superscript"/>
        </w:rPr>
        <w:footnoteReference w:id="48"/>
      </w:r>
      <w:r w:rsidRPr="00300B58">
        <w:rPr>
          <w:rFonts w:ascii="Times New Roman" w:eastAsia="Times New Roman" w:hAnsi="Times New Roman" w:cs="Monotype Hadassah"/>
          <w:sz w:val="24"/>
          <w:szCs w:val="20"/>
        </w:rPr>
        <w:t xml:space="preserve"> </w:t>
      </w:r>
    </w:p>
    <w:p w:rsidR="00300B58" w:rsidRPr="00300B58" w:rsidRDefault="00300B58" w:rsidP="000A0920">
      <w:pPr>
        <w:spacing w:after="0" w:line="480" w:lineRule="auto"/>
        <w:jc w:val="both"/>
        <w:rPr>
          <w:rFonts w:ascii="Times New Roman" w:eastAsia="Times New Roman" w:hAnsi="Times New Roman" w:cs="Monotype Hadassah"/>
          <w:sz w:val="24"/>
          <w:szCs w:val="20"/>
        </w:rPr>
      </w:pPr>
      <w:r w:rsidRPr="00300B58">
        <w:rPr>
          <w:rFonts w:ascii="Times New Roman" w:eastAsia="Times New Roman" w:hAnsi="Times New Roman" w:cs="Monotype Hadassah"/>
          <w:sz w:val="24"/>
          <w:szCs w:val="20"/>
        </w:rPr>
        <w:t xml:space="preserve">However, in cases where the expected number of conscientious objectors is relatively high or when granting the exemption is not a single action but a continuing necessity (e.g. exemptions from compulsory military conscription as opposed to exempting the Church from </w:t>
      </w:r>
      <w:r w:rsidR="00A402F7">
        <w:rPr>
          <w:rFonts w:ascii="Times New Roman" w:eastAsia="Times New Roman" w:hAnsi="Times New Roman" w:cs="Monotype Hadassah"/>
          <w:sz w:val="24"/>
          <w:szCs w:val="20"/>
        </w:rPr>
        <w:t>equality law</w:t>
      </w:r>
      <w:r w:rsidRPr="00300B58">
        <w:rPr>
          <w:rFonts w:ascii="Times New Roman" w:eastAsia="Times New Roman" w:hAnsi="Times New Roman" w:cs="Monotype Hadassah"/>
          <w:sz w:val="24"/>
          <w:szCs w:val="20"/>
        </w:rPr>
        <w:t xml:space="preserve">), it is preferable that the law </w:t>
      </w:r>
      <w:r w:rsidR="00A402F7">
        <w:rPr>
          <w:rFonts w:ascii="Times New Roman" w:eastAsia="Times New Roman" w:hAnsi="Times New Roman" w:cs="Monotype Hadassah"/>
          <w:sz w:val="24"/>
          <w:szCs w:val="20"/>
        </w:rPr>
        <w:t>would be</w:t>
      </w:r>
      <w:r w:rsidRPr="00300B58">
        <w:rPr>
          <w:rFonts w:ascii="Times New Roman" w:eastAsia="Times New Roman" w:hAnsi="Times New Roman" w:cs="Monotype Hadassah"/>
          <w:sz w:val="24"/>
          <w:szCs w:val="20"/>
        </w:rPr>
        <w:t xml:space="preserve"> relatively detailed and precise, thus preventing unnecessary judicial proceedings. Alternatively, the law can grant the executive relatively wide discretion, as the executive is more capable of dealing with mass and repeated applications. In appropriate cases, special administrative tribunals could be established. In any case, judicial review of the administrative process and outcome should be guaranteed.        </w:t>
      </w:r>
    </w:p>
    <w:p w:rsidR="00300B58" w:rsidRPr="00300B58" w:rsidRDefault="00300B58" w:rsidP="000A0920">
      <w:pPr>
        <w:spacing w:after="0" w:line="480" w:lineRule="auto"/>
        <w:jc w:val="both"/>
        <w:rPr>
          <w:rFonts w:ascii="Times New Roman" w:eastAsia="Times New Roman" w:hAnsi="Times New Roman" w:cs="Monotype Hadassah"/>
          <w:sz w:val="24"/>
          <w:szCs w:val="20"/>
        </w:rPr>
      </w:pPr>
      <w:r w:rsidRPr="00300B58">
        <w:rPr>
          <w:rFonts w:ascii="Times New Roman" w:eastAsia="Times New Roman" w:hAnsi="Times New Roman" w:cs="Monotype Hadassah"/>
          <w:sz w:val="24"/>
          <w:szCs w:val="20"/>
        </w:rPr>
        <w:t xml:space="preserve">Secondly, judicial supremacy or effective judicial review of administrative decisions should be </w:t>
      </w:r>
      <w:r w:rsidR="00A402F7">
        <w:rPr>
          <w:rFonts w:ascii="Times New Roman" w:eastAsia="Times New Roman" w:hAnsi="Times New Roman" w:cs="Monotype Hadassah"/>
          <w:sz w:val="24"/>
          <w:szCs w:val="20"/>
        </w:rPr>
        <w:t>guaranteed</w:t>
      </w:r>
      <w:r w:rsidRPr="00300B58">
        <w:rPr>
          <w:rFonts w:ascii="Times New Roman" w:eastAsia="Times New Roman" w:hAnsi="Times New Roman" w:cs="Monotype Hadassah"/>
          <w:sz w:val="24"/>
          <w:szCs w:val="20"/>
        </w:rPr>
        <w:t xml:space="preserve"> in cases where the evaluation of the sincerity of the conscientious objection and the evaluation of the extent of the expected harm, both to the objector’s right and to other rights and interests, are likely to be complex ones. This is also the case where relevant circumstances are expected to change frequently. The judiciary and </w:t>
      </w:r>
      <w:r w:rsidR="000A0920">
        <w:rPr>
          <w:rFonts w:ascii="Times New Roman" w:eastAsia="Times New Roman" w:hAnsi="Times New Roman" w:cs="Monotype Hadassah"/>
          <w:sz w:val="24"/>
          <w:szCs w:val="20"/>
        </w:rPr>
        <w:t xml:space="preserve">the </w:t>
      </w:r>
      <w:r w:rsidRPr="00300B58">
        <w:rPr>
          <w:rFonts w:ascii="Times New Roman" w:eastAsia="Times New Roman" w:hAnsi="Times New Roman" w:cs="Monotype Hadassah"/>
          <w:sz w:val="24"/>
          <w:szCs w:val="20"/>
        </w:rPr>
        <w:t xml:space="preserve">executive are more capable than the legislature </w:t>
      </w:r>
      <w:r w:rsidR="00A402F7">
        <w:rPr>
          <w:rFonts w:ascii="Times New Roman" w:eastAsia="Times New Roman" w:hAnsi="Times New Roman" w:cs="Monotype Hadassah"/>
          <w:sz w:val="24"/>
          <w:szCs w:val="20"/>
        </w:rPr>
        <w:t>of</w:t>
      </w:r>
      <w:r w:rsidRPr="00300B58">
        <w:rPr>
          <w:rFonts w:ascii="Times New Roman" w:eastAsia="Times New Roman" w:hAnsi="Times New Roman" w:cs="Monotype Hadassah"/>
          <w:sz w:val="24"/>
          <w:szCs w:val="20"/>
        </w:rPr>
        <w:t xml:space="preserve"> </w:t>
      </w:r>
      <w:r w:rsidR="00A402F7">
        <w:rPr>
          <w:rFonts w:ascii="Times New Roman" w:eastAsia="Times New Roman" w:hAnsi="Times New Roman" w:cs="Monotype Hadassah"/>
          <w:sz w:val="24"/>
          <w:szCs w:val="20"/>
        </w:rPr>
        <w:t>dealing</w:t>
      </w:r>
      <w:r w:rsidRPr="00300B58">
        <w:rPr>
          <w:rFonts w:ascii="Times New Roman" w:eastAsia="Times New Roman" w:hAnsi="Times New Roman" w:cs="Monotype Hadassah"/>
          <w:sz w:val="24"/>
          <w:szCs w:val="20"/>
        </w:rPr>
        <w:t xml:space="preserve"> </w:t>
      </w:r>
      <w:r w:rsidR="00A402F7">
        <w:rPr>
          <w:rFonts w:ascii="Times New Roman" w:eastAsia="Times New Roman" w:hAnsi="Times New Roman" w:cs="Monotype Hadassah"/>
          <w:sz w:val="24"/>
          <w:szCs w:val="20"/>
        </w:rPr>
        <w:t xml:space="preserve">with </w:t>
      </w:r>
      <w:r w:rsidRPr="00300B58">
        <w:rPr>
          <w:rFonts w:ascii="Times New Roman" w:eastAsia="Times New Roman" w:hAnsi="Times New Roman" w:cs="Monotype Hadassah"/>
          <w:sz w:val="24"/>
          <w:szCs w:val="20"/>
        </w:rPr>
        <w:t xml:space="preserve">complex </w:t>
      </w:r>
      <w:r w:rsidR="00A402F7">
        <w:rPr>
          <w:rFonts w:ascii="Times New Roman" w:eastAsia="Times New Roman" w:hAnsi="Times New Roman" w:cs="Monotype Hadassah"/>
          <w:sz w:val="24"/>
          <w:szCs w:val="20"/>
        </w:rPr>
        <w:t>applications</w:t>
      </w:r>
      <w:r w:rsidRPr="00300B58">
        <w:rPr>
          <w:rFonts w:ascii="Times New Roman" w:eastAsia="Times New Roman" w:hAnsi="Times New Roman" w:cs="Monotype Hadassah"/>
          <w:sz w:val="24"/>
          <w:szCs w:val="20"/>
        </w:rPr>
        <w:t xml:space="preserve"> on a case</w:t>
      </w:r>
      <w:r w:rsidR="00E05A4E">
        <w:rPr>
          <w:rFonts w:ascii="Times New Roman" w:eastAsia="Times New Roman" w:hAnsi="Times New Roman" w:cs="Monotype Hadassah"/>
          <w:sz w:val="24"/>
          <w:szCs w:val="20"/>
        </w:rPr>
        <w:t>-</w:t>
      </w:r>
      <w:r w:rsidRPr="00300B58">
        <w:rPr>
          <w:rFonts w:ascii="Times New Roman" w:eastAsia="Times New Roman" w:hAnsi="Times New Roman" w:cs="Monotype Hadassah"/>
          <w:sz w:val="24"/>
          <w:szCs w:val="20"/>
        </w:rPr>
        <w:t>by</w:t>
      </w:r>
      <w:r w:rsidR="00E05A4E">
        <w:rPr>
          <w:rFonts w:ascii="Times New Roman" w:eastAsia="Times New Roman" w:hAnsi="Times New Roman" w:cs="Monotype Hadassah"/>
          <w:sz w:val="24"/>
          <w:szCs w:val="20"/>
        </w:rPr>
        <w:t>-</w:t>
      </w:r>
      <w:r w:rsidRPr="00300B58">
        <w:rPr>
          <w:rFonts w:ascii="Times New Roman" w:eastAsia="Times New Roman" w:hAnsi="Times New Roman" w:cs="Monotype Hadassah"/>
          <w:sz w:val="24"/>
          <w:szCs w:val="20"/>
        </w:rPr>
        <w:t xml:space="preserve">case basis and more capable of adjusting to changing circumstances. Such is the case, for example, in granting conscientious </w:t>
      </w:r>
      <w:r w:rsidRPr="00300B58">
        <w:rPr>
          <w:rFonts w:ascii="Times New Roman" w:eastAsia="Times New Roman" w:hAnsi="Times New Roman" w:cs="Monotype Hadassah"/>
          <w:sz w:val="24"/>
          <w:szCs w:val="20"/>
        </w:rPr>
        <w:lastRenderedPageBreak/>
        <w:t>exemptions to pharmacists (e.g. regarding the sale of contraceptives) and to physicians (e.g. regarding the performance of abortions).</w:t>
      </w:r>
    </w:p>
    <w:p w:rsidR="00300B58" w:rsidRPr="00300B58" w:rsidRDefault="00300B58" w:rsidP="00527B08">
      <w:pPr>
        <w:spacing w:after="0" w:line="480" w:lineRule="auto"/>
        <w:jc w:val="both"/>
        <w:rPr>
          <w:rFonts w:ascii="Times New Roman" w:eastAsia="Times New Roman" w:hAnsi="Times New Roman" w:cs="Monotype Hadassah"/>
          <w:sz w:val="24"/>
          <w:szCs w:val="20"/>
        </w:rPr>
      </w:pPr>
      <w:r w:rsidRPr="00300B58">
        <w:rPr>
          <w:rFonts w:ascii="Times New Roman" w:eastAsia="Times New Roman" w:hAnsi="Times New Roman" w:cs="Monotype Hadassah"/>
          <w:sz w:val="24"/>
          <w:szCs w:val="20"/>
        </w:rPr>
        <w:t xml:space="preserve">Thirdly, in some cases, time is of the essence. Changes in factual or legal circumstances may result in an unexpected need to be granted conscientious exemption. Moreover, public opinion may change, as well as the political majority’s views, and support </w:t>
      </w:r>
      <w:r w:rsidR="00E05A4E">
        <w:rPr>
          <w:rFonts w:ascii="Times New Roman" w:eastAsia="Times New Roman" w:hAnsi="Times New Roman" w:cs="Monotype Hadassah"/>
          <w:sz w:val="24"/>
          <w:szCs w:val="20"/>
        </w:rPr>
        <w:t xml:space="preserve">the </w:t>
      </w:r>
      <w:r w:rsidRPr="00300B58">
        <w:rPr>
          <w:rFonts w:ascii="Times New Roman" w:eastAsia="Times New Roman" w:hAnsi="Times New Roman" w:cs="Monotype Hadassah"/>
          <w:sz w:val="24"/>
          <w:szCs w:val="20"/>
        </w:rPr>
        <w:t>granting</w:t>
      </w:r>
      <w:r w:rsidR="00E05A4E">
        <w:rPr>
          <w:rFonts w:ascii="Times New Roman" w:eastAsia="Times New Roman" w:hAnsi="Times New Roman" w:cs="Monotype Hadassah"/>
          <w:sz w:val="24"/>
          <w:szCs w:val="20"/>
        </w:rPr>
        <w:t xml:space="preserve"> of</w:t>
      </w:r>
      <w:r w:rsidRPr="00300B58">
        <w:rPr>
          <w:rFonts w:ascii="Times New Roman" w:eastAsia="Times New Roman" w:hAnsi="Times New Roman" w:cs="Monotype Hadassah"/>
          <w:sz w:val="24"/>
          <w:szCs w:val="20"/>
        </w:rPr>
        <w:t xml:space="preserve"> exemptions to objectors whose previous claims were denied by the legislature or even the courts. Even if the political majority would support changing the law, the legislative process may be too time-consuming. Meanwhile conscientious objectors might suffer from civil or penal sanctions. A general statutory or constitutional right to be granted conscientious exemption makes it possible for the court to grant immediate remedies that may precede the legislative process, or, in some cases, make it unnecessary.</w:t>
      </w:r>
    </w:p>
    <w:p w:rsidR="00300B58" w:rsidRPr="00300B58" w:rsidRDefault="00300B58" w:rsidP="0090720D">
      <w:pPr>
        <w:spacing w:after="0" w:line="480" w:lineRule="auto"/>
        <w:jc w:val="both"/>
        <w:rPr>
          <w:rFonts w:ascii="Times New Roman" w:eastAsia="Times New Roman" w:hAnsi="Times New Roman" w:cs="Monotype Hadassah"/>
          <w:sz w:val="24"/>
          <w:szCs w:val="20"/>
        </w:rPr>
      </w:pPr>
      <w:r w:rsidRPr="00300B58">
        <w:rPr>
          <w:rFonts w:ascii="Times New Roman" w:eastAsia="Times New Roman" w:hAnsi="Times New Roman" w:cs="Monotype Hadassah"/>
          <w:sz w:val="24"/>
          <w:szCs w:val="20"/>
        </w:rPr>
        <w:t>Fourthly, the time factor may play another role in conscientious exemptions cases. In some cases, disobedience to a law due to conscientious reasons is long premeditated</w:t>
      </w:r>
      <w:r w:rsidR="00AA770E">
        <w:rPr>
          <w:rFonts w:ascii="Times New Roman" w:eastAsia="Times New Roman" w:hAnsi="Times New Roman" w:cs="Monotype Hadassah"/>
          <w:sz w:val="24"/>
          <w:szCs w:val="20"/>
        </w:rPr>
        <w:t xml:space="preserve"> (e.g. in cases of conscientious objection to compulsory enlistment</w:t>
      </w:r>
      <w:r w:rsidR="000A0920">
        <w:rPr>
          <w:rFonts w:ascii="Times New Roman" w:eastAsia="Times New Roman" w:hAnsi="Times New Roman" w:cs="Monotype Hadassah"/>
          <w:sz w:val="24"/>
          <w:szCs w:val="20"/>
        </w:rPr>
        <w:t xml:space="preserve"> to the army</w:t>
      </w:r>
      <w:r w:rsidR="00AA770E">
        <w:rPr>
          <w:rFonts w:ascii="Times New Roman" w:eastAsia="Times New Roman" w:hAnsi="Times New Roman" w:cs="Monotype Hadassah"/>
          <w:sz w:val="24"/>
          <w:szCs w:val="20"/>
        </w:rPr>
        <w:t>)</w:t>
      </w:r>
      <w:r w:rsidRPr="00300B58">
        <w:rPr>
          <w:rFonts w:ascii="Times New Roman" w:eastAsia="Times New Roman" w:hAnsi="Times New Roman" w:cs="Monotype Hadassah"/>
          <w:sz w:val="24"/>
          <w:szCs w:val="20"/>
        </w:rPr>
        <w:t xml:space="preserve">. Here, an administrative procedure prior to the judicial one may offer a faster and cheaper way for a conscientious objector to discover whether or not he is entitled to exemption from the law. It will also leave sufficient time to appeal to the court if the claim to the exemption is rejected. In other cases, the conscientious disobedience might be unexpected, even by the objector himself. Here, there is an advantage in having a general right to conscientious exemption that would allow the court to examine, even if only retroactively, whether the disobedience should be protected or not.   </w:t>
      </w:r>
    </w:p>
    <w:p w:rsidR="00300B58" w:rsidRPr="00300B58" w:rsidRDefault="00807686" w:rsidP="0090720D">
      <w:pPr>
        <w:pStyle w:val="1"/>
        <w:rPr>
          <w:rFonts w:eastAsia="Times New Roman"/>
        </w:rPr>
      </w:pPr>
      <w:bookmarkStart w:id="87" w:name="_Toc190578499"/>
      <w:bookmarkStart w:id="88" w:name="_Toc171502422"/>
      <w:bookmarkStart w:id="89" w:name="_Toc138225978"/>
      <w:bookmarkStart w:id="90" w:name="_Toc435695353"/>
      <w:r>
        <w:rPr>
          <w:rFonts w:eastAsia="Times New Roman"/>
        </w:rPr>
        <w:t>5</w:t>
      </w:r>
      <w:r w:rsidR="00300B58" w:rsidRPr="00300B58">
        <w:rPr>
          <w:rFonts w:eastAsia="Times New Roman"/>
        </w:rPr>
        <w:t>. Conclusion</w:t>
      </w:r>
      <w:bookmarkEnd w:id="87"/>
      <w:bookmarkEnd w:id="88"/>
      <w:bookmarkEnd w:id="89"/>
      <w:bookmarkEnd w:id="90"/>
    </w:p>
    <w:p w:rsidR="0090720D" w:rsidRDefault="0090720D" w:rsidP="00072ADA">
      <w:pPr>
        <w:spacing w:after="0" w:line="480" w:lineRule="auto"/>
        <w:jc w:val="both"/>
        <w:rPr>
          <w:rFonts w:ascii="Times New Roman" w:eastAsia="Times New Roman" w:hAnsi="Times New Roman" w:cs="Monotype Hadassah"/>
          <w:sz w:val="24"/>
          <w:szCs w:val="20"/>
        </w:rPr>
      </w:pPr>
    </w:p>
    <w:p w:rsidR="00300B58" w:rsidRPr="00300B58" w:rsidRDefault="000A0920" w:rsidP="000A0920">
      <w:pPr>
        <w:spacing w:after="0" w:line="480" w:lineRule="auto"/>
        <w:jc w:val="both"/>
        <w:rPr>
          <w:rFonts w:ascii="Times New Roman" w:eastAsia="Times New Roman" w:hAnsi="Times New Roman" w:cs="Monotype Hadassah"/>
          <w:sz w:val="24"/>
          <w:szCs w:val="20"/>
        </w:rPr>
      </w:pPr>
      <w:r>
        <w:rPr>
          <w:rFonts w:ascii="Times New Roman" w:eastAsia="Times New Roman" w:hAnsi="Times New Roman" w:cs="Monotype Hadassah"/>
          <w:sz w:val="24"/>
          <w:szCs w:val="20"/>
        </w:rPr>
        <w:lastRenderedPageBreak/>
        <w:t>T</w:t>
      </w:r>
      <w:r w:rsidR="00300B58" w:rsidRPr="00300B58">
        <w:rPr>
          <w:rFonts w:ascii="Times New Roman" w:eastAsia="Times New Roman" w:hAnsi="Times New Roman" w:cs="Monotype Hadassah"/>
          <w:sz w:val="24"/>
          <w:szCs w:val="20"/>
        </w:rPr>
        <w:t>he above discussion leads to one conclusion. Although there are cases in which freedom of conscience can be sufficiently protected without it being a constitutional right, clearly there are also cases whe</w:t>
      </w:r>
      <w:r>
        <w:rPr>
          <w:rFonts w:ascii="Times New Roman" w:eastAsia="Times New Roman" w:hAnsi="Times New Roman" w:cs="Monotype Hadassah"/>
          <w:sz w:val="24"/>
          <w:szCs w:val="20"/>
        </w:rPr>
        <w:t>re</w:t>
      </w:r>
      <w:r w:rsidR="00300B58" w:rsidRPr="00300B58">
        <w:rPr>
          <w:rFonts w:ascii="Times New Roman" w:eastAsia="Times New Roman" w:hAnsi="Times New Roman" w:cs="Monotype Hadassah"/>
          <w:sz w:val="24"/>
          <w:szCs w:val="20"/>
        </w:rPr>
        <w:t xml:space="preserve"> a general constitutional right to be granted conscientious exemption is a </w:t>
      </w:r>
      <w:r>
        <w:rPr>
          <w:rFonts w:ascii="Times New Roman" w:eastAsia="Times New Roman" w:hAnsi="Times New Roman" w:cs="Monotype Hadassah"/>
          <w:sz w:val="24"/>
          <w:szCs w:val="20"/>
        </w:rPr>
        <w:t>pre-</w:t>
      </w:r>
      <w:r w:rsidR="00300B58" w:rsidRPr="00300B58">
        <w:rPr>
          <w:rFonts w:ascii="Times New Roman" w:eastAsia="Times New Roman" w:hAnsi="Times New Roman" w:cs="Monotype Hadassah"/>
          <w:sz w:val="24"/>
          <w:szCs w:val="20"/>
        </w:rPr>
        <w:t xml:space="preserve">condition for </w:t>
      </w:r>
      <w:r>
        <w:rPr>
          <w:rFonts w:ascii="Times New Roman" w:eastAsia="Times New Roman" w:hAnsi="Times New Roman" w:cs="Monotype Hadassah"/>
          <w:sz w:val="24"/>
          <w:szCs w:val="20"/>
        </w:rPr>
        <w:t>an</w:t>
      </w:r>
      <w:r w:rsidR="00300B58" w:rsidRPr="00300B58">
        <w:rPr>
          <w:rFonts w:ascii="Times New Roman" w:eastAsia="Times New Roman" w:hAnsi="Times New Roman" w:cs="Monotype Hadassah"/>
          <w:sz w:val="24"/>
          <w:szCs w:val="20"/>
        </w:rPr>
        <w:t xml:space="preserve"> effective protection of freedom of conscience. Thus, regardless of the various reasonable ways </w:t>
      </w:r>
      <w:r w:rsidR="00072ADA">
        <w:rPr>
          <w:rFonts w:ascii="Times New Roman" w:eastAsia="Times New Roman" w:hAnsi="Times New Roman" w:cs="Monotype Hadassah"/>
          <w:sz w:val="24"/>
          <w:szCs w:val="20"/>
        </w:rPr>
        <w:t>from</w:t>
      </w:r>
      <w:r w:rsidR="00300B58" w:rsidRPr="00300B58">
        <w:rPr>
          <w:rFonts w:ascii="Times New Roman" w:eastAsia="Times New Roman" w:hAnsi="Times New Roman" w:cs="Monotype Hadassah"/>
          <w:sz w:val="24"/>
          <w:szCs w:val="20"/>
        </w:rPr>
        <w:t xml:space="preserve"> which the legislature may choose to protect freedom of conscience, this protection will never be sufficient without </w:t>
      </w:r>
      <w:r w:rsidR="00072ADA">
        <w:rPr>
          <w:rFonts w:ascii="Times New Roman" w:eastAsia="Times New Roman" w:hAnsi="Times New Roman" w:cs="Monotype Hadassah"/>
          <w:sz w:val="24"/>
          <w:szCs w:val="20"/>
        </w:rPr>
        <w:t>having</w:t>
      </w:r>
      <w:r w:rsidR="00300B58" w:rsidRPr="00300B58">
        <w:rPr>
          <w:rFonts w:ascii="Times New Roman" w:eastAsia="Times New Roman" w:hAnsi="Times New Roman" w:cs="Monotype Hadassah"/>
          <w:sz w:val="24"/>
          <w:szCs w:val="20"/>
        </w:rPr>
        <w:t xml:space="preserve"> </w:t>
      </w:r>
      <w:r>
        <w:rPr>
          <w:rFonts w:ascii="Times New Roman" w:eastAsia="Times New Roman" w:hAnsi="Times New Roman" w:cs="Monotype Hadassah"/>
          <w:sz w:val="24"/>
          <w:szCs w:val="20"/>
        </w:rPr>
        <w:t xml:space="preserve">a </w:t>
      </w:r>
      <w:r w:rsidR="00300B58" w:rsidRPr="00300B58">
        <w:rPr>
          <w:rFonts w:ascii="Times New Roman" w:eastAsia="Times New Roman" w:hAnsi="Times New Roman" w:cs="Monotype Hadassah"/>
          <w:sz w:val="24"/>
          <w:szCs w:val="20"/>
        </w:rPr>
        <w:t xml:space="preserve">constitutional right to be granted conscientious exemption. </w:t>
      </w:r>
    </w:p>
    <w:p w:rsidR="00B64366" w:rsidRDefault="00072ADA" w:rsidP="00435B18">
      <w:pPr>
        <w:spacing w:after="0" w:line="480" w:lineRule="auto"/>
        <w:jc w:val="both"/>
      </w:pPr>
      <w:r>
        <w:rPr>
          <w:rFonts w:ascii="Times New Roman" w:eastAsia="Times New Roman" w:hAnsi="Times New Roman" w:cs="Monotype Hadassah"/>
          <w:sz w:val="24"/>
          <w:szCs w:val="20"/>
        </w:rPr>
        <w:t>T</w:t>
      </w:r>
      <w:r w:rsidR="00300B58" w:rsidRPr="00300B58">
        <w:rPr>
          <w:rFonts w:ascii="Times New Roman" w:eastAsia="Times New Roman" w:hAnsi="Times New Roman" w:cs="Monotype Hadassah"/>
          <w:sz w:val="24"/>
          <w:szCs w:val="20"/>
        </w:rPr>
        <w:t xml:space="preserve">here is no one preferable way of granting conscientious exemptions. As explained throughout this paper, different methods should be applied in different circumstances. Thus, instead of arguing for one model that excludes all others, one should adopt a more flexible approach, according to which there should be a general constitutional right to be granted conscientious exemptions, alongside statutory exemptions of various kinds. This ‘integrated’ model offers flexibility and has the greatest potential for striking the correct balance between freedom of conscience and other rights or interests. </w:t>
      </w:r>
    </w:p>
    <w:sectPr w:rsidR="00B64366">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291F" w:rsidRDefault="00B9291F" w:rsidP="00300B58">
      <w:pPr>
        <w:spacing w:after="0" w:line="240" w:lineRule="auto"/>
      </w:pPr>
      <w:r>
        <w:separator/>
      </w:r>
    </w:p>
  </w:endnote>
  <w:endnote w:type="continuationSeparator" w:id="0">
    <w:p w:rsidR="00B9291F" w:rsidRDefault="00B9291F" w:rsidP="00300B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Monotype Hadassah">
    <w:panose1 w:val="00000000000000000000"/>
    <w:charset w:val="B1"/>
    <w:family w:val="auto"/>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B1"/>
    <w:family w:val="auto"/>
    <w:notTrueType/>
    <w:pitch w:val="default"/>
    <w:sig w:usb0="00000800" w:usb1="00000000" w:usb2="00000000" w:usb3="00000000" w:csb0="0000002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1235245"/>
      <w:docPartObj>
        <w:docPartGallery w:val="Page Numbers (Bottom of Page)"/>
        <w:docPartUnique/>
      </w:docPartObj>
    </w:sdtPr>
    <w:sdtEndPr/>
    <w:sdtContent>
      <w:p w:rsidR="00EB0E37" w:rsidRDefault="00EB0E37">
        <w:pPr>
          <w:pStyle w:val="ab"/>
          <w:jc w:val="center"/>
          <w:rPr>
            <w:rtl/>
            <w:cs/>
          </w:rPr>
        </w:pPr>
        <w:r>
          <w:fldChar w:fldCharType="begin"/>
        </w:r>
        <w:r>
          <w:rPr>
            <w:rtl/>
            <w:cs/>
          </w:rPr>
          <w:instrText>PAGE   \* MERGEFORMAT</w:instrText>
        </w:r>
        <w:r>
          <w:fldChar w:fldCharType="separate"/>
        </w:r>
        <w:r w:rsidR="005B634A" w:rsidRPr="005B634A">
          <w:rPr>
            <w:rFonts w:cs="Calibri"/>
            <w:noProof/>
            <w:lang w:val="he-IL"/>
          </w:rPr>
          <w:t>1</w:t>
        </w:r>
        <w:r>
          <w:fldChar w:fldCharType="end"/>
        </w:r>
      </w:p>
    </w:sdtContent>
  </w:sdt>
  <w:p w:rsidR="00EB0E37" w:rsidRDefault="00EB0E37">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291F" w:rsidRDefault="00B9291F" w:rsidP="00300B58">
      <w:pPr>
        <w:spacing w:after="0" w:line="240" w:lineRule="auto"/>
      </w:pPr>
      <w:r>
        <w:separator/>
      </w:r>
    </w:p>
  </w:footnote>
  <w:footnote w:type="continuationSeparator" w:id="0">
    <w:p w:rsidR="00B9291F" w:rsidRDefault="00B9291F" w:rsidP="00300B58">
      <w:pPr>
        <w:spacing w:after="0" w:line="240" w:lineRule="auto"/>
      </w:pPr>
      <w:r>
        <w:continuationSeparator/>
      </w:r>
    </w:p>
  </w:footnote>
  <w:footnote w:id="1">
    <w:p w:rsidR="00EB0E37" w:rsidRDefault="00EB0E37" w:rsidP="00955A33">
      <w:pPr>
        <w:pStyle w:val="a3"/>
        <w:jc w:val="both"/>
      </w:pPr>
      <w:r w:rsidRPr="00873D85">
        <w:t>* Senior Lecturer and Co-director of the MA in Human Rights, Globalisation and Justice; School of Law, Keele University. Thanks are due to Nicholas Bamforth, Matthew Kramer, Nick Barber and Kate Hofmeyr for their helpful comments on previous, ancient drafts of this paper.</w:t>
      </w:r>
    </w:p>
    <w:p w:rsidR="00EB0E37" w:rsidRDefault="00EB0E37">
      <w:pPr>
        <w:pStyle w:val="a3"/>
      </w:pPr>
    </w:p>
    <w:p w:rsidR="00EB0E37" w:rsidRDefault="00EB0E37" w:rsidP="00D212EE">
      <w:pPr>
        <w:pStyle w:val="a3"/>
        <w:jc w:val="both"/>
      </w:pPr>
      <w:r>
        <w:rPr>
          <w:rStyle w:val="a5"/>
        </w:rPr>
        <w:footnoteRef/>
      </w:r>
      <w:r>
        <w:t xml:space="preserve"> For recent views about these questions see for example: Y Nehushtan, </w:t>
      </w:r>
      <w:r w:rsidRPr="00873D85">
        <w:rPr>
          <w:i/>
          <w:iCs/>
        </w:rPr>
        <w:t>Intolerant Religion in a Tolerant-Liberal Democracy</w:t>
      </w:r>
      <w:r>
        <w:t xml:space="preserve"> (2015, Hart Publishing, Oxford); </w:t>
      </w:r>
      <w:r w:rsidRPr="00873D85">
        <w:t xml:space="preserve">A Sarat (ed), </w:t>
      </w:r>
      <w:r w:rsidRPr="00873D85">
        <w:rPr>
          <w:i/>
          <w:iCs/>
        </w:rPr>
        <w:t xml:space="preserve">Legal Responses to Religious Practices in the United States: Accommodation and its Limits </w:t>
      </w:r>
      <w:r w:rsidRPr="00873D85">
        <w:t>(Cambridge, Cambridge University Press, 2012)</w:t>
      </w:r>
      <w:r>
        <w:t xml:space="preserve">; B </w:t>
      </w:r>
      <w:r w:rsidRPr="00873D85">
        <w:t>L</w:t>
      </w:r>
      <w:r>
        <w:t xml:space="preserve">eiter, </w:t>
      </w:r>
      <w:r w:rsidRPr="00873D85">
        <w:rPr>
          <w:i/>
          <w:iCs/>
        </w:rPr>
        <w:t>Why Tolerate Religion</w:t>
      </w:r>
      <w:r w:rsidRPr="00873D85">
        <w:t xml:space="preserve"> (Princeton NJ, Princeton University Press, 2012)</w:t>
      </w:r>
      <w:r>
        <w:t xml:space="preserve">; J </w:t>
      </w:r>
      <w:r w:rsidRPr="00955A33">
        <w:t>M</w:t>
      </w:r>
      <w:r>
        <w:t>aclure</w:t>
      </w:r>
      <w:r w:rsidRPr="00955A33">
        <w:t xml:space="preserve"> and </w:t>
      </w:r>
      <w:r>
        <w:t xml:space="preserve">C </w:t>
      </w:r>
      <w:r w:rsidRPr="00955A33">
        <w:t>T</w:t>
      </w:r>
      <w:r>
        <w:t>aylor,</w:t>
      </w:r>
      <w:r w:rsidRPr="00955A33">
        <w:t xml:space="preserve"> </w:t>
      </w:r>
      <w:r w:rsidRPr="00955A33">
        <w:rPr>
          <w:i/>
          <w:iCs/>
        </w:rPr>
        <w:t>Secularism and Freedom of Conscience</w:t>
      </w:r>
      <w:r w:rsidRPr="00955A33">
        <w:t xml:space="preserve"> (Cambridge MA, Harvard University Press, 2011)</w:t>
      </w:r>
      <w:r>
        <w:t>.</w:t>
      </w:r>
    </w:p>
    <w:p w:rsidR="00EB0E37" w:rsidRDefault="00EB0E37">
      <w:pPr>
        <w:pStyle w:val="a3"/>
      </w:pPr>
    </w:p>
  </w:footnote>
  <w:footnote w:id="2">
    <w:p w:rsidR="00EB0E37" w:rsidRDefault="00EB0E37" w:rsidP="00EB0E37">
      <w:pPr>
        <w:pStyle w:val="a3"/>
        <w:spacing w:after="120"/>
        <w:jc w:val="both"/>
      </w:pPr>
      <w:r>
        <w:rPr>
          <w:rStyle w:val="a5"/>
        </w:rPr>
        <w:footnoteRef/>
      </w:r>
      <w:r>
        <w:t xml:space="preserve"> I presented in more detail the argument that</w:t>
      </w:r>
      <w:r w:rsidRPr="00F67B3B">
        <w:rPr>
          <w:bCs/>
          <w:sz w:val="24"/>
        </w:rPr>
        <w:t xml:space="preserve"> </w:t>
      </w:r>
      <w:r w:rsidRPr="00F67B3B">
        <w:rPr>
          <w:bCs/>
        </w:rPr>
        <w:t>a right to be granted a conscientious exemption is a right to be tolerated</w:t>
      </w:r>
      <w:r>
        <w:rPr>
          <w:bCs/>
        </w:rPr>
        <w:t xml:space="preserve"> in </w:t>
      </w:r>
      <w:r>
        <w:t>Y Nehushtan ‘</w:t>
      </w:r>
      <w:r w:rsidRPr="004D1BBC">
        <w:t>What Are Conscientious Exemptions Really About?</w:t>
      </w:r>
      <w:r>
        <w:t>’</w:t>
      </w:r>
      <w:r w:rsidRPr="004D1BBC">
        <w:t xml:space="preserve"> </w:t>
      </w:r>
      <w:r>
        <w:t xml:space="preserve">2(2) </w:t>
      </w:r>
      <w:r w:rsidRPr="004D1BBC">
        <w:t>Oxford Journal of Law and Religion</w:t>
      </w:r>
      <w:r>
        <w:t xml:space="preserve"> (2013)</w:t>
      </w:r>
      <w:r w:rsidRPr="004D1BBC">
        <w:t xml:space="preserve"> </w:t>
      </w:r>
      <w:r>
        <w:t>393</w:t>
      </w:r>
      <w:r w:rsidRPr="004D1BBC">
        <w:t>.</w:t>
      </w:r>
      <w:r>
        <w:t xml:space="preserve">  </w:t>
      </w:r>
    </w:p>
  </w:footnote>
  <w:footnote w:id="3">
    <w:p w:rsidR="00EB0E37" w:rsidRPr="000F06CE" w:rsidRDefault="00EB0E37" w:rsidP="004D1BBC">
      <w:pPr>
        <w:pStyle w:val="a3"/>
        <w:spacing w:after="120"/>
        <w:jc w:val="both"/>
        <w:rPr>
          <w:rFonts w:asciiTheme="majorBidi" w:hAnsiTheme="majorBidi" w:cstheme="majorBidi"/>
        </w:rPr>
      </w:pPr>
      <w:r w:rsidRPr="000F06CE">
        <w:rPr>
          <w:rStyle w:val="a5"/>
          <w:rFonts w:asciiTheme="majorBidi" w:hAnsiTheme="majorBidi" w:cstheme="majorBidi"/>
        </w:rPr>
        <w:footnoteRef/>
      </w:r>
      <w:r w:rsidRPr="000F06CE">
        <w:rPr>
          <w:rFonts w:asciiTheme="majorBidi" w:hAnsiTheme="majorBidi" w:cstheme="majorBidi"/>
        </w:rPr>
        <w:t xml:space="preserve"> For the first kind of exemption, see, for example, Article 9a(3) of the Austrian Constitution and </w:t>
      </w:r>
      <w:r>
        <w:rPr>
          <w:rFonts w:asciiTheme="majorBidi" w:hAnsiTheme="majorBidi" w:cstheme="majorBidi"/>
        </w:rPr>
        <w:t>A</w:t>
      </w:r>
      <w:r w:rsidRPr="000F06CE">
        <w:rPr>
          <w:rFonts w:asciiTheme="majorBidi" w:hAnsiTheme="majorBidi" w:cstheme="majorBidi"/>
        </w:rPr>
        <w:t>rticle 30(2) of the Spanish one. For the second and third kind</w:t>
      </w:r>
      <w:r>
        <w:rPr>
          <w:rFonts w:asciiTheme="majorBidi" w:hAnsiTheme="majorBidi" w:cstheme="majorBidi"/>
        </w:rPr>
        <w:t>s</w:t>
      </w:r>
      <w:r w:rsidRPr="000F06CE">
        <w:rPr>
          <w:rFonts w:asciiTheme="majorBidi" w:hAnsiTheme="majorBidi" w:cstheme="majorBidi"/>
        </w:rPr>
        <w:t xml:space="preserve"> of exemption, see, for example, Article 4(3) of the German Constitution, Article 47 of the Croatian Constitution and Article 45 of the Serbian Constitution. Similar articles were included in states constitutions in the USA in the 18</w:t>
      </w:r>
      <w:r w:rsidRPr="000F06CE">
        <w:rPr>
          <w:rFonts w:asciiTheme="majorBidi" w:hAnsiTheme="majorBidi" w:cstheme="majorBidi"/>
          <w:vertAlign w:val="superscript"/>
        </w:rPr>
        <w:t>th</w:t>
      </w:r>
      <w:r w:rsidRPr="000F06CE">
        <w:rPr>
          <w:rFonts w:asciiTheme="majorBidi" w:hAnsiTheme="majorBidi" w:cstheme="majorBidi"/>
        </w:rPr>
        <w:t xml:space="preserve"> century. See, for example, Article 8 of the Constitution of the state of Pennsylvania (1776), Article 9 of the Constitution of the state of Vermont (1777); Article 10 of the Constitution of the state of Delaware (1776) and Article 13 of the Constitution of the state of New</w:t>
      </w:r>
      <w:r>
        <w:rPr>
          <w:rFonts w:asciiTheme="majorBidi" w:hAnsiTheme="majorBidi" w:cstheme="majorBidi"/>
        </w:rPr>
        <w:t xml:space="preserve"> </w:t>
      </w:r>
      <w:r w:rsidRPr="000F06CE">
        <w:rPr>
          <w:rFonts w:asciiTheme="majorBidi" w:hAnsiTheme="majorBidi" w:cstheme="majorBidi"/>
        </w:rPr>
        <w:t xml:space="preserve">Hampshire (1784).    </w:t>
      </w:r>
    </w:p>
  </w:footnote>
  <w:footnote w:id="4">
    <w:p w:rsidR="00EB0E37" w:rsidRPr="000F06CE" w:rsidRDefault="00EB0E37" w:rsidP="004D1BBC">
      <w:pPr>
        <w:pStyle w:val="a3"/>
        <w:spacing w:after="120"/>
        <w:jc w:val="both"/>
        <w:rPr>
          <w:rFonts w:asciiTheme="majorBidi" w:hAnsiTheme="majorBidi" w:cstheme="majorBidi"/>
        </w:rPr>
      </w:pPr>
      <w:r w:rsidRPr="000F06CE">
        <w:rPr>
          <w:rStyle w:val="a5"/>
          <w:rFonts w:asciiTheme="majorBidi" w:hAnsiTheme="majorBidi" w:cstheme="majorBidi"/>
        </w:rPr>
        <w:footnoteRef/>
      </w:r>
      <w:r w:rsidRPr="000F06CE">
        <w:rPr>
          <w:rFonts w:asciiTheme="majorBidi" w:hAnsiTheme="majorBidi" w:cstheme="majorBidi"/>
        </w:rPr>
        <w:t xml:space="preserve"> </w:t>
      </w:r>
      <w:r>
        <w:rPr>
          <w:rFonts w:asciiTheme="majorBidi" w:hAnsiTheme="majorBidi" w:cstheme="majorBidi"/>
        </w:rPr>
        <w:t xml:space="preserve">For an argument that </w:t>
      </w:r>
      <w:r w:rsidRPr="00587170">
        <w:rPr>
          <w:rFonts w:asciiTheme="majorBidi" w:hAnsiTheme="majorBidi" w:cstheme="majorBidi"/>
        </w:rPr>
        <w:t>the Free Exercise Clause</w:t>
      </w:r>
      <w:r>
        <w:rPr>
          <w:rFonts w:asciiTheme="majorBidi" w:hAnsiTheme="majorBidi" w:cstheme="majorBidi"/>
        </w:rPr>
        <w:t xml:space="preserve"> within the American Constitution </w:t>
      </w:r>
      <w:r w:rsidRPr="00587170">
        <w:rPr>
          <w:rFonts w:asciiTheme="majorBidi" w:hAnsiTheme="majorBidi" w:cstheme="majorBidi"/>
        </w:rPr>
        <w:t>ha</w:t>
      </w:r>
      <w:r>
        <w:rPr>
          <w:rFonts w:asciiTheme="majorBidi" w:hAnsiTheme="majorBidi" w:cstheme="majorBidi"/>
        </w:rPr>
        <w:t>d</w:t>
      </w:r>
      <w:r w:rsidRPr="00587170">
        <w:rPr>
          <w:rFonts w:asciiTheme="majorBidi" w:hAnsiTheme="majorBidi" w:cstheme="majorBidi"/>
        </w:rPr>
        <w:t xml:space="preserve"> originally</w:t>
      </w:r>
      <w:r>
        <w:rPr>
          <w:rFonts w:asciiTheme="majorBidi" w:hAnsiTheme="majorBidi" w:cstheme="majorBidi"/>
        </w:rPr>
        <w:t xml:space="preserve"> </w:t>
      </w:r>
      <w:r w:rsidRPr="00587170">
        <w:rPr>
          <w:rFonts w:asciiTheme="majorBidi" w:hAnsiTheme="majorBidi" w:cstheme="majorBidi"/>
        </w:rPr>
        <w:t xml:space="preserve">been </w:t>
      </w:r>
      <w:r>
        <w:rPr>
          <w:rFonts w:asciiTheme="majorBidi" w:hAnsiTheme="majorBidi" w:cstheme="majorBidi"/>
        </w:rPr>
        <w:t>interpreted as imposing a constitutional duty to grant religious conscientious exemptions see: M</w:t>
      </w:r>
      <w:r w:rsidRPr="00587170">
        <w:rPr>
          <w:rFonts w:asciiTheme="majorBidi" w:hAnsiTheme="majorBidi" w:cstheme="majorBidi"/>
        </w:rPr>
        <w:t>W McConnell, ‘The Origins and Historical Understanding of Free Exercise of Religion’</w:t>
      </w:r>
      <w:r>
        <w:rPr>
          <w:rFonts w:asciiTheme="majorBidi" w:hAnsiTheme="majorBidi" w:cstheme="majorBidi"/>
        </w:rPr>
        <w:t xml:space="preserve"> </w:t>
      </w:r>
      <w:r w:rsidRPr="00587170">
        <w:rPr>
          <w:rFonts w:asciiTheme="majorBidi" w:hAnsiTheme="majorBidi" w:cstheme="majorBidi"/>
        </w:rPr>
        <w:t>103 HARV. L. REV. 1409 (1990)</w:t>
      </w:r>
      <w:r>
        <w:rPr>
          <w:rFonts w:asciiTheme="majorBidi" w:hAnsiTheme="majorBidi" w:cstheme="majorBidi"/>
        </w:rPr>
        <w:t xml:space="preserve">. For the current position in the USA </w:t>
      </w:r>
      <w:r w:rsidRPr="000F06CE">
        <w:rPr>
          <w:rFonts w:asciiTheme="majorBidi" w:hAnsiTheme="majorBidi" w:cstheme="majorBidi"/>
        </w:rPr>
        <w:t xml:space="preserve">see </w:t>
      </w:r>
      <w:r w:rsidRPr="000F06CE">
        <w:rPr>
          <w:rFonts w:asciiTheme="majorBidi" w:hAnsiTheme="majorBidi" w:cstheme="majorBidi"/>
          <w:i/>
        </w:rPr>
        <w:t>Employment Division, Department of Human Resources v</w:t>
      </w:r>
      <w:r>
        <w:rPr>
          <w:rFonts w:asciiTheme="majorBidi" w:hAnsiTheme="majorBidi" w:cstheme="majorBidi"/>
          <w:i/>
        </w:rPr>
        <w:t>.</w:t>
      </w:r>
      <w:r w:rsidRPr="000F06CE">
        <w:rPr>
          <w:rFonts w:asciiTheme="majorBidi" w:hAnsiTheme="majorBidi" w:cstheme="majorBidi"/>
          <w:i/>
        </w:rPr>
        <w:t xml:space="preserve"> Smith</w:t>
      </w:r>
      <w:r w:rsidRPr="000F06CE">
        <w:rPr>
          <w:rFonts w:asciiTheme="majorBidi" w:hAnsiTheme="majorBidi" w:cstheme="majorBidi"/>
        </w:rPr>
        <w:t xml:space="preserve"> 494 US 872 (1990) where the court refused to grant religious exemption to Native</w:t>
      </w:r>
      <w:r>
        <w:rPr>
          <w:rFonts w:asciiTheme="majorBidi" w:hAnsiTheme="majorBidi" w:cstheme="majorBidi"/>
        </w:rPr>
        <w:t xml:space="preserve"> </w:t>
      </w:r>
      <w:r w:rsidRPr="000F06CE">
        <w:rPr>
          <w:rFonts w:asciiTheme="majorBidi" w:hAnsiTheme="majorBidi" w:cstheme="majorBidi"/>
        </w:rPr>
        <w:t>Americans from a neutral law forbidding the use of drugs, including peyote, a drug used by Native</w:t>
      </w:r>
      <w:r>
        <w:rPr>
          <w:rFonts w:asciiTheme="majorBidi" w:hAnsiTheme="majorBidi" w:cstheme="majorBidi"/>
        </w:rPr>
        <w:t xml:space="preserve"> </w:t>
      </w:r>
      <w:r w:rsidRPr="000F06CE">
        <w:rPr>
          <w:rFonts w:asciiTheme="majorBidi" w:hAnsiTheme="majorBidi" w:cstheme="majorBidi"/>
        </w:rPr>
        <w:t>Americans during their religious rituals. More generally, the courts decided that the Constitution allows rather than compels the legislature to grant (religious) conscientious exemption in specific cases.</w:t>
      </w:r>
    </w:p>
  </w:footnote>
  <w:footnote w:id="5">
    <w:p w:rsidR="00EB0E37" w:rsidRPr="000F06CE" w:rsidRDefault="00EB0E37" w:rsidP="004D1BBC">
      <w:pPr>
        <w:pStyle w:val="a3"/>
        <w:spacing w:after="120"/>
        <w:jc w:val="both"/>
        <w:rPr>
          <w:rFonts w:asciiTheme="majorBidi" w:hAnsiTheme="majorBidi" w:cstheme="majorBidi"/>
        </w:rPr>
      </w:pPr>
      <w:r w:rsidRPr="000F06CE">
        <w:rPr>
          <w:rStyle w:val="a5"/>
          <w:rFonts w:asciiTheme="majorBidi" w:hAnsiTheme="majorBidi" w:cstheme="majorBidi"/>
        </w:rPr>
        <w:footnoteRef/>
      </w:r>
      <w:r w:rsidRPr="000F06CE">
        <w:rPr>
          <w:rFonts w:asciiTheme="majorBidi" w:hAnsiTheme="majorBidi" w:cstheme="majorBidi"/>
        </w:rPr>
        <w:t xml:space="preserve"> See, for example, Article 18 of the Universal Declaration of Human </w:t>
      </w:r>
      <w:r>
        <w:rPr>
          <w:rFonts w:asciiTheme="majorBidi" w:hAnsiTheme="majorBidi" w:cstheme="majorBidi"/>
        </w:rPr>
        <w:t>R</w:t>
      </w:r>
      <w:r w:rsidRPr="000F06CE">
        <w:rPr>
          <w:rFonts w:asciiTheme="majorBidi" w:hAnsiTheme="majorBidi" w:cstheme="majorBidi"/>
        </w:rPr>
        <w:t xml:space="preserve">ights; Article 18(1) of the International Covenant on Civil and Political Rights; Article 9(1) of the European Convention on the Protection of Human Rights and Fundamental Freedoms; and Article 12(1) of the American </w:t>
      </w:r>
      <w:r>
        <w:rPr>
          <w:rFonts w:asciiTheme="majorBidi" w:hAnsiTheme="majorBidi" w:cstheme="majorBidi"/>
        </w:rPr>
        <w:t>C</w:t>
      </w:r>
      <w:r w:rsidRPr="000F06CE">
        <w:rPr>
          <w:rFonts w:asciiTheme="majorBidi" w:hAnsiTheme="majorBidi" w:cstheme="majorBidi"/>
        </w:rPr>
        <w:t xml:space="preserve">onvention on Human Rights. </w:t>
      </w:r>
    </w:p>
  </w:footnote>
  <w:footnote w:id="6">
    <w:p w:rsidR="00EB0E37" w:rsidRPr="000F06CE" w:rsidRDefault="00EB0E37" w:rsidP="004D1BBC">
      <w:pPr>
        <w:pStyle w:val="a3"/>
        <w:spacing w:after="120"/>
        <w:jc w:val="both"/>
        <w:rPr>
          <w:rFonts w:asciiTheme="majorBidi" w:hAnsiTheme="majorBidi" w:cstheme="majorBidi"/>
        </w:rPr>
      </w:pPr>
      <w:r w:rsidRPr="000F06CE">
        <w:rPr>
          <w:rStyle w:val="a5"/>
          <w:rFonts w:asciiTheme="majorBidi" w:hAnsiTheme="majorBidi" w:cstheme="majorBidi"/>
        </w:rPr>
        <w:footnoteRef/>
      </w:r>
      <w:r w:rsidRPr="000F06CE">
        <w:rPr>
          <w:rFonts w:asciiTheme="majorBidi" w:hAnsiTheme="majorBidi" w:cstheme="majorBidi"/>
        </w:rPr>
        <w:t xml:space="preserve"> </w:t>
      </w:r>
      <w:r w:rsidRPr="00F10A11">
        <w:rPr>
          <w:rFonts w:asciiTheme="majorBidi" w:hAnsiTheme="majorBidi" w:cstheme="majorBidi"/>
          <w:i/>
          <w:iCs/>
          <w:lang w:val="en-US"/>
        </w:rPr>
        <w:t xml:space="preserve">Bayatyan v. Armenia </w:t>
      </w:r>
      <w:r w:rsidRPr="00341898">
        <w:rPr>
          <w:rFonts w:asciiTheme="majorBidi" w:hAnsiTheme="majorBidi" w:cstheme="majorBidi"/>
          <w:lang w:val="en-US"/>
        </w:rPr>
        <w:t>(2012) 54 EHRR 15</w:t>
      </w:r>
      <w:r w:rsidRPr="000F06CE">
        <w:rPr>
          <w:rFonts w:asciiTheme="majorBidi" w:hAnsiTheme="majorBidi" w:cstheme="majorBidi"/>
        </w:rPr>
        <w:t xml:space="preserve">. See especially in </w:t>
      </w:r>
      <w:r>
        <w:rPr>
          <w:rFonts w:asciiTheme="majorBidi" w:hAnsiTheme="majorBidi" w:cstheme="majorBidi"/>
        </w:rPr>
        <w:t>p</w:t>
      </w:r>
      <w:r w:rsidRPr="000F06CE">
        <w:rPr>
          <w:rFonts w:asciiTheme="majorBidi" w:hAnsiTheme="majorBidi" w:cstheme="majorBidi"/>
        </w:rPr>
        <w:t xml:space="preserve">ara 110, where the court </w:t>
      </w:r>
      <w:r>
        <w:rPr>
          <w:rFonts w:asciiTheme="majorBidi" w:hAnsiTheme="majorBidi" w:cstheme="majorBidi"/>
        </w:rPr>
        <w:t>‘</w:t>
      </w:r>
      <w:r w:rsidRPr="000F06CE">
        <w:rPr>
          <w:rFonts w:asciiTheme="majorBidi" w:hAnsiTheme="majorBidi" w:cstheme="majorBidi"/>
          <w:lang w:val="en"/>
        </w:rPr>
        <w:t>considers that opposition to military service, where it is motivated by a serious and insurmountable conflict between the obligation to serve in the army and a person’s conscience or his deeply and genuinely held religious or other beliefs, constitutes a conviction or belief of sufficient cogency, seriousness, cohesion and importance to attract the guarantees of Article 9</w:t>
      </w:r>
      <w:r>
        <w:rPr>
          <w:rFonts w:asciiTheme="majorBidi" w:hAnsiTheme="majorBidi" w:cstheme="majorBidi"/>
          <w:lang w:val="en"/>
        </w:rPr>
        <w:t>’</w:t>
      </w:r>
      <w:r w:rsidRPr="000F06CE">
        <w:rPr>
          <w:rFonts w:asciiTheme="majorBidi" w:hAnsiTheme="majorBidi" w:cstheme="majorBidi"/>
        </w:rPr>
        <w:t>.</w:t>
      </w:r>
    </w:p>
  </w:footnote>
  <w:footnote w:id="7">
    <w:p w:rsidR="00EB0E37" w:rsidRPr="000F06CE" w:rsidRDefault="00EB0E37" w:rsidP="00EB0E37">
      <w:pPr>
        <w:spacing w:after="120" w:line="240" w:lineRule="auto"/>
        <w:jc w:val="both"/>
        <w:rPr>
          <w:rFonts w:asciiTheme="majorBidi" w:hAnsiTheme="majorBidi" w:cstheme="majorBidi"/>
          <w:sz w:val="20"/>
        </w:rPr>
      </w:pPr>
      <w:r w:rsidRPr="000F06CE">
        <w:rPr>
          <w:rStyle w:val="a5"/>
          <w:rFonts w:asciiTheme="majorBidi" w:hAnsiTheme="majorBidi" w:cstheme="majorBidi"/>
          <w:sz w:val="20"/>
        </w:rPr>
        <w:footnoteRef/>
      </w:r>
      <w:r w:rsidRPr="000F06CE">
        <w:rPr>
          <w:rFonts w:asciiTheme="majorBidi" w:hAnsiTheme="majorBidi" w:cstheme="majorBidi"/>
          <w:sz w:val="20"/>
        </w:rPr>
        <w:t xml:space="preserve"> </w:t>
      </w:r>
      <w:r>
        <w:rPr>
          <w:rFonts w:asciiTheme="majorBidi" w:hAnsiTheme="majorBidi" w:cstheme="majorBidi"/>
          <w:sz w:val="20"/>
        </w:rPr>
        <w:t>S</w:t>
      </w:r>
      <w:r w:rsidRPr="000F06CE">
        <w:rPr>
          <w:rFonts w:asciiTheme="majorBidi" w:hAnsiTheme="majorBidi" w:cstheme="majorBidi"/>
          <w:sz w:val="20"/>
        </w:rPr>
        <w:t xml:space="preserve">ee </w:t>
      </w:r>
      <w:r>
        <w:rPr>
          <w:rFonts w:asciiTheme="majorBidi" w:hAnsiTheme="majorBidi" w:cstheme="majorBidi"/>
          <w:sz w:val="20"/>
        </w:rPr>
        <w:t>(</w:t>
      </w:r>
      <w:r w:rsidRPr="000F06CE">
        <w:rPr>
          <w:rFonts w:asciiTheme="majorBidi" w:hAnsiTheme="majorBidi" w:cstheme="majorBidi"/>
          <w:sz w:val="20"/>
        </w:rPr>
        <w:t>n</w:t>
      </w:r>
      <w:r>
        <w:rPr>
          <w:rFonts w:asciiTheme="majorBidi" w:hAnsiTheme="majorBidi" w:cstheme="majorBidi"/>
          <w:sz w:val="20"/>
        </w:rPr>
        <w:t xml:space="preserve"> </w:t>
      </w:r>
      <w:r>
        <w:rPr>
          <w:rFonts w:asciiTheme="majorBidi" w:hAnsiTheme="majorBidi" w:cstheme="majorBidi"/>
          <w:sz w:val="20"/>
        </w:rPr>
        <w:fldChar w:fldCharType="begin"/>
      </w:r>
      <w:r>
        <w:rPr>
          <w:rFonts w:asciiTheme="majorBidi" w:hAnsiTheme="majorBidi" w:cstheme="majorBidi"/>
          <w:sz w:val="20"/>
        </w:rPr>
        <w:instrText xml:space="preserve"> NOTEREF _Ref128472639 \h </w:instrText>
      </w:r>
      <w:r>
        <w:rPr>
          <w:rFonts w:asciiTheme="majorBidi" w:hAnsiTheme="majorBidi" w:cstheme="majorBidi"/>
          <w:sz w:val="20"/>
        </w:rPr>
      </w:r>
      <w:r>
        <w:rPr>
          <w:rFonts w:asciiTheme="majorBidi" w:hAnsiTheme="majorBidi" w:cstheme="majorBidi"/>
          <w:sz w:val="20"/>
        </w:rPr>
        <w:fldChar w:fldCharType="separate"/>
      </w:r>
      <w:r w:rsidR="005B634A">
        <w:rPr>
          <w:rFonts w:asciiTheme="majorBidi" w:hAnsiTheme="majorBidi" w:cstheme="majorBidi"/>
          <w:sz w:val="20"/>
        </w:rPr>
        <w:t>5</w:t>
      </w:r>
      <w:r>
        <w:rPr>
          <w:rFonts w:asciiTheme="majorBidi" w:hAnsiTheme="majorBidi" w:cstheme="majorBidi"/>
          <w:sz w:val="20"/>
        </w:rPr>
        <w:fldChar w:fldCharType="end"/>
      </w:r>
      <w:r>
        <w:rPr>
          <w:rFonts w:asciiTheme="majorBidi" w:hAnsiTheme="majorBidi" w:cstheme="majorBidi"/>
          <w:sz w:val="20"/>
        </w:rPr>
        <w:t>)</w:t>
      </w:r>
      <w:r w:rsidRPr="000F06CE">
        <w:rPr>
          <w:rFonts w:asciiTheme="majorBidi" w:hAnsiTheme="majorBidi" w:cstheme="majorBidi"/>
          <w:sz w:val="20"/>
        </w:rPr>
        <w:t xml:space="preserve"> above. A more explicit right can be found, for example, in Article 6(g) of the Declaration on the Elimination of all Forms of Intolerance and Discrimination Based on Religio</w:t>
      </w:r>
      <w:r>
        <w:rPr>
          <w:rFonts w:asciiTheme="majorBidi" w:hAnsiTheme="majorBidi" w:cstheme="majorBidi"/>
          <w:sz w:val="20"/>
        </w:rPr>
        <w:t>n</w:t>
      </w:r>
      <w:r w:rsidRPr="000F06CE">
        <w:rPr>
          <w:rFonts w:asciiTheme="majorBidi" w:hAnsiTheme="majorBidi" w:cstheme="majorBidi"/>
          <w:sz w:val="20"/>
        </w:rPr>
        <w:t xml:space="preserve"> or Belief, </w:t>
      </w:r>
      <w:r>
        <w:rPr>
          <w:rFonts w:asciiTheme="majorBidi" w:hAnsiTheme="majorBidi" w:cstheme="majorBidi"/>
          <w:sz w:val="20"/>
        </w:rPr>
        <w:t xml:space="preserve">which </w:t>
      </w:r>
      <w:r w:rsidRPr="000F06CE">
        <w:rPr>
          <w:rFonts w:asciiTheme="majorBidi" w:hAnsiTheme="majorBidi" w:cstheme="majorBidi"/>
          <w:sz w:val="20"/>
        </w:rPr>
        <w:t xml:space="preserve">protects the right to ‘train, appoint, elect or designate by succession appropriate leaders called for by the requirements and standards of any religion or belief’. </w:t>
      </w:r>
    </w:p>
  </w:footnote>
  <w:footnote w:id="8">
    <w:p w:rsidR="00EB0E37" w:rsidRPr="000F06CE" w:rsidRDefault="00EB0E37" w:rsidP="004D1BBC">
      <w:pPr>
        <w:pStyle w:val="a3"/>
        <w:spacing w:after="120"/>
        <w:jc w:val="both"/>
        <w:rPr>
          <w:rFonts w:asciiTheme="majorBidi" w:hAnsiTheme="majorBidi" w:cstheme="majorBidi"/>
        </w:rPr>
      </w:pPr>
      <w:r w:rsidRPr="000F06CE">
        <w:rPr>
          <w:rStyle w:val="a5"/>
          <w:rFonts w:asciiTheme="majorBidi" w:hAnsiTheme="majorBidi" w:cstheme="majorBidi"/>
        </w:rPr>
        <w:footnoteRef/>
      </w:r>
      <w:r w:rsidRPr="000F06CE">
        <w:rPr>
          <w:rFonts w:asciiTheme="majorBidi" w:hAnsiTheme="majorBidi" w:cstheme="majorBidi"/>
        </w:rPr>
        <w:t xml:space="preserve"> In the US</w:t>
      </w:r>
      <w:r>
        <w:rPr>
          <w:rFonts w:asciiTheme="majorBidi" w:hAnsiTheme="majorBidi" w:cstheme="majorBidi"/>
        </w:rPr>
        <w:t>A</w:t>
      </w:r>
      <w:r w:rsidRPr="000F06CE">
        <w:rPr>
          <w:rFonts w:asciiTheme="majorBidi" w:hAnsiTheme="majorBidi" w:cstheme="majorBidi"/>
        </w:rPr>
        <w:t xml:space="preserve">, for example, up until 1992, there were over 2,000 statutory conscientious exemptions, most of them in state laws. Some were granted to religious and secular objectors alike, while others were granted only to religious objectors: </w:t>
      </w:r>
      <w:r w:rsidRPr="000F06CE">
        <w:rPr>
          <w:rFonts w:asciiTheme="majorBidi" w:hAnsiTheme="majorBidi" w:cstheme="majorBidi"/>
        </w:rPr>
        <w:fldChar w:fldCharType="begin"/>
      </w:r>
      <w:r w:rsidRPr="000F06CE">
        <w:rPr>
          <w:rFonts w:asciiTheme="majorBidi" w:hAnsiTheme="majorBidi" w:cstheme="majorBidi"/>
        </w:rPr>
        <w:instrText xml:space="preserve"> ADDIN EN.CITE &lt;EndNote&gt;&lt;Cite&gt;&lt;Author&gt;Ryan&lt;/Author&gt;&lt;Year&gt;1992&lt;/Year&gt;&lt;RecNum&gt;53&lt;/RecNum&gt;&lt;record&gt;&lt;rec-number&gt;53&lt;/rec-number&gt;&lt;ref-type name="Journal Article"&gt;17&lt;/ref-type&gt;&lt;contributors&gt;&lt;authors&gt;&lt;author&gt;J E Ryan&lt;/author&gt;&lt;/authors&gt;&lt;/contributors&gt;&lt;titles&gt;&lt;title&gt;Smith and the Religious Freedom Restoration Act: An Iconoclastic Assessment&lt;/title&gt;&lt;secondary-title&gt;Virginia Law Review&lt;/secondary-title&gt;&lt;/titles&gt;&lt;periodical&gt;&lt;full-title&gt;Virginia Law Review&lt;/full-title&gt;&lt;/periodical&gt;&lt;pages&gt;1407&lt;/pages&gt;&lt;volume&gt;78&lt;/volume&gt;&lt;dates&gt;&lt;year&gt;1992&lt;/year&gt;&lt;/dates&gt;&lt;pub-location&gt;1992&lt;/pub-location&gt;&lt;urls&gt;&lt;/urls&gt;&lt;/record&gt;&lt;/Cite&gt;&lt;/EndNote&gt;</w:instrText>
      </w:r>
      <w:r w:rsidRPr="000F06CE">
        <w:rPr>
          <w:rFonts w:asciiTheme="majorBidi" w:hAnsiTheme="majorBidi" w:cstheme="majorBidi"/>
        </w:rPr>
        <w:fldChar w:fldCharType="separate"/>
      </w:r>
      <w:r w:rsidRPr="000F06CE">
        <w:rPr>
          <w:rFonts w:asciiTheme="majorBidi" w:hAnsiTheme="majorBidi" w:cstheme="majorBidi"/>
        </w:rPr>
        <w:t>JE Ryan, 'Smith and the Religious Freedom Restoration Act: An Iconoclastic Assessment' (1992) 78 Virginia Law Review 1407</w:t>
      </w:r>
      <w:r w:rsidRPr="000F06CE">
        <w:rPr>
          <w:rFonts w:asciiTheme="majorBidi" w:hAnsiTheme="majorBidi" w:cstheme="majorBidi"/>
        </w:rPr>
        <w:fldChar w:fldCharType="end"/>
      </w:r>
      <w:r w:rsidRPr="000F06CE">
        <w:rPr>
          <w:rFonts w:asciiTheme="majorBidi" w:hAnsiTheme="majorBidi" w:cstheme="majorBidi"/>
        </w:rPr>
        <w:t>, 1445</w:t>
      </w:r>
      <w:r>
        <w:rPr>
          <w:rFonts w:asciiTheme="majorBidi" w:hAnsiTheme="majorBidi" w:cstheme="majorBidi"/>
        </w:rPr>
        <w:t>–</w:t>
      </w:r>
      <w:r w:rsidRPr="000F06CE">
        <w:rPr>
          <w:rFonts w:asciiTheme="majorBidi" w:hAnsiTheme="majorBidi" w:cstheme="majorBidi"/>
        </w:rPr>
        <w:t xml:space="preserve">1446.    </w:t>
      </w:r>
    </w:p>
  </w:footnote>
  <w:footnote w:id="9">
    <w:p w:rsidR="00EB0E37" w:rsidRPr="000F06CE" w:rsidRDefault="00EB0E37" w:rsidP="004D1BBC">
      <w:pPr>
        <w:pStyle w:val="a3"/>
        <w:spacing w:after="120"/>
        <w:jc w:val="both"/>
        <w:rPr>
          <w:rFonts w:asciiTheme="majorBidi" w:hAnsiTheme="majorBidi" w:cstheme="majorBidi"/>
        </w:rPr>
      </w:pPr>
      <w:r w:rsidRPr="000F06CE">
        <w:rPr>
          <w:rStyle w:val="a5"/>
          <w:rFonts w:asciiTheme="majorBidi" w:hAnsiTheme="majorBidi" w:cstheme="majorBidi"/>
        </w:rPr>
        <w:footnoteRef/>
      </w:r>
      <w:r w:rsidRPr="000F06CE">
        <w:rPr>
          <w:rFonts w:asciiTheme="majorBidi" w:hAnsiTheme="majorBidi" w:cstheme="majorBidi"/>
        </w:rPr>
        <w:t xml:space="preserve"> C Braithwaite, </w:t>
      </w:r>
      <w:r w:rsidRPr="000F06CE">
        <w:rPr>
          <w:rFonts w:asciiTheme="majorBidi" w:hAnsiTheme="majorBidi" w:cstheme="majorBidi"/>
          <w:i/>
        </w:rPr>
        <w:t xml:space="preserve">Conscientious Objection to Compulsions under the Law </w:t>
      </w:r>
      <w:r w:rsidRPr="000F06CE">
        <w:rPr>
          <w:rFonts w:asciiTheme="majorBidi" w:hAnsiTheme="majorBidi" w:cstheme="majorBidi"/>
        </w:rPr>
        <w:t>(1995) 3</w:t>
      </w:r>
      <w:r>
        <w:rPr>
          <w:rFonts w:asciiTheme="majorBidi" w:hAnsiTheme="majorBidi" w:cstheme="majorBidi"/>
        </w:rPr>
        <w:t>–</w:t>
      </w:r>
      <w:r w:rsidRPr="000F06CE">
        <w:rPr>
          <w:rFonts w:asciiTheme="majorBidi" w:hAnsiTheme="majorBidi" w:cstheme="majorBidi"/>
        </w:rPr>
        <w:t>47.</w:t>
      </w:r>
    </w:p>
  </w:footnote>
  <w:footnote w:id="10">
    <w:p w:rsidR="00EB0E37" w:rsidRPr="000F06CE" w:rsidRDefault="00EB0E37" w:rsidP="00EB0E37">
      <w:pPr>
        <w:pStyle w:val="a3"/>
        <w:spacing w:after="120"/>
        <w:jc w:val="both"/>
        <w:rPr>
          <w:rFonts w:asciiTheme="majorBidi" w:hAnsiTheme="majorBidi" w:cstheme="majorBidi"/>
        </w:rPr>
      </w:pPr>
      <w:r w:rsidRPr="000F06CE">
        <w:rPr>
          <w:rStyle w:val="a5"/>
          <w:rFonts w:asciiTheme="majorBidi" w:hAnsiTheme="majorBidi" w:cstheme="majorBidi"/>
        </w:rPr>
        <w:footnoteRef/>
      </w:r>
      <w:r w:rsidRPr="000F06CE">
        <w:rPr>
          <w:rFonts w:asciiTheme="majorBidi" w:hAnsiTheme="majorBidi" w:cstheme="majorBidi"/>
        </w:rPr>
        <w:t xml:space="preserve"> Braithwaite (n</w:t>
      </w:r>
      <w:r>
        <w:rPr>
          <w:rFonts w:asciiTheme="majorBidi" w:hAnsiTheme="majorBidi" w:cstheme="majorBidi"/>
        </w:rPr>
        <w:t xml:space="preserve"> </w:t>
      </w:r>
      <w:r>
        <w:rPr>
          <w:rFonts w:asciiTheme="majorBidi" w:hAnsiTheme="majorBidi" w:cstheme="majorBidi"/>
        </w:rPr>
        <w:fldChar w:fldCharType="begin"/>
      </w:r>
      <w:r>
        <w:rPr>
          <w:rFonts w:asciiTheme="majorBidi" w:hAnsiTheme="majorBidi" w:cstheme="majorBidi"/>
        </w:rPr>
        <w:instrText xml:space="preserve"> NOTEREF _Ref128997491 \h </w:instrText>
      </w:r>
      <w:r>
        <w:rPr>
          <w:rFonts w:asciiTheme="majorBidi" w:hAnsiTheme="majorBidi" w:cstheme="majorBidi"/>
        </w:rPr>
      </w:r>
      <w:r>
        <w:rPr>
          <w:rFonts w:asciiTheme="majorBidi" w:hAnsiTheme="majorBidi" w:cstheme="majorBidi"/>
        </w:rPr>
        <w:fldChar w:fldCharType="separate"/>
      </w:r>
      <w:r w:rsidR="005B634A">
        <w:rPr>
          <w:rFonts w:asciiTheme="majorBidi" w:hAnsiTheme="majorBidi" w:cstheme="majorBidi"/>
        </w:rPr>
        <w:t>9</w:t>
      </w:r>
      <w:r>
        <w:rPr>
          <w:rFonts w:asciiTheme="majorBidi" w:hAnsiTheme="majorBidi" w:cstheme="majorBidi"/>
        </w:rPr>
        <w:fldChar w:fldCharType="end"/>
      </w:r>
      <w:r w:rsidRPr="000F06CE">
        <w:rPr>
          <w:rFonts w:asciiTheme="majorBidi" w:hAnsiTheme="majorBidi" w:cstheme="majorBidi"/>
        </w:rPr>
        <w:t>) 47, 335. Hence, for a period of time in the 19</w:t>
      </w:r>
      <w:r w:rsidRPr="000F06CE">
        <w:rPr>
          <w:rFonts w:asciiTheme="majorBidi" w:hAnsiTheme="majorBidi" w:cstheme="majorBidi"/>
          <w:vertAlign w:val="superscript"/>
        </w:rPr>
        <w:t>th</w:t>
      </w:r>
      <w:r w:rsidRPr="000F06CE">
        <w:rPr>
          <w:rFonts w:asciiTheme="majorBidi" w:hAnsiTheme="majorBidi" w:cstheme="majorBidi"/>
        </w:rPr>
        <w:t xml:space="preserve"> century, up until 1888, religious Jews, members of other non-Christian religious groups and atheists were unable to hold many public positions or be elected as Members of Parliament.   </w:t>
      </w:r>
    </w:p>
  </w:footnote>
  <w:footnote w:id="11">
    <w:p w:rsidR="00EB0E37" w:rsidRPr="000F06CE" w:rsidRDefault="00EB0E37" w:rsidP="00EB0E37">
      <w:pPr>
        <w:pStyle w:val="a3"/>
        <w:spacing w:after="120"/>
        <w:jc w:val="both"/>
        <w:rPr>
          <w:rFonts w:asciiTheme="majorBidi" w:hAnsiTheme="majorBidi" w:cstheme="majorBidi"/>
        </w:rPr>
      </w:pPr>
      <w:r w:rsidRPr="000F06CE">
        <w:rPr>
          <w:rStyle w:val="a5"/>
          <w:rFonts w:asciiTheme="majorBidi" w:hAnsiTheme="majorBidi" w:cstheme="majorBidi"/>
        </w:rPr>
        <w:footnoteRef/>
      </w:r>
      <w:r w:rsidRPr="000F06CE">
        <w:rPr>
          <w:rFonts w:asciiTheme="majorBidi" w:hAnsiTheme="majorBidi" w:cstheme="majorBidi"/>
        </w:rPr>
        <w:t xml:space="preserve"> Braithwaite (n</w:t>
      </w:r>
      <w:r>
        <w:rPr>
          <w:rFonts w:asciiTheme="majorBidi" w:hAnsiTheme="majorBidi" w:cstheme="majorBidi"/>
        </w:rPr>
        <w:t xml:space="preserve"> </w:t>
      </w:r>
      <w:r>
        <w:rPr>
          <w:rFonts w:asciiTheme="majorBidi" w:hAnsiTheme="majorBidi" w:cstheme="majorBidi"/>
        </w:rPr>
        <w:fldChar w:fldCharType="begin"/>
      </w:r>
      <w:r>
        <w:rPr>
          <w:rFonts w:asciiTheme="majorBidi" w:hAnsiTheme="majorBidi" w:cstheme="majorBidi"/>
        </w:rPr>
        <w:instrText xml:space="preserve"> NOTEREF _Ref128997491 \h </w:instrText>
      </w:r>
      <w:r>
        <w:rPr>
          <w:rFonts w:asciiTheme="majorBidi" w:hAnsiTheme="majorBidi" w:cstheme="majorBidi"/>
        </w:rPr>
      </w:r>
      <w:r>
        <w:rPr>
          <w:rFonts w:asciiTheme="majorBidi" w:hAnsiTheme="majorBidi" w:cstheme="majorBidi"/>
        </w:rPr>
        <w:fldChar w:fldCharType="separate"/>
      </w:r>
      <w:r w:rsidR="005B634A">
        <w:rPr>
          <w:rFonts w:asciiTheme="majorBidi" w:hAnsiTheme="majorBidi" w:cstheme="majorBidi"/>
        </w:rPr>
        <w:t>9</w:t>
      </w:r>
      <w:r>
        <w:rPr>
          <w:rFonts w:asciiTheme="majorBidi" w:hAnsiTheme="majorBidi" w:cstheme="majorBidi"/>
        </w:rPr>
        <w:fldChar w:fldCharType="end"/>
      </w:r>
      <w:r w:rsidRPr="000F06CE">
        <w:rPr>
          <w:rFonts w:asciiTheme="majorBidi" w:hAnsiTheme="majorBidi" w:cstheme="majorBidi"/>
        </w:rPr>
        <w:t>) 110</w:t>
      </w:r>
      <w:r>
        <w:rPr>
          <w:rFonts w:asciiTheme="majorBidi" w:hAnsiTheme="majorBidi" w:cstheme="majorBidi"/>
        </w:rPr>
        <w:t>–</w:t>
      </w:r>
      <w:r w:rsidRPr="000F06CE">
        <w:rPr>
          <w:rFonts w:asciiTheme="majorBidi" w:hAnsiTheme="majorBidi" w:cstheme="majorBidi"/>
        </w:rPr>
        <w:t>120.</w:t>
      </w:r>
    </w:p>
  </w:footnote>
  <w:footnote w:id="12">
    <w:p w:rsidR="00EB0E37" w:rsidRPr="000F06CE" w:rsidRDefault="00EB0E37" w:rsidP="00D642F8">
      <w:pPr>
        <w:pStyle w:val="a3"/>
        <w:spacing w:after="120"/>
        <w:jc w:val="both"/>
        <w:rPr>
          <w:rFonts w:asciiTheme="majorBidi" w:hAnsiTheme="majorBidi" w:cstheme="majorBidi"/>
        </w:rPr>
      </w:pPr>
      <w:r w:rsidRPr="000F06CE">
        <w:rPr>
          <w:rStyle w:val="a5"/>
          <w:rFonts w:asciiTheme="majorBidi" w:hAnsiTheme="majorBidi" w:cstheme="majorBidi"/>
        </w:rPr>
        <w:footnoteRef/>
      </w:r>
      <w:r w:rsidRPr="000F06CE">
        <w:rPr>
          <w:rFonts w:asciiTheme="majorBidi" w:hAnsiTheme="majorBidi" w:cstheme="majorBidi"/>
        </w:rPr>
        <w:t xml:space="preserve"> For a good survey of the </w:t>
      </w:r>
      <w:r>
        <w:rPr>
          <w:rFonts w:asciiTheme="majorBidi" w:hAnsiTheme="majorBidi" w:cstheme="majorBidi"/>
        </w:rPr>
        <w:t>American debate on this issue</w:t>
      </w:r>
      <w:r w:rsidRPr="000F06CE">
        <w:rPr>
          <w:rFonts w:asciiTheme="majorBidi" w:hAnsiTheme="majorBidi" w:cstheme="majorBidi"/>
        </w:rPr>
        <w:t xml:space="preserve"> </w:t>
      </w:r>
      <w:r w:rsidRPr="000F06CE">
        <w:rPr>
          <w:rFonts w:asciiTheme="majorBidi" w:hAnsiTheme="majorBidi" w:cstheme="majorBidi"/>
          <w:lang w:val="en-US"/>
        </w:rPr>
        <w:t>see A Sarat</w:t>
      </w:r>
      <w:r>
        <w:rPr>
          <w:rFonts w:asciiTheme="majorBidi" w:hAnsiTheme="majorBidi" w:cstheme="majorBidi"/>
          <w:lang w:val="en-US"/>
        </w:rPr>
        <w:t xml:space="preserve"> (n </w:t>
      </w:r>
      <w:r>
        <w:rPr>
          <w:rFonts w:asciiTheme="majorBidi" w:hAnsiTheme="majorBidi" w:cstheme="majorBidi"/>
          <w:lang w:val="en-US"/>
        </w:rPr>
        <w:fldChar w:fldCharType="begin"/>
      </w:r>
      <w:r>
        <w:rPr>
          <w:rFonts w:asciiTheme="majorBidi" w:hAnsiTheme="majorBidi" w:cstheme="majorBidi"/>
          <w:lang w:val="en-US"/>
        </w:rPr>
        <w:instrText xml:space="preserve"> NOTEREF _Ref435178584 \h </w:instrText>
      </w:r>
      <w:r>
        <w:rPr>
          <w:rFonts w:asciiTheme="majorBidi" w:hAnsiTheme="majorBidi" w:cstheme="majorBidi"/>
          <w:lang w:val="en-US"/>
        </w:rPr>
      </w:r>
      <w:r>
        <w:rPr>
          <w:rFonts w:asciiTheme="majorBidi" w:hAnsiTheme="majorBidi" w:cstheme="majorBidi"/>
          <w:lang w:val="en-US"/>
        </w:rPr>
        <w:fldChar w:fldCharType="separate"/>
      </w:r>
      <w:r w:rsidR="005B634A">
        <w:rPr>
          <w:rFonts w:asciiTheme="majorBidi" w:hAnsiTheme="majorBidi" w:cstheme="majorBidi"/>
          <w:lang w:val="en-US"/>
        </w:rPr>
        <w:t>1</w:t>
      </w:r>
      <w:r>
        <w:rPr>
          <w:rFonts w:asciiTheme="majorBidi" w:hAnsiTheme="majorBidi" w:cstheme="majorBidi"/>
          <w:lang w:val="en-US"/>
        </w:rPr>
        <w:fldChar w:fldCharType="end"/>
      </w:r>
      <w:r>
        <w:rPr>
          <w:rFonts w:asciiTheme="majorBidi" w:hAnsiTheme="majorBidi" w:cstheme="majorBidi"/>
          <w:lang w:val="en-US"/>
        </w:rPr>
        <w:t xml:space="preserve">). </w:t>
      </w:r>
      <w:r w:rsidRPr="000F06CE">
        <w:rPr>
          <w:rFonts w:asciiTheme="majorBidi" w:hAnsiTheme="majorBidi" w:cstheme="majorBidi"/>
          <w:lang w:val="en-US"/>
        </w:rPr>
        <w:t xml:space="preserve"> </w:t>
      </w:r>
      <w:r w:rsidRPr="000F06CE">
        <w:rPr>
          <w:rFonts w:asciiTheme="majorBidi" w:hAnsiTheme="majorBidi" w:cstheme="majorBidi"/>
        </w:rPr>
        <w:t xml:space="preserve">  </w:t>
      </w:r>
    </w:p>
  </w:footnote>
  <w:footnote w:id="13">
    <w:p w:rsidR="00EB0E37" w:rsidRDefault="00EB0E37" w:rsidP="004D1BBC">
      <w:pPr>
        <w:pStyle w:val="a3"/>
        <w:spacing w:after="120"/>
        <w:jc w:val="both"/>
      </w:pPr>
      <w:r>
        <w:rPr>
          <w:rStyle w:val="a5"/>
        </w:rPr>
        <w:footnoteRef/>
      </w:r>
      <w:r>
        <w:t xml:space="preserve"> R Gavison and N Perez, ‘</w:t>
      </w:r>
      <w:r w:rsidRPr="008D776F">
        <w:rPr>
          <w:lang w:val="en"/>
        </w:rPr>
        <w:t xml:space="preserve">Days of </w:t>
      </w:r>
      <w:r>
        <w:rPr>
          <w:lang w:val="en"/>
        </w:rPr>
        <w:t>R</w:t>
      </w:r>
      <w:r w:rsidRPr="008D776F">
        <w:rPr>
          <w:lang w:val="en"/>
        </w:rPr>
        <w:t xml:space="preserve">est in </w:t>
      </w:r>
      <w:r>
        <w:rPr>
          <w:lang w:val="en"/>
        </w:rPr>
        <w:t>M</w:t>
      </w:r>
      <w:r w:rsidRPr="008D776F">
        <w:rPr>
          <w:lang w:val="en"/>
        </w:rPr>
        <w:t xml:space="preserve">ulticultural </w:t>
      </w:r>
      <w:r>
        <w:rPr>
          <w:lang w:val="en"/>
        </w:rPr>
        <w:t>S</w:t>
      </w:r>
      <w:r w:rsidRPr="008D776F">
        <w:rPr>
          <w:lang w:val="en"/>
        </w:rPr>
        <w:t xml:space="preserve">ocieties: </w:t>
      </w:r>
      <w:r>
        <w:rPr>
          <w:lang w:val="en"/>
        </w:rPr>
        <w:t>P</w:t>
      </w:r>
      <w:r w:rsidRPr="008D776F">
        <w:rPr>
          <w:lang w:val="en"/>
        </w:rPr>
        <w:t xml:space="preserve">rivate, </w:t>
      </w:r>
      <w:r>
        <w:rPr>
          <w:lang w:val="en"/>
        </w:rPr>
        <w:t>P</w:t>
      </w:r>
      <w:r w:rsidRPr="008D776F">
        <w:rPr>
          <w:lang w:val="en"/>
        </w:rPr>
        <w:t xml:space="preserve">ublic, </w:t>
      </w:r>
      <w:r>
        <w:rPr>
          <w:lang w:val="en"/>
        </w:rPr>
        <w:t>S</w:t>
      </w:r>
      <w:r w:rsidRPr="008D776F">
        <w:rPr>
          <w:lang w:val="en"/>
        </w:rPr>
        <w:t>eparate</w:t>
      </w:r>
      <w:r>
        <w:rPr>
          <w:lang w:val="en"/>
        </w:rPr>
        <w:t>’</w:t>
      </w:r>
      <w:r w:rsidRPr="008D776F">
        <w:rPr>
          <w:rFonts w:eastAsia="Calibri" w:cs="Times New Roman"/>
          <w:bCs/>
          <w:i/>
          <w:iCs/>
          <w:sz w:val="24"/>
          <w:szCs w:val="24"/>
        </w:rPr>
        <w:t xml:space="preserve"> </w:t>
      </w:r>
      <w:r w:rsidRPr="008D776F">
        <w:rPr>
          <w:bCs/>
        </w:rPr>
        <w:t>in</w:t>
      </w:r>
      <w:r w:rsidRPr="008D776F">
        <w:rPr>
          <w:bCs/>
          <w:i/>
          <w:iCs/>
        </w:rPr>
        <w:t xml:space="preserve"> Theoretical and Historical Context </w:t>
      </w:r>
      <w:r w:rsidRPr="008D776F">
        <w:rPr>
          <w:bCs/>
        </w:rPr>
        <w:t>(</w:t>
      </w:r>
      <w:r w:rsidRPr="008D776F">
        <w:rPr>
          <w:bCs/>
          <w:lang w:val="en"/>
        </w:rPr>
        <w:t xml:space="preserve">edited by P Cane, C Evans and Z Robinson; </w:t>
      </w:r>
      <w:r w:rsidRPr="008D776F">
        <w:rPr>
          <w:bCs/>
        </w:rPr>
        <w:t>Cambridge University Press</w:t>
      </w:r>
      <w:r>
        <w:rPr>
          <w:bCs/>
        </w:rPr>
        <w:t>, 2008</w:t>
      </w:r>
      <w:r w:rsidRPr="008D776F">
        <w:rPr>
          <w:bCs/>
        </w:rPr>
        <w:t xml:space="preserve">) </w:t>
      </w:r>
      <w:r>
        <w:rPr>
          <w:lang w:val="en"/>
        </w:rPr>
        <w:t>186.</w:t>
      </w:r>
    </w:p>
  </w:footnote>
  <w:footnote w:id="14">
    <w:p w:rsidR="00EB0E37" w:rsidRPr="000F06CE" w:rsidRDefault="00EB0E37" w:rsidP="004D1BBC">
      <w:pPr>
        <w:pStyle w:val="a3"/>
        <w:spacing w:after="120"/>
        <w:jc w:val="both"/>
        <w:rPr>
          <w:rFonts w:asciiTheme="majorBidi" w:hAnsiTheme="majorBidi" w:cstheme="majorBidi"/>
        </w:rPr>
      </w:pPr>
      <w:r w:rsidRPr="000F06CE">
        <w:rPr>
          <w:rStyle w:val="a5"/>
          <w:rFonts w:asciiTheme="majorBidi" w:hAnsiTheme="majorBidi" w:cstheme="majorBidi"/>
        </w:rPr>
        <w:footnoteRef/>
      </w:r>
      <w:r w:rsidRPr="000F06CE">
        <w:rPr>
          <w:rFonts w:asciiTheme="majorBidi" w:hAnsiTheme="majorBidi" w:cstheme="majorBidi"/>
        </w:rPr>
        <w:fldChar w:fldCharType="begin"/>
      </w:r>
      <w:r w:rsidRPr="000F06CE">
        <w:rPr>
          <w:rFonts w:asciiTheme="majorBidi" w:hAnsiTheme="majorBidi" w:cstheme="majorBidi"/>
        </w:rPr>
        <w:instrText xml:space="preserve"> ADDIN EN.CITE &lt;EndNote&gt;&lt;Cite&gt;&lt;Year&gt;1986&lt;/Year&gt;&lt;RecNum&gt;52&lt;/RecNum&gt;&lt;record&gt;&lt;rec-number&gt;52&lt;/rec-number&gt;&lt;ref-type name="Case (simple)"&gt;7&lt;/ref-type&gt;&lt;contributors&gt;&lt;/contributors&gt;&lt;titles&gt;&lt;title&gt;R v Edwards Books and Art&lt;/title&gt;&lt;secondary-title&gt;[1986] 2 S.C.R 713&lt;/secondary-title&gt;&lt;/titles&gt;&lt;dates&gt;&lt;year&gt;1986&lt;/year&gt;&lt;/dates&gt;&lt;urls&gt;&lt;/urls&gt;&lt;/record&gt;&lt;/Cite&gt;&lt;/EndNote&gt;</w:instrText>
      </w:r>
      <w:r w:rsidRPr="000F06CE">
        <w:rPr>
          <w:rFonts w:asciiTheme="majorBidi" w:hAnsiTheme="majorBidi" w:cstheme="majorBidi"/>
        </w:rPr>
        <w:fldChar w:fldCharType="separate"/>
      </w:r>
      <w:r w:rsidRPr="000F06CE">
        <w:rPr>
          <w:rFonts w:asciiTheme="majorBidi" w:hAnsiTheme="majorBidi" w:cstheme="majorBidi"/>
        </w:rPr>
        <w:t xml:space="preserve"> </w:t>
      </w:r>
      <w:r w:rsidRPr="000F06CE">
        <w:rPr>
          <w:rFonts w:asciiTheme="majorBidi" w:hAnsiTheme="majorBidi" w:cstheme="majorBidi"/>
          <w:i/>
        </w:rPr>
        <w:t>R v</w:t>
      </w:r>
      <w:r>
        <w:rPr>
          <w:rFonts w:asciiTheme="majorBidi" w:hAnsiTheme="majorBidi" w:cstheme="majorBidi"/>
          <w:i/>
        </w:rPr>
        <w:t>.</w:t>
      </w:r>
      <w:r w:rsidRPr="000F06CE">
        <w:rPr>
          <w:rFonts w:asciiTheme="majorBidi" w:hAnsiTheme="majorBidi" w:cstheme="majorBidi"/>
          <w:i/>
        </w:rPr>
        <w:t xml:space="preserve"> Edwards Books and Art</w:t>
      </w:r>
      <w:r w:rsidRPr="000F06CE">
        <w:rPr>
          <w:rFonts w:asciiTheme="majorBidi" w:hAnsiTheme="majorBidi" w:cstheme="majorBidi"/>
        </w:rPr>
        <w:t xml:space="preserve"> [1986] 2 SCR 713</w:t>
      </w:r>
      <w:r w:rsidRPr="000F06CE">
        <w:rPr>
          <w:rFonts w:asciiTheme="majorBidi" w:hAnsiTheme="majorBidi" w:cstheme="majorBidi"/>
        </w:rPr>
        <w:fldChar w:fldCharType="end"/>
      </w:r>
      <w:r w:rsidRPr="000F06CE">
        <w:rPr>
          <w:rFonts w:asciiTheme="majorBidi" w:hAnsiTheme="majorBidi" w:cstheme="majorBidi"/>
        </w:rPr>
        <w:t xml:space="preserve">, regarding the Retail Business Holidays Act, in Ontario, Canada. </w:t>
      </w:r>
    </w:p>
  </w:footnote>
  <w:footnote w:id="15">
    <w:p w:rsidR="00EB0E37" w:rsidRPr="000F06CE" w:rsidRDefault="00EB0E37" w:rsidP="004D1BBC">
      <w:pPr>
        <w:pStyle w:val="a3"/>
        <w:spacing w:after="120"/>
        <w:jc w:val="both"/>
        <w:rPr>
          <w:rFonts w:asciiTheme="majorBidi" w:hAnsiTheme="majorBidi" w:cstheme="majorBidi"/>
        </w:rPr>
      </w:pPr>
      <w:r w:rsidRPr="000F06CE">
        <w:rPr>
          <w:rStyle w:val="a5"/>
          <w:rFonts w:asciiTheme="majorBidi" w:hAnsiTheme="majorBidi" w:cstheme="majorBidi"/>
        </w:rPr>
        <w:footnoteRef/>
      </w:r>
      <w:r w:rsidRPr="000F06CE">
        <w:rPr>
          <w:rFonts w:asciiTheme="majorBidi" w:hAnsiTheme="majorBidi" w:cstheme="majorBidi"/>
        </w:rPr>
        <w:t xml:space="preserve"> For a detailed discussion about these tribunals, see Braithwaite (n</w:t>
      </w:r>
      <w:r>
        <w:rPr>
          <w:rFonts w:asciiTheme="majorBidi" w:hAnsiTheme="majorBidi" w:cstheme="majorBidi"/>
        </w:rPr>
        <w:t xml:space="preserve"> </w:t>
      </w:r>
      <w:r>
        <w:rPr>
          <w:rFonts w:asciiTheme="majorBidi" w:hAnsiTheme="majorBidi" w:cstheme="majorBidi"/>
        </w:rPr>
        <w:fldChar w:fldCharType="begin"/>
      </w:r>
      <w:r>
        <w:rPr>
          <w:rFonts w:asciiTheme="majorBidi" w:hAnsiTheme="majorBidi" w:cstheme="majorBidi"/>
        </w:rPr>
        <w:instrText xml:space="preserve"> NOTEREF _Ref128997491 \h </w:instrText>
      </w:r>
      <w:r>
        <w:rPr>
          <w:rFonts w:asciiTheme="majorBidi" w:hAnsiTheme="majorBidi" w:cstheme="majorBidi"/>
        </w:rPr>
      </w:r>
      <w:r>
        <w:rPr>
          <w:rFonts w:asciiTheme="majorBidi" w:hAnsiTheme="majorBidi" w:cstheme="majorBidi"/>
        </w:rPr>
        <w:fldChar w:fldCharType="separate"/>
      </w:r>
      <w:r w:rsidR="005B634A">
        <w:rPr>
          <w:rFonts w:asciiTheme="majorBidi" w:hAnsiTheme="majorBidi" w:cstheme="majorBidi"/>
        </w:rPr>
        <w:t>9</w:t>
      </w:r>
      <w:r>
        <w:rPr>
          <w:rFonts w:asciiTheme="majorBidi" w:hAnsiTheme="majorBidi" w:cstheme="majorBidi"/>
        </w:rPr>
        <w:fldChar w:fldCharType="end"/>
      </w:r>
      <w:r w:rsidRPr="000F06CE">
        <w:rPr>
          <w:rFonts w:asciiTheme="majorBidi" w:hAnsiTheme="majorBidi" w:cstheme="majorBidi"/>
        </w:rPr>
        <w:t>) 140</w:t>
      </w:r>
      <w:r>
        <w:rPr>
          <w:rFonts w:asciiTheme="majorBidi" w:hAnsiTheme="majorBidi" w:cstheme="majorBidi"/>
        </w:rPr>
        <w:t>–</w:t>
      </w:r>
      <w:r w:rsidRPr="000F06CE">
        <w:rPr>
          <w:rFonts w:asciiTheme="majorBidi" w:hAnsiTheme="majorBidi" w:cstheme="majorBidi"/>
        </w:rPr>
        <w:t>142, 185-191, 227-232, 355-375.</w:t>
      </w:r>
    </w:p>
  </w:footnote>
  <w:footnote w:id="16">
    <w:p w:rsidR="00EB0E37" w:rsidRPr="000F06CE" w:rsidRDefault="00EB0E37" w:rsidP="00EB0E37">
      <w:pPr>
        <w:pStyle w:val="a3"/>
        <w:spacing w:after="120"/>
        <w:jc w:val="both"/>
        <w:rPr>
          <w:rFonts w:asciiTheme="majorBidi" w:hAnsiTheme="majorBidi" w:cstheme="majorBidi"/>
        </w:rPr>
      </w:pPr>
      <w:r w:rsidRPr="000F06CE">
        <w:rPr>
          <w:rStyle w:val="a5"/>
          <w:rFonts w:asciiTheme="majorBidi" w:hAnsiTheme="majorBidi" w:cstheme="majorBidi"/>
        </w:rPr>
        <w:footnoteRef/>
      </w:r>
      <w:r w:rsidRPr="000F06CE">
        <w:rPr>
          <w:rFonts w:asciiTheme="majorBidi" w:hAnsiTheme="majorBidi" w:cstheme="majorBidi"/>
        </w:rPr>
        <w:t xml:space="preserve"> </w:t>
      </w:r>
      <w:r>
        <w:rPr>
          <w:rFonts w:asciiTheme="majorBidi" w:hAnsiTheme="majorBidi" w:cstheme="majorBidi"/>
        </w:rPr>
        <w:t xml:space="preserve">(n </w:t>
      </w:r>
      <w:r>
        <w:rPr>
          <w:rFonts w:asciiTheme="majorBidi" w:hAnsiTheme="majorBidi" w:cstheme="majorBidi"/>
        </w:rPr>
        <w:fldChar w:fldCharType="begin"/>
      </w:r>
      <w:r>
        <w:rPr>
          <w:rFonts w:asciiTheme="majorBidi" w:hAnsiTheme="majorBidi" w:cstheme="majorBidi"/>
        </w:rPr>
        <w:instrText xml:space="preserve"> NOTEREF _Ref425664777 \h </w:instrText>
      </w:r>
      <w:r>
        <w:rPr>
          <w:rFonts w:asciiTheme="majorBidi" w:hAnsiTheme="majorBidi" w:cstheme="majorBidi"/>
        </w:rPr>
      </w:r>
      <w:r>
        <w:rPr>
          <w:rFonts w:asciiTheme="majorBidi" w:hAnsiTheme="majorBidi" w:cstheme="majorBidi"/>
        </w:rPr>
        <w:fldChar w:fldCharType="separate"/>
      </w:r>
      <w:r w:rsidR="005B634A">
        <w:rPr>
          <w:rFonts w:asciiTheme="majorBidi" w:hAnsiTheme="majorBidi" w:cstheme="majorBidi"/>
        </w:rPr>
        <w:t>4</w:t>
      </w:r>
      <w:r>
        <w:rPr>
          <w:rFonts w:asciiTheme="majorBidi" w:hAnsiTheme="majorBidi" w:cstheme="majorBidi"/>
        </w:rPr>
        <w:fldChar w:fldCharType="end"/>
      </w:r>
      <w:r>
        <w:rPr>
          <w:rFonts w:asciiTheme="majorBidi" w:hAnsiTheme="majorBidi" w:cstheme="majorBidi"/>
        </w:rPr>
        <w:t>)</w:t>
      </w:r>
      <w:r w:rsidRPr="000F06CE">
        <w:rPr>
          <w:rFonts w:asciiTheme="majorBidi" w:hAnsiTheme="majorBidi" w:cstheme="majorBidi"/>
        </w:rPr>
        <w:t xml:space="preserve">. </w:t>
      </w:r>
    </w:p>
  </w:footnote>
  <w:footnote w:id="17">
    <w:p w:rsidR="00EB0E37" w:rsidRPr="00613DC1" w:rsidRDefault="00EB0E37" w:rsidP="004D1BBC">
      <w:pPr>
        <w:pStyle w:val="a3"/>
        <w:spacing w:after="120"/>
        <w:jc w:val="both"/>
        <w:rPr>
          <w:lang w:val="en"/>
        </w:rPr>
      </w:pPr>
      <w:r>
        <w:rPr>
          <w:rStyle w:val="a5"/>
        </w:rPr>
        <w:footnoteRef/>
      </w:r>
      <w:r>
        <w:t xml:space="preserve"> </w:t>
      </w:r>
      <w:r w:rsidRPr="00613DC1">
        <w:rPr>
          <w:lang w:val="en"/>
        </w:rPr>
        <w:t xml:space="preserve">In 1994, </w:t>
      </w:r>
      <w:r>
        <w:rPr>
          <w:lang w:val="en"/>
        </w:rPr>
        <w:t xml:space="preserve">and in response to the </w:t>
      </w:r>
      <w:r w:rsidRPr="00613DC1">
        <w:rPr>
          <w:i/>
          <w:iCs/>
          <w:lang w:val="en"/>
        </w:rPr>
        <w:t>Smith</w:t>
      </w:r>
      <w:r>
        <w:rPr>
          <w:lang w:val="en"/>
        </w:rPr>
        <w:t xml:space="preserve"> decision, </w:t>
      </w:r>
      <w:r w:rsidRPr="00613DC1">
        <w:rPr>
          <w:lang w:val="en"/>
        </w:rPr>
        <w:t xml:space="preserve">Congress </w:t>
      </w:r>
      <w:r>
        <w:rPr>
          <w:lang w:val="en"/>
        </w:rPr>
        <w:t xml:space="preserve">also </w:t>
      </w:r>
      <w:r w:rsidRPr="00613DC1">
        <w:rPr>
          <w:lang w:val="en"/>
        </w:rPr>
        <w:t>amended the American Indian Religious Freedom Act and added section 3(b)(1)</w:t>
      </w:r>
      <w:r>
        <w:rPr>
          <w:lang w:val="en"/>
        </w:rPr>
        <w:t>,</w:t>
      </w:r>
      <w:r w:rsidRPr="00613DC1">
        <w:rPr>
          <w:lang w:val="en"/>
        </w:rPr>
        <w:t xml:space="preserve"> </w:t>
      </w:r>
      <w:r>
        <w:rPr>
          <w:lang w:val="en"/>
        </w:rPr>
        <w:t>which</w:t>
      </w:r>
      <w:r w:rsidRPr="00613DC1">
        <w:rPr>
          <w:lang w:val="en"/>
        </w:rPr>
        <w:t xml:space="preserve"> states that ‘notwithstanding any other provision of the law, the use, possession, or transportation of peyote by an Indian who uses peyote in a traditional manner for bona fide ceremonial purposes in connection with the practice of a traditional Indian religion is lawful’.</w:t>
      </w:r>
    </w:p>
  </w:footnote>
  <w:footnote w:id="18">
    <w:p w:rsidR="00EB0E37" w:rsidRPr="00145B3E" w:rsidRDefault="00EB0E37" w:rsidP="004D1BBC">
      <w:pPr>
        <w:pStyle w:val="a3"/>
        <w:spacing w:after="120"/>
        <w:jc w:val="both"/>
      </w:pPr>
      <w:r>
        <w:rPr>
          <w:rStyle w:val="a5"/>
        </w:rPr>
        <w:footnoteRef/>
      </w:r>
      <w:r>
        <w:t xml:space="preserve"> </w:t>
      </w:r>
      <w:r w:rsidRPr="00145B3E">
        <w:rPr>
          <w:i/>
          <w:iCs/>
          <w:lang w:val="en"/>
        </w:rPr>
        <w:t>City of Boerne v. Flores</w:t>
      </w:r>
      <w:r w:rsidRPr="00145B3E">
        <w:rPr>
          <w:lang w:val="en"/>
        </w:rPr>
        <w:t xml:space="preserve"> 521 </w:t>
      </w:r>
      <w:hyperlink r:id="rId1" w:tooltip="United States Reports" w:history="1">
        <w:r w:rsidRPr="00145B3E">
          <w:rPr>
            <w:lang w:val="en"/>
          </w:rPr>
          <w:t>U.S.</w:t>
        </w:r>
      </w:hyperlink>
      <w:r w:rsidRPr="00145B3E">
        <w:rPr>
          <w:lang w:val="en"/>
        </w:rPr>
        <w:t xml:space="preserve"> </w:t>
      </w:r>
      <w:hyperlink r:id="rId2" w:history="1">
        <w:r w:rsidRPr="00145B3E">
          <w:rPr>
            <w:lang w:val="en"/>
          </w:rPr>
          <w:t>507</w:t>
        </w:r>
      </w:hyperlink>
      <w:r w:rsidRPr="00145B3E">
        <w:t xml:space="preserve"> (1997).</w:t>
      </w:r>
    </w:p>
  </w:footnote>
  <w:footnote w:id="19">
    <w:p w:rsidR="00EB0E37" w:rsidRDefault="00EB0E37" w:rsidP="00A438E5">
      <w:pPr>
        <w:pStyle w:val="a3"/>
        <w:spacing w:after="120"/>
        <w:jc w:val="both"/>
      </w:pPr>
      <w:r>
        <w:rPr>
          <w:rStyle w:val="a5"/>
        </w:rPr>
        <w:footnoteRef/>
      </w:r>
      <w:r>
        <w:t xml:space="preserve"> For applying the ‘reading in’ remedy (though only implicitly) with regard to conscientious objection to compulsory enlistment into the army see </w:t>
      </w:r>
      <w:r w:rsidRPr="00531CC7">
        <w:rPr>
          <w:i/>
          <w:iCs/>
        </w:rPr>
        <w:t>Welsh v. United State</w:t>
      </w:r>
      <w:r>
        <w:rPr>
          <w:i/>
          <w:iCs/>
        </w:rPr>
        <w:t>s</w:t>
      </w:r>
      <w:r w:rsidRPr="00531CC7">
        <w:rPr>
          <w:i/>
          <w:iCs/>
        </w:rPr>
        <w:t xml:space="preserve"> </w:t>
      </w:r>
      <w:r w:rsidRPr="00531CC7">
        <w:t>398 U.S 333 (1970</w:t>
      </w:r>
      <w:r>
        <w:t xml:space="preserve">). For </w:t>
      </w:r>
      <w:r w:rsidRPr="00223B96">
        <w:t xml:space="preserve">‘reading in’ as a judicial remedy see: </w:t>
      </w:r>
      <w:r w:rsidRPr="00223B96">
        <w:fldChar w:fldCharType="begin"/>
      </w:r>
      <w:r w:rsidRPr="00223B96">
        <w:instrText xml:space="preserve"> ADDIN EN.CITE &lt;EndNote&gt;&lt;Cite&gt;&lt;Author&gt;Beers&lt;/Author&gt;&lt;Year&gt;1975&lt;/Year&gt;&lt;RecNum&gt;81&lt;/RecNum&gt;&lt;record&gt;&lt;rec-number&gt;81&lt;/rec-number&gt;&lt;ref-type name="Journal Article"&gt;17&lt;/ref-type&gt;&lt;contributors&gt;&lt;authors&gt;&lt;author&gt;D. Beers&lt;/author&gt;&lt;/authors&gt;&lt;/contributors&gt;&lt;titles&gt;&lt;title&gt;Extension Versus Invalidation of Underinclusive Statutes: A Remedial Alternative&lt;/title&gt;&lt;secondary-title&gt;Colum L J Soc Prob&lt;/secondary-title&gt;&lt;/titles&gt;&lt;periodical&gt;&lt;full-title&gt;Colum L J Soc Prob&lt;/full-title&gt;&lt;/periodical&gt;&lt;pages&gt;115&lt;/pages&gt;&lt;volume&gt;12&lt;/volume&gt;&lt;dates&gt;&lt;year&gt;1975&lt;/year&gt;&lt;/dates&gt;&lt;pub-location&gt;1975&lt;/pub-location&gt;&lt;urls&gt;&lt;/urls&gt;&lt;/record&gt;&lt;/Cite&gt;&lt;/EndNote&gt;</w:instrText>
      </w:r>
      <w:r w:rsidRPr="00223B96">
        <w:fldChar w:fldCharType="separate"/>
      </w:r>
      <w:r w:rsidRPr="00223B96">
        <w:t>D Beers, 'Extension Versus Invalidation of Underinclusive Statutes: A Remedial Alternative' (1975) 12 Colum</w:t>
      </w:r>
      <w:r>
        <w:t>bia</w:t>
      </w:r>
      <w:r w:rsidRPr="00223B96">
        <w:t xml:space="preserve"> J</w:t>
      </w:r>
      <w:r>
        <w:t>ournal of Law and</w:t>
      </w:r>
      <w:r w:rsidRPr="00223B96">
        <w:t xml:space="preserve"> Soc</w:t>
      </w:r>
      <w:r>
        <w:t>ial</w:t>
      </w:r>
      <w:r w:rsidRPr="00223B96">
        <w:t xml:space="preserve"> Prob</w:t>
      </w:r>
      <w:r>
        <w:t>lems</w:t>
      </w:r>
      <w:r w:rsidRPr="00223B96">
        <w:t xml:space="preserve"> 115</w:t>
      </w:r>
      <w:r w:rsidRPr="00223B96">
        <w:fldChar w:fldCharType="end"/>
      </w:r>
      <w:r w:rsidRPr="00223B96">
        <w:t>;</w:t>
      </w:r>
      <w:r>
        <w:t xml:space="preserve"> </w:t>
      </w:r>
      <w:r w:rsidRPr="00223B96">
        <w:t xml:space="preserve"> </w:t>
      </w:r>
      <w:r w:rsidRPr="00AB2CB8">
        <w:rPr>
          <w:lang w:val="en-US"/>
        </w:rPr>
        <w:t>KW Simons, ‘Overinclusion And Underinclusion: A New Model” 36 U.C.L.A. Law Review</w:t>
      </w:r>
      <w:r w:rsidRPr="00AB2CB8">
        <w:rPr>
          <w:i/>
          <w:iCs/>
          <w:lang w:val="en-US"/>
        </w:rPr>
        <w:t xml:space="preserve"> </w:t>
      </w:r>
      <w:r w:rsidRPr="00AB2CB8">
        <w:rPr>
          <w:lang w:val="en-US"/>
        </w:rPr>
        <w:t>(1989) 447</w:t>
      </w:r>
      <w:r>
        <w:rPr>
          <w:lang w:val="en-US"/>
        </w:rPr>
        <w:t xml:space="preserve">; </w:t>
      </w:r>
      <w:r w:rsidRPr="00223B96">
        <w:fldChar w:fldCharType="begin"/>
      </w:r>
      <w:r w:rsidRPr="00223B96">
        <w:instrText xml:space="preserve"> ADDIN EN.CITE &lt;EndNote&gt;&lt;Cite&gt;&lt;Author&gt;Bizar&lt;/Author&gt;&lt;Year&gt;1992&lt;/Year&gt;&lt;RecNum&gt;82&lt;/RecNum&gt;&lt;record&gt;&lt;rec-number&gt;82&lt;/rec-number&gt;&lt;ref-type name="Journal Article"&gt;17&lt;/ref-type&gt;&lt;contributors&gt;&lt;authors&gt;&lt;author&gt;D.M. Bizar&lt;/author&gt;&lt;/authors&gt;&lt;/contributors&gt;&lt;titles&gt;&lt;title&gt;Remedying Underinclusive Entitlement Statutes: Lessons From a Contrast of the Canadian and U.S Doctrines&lt;/title&gt;&lt;secondary-title&gt;Miami Int Am L Rev&lt;/secondary-title&gt;&lt;/titles&gt;&lt;periodical&gt;&lt;full-title&gt;Miami Int Am L Rev&lt;/full-title&gt;&lt;/periodical&gt;&lt;pages&gt;121&lt;/pages&gt;&lt;volume&gt;24&lt;/volume&gt;&lt;dates&gt;&lt;year&gt;1992&lt;/year&gt;&lt;/dates&gt;&lt;pub-location&gt;1992&lt;/pub-location&gt;&lt;urls&gt;&lt;/urls&gt;&lt;/record&gt;&lt;/Cite&gt;&lt;/EndNote&gt;</w:instrText>
      </w:r>
      <w:r w:rsidRPr="00223B96">
        <w:fldChar w:fldCharType="separate"/>
      </w:r>
      <w:r w:rsidRPr="00223B96">
        <w:t>DM Bizar, 'Remedying Underinclusive Entitlement Statutes: Lessons From a Contrast of the Canadian and U.S Doctrines' (1992) 24 Miami Int</w:t>
      </w:r>
      <w:r>
        <w:t>er-</w:t>
      </w:r>
      <w:r w:rsidRPr="00223B96">
        <w:t>Am</w:t>
      </w:r>
      <w:r>
        <w:t>erican</w:t>
      </w:r>
      <w:r w:rsidRPr="00223B96">
        <w:t xml:space="preserve"> L</w:t>
      </w:r>
      <w:r>
        <w:t>aw</w:t>
      </w:r>
      <w:r w:rsidRPr="00223B96">
        <w:t xml:space="preserve"> Rev</w:t>
      </w:r>
      <w:r>
        <w:t>iew</w:t>
      </w:r>
      <w:r w:rsidRPr="00223B96">
        <w:t xml:space="preserve"> 121</w:t>
      </w:r>
      <w:r w:rsidRPr="00223B96">
        <w:fldChar w:fldCharType="end"/>
      </w:r>
      <w:r>
        <w:t>;</w:t>
      </w:r>
      <w:r>
        <w:rPr>
          <w:lang w:val="en-US"/>
        </w:rPr>
        <w:t xml:space="preserve"> </w:t>
      </w:r>
      <w:r w:rsidRPr="00B64943">
        <w:rPr>
          <w:lang w:val="en-US"/>
        </w:rPr>
        <w:t>D Potheir</w:t>
      </w:r>
      <w:r>
        <w:rPr>
          <w:lang w:val="en-US"/>
        </w:rPr>
        <w:t>,</w:t>
      </w:r>
      <w:r w:rsidRPr="00B64943">
        <w:rPr>
          <w:lang w:val="en-US"/>
        </w:rPr>
        <w:t xml:space="preserve"> </w:t>
      </w:r>
      <w:r>
        <w:rPr>
          <w:lang w:val="en-US"/>
        </w:rPr>
        <w:t>‘</w:t>
      </w:r>
      <w:r w:rsidRPr="00B64943">
        <w:rPr>
          <w:lang w:val="en-US"/>
        </w:rPr>
        <w:t>Charter Challenges To Underinclusive Legislation: The Complexities Of Sins Of Omission</w:t>
      </w:r>
      <w:r>
        <w:rPr>
          <w:lang w:val="en-US"/>
        </w:rPr>
        <w:t>’</w:t>
      </w:r>
      <w:r w:rsidRPr="00B64943">
        <w:rPr>
          <w:lang w:val="en-US"/>
        </w:rPr>
        <w:t xml:space="preserve"> 19 Queens Law Journal</w:t>
      </w:r>
      <w:r w:rsidRPr="00B64943">
        <w:rPr>
          <w:i/>
          <w:iCs/>
          <w:lang w:val="en-US"/>
        </w:rPr>
        <w:t xml:space="preserve"> </w:t>
      </w:r>
      <w:r w:rsidRPr="00B64943">
        <w:rPr>
          <w:lang w:val="en-US"/>
        </w:rPr>
        <w:t>(1993) 261.</w:t>
      </w:r>
    </w:p>
  </w:footnote>
  <w:footnote w:id="20">
    <w:p w:rsidR="00EB0E37" w:rsidRDefault="00EB0E37" w:rsidP="000B274D">
      <w:pPr>
        <w:pStyle w:val="a3"/>
        <w:jc w:val="both"/>
      </w:pPr>
      <w:r>
        <w:rPr>
          <w:rStyle w:val="a5"/>
        </w:rPr>
        <w:footnoteRef/>
      </w:r>
      <w:r>
        <w:t xml:space="preserve"> Even though the normative arguments below are applicable to all constitutional democracies, special consideration is given to the American jurisprudence as it offers more attempts than any other jurisdiction</w:t>
      </w:r>
      <w:r w:rsidRPr="00807686">
        <w:t xml:space="preserve"> </w:t>
      </w:r>
      <w:r>
        <w:t>(</w:t>
      </w:r>
      <w:r w:rsidRPr="00807686">
        <w:t>both in scholarly work and in the case law</w:t>
      </w:r>
      <w:r>
        <w:t xml:space="preserve">) to tackling the questions of how exemptions should be granted – and by whom.   </w:t>
      </w:r>
    </w:p>
    <w:p w:rsidR="00EB0E37" w:rsidRDefault="00EB0E37" w:rsidP="000B274D">
      <w:pPr>
        <w:pStyle w:val="a3"/>
        <w:jc w:val="both"/>
      </w:pPr>
    </w:p>
  </w:footnote>
  <w:footnote w:id="21">
    <w:p w:rsidR="00EB0E37" w:rsidRDefault="00EB0E37" w:rsidP="00A438E5">
      <w:pPr>
        <w:pStyle w:val="a3"/>
        <w:spacing w:after="120"/>
        <w:jc w:val="both"/>
      </w:pPr>
      <w:r>
        <w:rPr>
          <w:rStyle w:val="a5"/>
        </w:rPr>
        <w:footnoteRef/>
      </w:r>
      <w:r>
        <w:t xml:space="preserve"> And see </w:t>
      </w:r>
      <w:r w:rsidRPr="000C47E4">
        <w:rPr>
          <w:i/>
          <w:iCs/>
          <w:lang w:val="en"/>
        </w:rPr>
        <w:t>Multani v</w:t>
      </w:r>
      <w:r>
        <w:rPr>
          <w:i/>
          <w:iCs/>
          <w:lang w:val="en"/>
        </w:rPr>
        <w:t>.</w:t>
      </w:r>
      <w:r w:rsidRPr="000C47E4">
        <w:rPr>
          <w:i/>
          <w:iCs/>
          <w:lang w:val="en"/>
        </w:rPr>
        <w:t xml:space="preserve"> Commission scolaire Marguerite</w:t>
      </w:r>
      <w:r w:rsidRPr="000C47E4">
        <w:rPr>
          <w:i/>
          <w:iCs/>
          <w:lang w:val="en"/>
        </w:rPr>
        <w:noBreakHyphen/>
        <w:t>Bourgeoys</w:t>
      </w:r>
      <w:r w:rsidRPr="000C47E4">
        <w:rPr>
          <w:lang w:val="en"/>
        </w:rPr>
        <w:t xml:space="preserve"> [2006] 1 S.C.R. 256</w:t>
      </w:r>
      <w:r>
        <w:rPr>
          <w:lang w:val="en"/>
        </w:rPr>
        <w:t>.</w:t>
      </w:r>
    </w:p>
  </w:footnote>
  <w:footnote w:id="22">
    <w:p w:rsidR="00EB0E37" w:rsidRPr="000F06CE" w:rsidRDefault="00EB0E37" w:rsidP="00A438E5">
      <w:pPr>
        <w:pStyle w:val="a3"/>
        <w:spacing w:after="120"/>
        <w:jc w:val="both"/>
        <w:rPr>
          <w:rFonts w:asciiTheme="majorBidi" w:hAnsiTheme="majorBidi" w:cstheme="majorBidi"/>
        </w:rPr>
      </w:pPr>
      <w:r w:rsidRPr="000F06CE">
        <w:rPr>
          <w:rStyle w:val="a5"/>
          <w:rFonts w:asciiTheme="majorBidi" w:hAnsiTheme="majorBidi" w:cstheme="majorBidi"/>
        </w:rPr>
        <w:footnoteRef/>
      </w:r>
      <w:r w:rsidRPr="000F06CE">
        <w:rPr>
          <w:rFonts w:asciiTheme="majorBidi" w:hAnsiTheme="majorBidi" w:cstheme="majorBidi"/>
        </w:rPr>
        <w:t xml:space="preserve"> In other cases, the risk of fraud and compelled objections might be a good reason for not granting the exemption at all. This is one of the arguments employed regarding the Islamic veil dispute. In this case, limiting the right to be granted exemption from dress codes only to religious Muslims still results in Muslim women </w:t>
      </w:r>
      <w:r>
        <w:rPr>
          <w:rFonts w:asciiTheme="majorBidi" w:hAnsiTheme="majorBidi" w:cstheme="majorBidi"/>
        </w:rPr>
        <w:t xml:space="preserve">being forced </w:t>
      </w:r>
      <w:r w:rsidRPr="000F06CE">
        <w:rPr>
          <w:rFonts w:asciiTheme="majorBidi" w:hAnsiTheme="majorBidi" w:cstheme="majorBidi"/>
        </w:rPr>
        <w:t xml:space="preserve">to wear a veil and to claim a conscientious-religious exemption on a false basis.        </w:t>
      </w:r>
    </w:p>
  </w:footnote>
  <w:footnote w:id="23">
    <w:p w:rsidR="00EB0E37" w:rsidRPr="000F06CE" w:rsidRDefault="00EB0E37" w:rsidP="004D1BBC">
      <w:pPr>
        <w:spacing w:after="120" w:line="240" w:lineRule="auto"/>
        <w:jc w:val="both"/>
        <w:rPr>
          <w:rFonts w:asciiTheme="majorBidi" w:hAnsiTheme="majorBidi" w:cstheme="majorBidi"/>
          <w:sz w:val="20"/>
        </w:rPr>
      </w:pPr>
      <w:r w:rsidRPr="000F06CE">
        <w:rPr>
          <w:rStyle w:val="a5"/>
          <w:rFonts w:asciiTheme="majorBidi" w:hAnsiTheme="majorBidi" w:cstheme="majorBidi"/>
          <w:sz w:val="20"/>
        </w:rPr>
        <w:footnoteRef/>
      </w:r>
      <w:r w:rsidRPr="000F06CE">
        <w:rPr>
          <w:rFonts w:asciiTheme="majorBidi" w:hAnsiTheme="majorBidi" w:cstheme="majorBidi"/>
          <w:sz w:val="20"/>
        </w:rPr>
        <w:t xml:space="preserve"> Note that a constitutional right to freedom of conscience enables the court to grant exemption from a law that does not grant exemption to anyone, whereas a general constitutional right to equality enables the court only to expand the scope of a statutory exemption to all sincere conscientious objectors. </w:t>
      </w:r>
      <w:r>
        <w:rPr>
          <w:rFonts w:asciiTheme="majorBidi" w:hAnsiTheme="majorBidi" w:cstheme="majorBidi"/>
          <w:sz w:val="20"/>
        </w:rPr>
        <w:t xml:space="preserve">Applying </w:t>
      </w:r>
      <w:r w:rsidRPr="000F06CE">
        <w:rPr>
          <w:rFonts w:asciiTheme="majorBidi" w:hAnsiTheme="majorBidi" w:cstheme="majorBidi"/>
          <w:sz w:val="20"/>
        </w:rPr>
        <w:t xml:space="preserve">the general right to equality </w:t>
      </w:r>
      <w:r>
        <w:rPr>
          <w:rFonts w:asciiTheme="majorBidi" w:hAnsiTheme="majorBidi" w:cstheme="majorBidi"/>
          <w:sz w:val="20"/>
        </w:rPr>
        <w:t xml:space="preserve">in order to </w:t>
      </w:r>
      <w:r w:rsidRPr="000F06CE">
        <w:rPr>
          <w:rFonts w:asciiTheme="majorBidi" w:hAnsiTheme="majorBidi" w:cstheme="majorBidi"/>
          <w:sz w:val="20"/>
        </w:rPr>
        <w:t xml:space="preserve">grant exemptions from a law that does not include any exemption is more complicated.  </w:t>
      </w:r>
    </w:p>
  </w:footnote>
  <w:footnote w:id="24">
    <w:p w:rsidR="00EB0E37" w:rsidRPr="000F06CE" w:rsidRDefault="00EB0E37" w:rsidP="004D1BBC">
      <w:pPr>
        <w:pStyle w:val="a3"/>
        <w:spacing w:after="120"/>
        <w:jc w:val="both"/>
        <w:rPr>
          <w:rFonts w:asciiTheme="majorBidi" w:hAnsiTheme="majorBidi" w:cstheme="majorBidi"/>
        </w:rPr>
      </w:pPr>
      <w:r w:rsidRPr="000F06CE">
        <w:rPr>
          <w:rStyle w:val="a5"/>
          <w:rFonts w:asciiTheme="majorBidi" w:hAnsiTheme="majorBidi" w:cstheme="majorBidi"/>
        </w:rPr>
        <w:footnoteRef/>
      </w:r>
      <w:r w:rsidRPr="000F06CE">
        <w:rPr>
          <w:rFonts w:asciiTheme="majorBidi" w:hAnsiTheme="majorBidi" w:cstheme="majorBidi"/>
        </w:rPr>
        <w:t xml:space="preserve"> I leave aside the question </w:t>
      </w:r>
      <w:r>
        <w:rPr>
          <w:rFonts w:asciiTheme="majorBidi" w:hAnsiTheme="majorBidi" w:cstheme="majorBidi"/>
        </w:rPr>
        <w:t xml:space="preserve">of </w:t>
      </w:r>
      <w:r w:rsidRPr="000F06CE">
        <w:rPr>
          <w:rFonts w:asciiTheme="majorBidi" w:hAnsiTheme="majorBidi" w:cstheme="majorBidi"/>
        </w:rPr>
        <w:t xml:space="preserve">whether a non-religious affirmation is indeed an alternative duty or actually the same duty being fulfilled in a different way. </w:t>
      </w:r>
    </w:p>
  </w:footnote>
  <w:footnote w:id="25">
    <w:p w:rsidR="00EB0E37" w:rsidRPr="000F06CE" w:rsidRDefault="00EB0E37" w:rsidP="004D1BBC">
      <w:pPr>
        <w:pStyle w:val="a3"/>
        <w:spacing w:after="120"/>
        <w:jc w:val="both"/>
        <w:rPr>
          <w:rFonts w:asciiTheme="majorBidi" w:hAnsiTheme="majorBidi" w:cstheme="majorBidi"/>
        </w:rPr>
      </w:pPr>
      <w:r w:rsidRPr="000F06CE">
        <w:rPr>
          <w:rStyle w:val="a5"/>
          <w:rFonts w:asciiTheme="majorBidi" w:hAnsiTheme="majorBidi" w:cstheme="majorBidi"/>
        </w:rPr>
        <w:footnoteRef/>
      </w:r>
      <w:r w:rsidRPr="000F06CE">
        <w:rPr>
          <w:rFonts w:asciiTheme="majorBidi" w:hAnsiTheme="majorBidi" w:cstheme="majorBidi"/>
        </w:rPr>
        <w:t xml:space="preserve"> For good examples, see: </w:t>
      </w:r>
      <w:r w:rsidRPr="000F06CE">
        <w:rPr>
          <w:rFonts w:asciiTheme="majorBidi" w:hAnsiTheme="majorBidi" w:cstheme="majorBidi"/>
        </w:rPr>
        <w:fldChar w:fldCharType="begin"/>
      </w:r>
      <w:r w:rsidRPr="000F06CE">
        <w:rPr>
          <w:rFonts w:asciiTheme="majorBidi" w:hAnsiTheme="majorBidi" w:cstheme="majorBidi"/>
        </w:rPr>
        <w:instrText xml:space="preserve"> ADDIN EN.CITE &lt;EndNote&gt;&lt;Cite&gt;&lt;Author&gt;Berg&lt;/Author&gt;&lt;Year&gt;1994&lt;/Year&gt;&lt;RecNum&gt;55&lt;/RecNum&gt;&lt;record&gt;&lt;rec-number&gt;55&lt;/rec-number&gt;&lt;ref-type name="Journal Article"&gt;17&lt;/ref-type&gt;&lt;contributors&gt;&lt;authors&gt;&lt;author&gt;Thomas Berg&lt;/author&gt;&lt;/authors&gt;&lt;/contributors&gt;&lt;titles&gt;&lt;title&gt;What Hath Congress Wrought? An Interpretive Guide to the Religious Freedom Restoration Act&lt;/title&gt;&lt;secondary-title&gt;Villanova Law Review&lt;/secondary-title&gt;&lt;/titles&gt;&lt;periodical&gt;&lt;full-title&gt;Villanova Law Review&lt;/full-title&gt;&lt;/periodical&gt;&lt;pages&gt;1&lt;/pages&gt;&lt;volume&gt;39&lt;/volume&gt;&lt;dates&gt;&lt;year&gt;1994&lt;/year&gt;&lt;/dates&gt;&lt;pub-location&gt;1994&lt;/pub-location&gt;&lt;urls&gt;&lt;/urls&gt;&lt;/record&gt;&lt;/Cite&gt;&lt;Cite&gt;&lt;Author&gt;Berg&lt;/Author&gt;&lt;Year&gt;1994&lt;/Year&gt;&lt;RecNum&gt;55&lt;/RecNum&gt;&lt;record&gt;&lt;rec-number&gt;55&lt;/rec-number&gt;&lt;ref-type name="Journal Article"&gt;17&lt;/ref-type&gt;&lt;contributors&gt;&lt;authors&gt;&lt;author&gt;Thomas Berg&lt;/author&gt;&lt;/authors&gt;&lt;/contributors&gt;&lt;titles&gt;&lt;title&gt;What Hath Congress Wrought? An Interpretive Guide to the Religious Freedom Restoration Act&lt;/title&gt;&lt;secondary-title&gt;Villanova Law Review&lt;/secondary-title&gt;&lt;/titles&gt;&lt;periodical&gt;&lt;full-title&gt;Villanova Law Review&lt;/full-title&gt;&lt;/periodical&gt;&lt;pages&gt;1&lt;/pages&gt;&lt;volume&gt;39&lt;/volume&gt;&lt;dates&gt;&lt;year&gt;1994&lt;/year&gt;&lt;/dates&gt;&lt;pub-location&gt;1994&lt;/pub-location&gt;&lt;urls&gt;&lt;/urls&gt;&lt;/record&gt;&lt;/Cite&gt;&lt;/EndNote&gt;</w:instrText>
      </w:r>
      <w:r w:rsidRPr="000F06CE">
        <w:rPr>
          <w:rFonts w:asciiTheme="majorBidi" w:hAnsiTheme="majorBidi" w:cstheme="majorBidi"/>
        </w:rPr>
        <w:fldChar w:fldCharType="separate"/>
      </w:r>
      <w:r w:rsidRPr="000F06CE">
        <w:rPr>
          <w:rFonts w:asciiTheme="majorBidi" w:hAnsiTheme="majorBidi" w:cstheme="majorBidi"/>
        </w:rPr>
        <w:t>T Berg, 'What Hath Congress Wrought? An Interpretive Guide to the Religious Freedom Restoration Act' (1994) 39 Villanova Law Review 1</w:t>
      </w:r>
      <w:r w:rsidRPr="000F06CE">
        <w:rPr>
          <w:rFonts w:asciiTheme="majorBidi" w:hAnsiTheme="majorBidi" w:cstheme="majorBidi"/>
        </w:rPr>
        <w:fldChar w:fldCharType="end"/>
      </w:r>
      <w:r w:rsidRPr="000F06CE">
        <w:rPr>
          <w:rFonts w:asciiTheme="majorBidi" w:hAnsiTheme="majorBidi" w:cstheme="majorBidi"/>
        </w:rPr>
        <w:t xml:space="preserve">, 21; </w:t>
      </w:r>
      <w:r w:rsidRPr="000F06CE">
        <w:rPr>
          <w:rFonts w:asciiTheme="majorBidi" w:hAnsiTheme="majorBidi" w:cstheme="majorBidi"/>
        </w:rPr>
        <w:fldChar w:fldCharType="begin"/>
      </w:r>
      <w:r w:rsidRPr="000F06CE">
        <w:rPr>
          <w:rFonts w:asciiTheme="majorBidi" w:hAnsiTheme="majorBidi" w:cstheme="majorBidi"/>
        </w:rPr>
        <w:instrText xml:space="preserve"> ADDIN EN.CITE &lt;EndNote&gt;&lt;Cite&gt;&lt;Author&gt;Laycock&lt;/Author&gt;&lt;Year&gt;1993&lt;/Year&gt;&lt;RecNum&gt;56&lt;/RecNum&gt;&lt;record&gt;&lt;rec-number&gt;56&lt;/rec-number&gt;&lt;ref-type name="Journal Article"&gt;17&lt;/ref-type&gt;&lt;contributors&gt;&lt;authors&gt;&lt;author&gt;Douglas Laycock&lt;/author&gt;&lt;/authors&gt;&lt;/contributors&gt;&lt;titles&gt;&lt;title&gt;The Religious Freedom Restoration Act&lt;/title&gt;&lt;secondary-title&gt;BYU L Rev&lt;/secondary-title&gt;&lt;/titles&gt;&lt;periodical&gt;&lt;full-title&gt;BYU L Rev&lt;/full-title&gt;&lt;/periodical&gt;&lt;pages&gt;221&lt;/pages&gt;&lt;dates&gt;&lt;year&gt;1993&lt;/year&gt;&lt;/dates&gt;&lt;pub-location&gt;1993&lt;/pub-location&gt;&lt;publisher&gt;1993&lt;/publisher&gt;&lt;urls&gt;&lt;/urls&gt;&lt;/record&gt;&lt;/Cite&gt;&lt;/EndNote&gt;</w:instrText>
      </w:r>
      <w:r w:rsidRPr="000F06CE">
        <w:rPr>
          <w:rFonts w:asciiTheme="majorBidi" w:hAnsiTheme="majorBidi" w:cstheme="majorBidi"/>
        </w:rPr>
        <w:fldChar w:fldCharType="separate"/>
      </w:r>
      <w:r w:rsidRPr="000F06CE">
        <w:rPr>
          <w:rFonts w:asciiTheme="majorBidi" w:hAnsiTheme="majorBidi" w:cstheme="majorBidi"/>
        </w:rPr>
        <w:t>D Laycock, 'The Religious Freedom Restoration Act' [1993] BYU L Rev 221</w:t>
      </w:r>
      <w:r w:rsidRPr="000F06CE">
        <w:rPr>
          <w:rFonts w:asciiTheme="majorBidi" w:hAnsiTheme="majorBidi" w:cstheme="majorBidi"/>
        </w:rPr>
        <w:fldChar w:fldCharType="end"/>
      </w:r>
      <w:r w:rsidRPr="000F06CE">
        <w:rPr>
          <w:rFonts w:asciiTheme="majorBidi" w:hAnsiTheme="majorBidi" w:cstheme="majorBidi"/>
        </w:rPr>
        <w:t>, 225-227.</w:t>
      </w:r>
    </w:p>
  </w:footnote>
  <w:footnote w:id="26">
    <w:p w:rsidR="00EB0E37" w:rsidRPr="000F06CE" w:rsidRDefault="00EB0E37" w:rsidP="004D1BBC">
      <w:pPr>
        <w:pStyle w:val="a3"/>
        <w:spacing w:after="120"/>
        <w:jc w:val="both"/>
        <w:rPr>
          <w:rFonts w:asciiTheme="majorBidi" w:hAnsiTheme="majorBidi" w:cstheme="majorBidi"/>
        </w:rPr>
      </w:pPr>
      <w:r w:rsidRPr="000F06CE">
        <w:rPr>
          <w:rStyle w:val="a5"/>
          <w:rFonts w:asciiTheme="majorBidi" w:hAnsiTheme="majorBidi" w:cstheme="majorBidi"/>
        </w:rPr>
        <w:footnoteRef/>
      </w:r>
      <w:r w:rsidRPr="000F06CE">
        <w:rPr>
          <w:rFonts w:asciiTheme="majorBidi" w:hAnsiTheme="majorBidi" w:cstheme="majorBidi"/>
        </w:rPr>
        <w:t xml:space="preserve"> The procedural rights theory, as a constitutional rights theory, is usually attached to </w:t>
      </w:r>
      <w:r w:rsidRPr="000F06CE">
        <w:rPr>
          <w:rFonts w:asciiTheme="majorBidi" w:hAnsiTheme="majorBidi" w:cstheme="majorBidi"/>
        </w:rPr>
        <w:fldChar w:fldCharType="begin"/>
      </w:r>
      <w:r w:rsidRPr="000F06CE">
        <w:rPr>
          <w:rFonts w:asciiTheme="majorBidi" w:hAnsiTheme="majorBidi" w:cstheme="majorBidi"/>
        </w:rPr>
        <w:instrText xml:space="preserve"> ADDIN EN.CITE &lt;EndNote&gt;&lt;Cite&gt;&lt;Author&gt;Ely&lt;/Author&gt;&lt;Year&gt;1980&lt;/Year&gt;&lt;RecNum&gt;60&lt;/RecNum&gt;&lt;record&gt;&lt;rec-number&gt;60&lt;/rec-number&gt;&lt;ref-type name="Book"&gt;6&lt;/ref-type&gt;&lt;contributors&gt;&lt;authors&gt;&lt;author&gt;John Ely&lt;/author&gt;&lt;/authors&gt;&lt;/contributors&gt;&lt;titles&gt;&lt;title&gt;Democracy and Distrust&lt;/title&gt;&lt;/titles&gt;&lt;dates&gt;&lt;year&gt;1980&lt;/year&gt;&lt;/dates&gt;&lt;urls&gt;&lt;/urls&gt;&lt;/record&gt;&lt;/Cite&gt;&lt;/EndNote&gt;</w:instrText>
      </w:r>
      <w:r w:rsidRPr="000F06CE">
        <w:rPr>
          <w:rFonts w:asciiTheme="majorBidi" w:hAnsiTheme="majorBidi" w:cstheme="majorBidi"/>
        </w:rPr>
        <w:fldChar w:fldCharType="separate"/>
      </w:r>
      <w:r w:rsidRPr="000F06CE">
        <w:rPr>
          <w:rFonts w:asciiTheme="majorBidi" w:hAnsiTheme="majorBidi" w:cstheme="majorBidi"/>
        </w:rPr>
        <w:t xml:space="preserve">J Ely, </w:t>
      </w:r>
      <w:r w:rsidRPr="000F06CE">
        <w:rPr>
          <w:rFonts w:asciiTheme="majorBidi" w:hAnsiTheme="majorBidi" w:cstheme="majorBidi"/>
          <w:i/>
        </w:rPr>
        <w:t>Democracy and Distrust</w:t>
      </w:r>
      <w:r w:rsidRPr="000F06CE">
        <w:rPr>
          <w:rFonts w:asciiTheme="majorBidi" w:hAnsiTheme="majorBidi" w:cstheme="majorBidi"/>
        </w:rPr>
        <w:t xml:space="preserve"> (1980)</w:t>
      </w:r>
      <w:r w:rsidRPr="000F06CE">
        <w:rPr>
          <w:rFonts w:asciiTheme="majorBidi" w:hAnsiTheme="majorBidi" w:cstheme="majorBidi"/>
        </w:rPr>
        <w:fldChar w:fldCharType="end"/>
      </w:r>
      <w:r w:rsidRPr="000F06CE">
        <w:rPr>
          <w:rFonts w:asciiTheme="majorBidi" w:hAnsiTheme="majorBidi" w:cstheme="majorBidi"/>
        </w:rPr>
        <w:t>.</w:t>
      </w:r>
    </w:p>
  </w:footnote>
  <w:footnote w:id="27">
    <w:p w:rsidR="00EB0E37" w:rsidRPr="000F06CE" w:rsidRDefault="00EB0E37" w:rsidP="004D1BBC">
      <w:pPr>
        <w:pStyle w:val="a3"/>
        <w:spacing w:after="120"/>
        <w:jc w:val="both"/>
        <w:rPr>
          <w:rFonts w:asciiTheme="majorBidi" w:hAnsiTheme="majorBidi" w:cstheme="majorBidi"/>
        </w:rPr>
      </w:pPr>
      <w:r w:rsidRPr="000F06CE">
        <w:rPr>
          <w:rStyle w:val="a5"/>
          <w:rFonts w:asciiTheme="majorBidi" w:hAnsiTheme="majorBidi" w:cstheme="majorBidi"/>
        </w:rPr>
        <w:footnoteRef/>
      </w:r>
      <w:r w:rsidRPr="000F06CE">
        <w:rPr>
          <w:rFonts w:asciiTheme="majorBidi" w:hAnsiTheme="majorBidi" w:cstheme="majorBidi"/>
        </w:rPr>
        <w:t xml:space="preserve"> </w:t>
      </w:r>
      <w:r w:rsidRPr="000F06CE">
        <w:rPr>
          <w:rFonts w:asciiTheme="majorBidi" w:hAnsiTheme="majorBidi" w:cstheme="majorBidi"/>
        </w:rPr>
        <w:fldChar w:fldCharType="begin"/>
      </w:r>
      <w:r w:rsidRPr="000F06CE">
        <w:rPr>
          <w:rFonts w:asciiTheme="majorBidi" w:hAnsiTheme="majorBidi" w:cstheme="majorBidi"/>
        </w:rPr>
        <w:instrText xml:space="preserve"> ADDIN EN.CITE &lt;EndNote&gt;&lt;Cite&gt;&lt;Author&gt;Tribe&lt;/Author&gt;&lt;Year&gt;1980&lt;/Year&gt;&lt;RecNum&gt;62&lt;/RecNum&gt;&lt;record&gt;&lt;rec-number&gt;62&lt;/rec-number&gt;&lt;ref-type name="Journal Article"&gt;17&lt;/ref-type&gt;&lt;contributors&gt;&lt;authors&gt;&lt;author&gt;L Tribe&lt;/author&gt;&lt;/authors&gt;&lt;/contributors&gt;&lt;titles&gt;&lt;title&gt;The Puzzling Persistence of Process Based Theories&lt;/title&gt;&lt;secondary-title&gt;Yale L J&lt;/secondary-title&gt;&lt;/titles&gt;&lt;periodical&gt;&lt;full-title&gt;Yale L J&lt;/full-title&gt;&lt;/periodical&gt;&lt;pages&gt;1063&lt;/pages&gt;&lt;volume&gt;89&lt;/volume&gt;&lt;dates&gt;&lt;year&gt;1980&lt;/year&gt;&lt;/dates&gt;&lt;pub-location&gt;1980&lt;/pub-location&gt;&lt;urls&gt;&lt;/urls&gt;&lt;/record&gt;&lt;/Cite&gt;&lt;/EndNote&gt;</w:instrText>
      </w:r>
      <w:r w:rsidRPr="000F06CE">
        <w:rPr>
          <w:rFonts w:asciiTheme="majorBidi" w:hAnsiTheme="majorBidi" w:cstheme="majorBidi"/>
        </w:rPr>
        <w:fldChar w:fldCharType="separate"/>
      </w:r>
      <w:r w:rsidRPr="000F06CE">
        <w:rPr>
          <w:rFonts w:asciiTheme="majorBidi" w:hAnsiTheme="majorBidi" w:cstheme="majorBidi"/>
        </w:rPr>
        <w:t>L Tribe, 'The Puzzling Persistence of Process Based Theories' (1980) 89 Yale L J 1063</w:t>
      </w:r>
      <w:r w:rsidRPr="000F06CE">
        <w:rPr>
          <w:rFonts w:asciiTheme="majorBidi" w:hAnsiTheme="majorBidi" w:cstheme="majorBidi"/>
        </w:rPr>
        <w:fldChar w:fldCharType="end"/>
      </w:r>
      <w:r w:rsidRPr="000F06CE">
        <w:rPr>
          <w:rFonts w:asciiTheme="majorBidi" w:hAnsiTheme="majorBidi" w:cstheme="majorBidi"/>
        </w:rPr>
        <w:t>.</w:t>
      </w:r>
    </w:p>
  </w:footnote>
  <w:footnote w:id="28">
    <w:p w:rsidR="00EB0E37" w:rsidRPr="000F06CE" w:rsidRDefault="00EB0E37" w:rsidP="004D1BBC">
      <w:pPr>
        <w:pStyle w:val="a3"/>
        <w:spacing w:after="120"/>
        <w:jc w:val="both"/>
        <w:rPr>
          <w:rFonts w:asciiTheme="majorBidi" w:hAnsiTheme="majorBidi" w:cstheme="majorBidi"/>
        </w:rPr>
      </w:pPr>
      <w:r w:rsidRPr="000F06CE">
        <w:rPr>
          <w:rStyle w:val="a5"/>
          <w:rFonts w:asciiTheme="majorBidi" w:hAnsiTheme="majorBidi" w:cstheme="majorBidi"/>
        </w:rPr>
        <w:footnoteRef/>
      </w:r>
      <w:r w:rsidRPr="000F06CE">
        <w:rPr>
          <w:rFonts w:asciiTheme="majorBidi" w:hAnsiTheme="majorBidi" w:cstheme="majorBidi"/>
        </w:rPr>
        <w:t xml:space="preserve"> For a more pessimistic view regarding religious exemptions, see: </w:t>
      </w:r>
      <w:r w:rsidRPr="000F06CE">
        <w:rPr>
          <w:rFonts w:asciiTheme="majorBidi" w:hAnsiTheme="majorBidi" w:cstheme="majorBidi"/>
        </w:rPr>
        <w:fldChar w:fldCharType="begin"/>
      </w:r>
      <w:r w:rsidRPr="000F06CE">
        <w:rPr>
          <w:rFonts w:asciiTheme="majorBidi" w:hAnsiTheme="majorBidi" w:cstheme="majorBidi"/>
        </w:rPr>
        <w:instrText xml:space="preserve"> ADDIN EN.CITE &lt;EndNote&gt;&lt;Cite&gt;&lt;Author&gt;Lupo&lt;/Author&gt;&lt;Year&gt;1999&lt;/Year&gt;&lt;RecNum&gt;57&lt;/RecNum&gt;&lt;record&gt;&lt;rec-number&gt;57&lt;/rec-number&gt;&lt;ref-type name="Journal Article"&gt;17&lt;/ref-type&gt;&lt;contributors&gt;&lt;authors&gt;&lt;author&gt;Ira Lupo&lt;/author&gt;&lt;/authors&gt;&lt;/contributors&gt;&lt;titles&gt;&lt;title&gt;The Case Against Legislative Codification of Religious Liberty&lt;/title&gt;&lt;secondary-title&gt;Car L Rev&lt;/secondary-title&gt;&lt;/titles&gt;&lt;periodical&gt;&lt;full-title&gt;Car L Rev&lt;/full-title&gt;&lt;/periodical&gt;&lt;pages&gt;565&lt;/pages&gt;&lt;volume&gt;21&lt;/volume&gt;&lt;dates&gt;&lt;year&gt;1999&lt;/year&gt;&lt;/dates&gt;&lt;pub-location&gt;1999&lt;/pub-location&gt;&lt;urls&gt;&lt;/urls&gt;&lt;/record&gt;&lt;/Cite&gt;&lt;/EndNote&gt;</w:instrText>
      </w:r>
      <w:r w:rsidRPr="000F06CE">
        <w:rPr>
          <w:rFonts w:asciiTheme="majorBidi" w:hAnsiTheme="majorBidi" w:cstheme="majorBidi"/>
        </w:rPr>
        <w:fldChar w:fldCharType="separate"/>
      </w:r>
      <w:r w:rsidRPr="000F06CE">
        <w:rPr>
          <w:rFonts w:asciiTheme="majorBidi" w:hAnsiTheme="majorBidi" w:cstheme="majorBidi"/>
        </w:rPr>
        <w:t>I Lupo, 'The Case Against Legislative Codification of Religious Liberty' (1999) 21 Car L Rev 565</w:t>
      </w:r>
      <w:r w:rsidRPr="000F06CE">
        <w:rPr>
          <w:rFonts w:asciiTheme="majorBidi" w:hAnsiTheme="majorBidi" w:cstheme="majorBidi"/>
        </w:rPr>
        <w:fldChar w:fldCharType="end"/>
      </w:r>
      <w:r w:rsidRPr="000F06CE">
        <w:rPr>
          <w:rFonts w:asciiTheme="majorBidi" w:hAnsiTheme="majorBidi" w:cstheme="majorBidi"/>
        </w:rPr>
        <w:t>, 592: ‘Judicial interpretation will be inconsistent and unprotective, the bureaucrats and their lawyers will not respond pro-actively and will eventually catch on to the farce’.</w:t>
      </w:r>
    </w:p>
  </w:footnote>
  <w:footnote w:id="29">
    <w:p w:rsidR="00EB0E37" w:rsidRPr="000F06CE" w:rsidRDefault="00EB0E37" w:rsidP="004D1BBC">
      <w:pPr>
        <w:pStyle w:val="a3"/>
        <w:spacing w:after="120"/>
        <w:jc w:val="both"/>
        <w:rPr>
          <w:rFonts w:asciiTheme="majorBidi" w:hAnsiTheme="majorBidi" w:cstheme="majorBidi"/>
        </w:rPr>
      </w:pPr>
      <w:r w:rsidRPr="000F06CE">
        <w:rPr>
          <w:rStyle w:val="a5"/>
          <w:rFonts w:asciiTheme="majorBidi" w:hAnsiTheme="majorBidi" w:cstheme="majorBidi"/>
        </w:rPr>
        <w:footnoteRef/>
      </w:r>
      <w:r w:rsidRPr="000F06CE">
        <w:rPr>
          <w:rFonts w:asciiTheme="majorBidi" w:hAnsiTheme="majorBidi" w:cstheme="majorBidi"/>
        </w:rPr>
        <w:t xml:space="preserve"> See also </w:t>
      </w:r>
      <w:r w:rsidRPr="000F06CE">
        <w:rPr>
          <w:rFonts w:asciiTheme="majorBidi" w:hAnsiTheme="majorBidi" w:cstheme="majorBidi"/>
        </w:rPr>
        <w:fldChar w:fldCharType="begin"/>
      </w:r>
      <w:r w:rsidRPr="000F06CE">
        <w:rPr>
          <w:rFonts w:asciiTheme="majorBidi" w:hAnsiTheme="majorBidi" w:cstheme="majorBidi"/>
        </w:rPr>
        <w:instrText xml:space="preserve"> ADDIN EN.CITE &lt;EndNote&gt;&lt;Cite&gt;&lt;Author&gt;Raz&lt;/Author&gt;&lt;Year&gt;1979&lt;/Year&gt;&lt;RecNum&gt;58&lt;/RecNum&gt;&lt;record&gt;&lt;rec-number&gt;58&lt;/rec-number&gt;&lt;ref-type name="Book"&gt;6&lt;/ref-type&gt;&lt;contributors&gt;&lt;authors&gt;&lt;author&gt;Jospeh Raz&lt;/author&gt;&lt;/authors&gt;&lt;/contributors&gt;&lt;titles&gt;&lt;title&gt;The Authority of Law&lt;/title&gt;&lt;/titles&gt;&lt;dates&gt;&lt;year&gt;1979&lt;/year&gt;&lt;/dates&gt;&lt;urls&gt;&lt;/urls&gt;&lt;/record&gt;&lt;/Cite&gt;&lt;/EndNote&gt;</w:instrText>
      </w:r>
      <w:r w:rsidRPr="000F06CE">
        <w:rPr>
          <w:rFonts w:asciiTheme="majorBidi" w:hAnsiTheme="majorBidi" w:cstheme="majorBidi"/>
        </w:rPr>
        <w:fldChar w:fldCharType="separate"/>
      </w:r>
      <w:r w:rsidRPr="000F06CE">
        <w:rPr>
          <w:rFonts w:asciiTheme="majorBidi" w:hAnsiTheme="majorBidi" w:cstheme="majorBidi"/>
        </w:rPr>
        <w:t xml:space="preserve">J Raz, </w:t>
      </w:r>
      <w:r w:rsidRPr="000F06CE">
        <w:rPr>
          <w:rFonts w:asciiTheme="majorBidi" w:hAnsiTheme="majorBidi" w:cstheme="majorBidi"/>
          <w:i/>
        </w:rPr>
        <w:t>The Authority of Law</w:t>
      </w:r>
      <w:r w:rsidRPr="000F06CE">
        <w:rPr>
          <w:rFonts w:asciiTheme="majorBidi" w:hAnsiTheme="majorBidi" w:cstheme="majorBidi"/>
        </w:rPr>
        <w:t xml:space="preserve"> (1979)</w:t>
      </w:r>
      <w:r w:rsidRPr="000F06CE">
        <w:rPr>
          <w:rFonts w:asciiTheme="majorBidi" w:hAnsiTheme="majorBidi" w:cstheme="majorBidi"/>
        </w:rPr>
        <w:fldChar w:fldCharType="end"/>
      </w:r>
      <w:r w:rsidRPr="000F06CE">
        <w:rPr>
          <w:rFonts w:asciiTheme="majorBidi" w:hAnsiTheme="majorBidi" w:cstheme="majorBidi"/>
        </w:rPr>
        <w:t xml:space="preserve"> 287-288.</w:t>
      </w:r>
    </w:p>
  </w:footnote>
  <w:footnote w:id="30">
    <w:p w:rsidR="00EB0E37" w:rsidRDefault="00EB0E37" w:rsidP="004D1BBC">
      <w:pPr>
        <w:pStyle w:val="a3"/>
        <w:spacing w:after="120"/>
        <w:jc w:val="both"/>
      </w:pPr>
      <w:r>
        <w:rPr>
          <w:rStyle w:val="a5"/>
        </w:rPr>
        <w:footnoteRef/>
      </w:r>
      <w:r>
        <w:t xml:space="preserve"> </w:t>
      </w:r>
      <w:r w:rsidRPr="00534E9F">
        <w:t>M</w:t>
      </w:r>
      <w:r>
        <w:t xml:space="preserve"> Hamilton, </w:t>
      </w:r>
      <w:r w:rsidRPr="007B0E62">
        <w:rPr>
          <w:i/>
          <w:iCs/>
        </w:rPr>
        <w:t>God vs. The Gavel: Religion and the Rule of Law</w:t>
      </w:r>
      <w:r>
        <w:t xml:space="preserve"> (2005) </w:t>
      </w:r>
      <w:r w:rsidRPr="00534E9F">
        <w:t>9–11, 175–77, 288, 299–302</w:t>
      </w:r>
      <w:r>
        <w:t>;</w:t>
      </w:r>
      <w:r w:rsidRPr="00534E9F">
        <w:t xml:space="preserve"> </w:t>
      </w:r>
      <w:r w:rsidRPr="008D78CC">
        <w:t xml:space="preserve">WP Marshall, </w:t>
      </w:r>
      <w:r>
        <w:t>‘</w:t>
      </w:r>
      <w:r w:rsidRPr="008D78CC">
        <w:t>The Case Against the Constitutionally Compelled</w:t>
      </w:r>
      <w:r>
        <w:t xml:space="preserve"> </w:t>
      </w:r>
      <w:r w:rsidRPr="008D78CC">
        <w:t>Free Exercise Exemption</w:t>
      </w:r>
      <w:r>
        <w:t>’</w:t>
      </w:r>
      <w:r w:rsidRPr="008D78CC">
        <w:t xml:space="preserve"> 40 Case W. Res. L. Rev. 357 (1989-90)</w:t>
      </w:r>
      <w:r>
        <w:t xml:space="preserve">; </w:t>
      </w:r>
      <w:r w:rsidRPr="008D78CC">
        <w:t xml:space="preserve">WP Marshall </w:t>
      </w:r>
      <w:r>
        <w:t>‘</w:t>
      </w:r>
      <w:r w:rsidRPr="008D78CC">
        <w:t>In Defense of</w:t>
      </w:r>
      <w:r>
        <w:t xml:space="preserve"> </w:t>
      </w:r>
      <w:r w:rsidRPr="008D78CC">
        <w:rPr>
          <w:i/>
          <w:iCs/>
        </w:rPr>
        <w:t xml:space="preserve">Smith </w:t>
      </w:r>
      <w:r w:rsidRPr="008D78CC">
        <w:t>and Free Exercise Revisionism</w:t>
      </w:r>
      <w:r>
        <w:t>’</w:t>
      </w:r>
      <w:r w:rsidRPr="008D78CC">
        <w:t xml:space="preserve"> 58 U. Chi. L. Rev. 308 (1991)</w:t>
      </w:r>
      <w:r>
        <w:t xml:space="preserve">; </w:t>
      </w:r>
      <w:r w:rsidRPr="00534E9F">
        <w:t>E West, ‘The Case Against a Right to Religion-Based Exemptions’, 4</w:t>
      </w:r>
      <w:r>
        <w:t xml:space="preserve"> Notre Dame Journal of Law, Ethics and Public Policy</w:t>
      </w:r>
      <w:r w:rsidRPr="00534E9F">
        <w:t xml:space="preserve"> 591 (1990)</w:t>
      </w:r>
      <w:r>
        <w:t>;</w:t>
      </w:r>
      <w:r w:rsidRPr="00FE0D18">
        <w:rPr>
          <w:rFonts w:cs="Times New Roman"/>
        </w:rPr>
        <w:t xml:space="preserve"> </w:t>
      </w:r>
      <w:r w:rsidRPr="00FE0D18">
        <w:t xml:space="preserve">M Tushnet, </w:t>
      </w:r>
      <w:r>
        <w:t>‘</w:t>
      </w:r>
      <w:r w:rsidRPr="00FE0D18">
        <w:t>The Rhetoric of</w:t>
      </w:r>
      <w:r>
        <w:t xml:space="preserve"> </w:t>
      </w:r>
      <w:r w:rsidRPr="00FE0D18">
        <w:t>Free Exercise Discourse</w:t>
      </w:r>
      <w:r>
        <w:t>’</w:t>
      </w:r>
      <w:r w:rsidRPr="00FE0D18">
        <w:t xml:space="preserve"> 1993 BYU L. Rev. 117</w:t>
      </w:r>
      <w:r>
        <w:t xml:space="preserve">; </w:t>
      </w:r>
      <w:r w:rsidRPr="008D78CC">
        <w:t>C</w:t>
      </w:r>
      <w:r>
        <w:t>L</w:t>
      </w:r>
      <w:r w:rsidRPr="008D78CC">
        <w:t xml:space="preserve"> Eisgruber &amp; LG Sager, </w:t>
      </w:r>
      <w:r>
        <w:t>‘</w:t>
      </w:r>
      <w:r w:rsidRPr="008D78CC">
        <w:t>The Vulnerability of</w:t>
      </w:r>
      <w:r>
        <w:t xml:space="preserve"> </w:t>
      </w:r>
      <w:r w:rsidRPr="008D78CC">
        <w:t>Conscience: The Constitutional Basis for Protecting Religious Conduct</w:t>
      </w:r>
      <w:r>
        <w:t xml:space="preserve">’ </w:t>
      </w:r>
      <w:r w:rsidRPr="008D78CC">
        <w:t xml:space="preserve">61 </w:t>
      </w:r>
      <w:r w:rsidRPr="008D78CC">
        <w:rPr>
          <w:b/>
          <w:bCs/>
        </w:rPr>
        <w:t xml:space="preserve">U. </w:t>
      </w:r>
      <w:r w:rsidRPr="008D78CC">
        <w:t>Chi. L.</w:t>
      </w:r>
      <w:r>
        <w:t xml:space="preserve"> </w:t>
      </w:r>
      <w:r w:rsidRPr="008D78CC">
        <w:t>Rev. 1245</w:t>
      </w:r>
      <w:r>
        <w:t xml:space="preserve"> </w:t>
      </w:r>
      <w:r w:rsidRPr="008D78CC">
        <w:t>(1994);</w:t>
      </w:r>
      <w:r>
        <w:t xml:space="preserve"> </w:t>
      </w:r>
      <w:r w:rsidRPr="00534E9F">
        <w:t xml:space="preserve">E Gressman </w:t>
      </w:r>
      <w:r>
        <w:t xml:space="preserve">and </w:t>
      </w:r>
      <w:r w:rsidRPr="00534E9F">
        <w:t xml:space="preserve">AC Carmella, ‘The RFRA Revision of the Free Exercise Clause’, 57 </w:t>
      </w:r>
      <w:r>
        <w:t xml:space="preserve">Ohio State Law Journal </w:t>
      </w:r>
      <w:r w:rsidRPr="00534E9F">
        <w:t>65</w:t>
      </w:r>
      <w:r>
        <w:t xml:space="preserve"> </w:t>
      </w:r>
      <w:r w:rsidRPr="00534E9F">
        <w:t>(1996).</w:t>
      </w:r>
    </w:p>
  </w:footnote>
  <w:footnote w:id="31">
    <w:p w:rsidR="00EB0E37" w:rsidRDefault="00EB0E37" w:rsidP="004D1BBC">
      <w:pPr>
        <w:pStyle w:val="a3"/>
        <w:spacing w:after="120"/>
        <w:jc w:val="both"/>
      </w:pPr>
      <w:r>
        <w:rPr>
          <w:rStyle w:val="a5"/>
        </w:rPr>
        <w:footnoteRef/>
      </w:r>
      <w:r>
        <w:t xml:space="preserve"> For examples of legislative responses to judicial decisions or to claims to be granted exemptions see: D Laycock, ‘The Religious Exemption Debate’ 11 Rutgers Journal of Law and Religion (2009) 139, 156. Within the American context, these responses followed judicial decisions or claims to exemptions which were based on states RFRAs </w:t>
      </w:r>
      <w:r w:rsidRPr="00863FEE">
        <w:t xml:space="preserve">(which impose a duty to grant religious exemptions in the </w:t>
      </w:r>
      <w:r>
        <w:t>absence</w:t>
      </w:r>
      <w:r w:rsidRPr="00863FEE">
        <w:t xml:space="preserve"> of a ‘compelling state interest’)</w:t>
      </w:r>
      <w:r>
        <w:t>.</w:t>
      </w:r>
    </w:p>
  </w:footnote>
  <w:footnote w:id="32">
    <w:p w:rsidR="00EB0E37" w:rsidRPr="000F06CE" w:rsidRDefault="00EB0E37" w:rsidP="004D1BBC">
      <w:pPr>
        <w:pStyle w:val="a3"/>
        <w:spacing w:after="120"/>
        <w:jc w:val="both"/>
        <w:rPr>
          <w:rFonts w:asciiTheme="majorBidi" w:hAnsiTheme="majorBidi" w:cstheme="majorBidi"/>
        </w:rPr>
      </w:pPr>
      <w:r w:rsidRPr="000F06CE">
        <w:rPr>
          <w:rStyle w:val="a5"/>
          <w:rFonts w:asciiTheme="majorBidi" w:hAnsiTheme="majorBidi" w:cstheme="majorBidi"/>
        </w:rPr>
        <w:footnoteRef/>
      </w:r>
      <w:r w:rsidRPr="000F06CE">
        <w:rPr>
          <w:rFonts w:asciiTheme="majorBidi" w:hAnsiTheme="majorBidi" w:cstheme="majorBidi"/>
        </w:rPr>
        <w:t xml:space="preserve"> </w:t>
      </w:r>
      <w:r w:rsidRPr="000F06CE">
        <w:rPr>
          <w:rFonts w:asciiTheme="majorBidi" w:hAnsiTheme="majorBidi" w:cstheme="majorBidi"/>
        </w:rPr>
        <w:fldChar w:fldCharType="begin"/>
      </w:r>
      <w:r w:rsidRPr="000F06CE">
        <w:rPr>
          <w:rFonts w:asciiTheme="majorBidi" w:hAnsiTheme="majorBidi" w:cstheme="majorBidi"/>
        </w:rPr>
        <w:instrText xml:space="preserve"> ADDIN EN.CITE &lt;EndNote&gt;&lt;Cite&gt;&lt;Author&gt;Volokh&lt;/Author&gt;&lt;Year&gt;1999&lt;/Year&gt;&lt;RecNum&gt;59&lt;/RecNum&gt;&lt;record&gt;&lt;rec-number&gt;59&lt;/rec-number&gt;&lt;ref-type name="Journal Article"&gt;17&lt;/ref-type&gt;&lt;contributors&gt;&lt;authors&gt;&lt;author&gt;Eugene Volokh&lt;/author&gt;&lt;/authors&gt;&lt;/contributors&gt;&lt;titles&gt;&lt;title&gt;A Common-Law Model for Religious Exemptions&lt;/title&gt;&lt;secondary-title&gt;UCLA L Rev&lt;/secondary-title&gt;&lt;/titles&gt;&lt;periodical&gt;&lt;full-title&gt;UCLA L Rev&lt;/full-title&gt;&lt;/periodical&gt;&lt;pages&gt;1465&lt;/pages&gt;&lt;volume&gt;46&lt;/volume&gt;&lt;dates&gt;&lt;year&gt;1999&lt;/year&gt;&lt;/dates&gt;&lt;pub-location&gt;1999&lt;/pub-location&gt;&lt;urls&gt;&lt;/urls&gt;&lt;/record&gt;&lt;/Cite&gt;&lt;/EndNote&gt;</w:instrText>
      </w:r>
      <w:r w:rsidRPr="000F06CE">
        <w:rPr>
          <w:rFonts w:asciiTheme="majorBidi" w:hAnsiTheme="majorBidi" w:cstheme="majorBidi"/>
        </w:rPr>
        <w:fldChar w:fldCharType="separate"/>
      </w:r>
      <w:r w:rsidRPr="000F06CE">
        <w:rPr>
          <w:rFonts w:asciiTheme="majorBidi" w:hAnsiTheme="majorBidi" w:cstheme="majorBidi"/>
        </w:rPr>
        <w:t>E Volokh, 'A Common-Law Model for Religious Exemptions' (1999) 46 UCLA L Rev 1465</w:t>
      </w:r>
      <w:r w:rsidRPr="000F06CE">
        <w:rPr>
          <w:rFonts w:asciiTheme="majorBidi" w:hAnsiTheme="majorBidi" w:cstheme="majorBidi"/>
        </w:rPr>
        <w:fldChar w:fldCharType="end"/>
      </w:r>
      <w:r w:rsidRPr="000F06CE">
        <w:rPr>
          <w:rFonts w:asciiTheme="majorBidi" w:hAnsiTheme="majorBidi" w:cstheme="majorBidi"/>
        </w:rPr>
        <w:t xml:space="preserve">. Although Volokh discusses religious exemptions, there is no reason not to apply his </w:t>
      </w:r>
      <w:r>
        <w:rPr>
          <w:rFonts w:asciiTheme="majorBidi" w:hAnsiTheme="majorBidi" w:cstheme="majorBidi"/>
        </w:rPr>
        <w:t>arguments</w:t>
      </w:r>
      <w:r w:rsidRPr="000F06CE">
        <w:rPr>
          <w:rFonts w:asciiTheme="majorBidi" w:hAnsiTheme="majorBidi" w:cstheme="majorBidi"/>
        </w:rPr>
        <w:t xml:space="preserve"> to conscientious exemptions in general, as will be done in the following discussion.  </w:t>
      </w:r>
    </w:p>
  </w:footnote>
  <w:footnote w:id="33">
    <w:p w:rsidR="00EB0E37" w:rsidRPr="000F06CE" w:rsidRDefault="00EB0E37" w:rsidP="004D1BBC">
      <w:pPr>
        <w:pStyle w:val="a3"/>
        <w:spacing w:after="120"/>
        <w:jc w:val="both"/>
        <w:rPr>
          <w:rFonts w:asciiTheme="majorBidi" w:hAnsiTheme="majorBidi" w:cstheme="majorBidi"/>
        </w:rPr>
      </w:pPr>
      <w:r w:rsidRPr="000F06CE">
        <w:rPr>
          <w:rStyle w:val="a5"/>
          <w:rFonts w:asciiTheme="majorBidi" w:hAnsiTheme="majorBidi" w:cstheme="majorBidi"/>
        </w:rPr>
        <w:footnoteRef/>
      </w:r>
      <w:r w:rsidRPr="000F06CE">
        <w:rPr>
          <w:rFonts w:asciiTheme="majorBidi" w:hAnsiTheme="majorBidi" w:cstheme="majorBidi"/>
        </w:rPr>
        <w:t xml:space="preserve"> I will not deal here with general aspects of the common law system or with the general model of common law rights, but limit myself to Volokh’s perception of the ‘common law model’ and its implications on the specific issue of granting conscientious exemptions.</w:t>
      </w:r>
    </w:p>
  </w:footnote>
  <w:footnote w:id="34">
    <w:p w:rsidR="00EB0E37" w:rsidRPr="000F06CE" w:rsidRDefault="00EB0E37" w:rsidP="00EB0E37">
      <w:pPr>
        <w:pStyle w:val="a3"/>
        <w:spacing w:after="120"/>
        <w:jc w:val="both"/>
        <w:rPr>
          <w:rFonts w:asciiTheme="majorBidi" w:hAnsiTheme="majorBidi" w:cstheme="majorBidi"/>
        </w:rPr>
      </w:pPr>
      <w:r w:rsidRPr="000F06CE">
        <w:rPr>
          <w:rStyle w:val="a5"/>
          <w:rFonts w:asciiTheme="majorBidi" w:hAnsiTheme="majorBidi" w:cstheme="majorBidi"/>
        </w:rPr>
        <w:footnoteRef/>
      </w:r>
      <w:r w:rsidRPr="000F06CE">
        <w:rPr>
          <w:rFonts w:asciiTheme="majorBidi" w:hAnsiTheme="majorBidi" w:cstheme="majorBidi"/>
        </w:rPr>
        <w:t xml:space="preserve"> Volokh (n</w:t>
      </w:r>
      <w:r>
        <w:rPr>
          <w:rFonts w:asciiTheme="majorBidi" w:hAnsiTheme="majorBidi" w:cstheme="majorBidi"/>
        </w:rPr>
        <w:t xml:space="preserve"> </w:t>
      </w:r>
      <w:r>
        <w:rPr>
          <w:rFonts w:asciiTheme="majorBidi" w:hAnsiTheme="majorBidi" w:cstheme="majorBidi"/>
        </w:rPr>
        <w:fldChar w:fldCharType="begin"/>
      </w:r>
      <w:r>
        <w:rPr>
          <w:rFonts w:asciiTheme="majorBidi" w:hAnsiTheme="majorBidi" w:cstheme="majorBidi"/>
        </w:rPr>
        <w:instrText xml:space="preserve"> NOTEREF _Ref130193199 \h </w:instrText>
      </w:r>
      <w:r>
        <w:rPr>
          <w:rFonts w:asciiTheme="majorBidi" w:hAnsiTheme="majorBidi" w:cstheme="majorBidi"/>
        </w:rPr>
      </w:r>
      <w:r>
        <w:rPr>
          <w:rFonts w:asciiTheme="majorBidi" w:hAnsiTheme="majorBidi" w:cstheme="majorBidi"/>
        </w:rPr>
        <w:fldChar w:fldCharType="separate"/>
      </w:r>
      <w:r w:rsidR="005B634A">
        <w:rPr>
          <w:rFonts w:asciiTheme="majorBidi" w:hAnsiTheme="majorBidi" w:cstheme="majorBidi"/>
        </w:rPr>
        <w:t>32</w:t>
      </w:r>
      <w:r>
        <w:rPr>
          <w:rFonts w:asciiTheme="majorBidi" w:hAnsiTheme="majorBidi" w:cstheme="majorBidi"/>
        </w:rPr>
        <w:fldChar w:fldCharType="end"/>
      </w:r>
      <w:r w:rsidRPr="000F06CE">
        <w:rPr>
          <w:rFonts w:asciiTheme="majorBidi" w:hAnsiTheme="majorBidi" w:cstheme="majorBidi"/>
        </w:rPr>
        <w:t xml:space="preserve">) 1470. </w:t>
      </w:r>
      <w:r>
        <w:rPr>
          <w:rFonts w:asciiTheme="majorBidi" w:hAnsiTheme="majorBidi" w:cstheme="majorBidi"/>
        </w:rPr>
        <w:t xml:space="preserve">Within the American context, Volokh argues that </w:t>
      </w:r>
      <w:r w:rsidRPr="00097AA9">
        <w:rPr>
          <w:rFonts w:asciiTheme="majorBidi" w:hAnsiTheme="majorBidi" w:cstheme="majorBidi"/>
        </w:rPr>
        <w:t>state RFRAs</w:t>
      </w:r>
      <w:r>
        <w:rPr>
          <w:rFonts w:asciiTheme="majorBidi" w:hAnsiTheme="majorBidi" w:cstheme="majorBidi"/>
        </w:rPr>
        <w:t xml:space="preserve"> </w:t>
      </w:r>
      <w:r w:rsidRPr="00097AA9">
        <w:rPr>
          <w:rFonts w:asciiTheme="majorBidi" w:hAnsiTheme="majorBidi" w:cstheme="majorBidi"/>
        </w:rPr>
        <w:t>are superior to either a rule of constitutional exemptions or to a rule of no exemptions</w:t>
      </w:r>
      <w:r>
        <w:rPr>
          <w:rFonts w:asciiTheme="majorBidi" w:hAnsiTheme="majorBidi" w:cstheme="majorBidi"/>
        </w:rPr>
        <w:t>.</w:t>
      </w:r>
    </w:p>
  </w:footnote>
  <w:footnote w:id="35">
    <w:p w:rsidR="00EB0E37" w:rsidRPr="000F06CE" w:rsidRDefault="00EB0E37" w:rsidP="00EB0E37">
      <w:pPr>
        <w:pStyle w:val="a3"/>
        <w:spacing w:after="120"/>
        <w:jc w:val="both"/>
        <w:rPr>
          <w:rFonts w:asciiTheme="majorBidi" w:hAnsiTheme="majorBidi" w:cstheme="majorBidi"/>
        </w:rPr>
      </w:pPr>
      <w:r w:rsidRPr="000F06CE">
        <w:rPr>
          <w:rStyle w:val="a5"/>
          <w:rFonts w:asciiTheme="majorBidi" w:hAnsiTheme="majorBidi" w:cstheme="majorBidi"/>
        </w:rPr>
        <w:footnoteRef/>
      </w:r>
      <w:r w:rsidRPr="000F06CE">
        <w:rPr>
          <w:rFonts w:asciiTheme="majorBidi" w:hAnsiTheme="majorBidi" w:cstheme="majorBidi"/>
        </w:rPr>
        <w:t xml:space="preserve"> Volokh (n</w:t>
      </w:r>
      <w:r>
        <w:rPr>
          <w:rFonts w:asciiTheme="majorBidi" w:hAnsiTheme="majorBidi" w:cstheme="majorBidi"/>
        </w:rPr>
        <w:t xml:space="preserve"> </w:t>
      </w:r>
      <w:r>
        <w:rPr>
          <w:rFonts w:asciiTheme="majorBidi" w:hAnsiTheme="majorBidi" w:cstheme="majorBidi"/>
        </w:rPr>
        <w:fldChar w:fldCharType="begin"/>
      </w:r>
      <w:r>
        <w:rPr>
          <w:rFonts w:asciiTheme="majorBidi" w:hAnsiTheme="majorBidi" w:cstheme="majorBidi"/>
        </w:rPr>
        <w:instrText xml:space="preserve"> NOTEREF _Ref130193199 \h </w:instrText>
      </w:r>
      <w:r>
        <w:rPr>
          <w:rFonts w:asciiTheme="majorBidi" w:hAnsiTheme="majorBidi" w:cstheme="majorBidi"/>
        </w:rPr>
      </w:r>
      <w:r>
        <w:rPr>
          <w:rFonts w:asciiTheme="majorBidi" w:hAnsiTheme="majorBidi" w:cstheme="majorBidi"/>
        </w:rPr>
        <w:fldChar w:fldCharType="separate"/>
      </w:r>
      <w:r w:rsidR="005B634A">
        <w:rPr>
          <w:rFonts w:asciiTheme="majorBidi" w:hAnsiTheme="majorBidi" w:cstheme="majorBidi"/>
        </w:rPr>
        <w:t>32</w:t>
      </w:r>
      <w:r>
        <w:rPr>
          <w:rFonts w:asciiTheme="majorBidi" w:hAnsiTheme="majorBidi" w:cstheme="majorBidi"/>
        </w:rPr>
        <w:fldChar w:fldCharType="end"/>
      </w:r>
      <w:r w:rsidRPr="000F06CE">
        <w:rPr>
          <w:rFonts w:asciiTheme="majorBidi" w:hAnsiTheme="majorBidi" w:cstheme="majorBidi"/>
        </w:rPr>
        <w:t>) 1551.</w:t>
      </w:r>
    </w:p>
  </w:footnote>
  <w:footnote w:id="36">
    <w:p w:rsidR="00EB0E37" w:rsidRPr="000F06CE" w:rsidRDefault="00EB0E37" w:rsidP="004D1BBC">
      <w:pPr>
        <w:pStyle w:val="a3"/>
        <w:spacing w:after="120"/>
        <w:jc w:val="both"/>
        <w:rPr>
          <w:rFonts w:asciiTheme="majorBidi" w:hAnsiTheme="majorBidi" w:cstheme="majorBidi"/>
        </w:rPr>
      </w:pPr>
      <w:r w:rsidRPr="000F06CE">
        <w:rPr>
          <w:rStyle w:val="a5"/>
          <w:rFonts w:asciiTheme="majorBidi" w:hAnsiTheme="majorBidi" w:cstheme="majorBidi"/>
        </w:rPr>
        <w:footnoteRef/>
      </w:r>
      <w:r w:rsidRPr="000F06CE">
        <w:rPr>
          <w:rFonts w:asciiTheme="majorBidi" w:hAnsiTheme="majorBidi" w:cstheme="majorBidi"/>
        </w:rPr>
        <w:t xml:space="preserve"> Thus, and without elaborating on this point, I reject most, if not all, of the common arguments against </w:t>
      </w:r>
      <w:r>
        <w:rPr>
          <w:rFonts w:asciiTheme="majorBidi" w:hAnsiTheme="majorBidi" w:cstheme="majorBidi"/>
        </w:rPr>
        <w:t xml:space="preserve">having </w:t>
      </w:r>
      <w:r w:rsidRPr="000F06CE">
        <w:rPr>
          <w:rFonts w:asciiTheme="majorBidi" w:hAnsiTheme="majorBidi" w:cstheme="majorBidi"/>
        </w:rPr>
        <w:t>constitutional rights, as presented by Jeremy Waldron, one of the prominent opponents to a regime</w:t>
      </w:r>
      <w:r>
        <w:rPr>
          <w:rFonts w:asciiTheme="majorBidi" w:hAnsiTheme="majorBidi" w:cstheme="majorBidi"/>
        </w:rPr>
        <w:t xml:space="preserve"> of constitutional rights</w:t>
      </w:r>
      <w:r w:rsidRPr="000F06CE">
        <w:rPr>
          <w:rFonts w:asciiTheme="majorBidi" w:hAnsiTheme="majorBidi" w:cstheme="majorBidi"/>
        </w:rPr>
        <w:t>:</w:t>
      </w:r>
      <w:r w:rsidRPr="00994BBD">
        <w:rPr>
          <w:rFonts w:asciiTheme="majorBidi" w:eastAsiaTheme="minorHAnsi" w:hAnsiTheme="majorBidi" w:cstheme="majorBidi"/>
          <w:sz w:val="22"/>
          <w:szCs w:val="22"/>
        </w:rPr>
        <w:t xml:space="preserve"> </w:t>
      </w:r>
      <w:r w:rsidRPr="00994BBD">
        <w:rPr>
          <w:rFonts w:asciiTheme="majorBidi" w:hAnsiTheme="majorBidi" w:cstheme="majorBidi"/>
        </w:rPr>
        <w:t xml:space="preserve">J Waldron, </w:t>
      </w:r>
      <w:r w:rsidRPr="00994BBD">
        <w:rPr>
          <w:rFonts w:asciiTheme="majorBidi" w:hAnsiTheme="majorBidi" w:cstheme="majorBidi"/>
          <w:i/>
        </w:rPr>
        <w:t>Law and Disagreement</w:t>
      </w:r>
      <w:r w:rsidRPr="00994BBD">
        <w:rPr>
          <w:rFonts w:asciiTheme="majorBidi" w:hAnsiTheme="majorBidi" w:cstheme="majorBidi"/>
        </w:rPr>
        <w:t xml:space="preserve"> (Clarendon Press, 1999), 10–17, 211–312; J Waldron, ‘A Rights Based Critique of Constitutional Rights’ 13 </w:t>
      </w:r>
      <w:r w:rsidRPr="00994BBD">
        <w:rPr>
          <w:rFonts w:asciiTheme="majorBidi" w:hAnsiTheme="majorBidi" w:cstheme="majorBidi"/>
          <w:i/>
          <w:iCs/>
        </w:rPr>
        <w:t xml:space="preserve">Oxford Journal of Legal Studies </w:t>
      </w:r>
      <w:r w:rsidRPr="00994BBD">
        <w:rPr>
          <w:rFonts w:asciiTheme="majorBidi" w:hAnsiTheme="majorBidi" w:cstheme="majorBidi"/>
        </w:rPr>
        <w:t>18 (1993); J Waldron, ‘</w:t>
      </w:r>
      <w:r w:rsidRPr="00994BBD">
        <w:rPr>
          <w:rFonts w:asciiTheme="majorBidi" w:hAnsiTheme="majorBidi" w:cstheme="majorBidi"/>
          <w:lang w:val="en"/>
        </w:rPr>
        <w:t xml:space="preserve">The Core of the Case against Judicial Review’ 115 </w:t>
      </w:r>
      <w:r w:rsidRPr="00994BBD">
        <w:rPr>
          <w:rFonts w:asciiTheme="majorBidi" w:hAnsiTheme="majorBidi" w:cstheme="majorBidi"/>
          <w:i/>
          <w:lang w:val="en"/>
        </w:rPr>
        <w:t>Yale Law Journal</w:t>
      </w:r>
      <w:r w:rsidRPr="00994BBD">
        <w:rPr>
          <w:rFonts w:asciiTheme="majorBidi" w:hAnsiTheme="majorBidi" w:cstheme="majorBidi"/>
          <w:lang w:val="en"/>
        </w:rPr>
        <w:t xml:space="preserve"> 1346 (2006).</w:t>
      </w:r>
      <w:r w:rsidRPr="000F06CE">
        <w:rPr>
          <w:rFonts w:asciiTheme="majorBidi" w:hAnsiTheme="majorBidi" w:cstheme="majorBidi"/>
        </w:rPr>
        <w:t xml:space="preserve"> Accordingly, I share Jospeh Raz’s general argument in support of constitutional rights: </w:t>
      </w:r>
      <w:r w:rsidRPr="000F06CE">
        <w:rPr>
          <w:rFonts w:asciiTheme="majorBidi" w:hAnsiTheme="majorBidi" w:cstheme="majorBidi"/>
        </w:rPr>
        <w:fldChar w:fldCharType="begin"/>
      </w:r>
      <w:r w:rsidRPr="000F06CE">
        <w:rPr>
          <w:rFonts w:asciiTheme="majorBidi" w:hAnsiTheme="majorBidi" w:cstheme="majorBidi"/>
        </w:rPr>
        <w:instrText xml:space="preserve"> ADDIN EN.CITE &lt;EndNote&gt;&lt;Cite&gt;&lt;Author&gt;Raz&lt;/Author&gt;&lt;Year&gt;1986&lt;/Year&gt;&lt;RecNum&gt;64&lt;/RecNum&gt;&lt;record&gt;&lt;rec-number&gt;64&lt;/rec-number&gt;&lt;ref-type name="Book"&gt;6&lt;/ref-type&gt;&lt;contributors&gt;&lt;authors&gt;&lt;author&gt;Joseph Raz&lt;/author&gt;&lt;/authors&gt;&lt;/contributors&gt;&lt;titles&gt;&lt;title&gt;The Morality of Freedom&lt;/title&gt;&lt;/titles&gt;&lt;dates&gt;&lt;year&gt;1986&lt;/year&gt;&lt;/dates&gt;&lt;urls&gt;&lt;/urls&gt;&lt;/record&gt;&lt;/Cite&gt;&lt;/EndNote&gt;</w:instrText>
      </w:r>
      <w:r w:rsidRPr="000F06CE">
        <w:rPr>
          <w:rFonts w:asciiTheme="majorBidi" w:hAnsiTheme="majorBidi" w:cstheme="majorBidi"/>
        </w:rPr>
        <w:fldChar w:fldCharType="separate"/>
      </w:r>
      <w:r w:rsidRPr="000F06CE">
        <w:rPr>
          <w:rFonts w:asciiTheme="majorBidi" w:hAnsiTheme="majorBidi" w:cstheme="majorBidi"/>
        </w:rPr>
        <w:t xml:space="preserve">J Raz, </w:t>
      </w:r>
      <w:r w:rsidRPr="000F06CE">
        <w:rPr>
          <w:rFonts w:asciiTheme="majorBidi" w:hAnsiTheme="majorBidi" w:cstheme="majorBidi"/>
          <w:i/>
        </w:rPr>
        <w:t>The Morality of Freedom</w:t>
      </w:r>
      <w:r w:rsidRPr="000F06CE">
        <w:rPr>
          <w:rFonts w:asciiTheme="majorBidi" w:hAnsiTheme="majorBidi" w:cstheme="majorBidi"/>
        </w:rPr>
        <w:t xml:space="preserve"> (1986)</w:t>
      </w:r>
      <w:r w:rsidRPr="000F06CE">
        <w:rPr>
          <w:rFonts w:asciiTheme="majorBidi" w:hAnsiTheme="majorBidi" w:cstheme="majorBidi"/>
        </w:rPr>
        <w:fldChar w:fldCharType="end"/>
      </w:r>
      <w:r w:rsidRPr="000F06CE">
        <w:rPr>
          <w:rFonts w:asciiTheme="majorBidi" w:hAnsiTheme="majorBidi" w:cstheme="majorBidi"/>
        </w:rPr>
        <w:t xml:space="preserve"> 255 – 263. </w:t>
      </w:r>
      <w:r>
        <w:rPr>
          <w:rFonts w:asciiTheme="majorBidi" w:hAnsiTheme="majorBidi" w:cstheme="majorBidi"/>
        </w:rPr>
        <w:t xml:space="preserve">See also A Harel, </w:t>
      </w:r>
      <w:r w:rsidRPr="00994BBD">
        <w:rPr>
          <w:rFonts w:asciiTheme="majorBidi" w:hAnsiTheme="majorBidi" w:cstheme="majorBidi"/>
          <w:i/>
          <w:iCs/>
        </w:rPr>
        <w:t>Why Law Matters</w:t>
      </w:r>
      <w:r>
        <w:rPr>
          <w:rFonts w:asciiTheme="majorBidi" w:hAnsiTheme="majorBidi" w:cstheme="majorBidi"/>
        </w:rPr>
        <w:t xml:space="preserve"> (OUP, 2014) chapters 5 and 6.    </w:t>
      </w:r>
      <w:r w:rsidRPr="000F06CE">
        <w:rPr>
          <w:rFonts w:asciiTheme="majorBidi" w:hAnsiTheme="majorBidi" w:cstheme="majorBidi"/>
        </w:rPr>
        <w:t xml:space="preserve">  </w:t>
      </w:r>
    </w:p>
  </w:footnote>
  <w:footnote w:id="37">
    <w:p w:rsidR="00EB0E37" w:rsidRDefault="00EB0E37" w:rsidP="004D1BBC">
      <w:pPr>
        <w:pStyle w:val="a3"/>
        <w:spacing w:after="120"/>
        <w:jc w:val="both"/>
      </w:pPr>
      <w:r>
        <w:rPr>
          <w:rStyle w:val="a5"/>
        </w:rPr>
        <w:footnoteRef/>
      </w:r>
      <w:r>
        <w:t xml:space="preserve"> S Macedo, ‘Liberal Civic Education and Religious Fundamentalism: The Case of God v John Rawls?’ 105 </w:t>
      </w:r>
      <w:r w:rsidRPr="00A06483">
        <w:rPr>
          <w:i/>
          <w:iCs/>
        </w:rPr>
        <w:t>Ethics</w:t>
      </w:r>
      <w:r>
        <w:t xml:space="preserve"> (1995) 468, 487: ‘</w:t>
      </w:r>
      <w:r w:rsidRPr="00FB53B3">
        <w:t>To leave accommodations and exceptions to the democratic branches is virtually to insure that complaints advanced by minority religious communities will often be slighted, so the courts must play a role</w:t>
      </w:r>
      <w:r>
        <w:t>’</w:t>
      </w:r>
      <w:r w:rsidRPr="00FB53B3">
        <w:t>.</w:t>
      </w:r>
    </w:p>
  </w:footnote>
  <w:footnote w:id="38">
    <w:p w:rsidR="00EB0E37" w:rsidRPr="00B26293" w:rsidRDefault="00EB0E37" w:rsidP="004D1BBC">
      <w:pPr>
        <w:pStyle w:val="a3"/>
        <w:spacing w:after="120"/>
        <w:jc w:val="both"/>
      </w:pPr>
      <w:r w:rsidRPr="00B26293">
        <w:rPr>
          <w:rStyle w:val="a5"/>
        </w:rPr>
        <w:footnoteRef/>
      </w:r>
      <w:r w:rsidRPr="00B26293">
        <w:t xml:space="preserve"> Z Robinson, ‘Rationalizing Religious Exemptions: A Legislative Process Theory of Statutory Exemptions for Religion’ (2011) 20 </w:t>
      </w:r>
      <w:r w:rsidRPr="00B26293">
        <w:rPr>
          <w:i/>
          <w:iCs/>
        </w:rPr>
        <w:t>William &amp; Mary Bill of Rights Journal</w:t>
      </w:r>
      <w:r w:rsidRPr="00B26293">
        <w:t xml:space="preserve"> 133.</w:t>
      </w:r>
      <w:r>
        <w:t xml:space="preserve"> See </w:t>
      </w:r>
      <w:r w:rsidRPr="00394D89">
        <w:t>also Laycock</w:t>
      </w:r>
      <w:r>
        <w:t xml:space="preserve"> (n </w:t>
      </w:r>
      <w:r>
        <w:fldChar w:fldCharType="begin"/>
      </w:r>
      <w:r>
        <w:instrText xml:space="preserve"> NOTEREF _Ref425934635 \h </w:instrText>
      </w:r>
      <w:r>
        <w:fldChar w:fldCharType="separate"/>
      </w:r>
      <w:r w:rsidR="005B634A">
        <w:t>31</w:t>
      </w:r>
      <w:r>
        <w:fldChar w:fldCharType="end"/>
      </w:r>
      <w:r>
        <w:t>) 159.</w:t>
      </w:r>
    </w:p>
  </w:footnote>
  <w:footnote w:id="39">
    <w:p w:rsidR="00EB0E37" w:rsidRPr="000F06CE" w:rsidRDefault="00EB0E37" w:rsidP="004D1BBC">
      <w:pPr>
        <w:pStyle w:val="a3"/>
        <w:spacing w:after="120"/>
        <w:jc w:val="both"/>
        <w:rPr>
          <w:rFonts w:asciiTheme="majorBidi" w:hAnsiTheme="majorBidi" w:cstheme="majorBidi"/>
        </w:rPr>
      </w:pPr>
      <w:r w:rsidRPr="000F06CE">
        <w:rPr>
          <w:rStyle w:val="a5"/>
          <w:rFonts w:asciiTheme="majorBidi" w:hAnsiTheme="majorBidi" w:cstheme="majorBidi"/>
        </w:rPr>
        <w:footnoteRef/>
      </w:r>
      <w:r w:rsidRPr="000F06CE">
        <w:rPr>
          <w:rFonts w:asciiTheme="majorBidi" w:hAnsiTheme="majorBidi" w:cstheme="majorBidi"/>
        </w:rPr>
        <w:t xml:space="preserve"> And </w:t>
      </w:r>
      <w:r>
        <w:rPr>
          <w:rFonts w:asciiTheme="majorBidi" w:hAnsiTheme="majorBidi" w:cstheme="majorBidi"/>
        </w:rPr>
        <w:t>compare to</w:t>
      </w:r>
      <w:r w:rsidRPr="000F06CE">
        <w:rPr>
          <w:rFonts w:asciiTheme="majorBidi" w:hAnsiTheme="majorBidi" w:cstheme="majorBidi"/>
        </w:rPr>
        <w:t xml:space="preserve"> </w:t>
      </w:r>
      <w:r w:rsidRPr="000F06CE">
        <w:rPr>
          <w:rFonts w:asciiTheme="majorBidi" w:hAnsiTheme="majorBidi" w:cstheme="majorBidi"/>
        </w:rPr>
        <w:fldChar w:fldCharType="begin"/>
      </w:r>
      <w:r w:rsidRPr="000F06CE">
        <w:rPr>
          <w:rFonts w:asciiTheme="majorBidi" w:hAnsiTheme="majorBidi" w:cstheme="majorBidi"/>
        </w:rPr>
        <w:instrText xml:space="preserve"> ADDIN EN.CITE &lt;EndNote&gt;&lt;Cite&gt;&lt;Author&gt;Smith&lt;/Author&gt;&lt;Year&gt;1990&lt;/Year&gt;&lt;RecNum&gt;165&lt;/RecNum&gt;&lt;record&gt;&lt;rec-number&gt;165&lt;/rec-number&gt;&lt;ref-type name="Journal Article"&gt;17&lt;/ref-type&gt;&lt;contributors&gt;&lt;authors&gt;&lt;author&gt;Steven S Smith&lt;/author&gt;&lt;/authors&gt;&lt;/contributors&gt;&lt;titles&gt;&lt;title&gt;The Restoration of Tolerance&lt;/title&gt;&lt;secondary-title&gt;California Law Review&lt;/secondary-title&gt;&lt;/titles&gt;&lt;periodical&gt;&lt;full-title&gt;California Law Review&lt;/full-title&gt;&lt;/periodical&gt;&lt;pages&gt;305&lt;/pages&gt;&lt;volume&gt;78&lt;/volume&gt;&lt;dates&gt;&lt;year&gt;1990&lt;/year&gt;&lt;/dates&gt;&lt;pub-location&gt;1990&lt;/pub-location&gt;&lt;urls&gt;&lt;/urls&gt;&lt;/record&gt;&lt;/Cite&gt;&lt;/EndNote&gt;</w:instrText>
      </w:r>
      <w:r w:rsidRPr="000F06CE">
        <w:rPr>
          <w:rFonts w:asciiTheme="majorBidi" w:hAnsiTheme="majorBidi" w:cstheme="majorBidi"/>
        </w:rPr>
        <w:fldChar w:fldCharType="separate"/>
      </w:r>
      <w:r w:rsidRPr="000F06CE">
        <w:rPr>
          <w:rFonts w:asciiTheme="majorBidi" w:hAnsiTheme="majorBidi" w:cstheme="majorBidi"/>
        </w:rPr>
        <w:t>SS Smith, 'The Restoration of Tolerance' (1990) 78 California Law Review 305</w:t>
      </w:r>
      <w:r w:rsidRPr="000F06CE">
        <w:rPr>
          <w:rFonts w:asciiTheme="majorBidi" w:hAnsiTheme="majorBidi" w:cstheme="majorBidi"/>
        </w:rPr>
        <w:fldChar w:fldCharType="end"/>
      </w:r>
      <w:r w:rsidRPr="000F06CE">
        <w:rPr>
          <w:rFonts w:asciiTheme="majorBidi" w:hAnsiTheme="majorBidi" w:cstheme="majorBidi"/>
        </w:rPr>
        <w:t>, 354</w:t>
      </w:r>
      <w:r>
        <w:rPr>
          <w:rFonts w:asciiTheme="majorBidi" w:hAnsiTheme="majorBidi" w:cstheme="majorBidi"/>
        </w:rPr>
        <w:t>:</w:t>
      </w:r>
      <w:r w:rsidRPr="000F06CE">
        <w:rPr>
          <w:rFonts w:asciiTheme="majorBidi" w:hAnsiTheme="majorBidi" w:cstheme="majorBidi"/>
        </w:rPr>
        <w:t xml:space="preserve"> ‘since the majority of exemptions – and the most consequential ones – have been the product of legislation rather than judicial decree, representative or majoritarian institutions are clearly capable of exercising and promoting tolerance’. </w:t>
      </w:r>
    </w:p>
  </w:footnote>
  <w:footnote w:id="40">
    <w:p w:rsidR="00EB0E37" w:rsidRDefault="00EB0E37" w:rsidP="004D1BBC">
      <w:pPr>
        <w:pStyle w:val="a3"/>
        <w:spacing w:after="120"/>
        <w:jc w:val="both"/>
      </w:pPr>
      <w:r>
        <w:rPr>
          <w:rStyle w:val="a5"/>
        </w:rPr>
        <w:footnoteRef/>
      </w:r>
      <w:r>
        <w:t xml:space="preserve"> For a more general mistrust of the legislature in such cases </w:t>
      </w:r>
      <w:r w:rsidRPr="00394D89">
        <w:t>see Laycock</w:t>
      </w:r>
      <w:r>
        <w:t xml:space="preserve"> (n </w:t>
      </w:r>
      <w:r>
        <w:fldChar w:fldCharType="begin"/>
      </w:r>
      <w:r>
        <w:instrText xml:space="preserve"> NOTEREF _Ref425934635 \h </w:instrText>
      </w:r>
      <w:r>
        <w:fldChar w:fldCharType="separate"/>
      </w:r>
      <w:r w:rsidR="005B634A">
        <w:t>31</w:t>
      </w:r>
      <w:r>
        <w:fldChar w:fldCharType="end"/>
      </w:r>
      <w:r>
        <w:t xml:space="preserve">) 159-161; </w:t>
      </w:r>
      <w:r w:rsidRPr="00FE0D18">
        <w:t>IC Lupu,</w:t>
      </w:r>
      <w:r>
        <w:t xml:space="preserve"> ‘</w:t>
      </w:r>
      <w:r w:rsidRPr="00FE0D18">
        <w:t>The Case Against</w:t>
      </w:r>
      <w:r>
        <w:t xml:space="preserve"> </w:t>
      </w:r>
      <w:r w:rsidRPr="00FE0D18">
        <w:t>Legislative Codification of Religious Liberty</w:t>
      </w:r>
      <w:r>
        <w:t>’</w:t>
      </w:r>
      <w:r w:rsidRPr="00FE0D18">
        <w:t xml:space="preserve"> 21 Cardozo L. Rev. 565 (1999)</w:t>
      </w:r>
      <w:r>
        <w:t>.</w:t>
      </w:r>
    </w:p>
  </w:footnote>
  <w:footnote w:id="41">
    <w:p w:rsidR="00EB0E37" w:rsidRPr="000F06CE" w:rsidRDefault="00EB0E37" w:rsidP="004D1BBC">
      <w:pPr>
        <w:pStyle w:val="a3"/>
        <w:spacing w:after="120"/>
        <w:jc w:val="both"/>
        <w:rPr>
          <w:rFonts w:asciiTheme="majorBidi" w:hAnsiTheme="majorBidi" w:cstheme="majorBidi"/>
        </w:rPr>
      </w:pPr>
      <w:r w:rsidRPr="000F06CE">
        <w:rPr>
          <w:rStyle w:val="a5"/>
          <w:rFonts w:asciiTheme="majorBidi" w:hAnsiTheme="majorBidi" w:cstheme="majorBidi"/>
        </w:rPr>
        <w:footnoteRef/>
      </w:r>
      <w:r w:rsidRPr="000F06CE">
        <w:rPr>
          <w:rFonts w:asciiTheme="majorBidi" w:hAnsiTheme="majorBidi" w:cstheme="majorBidi"/>
        </w:rPr>
        <w:t xml:space="preserve"> For Waldron’s argument, see Waldron 1999 (n </w:t>
      </w:r>
      <w:r w:rsidRPr="000F06CE">
        <w:rPr>
          <w:rFonts w:asciiTheme="majorBidi" w:hAnsiTheme="majorBidi" w:cstheme="majorBidi"/>
        </w:rPr>
        <w:fldChar w:fldCharType="begin"/>
      </w:r>
      <w:r w:rsidRPr="000F06CE">
        <w:rPr>
          <w:rFonts w:asciiTheme="majorBidi" w:hAnsiTheme="majorBidi" w:cstheme="majorBidi"/>
        </w:rPr>
        <w:instrText xml:space="preserve"> NOTEREF _Ref131482754  \* MERGEFORMAT </w:instrText>
      </w:r>
      <w:r w:rsidRPr="000F06CE">
        <w:rPr>
          <w:rFonts w:asciiTheme="majorBidi" w:hAnsiTheme="majorBidi" w:cstheme="majorBidi"/>
        </w:rPr>
        <w:fldChar w:fldCharType="separate"/>
      </w:r>
      <w:r w:rsidR="005B634A">
        <w:rPr>
          <w:rFonts w:asciiTheme="majorBidi" w:hAnsiTheme="majorBidi" w:cstheme="majorBidi"/>
        </w:rPr>
        <w:t>36</w:t>
      </w:r>
      <w:r w:rsidRPr="000F06CE">
        <w:rPr>
          <w:rFonts w:asciiTheme="majorBidi" w:hAnsiTheme="majorBidi" w:cstheme="majorBidi"/>
        </w:rPr>
        <w:fldChar w:fldCharType="end"/>
      </w:r>
      <w:r w:rsidRPr="000F06CE">
        <w:rPr>
          <w:rFonts w:asciiTheme="majorBidi" w:hAnsiTheme="majorBidi" w:cstheme="majorBidi"/>
        </w:rPr>
        <w:t xml:space="preserve">). </w:t>
      </w:r>
    </w:p>
  </w:footnote>
  <w:footnote w:id="42">
    <w:p w:rsidR="00EB0E37" w:rsidRDefault="00EB0E37" w:rsidP="00EB0E37">
      <w:pPr>
        <w:pStyle w:val="a3"/>
        <w:spacing w:after="120"/>
        <w:jc w:val="both"/>
      </w:pPr>
      <w:r>
        <w:rPr>
          <w:rStyle w:val="a5"/>
        </w:rPr>
        <w:footnoteRef/>
      </w:r>
      <w:r>
        <w:t xml:space="preserve"> </w:t>
      </w:r>
      <w:r w:rsidRPr="00394D89">
        <w:t>Laycock (n</w:t>
      </w:r>
      <w:r>
        <w:t xml:space="preserve"> </w:t>
      </w:r>
      <w:r>
        <w:fldChar w:fldCharType="begin"/>
      </w:r>
      <w:r>
        <w:instrText xml:space="preserve"> NOTEREF _Ref425934635 \h </w:instrText>
      </w:r>
      <w:r>
        <w:fldChar w:fldCharType="separate"/>
      </w:r>
      <w:r w:rsidR="005B634A">
        <w:t>31</w:t>
      </w:r>
      <w:r>
        <w:fldChar w:fldCharType="end"/>
      </w:r>
      <w:r w:rsidRPr="00394D89">
        <w:t>) 163</w:t>
      </w:r>
    </w:p>
  </w:footnote>
  <w:footnote w:id="43">
    <w:p w:rsidR="00EB0E37" w:rsidRPr="000F06CE" w:rsidRDefault="00EB0E37" w:rsidP="00EB0E37">
      <w:pPr>
        <w:pStyle w:val="a3"/>
        <w:spacing w:after="120"/>
        <w:jc w:val="both"/>
        <w:rPr>
          <w:rFonts w:asciiTheme="majorBidi" w:hAnsiTheme="majorBidi" w:cstheme="majorBidi"/>
        </w:rPr>
      </w:pPr>
      <w:r w:rsidRPr="000F06CE">
        <w:rPr>
          <w:rStyle w:val="a5"/>
          <w:rFonts w:asciiTheme="majorBidi" w:hAnsiTheme="majorBidi" w:cstheme="majorBidi"/>
        </w:rPr>
        <w:footnoteRef/>
      </w:r>
      <w:r w:rsidRPr="000F06CE">
        <w:rPr>
          <w:rFonts w:asciiTheme="majorBidi" w:hAnsiTheme="majorBidi" w:cstheme="majorBidi"/>
        </w:rPr>
        <w:t xml:space="preserve"> Volokh (n</w:t>
      </w:r>
      <w:r>
        <w:rPr>
          <w:rFonts w:asciiTheme="majorBidi" w:hAnsiTheme="majorBidi" w:cstheme="majorBidi"/>
        </w:rPr>
        <w:t xml:space="preserve"> </w:t>
      </w:r>
      <w:r>
        <w:rPr>
          <w:rFonts w:asciiTheme="majorBidi" w:hAnsiTheme="majorBidi" w:cstheme="majorBidi"/>
        </w:rPr>
        <w:fldChar w:fldCharType="begin"/>
      </w:r>
      <w:r>
        <w:rPr>
          <w:rFonts w:asciiTheme="majorBidi" w:hAnsiTheme="majorBidi" w:cstheme="majorBidi"/>
        </w:rPr>
        <w:instrText xml:space="preserve"> NOTEREF _Ref130193199 \h </w:instrText>
      </w:r>
      <w:r>
        <w:rPr>
          <w:rFonts w:asciiTheme="majorBidi" w:hAnsiTheme="majorBidi" w:cstheme="majorBidi"/>
        </w:rPr>
      </w:r>
      <w:r>
        <w:rPr>
          <w:rFonts w:asciiTheme="majorBidi" w:hAnsiTheme="majorBidi" w:cstheme="majorBidi"/>
        </w:rPr>
        <w:fldChar w:fldCharType="separate"/>
      </w:r>
      <w:r w:rsidR="005B634A">
        <w:rPr>
          <w:rFonts w:asciiTheme="majorBidi" w:hAnsiTheme="majorBidi" w:cstheme="majorBidi"/>
        </w:rPr>
        <w:t>32</w:t>
      </w:r>
      <w:r>
        <w:rPr>
          <w:rFonts w:asciiTheme="majorBidi" w:hAnsiTheme="majorBidi" w:cstheme="majorBidi"/>
        </w:rPr>
        <w:fldChar w:fldCharType="end"/>
      </w:r>
      <w:r w:rsidRPr="000F06CE">
        <w:rPr>
          <w:rFonts w:asciiTheme="majorBidi" w:hAnsiTheme="majorBidi" w:cstheme="majorBidi"/>
        </w:rPr>
        <w:t>) 1534-1535.</w:t>
      </w:r>
      <w:r>
        <w:rPr>
          <w:rFonts w:asciiTheme="majorBidi" w:hAnsiTheme="majorBidi" w:cstheme="majorBidi"/>
        </w:rPr>
        <w:t xml:space="preserve"> For a very similar argument see also </w:t>
      </w:r>
      <w:r w:rsidRPr="00394D89">
        <w:rPr>
          <w:rFonts w:asciiTheme="majorBidi" w:hAnsiTheme="majorBidi" w:cstheme="majorBidi"/>
        </w:rPr>
        <w:t>Hamilton (n</w:t>
      </w:r>
      <w:r>
        <w:rPr>
          <w:rFonts w:asciiTheme="majorBidi" w:hAnsiTheme="majorBidi" w:cstheme="majorBidi"/>
        </w:rPr>
        <w:t xml:space="preserve"> </w:t>
      </w:r>
      <w:r>
        <w:rPr>
          <w:rFonts w:asciiTheme="majorBidi" w:hAnsiTheme="majorBidi" w:cstheme="majorBidi"/>
        </w:rPr>
        <w:fldChar w:fldCharType="begin"/>
      </w:r>
      <w:r>
        <w:rPr>
          <w:rFonts w:asciiTheme="majorBidi" w:hAnsiTheme="majorBidi" w:cstheme="majorBidi"/>
        </w:rPr>
        <w:instrText xml:space="preserve"> NOTEREF _Ref425934769 \h </w:instrText>
      </w:r>
      <w:r>
        <w:rPr>
          <w:rFonts w:asciiTheme="majorBidi" w:hAnsiTheme="majorBidi" w:cstheme="majorBidi"/>
        </w:rPr>
      </w:r>
      <w:r>
        <w:rPr>
          <w:rFonts w:asciiTheme="majorBidi" w:hAnsiTheme="majorBidi" w:cstheme="majorBidi"/>
        </w:rPr>
        <w:fldChar w:fldCharType="separate"/>
      </w:r>
      <w:r w:rsidR="005B634A">
        <w:rPr>
          <w:rFonts w:asciiTheme="majorBidi" w:hAnsiTheme="majorBidi" w:cstheme="majorBidi"/>
        </w:rPr>
        <w:t>30</w:t>
      </w:r>
      <w:r>
        <w:rPr>
          <w:rFonts w:asciiTheme="majorBidi" w:hAnsiTheme="majorBidi" w:cstheme="majorBidi"/>
        </w:rPr>
        <w:fldChar w:fldCharType="end"/>
      </w:r>
      <w:r w:rsidRPr="00394D89">
        <w:rPr>
          <w:rFonts w:asciiTheme="majorBidi" w:hAnsiTheme="majorBidi" w:cstheme="majorBidi"/>
        </w:rPr>
        <w:t>) 297.</w:t>
      </w:r>
    </w:p>
  </w:footnote>
  <w:footnote w:id="44">
    <w:p w:rsidR="00EB0E37" w:rsidRPr="000F06CE" w:rsidRDefault="00EB0E37" w:rsidP="00EB0E37">
      <w:pPr>
        <w:pStyle w:val="a3"/>
        <w:spacing w:after="120"/>
        <w:jc w:val="both"/>
        <w:rPr>
          <w:rFonts w:asciiTheme="majorBidi" w:hAnsiTheme="majorBidi" w:cstheme="majorBidi"/>
        </w:rPr>
      </w:pPr>
      <w:r w:rsidRPr="000F06CE">
        <w:rPr>
          <w:rStyle w:val="a5"/>
          <w:rFonts w:asciiTheme="majorBidi" w:hAnsiTheme="majorBidi" w:cstheme="majorBidi"/>
        </w:rPr>
        <w:footnoteRef/>
      </w:r>
      <w:r w:rsidRPr="000F06CE">
        <w:rPr>
          <w:rFonts w:asciiTheme="majorBidi" w:hAnsiTheme="majorBidi" w:cstheme="majorBidi"/>
        </w:rPr>
        <w:t xml:space="preserve"> Volokh (n</w:t>
      </w:r>
      <w:r>
        <w:rPr>
          <w:rFonts w:asciiTheme="majorBidi" w:hAnsiTheme="majorBidi" w:cstheme="majorBidi"/>
        </w:rPr>
        <w:t xml:space="preserve"> </w:t>
      </w:r>
      <w:r>
        <w:rPr>
          <w:rFonts w:asciiTheme="majorBidi" w:hAnsiTheme="majorBidi" w:cstheme="majorBidi"/>
        </w:rPr>
        <w:fldChar w:fldCharType="begin"/>
      </w:r>
      <w:r>
        <w:rPr>
          <w:rFonts w:asciiTheme="majorBidi" w:hAnsiTheme="majorBidi" w:cstheme="majorBidi"/>
        </w:rPr>
        <w:instrText xml:space="preserve"> NOTEREF _Ref130193199 \h </w:instrText>
      </w:r>
      <w:r>
        <w:rPr>
          <w:rFonts w:asciiTheme="majorBidi" w:hAnsiTheme="majorBidi" w:cstheme="majorBidi"/>
        </w:rPr>
      </w:r>
      <w:r>
        <w:rPr>
          <w:rFonts w:asciiTheme="majorBidi" w:hAnsiTheme="majorBidi" w:cstheme="majorBidi"/>
        </w:rPr>
        <w:fldChar w:fldCharType="separate"/>
      </w:r>
      <w:r w:rsidR="005B634A">
        <w:rPr>
          <w:rFonts w:asciiTheme="majorBidi" w:hAnsiTheme="majorBidi" w:cstheme="majorBidi"/>
        </w:rPr>
        <w:t>32</w:t>
      </w:r>
      <w:r>
        <w:rPr>
          <w:rFonts w:asciiTheme="majorBidi" w:hAnsiTheme="majorBidi" w:cstheme="majorBidi"/>
        </w:rPr>
        <w:fldChar w:fldCharType="end"/>
      </w:r>
      <w:r w:rsidRPr="000F06CE">
        <w:rPr>
          <w:rFonts w:asciiTheme="majorBidi" w:hAnsiTheme="majorBidi" w:cstheme="majorBidi"/>
        </w:rPr>
        <w:t>) 1488.</w:t>
      </w:r>
    </w:p>
  </w:footnote>
  <w:footnote w:id="45">
    <w:p w:rsidR="00EB0E37" w:rsidRPr="000F06CE" w:rsidRDefault="00EB0E37" w:rsidP="00EB0E37">
      <w:pPr>
        <w:pStyle w:val="a3"/>
        <w:spacing w:after="120"/>
        <w:jc w:val="both"/>
        <w:rPr>
          <w:rFonts w:asciiTheme="majorBidi" w:hAnsiTheme="majorBidi" w:cstheme="majorBidi"/>
        </w:rPr>
      </w:pPr>
      <w:r w:rsidRPr="000F06CE">
        <w:rPr>
          <w:rStyle w:val="a5"/>
          <w:rFonts w:asciiTheme="majorBidi" w:hAnsiTheme="majorBidi" w:cstheme="majorBidi"/>
        </w:rPr>
        <w:footnoteRef/>
      </w:r>
      <w:r w:rsidRPr="000F06CE">
        <w:rPr>
          <w:rFonts w:asciiTheme="majorBidi" w:hAnsiTheme="majorBidi" w:cstheme="majorBidi"/>
        </w:rPr>
        <w:t xml:space="preserve"> Volokh (n</w:t>
      </w:r>
      <w:r>
        <w:rPr>
          <w:rFonts w:asciiTheme="majorBidi" w:hAnsiTheme="majorBidi" w:cstheme="majorBidi"/>
        </w:rPr>
        <w:t xml:space="preserve"> </w:t>
      </w:r>
      <w:r>
        <w:rPr>
          <w:rFonts w:asciiTheme="majorBidi" w:hAnsiTheme="majorBidi" w:cstheme="majorBidi"/>
        </w:rPr>
        <w:fldChar w:fldCharType="begin"/>
      </w:r>
      <w:r>
        <w:rPr>
          <w:rFonts w:asciiTheme="majorBidi" w:hAnsiTheme="majorBidi" w:cstheme="majorBidi"/>
        </w:rPr>
        <w:instrText xml:space="preserve"> NOTEREF _Ref130193199 \h </w:instrText>
      </w:r>
      <w:r>
        <w:rPr>
          <w:rFonts w:asciiTheme="majorBidi" w:hAnsiTheme="majorBidi" w:cstheme="majorBidi"/>
        </w:rPr>
      </w:r>
      <w:r>
        <w:rPr>
          <w:rFonts w:asciiTheme="majorBidi" w:hAnsiTheme="majorBidi" w:cstheme="majorBidi"/>
        </w:rPr>
        <w:fldChar w:fldCharType="separate"/>
      </w:r>
      <w:r w:rsidR="005B634A">
        <w:rPr>
          <w:rFonts w:asciiTheme="majorBidi" w:hAnsiTheme="majorBidi" w:cstheme="majorBidi"/>
        </w:rPr>
        <w:t>32</w:t>
      </w:r>
      <w:r>
        <w:rPr>
          <w:rFonts w:asciiTheme="majorBidi" w:hAnsiTheme="majorBidi" w:cstheme="majorBidi"/>
        </w:rPr>
        <w:fldChar w:fldCharType="end"/>
      </w:r>
      <w:r w:rsidRPr="000F06CE">
        <w:rPr>
          <w:rFonts w:asciiTheme="majorBidi" w:hAnsiTheme="majorBidi" w:cstheme="majorBidi"/>
        </w:rPr>
        <w:t>) 1488</w:t>
      </w:r>
      <w:r>
        <w:rPr>
          <w:rFonts w:asciiTheme="majorBidi" w:hAnsiTheme="majorBidi" w:cstheme="majorBidi"/>
        </w:rPr>
        <w:t>–</w:t>
      </w:r>
      <w:r w:rsidRPr="000F06CE">
        <w:rPr>
          <w:rFonts w:asciiTheme="majorBidi" w:hAnsiTheme="majorBidi" w:cstheme="majorBidi"/>
        </w:rPr>
        <w:t>1489.</w:t>
      </w:r>
    </w:p>
  </w:footnote>
  <w:footnote w:id="46">
    <w:p w:rsidR="00EB0E37" w:rsidRPr="000F06CE" w:rsidRDefault="00EB0E37" w:rsidP="004D1BBC">
      <w:pPr>
        <w:pStyle w:val="a3"/>
        <w:spacing w:after="120"/>
        <w:jc w:val="both"/>
        <w:rPr>
          <w:rFonts w:asciiTheme="majorBidi" w:hAnsiTheme="majorBidi" w:cstheme="majorBidi"/>
        </w:rPr>
      </w:pPr>
      <w:r w:rsidRPr="000F06CE">
        <w:rPr>
          <w:rStyle w:val="a5"/>
          <w:rFonts w:asciiTheme="majorBidi" w:hAnsiTheme="majorBidi" w:cstheme="majorBidi"/>
        </w:rPr>
        <w:footnoteRef/>
      </w:r>
      <w:r w:rsidRPr="000F06CE">
        <w:rPr>
          <w:rFonts w:asciiTheme="majorBidi" w:hAnsiTheme="majorBidi" w:cstheme="majorBidi"/>
        </w:rPr>
        <w:t xml:space="preserve"> </w:t>
      </w:r>
      <w:r w:rsidRPr="000F06CE">
        <w:rPr>
          <w:rFonts w:asciiTheme="majorBidi" w:hAnsiTheme="majorBidi" w:cstheme="majorBidi"/>
        </w:rPr>
        <w:fldChar w:fldCharType="begin"/>
      </w:r>
      <w:r w:rsidRPr="000F06CE">
        <w:rPr>
          <w:rFonts w:asciiTheme="majorBidi" w:hAnsiTheme="majorBidi" w:cstheme="majorBidi"/>
        </w:rPr>
        <w:instrText xml:space="preserve"> ADDIN EN.CITE &lt;EndNote&gt;&lt;Cite&gt;&lt;Author&gt;Sisk&lt;/Author&gt;&lt;Year&gt;2005&lt;/Year&gt;&lt;RecNum&gt;196&lt;/RecNum&gt;&lt;record&gt;&lt;rec-number&gt;196&lt;/rec-number&gt;&lt;ref-type name="Journal Article"&gt;17&lt;/ref-type&gt;&lt;contributors&gt;&lt;authors&gt;&lt;author&gt;Gregory C Sisk&lt;/author&gt;&lt;/authors&gt;&lt;/contributors&gt;&lt;titles&gt;&lt;title&gt;How Traditional and Minority Religions Fare in the Courts: Empirical Evidence from Religious Liberty Cases&lt;/title&gt;&lt;secondary-title&gt;University of Colorado Law Review&lt;/secondary-title&gt;&lt;/titles&gt;&lt;periodical&gt;&lt;full-title&gt;University of Colorado Law Review&lt;/full-title&gt;&lt;/periodical&gt;&lt;pages&gt;1021&lt;/pages&gt;&lt;volume&gt;76&lt;/volume&gt;&lt;dates&gt;&lt;year&gt;2005&lt;/year&gt;&lt;/dates&gt;&lt;pub-location&gt;2005&lt;/pub-location&gt;&lt;urls&gt;&lt;/urls&gt;&lt;/record&gt;&lt;/Cite&gt;&lt;/EndNote&gt;</w:instrText>
      </w:r>
      <w:r w:rsidRPr="000F06CE">
        <w:rPr>
          <w:rFonts w:asciiTheme="majorBidi" w:hAnsiTheme="majorBidi" w:cstheme="majorBidi"/>
        </w:rPr>
        <w:fldChar w:fldCharType="separate"/>
      </w:r>
      <w:r w:rsidRPr="000F06CE">
        <w:rPr>
          <w:rFonts w:asciiTheme="majorBidi" w:hAnsiTheme="majorBidi" w:cstheme="majorBidi"/>
        </w:rPr>
        <w:t>GC Sisk, 'How Traditional and Minority Religions Fare in the Courts: Empirical Evidence from Religious Liberty Cases' (2005) 76 University of Colorado Law Review 1021</w:t>
      </w:r>
      <w:r w:rsidRPr="000F06CE">
        <w:rPr>
          <w:rFonts w:asciiTheme="majorBidi" w:hAnsiTheme="majorBidi" w:cstheme="majorBidi"/>
        </w:rPr>
        <w:fldChar w:fldCharType="end"/>
      </w:r>
      <w:r w:rsidRPr="000F06CE">
        <w:rPr>
          <w:rFonts w:asciiTheme="majorBidi" w:hAnsiTheme="majorBidi" w:cstheme="majorBidi"/>
        </w:rPr>
        <w:t>.</w:t>
      </w:r>
      <w:r w:rsidRPr="00A45DD0">
        <w:rPr>
          <w:sz w:val="24"/>
        </w:rPr>
        <w:t xml:space="preserve"> </w:t>
      </w:r>
      <w:r w:rsidRPr="00A45DD0">
        <w:rPr>
          <w:rFonts w:asciiTheme="majorBidi" w:hAnsiTheme="majorBidi" w:cstheme="majorBidi"/>
        </w:rPr>
        <w:t>The study was conducted within the particular venue of the federal courts</w:t>
      </w:r>
      <w:r>
        <w:rPr>
          <w:rFonts w:asciiTheme="majorBidi" w:hAnsiTheme="majorBidi" w:cstheme="majorBidi"/>
        </w:rPr>
        <w:t xml:space="preserve">. See also HY Levin, ‘Rethinking Religious Minorities’ Political Power’ 48 U.C Davis Law Review 1617 (2015). </w:t>
      </w:r>
    </w:p>
  </w:footnote>
  <w:footnote w:id="47">
    <w:p w:rsidR="00EB0E37" w:rsidRPr="000F06CE" w:rsidRDefault="00EB0E37" w:rsidP="004D1BBC">
      <w:pPr>
        <w:pStyle w:val="a3"/>
        <w:spacing w:after="120"/>
        <w:jc w:val="both"/>
        <w:rPr>
          <w:rFonts w:asciiTheme="majorBidi" w:hAnsiTheme="majorBidi" w:cstheme="majorBidi"/>
        </w:rPr>
      </w:pPr>
      <w:r w:rsidRPr="000F06CE">
        <w:rPr>
          <w:rStyle w:val="a5"/>
          <w:rFonts w:asciiTheme="majorBidi" w:hAnsiTheme="majorBidi" w:cstheme="majorBidi"/>
        </w:rPr>
        <w:footnoteRef/>
      </w:r>
      <w:r w:rsidRPr="000F06CE">
        <w:rPr>
          <w:rFonts w:asciiTheme="majorBidi" w:hAnsiTheme="majorBidi" w:cstheme="majorBidi"/>
        </w:rPr>
        <w:t xml:space="preserve"> </w:t>
      </w:r>
      <w:r w:rsidRPr="000F06CE">
        <w:rPr>
          <w:rFonts w:asciiTheme="majorBidi" w:hAnsiTheme="majorBidi" w:cstheme="majorBidi"/>
        </w:rPr>
        <w:fldChar w:fldCharType="begin"/>
      </w:r>
      <w:r w:rsidRPr="000F06CE">
        <w:rPr>
          <w:rFonts w:asciiTheme="majorBidi" w:hAnsiTheme="majorBidi" w:cstheme="majorBidi"/>
        </w:rPr>
        <w:instrText xml:space="preserve"> ADDIN EN.CITE &lt;EndNote&gt;&lt;Cite&gt;&lt;Author&gt;Wybraniec&lt;/Author&gt;&lt;Year&gt;2001&lt;/Year&gt;&lt;RecNum&gt;197&lt;/RecNum&gt;&lt;record&gt;&lt;rec-number&gt;197&lt;/rec-number&gt;&lt;ref-type name="Journal Article"&gt;17&lt;/ref-type&gt;&lt;contributors&gt;&lt;authors&gt;&lt;author&gt;John Wybraniec&lt;/author&gt;&lt;author&gt;Roger Finke&lt;/author&gt;&lt;/authors&gt;&lt;/contributors&gt;&lt;titles&gt;&lt;title&gt;Religious Regulation and the Courts: The Judiciary&amp;apos;s Changing Role in Protecting Minority Religions from Majoritarian Rule &lt;/title&gt;&lt;secondary-title&gt;Journal for the Scientific Study of Religion&lt;/secondary-title&gt;&lt;/titles&gt;&lt;periodical&gt;&lt;full-title&gt;Journal for the Scientific Study of Religion&lt;/full-title&gt;&lt;/periodical&gt;&lt;pages&gt;427-444&lt;/pages&gt;&lt;volume&gt;40(3)&lt;/volume&gt;&lt;dates&gt;&lt;year&gt;2001&lt;/year&gt;&lt;/dates&gt;&lt;pub-location&gt;2001&lt;/pub-location&gt;&lt;urls&gt;&lt;/urls&gt;&lt;/record&gt;&lt;/Cite&gt;&lt;/EndNote&gt;</w:instrText>
      </w:r>
      <w:r w:rsidRPr="000F06CE">
        <w:rPr>
          <w:rFonts w:asciiTheme="majorBidi" w:hAnsiTheme="majorBidi" w:cstheme="majorBidi"/>
        </w:rPr>
        <w:fldChar w:fldCharType="separate"/>
      </w:r>
      <w:r w:rsidRPr="000F06CE">
        <w:rPr>
          <w:rFonts w:asciiTheme="majorBidi" w:hAnsiTheme="majorBidi" w:cstheme="majorBidi"/>
        </w:rPr>
        <w:t>J Wybraniec and R Finke, 'Religious Regulation and the Courts: The Judiciary's Changing Role in Protecting Minority Religions from Majoritarian Rule ' (2001) 40(3) Journal for the Scientific Study of Religion 427</w:t>
      </w:r>
      <w:r w:rsidRPr="000F06CE">
        <w:rPr>
          <w:rFonts w:asciiTheme="majorBidi" w:hAnsiTheme="majorBidi" w:cstheme="majorBidi"/>
        </w:rPr>
        <w:fldChar w:fldCharType="end"/>
      </w:r>
      <w:r w:rsidRPr="000F06CE">
        <w:rPr>
          <w:rFonts w:asciiTheme="majorBidi" w:hAnsiTheme="majorBidi" w:cstheme="majorBidi"/>
        </w:rPr>
        <w:t>.</w:t>
      </w:r>
    </w:p>
  </w:footnote>
  <w:footnote w:id="48">
    <w:p w:rsidR="00EB0E37" w:rsidRPr="000F06CE" w:rsidRDefault="00EB0E37" w:rsidP="004D1BBC">
      <w:pPr>
        <w:pStyle w:val="a3"/>
        <w:spacing w:after="120"/>
        <w:jc w:val="both"/>
        <w:rPr>
          <w:rFonts w:asciiTheme="majorBidi" w:hAnsiTheme="majorBidi" w:cstheme="majorBidi"/>
        </w:rPr>
      </w:pPr>
      <w:r w:rsidRPr="000F06CE">
        <w:rPr>
          <w:rStyle w:val="a5"/>
          <w:rFonts w:asciiTheme="majorBidi" w:hAnsiTheme="majorBidi" w:cstheme="majorBidi"/>
        </w:rPr>
        <w:footnoteRef/>
      </w:r>
      <w:r w:rsidRPr="000F06CE">
        <w:rPr>
          <w:rFonts w:asciiTheme="majorBidi" w:hAnsiTheme="majorBidi" w:cstheme="majorBidi"/>
        </w:rPr>
        <w:t xml:space="preserve"> This is not to say that only a small number of people wish to avoid the obligation to pay income tax, but rather that, in most states, the number of people who may have an objection </w:t>
      </w:r>
      <w:r>
        <w:rPr>
          <w:rFonts w:asciiTheme="majorBidi" w:hAnsiTheme="majorBidi" w:cstheme="majorBidi"/>
        </w:rPr>
        <w:t>that</w:t>
      </w:r>
      <w:r w:rsidRPr="000F06CE">
        <w:rPr>
          <w:rFonts w:asciiTheme="majorBidi" w:hAnsiTheme="majorBidi" w:cstheme="majorBidi"/>
        </w:rPr>
        <w:t xml:space="preserve"> is even remotely linked to a conscientious objection to paying income tax is relatively small. Things may be different concerning other types of tax.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B8B"/>
    <w:rsid w:val="00005C36"/>
    <w:rsid w:val="00021B2F"/>
    <w:rsid w:val="00041305"/>
    <w:rsid w:val="00046D68"/>
    <w:rsid w:val="00060B79"/>
    <w:rsid w:val="00062256"/>
    <w:rsid w:val="00065233"/>
    <w:rsid w:val="00072ADA"/>
    <w:rsid w:val="00083A47"/>
    <w:rsid w:val="00097AA9"/>
    <w:rsid w:val="000A0920"/>
    <w:rsid w:val="000A5478"/>
    <w:rsid w:val="000A755D"/>
    <w:rsid w:val="000B274D"/>
    <w:rsid w:val="000B2F38"/>
    <w:rsid w:val="000C47E4"/>
    <w:rsid w:val="000D4049"/>
    <w:rsid w:val="000D45C4"/>
    <w:rsid w:val="000E0997"/>
    <w:rsid w:val="000E115E"/>
    <w:rsid w:val="000E3107"/>
    <w:rsid w:val="000F06CE"/>
    <w:rsid w:val="00103871"/>
    <w:rsid w:val="00115EA9"/>
    <w:rsid w:val="001256F3"/>
    <w:rsid w:val="00137297"/>
    <w:rsid w:val="00137CD2"/>
    <w:rsid w:val="00145B3E"/>
    <w:rsid w:val="00147AD2"/>
    <w:rsid w:val="0016287E"/>
    <w:rsid w:val="0016472F"/>
    <w:rsid w:val="00170B66"/>
    <w:rsid w:val="00173A93"/>
    <w:rsid w:val="001758AB"/>
    <w:rsid w:val="00180ED5"/>
    <w:rsid w:val="00195E2C"/>
    <w:rsid w:val="001A0713"/>
    <w:rsid w:val="001A65A8"/>
    <w:rsid w:val="001B352E"/>
    <w:rsid w:val="001B7BE1"/>
    <w:rsid w:val="001C6FBE"/>
    <w:rsid w:val="001D3C9E"/>
    <w:rsid w:val="001F7FDA"/>
    <w:rsid w:val="00203B0B"/>
    <w:rsid w:val="00213565"/>
    <w:rsid w:val="00223B96"/>
    <w:rsid w:val="002253E7"/>
    <w:rsid w:val="00231A28"/>
    <w:rsid w:val="00236F9A"/>
    <w:rsid w:val="002378C2"/>
    <w:rsid w:val="002428C4"/>
    <w:rsid w:val="0024379C"/>
    <w:rsid w:val="0026503D"/>
    <w:rsid w:val="002762C1"/>
    <w:rsid w:val="0028123F"/>
    <w:rsid w:val="002A0130"/>
    <w:rsid w:val="002A797F"/>
    <w:rsid w:val="002B42BA"/>
    <w:rsid w:val="002E2CAA"/>
    <w:rsid w:val="002F0180"/>
    <w:rsid w:val="002F1F20"/>
    <w:rsid w:val="00300B58"/>
    <w:rsid w:val="00305F3F"/>
    <w:rsid w:val="00312F5C"/>
    <w:rsid w:val="00341898"/>
    <w:rsid w:val="00350A01"/>
    <w:rsid w:val="00367134"/>
    <w:rsid w:val="00370DBD"/>
    <w:rsid w:val="00387EED"/>
    <w:rsid w:val="00394D89"/>
    <w:rsid w:val="003B7752"/>
    <w:rsid w:val="003C380D"/>
    <w:rsid w:val="003D422A"/>
    <w:rsid w:val="003D7A34"/>
    <w:rsid w:val="003E63AB"/>
    <w:rsid w:val="00400AAE"/>
    <w:rsid w:val="00405054"/>
    <w:rsid w:val="0040606A"/>
    <w:rsid w:val="00435B18"/>
    <w:rsid w:val="00444640"/>
    <w:rsid w:val="00446253"/>
    <w:rsid w:val="00493A18"/>
    <w:rsid w:val="00493CAF"/>
    <w:rsid w:val="004B7FBE"/>
    <w:rsid w:val="004D1BBC"/>
    <w:rsid w:val="004D6E4A"/>
    <w:rsid w:val="004F1190"/>
    <w:rsid w:val="0051616D"/>
    <w:rsid w:val="00520A4C"/>
    <w:rsid w:val="00527B08"/>
    <w:rsid w:val="00531CC7"/>
    <w:rsid w:val="00534E9F"/>
    <w:rsid w:val="0054333A"/>
    <w:rsid w:val="005439C4"/>
    <w:rsid w:val="00545FFD"/>
    <w:rsid w:val="005468C5"/>
    <w:rsid w:val="00546A61"/>
    <w:rsid w:val="00554F23"/>
    <w:rsid w:val="00567DF7"/>
    <w:rsid w:val="00574CB3"/>
    <w:rsid w:val="00580B1D"/>
    <w:rsid w:val="00583433"/>
    <w:rsid w:val="00587170"/>
    <w:rsid w:val="00590978"/>
    <w:rsid w:val="00597BF6"/>
    <w:rsid w:val="005B634A"/>
    <w:rsid w:val="005C5264"/>
    <w:rsid w:val="005D0D51"/>
    <w:rsid w:val="005D7105"/>
    <w:rsid w:val="005E0B91"/>
    <w:rsid w:val="005F357B"/>
    <w:rsid w:val="005F6292"/>
    <w:rsid w:val="00612155"/>
    <w:rsid w:val="00613DC1"/>
    <w:rsid w:val="00615C8B"/>
    <w:rsid w:val="00636517"/>
    <w:rsid w:val="006736B9"/>
    <w:rsid w:val="00674305"/>
    <w:rsid w:val="0067701B"/>
    <w:rsid w:val="00681FB9"/>
    <w:rsid w:val="006824EF"/>
    <w:rsid w:val="006922F3"/>
    <w:rsid w:val="00692E7A"/>
    <w:rsid w:val="006D0761"/>
    <w:rsid w:val="006D62DB"/>
    <w:rsid w:val="006F0C06"/>
    <w:rsid w:val="006F473C"/>
    <w:rsid w:val="006F75C1"/>
    <w:rsid w:val="00701C8C"/>
    <w:rsid w:val="007045B7"/>
    <w:rsid w:val="00705ABE"/>
    <w:rsid w:val="00715063"/>
    <w:rsid w:val="0077171B"/>
    <w:rsid w:val="00786DBF"/>
    <w:rsid w:val="00787FD8"/>
    <w:rsid w:val="00796177"/>
    <w:rsid w:val="007A167F"/>
    <w:rsid w:val="007A5D45"/>
    <w:rsid w:val="007B0E62"/>
    <w:rsid w:val="007B32D8"/>
    <w:rsid w:val="007C0E18"/>
    <w:rsid w:val="007D2517"/>
    <w:rsid w:val="007D27E6"/>
    <w:rsid w:val="007D2F72"/>
    <w:rsid w:val="007E62FA"/>
    <w:rsid w:val="007F39BC"/>
    <w:rsid w:val="007F6774"/>
    <w:rsid w:val="008041C5"/>
    <w:rsid w:val="00807686"/>
    <w:rsid w:val="00812B12"/>
    <w:rsid w:val="008231D2"/>
    <w:rsid w:val="00832D3E"/>
    <w:rsid w:val="00847143"/>
    <w:rsid w:val="00857611"/>
    <w:rsid w:val="00863FEE"/>
    <w:rsid w:val="00866039"/>
    <w:rsid w:val="00873D85"/>
    <w:rsid w:val="00874515"/>
    <w:rsid w:val="00874BCC"/>
    <w:rsid w:val="00875C57"/>
    <w:rsid w:val="00885C15"/>
    <w:rsid w:val="0088665D"/>
    <w:rsid w:val="008916A1"/>
    <w:rsid w:val="008920CF"/>
    <w:rsid w:val="008928C3"/>
    <w:rsid w:val="008A319B"/>
    <w:rsid w:val="008A38DF"/>
    <w:rsid w:val="008D68B5"/>
    <w:rsid w:val="008D776F"/>
    <w:rsid w:val="008D78CC"/>
    <w:rsid w:val="008E14BB"/>
    <w:rsid w:val="008F0751"/>
    <w:rsid w:val="008F391B"/>
    <w:rsid w:val="00904A88"/>
    <w:rsid w:val="0090720D"/>
    <w:rsid w:val="00917795"/>
    <w:rsid w:val="00921613"/>
    <w:rsid w:val="009251E5"/>
    <w:rsid w:val="009259F4"/>
    <w:rsid w:val="00926A9B"/>
    <w:rsid w:val="00933611"/>
    <w:rsid w:val="00955A33"/>
    <w:rsid w:val="009622E0"/>
    <w:rsid w:val="00986CF2"/>
    <w:rsid w:val="009927B1"/>
    <w:rsid w:val="00994BBD"/>
    <w:rsid w:val="009B0CBB"/>
    <w:rsid w:val="009B0E40"/>
    <w:rsid w:val="009B2D84"/>
    <w:rsid w:val="009C0F9D"/>
    <w:rsid w:val="009C2F8D"/>
    <w:rsid w:val="009C4DE4"/>
    <w:rsid w:val="009C7EB9"/>
    <w:rsid w:val="009D753B"/>
    <w:rsid w:val="009E1E9A"/>
    <w:rsid w:val="009E796F"/>
    <w:rsid w:val="009E7B8B"/>
    <w:rsid w:val="009F0A30"/>
    <w:rsid w:val="00A06483"/>
    <w:rsid w:val="00A1228C"/>
    <w:rsid w:val="00A35688"/>
    <w:rsid w:val="00A35D60"/>
    <w:rsid w:val="00A36AF8"/>
    <w:rsid w:val="00A36B06"/>
    <w:rsid w:val="00A402F7"/>
    <w:rsid w:val="00A43546"/>
    <w:rsid w:val="00A438E5"/>
    <w:rsid w:val="00A45DD0"/>
    <w:rsid w:val="00A52C8F"/>
    <w:rsid w:val="00A535F5"/>
    <w:rsid w:val="00A63377"/>
    <w:rsid w:val="00A83BD1"/>
    <w:rsid w:val="00A845C2"/>
    <w:rsid w:val="00A9124F"/>
    <w:rsid w:val="00A95513"/>
    <w:rsid w:val="00AA3F0A"/>
    <w:rsid w:val="00AA6421"/>
    <w:rsid w:val="00AA770E"/>
    <w:rsid w:val="00AB2CB8"/>
    <w:rsid w:val="00AC12B5"/>
    <w:rsid w:val="00AC58A2"/>
    <w:rsid w:val="00B27902"/>
    <w:rsid w:val="00B42581"/>
    <w:rsid w:val="00B64366"/>
    <w:rsid w:val="00B64943"/>
    <w:rsid w:val="00B71D0A"/>
    <w:rsid w:val="00B76B29"/>
    <w:rsid w:val="00B82751"/>
    <w:rsid w:val="00B9291F"/>
    <w:rsid w:val="00B92D6E"/>
    <w:rsid w:val="00BA22B3"/>
    <w:rsid w:val="00BD24BA"/>
    <w:rsid w:val="00BE11F8"/>
    <w:rsid w:val="00BE3B4A"/>
    <w:rsid w:val="00BF3E37"/>
    <w:rsid w:val="00BF70BB"/>
    <w:rsid w:val="00BF752D"/>
    <w:rsid w:val="00C16523"/>
    <w:rsid w:val="00C452EA"/>
    <w:rsid w:val="00C50AA4"/>
    <w:rsid w:val="00C52011"/>
    <w:rsid w:val="00C60F9D"/>
    <w:rsid w:val="00C64D49"/>
    <w:rsid w:val="00C70799"/>
    <w:rsid w:val="00C71181"/>
    <w:rsid w:val="00C766E5"/>
    <w:rsid w:val="00C92CA3"/>
    <w:rsid w:val="00CA2A90"/>
    <w:rsid w:val="00CD10B1"/>
    <w:rsid w:val="00CE4FE7"/>
    <w:rsid w:val="00D05044"/>
    <w:rsid w:val="00D13BDD"/>
    <w:rsid w:val="00D20C4E"/>
    <w:rsid w:val="00D212EE"/>
    <w:rsid w:val="00D25B6B"/>
    <w:rsid w:val="00D3013B"/>
    <w:rsid w:val="00D3107D"/>
    <w:rsid w:val="00D3543C"/>
    <w:rsid w:val="00D41C8E"/>
    <w:rsid w:val="00D54EAE"/>
    <w:rsid w:val="00D632C1"/>
    <w:rsid w:val="00D642F8"/>
    <w:rsid w:val="00D7602F"/>
    <w:rsid w:val="00D76F08"/>
    <w:rsid w:val="00DA0C4C"/>
    <w:rsid w:val="00DA18F6"/>
    <w:rsid w:val="00DA74E2"/>
    <w:rsid w:val="00DD6AEE"/>
    <w:rsid w:val="00DE0625"/>
    <w:rsid w:val="00DF3117"/>
    <w:rsid w:val="00DF3F36"/>
    <w:rsid w:val="00DF4713"/>
    <w:rsid w:val="00E05A4E"/>
    <w:rsid w:val="00E17E30"/>
    <w:rsid w:val="00E22CCD"/>
    <w:rsid w:val="00E258CF"/>
    <w:rsid w:val="00E26C9F"/>
    <w:rsid w:val="00E27C3E"/>
    <w:rsid w:val="00E3374A"/>
    <w:rsid w:val="00E340EF"/>
    <w:rsid w:val="00E41D02"/>
    <w:rsid w:val="00E44505"/>
    <w:rsid w:val="00E844D2"/>
    <w:rsid w:val="00EA4B67"/>
    <w:rsid w:val="00EB0E37"/>
    <w:rsid w:val="00EC13DF"/>
    <w:rsid w:val="00EC1954"/>
    <w:rsid w:val="00EC6CF6"/>
    <w:rsid w:val="00EC7D24"/>
    <w:rsid w:val="00ED14A2"/>
    <w:rsid w:val="00ED3903"/>
    <w:rsid w:val="00ED6CF3"/>
    <w:rsid w:val="00EE270C"/>
    <w:rsid w:val="00EE510F"/>
    <w:rsid w:val="00EF170C"/>
    <w:rsid w:val="00EF2891"/>
    <w:rsid w:val="00F01CBB"/>
    <w:rsid w:val="00F10A11"/>
    <w:rsid w:val="00F250F6"/>
    <w:rsid w:val="00F27320"/>
    <w:rsid w:val="00F3209A"/>
    <w:rsid w:val="00F425EA"/>
    <w:rsid w:val="00F432D2"/>
    <w:rsid w:val="00F44710"/>
    <w:rsid w:val="00F67B3B"/>
    <w:rsid w:val="00F73429"/>
    <w:rsid w:val="00F834C4"/>
    <w:rsid w:val="00F908AD"/>
    <w:rsid w:val="00F91C5E"/>
    <w:rsid w:val="00FB53B3"/>
    <w:rsid w:val="00FE0D18"/>
    <w:rsid w:val="00FF65E7"/>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D6E4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54333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300B58"/>
    <w:rPr>
      <w:color w:val="0000FF"/>
      <w:u w:val="single"/>
    </w:rPr>
  </w:style>
  <w:style w:type="paragraph" w:styleId="a3">
    <w:name w:val="footnote text"/>
    <w:basedOn w:val="a"/>
    <w:link w:val="a4"/>
    <w:unhideWhenUsed/>
    <w:rsid w:val="00300B58"/>
    <w:pPr>
      <w:spacing w:after="0" w:line="240" w:lineRule="auto"/>
    </w:pPr>
    <w:rPr>
      <w:rFonts w:ascii="Times New Roman" w:eastAsia="Times New Roman" w:hAnsi="Times New Roman" w:cs="Monotype Hadassah"/>
      <w:sz w:val="20"/>
      <w:szCs w:val="20"/>
    </w:rPr>
  </w:style>
  <w:style w:type="character" w:customStyle="1" w:styleId="a4">
    <w:name w:val="טקסט הערת שוליים תו"/>
    <w:basedOn w:val="a0"/>
    <w:link w:val="a3"/>
    <w:rsid w:val="00300B58"/>
    <w:rPr>
      <w:rFonts w:ascii="Times New Roman" w:eastAsia="Times New Roman" w:hAnsi="Times New Roman" w:cs="Monotype Hadassah"/>
      <w:sz w:val="20"/>
      <w:szCs w:val="20"/>
    </w:rPr>
  </w:style>
  <w:style w:type="character" w:styleId="a5">
    <w:name w:val="footnote reference"/>
    <w:basedOn w:val="a0"/>
    <w:semiHidden/>
    <w:unhideWhenUsed/>
    <w:rsid w:val="00300B58"/>
    <w:rPr>
      <w:vertAlign w:val="superscript"/>
    </w:rPr>
  </w:style>
  <w:style w:type="character" w:customStyle="1" w:styleId="10">
    <w:name w:val="כותרת 1 תו"/>
    <w:basedOn w:val="a0"/>
    <w:link w:val="1"/>
    <w:uiPriority w:val="9"/>
    <w:rsid w:val="004D6E4A"/>
    <w:rPr>
      <w:rFonts w:asciiTheme="majorHAnsi" w:eastAsiaTheme="majorEastAsia" w:hAnsiTheme="majorHAnsi" w:cstheme="majorBidi"/>
      <w:b/>
      <w:bCs/>
      <w:color w:val="365F91" w:themeColor="accent1" w:themeShade="BF"/>
      <w:sz w:val="28"/>
      <w:szCs w:val="28"/>
    </w:rPr>
  </w:style>
  <w:style w:type="character" w:styleId="FollowedHyperlink">
    <w:name w:val="FollowedHyperlink"/>
    <w:basedOn w:val="a0"/>
    <w:uiPriority w:val="99"/>
    <w:semiHidden/>
    <w:unhideWhenUsed/>
    <w:rsid w:val="00B64366"/>
    <w:rPr>
      <w:color w:val="800080" w:themeColor="followedHyperlink"/>
      <w:u w:val="single"/>
    </w:rPr>
  </w:style>
  <w:style w:type="paragraph" w:styleId="a6">
    <w:name w:val="TOC Heading"/>
    <w:basedOn w:val="1"/>
    <w:next w:val="a"/>
    <w:uiPriority w:val="39"/>
    <w:semiHidden/>
    <w:unhideWhenUsed/>
    <w:qFormat/>
    <w:rsid w:val="00EE270C"/>
    <w:pPr>
      <w:bidi/>
      <w:outlineLvl w:val="9"/>
    </w:pPr>
    <w:rPr>
      <w:rtl/>
      <w:cs/>
      <w:lang w:eastAsia="en-GB"/>
    </w:rPr>
  </w:style>
  <w:style w:type="paragraph" w:styleId="TOC1">
    <w:name w:val="toc 1"/>
    <w:basedOn w:val="a"/>
    <w:next w:val="a"/>
    <w:autoRedefine/>
    <w:uiPriority w:val="39"/>
    <w:unhideWhenUsed/>
    <w:rsid w:val="00EE270C"/>
    <w:pPr>
      <w:spacing w:after="100"/>
    </w:pPr>
  </w:style>
  <w:style w:type="paragraph" w:styleId="TOC2">
    <w:name w:val="toc 2"/>
    <w:basedOn w:val="a"/>
    <w:next w:val="a"/>
    <w:autoRedefine/>
    <w:uiPriority w:val="39"/>
    <w:unhideWhenUsed/>
    <w:rsid w:val="00EE270C"/>
    <w:pPr>
      <w:spacing w:after="100"/>
      <w:ind w:left="220"/>
    </w:pPr>
  </w:style>
  <w:style w:type="character" w:customStyle="1" w:styleId="20">
    <w:name w:val="כותרת 2 תו"/>
    <w:basedOn w:val="a0"/>
    <w:link w:val="2"/>
    <w:uiPriority w:val="9"/>
    <w:rsid w:val="0054333A"/>
    <w:rPr>
      <w:rFonts w:asciiTheme="majorHAnsi" w:eastAsiaTheme="majorEastAsia" w:hAnsiTheme="majorHAnsi" w:cstheme="majorBidi"/>
      <w:b/>
      <w:bCs/>
      <w:color w:val="4F81BD" w:themeColor="accent1"/>
      <w:sz w:val="26"/>
      <w:szCs w:val="26"/>
    </w:rPr>
  </w:style>
  <w:style w:type="paragraph" w:styleId="a7">
    <w:name w:val="Balloon Text"/>
    <w:basedOn w:val="a"/>
    <w:link w:val="a8"/>
    <w:uiPriority w:val="99"/>
    <w:semiHidden/>
    <w:unhideWhenUsed/>
    <w:rsid w:val="008231D2"/>
    <w:pPr>
      <w:spacing w:after="0" w:line="240" w:lineRule="auto"/>
    </w:pPr>
    <w:rPr>
      <w:rFonts w:ascii="Tahoma" w:hAnsi="Tahoma" w:cs="Tahoma"/>
      <w:sz w:val="16"/>
      <w:szCs w:val="16"/>
    </w:rPr>
  </w:style>
  <w:style w:type="character" w:customStyle="1" w:styleId="a8">
    <w:name w:val="טקסט בלונים תו"/>
    <w:basedOn w:val="a0"/>
    <w:link w:val="a7"/>
    <w:uiPriority w:val="99"/>
    <w:semiHidden/>
    <w:rsid w:val="008231D2"/>
    <w:rPr>
      <w:rFonts w:ascii="Tahoma" w:hAnsi="Tahoma" w:cs="Tahoma"/>
      <w:sz w:val="16"/>
      <w:szCs w:val="16"/>
    </w:rPr>
  </w:style>
  <w:style w:type="paragraph" w:styleId="a9">
    <w:name w:val="header"/>
    <w:basedOn w:val="a"/>
    <w:link w:val="aa"/>
    <w:uiPriority w:val="99"/>
    <w:unhideWhenUsed/>
    <w:rsid w:val="005F6292"/>
    <w:pPr>
      <w:tabs>
        <w:tab w:val="center" w:pos="4153"/>
        <w:tab w:val="right" w:pos="8306"/>
      </w:tabs>
      <w:spacing w:after="0" w:line="240" w:lineRule="auto"/>
    </w:pPr>
  </w:style>
  <w:style w:type="character" w:customStyle="1" w:styleId="aa">
    <w:name w:val="כותרת עליונה תו"/>
    <w:basedOn w:val="a0"/>
    <w:link w:val="a9"/>
    <w:uiPriority w:val="99"/>
    <w:rsid w:val="005F6292"/>
  </w:style>
  <w:style w:type="paragraph" w:styleId="ab">
    <w:name w:val="footer"/>
    <w:basedOn w:val="a"/>
    <w:link w:val="ac"/>
    <w:uiPriority w:val="99"/>
    <w:unhideWhenUsed/>
    <w:rsid w:val="005F6292"/>
    <w:pPr>
      <w:tabs>
        <w:tab w:val="center" w:pos="4153"/>
        <w:tab w:val="right" w:pos="8306"/>
      </w:tabs>
      <w:spacing w:after="0" w:line="240" w:lineRule="auto"/>
    </w:pPr>
  </w:style>
  <w:style w:type="character" w:customStyle="1" w:styleId="ac">
    <w:name w:val="כותרת תחתונה תו"/>
    <w:basedOn w:val="a0"/>
    <w:link w:val="ab"/>
    <w:uiPriority w:val="99"/>
    <w:rsid w:val="005F6292"/>
  </w:style>
  <w:style w:type="character" w:styleId="ad">
    <w:name w:val="annotation reference"/>
    <w:basedOn w:val="a0"/>
    <w:uiPriority w:val="99"/>
    <w:semiHidden/>
    <w:unhideWhenUsed/>
    <w:rsid w:val="00885C15"/>
    <w:rPr>
      <w:sz w:val="16"/>
      <w:szCs w:val="16"/>
    </w:rPr>
  </w:style>
  <w:style w:type="paragraph" w:styleId="ae">
    <w:name w:val="annotation text"/>
    <w:basedOn w:val="a"/>
    <w:link w:val="af"/>
    <w:uiPriority w:val="99"/>
    <w:semiHidden/>
    <w:unhideWhenUsed/>
    <w:rsid w:val="00885C15"/>
    <w:pPr>
      <w:spacing w:line="240" w:lineRule="auto"/>
    </w:pPr>
    <w:rPr>
      <w:sz w:val="20"/>
      <w:szCs w:val="20"/>
    </w:rPr>
  </w:style>
  <w:style w:type="character" w:customStyle="1" w:styleId="af">
    <w:name w:val="טקסט הערה תו"/>
    <w:basedOn w:val="a0"/>
    <w:link w:val="ae"/>
    <w:uiPriority w:val="99"/>
    <w:semiHidden/>
    <w:rsid w:val="00885C15"/>
    <w:rPr>
      <w:sz w:val="20"/>
      <w:szCs w:val="20"/>
    </w:rPr>
  </w:style>
  <w:style w:type="paragraph" w:styleId="af0">
    <w:name w:val="annotation subject"/>
    <w:basedOn w:val="ae"/>
    <w:next w:val="ae"/>
    <w:link w:val="af1"/>
    <w:uiPriority w:val="99"/>
    <w:semiHidden/>
    <w:unhideWhenUsed/>
    <w:rsid w:val="00885C15"/>
    <w:rPr>
      <w:b/>
      <w:bCs/>
    </w:rPr>
  </w:style>
  <w:style w:type="character" w:customStyle="1" w:styleId="af1">
    <w:name w:val="נושא הערה תו"/>
    <w:basedOn w:val="af"/>
    <w:link w:val="af0"/>
    <w:uiPriority w:val="99"/>
    <w:semiHidden/>
    <w:rsid w:val="00885C15"/>
    <w:rPr>
      <w:b/>
      <w:bCs/>
      <w:sz w:val="20"/>
      <w:szCs w:val="20"/>
    </w:rPr>
  </w:style>
  <w:style w:type="paragraph" w:styleId="af2">
    <w:name w:val="Revision"/>
    <w:hidden/>
    <w:uiPriority w:val="99"/>
    <w:semiHidden/>
    <w:rsid w:val="00885C1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D6E4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54333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300B58"/>
    <w:rPr>
      <w:color w:val="0000FF"/>
      <w:u w:val="single"/>
    </w:rPr>
  </w:style>
  <w:style w:type="paragraph" w:styleId="a3">
    <w:name w:val="footnote text"/>
    <w:basedOn w:val="a"/>
    <w:link w:val="a4"/>
    <w:unhideWhenUsed/>
    <w:rsid w:val="00300B58"/>
    <w:pPr>
      <w:spacing w:after="0" w:line="240" w:lineRule="auto"/>
    </w:pPr>
    <w:rPr>
      <w:rFonts w:ascii="Times New Roman" w:eastAsia="Times New Roman" w:hAnsi="Times New Roman" w:cs="Monotype Hadassah"/>
      <w:sz w:val="20"/>
      <w:szCs w:val="20"/>
    </w:rPr>
  </w:style>
  <w:style w:type="character" w:customStyle="1" w:styleId="a4">
    <w:name w:val="טקסט הערת שוליים תו"/>
    <w:basedOn w:val="a0"/>
    <w:link w:val="a3"/>
    <w:rsid w:val="00300B58"/>
    <w:rPr>
      <w:rFonts w:ascii="Times New Roman" w:eastAsia="Times New Roman" w:hAnsi="Times New Roman" w:cs="Monotype Hadassah"/>
      <w:sz w:val="20"/>
      <w:szCs w:val="20"/>
    </w:rPr>
  </w:style>
  <w:style w:type="character" w:styleId="a5">
    <w:name w:val="footnote reference"/>
    <w:basedOn w:val="a0"/>
    <w:semiHidden/>
    <w:unhideWhenUsed/>
    <w:rsid w:val="00300B58"/>
    <w:rPr>
      <w:vertAlign w:val="superscript"/>
    </w:rPr>
  </w:style>
  <w:style w:type="character" w:customStyle="1" w:styleId="10">
    <w:name w:val="כותרת 1 תו"/>
    <w:basedOn w:val="a0"/>
    <w:link w:val="1"/>
    <w:uiPriority w:val="9"/>
    <w:rsid w:val="004D6E4A"/>
    <w:rPr>
      <w:rFonts w:asciiTheme="majorHAnsi" w:eastAsiaTheme="majorEastAsia" w:hAnsiTheme="majorHAnsi" w:cstheme="majorBidi"/>
      <w:b/>
      <w:bCs/>
      <w:color w:val="365F91" w:themeColor="accent1" w:themeShade="BF"/>
      <w:sz w:val="28"/>
      <w:szCs w:val="28"/>
    </w:rPr>
  </w:style>
  <w:style w:type="character" w:styleId="FollowedHyperlink">
    <w:name w:val="FollowedHyperlink"/>
    <w:basedOn w:val="a0"/>
    <w:uiPriority w:val="99"/>
    <w:semiHidden/>
    <w:unhideWhenUsed/>
    <w:rsid w:val="00B64366"/>
    <w:rPr>
      <w:color w:val="800080" w:themeColor="followedHyperlink"/>
      <w:u w:val="single"/>
    </w:rPr>
  </w:style>
  <w:style w:type="paragraph" w:styleId="a6">
    <w:name w:val="TOC Heading"/>
    <w:basedOn w:val="1"/>
    <w:next w:val="a"/>
    <w:uiPriority w:val="39"/>
    <w:semiHidden/>
    <w:unhideWhenUsed/>
    <w:qFormat/>
    <w:rsid w:val="00EE270C"/>
    <w:pPr>
      <w:bidi/>
      <w:outlineLvl w:val="9"/>
    </w:pPr>
    <w:rPr>
      <w:rtl/>
      <w:cs/>
      <w:lang w:eastAsia="en-GB"/>
    </w:rPr>
  </w:style>
  <w:style w:type="paragraph" w:styleId="TOC1">
    <w:name w:val="toc 1"/>
    <w:basedOn w:val="a"/>
    <w:next w:val="a"/>
    <w:autoRedefine/>
    <w:uiPriority w:val="39"/>
    <w:unhideWhenUsed/>
    <w:rsid w:val="00EE270C"/>
    <w:pPr>
      <w:spacing w:after="100"/>
    </w:pPr>
  </w:style>
  <w:style w:type="paragraph" w:styleId="TOC2">
    <w:name w:val="toc 2"/>
    <w:basedOn w:val="a"/>
    <w:next w:val="a"/>
    <w:autoRedefine/>
    <w:uiPriority w:val="39"/>
    <w:unhideWhenUsed/>
    <w:rsid w:val="00EE270C"/>
    <w:pPr>
      <w:spacing w:after="100"/>
      <w:ind w:left="220"/>
    </w:pPr>
  </w:style>
  <w:style w:type="character" w:customStyle="1" w:styleId="20">
    <w:name w:val="כותרת 2 תו"/>
    <w:basedOn w:val="a0"/>
    <w:link w:val="2"/>
    <w:uiPriority w:val="9"/>
    <w:rsid w:val="0054333A"/>
    <w:rPr>
      <w:rFonts w:asciiTheme="majorHAnsi" w:eastAsiaTheme="majorEastAsia" w:hAnsiTheme="majorHAnsi" w:cstheme="majorBidi"/>
      <w:b/>
      <w:bCs/>
      <w:color w:val="4F81BD" w:themeColor="accent1"/>
      <w:sz w:val="26"/>
      <w:szCs w:val="26"/>
    </w:rPr>
  </w:style>
  <w:style w:type="paragraph" w:styleId="a7">
    <w:name w:val="Balloon Text"/>
    <w:basedOn w:val="a"/>
    <w:link w:val="a8"/>
    <w:uiPriority w:val="99"/>
    <w:semiHidden/>
    <w:unhideWhenUsed/>
    <w:rsid w:val="008231D2"/>
    <w:pPr>
      <w:spacing w:after="0" w:line="240" w:lineRule="auto"/>
    </w:pPr>
    <w:rPr>
      <w:rFonts w:ascii="Tahoma" w:hAnsi="Tahoma" w:cs="Tahoma"/>
      <w:sz w:val="16"/>
      <w:szCs w:val="16"/>
    </w:rPr>
  </w:style>
  <w:style w:type="character" w:customStyle="1" w:styleId="a8">
    <w:name w:val="טקסט בלונים תו"/>
    <w:basedOn w:val="a0"/>
    <w:link w:val="a7"/>
    <w:uiPriority w:val="99"/>
    <w:semiHidden/>
    <w:rsid w:val="008231D2"/>
    <w:rPr>
      <w:rFonts w:ascii="Tahoma" w:hAnsi="Tahoma" w:cs="Tahoma"/>
      <w:sz w:val="16"/>
      <w:szCs w:val="16"/>
    </w:rPr>
  </w:style>
  <w:style w:type="paragraph" w:styleId="a9">
    <w:name w:val="header"/>
    <w:basedOn w:val="a"/>
    <w:link w:val="aa"/>
    <w:uiPriority w:val="99"/>
    <w:unhideWhenUsed/>
    <w:rsid w:val="005F6292"/>
    <w:pPr>
      <w:tabs>
        <w:tab w:val="center" w:pos="4153"/>
        <w:tab w:val="right" w:pos="8306"/>
      </w:tabs>
      <w:spacing w:after="0" w:line="240" w:lineRule="auto"/>
    </w:pPr>
  </w:style>
  <w:style w:type="character" w:customStyle="1" w:styleId="aa">
    <w:name w:val="כותרת עליונה תו"/>
    <w:basedOn w:val="a0"/>
    <w:link w:val="a9"/>
    <w:uiPriority w:val="99"/>
    <w:rsid w:val="005F6292"/>
  </w:style>
  <w:style w:type="paragraph" w:styleId="ab">
    <w:name w:val="footer"/>
    <w:basedOn w:val="a"/>
    <w:link w:val="ac"/>
    <w:uiPriority w:val="99"/>
    <w:unhideWhenUsed/>
    <w:rsid w:val="005F6292"/>
    <w:pPr>
      <w:tabs>
        <w:tab w:val="center" w:pos="4153"/>
        <w:tab w:val="right" w:pos="8306"/>
      </w:tabs>
      <w:spacing w:after="0" w:line="240" w:lineRule="auto"/>
    </w:pPr>
  </w:style>
  <w:style w:type="character" w:customStyle="1" w:styleId="ac">
    <w:name w:val="כותרת תחתונה תו"/>
    <w:basedOn w:val="a0"/>
    <w:link w:val="ab"/>
    <w:uiPriority w:val="99"/>
    <w:rsid w:val="005F6292"/>
  </w:style>
  <w:style w:type="character" w:styleId="ad">
    <w:name w:val="annotation reference"/>
    <w:basedOn w:val="a0"/>
    <w:uiPriority w:val="99"/>
    <w:semiHidden/>
    <w:unhideWhenUsed/>
    <w:rsid w:val="00885C15"/>
    <w:rPr>
      <w:sz w:val="16"/>
      <w:szCs w:val="16"/>
    </w:rPr>
  </w:style>
  <w:style w:type="paragraph" w:styleId="ae">
    <w:name w:val="annotation text"/>
    <w:basedOn w:val="a"/>
    <w:link w:val="af"/>
    <w:uiPriority w:val="99"/>
    <w:semiHidden/>
    <w:unhideWhenUsed/>
    <w:rsid w:val="00885C15"/>
    <w:pPr>
      <w:spacing w:line="240" w:lineRule="auto"/>
    </w:pPr>
    <w:rPr>
      <w:sz w:val="20"/>
      <w:szCs w:val="20"/>
    </w:rPr>
  </w:style>
  <w:style w:type="character" w:customStyle="1" w:styleId="af">
    <w:name w:val="טקסט הערה תו"/>
    <w:basedOn w:val="a0"/>
    <w:link w:val="ae"/>
    <w:uiPriority w:val="99"/>
    <w:semiHidden/>
    <w:rsid w:val="00885C15"/>
    <w:rPr>
      <w:sz w:val="20"/>
      <w:szCs w:val="20"/>
    </w:rPr>
  </w:style>
  <w:style w:type="paragraph" w:styleId="af0">
    <w:name w:val="annotation subject"/>
    <w:basedOn w:val="ae"/>
    <w:next w:val="ae"/>
    <w:link w:val="af1"/>
    <w:uiPriority w:val="99"/>
    <w:semiHidden/>
    <w:unhideWhenUsed/>
    <w:rsid w:val="00885C15"/>
    <w:rPr>
      <w:b/>
      <w:bCs/>
    </w:rPr>
  </w:style>
  <w:style w:type="character" w:customStyle="1" w:styleId="af1">
    <w:name w:val="נושא הערה תו"/>
    <w:basedOn w:val="af"/>
    <w:link w:val="af0"/>
    <w:uiPriority w:val="99"/>
    <w:semiHidden/>
    <w:rsid w:val="00885C15"/>
    <w:rPr>
      <w:b/>
      <w:bCs/>
      <w:sz w:val="20"/>
      <w:szCs w:val="20"/>
    </w:rPr>
  </w:style>
  <w:style w:type="paragraph" w:styleId="af2">
    <w:name w:val="Revision"/>
    <w:hidden/>
    <w:uiPriority w:val="99"/>
    <w:semiHidden/>
    <w:rsid w:val="00885C1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3064249">
      <w:bodyDiv w:val="1"/>
      <w:marLeft w:val="0"/>
      <w:marRight w:val="0"/>
      <w:marTop w:val="0"/>
      <w:marBottom w:val="0"/>
      <w:divBdr>
        <w:top w:val="none" w:sz="0" w:space="0" w:color="auto"/>
        <w:left w:val="none" w:sz="0" w:space="0" w:color="auto"/>
        <w:bottom w:val="none" w:sz="0" w:space="0" w:color="auto"/>
        <w:right w:val="none" w:sz="0" w:space="0" w:color="auto"/>
      </w:divBdr>
    </w:div>
    <w:div w:id="1752241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supreme.justia.com/cases/federal/us/521/507/" TargetMode="External"/><Relationship Id="rId1" Type="http://schemas.openxmlformats.org/officeDocument/2006/relationships/hyperlink" Target="https://en.wikipedia.org/wiki/United_States_Reports"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9A0E77-4B29-468F-A932-DFB0052C3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1</Pages>
  <Words>11460</Words>
  <Characters>65326</Characters>
  <Application>Microsoft Office Word</Application>
  <DocSecurity>0</DocSecurity>
  <Lines>544</Lines>
  <Paragraphs>153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76633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Yossi</dc:creator>
  <cp:lastModifiedBy>Yossi</cp:lastModifiedBy>
  <cp:revision>16</cp:revision>
  <cp:lastPrinted>2016-02-17T09:38:00Z</cp:lastPrinted>
  <dcterms:created xsi:type="dcterms:W3CDTF">2015-09-10T11:59:00Z</dcterms:created>
  <dcterms:modified xsi:type="dcterms:W3CDTF">2016-02-17T09:38:00Z</dcterms:modified>
</cp:coreProperties>
</file>