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4B0E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290E2CAF" w14:textId="77777777" w:rsidR="00745D77" w:rsidRDefault="00745D77" w:rsidP="00745D77">
      <w:pPr>
        <w:rPr>
          <w:rFonts w:ascii="Century Gothic" w:hAnsi="Century Gothic"/>
          <w:sz w:val="21"/>
          <w:highlight w:val="yellow"/>
        </w:rPr>
      </w:pPr>
    </w:p>
    <w:p w14:paraId="1FD4EBD3" w14:textId="691D57EA" w:rsidR="00745D77" w:rsidRPr="009573D4" w:rsidRDefault="009573D4" w:rsidP="00745D77">
      <w:pPr>
        <w:ind w:left="630" w:right="896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  <w:szCs w:val="18"/>
        </w:rPr>
        <w:t>Supplementary Table 1</w:t>
      </w:r>
      <w:r w:rsidR="00745D77" w:rsidRPr="009573D4">
        <w:rPr>
          <w:rFonts w:ascii="Century Gothic" w:hAnsi="Century Gothic"/>
          <w:b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>Temporal changes in factors independently associated with femoral artery access for PCI-ROTA 2007-2014.</w:t>
      </w:r>
    </w:p>
    <w:tbl>
      <w:tblPr>
        <w:tblpPr w:leftFromText="180" w:rightFromText="180" w:vertAnchor="text" w:horzAnchor="page" w:tblpX="1700" w:tblpY="55"/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14"/>
        <w:gridCol w:w="799"/>
        <w:gridCol w:w="799"/>
        <w:gridCol w:w="799"/>
        <w:gridCol w:w="799"/>
        <w:gridCol w:w="714"/>
        <w:gridCol w:w="799"/>
        <w:gridCol w:w="884"/>
        <w:gridCol w:w="934"/>
      </w:tblGrid>
      <w:tr w:rsidR="006B770B" w:rsidRPr="009573D4" w14:paraId="5B3AED94" w14:textId="19321B9B" w:rsidTr="006B770B">
        <w:trPr>
          <w:trHeight w:val="548"/>
        </w:trPr>
        <w:tc>
          <w:tcPr>
            <w:tcW w:w="1842" w:type="dxa"/>
            <w:shd w:val="clear" w:color="auto" w:fill="auto"/>
            <w:vAlign w:val="center"/>
          </w:tcPr>
          <w:p w14:paraId="4667C49C" w14:textId="77777777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hAnsi="Century Gothic"/>
                <w:b/>
                <w:sz w:val="18"/>
                <w:szCs w:val="22"/>
              </w:rPr>
              <w:t>Variable</w:t>
            </w:r>
          </w:p>
        </w:tc>
        <w:tc>
          <w:tcPr>
            <w:tcW w:w="714" w:type="dxa"/>
            <w:vAlign w:val="center"/>
          </w:tcPr>
          <w:p w14:paraId="15EE6F0A" w14:textId="131C104E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2007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726885A" w14:textId="36AA3F5A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2008</w:t>
            </w:r>
          </w:p>
        </w:tc>
        <w:tc>
          <w:tcPr>
            <w:tcW w:w="799" w:type="dxa"/>
            <w:vAlign w:val="center"/>
          </w:tcPr>
          <w:p w14:paraId="6D03EE98" w14:textId="3C4D3052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2009</w:t>
            </w:r>
          </w:p>
        </w:tc>
        <w:tc>
          <w:tcPr>
            <w:tcW w:w="799" w:type="dxa"/>
            <w:vAlign w:val="center"/>
          </w:tcPr>
          <w:p w14:paraId="4AE53840" w14:textId="78437E58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2010</w:t>
            </w:r>
          </w:p>
        </w:tc>
        <w:tc>
          <w:tcPr>
            <w:tcW w:w="799" w:type="dxa"/>
            <w:vAlign w:val="center"/>
          </w:tcPr>
          <w:p w14:paraId="18FF259F" w14:textId="5052FDE3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2011</w:t>
            </w:r>
          </w:p>
        </w:tc>
        <w:tc>
          <w:tcPr>
            <w:tcW w:w="714" w:type="dxa"/>
            <w:vAlign w:val="center"/>
          </w:tcPr>
          <w:p w14:paraId="21FC859D" w14:textId="1AE2DA7D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2012</w:t>
            </w:r>
          </w:p>
        </w:tc>
        <w:tc>
          <w:tcPr>
            <w:tcW w:w="799" w:type="dxa"/>
            <w:vAlign w:val="center"/>
          </w:tcPr>
          <w:p w14:paraId="0F52F6E4" w14:textId="0BE4ABE7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2013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C49EDF7" w14:textId="5EA38320" w:rsidR="006B770B" w:rsidRPr="009573D4" w:rsidRDefault="006B770B" w:rsidP="006B770B">
            <w:pPr>
              <w:spacing w:line="480" w:lineRule="auto"/>
              <w:jc w:val="center"/>
              <w:rPr>
                <w:rFonts w:ascii="Century Gothic" w:hAnsi="Century Gothic"/>
                <w:b/>
                <w:sz w:val="18"/>
                <w:szCs w:val="22"/>
              </w:rPr>
            </w:pPr>
            <w:r w:rsidRPr="009573D4"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2014</w:t>
            </w:r>
          </w:p>
        </w:tc>
        <w:tc>
          <w:tcPr>
            <w:tcW w:w="934" w:type="dxa"/>
            <w:vAlign w:val="center"/>
          </w:tcPr>
          <w:p w14:paraId="3259CC5F" w14:textId="79DA1295" w:rsidR="006B770B" w:rsidRPr="009573D4" w:rsidRDefault="006B770B" w:rsidP="006B770B">
            <w:pPr>
              <w:spacing w:line="48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28"/>
              </w:rPr>
              <w:t>p-value</w:t>
            </w:r>
          </w:p>
        </w:tc>
      </w:tr>
      <w:tr w:rsidR="006B770B" w:rsidRPr="009573D4" w14:paraId="47987F49" w14:textId="3A0221CB" w:rsidTr="006B770B">
        <w:tc>
          <w:tcPr>
            <w:tcW w:w="1842" w:type="dxa"/>
            <w:shd w:val="clear" w:color="auto" w:fill="auto"/>
            <w:vAlign w:val="bottom"/>
          </w:tcPr>
          <w:p w14:paraId="7EB9203A" w14:textId="08235D8A" w:rsidR="006B770B" w:rsidRPr="009573D4" w:rsidRDefault="006B770B" w:rsidP="00570FD0">
            <w:pPr>
              <w:spacing w:line="480" w:lineRule="auto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&gt;80 years of age</w:t>
            </w:r>
          </w:p>
        </w:tc>
        <w:tc>
          <w:tcPr>
            <w:tcW w:w="714" w:type="dxa"/>
            <w:vAlign w:val="bottom"/>
          </w:tcPr>
          <w:p w14:paraId="1F164CA1" w14:textId="41EA4408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18.4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35868432" w14:textId="5340C5D7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17.2</w:t>
            </w:r>
          </w:p>
        </w:tc>
        <w:tc>
          <w:tcPr>
            <w:tcW w:w="799" w:type="dxa"/>
            <w:vAlign w:val="bottom"/>
          </w:tcPr>
          <w:p w14:paraId="18C9B7F6" w14:textId="76F2A843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24.9</w:t>
            </w:r>
          </w:p>
        </w:tc>
        <w:tc>
          <w:tcPr>
            <w:tcW w:w="799" w:type="dxa"/>
            <w:vAlign w:val="bottom"/>
          </w:tcPr>
          <w:p w14:paraId="0DA30481" w14:textId="562E0667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22.9</w:t>
            </w:r>
          </w:p>
        </w:tc>
        <w:tc>
          <w:tcPr>
            <w:tcW w:w="799" w:type="dxa"/>
            <w:vAlign w:val="bottom"/>
          </w:tcPr>
          <w:p w14:paraId="44CE0BBD" w14:textId="3EB88532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28.5</w:t>
            </w:r>
          </w:p>
        </w:tc>
        <w:tc>
          <w:tcPr>
            <w:tcW w:w="714" w:type="dxa"/>
            <w:vAlign w:val="bottom"/>
          </w:tcPr>
          <w:p w14:paraId="344EC4BD" w14:textId="47DA9898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26.5</w:t>
            </w:r>
          </w:p>
        </w:tc>
        <w:tc>
          <w:tcPr>
            <w:tcW w:w="799" w:type="dxa"/>
            <w:vAlign w:val="bottom"/>
          </w:tcPr>
          <w:p w14:paraId="2FA51938" w14:textId="281CD95C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28.2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48A457D" w14:textId="75CB659A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30.5</w:t>
            </w:r>
          </w:p>
        </w:tc>
        <w:tc>
          <w:tcPr>
            <w:tcW w:w="934" w:type="dxa"/>
          </w:tcPr>
          <w:p w14:paraId="7ED734F2" w14:textId="0748F429" w:rsidR="006B770B" w:rsidRPr="009573D4" w:rsidRDefault="006B770B" w:rsidP="00570FD0">
            <w:pPr>
              <w:spacing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&lt;0.001</w:t>
            </w:r>
          </w:p>
        </w:tc>
      </w:tr>
      <w:tr w:rsidR="006B770B" w:rsidRPr="009573D4" w14:paraId="6F8CF6E7" w14:textId="21171DB4" w:rsidTr="006B770B">
        <w:trPr>
          <w:trHeight w:val="471"/>
        </w:trPr>
        <w:tc>
          <w:tcPr>
            <w:tcW w:w="1842" w:type="dxa"/>
            <w:shd w:val="clear" w:color="auto" w:fill="auto"/>
            <w:vAlign w:val="bottom"/>
          </w:tcPr>
          <w:p w14:paraId="4057FA2C" w14:textId="024A9D45" w:rsidR="006B770B" w:rsidRPr="009573D4" w:rsidRDefault="006B770B" w:rsidP="00570FD0">
            <w:pPr>
              <w:spacing w:line="480" w:lineRule="auto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Previous CABG</w:t>
            </w:r>
          </w:p>
        </w:tc>
        <w:tc>
          <w:tcPr>
            <w:tcW w:w="714" w:type="dxa"/>
            <w:vAlign w:val="bottom"/>
          </w:tcPr>
          <w:p w14:paraId="0A253DFC" w14:textId="1705B437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16.5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51C79169" w14:textId="50DF71C7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14.9</w:t>
            </w:r>
          </w:p>
        </w:tc>
        <w:tc>
          <w:tcPr>
            <w:tcW w:w="799" w:type="dxa"/>
            <w:vAlign w:val="bottom"/>
          </w:tcPr>
          <w:p w14:paraId="41CAC82F" w14:textId="271CCA4B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16.0</w:t>
            </w:r>
          </w:p>
        </w:tc>
        <w:tc>
          <w:tcPr>
            <w:tcW w:w="799" w:type="dxa"/>
            <w:vAlign w:val="bottom"/>
          </w:tcPr>
          <w:p w14:paraId="1B6E82F3" w14:textId="16896169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14.9</w:t>
            </w:r>
          </w:p>
        </w:tc>
        <w:tc>
          <w:tcPr>
            <w:tcW w:w="799" w:type="dxa"/>
            <w:vAlign w:val="bottom"/>
          </w:tcPr>
          <w:p w14:paraId="0904470E" w14:textId="2F6ABB88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14.9</w:t>
            </w:r>
          </w:p>
        </w:tc>
        <w:tc>
          <w:tcPr>
            <w:tcW w:w="714" w:type="dxa"/>
            <w:vAlign w:val="bottom"/>
          </w:tcPr>
          <w:p w14:paraId="0B315447" w14:textId="2CA927B3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15.8</w:t>
            </w:r>
          </w:p>
        </w:tc>
        <w:tc>
          <w:tcPr>
            <w:tcW w:w="799" w:type="dxa"/>
            <w:vAlign w:val="bottom"/>
          </w:tcPr>
          <w:p w14:paraId="0426A3B4" w14:textId="7064C8F4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15.3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0225111" w14:textId="7BFF885C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14</w:t>
            </w:r>
            <w:r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.0</w:t>
            </w:r>
          </w:p>
        </w:tc>
        <w:tc>
          <w:tcPr>
            <w:tcW w:w="934" w:type="dxa"/>
          </w:tcPr>
          <w:p w14:paraId="0EDB4A8D" w14:textId="151F27BD" w:rsidR="006B770B" w:rsidRPr="009573D4" w:rsidRDefault="006B770B" w:rsidP="00570FD0">
            <w:pPr>
              <w:spacing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0.145</w:t>
            </w:r>
          </w:p>
        </w:tc>
      </w:tr>
      <w:tr w:rsidR="006B770B" w:rsidRPr="009573D4" w14:paraId="064F6ED6" w14:textId="0DC7B3A1" w:rsidTr="006B770B">
        <w:tc>
          <w:tcPr>
            <w:tcW w:w="1842" w:type="dxa"/>
            <w:shd w:val="clear" w:color="auto" w:fill="auto"/>
            <w:vAlign w:val="bottom"/>
          </w:tcPr>
          <w:p w14:paraId="0DE8F455" w14:textId="60754FF5" w:rsidR="006B770B" w:rsidRPr="009573D4" w:rsidRDefault="006B770B" w:rsidP="00570FD0">
            <w:pPr>
              <w:spacing w:line="480" w:lineRule="auto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CTO attempted</w:t>
            </w:r>
          </w:p>
        </w:tc>
        <w:tc>
          <w:tcPr>
            <w:tcW w:w="714" w:type="dxa"/>
            <w:vAlign w:val="bottom"/>
          </w:tcPr>
          <w:p w14:paraId="3CF21075" w14:textId="3446A003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7.5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2D6E3F75" w14:textId="14756A76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8.3</w:t>
            </w:r>
          </w:p>
        </w:tc>
        <w:tc>
          <w:tcPr>
            <w:tcW w:w="799" w:type="dxa"/>
            <w:vAlign w:val="bottom"/>
          </w:tcPr>
          <w:p w14:paraId="67AAEF24" w14:textId="7781DC66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8.2</w:t>
            </w:r>
          </w:p>
        </w:tc>
        <w:tc>
          <w:tcPr>
            <w:tcW w:w="799" w:type="dxa"/>
            <w:vAlign w:val="bottom"/>
          </w:tcPr>
          <w:p w14:paraId="23A52134" w14:textId="4BF12359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11.4</w:t>
            </w:r>
          </w:p>
        </w:tc>
        <w:tc>
          <w:tcPr>
            <w:tcW w:w="799" w:type="dxa"/>
            <w:vAlign w:val="bottom"/>
          </w:tcPr>
          <w:p w14:paraId="4305DF39" w14:textId="7CE5F58E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9.4</w:t>
            </w:r>
          </w:p>
        </w:tc>
        <w:tc>
          <w:tcPr>
            <w:tcW w:w="714" w:type="dxa"/>
            <w:vAlign w:val="bottom"/>
          </w:tcPr>
          <w:p w14:paraId="4AD5F0C1" w14:textId="1D0A3BD4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7.8</w:t>
            </w:r>
          </w:p>
        </w:tc>
        <w:tc>
          <w:tcPr>
            <w:tcW w:w="799" w:type="dxa"/>
            <w:vAlign w:val="bottom"/>
          </w:tcPr>
          <w:p w14:paraId="53517243" w14:textId="2CA5F594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7.7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79853501" w14:textId="75CB0621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8.2</w:t>
            </w:r>
          </w:p>
        </w:tc>
        <w:tc>
          <w:tcPr>
            <w:tcW w:w="934" w:type="dxa"/>
          </w:tcPr>
          <w:p w14:paraId="4142E800" w14:textId="405B42DA" w:rsidR="006B770B" w:rsidRPr="009573D4" w:rsidRDefault="006B770B" w:rsidP="00570FD0">
            <w:pPr>
              <w:spacing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0.005</w:t>
            </w:r>
          </w:p>
        </w:tc>
      </w:tr>
      <w:tr w:rsidR="006B770B" w:rsidRPr="009573D4" w14:paraId="293AAC2B" w14:textId="3ECB30E6" w:rsidTr="006B770B">
        <w:tc>
          <w:tcPr>
            <w:tcW w:w="1842" w:type="dxa"/>
            <w:shd w:val="clear" w:color="auto" w:fill="auto"/>
            <w:vAlign w:val="bottom"/>
          </w:tcPr>
          <w:p w14:paraId="305BCACE" w14:textId="22C50B0F" w:rsidR="006B770B" w:rsidRPr="009573D4" w:rsidRDefault="006B770B" w:rsidP="00570FD0">
            <w:pPr>
              <w:spacing w:line="480" w:lineRule="auto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Gender</w:t>
            </w:r>
          </w:p>
        </w:tc>
        <w:tc>
          <w:tcPr>
            <w:tcW w:w="714" w:type="dxa"/>
            <w:vAlign w:val="bottom"/>
          </w:tcPr>
          <w:p w14:paraId="4C800A1E" w14:textId="08B71840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29.1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6710ED19" w14:textId="732A1741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27.2</w:t>
            </w:r>
          </w:p>
        </w:tc>
        <w:tc>
          <w:tcPr>
            <w:tcW w:w="799" w:type="dxa"/>
            <w:vAlign w:val="bottom"/>
          </w:tcPr>
          <w:p w14:paraId="061B7F16" w14:textId="30CB07CF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30.3</w:t>
            </w:r>
          </w:p>
        </w:tc>
        <w:tc>
          <w:tcPr>
            <w:tcW w:w="799" w:type="dxa"/>
            <w:vAlign w:val="bottom"/>
          </w:tcPr>
          <w:p w14:paraId="67E7168D" w14:textId="77F758F4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28</w:t>
            </w:r>
          </w:p>
        </w:tc>
        <w:tc>
          <w:tcPr>
            <w:tcW w:w="799" w:type="dxa"/>
            <w:vAlign w:val="bottom"/>
          </w:tcPr>
          <w:p w14:paraId="70FA5C28" w14:textId="671C70CA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28.8</w:t>
            </w:r>
          </w:p>
        </w:tc>
        <w:tc>
          <w:tcPr>
            <w:tcW w:w="714" w:type="dxa"/>
            <w:vAlign w:val="bottom"/>
          </w:tcPr>
          <w:p w14:paraId="71D956E5" w14:textId="491FE1CE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29.4</w:t>
            </w:r>
          </w:p>
        </w:tc>
        <w:tc>
          <w:tcPr>
            <w:tcW w:w="799" w:type="dxa"/>
            <w:vAlign w:val="bottom"/>
          </w:tcPr>
          <w:p w14:paraId="4FAE6E54" w14:textId="67266F4E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28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0F64CDDF" w14:textId="4888EA83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27.9</w:t>
            </w:r>
          </w:p>
        </w:tc>
        <w:tc>
          <w:tcPr>
            <w:tcW w:w="934" w:type="dxa"/>
          </w:tcPr>
          <w:p w14:paraId="141FCCC9" w14:textId="75EC0EC5" w:rsidR="006B770B" w:rsidRPr="009573D4" w:rsidRDefault="006B770B" w:rsidP="00570FD0">
            <w:pPr>
              <w:spacing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0.473</w:t>
            </w:r>
          </w:p>
        </w:tc>
      </w:tr>
      <w:tr w:rsidR="006B770B" w:rsidRPr="009573D4" w14:paraId="521021E7" w14:textId="22FFFDB5" w:rsidTr="006B770B">
        <w:tc>
          <w:tcPr>
            <w:tcW w:w="1842" w:type="dxa"/>
            <w:shd w:val="clear" w:color="auto" w:fill="auto"/>
            <w:vAlign w:val="bottom"/>
          </w:tcPr>
          <w:p w14:paraId="4AEBC463" w14:textId="4FC82D61" w:rsidR="006B770B" w:rsidRPr="009573D4" w:rsidRDefault="006B770B" w:rsidP="00570FD0">
            <w:pPr>
              <w:spacing w:line="480" w:lineRule="auto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Left main PCI</w:t>
            </w:r>
          </w:p>
        </w:tc>
        <w:tc>
          <w:tcPr>
            <w:tcW w:w="714" w:type="dxa"/>
            <w:vAlign w:val="bottom"/>
          </w:tcPr>
          <w:p w14:paraId="51D9F0D7" w14:textId="47998200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15.7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30F95102" w14:textId="671D0EBE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12.5</w:t>
            </w:r>
          </w:p>
        </w:tc>
        <w:tc>
          <w:tcPr>
            <w:tcW w:w="799" w:type="dxa"/>
            <w:vAlign w:val="bottom"/>
          </w:tcPr>
          <w:p w14:paraId="208D707B" w14:textId="60CB7992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14.8</w:t>
            </w:r>
          </w:p>
        </w:tc>
        <w:tc>
          <w:tcPr>
            <w:tcW w:w="799" w:type="dxa"/>
            <w:vAlign w:val="bottom"/>
          </w:tcPr>
          <w:p w14:paraId="6D20D7B4" w14:textId="7903BB1D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13.7</w:t>
            </w:r>
          </w:p>
        </w:tc>
        <w:tc>
          <w:tcPr>
            <w:tcW w:w="799" w:type="dxa"/>
            <w:vAlign w:val="bottom"/>
          </w:tcPr>
          <w:p w14:paraId="260DE11C" w14:textId="1F2E4903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15.6</w:t>
            </w:r>
          </w:p>
        </w:tc>
        <w:tc>
          <w:tcPr>
            <w:tcW w:w="714" w:type="dxa"/>
            <w:vAlign w:val="bottom"/>
          </w:tcPr>
          <w:p w14:paraId="0197BCE9" w14:textId="4DB3CD22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16.9</w:t>
            </w:r>
          </w:p>
        </w:tc>
        <w:tc>
          <w:tcPr>
            <w:tcW w:w="799" w:type="dxa"/>
            <w:vAlign w:val="bottom"/>
          </w:tcPr>
          <w:p w14:paraId="7D81A50B" w14:textId="05D1716A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17.6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67A57897" w14:textId="4EF89DBD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18.5</w:t>
            </w:r>
          </w:p>
        </w:tc>
        <w:tc>
          <w:tcPr>
            <w:tcW w:w="934" w:type="dxa"/>
          </w:tcPr>
          <w:p w14:paraId="51B4D58E" w14:textId="69C6F5AD" w:rsidR="006B770B" w:rsidRPr="009573D4" w:rsidRDefault="006B770B" w:rsidP="00570FD0">
            <w:pPr>
              <w:spacing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&lt;0.001</w:t>
            </w:r>
          </w:p>
        </w:tc>
      </w:tr>
      <w:tr w:rsidR="006B770B" w:rsidRPr="009573D4" w14:paraId="740B1543" w14:textId="21718965" w:rsidTr="006B770B">
        <w:tc>
          <w:tcPr>
            <w:tcW w:w="1842" w:type="dxa"/>
            <w:shd w:val="clear" w:color="auto" w:fill="auto"/>
            <w:vAlign w:val="bottom"/>
          </w:tcPr>
          <w:p w14:paraId="4FF18E15" w14:textId="599A1BA5" w:rsidR="006B770B" w:rsidRPr="009573D4" w:rsidRDefault="006B770B" w:rsidP="00570FD0">
            <w:pPr>
              <w:spacing w:line="480" w:lineRule="auto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IVUS use</w:t>
            </w:r>
          </w:p>
        </w:tc>
        <w:tc>
          <w:tcPr>
            <w:tcW w:w="714" w:type="dxa"/>
            <w:vAlign w:val="bottom"/>
          </w:tcPr>
          <w:p w14:paraId="00E49C71" w14:textId="32C83846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9.9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5D52423D" w14:textId="46239C63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13.0</w:t>
            </w:r>
          </w:p>
        </w:tc>
        <w:tc>
          <w:tcPr>
            <w:tcW w:w="799" w:type="dxa"/>
            <w:vAlign w:val="bottom"/>
          </w:tcPr>
          <w:p w14:paraId="39B36FFA" w14:textId="5F335C54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18.2</w:t>
            </w:r>
          </w:p>
        </w:tc>
        <w:tc>
          <w:tcPr>
            <w:tcW w:w="799" w:type="dxa"/>
            <w:vAlign w:val="bottom"/>
          </w:tcPr>
          <w:p w14:paraId="33DB8D68" w14:textId="5069DE9A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17.7</w:t>
            </w:r>
          </w:p>
        </w:tc>
        <w:tc>
          <w:tcPr>
            <w:tcW w:w="799" w:type="dxa"/>
            <w:vAlign w:val="bottom"/>
          </w:tcPr>
          <w:p w14:paraId="76590BDC" w14:textId="088D9CDB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18</w:t>
            </w:r>
          </w:p>
        </w:tc>
        <w:tc>
          <w:tcPr>
            <w:tcW w:w="714" w:type="dxa"/>
            <w:vAlign w:val="bottom"/>
          </w:tcPr>
          <w:p w14:paraId="16C358CF" w14:textId="3BC7280B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17.5</w:t>
            </w:r>
          </w:p>
        </w:tc>
        <w:tc>
          <w:tcPr>
            <w:tcW w:w="799" w:type="dxa"/>
            <w:vAlign w:val="bottom"/>
          </w:tcPr>
          <w:p w14:paraId="5128DF25" w14:textId="62580775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15</w:t>
            </w:r>
          </w:p>
        </w:tc>
        <w:tc>
          <w:tcPr>
            <w:tcW w:w="884" w:type="dxa"/>
            <w:shd w:val="clear" w:color="auto" w:fill="auto"/>
            <w:vAlign w:val="bottom"/>
          </w:tcPr>
          <w:p w14:paraId="37C3F7ED" w14:textId="66230F0F" w:rsidR="006B770B" w:rsidRPr="009573D4" w:rsidRDefault="006B770B" w:rsidP="00570FD0">
            <w:pPr>
              <w:spacing w:line="480" w:lineRule="auto"/>
              <w:jc w:val="center"/>
              <w:rPr>
                <w:rFonts w:ascii="Century Gothic" w:hAnsi="Century Gothic"/>
                <w:sz w:val="18"/>
                <w:szCs w:val="20"/>
                <w:highlight w:val="yellow"/>
              </w:rPr>
            </w:pPr>
            <w:r w:rsidRPr="009573D4"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16.4</w:t>
            </w:r>
          </w:p>
        </w:tc>
        <w:tc>
          <w:tcPr>
            <w:tcW w:w="934" w:type="dxa"/>
          </w:tcPr>
          <w:p w14:paraId="1BB0B53F" w14:textId="10CBCFB5" w:rsidR="006B770B" w:rsidRPr="009573D4" w:rsidRDefault="006B770B" w:rsidP="00570FD0">
            <w:pPr>
              <w:spacing w:line="48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20"/>
              </w:rPr>
              <w:t>&lt;0.001</w:t>
            </w:r>
          </w:p>
        </w:tc>
      </w:tr>
    </w:tbl>
    <w:p w14:paraId="683BA732" w14:textId="77777777" w:rsidR="00745D77" w:rsidRPr="000413B5" w:rsidRDefault="00745D77" w:rsidP="00745D77">
      <w:pPr>
        <w:rPr>
          <w:rFonts w:ascii="Century Gothic" w:hAnsi="Century Gothic"/>
          <w:sz w:val="20"/>
          <w:szCs w:val="18"/>
          <w:highlight w:val="yellow"/>
        </w:rPr>
      </w:pPr>
    </w:p>
    <w:p w14:paraId="538A0CBE" w14:textId="77777777" w:rsidR="00745D77" w:rsidRPr="000413B5" w:rsidRDefault="00745D77" w:rsidP="00745D77">
      <w:pPr>
        <w:rPr>
          <w:rFonts w:ascii="Century Gothic" w:hAnsi="Century Gothic"/>
          <w:sz w:val="18"/>
          <w:szCs w:val="16"/>
          <w:highlight w:val="yellow"/>
        </w:rPr>
      </w:pPr>
    </w:p>
    <w:p w14:paraId="7217BE38" w14:textId="77777777" w:rsidR="00745D77" w:rsidRPr="000413B5" w:rsidRDefault="00745D77" w:rsidP="00745D77">
      <w:pPr>
        <w:rPr>
          <w:rFonts w:ascii="Century Gothic" w:hAnsi="Century Gothic"/>
          <w:sz w:val="18"/>
          <w:szCs w:val="16"/>
          <w:highlight w:val="yellow"/>
        </w:rPr>
      </w:pPr>
    </w:p>
    <w:p w14:paraId="13E96B73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7CCBCD0D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3186675B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  <w:bookmarkStart w:id="0" w:name="_GoBack"/>
      <w:bookmarkEnd w:id="0"/>
    </w:p>
    <w:p w14:paraId="0C37DCD0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561EC75E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75D336A3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42E41515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4309A8DC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649FDEC7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643276D8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7F0634A6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2C1ED1FF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356AE9B2" w14:textId="77777777" w:rsidR="00745D77" w:rsidRPr="000413B5" w:rsidRDefault="00745D77" w:rsidP="00745D77">
      <w:pPr>
        <w:rPr>
          <w:rFonts w:ascii="Century Gothic" w:hAnsi="Century Gothic"/>
          <w:sz w:val="18"/>
          <w:szCs w:val="18"/>
          <w:highlight w:val="yellow"/>
        </w:rPr>
      </w:pPr>
    </w:p>
    <w:p w14:paraId="5262B1AB" w14:textId="77777777" w:rsidR="009D0E2C" w:rsidRDefault="006B770B" w:rsidP="005F54BA">
      <w:pPr>
        <w:ind w:right="650"/>
      </w:pPr>
    </w:p>
    <w:sectPr w:rsidR="009D0E2C" w:rsidSect="003E3A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77"/>
    <w:rsid w:val="00066B11"/>
    <w:rsid w:val="00156889"/>
    <w:rsid w:val="00176984"/>
    <w:rsid w:val="001F7075"/>
    <w:rsid w:val="00204EDC"/>
    <w:rsid w:val="002314DC"/>
    <w:rsid w:val="002356F2"/>
    <w:rsid w:val="002A04C4"/>
    <w:rsid w:val="00341937"/>
    <w:rsid w:val="00355179"/>
    <w:rsid w:val="003E3A12"/>
    <w:rsid w:val="005F54BA"/>
    <w:rsid w:val="00605B94"/>
    <w:rsid w:val="0066594F"/>
    <w:rsid w:val="006B770B"/>
    <w:rsid w:val="00727D93"/>
    <w:rsid w:val="00745D77"/>
    <w:rsid w:val="00916F79"/>
    <w:rsid w:val="009573D4"/>
    <w:rsid w:val="00AE38D2"/>
    <w:rsid w:val="00B636AD"/>
    <w:rsid w:val="00B93FD9"/>
    <w:rsid w:val="00C6623E"/>
    <w:rsid w:val="00CA4340"/>
    <w:rsid w:val="00CB5D4C"/>
    <w:rsid w:val="00CF2B93"/>
    <w:rsid w:val="00D96C6D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EC5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5D7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Kinnaird</dc:creator>
  <cp:keywords/>
  <dc:description/>
  <cp:lastModifiedBy>Tim Kinnaird</cp:lastModifiedBy>
  <cp:revision>4</cp:revision>
  <dcterms:created xsi:type="dcterms:W3CDTF">2017-11-13T00:09:00Z</dcterms:created>
  <dcterms:modified xsi:type="dcterms:W3CDTF">2017-11-13T11:24:00Z</dcterms:modified>
</cp:coreProperties>
</file>