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A75C3" w14:textId="77777777" w:rsidR="00570873" w:rsidRPr="00472AB4" w:rsidRDefault="0088696F" w:rsidP="008E0662">
      <w:pPr>
        <w:spacing w:after="0"/>
        <w:outlineLvl w:val="0"/>
        <w:rPr>
          <w:b/>
          <w:sz w:val="24"/>
          <w:szCs w:val="24"/>
        </w:rPr>
      </w:pPr>
      <w:r w:rsidRPr="00472AB4">
        <w:rPr>
          <w:b/>
          <w:sz w:val="24"/>
          <w:szCs w:val="24"/>
        </w:rPr>
        <w:t>Association of different antiplatelet therapies with mortality after primary percutaneous coronary intervention</w:t>
      </w:r>
      <w:r w:rsidR="00760D18" w:rsidRPr="00472AB4">
        <w:rPr>
          <w:b/>
          <w:sz w:val="24"/>
          <w:szCs w:val="24"/>
        </w:rPr>
        <w:t xml:space="preserve"> </w:t>
      </w:r>
    </w:p>
    <w:p w14:paraId="1F959FD7" w14:textId="73FA8FCC" w:rsidR="00FA442E" w:rsidRPr="00472AB4" w:rsidRDefault="00FA442E" w:rsidP="008E0662">
      <w:pPr>
        <w:spacing w:after="0"/>
        <w:outlineLvl w:val="0"/>
        <w:rPr>
          <w:sz w:val="24"/>
          <w:szCs w:val="24"/>
        </w:rPr>
      </w:pPr>
      <w:r w:rsidRPr="00472AB4">
        <w:rPr>
          <w:b/>
          <w:sz w:val="24"/>
          <w:szCs w:val="24"/>
        </w:rPr>
        <w:t>Brief title:</w:t>
      </w:r>
      <w:r w:rsidRPr="00472AB4">
        <w:rPr>
          <w:sz w:val="24"/>
          <w:szCs w:val="24"/>
        </w:rPr>
        <w:t xml:space="preserve"> </w:t>
      </w:r>
      <w:r w:rsidR="00292EF8" w:rsidRPr="00472AB4">
        <w:rPr>
          <w:sz w:val="24"/>
          <w:szCs w:val="24"/>
        </w:rPr>
        <w:t>Prasugrel</w:t>
      </w:r>
      <w:r w:rsidR="00AD2259" w:rsidRPr="00472AB4">
        <w:rPr>
          <w:sz w:val="24"/>
          <w:szCs w:val="24"/>
        </w:rPr>
        <w:t xml:space="preserve">, </w:t>
      </w:r>
      <w:r w:rsidR="005673DA" w:rsidRPr="00472AB4">
        <w:rPr>
          <w:sz w:val="24"/>
          <w:szCs w:val="24"/>
        </w:rPr>
        <w:t>Ticagrelor</w:t>
      </w:r>
      <w:r w:rsidR="00AD2259" w:rsidRPr="00472AB4">
        <w:rPr>
          <w:sz w:val="24"/>
          <w:szCs w:val="24"/>
        </w:rPr>
        <w:t xml:space="preserve"> and </w:t>
      </w:r>
      <w:r w:rsidR="00292EF8" w:rsidRPr="00472AB4">
        <w:rPr>
          <w:sz w:val="24"/>
          <w:szCs w:val="24"/>
        </w:rPr>
        <w:t>Clopidogrel</w:t>
      </w:r>
      <w:r w:rsidR="00AD2259" w:rsidRPr="00472AB4">
        <w:rPr>
          <w:sz w:val="24"/>
          <w:szCs w:val="24"/>
        </w:rPr>
        <w:t xml:space="preserve"> in primary PCI</w:t>
      </w:r>
    </w:p>
    <w:p w14:paraId="4A21B8D9" w14:textId="3FDCD0DE" w:rsidR="006635A0" w:rsidRPr="00472AB4" w:rsidRDefault="006635A0" w:rsidP="006635A0">
      <w:pPr>
        <w:spacing w:after="0"/>
        <w:rPr>
          <w:sz w:val="24"/>
          <w:szCs w:val="24"/>
        </w:rPr>
      </w:pPr>
      <w:r w:rsidRPr="00472AB4">
        <w:rPr>
          <w:sz w:val="24"/>
          <w:szCs w:val="24"/>
        </w:rPr>
        <w:t>Ivan Olier</w:t>
      </w:r>
      <w:r w:rsidR="00C01C0C" w:rsidRPr="00472AB4">
        <w:rPr>
          <w:sz w:val="24"/>
          <w:szCs w:val="24"/>
        </w:rPr>
        <w:t>*</w:t>
      </w:r>
      <w:r w:rsidR="00AE3DB6" w:rsidRPr="00472AB4">
        <w:rPr>
          <w:sz w:val="24"/>
          <w:szCs w:val="24"/>
        </w:rPr>
        <w:t>, PhD</w:t>
      </w:r>
      <w:r w:rsidR="006718E3" w:rsidRPr="00472AB4">
        <w:rPr>
          <w:sz w:val="24"/>
          <w:szCs w:val="24"/>
          <w:vertAlign w:val="superscript"/>
        </w:rPr>
        <w:t>1</w:t>
      </w:r>
      <w:r w:rsidR="002868DA" w:rsidRPr="00472AB4">
        <w:rPr>
          <w:sz w:val="24"/>
          <w:szCs w:val="24"/>
          <w:vertAlign w:val="superscript"/>
        </w:rPr>
        <w:t>,2</w:t>
      </w:r>
      <w:r w:rsidR="00AE3DB6" w:rsidRPr="00472AB4">
        <w:rPr>
          <w:sz w:val="24"/>
          <w:szCs w:val="24"/>
        </w:rPr>
        <w:t>;</w:t>
      </w:r>
      <w:r w:rsidR="00DB5446" w:rsidRPr="00472AB4">
        <w:rPr>
          <w:sz w:val="24"/>
          <w:szCs w:val="24"/>
        </w:rPr>
        <w:t xml:space="preserve"> </w:t>
      </w:r>
      <w:r w:rsidR="004419D3" w:rsidRPr="00472AB4">
        <w:rPr>
          <w:sz w:val="24"/>
          <w:szCs w:val="24"/>
        </w:rPr>
        <w:t>Alex Sirker</w:t>
      </w:r>
      <w:r w:rsidR="00C01C0C" w:rsidRPr="00472AB4">
        <w:rPr>
          <w:sz w:val="24"/>
          <w:szCs w:val="24"/>
        </w:rPr>
        <w:t>*</w:t>
      </w:r>
      <w:r w:rsidR="00D43F9C" w:rsidRPr="00472AB4">
        <w:rPr>
          <w:sz w:val="24"/>
          <w:szCs w:val="24"/>
        </w:rPr>
        <w:t>,</w:t>
      </w:r>
      <w:r w:rsidR="004419D3" w:rsidRPr="00472AB4">
        <w:rPr>
          <w:sz w:val="24"/>
          <w:szCs w:val="24"/>
        </w:rPr>
        <w:t xml:space="preserve"> MA MB BChir PhD</w:t>
      </w:r>
      <w:r w:rsidR="009D7028" w:rsidRPr="00472AB4">
        <w:rPr>
          <w:sz w:val="24"/>
          <w:szCs w:val="24"/>
        </w:rPr>
        <w:t xml:space="preserve"> </w:t>
      </w:r>
      <w:r w:rsidR="00F114DC" w:rsidRPr="00472AB4">
        <w:rPr>
          <w:sz w:val="24"/>
          <w:szCs w:val="24"/>
          <w:vertAlign w:val="superscript"/>
        </w:rPr>
        <w:t>3</w:t>
      </w:r>
      <w:r w:rsidR="004419D3" w:rsidRPr="00472AB4">
        <w:rPr>
          <w:sz w:val="24"/>
          <w:szCs w:val="24"/>
        </w:rPr>
        <w:t xml:space="preserve">; </w:t>
      </w:r>
      <w:r w:rsidR="00EF34C2" w:rsidRPr="00472AB4">
        <w:rPr>
          <w:sz w:val="24"/>
          <w:szCs w:val="24"/>
        </w:rPr>
        <w:t>Dave Hildick-Smith</w:t>
      </w:r>
      <w:r w:rsidR="00D43F9C" w:rsidRPr="00472AB4">
        <w:rPr>
          <w:sz w:val="24"/>
          <w:szCs w:val="24"/>
        </w:rPr>
        <w:t>,</w:t>
      </w:r>
      <w:r w:rsidR="00EF34C2" w:rsidRPr="00472AB4">
        <w:rPr>
          <w:sz w:val="24"/>
          <w:szCs w:val="24"/>
        </w:rPr>
        <w:t xml:space="preserve"> MD</w:t>
      </w:r>
      <w:r w:rsidR="00292EF8" w:rsidRPr="00472AB4">
        <w:rPr>
          <w:sz w:val="24"/>
          <w:szCs w:val="24"/>
          <w:vertAlign w:val="superscript"/>
        </w:rPr>
        <w:t>4</w:t>
      </w:r>
      <w:r w:rsidR="00D43F9C" w:rsidRPr="00472AB4">
        <w:rPr>
          <w:sz w:val="24"/>
          <w:szCs w:val="24"/>
        </w:rPr>
        <w:t>;</w:t>
      </w:r>
      <w:r w:rsidR="00833A57" w:rsidRPr="00472AB4">
        <w:rPr>
          <w:sz w:val="24"/>
          <w:szCs w:val="24"/>
        </w:rPr>
        <w:t>Tim Kinnaird</w:t>
      </w:r>
      <w:r w:rsidR="00D43F9C" w:rsidRPr="00472AB4">
        <w:rPr>
          <w:sz w:val="24"/>
          <w:szCs w:val="24"/>
        </w:rPr>
        <w:t>,</w:t>
      </w:r>
      <w:r w:rsidR="009D7028" w:rsidRPr="00472AB4">
        <w:rPr>
          <w:sz w:val="24"/>
          <w:szCs w:val="24"/>
        </w:rPr>
        <w:t xml:space="preserve"> </w:t>
      </w:r>
      <w:r w:rsidR="009E4080" w:rsidRPr="00472AB4">
        <w:rPr>
          <w:sz w:val="24"/>
          <w:szCs w:val="24"/>
        </w:rPr>
        <w:t>MD</w:t>
      </w:r>
      <w:r w:rsidR="009D7028" w:rsidRPr="00472AB4">
        <w:rPr>
          <w:sz w:val="24"/>
          <w:szCs w:val="24"/>
          <w:vertAlign w:val="superscript"/>
        </w:rPr>
        <w:t>1,</w:t>
      </w:r>
      <w:r w:rsidR="00292EF8" w:rsidRPr="00472AB4">
        <w:rPr>
          <w:sz w:val="24"/>
          <w:szCs w:val="24"/>
          <w:vertAlign w:val="superscript"/>
        </w:rPr>
        <w:t>5</w:t>
      </w:r>
      <w:r w:rsidR="00D43F9C" w:rsidRPr="00472AB4">
        <w:rPr>
          <w:sz w:val="24"/>
          <w:szCs w:val="24"/>
        </w:rPr>
        <w:t>;</w:t>
      </w:r>
      <w:r w:rsidR="00833A57" w:rsidRPr="00472AB4">
        <w:rPr>
          <w:sz w:val="24"/>
          <w:szCs w:val="24"/>
        </w:rPr>
        <w:t xml:space="preserve"> </w:t>
      </w:r>
      <w:r w:rsidR="00427FCE" w:rsidRPr="00472AB4">
        <w:rPr>
          <w:sz w:val="24"/>
          <w:szCs w:val="24"/>
        </w:rPr>
        <w:t>P</w:t>
      </w:r>
      <w:r w:rsidR="009D7028" w:rsidRPr="00472AB4">
        <w:rPr>
          <w:sz w:val="24"/>
          <w:szCs w:val="24"/>
        </w:rPr>
        <w:t>eter Ludman</w:t>
      </w:r>
      <w:r w:rsidR="00D43F9C" w:rsidRPr="00472AB4">
        <w:rPr>
          <w:sz w:val="24"/>
          <w:szCs w:val="24"/>
        </w:rPr>
        <w:t>,</w:t>
      </w:r>
      <w:r w:rsidR="009D7028" w:rsidRPr="00472AB4">
        <w:rPr>
          <w:sz w:val="24"/>
          <w:szCs w:val="24"/>
        </w:rPr>
        <w:t xml:space="preserve"> </w:t>
      </w:r>
      <w:r w:rsidR="009E4080" w:rsidRPr="00472AB4">
        <w:rPr>
          <w:sz w:val="24"/>
          <w:szCs w:val="24"/>
        </w:rPr>
        <w:t xml:space="preserve">MD </w:t>
      </w:r>
      <w:r w:rsidR="00F114DC" w:rsidRPr="00472AB4">
        <w:rPr>
          <w:sz w:val="24"/>
          <w:szCs w:val="24"/>
          <w:vertAlign w:val="superscript"/>
        </w:rPr>
        <w:t>6</w:t>
      </w:r>
      <w:r w:rsidR="00D43F9C" w:rsidRPr="00472AB4">
        <w:rPr>
          <w:sz w:val="24"/>
          <w:szCs w:val="24"/>
        </w:rPr>
        <w:t>;</w:t>
      </w:r>
      <w:r w:rsidR="009D7028" w:rsidRPr="00472AB4">
        <w:rPr>
          <w:sz w:val="24"/>
          <w:szCs w:val="24"/>
        </w:rPr>
        <w:t xml:space="preserve"> Mark A. </w:t>
      </w:r>
      <w:r w:rsidR="009E4080" w:rsidRPr="00472AB4">
        <w:rPr>
          <w:sz w:val="24"/>
          <w:szCs w:val="24"/>
        </w:rPr>
        <w:t xml:space="preserve">de </w:t>
      </w:r>
      <w:r w:rsidR="009D7028" w:rsidRPr="00472AB4">
        <w:rPr>
          <w:sz w:val="24"/>
          <w:szCs w:val="24"/>
        </w:rPr>
        <w:t>Belder</w:t>
      </w:r>
      <w:r w:rsidR="009E4080" w:rsidRPr="00472AB4">
        <w:rPr>
          <w:sz w:val="24"/>
          <w:szCs w:val="24"/>
        </w:rPr>
        <w:t xml:space="preserve">, MD </w:t>
      </w:r>
      <w:r w:rsidR="00F114DC" w:rsidRPr="00472AB4">
        <w:rPr>
          <w:sz w:val="24"/>
          <w:szCs w:val="24"/>
          <w:vertAlign w:val="superscript"/>
        </w:rPr>
        <w:t>7</w:t>
      </w:r>
      <w:r w:rsidR="00D43F9C" w:rsidRPr="00472AB4">
        <w:rPr>
          <w:sz w:val="24"/>
          <w:szCs w:val="24"/>
        </w:rPr>
        <w:t>;</w:t>
      </w:r>
      <w:r w:rsidR="00DB5446" w:rsidRPr="00472AB4">
        <w:rPr>
          <w:sz w:val="24"/>
          <w:szCs w:val="24"/>
        </w:rPr>
        <w:t xml:space="preserve"> </w:t>
      </w:r>
      <w:r w:rsidR="009D7028" w:rsidRPr="00472AB4">
        <w:rPr>
          <w:sz w:val="24"/>
          <w:szCs w:val="24"/>
        </w:rPr>
        <w:t>Andreas Baumbach</w:t>
      </w:r>
      <w:r w:rsidR="00D43F9C" w:rsidRPr="00472AB4">
        <w:rPr>
          <w:sz w:val="24"/>
          <w:szCs w:val="24"/>
        </w:rPr>
        <w:t>,</w:t>
      </w:r>
      <w:r w:rsidR="009D7028" w:rsidRPr="00472AB4">
        <w:rPr>
          <w:sz w:val="24"/>
          <w:szCs w:val="24"/>
        </w:rPr>
        <w:t xml:space="preserve"> </w:t>
      </w:r>
      <w:r w:rsidR="00292EF8" w:rsidRPr="00472AB4">
        <w:rPr>
          <w:rFonts w:eastAsia="MS Mincho"/>
          <w:sz w:val="23"/>
          <w:szCs w:val="23"/>
          <w:lang w:eastAsia="en-GB"/>
        </w:rPr>
        <w:t>MD</w:t>
      </w:r>
      <w:r w:rsidR="00F114DC" w:rsidRPr="00472AB4">
        <w:rPr>
          <w:sz w:val="24"/>
          <w:szCs w:val="24"/>
          <w:vertAlign w:val="superscript"/>
        </w:rPr>
        <w:t>8</w:t>
      </w:r>
      <w:r w:rsidR="00D43F9C" w:rsidRPr="00472AB4">
        <w:rPr>
          <w:sz w:val="24"/>
          <w:szCs w:val="24"/>
        </w:rPr>
        <w:t>;</w:t>
      </w:r>
      <w:r w:rsidR="00A95FA7" w:rsidRPr="00472AB4">
        <w:rPr>
          <w:sz w:val="24"/>
          <w:szCs w:val="24"/>
        </w:rPr>
        <w:t xml:space="preserve"> Jonatha</w:t>
      </w:r>
      <w:r w:rsidR="009D7028" w:rsidRPr="00472AB4">
        <w:rPr>
          <w:sz w:val="24"/>
          <w:szCs w:val="24"/>
        </w:rPr>
        <w:t>n Byrne</w:t>
      </w:r>
      <w:r w:rsidR="00D43F9C" w:rsidRPr="00472AB4">
        <w:rPr>
          <w:sz w:val="24"/>
          <w:szCs w:val="24"/>
        </w:rPr>
        <w:t>,</w:t>
      </w:r>
      <w:r w:rsidR="009D7028" w:rsidRPr="00472AB4">
        <w:rPr>
          <w:sz w:val="24"/>
          <w:szCs w:val="24"/>
        </w:rPr>
        <w:t xml:space="preserve"> </w:t>
      </w:r>
      <w:r w:rsidR="00292EF8" w:rsidRPr="00472AB4">
        <w:rPr>
          <w:sz w:val="24"/>
          <w:szCs w:val="24"/>
        </w:rPr>
        <w:t>MD</w:t>
      </w:r>
      <w:r w:rsidR="00F114DC" w:rsidRPr="00472AB4">
        <w:rPr>
          <w:sz w:val="24"/>
          <w:szCs w:val="24"/>
          <w:vertAlign w:val="superscript"/>
        </w:rPr>
        <w:t>9</w:t>
      </w:r>
      <w:r w:rsidR="00D43F9C" w:rsidRPr="00472AB4">
        <w:rPr>
          <w:sz w:val="24"/>
          <w:szCs w:val="24"/>
        </w:rPr>
        <w:t>;</w:t>
      </w:r>
      <w:r w:rsidR="009D7028" w:rsidRPr="00472AB4">
        <w:rPr>
          <w:sz w:val="24"/>
          <w:szCs w:val="24"/>
        </w:rPr>
        <w:t xml:space="preserve"> </w:t>
      </w:r>
      <w:r w:rsidR="008E1C70" w:rsidRPr="00472AB4">
        <w:rPr>
          <w:sz w:val="24"/>
          <w:szCs w:val="24"/>
        </w:rPr>
        <w:t>Muhammad Rashid</w:t>
      </w:r>
      <w:r w:rsidR="00D43F9C" w:rsidRPr="00472AB4">
        <w:rPr>
          <w:sz w:val="24"/>
          <w:szCs w:val="24"/>
        </w:rPr>
        <w:t>,</w:t>
      </w:r>
      <w:r w:rsidR="009E4080" w:rsidRPr="00472AB4">
        <w:rPr>
          <w:sz w:val="24"/>
          <w:szCs w:val="24"/>
        </w:rPr>
        <w:t xml:space="preserve"> MBBS</w:t>
      </w:r>
      <w:r w:rsidR="008E1C70" w:rsidRPr="00472AB4">
        <w:rPr>
          <w:sz w:val="24"/>
          <w:szCs w:val="24"/>
          <w:vertAlign w:val="superscript"/>
        </w:rPr>
        <w:t>1,1</w:t>
      </w:r>
      <w:r w:rsidR="00F114DC" w:rsidRPr="00472AB4">
        <w:rPr>
          <w:sz w:val="24"/>
          <w:szCs w:val="24"/>
          <w:vertAlign w:val="superscript"/>
        </w:rPr>
        <w:t>0</w:t>
      </w:r>
      <w:r w:rsidR="00D43F9C" w:rsidRPr="00472AB4">
        <w:rPr>
          <w:sz w:val="24"/>
          <w:szCs w:val="24"/>
        </w:rPr>
        <w:t>;</w:t>
      </w:r>
      <w:r w:rsidR="00833A57" w:rsidRPr="00472AB4">
        <w:rPr>
          <w:sz w:val="24"/>
          <w:szCs w:val="24"/>
        </w:rPr>
        <w:t xml:space="preserve"> </w:t>
      </w:r>
      <w:r w:rsidR="00EF34C2" w:rsidRPr="00472AB4">
        <w:rPr>
          <w:sz w:val="24"/>
          <w:szCs w:val="24"/>
        </w:rPr>
        <w:t>Nick Curzen</w:t>
      </w:r>
      <w:r w:rsidR="00D43F9C" w:rsidRPr="00472AB4">
        <w:rPr>
          <w:sz w:val="24"/>
          <w:szCs w:val="24"/>
        </w:rPr>
        <w:t>,</w:t>
      </w:r>
      <w:r w:rsidR="00EF34C2" w:rsidRPr="00472AB4">
        <w:rPr>
          <w:sz w:val="24"/>
          <w:szCs w:val="24"/>
        </w:rPr>
        <w:t xml:space="preserve"> PhD</w:t>
      </w:r>
      <w:r w:rsidR="00292EF8" w:rsidRPr="00472AB4">
        <w:rPr>
          <w:sz w:val="24"/>
          <w:szCs w:val="24"/>
          <w:vertAlign w:val="superscript"/>
        </w:rPr>
        <w:t>11</w:t>
      </w:r>
      <w:r w:rsidR="00D43F9C" w:rsidRPr="00472AB4">
        <w:rPr>
          <w:sz w:val="24"/>
          <w:szCs w:val="24"/>
        </w:rPr>
        <w:t>;</w:t>
      </w:r>
      <w:r w:rsidR="00EF34C2" w:rsidRPr="00472AB4">
        <w:rPr>
          <w:sz w:val="24"/>
          <w:szCs w:val="24"/>
        </w:rPr>
        <w:t xml:space="preserve"> </w:t>
      </w:r>
      <w:r w:rsidR="005C09BD" w:rsidRPr="00472AB4">
        <w:rPr>
          <w:sz w:val="24"/>
          <w:szCs w:val="24"/>
        </w:rPr>
        <w:t>Mamas A. Mamas BM BCh, MA, DPhil</w:t>
      </w:r>
      <w:r w:rsidRPr="00472AB4">
        <w:rPr>
          <w:sz w:val="24"/>
          <w:szCs w:val="24"/>
          <w:vertAlign w:val="superscript"/>
        </w:rPr>
        <w:t>1,</w:t>
      </w:r>
      <w:r w:rsidR="006718E3" w:rsidRPr="00472AB4">
        <w:rPr>
          <w:sz w:val="24"/>
          <w:szCs w:val="24"/>
          <w:vertAlign w:val="superscript"/>
        </w:rPr>
        <w:t>10</w:t>
      </w:r>
      <w:r w:rsidR="006718E3" w:rsidRPr="00472AB4">
        <w:rPr>
          <w:sz w:val="24"/>
          <w:szCs w:val="24"/>
        </w:rPr>
        <w:t xml:space="preserve"> </w:t>
      </w:r>
      <w:r w:rsidR="006657B1" w:rsidRPr="00472AB4">
        <w:rPr>
          <w:rFonts w:eastAsia="MS Mincho"/>
          <w:sz w:val="24"/>
          <w:szCs w:val="24"/>
        </w:rPr>
        <w:t>on behalf of the British Cardiovascular Intervention Society and the National Institute for Cardiovascular Outcomes Research</w:t>
      </w:r>
    </w:p>
    <w:p w14:paraId="0ABD2A16" w14:textId="77777777" w:rsidR="003238AD" w:rsidRPr="00472AB4" w:rsidRDefault="003238AD" w:rsidP="003238AD">
      <w:pPr>
        <w:spacing w:before="0" w:after="0"/>
        <w:rPr>
          <w:sz w:val="24"/>
          <w:szCs w:val="24"/>
        </w:rPr>
      </w:pPr>
    </w:p>
    <w:p w14:paraId="16044BE3" w14:textId="1362FAB3" w:rsidR="003238AD" w:rsidRPr="00472AB4" w:rsidRDefault="003238AD" w:rsidP="003238AD">
      <w:pPr>
        <w:spacing w:before="0" w:after="0"/>
        <w:rPr>
          <w:sz w:val="24"/>
          <w:szCs w:val="24"/>
        </w:rPr>
      </w:pPr>
      <w:r w:rsidRPr="00472AB4">
        <w:rPr>
          <w:sz w:val="24"/>
          <w:szCs w:val="24"/>
        </w:rPr>
        <w:t xml:space="preserve">1. </w:t>
      </w:r>
      <w:r w:rsidR="00292EF8" w:rsidRPr="00472AB4">
        <w:rPr>
          <w:sz w:val="24"/>
          <w:szCs w:val="24"/>
        </w:rPr>
        <w:t>Keele Cardiovascular Research Group, Centre for Prognosis Research, Institute of Primary Care and Health Sciences, Keele University, Stoke-on-Trent, UK</w:t>
      </w:r>
      <w:r w:rsidRPr="00472AB4">
        <w:rPr>
          <w:sz w:val="24"/>
          <w:szCs w:val="24"/>
        </w:rPr>
        <w:t>.</w:t>
      </w:r>
    </w:p>
    <w:p w14:paraId="3DDFF84A" w14:textId="77777777" w:rsidR="003238AD" w:rsidRPr="00472AB4" w:rsidRDefault="003238AD" w:rsidP="003238AD">
      <w:pPr>
        <w:spacing w:before="0" w:after="0"/>
        <w:rPr>
          <w:sz w:val="24"/>
          <w:szCs w:val="24"/>
        </w:rPr>
      </w:pPr>
      <w:r w:rsidRPr="00472AB4">
        <w:rPr>
          <w:sz w:val="24"/>
          <w:szCs w:val="24"/>
        </w:rPr>
        <w:t>2. School of Computing, Mathematics and Digital Technology, Manchester Metropolitan University, UK</w:t>
      </w:r>
    </w:p>
    <w:p w14:paraId="54450AE5" w14:textId="77777777" w:rsidR="003238AD" w:rsidRPr="00472AB4" w:rsidRDefault="003238AD" w:rsidP="003238AD">
      <w:pPr>
        <w:spacing w:before="0" w:after="0"/>
        <w:rPr>
          <w:sz w:val="24"/>
          <w:szCs w:val="24"/>
        </w:rPr>
      </w:pPr>
      <w:r w:rsidRPr="00472AB4">
        <w:rPr>
          <w:sz w:val="24"/>
          <w:szCs w:val="24"/>
        </w:rPr>
        <w:t>3. The Heart Hospital, University College London Hospitals, London, UK</w:t>
      </w:r>
    </w:p>
    <w:p w14:paraId="0F1EE8F7" w14:textId="0C5A6022" w:rsidR="00292EF8" w:rsidRPr="00472AB4" w:rsidRDefault="003238AD" w:rsidP="00292EF8">
      <w:pPr>
        <w:spacing w:before="0" w:after="0"/>
        <w:rPr>
          <w:rFonts w:eastAsia="MS Mincho"/>
          <w:sz w:val="24"/>
          <w:szCs w:val="24"/>
        </w:rPr>
      </w:pPr>
      <w:r w:rsidRPr="00472AB4">
        <w:rPr>
          <w:sz w:val="24"/>
          <w:szCs w:val="24"/>
        </w:rPr>
        <w:t xml:space="preserve">4. </w:t>
      </w:r>
      <w:r w:rsidR="00292EF8" w:rsidRPr="00472AB4">
        <w:rPr>
          <w:rFonts w:eastAsia="MS Mincho"/>
          <w:sz w:val="24"/>
          <w:szCs w:val="24"/>
        </w:rPr>
        <w:t xml:space="preserve"> Sussex Cardiac Centre, Brighton and Sussex University Hospitals NHS Trust,</w:t>
      </w:r>
    </w:p>
    <w:p w14:paraId="2FDC0128" w14:textId="77777777" w:rsidR="00292EF8" w:rsidRPr="00472AB4" w:rsidRDefault="00292EF8" w:rsidP="00292EF8">
      <w:pPr>
        <w:spacing w:before="0" w:after="0"/>
        <w:rPr>
          <w:rFonts w:eastAsia="MS Mincho"/>
          <w:sz w:val="24"/>
          <w:szCs w:val="24"/>
        </w:rPr>
      </w:pPr>
      <w:r w:rsidRPr="00472AB4">
        <w:rPr>
          <w:rFonts w:eastAsia="MS Mincho"/>
          <w:sz w:val="24"/>
          <w:szCs w:val="24"/>
        </w:rPr>
        <w:t>Brighton, United Kingdom</w:t>
      </w:r>
    </w:p>
    <w:p w14:paraId="79ABCFA4" w14:textId="77777777" w:rsidR="00292EF8" w:rsidRPr="00472AB4" w:rsidRDefault="003238AD" w:rsidP="00292EF8">
      <w:pPr>
        <w:spacing w:before="0" w:after="0"/>
        <w:rPr>
          <w:sz w:val="24"/>
          <w:szCs w:val="24"/>
        </w:rPr>
      </w:pPr>
      <w:r w:rsidRPr="00472AB4">
        <w:rPr>
          <w:sz w:val="24"/>
          <w:szCs w:val="24"/>
        </w:rPr>
        <w:t xml:space="preserve">5. </w:t>
      </w:r>
      <w:r w:rsidR="00292EF8" w:rsidRPr="00472AB4">
        <w:rPr>
          <w:sz w:val="24"/>
          <w:szCs w:val="24"/>
        </w:rPr>
        <w:t>Department of Cardiology, University Hospital of Wales, Cardiff, UK</w:t>
      </w:r>
    </w:p>
    <w:p w14:paraId="2677053F" w14:textId="77777777" w:rsidR="003238AD" w:rsidRPr="00472AB4" w:rsidRDefault="003238AD" w:rsidP="003238AD">
      <w:pPr>
        <w:spacing w:before="0" w:after="0"/>
        <w:rPr>
          <w:sz w:val="24"/>
          <w:szCs w:val="24"/>
        </w:rPr>
      </w:pPr>
      <w:r w:rsidRPr="00472AB4">
        <w:rPr>
          <w:sz w:val="24"/>
          <w:szCs w:val="24"/>
        </w:rPr>
        <w:t>6. Queen Elizabeth Hospital, Birmingham, UK</w:t>
      </w:r>
    </w:p>
    <w:p w14:paraId="3F11022D" w14:textId="77777777" w:rsidR="003238AD" w:rsidRPr="00472AB4" w:rsidRDefault="003238AD" w:rsidP="003238AD">
      <w:pPr>
        <w:spacing w:before="0" w:after="0"/>
        <w:rPr>
          <w:sz w:val="24"/>
          <w:szCs w:val="24"/>
        </w:rPr>
      </w:pPr>
      <w:r w:rsidRPr="00472AB4">
        <w:rPr>
          <w:sz w:val="24"/>
          <w:szCs w:val="24"/>
        </w:rPr>
        <w:t>7. The James Cook University Hospital, Middlesbrough, UK</w:t>
      </w:r>
    </w:p>
    <w:p w14:paraId="0A8D4C59" w14:textId="77777777" w:rsidR="003238AD" w:rsidRPr="00472AB4" w:rsidRDefault="003238AD" w:rsidP="003238AD">
      <w:pPr>
        <w:spacing w:before="0" w:after="0"/>
        <w:rPr>
          <w:sz w:val="24"/>
          <w:szCs w:val="24"/>
        </w:rPr>
      </w:pPr>
      <w:r w:rsidRPr="00472AB4">
        <w:rPr>
          <w:sz w:val="24"/>
          <w:szCs w:val="24"/>
        </w:rPr>
        <w:t>8. Barts Heart Centre, Queen Mary University, London, UK</w:t>
      </w:r>
    </w:p>
    <w:p w14:paraId="69B69732" w14:textId="77777777" w:rsidR="003238AD" w:rsidRPr="00472AB4" w:rsidRDefault="003238AD" w:rsidP="003238AD">
      <w:pPr>
        <w:spacing w:before="0" w:after="0"/>
        <w:rPr>
          <w:sz w:val="24"/>
          <w:szCs w:val="24"/>
        </w:rPr>
      </w:pPr>
      <w:r w:rsidRPr="00472AB4">
        <w:rPr>
          <w:sz w:val="24"/>
          <w:szCs w:val="24"/>
        </w:rPr>
        <w:t>9. Kings College Hospital, London, UK</w:t>
      </w:r>
    </w:p>
    <w:p w14:paraId="1CD34118" w14:textId="77777777" w:rsidR="00F114DC" w:rsidRPr="00472AB4" w:rsidRDefault="003238AD" w:rsidP="00F114DC">
      <w:pPr>
        <w:spacing w:before="0" w:after="0"/>
        <w:rPr>
          <w:rFonts w:eastAsia="MS Mincho"/>
          <w:sz w:val="24"/>
          <w:szCs w:val="24"/>
        </w:rPr>
      </w:pPr>
      <w:r w:rsidRPr="00472AB4">
        <w:rPr>
          <w:rFonts w:eastAsia="MS Mincho"/>
          <w:sz w:val="24"/>
          <w:szCs w:val="24"/>
        </w:rPr>
        <w:t>1</w:t>
      </w:r>
      <w:r w:rsidR="00F114DC" w:rsidRPr="00472AB4">
        <w:rPr>
          <w:rFonts w:eastAsia="MS Mincho"/>
          <w:sz w:val="24"/>
          <w:szCs w:val="24"/>
        </w:rPr>
        <w:t>0.</w:t>
      </w:r>
      <w:r w:rsidRPr="00472AB4">
        <w:rPr>
          <w:rFonts w:eastAsia="MS Mincho"/>
          <w:sz w:val="24"/>
          <w:szCs w:val="24"/>
        </w:rPr>
        <w:t xml:space="preserve"> </w:t>
      </w:r>
      <w:r w:rsidRPr="00472AB4">
        <w:rPr>
          <w:sz w:val="24"/>
          <w:szCs w:val="24"/>
        </w:rPr>
        <w:t>Academic Department of Cardiology, Royal Stoke Hospital, University Hospital North Midlands, Stoke-on-Trent, UK.</w:t>
      </w:r>
      <w:r w:rsidR="00F114DC" w:rsidRPr="00472AB4">
        <w:rPr>
          <w:rFonts w:eastAsia="MS Mincho"/>
          <w:sz w:val="24"/>
          <w:szCs w:val="24"/>
        </w:rPr>
        <w:t xml:space="preserve"> </w:t>
      </w:r>
    </w:p>
    <w:p w14:paraId="6803E8D0" w14:textId="3B3077C5" w:rsidR="003238AD" w:rsidRPr="00472AB4" w:rsidRDefault="00F114DC" w:rsidP="00292EF8">
      <w:pPr>
        <w:spacing w:before="0" w:after="0"/>
        <w:rPr>
          <w:sz w:val="24"/>
          <w:szCs w:val="24"/>
        </w:rPr>
      </w:pPr>
      <w:r w:rsidRPr="00472AB4">
        <w:rPr>
          <w:rFonts w:eastAsia="MS Mincho"/>
          <w:sz w:val="24"/>
          <w:szCs w:val="24"/>
        </w:rPr>
        <w:t xml:space="preserve">11. </w:t>
      </w:r>
      <w:r w:rsidR="00292EF8" w:rsidRPr="00472AB4">
        <w:rPr>
          <w:sz w:val="24"/>
          <w:szCs w:val="24"/>
        </w:rPr>
        <w:t>University Hospital Southampton and Faculty of Medicine, University of Southampton, UK</w:t>
      </w:r>
    </w:p>
    <w:p w14:paraId="790762D4" w14:textId="77777777" w:rsidR="003238AD" w:rsidRPr="00472AB4" w:rsidRDefault="003238AD" w:rsidP="003238AD">
      <w:pPr>
        <w:spacing w:after="0"/>
        <w:rPr>
          <w:rFonts w:eastAsia="MS Mincho"/>
          <w:sz w:val="24"/>
          <w:szCs w:val="24"/>
        </w:rPr>
      </w:pPr>
      <w:r w:rsidRPr="00472AB4">
        <w:rPr>
          <w:rFonts w:eastAsia="MS Mincho"/>
          <w:b/>
          <w:sz w:val="24"/>
          <w:szCs w:val="24"/>
        </w:rPr>
        <w:t xml:space="preserve">* </w:t>
      </w:r>
      <w:r w:rsidRPr="00472AB4">
        <w:rPr>
          <w:rFonts w:eastAsia="MS Mincho"/>
          <w:sz w:val="24"/>
          <w:szCs w:val="24"/>
        </w:rPr>
        <w:t>These authors contributed equally to the manuscript.</w:t>
      </w:r>
    </w:p>
    <w:p w14:paraId="2B67551B" w14:textId="4D6F8D38" w:rsidR="008E1C70" w:rsidRPr="00472AB4" w:rsidRDefault="008E1C70" w:rsidP="00FF0361">
      <w:pPr>
        <w:spacing w:before="0" w:after="0"/>
        <w:rPr>
          <w:rFonts w:eastAsia="MS Mincho"/>
          <w:b/>
          <w:sz w:val="24"/>
          <w:szCs w:val="24"/>
        </w:rPr>
      </w:pPr>
    </w:p>
    <w:p w14:paraId="4B897037" w14:textId="72A2C3C5" w:rsidR="0008733B" w:rsidRPr="00472AB4" w:rsidRDefault="0008733B" w:rsidP="00FF0361">
      <w:pPr>
        <w:spacing w:before="0" w:after="0"/>
        <w:rPr>
          <w:rFonts w:eastAsia="MS Mincho"/>
          <w:b/>
          <w:sz w:val="24"/>
          <w:szCs w:val="24"/>
        </w:rPr>
      </w:pPr>
    </w:p>
    <w:p w14:paraId="693D5BF1" w14:textId="77777777" w:rsidR="0008733B" w:rsidRPr="00472AB4" w:rsidRDefault="0008733B" w:rsidP="00FF0361">
      <w:pPr>
        <w:spacing w:before="0" w:after="0"/>
        <w:rPr>
          <w:rFonts w:eastAsia="MS Mincho"/>
          <w:b/>
          <w:sz w:val="24"/>
          <w:szCs w:val="24"/>
        </w:rPr>
      </w:pPr>
    </w:p>
    <w:p w14:paraId="628E5E3F" w14:textId="77777777" w:rsidR="005D5EA6" w:rsidRPr="00472AB4" w:rsidRDefault="005D5EA6" w:rsidP="00FF0361">
      <w:pPr>
        <w:spacing w:before="0" w:after="0"/>
        <w:rPr>
          <w:rFonts w:eastAsia="MS Mincho"/>
          <w:b/>
          <w:sz w:val="24"/>
          <w:szCs w:val="24"/>
        </w:rPr>
      </w:pPr>
    </w:p>
    <w:p w14:paraId="0AC285B6" w14:textId="77777777" w:rsidR="005D5EA6" w:rsidRPr="00472AB4" w:rsidRDefault="005D5EA6" w:rsidP="00FF0361">
      <w:pPr>
        <w:spacing w:before="0" w:after="0"/>
        <w:rPr>
          <w:rFonts w:eastAsia="MS Mincho"/>
          <w:b/>
          <w:sz w:val="24"/>
          <w:szCs w:val="24"/>
        </w:rPr>
      </w:pPr>
    </w:p>
    <w:p w14:paraId="3638AA7A" w14:textId="77777777" w:rsidR="006635A0" w:rsidRPr="00472AB4" w:rsidRDefault="006635A0" w:rsidP="008E0662">
      <w:pPr>
        <w:spacing w:before="0" w:after="0"/>
        <w:outlineLvl w:val="0"/>
        <w:rPr>
          <w:rFonts w:eastAsia="MS Mincho"/>
          <w:b/>
          <w:sz w:val="24"/>
          <w:szCs w:val="24"/>
        </w:rPr>
      </w:pPr>
      <w:r w:rsidRPr="00472AB4">
        <w:rPr>
          <w:rFonts w:eastAsia="MS Mincho"/>
          <w:b/>
          <w:sz w:val="24"/>
          <w:szCs w:val="24"/>
        </w:rPr>
        <w:lastRenderedPageBreak/>
        <w:t>Corresponding Author:</w:t>
      </w:r>
    </w:p>
    <w:p w14:paraId="36F0D09B" w14:textId="77777777" w:rsidR="00A16348" w:rsidRPr="00472AB4" w:rsidRDefault="00A16348" w:rsidP="008E0662">
      <w:pPr>
        <w:spacing w:before="0" w:after="0"/>
        <w:outlineLvl w:val="0"/>
      </w:pPr>
      <w:r w:rsidRPr="00472AB4">
        <w:t>Mamas A. Mamas</w:t>
      </w:r>
    </w:p>
    <w:p w14:paraId="4F7F8C52" w14:textId="77777777" w:rsidR="00A16348" w:rsidRPr="00472AB4" w:rsidRDefault="00A16348" w:rsidP="008E1C70">
      <w:pPr>
        <w:spacing w:before="0" w:after="0"/>
      </w:pPr>
      <w:r w:rsidRPr="00472AB4">
        <w:t>Professor of Cardiology / Honorary Consultant Cardiologist</w:t>
      </w:r>
    </w:p>
    <w:p w14:paraId="6B37009A" w14:textId="77777777" w:rsidR="00A16348" w:rsidRPr="00472AB4" w:rsidRDefault="00A16348" w:rsidP="008E1C70">
      <w:pPr>
        <w:spacing w:before="0" w:after="0"/>
      </w:pPr>
      <w:r w:rsidRPr="00472AB4">
        <w:t>Keele Cardiovascular Research Group,</w:t>
      </w:r>
    </w:p>
    <w:p w14:paraId="381EF37B" w14:textId="77777777" w:rsidR="00A16348" w:rsidRPr="00472AB4" w:rsidRDefault="00A16348" w:rsidP="008E1C70">
      <w:pPr>
        <w:spacing w:before="0" w:after="0"/>
      </w:pPr>
      <w:r w:rsidRPr="00472AB4">
        <w:t>University of Keele</w:t>
      </w:r>
    </w:p>
    <w:p w14:paraId="166F7FF1" w14:textId="77777777" w:rsidR="00A16348" w:rsidRPr="00472AB4" w:rsidRDefault="00A16348" w:rsidP="008E1C70">
      <w:pPr>
        <w:spacing w:before="0" w:after="0"/>
      </w:pPr>
      <w:r w:rsidRPr="00472AB4">
        <w:t>Stoke-on-Trent, United Kingdom</w:t>
      </w:r>
    </w:p>
    <w:p w14:paraId="4E8BF440" w14:textId="77777777" w:rsidR="00A16348" w:rsidRPr="00472AB4" w:rsidRDefault="00A16348" w:rsidP="008E1C70">
      <w:pPr>
        <w:spacing w:before="0" w:after="0"/>
      </w:pPr>
      <w:r w:rsidRPr="00472AB4">
        <w:t xml:space="preserve">Email: </w:t>
      </w:r>
      <w:hyperlink r:id="rId8" w:history="1">
        <w:r w:rsidR="00964910" w:rsidRPr="00472AB4">
          <w:rPr>
            <w:rStyle w:val="Hyperlink"/>
          </w:rPr>
          <w:t>mamasmamas1@yahoo.co.uk</w:t>
        </w:r>
      </w:hyperlink>
    </w:p>
    <w:p w14:paraId="6A2621D3" w14:textId="77777777" w:rsidR="00964910" w:rsidRPr="00472AB4" w:rsidRDefault="00964910" w:rsidP="00964910">
      <w:pPr>
        <w:spacing w:before="0"/>
      </w:pPr>
      <w:r w:rsidRPr="00472AB4">
        <w:t>Phone: +441782671621</w:t>
      </w:r>
    </w:p>
    <w:p w14:paraId="53EC8F0B" w14:textId="77777777" w:rsidR="00964910" w:rsidRPr="00472AB4" w:rsidRDefault="00964910" w:rsidP="00964910">
      <w:pPr>
        <w:spacing w:before="0"/>
      </w:pPr>
      <w:r w:rsidRPr="00472AB4">
        <w:t>Fax: +441782674467</w:t>
      </w:r>
    </w:p>
    <w:p w14:paraId="35386859" w14:textId="77777777" w:rsidR="00CE0327" w:rsidRPr="00472AB4" w:rsidRDefault="00CE0327" w:rsidP="00FF0361">
      <w:pPr>
        <w:spacing w:before="0"/>
        <w:rPr>
          <w:sz w:val="24"/>
          <w:szCs w:val="24"/>
        </w:rPr>
      </w:pPr>
    </w:p>
    <w:p w14:paraId="5007DF85" w14:textId="1C6CEF46" w:rsidR="00CE0327" w:rsidRPr="00472AB4" w:rsidRDefault="00CE0327" w:rsidP="00FF0361">
      <w:pPr>
        <w:spacing w:before="0"/>
        <w:rPr>
          <w:sz w:val="24"/>
          <w:szCs w:val="24"/>
        </w:rPr>
      </w:pPr>
      <w:r w:rsidRPr="00472AB4">
        <w:rPr>
          <w:sz w:val="24"/>
          <w:szCs w:val="24"/>
        </w:rPr>
        <w:t>Word count:</w:t>
      </w:r>
      <w:r w:rsidR="00DB5446" w:rsidRPr="00472AB4">
        <w:rPr>
          <w:sz w:val="24"/>
          <w:szCs w:val="24"/>
        </w:rPr>
        <w:t xml:space="preserve"> </w:t>
      </w:r>
      <w:r w:rsidR="001A7B10" w:rsidRPr="00472AB4">
        <w:rPr>
          <w:sz w:val="24"/>
          <w:szCs w:val="24"/>
        </w:rPr>
        <w:t>29</w:t>
      </w:r>
      <w:r w:rsidR="00CE643B" w:rsidRPr="00472AB4">
        <w:rPr>
          <w:sz w:val="24"/>
          <w:szCs w:val="24"/>
        </w:rPr>
        <w:t>8</w:t>
      </w:r>
      <w:r w:rsidR="008A2006" w:rsidRPr="00472AB4">
        <w:rPr>
          <w:sz w:val="24"/>
          <w:szCs w:val="24"/>
        </w:rPr>
        <w:t>6</w:t>
      </w:r>
    </w:p>
    <w:p w14:paraId="5916CC34" w14:textId="77777777" w:rsidR="00CE0327" w:rsidRPr="00472AB4" w:rsidRDefault="00CE0327" w:rsidP="00FF0361">
      <w:pPr>
        <w:spacing w:before="0"/>
        <w:rPr>
          <w:sz w:val="24"/>
          <w:szCs w:val="24"/>
        </w:rPr>
      </w:pPr>
    </w:p>
    <w:p w14:paraId="5AA4CD64" w14:textId="2886CD82" w:rsidR="001F01D9" w:rsidRPr="00472AB4" w:rsidRDefault="005C5322" w:rsidP="008E0662">
      <w:pPr>
        <w:spacing w:after="0"/>
        <w:outlineLvl w:val="0"/>
        <w:rPr>
          <w:b/>
          <w:sz w:val="24"/>
          <w:szCs w:val="24"/>
        </w:rPr>
      </w:pPr>
      <w:r w:rsidRPr="00472AB4">
        <w:rPr>
          <w:b/>
          <w:sz w:val="24"/>
          <w:szCs w:val="24"/>
        </w:rPr>
        <w:t xml:space="preserve"> </w:t>
      </w:r>
      <w:r w:rsidR="0080313E" w:rsidRPr="00472AB4">
        <w:rPr>
          <w:b/>
          <w:sz w:val="24"/>
          <w:szCs w:val="24"/>
        </w:rPr>
        <w:br w:type="page"/>
      </w:r>
      <w:r w:rsidR="001F01D9" w:rsidRPr="00472AB4">
        <w:rPr>
          <w:b/>
          <w:sz w:val="24"/>
          <w:szCs w:val="24"/>
        </w:rPr>
        <w:lastRenderedPageBreak/>
        <w:t>Abstract</w:t>
      </w:r>
    </w:p>
    <w:p w14:paraId="49417407" w14:textId="0F8E866E" w:rsidR="00AC012E" w:rsidRPr="00472AB4" w:rsidRDefault="00AC012E" w:rsidP="00AC012E">
      <w:pPr>
        <w:spacing w:after="0"/>
        <w:rPr>
          <w:sz w:val="24"/>
          <w:szCs w:val="24"/>
        </w:rPr>
      </w:pPr>
      <w:r w:rsidRPr="00472AB4">
        <w:rPr>
          <w:b/>
          <w:sz w:val="24"/>
          <w:szCs w:val="24"/>
        </w:rPr>
        <w:t xml:space="preserve">Objectives: </w:t>
      </w:r>
      <w:r w:rsidRPr="00472AB4">
        <w:rPr>
          <w:sz w:val="24"/>
          <w:szCs w:val="24"/>
        </w:rPr>
        <w:t>Prasugrel and ticagrelor both reduce ischaemic endpoints in high-risk acute coronary syndromes, compared to clopidogrel. However, comparative outcomes of these two newer drugs in the context of primary PCI for ST elevation MI (STEMI) remains unclear. We sought to examine this question using the British Cardiovascular Interventional Society national database in patients undergoing primary PCI for STEMI.</w:t>
      </w:r>
    </w:p>
    <w:p w14:paraId="6F0D0D3A" w14:textId="2516B9A1" w:rsidR="00AC012E" w:rsidRPr="00472AB4" w:rsidRDefault="00AC012E" w:rsidP="00AC012E">
      <w:pPr>
        <w:spacing w:after="0"/>
        <w:rPr>
          <w:sz w:val="24"/>
          <w:szCs w:val="24"/>
        </w:rPr>
      </w:pPr>
      <w:r w:rsidRPr="00472AB4">
        <w:rPr>
          <w:b/>
          <w:sz w:val="24"/>
          <w:szCs w:val="24"/>
        </w:rPr>
        <w:t xml:space="preserve">Methods: </w:t>
      </w:r>
      <w:r w:rsidRPr="00472AB4">
        <w:rPr>
          <w:sz w:val="24"/>
          <w:szCs w:val="24"/>
        </w:rPr>
        <w:t>Data from January 2007 to December 2014 was used to compare use of P</w:t>
      </w:r>
      <w:r w:rsidRPr="00472AB4">
        <w:rPr>
          <w:sz w:val="24"/>
          <w:szCs w:val="24"/>
          <w:vertAlign w:val="subscript"/>
        </w:rPr>
        <w:t>2</w:t>
      </w:r>
      <w:r w:rsidRPr="00472AB4">
        <w:rPr>
          <w:sz w:val="24"/>
          <w:szCs w:val="24"/>
        </w:rPr>
        <w:t>Y</w:t>
      </w:r>
      <w:r w:rsidRPr="00472AB4">
        <w:rPr>
          <w:sz w:val="24"/>
          <w:szCs w:val="24"/>
          <w:vertAlign w:val="subscript"/>
        </w:rPr>
        <w:t>12</w:t>
      </w:r>
      <w:r w:rsidRPr="00472AB4">
        <w:rPr>
          <w:sz w:val="24"/>
          <w:szCs w:val="24"/>
        </w:rPr>
        <w:t xml:space="preserve"> antiplatelet drugs in primary PCI in &gt; 89,000 patients. Statistical modeling, involving propensity matching, multivariable logistic regression (MLR) and proportional hazards modeling, was used to study the association of different antiplatelet drug use with all-cause mortality. </w:t>
      </w:r>
    </w:p>
    <w:p w14:paraId="62C15E5B" w14:textId="6D272212" w:rsidR="00AC012E" w:rsidRPr="00472AB4" w:rsidRDefault="00AC012E" w:rsidP="00AC012E">
      <w:pPr>
        <w:spacing w:after="0"/>
        <w:rPr>
          <w:sz w:val="24"/>
          <w:szCs w:val="24"/>
        </w:rPr>
      </w:pPr>
      <w:r w:rsidRPr="00472AB4">
        <w:rPr>
          <w:b/>
          <w:sz w:val="24"/>
          <w:szCs w:val="24"/>
        </w:rPr>
        <w:t>Results:</w:t>
      </w:r>
      <w:r w:rsidRPr="00472AB4">
        <w:rPr>
          <w:sz w:val="24"/>
          <w:szCs w:val="24"/>
        </w:rPr>
        <w:t xml:space="preserve"> In our main MLR analysis, prasugrel was associated with significantly lower mortality than clopidogrel at both 30-days (OR 0.87 95% CI 0.78-0.97, p=0.014) and 1-year (OR 0.89 95% CI 0.82-0.97, P=0.011) post PCI. Ticagrelor was not associated with any significant differences in mortality compared to clopidogrel at either 30-days (OR 1.07 95%CI 0.95-1.21, P=0.237) or 1-year (OR 1.058 95%CI 0.96-1.16, P=0.247). Finally, ticagrelor was associated with significantly higher mortality than prasugrel at both time points (30-days, OR 1.22 95%CI 1.03-1.44, P=0.020; 1-year OR 1.19 95% CI 1.04-1.35, P=0.01). </w:t>
      </w:r>
    </w:p>
    <w:p w14:paraId="6794B518" w14:textId="11187287" w:rsidR="00624ED2" w:rsidRPr="00472AB4" w:rsidRDefault="00624ED2" w:rsidP="005D04CC">
      <w:pPr>
        <w:spacing w:after="0"/>
        <w:rPr>
          <w:sz w:val="24"/>
          <w:szCs w:val="24"/>
        </w:rPr>
      </w:pPr>
      <w:r w:rsidRPr="00472AB4">
        <w:rPr>
          <w:b/>
          <w:sz w:val="24"/>
          <w:szCs w:val="24"/>
        </w:rPr>
        <w:t>C</w:t>
      </w:r>
      <w:r w:rsidR="008E1C70" w:rsidRPr="00472AB4">
        <w:rPr>
          <w:b/>
          <w:sz w:val="24"/>
          <w:szCs w:val="24"/>
        </w:rPr>
        <w:t>onclusions</w:t>
      </w:r>
      <w:r w:rsidR="00AE42D4" w:rsidRPr="00472AB4">
        <w:rPr>
          <w:b/>
          <w:sz w:val="24"/>
          <w:szCs w:val="24"/>
        </w:rPr>
        <w:t>:</w:t>
      </w:r>
      <w:r w:rsidR="00B31D0D" w:rsidRPr="00472AB4">
        <w:rPr>
          <w:b/>
          <w:sz w:val="24"/>
          <w:szCs w:val="24"/>
        </w:rPr>
        <w:t xml:space="preserve"> </w:t>
      </w:r>
      <w:r w:rsidR="00AC012E" w:rsidRPr="00472AB4">
        <w:rPr>
          <w:sz w:val="24"/>
          <w:szCs w:val="24"/>
        </w:rPr>
        <w:t xml:space="preserve">In a cohort of </w:t>
      </w:r>
      <w:r w:rsidR="001C32F6" w:rsidRPr="00472AB4">
        <w:rPr>
          <w:sz w:val="24"/>
          <w:szCs w:val="24"/>
        </w:rPr>
        <w:t>over 89,000 patients undergoing primary PCI</w:t>
      </w:r>
      <w:r w:rsidR="00AC012E" w:rsidRPr="00472AB4">
        <w:rPr>
          <w:sz w:val="24"/>
          <w:szCs w:val="24"/>
        </w:rPr>
        <w:t xml:space="preserve"> for STEMI </w:t>
      </w:r>
      <w:r w:rsidR="001C32F6" w:rsidRPr="00472AB4">
        <w:rPr>
          <w:sz w:val="24"/>
          <w:szCs w:val="24"/>
        </w:rPr>
        <w:t xml:space="preserve">in the UK, </w:t>
      </w:r>
      <w:r w:rsidR="00292EF8" w:rsidRPr="00472AB4">
        <w:rPr>
          <w:sz w:val="24"/>
          <w:szCs w:val="24"/>
        </w:rPr>
        <w:t>prasugrel</w:t>
      </w:r>
      <w:r w:rsidR="001C32F6" w:rsidRPr="00472AB4">
        <w:rPr>
          <w:sz w:val="24"/>
          <w:szCs w:val="24"/>
        </w:rPr>
        <w:t xml:space="preserve"> is associated with a lower </w:t>
      </w:r>
      <w:r w:rsidR="00AC012E" w:rsidRPr="00472AB4">
        <w:rPr>
          <w:sz w:val="24"/>
          <w:szCs w:val="24"/>
        </w:rPr>
        <w:t>30-day</w:t>
      </w:r>
      <w:r w:rsidR="001C32F6" w:rsidRPr="00472AB4">
        <w:rPr>
          <w:sz w:val="24"/>
          <w:szCs w:val="24"/>
        </w:rPr>
        <w:t xml:space="preserve"> and </w:t>
      </w:r>
      <w:r w:rsidR="00AC012E" w:rsidRPr="00472AB4">
        <w:rPr>
          <w:sz w:val="24"/>
          <w:szCs w:val="24"/>
        </w:rPr>
        <w:t>1-year</w:t>
      </w:r>
      <w:r w:rsidR="001C32F6" w:rsidRPr="00472AB4">
        <w:rPr>
          <w:sz w:val="24"/>
          <w:szCs w:val="24"/>
        </w:rPr>
        <w:t xml:space="preserve"> mortality than </w:t>
      </w:r>
      <w:r w:rsidR="00292EF8" w:rsidRPr="00472AB4">
        <w:rPr>
          <w:sz w:val="24"/>
          <w:szCs w:val="24"/>
        </w:rPr>
        <w:t>clopidogrel</w:t>
      </w:r>
      <w:r w:rsidR="001C32F6" w:rsidRPr="00472AB4">
        <w:rPr>
          <w:sz w:val="24"/>
          <w:szCs w:val="24"/>
        </w:rPr>
        <w:t xml:space="preserve"> and ticagrelor.  Give</w:t>
      </w:r>
      <w:r w:rsidR="00292EF8" w:rsidRPr="00472AB4">
        <w:rPr>
          <w:sz w:val="24"/>
          <w:szCs w:val="24"/>
        </w:rPr>
        <w:t>n</w:t>
      </w:r>
      <w:r w:rsidR="001C32F6" w:rsidRPr="00472AB4">
        <w:rPr>
          <w:sz w:val="24"/>
          <w:szCs w:val="24"/>
        </w:rPr>
        <w:t xml:space="preserve"> that </w:t>
      </w:r>
      <w:r w:rsidR="00CE689D" w:rsidRPr="00472AB4">
        <w:rPr>
          <w:sz w:val="24"/>
          <w:szCs w:val="24"/>
        </w:rPr>
        <w:t>an adequately powered comparative randomised trial</w:t>
      </w:r>
      <w:r w:rsidR="001C32F6" w:rsidRPr="00472AB4">
        <w:rPr>
          <w:sz w:val="24"/>
          <w:szCs w:val="24"/>
        </w:rPr>
        <w:t xml:space="preserve"> is </w:t>
      </w:r>
      <w:r w:rsidR="00CE689D" w:rsidRPr="00472AB4">
        <w:rPr>
          <w:sz w:val="24"/>
          <w:szCs w:val="24"/>
        </w:rPr>
        <w:t>unlikely to be performed</w:t>
      </w:r>
      <w:r w:rsidR="001C32F6" w:rsidRPr="00472AB4">
        <w:rPr>
          <w:sz w:val="24"/>
          <w:szCs w:val="24"/>
        </w:rPr>
        <w:t>, these data may have implications for routine care.</w:t>
      </w:r>
    </w:p>
    <w:p w14:paraId="4EF44504" w14:textId="77777777" w:rsidR="00C046C3" w:rsidRPr="00472AB4" w:rsidRDefault="00624ED2" w:rsidP="008E0662">
      <w:pPr>
        <w:spacing w:after="0"/>
        <w:jc w:val="left"/>
        <w:outlineLvl w:val="0"/>
        <w:rPr>
          <w:b/>
          <w:sz w:val="24"/>
          <w:szCs w:val="24"/>
        </w:rPr>
      </w:pPr>
      <w:r w:rsidRPr="00472AB4">
        <w:rPr>
          <w:b/>
          <w:sz w:val="24"/>
          <w:szCs w:val="24"/>
        </w:rPr>
        <w:t>K</w:t>
      </w:r>
      <w:r w:rsidR="00934DD4" w:rsidRPr="00472AB4">
        <w:rPr>
          <w:b/>
          <w:sz w:val="24"/>
          <w:szCs w:val="24"/>
        </w:rPr>
        <w:t>eywords</w:t>
      </w:r>
    </w:p>
    <w:p w14:paraId="435F2389" w14:textId="77777777" w:rsidR="00C81EB9" w:rsidRPr="00472AB4" w:rsidRDefault="00292EF8" w:rsidP="00624ED2">
      <w:pPr>
        <w:spacing w:after="0"/>
        <w:jc w:val="left"/>
        <w:rPr>
          <w:b/>
          <w:sz w:val="24"/>
          <w:szCs w:val="24"/>
        </w:rPr>
      </w:pPr>
      <w:r w:rsidRPr="00472AB4">
        <w:rPr>
          <w:sz w:val="24"/>
          <w:szCs w:val="24"/>
        </w:rPr>
        <w:t>Prasugrel</w:t>
      </w:r>
      <w:r w:rsidR="00C046C3" w:rsidRPr="00472AB4">
        <w:rPr>
          <w:sz w:val="24"/>
          <w:szCs w:val="24"/>
        </w:rPr>
        <w:t xml:space="preserve">; </w:t>
      </w:r>
      <w:r w:rsidR="005673DA" w:rsidRPr="00472AB4">
        <w:rPr>
          <w:sz w:val="24"/>
          <w:szCs w:val="24"/>
        </w:rPr>
        <w:t>Ticagrelor</w:t>
      </w:r>
      <w:r w:rsidR="00C046C3" w:rsidRPr="00472AB4">
        <w:rPr>
          <w:sz w:val="24"/>
          <w:szCs w:val="24"/>
        </w:rPr>
        <w:t xml:space="preserve">; </w:t>
      </w:r>
      <w:r w:rsidRPr="00472AB4">
        <w:rPr>
          <w:sz w:val="24"/>
          <w:szCs w:val="24"/>
        </w:rPr>
        <w:t>Clopidogrel</w:t>
      </w:r>
      <w:r w:rsidR="00C046C3" w:rsidRPr="00472AB4">
        <w:rPr>
          <w:sz w:val="24"/>
          <w:szCs w:val="24"/>
        </w:rPr>
        <w:t>; Antiplatelet Drugs; Primary PCI</w:t>
      </w:r>
      <w:r w:rsidR="001F01D9" w:rsidRPr="00472AB4">
        <w:rPr>
          <w:b/>
          <w:sz w:val="24"/>
          <w:szCs w:val="24"/>
        </w:rPr>
        <w:br w:type="page"/>
      </w:r>
    </w:p>
    <w:p w14:paraId="4FC0C7D5" w14:textId="18F7EDF8" w:rsidR="00C81EB9" w:rsidRPr="00472AB4" w:rsidRDefault="00C81EB9" w:rsidP="00C81EB9">
      <w:pPr>
        <w:pStyle w:val="Heading1"/>
      </w:pPr>
      <w:r w:rsidRPr="00472AB4">
        <w:lastRenderedPageBreak/>
        <w:t>Key Messages</w:t>
      </w:r>
    </w:p>
    <w:p w14:paraId="31BF1371" w14:textId="5AFE35E8" w:rsidR="00C81EB9" w:rsidRPr="00472AB4" w:rsidRDefault="00C81EB9" w:rsidP="00C81EB9">
      <w:pPr>
        <w:pStyle w:val="Heading3"/>
        <w:rPr>
          <w:b/>
          <w:i w:val="0"/>
          <w:sz w:val="24"/>
          <w:szCs w:val="24"/>
        </w:rPr>
      </w:pPr>
      <w:r w:rsidRPr="00472AB4">
        <w:rPr>
          <w:b/>
          <w:i w:val="0"/>
          <w:sz w:val="24"/>
          <w:szCs w:val="24"/>
        </w:rPr>
        <w:t>What is already known about this subject?</w:t>
      </w:r>
    </w:p>
    <w:p w14:paraId="0A59A075" w14:textId="6B0381FE" w:rsidR="00C81EB9" w:rsidRPr="00472AB4" w:rsidRDefault="00C81EB9" w:rsidP="00C81EB9">
      <w:pPr>
        <w:rPr>
          <w:sz w:val="24"/>
          <w:szCs w:val="24"/>
        </w:rPr>
      </w:pPr>
      <w:r w:rsidRPr="00472AB4">
        <w:rPr>
          <w:sz w:val="24"/>
          <w:szCs w:val="24"/>
        </w:rPr>
        <w:t xml:space="preserve">Both prasugrel and ticagrelor have been shown to have clinical outcome benefit in large RCTs of heterogeneous populations with ACS. </w:t>
      </w:r>
      <w:r w:rsidR="0099409F" w:rsidRPr="00472AB4">
        <w:rPr>
          <w:sz w:val="24"/>
          <w:szCs w:val="24"/>
        </w:rPr>
        <w:t>However, there have been no head-to-head adequately randomised comparisons</w:t>
      </w:r>
      <w:r w:rsidRPr="00472AB4">
        <w:rPr>
          <w:sz w:val="24"/>
          <w:szCs w:val="24"/>
        </w:rPr>
        <w:t xml:space="preserve"> of clinical outcomes for prasugrel versus ticagrelor in PPCI.</w:t>
      </w:r>
    </w:p>
    <w:p w14:paraId="2B6D6A25" w14:textId="2DE5E8E2" w:rsidR="00C81EB9" w:rsidRPr="00472AB4" w:rsidRDefault="00C81EB9" w:rsidP="00C81EB9">
      <w:pPr>
        <w:pStyle w:val="Heading3"/>
        <w:rPr>
          <w:b/>
          <w:i w:val="0"/>
          <w:sz w:val="24"/>
          <w:szCs w:val="24"/>
        </w:rPr>
      </w:pPr>
      <w:r w:rsidRPr="00472AB4">
        <w:rPr>
          <w:b/>
          <w:i w:val="0"/>
          <w:sz w:val="24"/>
          <w:szCs w:val="24"/>
        </w:rPr>
        <w:t xml:space="preserve">What does this study add? </w:t>
      </w:r>
    </w:p>
    <w:p w14:paraId="1F8DC56A" w14:textId="70BFADFE" w:rsidR="00C81EB9" w:rsidRPr="00472AB4" w:rsidRDefault="00C81EB9" w:rsidP="00C81EB9">
      <w:pPr>
        <w:spacing w:after="0"/>
        <w:rPr>
          <w:sz w:val="24"/>
          <w:szCs w:val="24"/>
        </w:rPr>
      </w:pPr>
      <w:r w:rsidRPr="00472AB4">
        <w:rPr>
          <w:sz w:val="24"/>
          <w:szCs w:val="24"/>
        </w:rPr>
        <w:t xml:space="preserve">We observe that prasugrel was associated with significantly lower mortality than clopidogrel at both 30-days and 1-year post PCI whilst ticagrelor was not associated with any significant differences compared to clopidogrel at these timepoints. Ticagrelor is associated with significantly higher mortality in PPCI than prasugrel at both time points. </w:t>
      </w:r>
    </w:p>
    <w:p w14:paraId="1CDB4149" w14:textId="1A615D62" w:rsidR="00C81EB9" w:rsidRPr="00472AB4" w:rsidRDefault="00C81EB9" w:rsidP="00C81EB9">
      <w:pPr>
        <w:pStyle w:val="Heading3"/>
        <w:rPr>
          <w:b/>
          <w:i w:val="0"/>
          <w:sz w:val="24"/>
          <w:szCs w:val="24"/>
        </w:rPr>
      </w:pPr>
      <w:r w:rsidRPr="00472AB4">
        <w:rPr>
          <w:b/>
          <w:i w:val="0"/>
          <w:sz w:val="24"/>
          <w:szCs w:val="24"/>
        </w:rPr>
        <w:t xml:space="preserve">How this might impact on clinical practice? </w:t>
      </w:r>
    </w:p>
    <w:p w14:paraId="226455D4" w14:textId="2D777CBE" w:rsidR="00C81EB9" w:rsidRPr="00472AB4" w:rsidRDefault="00C81EB9" w:rsidP="00C81EB9">
      <w:pPr>
        <w:spacing w:after="0"/>
        <w:rPr>
          <w:sz w:val="24"/>
          <w:szCs w:val="24"/>
        </w:rPr>
      </w:pPr>
      <w:r w:rsidRPr="00472AB4">
        <w:rPr>
          <w:sz w:val="24"/>
          <w:szCs w:val="24"/>
        </w:rPr>
        <w:t xml:space="preserve">Our findings regarding the use of different P2Y12 antiplatelet agents in STEMI and their association with mortality is a timely and important contribution to the literature and one that may influence practice as best currently available evidence in the absence of a more definitive randomised controlled trial. </w:t>
      </w:r>
    </w:p>
    <w:p w14:paraId="2BCC17FB" w14:textId="77777777" w:rsidR="00C81EB9" w:rsidRPr="00472AB4" w:rsidRDefault="00C81EB9" w:rsidP="00624ED2">
      <w:pPr>
        <w:spacing w:after="0"/>
        <w:jc w:val="left"/>
        <w:rPr>
          <w:b/>
          <w:sz w:val="24"/>
          <w:szCs w:val="24"/>
        </w:rPr>
      </w:pPr>
    </w:p>
    <w:p w14:paraId="7FAA6E9D" w14:textId="77777777" w:rsidR="00C81EB9" w:rsidRPr="00472AB4" w:rsidRDefault="00C81EB9" w:rsidP="00624ED2">
      <w:pPr>
        <w:spacing w:after="0"/>
        <w:jc w:val="left"/>
        <w:rPr>
          <w:b/>
          <w:sz w:val="24"/>
          <w:szCs w:val="24"/>
        </w:rPr>
      </w:pPr>
    </w:p>
    <w:p w14:paraId="07A1A55C" w14:textId="77777777" w:rsidR="00C81EB9" w:rsidRPr="00472AB4" w:rsidRDefault="00C81EB9" w:rsidP="00624ED2">
      <w:pPr>
        <w:spacing w:after="0"/>
        <w:jc w:val="left"/>
        <w:rPr>
          <w:b/>
          <w:sz w:val="24"/>
          <w:szCs w:val="24"/>
        </w:rPr>
      </w:pPr>
    </w:p>
    <w:p w14:paraId="50F20DBC" w14:textId="77777777" w:rsidR="00C81EB9" w:rsidRPr="00472AB4" w:rsidRDefault="00C81EB9" w:rsidP="00624ED2">
      <w:pPr>
        <w:spacing w:after="0"/>
        <w:jc w:val="left"/>
        <w:rPr>
          <w:b/>
          <w:sz w:val="24"/>
          <w:szCs w:val="24"/>
        </w:rPr>
      </w:pPr>
    </w:p>
    <w:p w14:paraId="54EB4E70" w14:textId="77777777" w:rsidR="008844DD" w:rsidRPr="00472AB4" w:rsidRDefault="008844DD" w:rsidP="00624ED2">
      <w:pPr>
        <w:spacing w:after="0"/>
        <w:jc w:val="left"/>
        <w:rPr>
          <w:b/>
          <w:sz w:val="24"/>
          <w:szCs w:val="24"/>
        </w:rPr>
      </w:pPr>
    </w:p>
    <w:p w14:paraId="622D14B3" w14:textId="77777777" w:rsidR="008844DD" w:rsidRPr="00472AB4" w:rsidRDefault="008844DD" w:rsidP="00624ED2">
      <w:pPr>
        <w:spacing w:after="0"/>
        <w:jc w:val="left"/>
        <w:rPr>
          <w:b/>
          <w:sz w:val="24"/>
          <w:szCs w:val="24"/>
        </w:rPr>
      </w:pPr>
    </w:p>
    <w:p w14:paraId="767FF416" w14:textId="77777777" w:rsidR="008844DD" w:rsidRPr="00472AB4" w:rsidRDefault="008844DD" w:rsidP="00624ED2">
      <w:pPr>
        <w:spacing w:after="0"/>
        <w:jc w:val="left"/>
        <w:rPr>
          <w:b/>
          <w:sz w:val="24"/>
          <w:szCs w:val="24"/>
        </w:rPr>
      </w:pPr>
    </w:p>
    <w:p w14:paraId="07AA2F0D" w14:textId="77777777" w:rsidR="00C81EB9" w:rsidRPr="00472AB4" w:rsidRDefault="00C81EB9" w:rsidP="00624ED2">
      <w:pPr>
        <w:spacing w:after="0"/>
        <w:jc w:val="left"/>
        <w:rPr>
          <w:b/>
          <w:sz w:val="24"/>
          <w:szCs w:val="24"/>
        </w:rPr>
      </w:pPr>
    </w:p>
    <w:p w14:paraId="37736FD3" w14:textId="6D3E0C09" w:rsidR="0099409F" w:rsidRPr="00472AB4" w:rsidRDefault="0099409F" w:rsidP="00624ED2">
      <w:pPr>
        <w:spacing w:after="0"/>
        <w:jc w:val="left"/>
        <w:rPr>
          <w:b/>
          <w:sz w:val="24"/>
          <w:szCs w:val="24"/>
        </w:rPr>
      </w:pPr>
    </w:p>
    <w:p w14:paraId="65A09F7F" w14:textId="5E13C3FA" w:rsidR="0088696F" w:rsidRPr="00472AB4" w:rsidRDefault="0088696F" w:rsidP="00624ED2">
      <w:pPr>
        <w:spacing w:after="0"/>
        <w:jc w:val="left"/>
        <w:rPr>
          <w:b/>
          <w:sz w:val="24"/>
          <w:szCs w:val="24"/>
        </w:rPr>
      </w:pPr>
    </w:p>
    <w:p w14:paraId="0C08887E" w14:textId="26DBB1B5" w:rsidR="006635A0" w:rsidRPr="00472AB4" w:rsidRDefault="006635A0" w:rsidP="00624ED2">
      <w:pPr>
        <w:spacing w:after="0"/>
        <w:jc w:val="left"/>
        <w:rPr>
          <w:b/>
          <w:sz w:val="24"/>
          <w:szCs w:val="24"/>
        </w:rPr>
      </w:pPr>
      <w:r w:rsidRPr="00472AB4">
        <w:rPr>
          <w:b/>
          <w:sz w:val="24"/>
          <w:szCs w:val="24"/>
        </w:rPr>
        <w:lastRenderedPageBreak/>
        <w:t>Introduction</w:t>
      </w:r>
    </w:p>
    <w:p w14:paraId="5C8BF4A3" w14:textId="39FF94CF" w:rsidR="001F2008" w:rsidRPr="00472AB4" w:rsidRDefault="009F5B0B" w:rsidP="001F2008">
      <w:pPr>
        <w:spacing w:before="0" w:after="0"/>
        <w:rPr>
          <w:sz w:val="24"/>
          <w:szCs w:val="24"/>
        </w:rPr>
      </w:pPr>
      <w:r w:rsidRPr="00472AB4">
        <w:rPr>
          <w:sz w:val="24"/>
          <w:szCs w:val="24"/>
        </w:rPr>
        <w:t>D</w:t>
      </w:r>
      <w:r w:rsidR="005412F5" w:rsidRPr="00472AB4">
        <w:rPr>
          <w:sz w:val="24"/>
          <w:szCs w:val="24"/>
        </w:rPr>
        <w:t>ual antiplatelet therapy using</w:t>
      </w:r>
      <w:r w:rsidR="00072A37" w:rsidRPr="00472AB4">
        <w:rPr>
          <w:sz w:val="24"/>
          <w:szCs w:val="24"/>
        </w:rPr>
        <w:t xml:space="preserve"> aspirin plus </w:t>
      </w:r>
      <w:r w:rsidR="00D25F61" w:rsidRPr="00472AB4">
        <w:rPr>
          <w:sz w:val="24"/>
          <w:szCs w:val="24"/>
        </w:rPr>
        <w:t>P</w:t>
      </w:r>
      <w:r w:rsidR="00D25F61" w:rsidRPr="00472AB4">
        <w:rPr>
          <w:sz w:val="24"/>
          <w:szCs w:val="24"/>
          <w:vertAlign w:val="subscript"/>
        </w:rPr>
        <w:t>2</w:t>
      </w:r>
      <w:r w:rsidR="00D25F61" w:rsidRPr="00472AB4">
        <w:rPr>
          <w:sz w:val="24"/>
          <w:szCs w:val="24"/>
        </w:rPr>
        <w:t>Y</w:t>
      </w:r>
      <w:r w:rsidR="00D25F61" w:rsidRPr="00472AB4">
        <w:rPr>
          <w:sz w:val="24"/>
          <w:szCs w:val="24"/>
          <w:vertAlign w:val="subscript"/>
        </w:rPr>
        <w:t>12</w:t>
      </w:r>
      <w:r w:rsidR="00D25F61" w:rsidRPr="00472AB4">
        <w:rPr>
          <w:sz w:val="24"/>
          <w:szCs w:val="24"/>
        </w:rPr>
        <w:t xml:space="preserve"> inhibitor </w:t>
      </w:r>
      <w:r w:rsidR="005412F5" w:rsidRPr="00472AB4">
        <w:rPr>
          <w:sz w:val="24"/>
          <w:szCs w:val="24"/>
        </w:rPr>
        <w:t xml:space="preserve">agents such </w:t>
      </w:r>
      <w:r w:rsidR="00743E4D" w:rsidRPr="00472AB4">
        <w:rPr>
          <w:sz w:val="24"/>
          <w:szCs w:val="24"/>
        </w:rPr>
        <w:t xml:space="preserve">as </w:t>
      </w:r>
      <w:r w:rsidR="00292EF8" w:rsidRPr="00472AB4">
        <w:rPr>
          <w:sz w:val="24"/>
          <w:szCs w:val="24"/>
        </w:rPr>
        <w:t>clopidogrel</w:t>
      </w:r>
      <w:r w:rsidR="002928D1" w:rsidRPr="00472AB4">
        <w:rPr>
          <w:sz w:val="24"/>
          <w:szCs w:val="24"/>
        </w:rPr>
        <w:t xml:space="preserve"> </w:t>
      </w:r>
      <w:r w:rsidR="005C7A45" w:rsidRPr="00472AB4">
        <w:rPr>
          <w:sz w:val="24"/>
          <w:szCs w:val="24"/>
        </w:rPr>
        <w:t>in</w:t>
      </w:r>
      <w:r w:rsidR="00C904A3" w:rsidRPr="00472AB4">
        <w:rPr>
          <w:sz w:val="24"/>
          <w:szCs w:val="24"/>
        </w:rPr>
        <w:t xml:space="preserve"> </w:t>
      </w:r>
      <w:r w:rsidR="00C65941" w:rsidRPr="00472AB4">
        <w:rPr>
          <w:sz w:val="24"/>
          <w:szCs w:val="24"/>
        </w:rPr>
        <w:t xml:space="preserve">percutaneous coronary intervention (PCI) </w:t>
      </w:r>
      <w:r w:rsidR="008E0662" w:rsidRPr="00472AB4">
        <w:rPr>
          <w:sz w:val="24"/>
          <w:szCs w:val="24"/>
        </w:rPr>
        <w:t xml:space="preserve">have </w:t>
      </w:r>
      <w:r w:rsidR="008D1529" w:rsidRPr="00472AB4">
        <w:rPr>
          <w:sz w:val="24"/>
          <w:szCs w:val="24"/>
        </w:rPr>
        <w:t xml:space="preserve">improved </w:t>
      </w:r>
      <w:r w:rsidR="001B0415" w:rsidRPr="00472AB4">
        <w:rPr>
          <w:sz w:val="24"/>
          <w:szCs w:val="24"/>
        </w:rPr>
        <w:t xml:space="preserve">clinical </w:t>
      </w:r>
      <w:r w:rsidR="008D1529" w:rsidRPr="00472AB4">
        <w:rPr>
          <w:sz w:val="24"/>
          <w:szCs w:val="24"/>
        </w:rPr>
        <w:t>outcomes</w:t>
      </w:r>
      <w:r w:rsidR="00D25F61" w:rsidRPr="00472AB4">
        <w:rPr>
          <w:sz w:val="24"/>
          <w:szCs w:val="24"/>
        </w:rPr>
        <w:t>,</w:t>
      </w:r>
      <w:r w:rsidR="00C65941" w:rsidRPr="00472AB4">
        <w:rPr>
          <w:sz w:val="24"/>
          <w:szCs w:val="24"/>
        </w:rPr>
        <w:t xml:space="preserve"> </w:t>
      </w:r>
      <w:r w:rsidR="001B0415" w:rsidRPr="00472AB4">
        <w:rPr>
          <w:sz w:val="24"/>
          <w:szCs w:val="24"/>
        </w:rPr>
        <w:t xml:space="preserve">with </w:t>
      </w:r>
      <w:r w:rsidR="00C65941" w:rsidRPr="00472AB4">
        <w:rPr>
          <w:sz w:val="24"/>
          <w:szCs w:val="24"/>
        </w:rPr>
        <w:t>reduction</w:t>
      </w:r>
      <w:r w:rsidR="00D25F61" w:rsidRPr="00472AB4">
        <w:rPr>
          <w:sz w:val="24"/>
          <w:szCs w:val="24"/>
        </w:rPr>
        <w:t>s</w:t>
      </w:r>
      <w:r w:rsidR="00C65941" w:rsidRPr="00472AB4">
        <w:rPr>
          <w:sz w:val="24"/>
          <w:szCs w:val="24"/>
        </w:rPr>
        <w:t xml:space="preserve"> in stent thrombosis</w:t>
      </w:r>
      <w:r w:rsidR="00C904A3" w:rsidRPr="00472AB4">
        <w:rPr>
          <w:sz w:val="24"/>
          <w:szCs w:val="24"/>
        </w:rPr>
        <w:t xml:space="preserve"> </w:t>
      </w:r>
      <w:r w:rsidR="00964758" w:rsidRPr="00472AB4">
        <w:rPr>
          <w:sz w:val="24"/>
          <w:szCs w:val="24"/>
        </w:rPr>
        <w:t xml:space="preserve">and </w:t>
      </w:r>
      <w:r w:rsidR="001B0415" w:rsidRPr="00472AB4">
        <w:rPr>
          <w:sz w:val="24"/>
          <w:szCs w:val="24"/>
        </w:rPr>
        <w:t xml:space="preserve">improved </w:t>
      </w:r>
      <w:r w:rsidR="00964758" w:rsidRPr="00472AB4">
        <w:rPr>
          <w:sz w:val="24"/>
          <w:szCs w:val="24"/>
        </w:rPr>
        <w:t>ischaemic outcomes</w:t>
      </w:r>
      <w:r w:rsidR="006E2359" w:rsidRPr="00472AB4">
        <w:rPr>
          <w:sz w:val="24"/>
          <w:szCs w:val="24"/>
        </w:rPr>
        <w:fldChar w:fldCharType="begin"/>
      </w:r>
      <w:r w:rsidR="00CE0BB2" w:rsidRPr="00472AB4">
        <w:rPr>
          <w:sz w:val="24"/>
          <w:szCs w:val="24"/>
        </w:rPr>
        <w:instrText>ADDIN RW.CITE{{292 Schomig,A. 1996; 293 Bertrand,M.E. 2000}}</w:instrText>
      </w:r>
      <w:r w:rsidR="006E2359" w:rsidRPr="00472AB4">
        <w:rPr>
          <w:sz w:val="24"/>
          <w:szCs w:val="24"/>
        </w:rPr>
        <w:fldChar w:fldCharType="separate"/>
      </w:r>
      <w:r w:rsidR="00CE0BB2" w:rsidRPr="00472AB4">
        <w:rPr>
          <w:sz w:val="24"/>
          <w:szCs w:val="24"/>
          <w:vertAlign w:val="superscript"/>
        </w:rPr>
        <w:t>1 2</w:t>
      </w:r>
      <w:r w:rsidR="006E2359" w:rsidRPr="00472AB4">
        <w:rPr>
          <w:sz w:val="24"/>
          <w:szCs w:val="24"/>
        </w:rPr>
        <w:fldChar w:fldCharType="end"/>
      </w:r>
      <w:r w:rsidR="00D25F61" w:rsidRPr="00472AB4">
        <w:rPr>
          <w:sz w:val="24"/>
          <w:szCs w:val="24"/>
        </w:rPr>
        <w:t>.</w:t>
      </w:r>
      <w:r w:rsidR="00A3722F" w:rsidRPr="00472AB4">
        <w:rPr>
          <w:sz w:val="24"/>
          <w:szCs w:val="24"/>
        </w:rPr>
        <w:t xml:space="preserve"> </w:t>
      </w:r>
      <w:r w:rsidR="00C904A3" w:rsidRPr="00472AB4">
        <w:rPr>
          <w:sz w:val="24"/>
          <w:szCs w:val="24"/>
        </w:rPr>
        <w:t xml:space="preserve">However, </w:t>
      </w:r>
      <w:r w:rsidR="00D2436C" w:rsidRPr="00472AB4">
        <w:rPr>
          <w:sz w:val="24"/>
          <w:szCs w:val="24"/>
        </w:rPr>
        <w:t xml:space="preserve">there are </w:t>
      </w:r>
      <w:r w:rsidR="00292EF8" w:rsidRPr="00472AB4">
        <w:rPr>
          <w:sz w:val="24"/>
          <w:szCs w:val="24"/>
        </w:rPr>
        <w:t>important limitations</w:t>
      </w:r>
      <w:r w:rsidR="00184242" w:rsidRPr="00472AB4">
        <w:rPr>
          <w:sz w:val="24"/>
          <w:szCs w:val="24"/>
        </w:rPr>
        <w:t xml:space="preserve"> </w:t>
      </w:r>
      <w:r w:rsidR="00292EF8" w:rsidRPr="00472AB4">
        <w:rPr>
          <w:sz w:val="24"/>
          <w:szCs w:val="24"/>
        </w:rPr>
        <w:t>with the use of clopidogrel</w:t>
      </w:r>
      <w:r w:rsidR="00D2436C" w:rsidRPr="00472AB4">
        <w:rPr>
          <w:sz w:val="24"/>
          <w:szCs w:val="24"/>
        </w:rPr>
        <w:t xml:space="preserve">. </w:t>
      </w:r>
      <w:r w:rsidR="00983789" w:rsidRPr="00472AB4">
        <w:rPr>
          <w:sz w:val="24"/>
          <w:szCs w:val="24"/>
        </w:rPr>
        <w:t xml:space="preserve"> </w:t>
      </w:r>
      <w:r w:rsidR="008D1529" w:rsidRPr="00472AB4">
        <w:rPr>
          <w:sz w:val="24"/>
          <w:szCs w:val="24"/>
        </w:rPr>
        <w:t>G</w:t>
      </w:r>
      <w:r w:rsidR="00983789" w:rsidRPr="00472AB4">
        <w:rPr>
          <w:sz w:val="24"/>
          <w:szCs w:val="24"/>
        </w:rPr>
        <w:t xml:space="preserve">enetic variability in the enzymatic activation of </w:t>
      </w:r>
      <w:r w:rsidR="00292EF8" w:rsidRPr="00472AB4">
        <w:rPr>
          <w:sz w:val="24"/>
          <w:szCs w:val="24"/>
        </w:rPr>
        <w:t>clopidogrel</w:t>
      </w:r>
      <w:r w:rsidR="00983789" w:rsidRPr="00472AB4">
        <w:rPr>
          <w:sz w:val="24"/>
          <w:szCs w:val="24"/>
        </w:rPr>
        <w:t xml:space="preserve"> </w:t>
      </w:r>
      <w:r w:rsidR="0038534C" w:rsidRPr="00472AB4">
        <w:rPr>
          <w:sz w:val="24"/>
          <w:szCs w:val="24"/>
        </w:rPr>
        <w:t xml:space="preserve">is associated with functional </w:t>
      </w:r>
      <w:r w:rsidR="00983789" w:rsidRPr="00472AB4">
        <w:rPr>
          <w:sz w:val="24"/>
          <w:szCs w:val="24"/>
        </w:rPr>
        <w:t>‘hypo’</w:t>
      </w:r>
      <w:r w:rsidR="00D2436C" w:rsidRPr="00472AB4">
        <w:rPr>
          <w:sz w:val="24"/>
          <w:szCs w:val="24"/>
        </w:rPr>
        <w:t>-</w:t>
      </w:r>
      <w:r w:rsidR="00983789" w:rsidRPr="00472AB4">
        <w:rPr>
          <w:sz w:val="24"/>
          <w:szCs w:val="24"/>
        </w:rPr>
        <w:t xml:space="preserve">responders to this drug, </w:t>
      </w:r>
      <w:r w:rsidR="008D1529" w:rsidRPr="00472AB4">
        <w:rPr>
          <w:sz w:val="24"/>
          <w:szCs w:val="24"/>
        </w:rPr>
        <w:t>with</w:t>
      </w:r>
      <w:r w:rsidR="00D2436C" w:rsidRPr="00472AB4">
        <w:rPr>
          <w:sz w:val="24"/>
          <w:szCs w:val="24"/>
        </w:rPr>
        <w:t xml:space="preserve"> individuals </w:t>
      </w:r>
      <w:r w:rsidR="00983789" w:rsidRPr="00472AB4">
        <w:rPr>
          <w:sz w:val="24"/>
          <w:szCs w:val="24"/>
        </w:rPr>
        <w:t xml:space="preserve">at increased risk of adverse </w:t>
      </w:r>
      <w:r w:rsidR="00D2436C" w:rsidRPr="00472AB4">
        <w:rPr>
          <w:sz w:val="24"/>
          <w:szCs w:val="24"/>
        </w:rPr>
        <w:t>ischaemic</w:t>
      </w:r>
      <w:r w:rsidR="00983789" w:rsidRPr="00472AB4">
        <w:rPr>
          <w:sz w:val="24"/>
          <w:szCs w:val="24"/>
        </w:rPr>
        <w:t xml:space="preserve"> events</w:t>
      </w:r>
      <w:r w:rsidR="000F16DE" w:rsidRPr="00472AB4">
        <w:rPr>
          <w:sz w:val="24"/>
          <w:szCs w:val="24"/>
        </w:rPr>
        <w:fldChar w:fldCharType="begin"/>
      </w:r>
      <w:r w:rsidR="00CE0BB2" w:rsidRPr="00472AB4">
        <w:rPr>
          <w:sz w:val="24"/>
          <w:szCs w:val="24"/>
        </w:rPr>
        <w:instrText>ADDIN RW.CITE{{294 Gawaz, Meinrad 2009}}</w:instrText>
      </w:r>
      <w:r w:rsidR="000F16DE" w:rsidRPr="00472AB4">
        <w:rPr>
          <w:sz w:val="24"/>
          <w:szCs w:val="24"/>
        </w:rPr>
        <w:fldChar w:fldCharType="separate"/>
      </w:r>
      <w:r w:rsidR="00CE0BB2" w:rsidRPr="00472AB4">
        <w:rPr>
          <w:rFonts w:eastAsia="Times New Roman"/>
          <w:sz w:val="24"/>
          <w:vertAlign w:val="superscript"/>
        </w:rPr>
        <w:t>3</w:t>
      </w:r>
      <w:r w:rsidR="000F16DE" w:rsidRPr="00472AB4">
        <w:rPr>
          <w:sz w:val="24"/>
          <w:szCs w:val="24"/>
        </w:rPr>
        <w:fldChar w:fldCharType="end"/>
      </w:r>
      <w:r w:rsidR="00545554" w:rsidRPr="00472AB4">
        <w:rPr>
          <w:sz w:val="24"/>
          <w:szCs w:val="24"/>
        </w:rPr>
        <w:t xml:space="preserve">. </w:t>
      </w:r>
      <w:r w:rsidR="008D1529" w:rsidRPr="00472AB4">
        <w:rPr>
          <w:sz w:val="24"/>
          <w:szCs w:val="24"/>
        </w:rPr>
        <w:t>T</w:t>
      </w:r>
      <w:r w:rsidR="00983789" w:rsidRPr="00472AB4">
        <w:rPr>
          <w:sz w:val="24"/>
          <w:szCs w:val="24"/>
        </w:rPr>
        <w:t xml:space="preserve">he </w:t>
      </w:r>
      <w:r w:rsidR="00D2436C" w:rsidRPr="00472AB4">
        <w:rPr>
          <w:sz w:val="24"/>
          <w:szCs w:val="24"/>
        </w:rPr>
        <w:t>relatively slow</w:t>
      </w:r>
      <w:r w:rsidR="00983789" w:rsidRPr="00472AB4">
        <w:rPr>
          <w:sz w:val="24"/>
          <w:szCs w:val="24"/>
        </w:rPr>
        <w:t xml:space="preserve"> onset of action</w:t>
      </w:r>
      <w:r w:rsidR="00E65F4B" w:rsidRPr="00472AB4">
        <w:rPr>
          <w:sz w:val="24"/>
          <w:szCs w:val="24"/>
        </w:rPr>
        <w:t>,</w:t>
      </w:r>
      <w:r w:rsidR="00132656" w:rsidRPr="00472AB4">
        <w:rPr>
          <w:sz w:val="24"/>
          <w:szCs w:val="24"/>
        </w:rPr>
        <w:t xml:space="preserve"> even</w:t>
      </w:r>
      <w:r w:rsidR="00350849" w:rsidRPr="00472AB4">
        <w:rPr>
          <w:sz w:val="24"/>
          <w:szCs w:val="24"/>
        </w:rPr>
        <w:t xml:space="preserve"> with high dose loading regimen</w:t>
      </w:r>
      <w:r w:rsidR="00132656" w:rsidRPr="00472AB4">
        <w:rPr>
          <w:sz w:val="24"/>
          <w:szCs w:val="24"/>
        </w:rPr>
        <w:t>s</w:t>
      </w:r>
      <w:r w:rsidR="000F16DE" w:rsidRPr="00472AB4">
        <w:rPr>
          <w:sz w:val="24"/>
          <w:szCs w:val="24"/>
        </w:rPr>
        <w:fldChar w:fldCharType="begin"/>
      </w:r>
      <w:r w:rsidR="00CE0BB2" w:rsidRPr="00472AB4">
        <w:rPr>
          <w:sz w:val="24"/>
          <w:szCs w:val="24"/>
        </w:rPr>
        <w:instrText>ADDIN RW.CITE{{295 Hochholzer,W. 2005}}</w:instrText>
      </w:r>
      <w:r w:rsidR="000F16DE" w:rsidRPr="00472AB4">
        <w:rPr>
          <w:sz w:val="24"/>
          <w:szCs w:val="24"/>
        </w:rPr>
        <w:fldChar w:fldCharType="separate"/>
      </w:r>
      <w:r w:rsidR="00CE0BB2" w:rsidRPr="00472AB4">
        <w:rPr>
          <w:rFonts w:eastAsia="Times New Roman"/>
          <w:sz w:val="24"/>
          <w:vertAlign w:val="superscript"/>
        </w:rPr>
        <w:t>4</w:t>
      </w:r>
      <w:r w:rsidR="000F16DE" w:rsidRPr="00472AB4">
        <w:rPr>
          <w:sz w:val="24"/>
          <w:szCs w:val="24"/>
        </w:rPr>
        <w:fldChar w:fldCharType="end"/>
      </w:r>
      <w:r w:rsidR="00D2436C" w:rsidRPr="00472AB4">
        <w:rPr>
          <w:sz w:val="24"/>
          <w:szCs w:val="24"/>
        </w:rPr>
        <w:t>,</w:t>
      </w:r>
      <w:r w:rsidR="00132656" w:rsidRPr="00472AB4">
        <w:rPr>
          <w:sz w:val="24"/>
          <w:szCs w:val="24"/>
        </w:rPr>
        <w:t xml:space="preserve"> </w:t>
      </w:r>
      <w:r w:rsidR="00072A37" w:rsidRPr="00472AB4">
        <w:rPr>
          <w:sz w:val="24"/>
          <w:szCs w:val="24"/>
        </w:rPr>
        <w:t>may be</w:t>
      </w:r>
      <w:r w:rsidR="00132656" w:rsidRPr="00472AB4">
        <w:rPr>
          <w:sz w:val="24"/>
          <w:szCs w:val="24"/>
        </w:rPr>
        <w:t xml:space="preserve"> </w:t>
      </w:r>
      <w:r w:rsidR="00D2436C" w:rsidRPr="00472AB4">
        <w:rPr>
          <w:sz w:val="24"/>
          <w:szCs w:val="24"/>
        </w:rPr>
        <w:t>disadvantageous</w:t>
      </w:r>
      <w:r w:rsidR="00132656" w:rsidRPr="00472AB4">
        <w:rPr>
          <w:sz w:val="24"/>
          <w:szCs w:val="24"/>
        </w:rPr>
        <w:t xml:space="preserve"> in the </w:t>
      </w:r>
      <w:r w:rsidR="00D2436C" w:rsidRPr="00472AB4">
        <w:rPr>
          <w:sz w:val="24"/>
          <w:szCs w:val="24"/>
        </w:rPr>
        <w:t xml:space="preserve">emergency </w:t>
      </w:r>
      <w:r w:rsidR="00132656" w:rsidRPr="00472AB4">
        <w:rPr>
          <w:sz w:val="24"/>
          <w:szCs w:val="24"/>
        </w:rPr>
        <w:t xml:space="preserve">setting of </w:t>
      </w:r>
      <w:r w:rsidR="004D4918" w:rsidRPr="00472AB4">
        <w:rPr>
          <w:sz w:val="24"/>
          <w:szCs w:val="24"/>
        </w:rPr>
        <w:t xml:space="preserve">primary PCI for </w:t>
      </w:r>
      <w:r w:rsidR="00132656" w:rsidRPr="00472AB4">
        <w:rPr>
          <w:sz w:val="24"/>
          <w:szCs w:val="24"/>
        </w:rPr>
        <w:t>ST elevation myocardial infarction</w:t>
      </w:r>
      <w:r w:rsidR="008D4C7E" w:rsidRPr="00472AB4">
        <w:rPr>
          <w:sz w:val="24"/>
          <w:szCs w:val="24"/>
        </w:rPr>
        <w:t xml:space="preserve"> (STEMI)</w:t>
      </w:r>
      <w:r w:rsidR="00B84111" w:rsidRPr="00472AB4">
        <w:rPr>
          <w:sz w:val="24"/>
          <w:szCs w:val="24"/>
        </w:rPr>
        <w:t xml:space="preserve">. </w:t>
      </w:r>
      <w:r w:rsidR="005D5EA6" w:rsidRPr="00472AB4">
        <w:rPr>
          <w:sz w:val="24"/>
          <w:szCs w:val="24"/>
        </w:rPr>
        <w:t>Such limitations</w:t>
      </w:r>
      <w:r w:rsidR="00813C1B" w:rsidRPr="00472AB4">
        <w:rPr>
          <w:sz w:val="24"/>
          <w:szCs w:val="24"/>
        </w:rPr>
        <w:t xml:space="preserve"> stimulated</w:t>
      </w:r>
      <w:r w:rsidR="00C1051F" w:rsidRPr="00472AB4">
        <w:rPr>
          <w:sz w:val="24"/>
          <w:szCs w:val="24"/>
        </w:rPr>
        <w:t xml:space="preserve"> the drive for novel </w:t>
      </w:r>
      <w:r w:rsidR="0038534C" w:rsidRPr="00472AB4">
        <w:rPr>
          <w:sz w:val="24"/>
          <w:szCs w:val="24"/>
        </w:rPr>
        <w:t>P2Y12 inhibitors</w:t>
      </w:r>
      <w:r w:rsidR="00DF0A33" w:rsidRPr="00472AB4">
        <w:rPr>
          <w:sz w:val="24"/>
          <w:szCs w:val="24"/>
        </w:rPr>
        <w:t xml:space="preserve">, </w:t>
      </w:r>
      <w:r w:rsidR="007A4A12" w:rsidRPr="00472AB4">
        <w:rPr>
          <w:sz w:val="24"/>
          <w:szCs w:val="24"/>
        </w:rPr>
        <w:t xml:space="preserve">including </w:t>
      </w:r>
      <w:r w:rsidR="00292EF8" w:rsidRPr="00472AB4">
        <w:rPr>
          <w:sz w:val="24"/>
          <w:szCs w:val="24"/>
        </w:rPr>
        <w:t>prasugrel</w:t>
      </w:r>
      <w:r w:rsidR="007A4A12" w:rsidRPr="00472AB4">
        <w:rPr>
          <w:sz w:val="24"/>
          <w:szCs w:val="24"/>
        </w:rPr>
        <w:t xml:space="preserve"> and ticagrelor, </w:t>
      </w:r>
      <w:r w:rsidR="00DF0A33" w:rsidRPr="00472AB4">
        <w:rPr>
          <w:sz w:val="24"/>
          <w:szCs w:val="24"/>
        </w:rPr>
        <w:t>offering</w:t>
      </w:r>
      <w:r w:rsidR="00C1051F" w:rsidRPr="00472AB4">
        <w:rPr>
          <w:sz w:val="24"/>
          <w:szCs w:val="24"/>
        </w:rPr>
        <w:t xml:space="preserve"> </w:t>
      </w:r>
      <w:r w:rsidR="00A03C69" w:rsidRPr="00472AB4">
        <w:rPr>
          <w:sz w:val="24"/>
          <w:szCs w:val="24"/>
        </w:rPr>
        <w:t xml:space="preserve">faster onset and </w:t>
      </w:r>
      <w:r w:rsidR="00C1051F" w:rsidRPr="00472AB4">
        <w:rPr>
          <w:sz w:val="24"/>
          <w:szCs w:val="24"/>
        </w:rPr>
        <w:t>more potent inhibition</w:t>
      </w:r>
      <w:r w:rsidR="00A03C69" w:rsidRPr="00472AB4">
        <w:rPr>
          <w:sz w:val="24"/>
          <w:szCs w:val="24"/>
        </w:rPr>
        <w:t xml:space="preserve"> of platelet activity</w:t>
      </w:r>
      <w:r w:rsidR="00C1051F" w:rsidRPr="00472AB4">
        <w:rPr>
          <w:sz w:val="24"/>
          <w:szCs w:val="24"/>
        </w:rPr>
        <w:t xml:space="preserve">. </w:t>
      </w:r>
      <w:r w:rsidR="007A4A12" w:rsidRPr="00472AB4">
        <w:rPr>
          <w:sz w:val="24"/>
          <w:szCs w:val="24"/>
        </w:rPr>
        <w:t xml:space="preserve">Both </w:t>
      </w:r>
      <w:r w:rsidR="00292EF8" w:rsidRPr="00472AB4">
        <w:rPr>
          <w:sz w:val="24"/>
          <w:szCs w:val="24"/>
        </w:rPr>
        <w:t>prasugrel</w:t>
      </w:r>
      <w:r w:rsidR="007A4A12" w:rsidRPr="00472AB4">
        <w:rPr>
          <w:sz w:val="24"/>
          <w:szCs w:val="24"/>
        </w:rPr>
        <w:t xml:space="preserve"> and ticagrelor have been shown to have clinical outcome benefit in large randomised</w:t>
      </w:r>
      <w:r w:rsidR="00E06AF7" w:rsidRPr="00472AB4">
        <w:rPr>
          <w:sz w:val="24"/>
          <w:szCs w:val="24"/>
        </w:rPr>
        <w:t xml:space="preserve"> trials </w:t>
      </w:r>
      <w:r w:rsidR="008D1529" w:rsidRPr="00472AB4">
        <w:rPr>
          <w:sz w:val="24"/>
          <w:szCs w:val="24"/>
        </w:rPr>
        <w:t>in</w:t>
      </w:r>
      <w:r w:rsidR="0038534C" w:rsidRPr="00472AB4">
        <w:rPr>
          <w:sz w:val="24"/>
          <w:szCs w:val="24"/>
        </w:rPr>
        <w:t xml:space="preserve"> a variety of </w:t>
      </w:r>
      <w:r w:rsidR="00E06AF7" w:rsidRPr="00472AB4">
        <w:rPr>
          <w:sz w:val="24"/>
          <w:szCs w:val="24"/>
        </w:rPr>
        <w:t>acute coronary syndrome</w:t>
      </w:r>
      <w:r w:rsidR="0038534C" w:rsidRPr="00472AB4">
        <w:rPr>
          <w:sz w:val="24"/>
          <w:szCs w:val="24"/>
        </w:rPr>
        <w:t>s</w:t>
      </w:r>
      <w:r w:rsidR="00E06AF7" w:rsidRPr="00472AB4">
        <w:rPr>
          <w:sz w:val="24"/>
          <w:szCs w:val="24"/>
        </w:rPr>
        <w:t xml:space="preserve"> </w:t>
      </w:r>
      <w:r w:rsidR="00385E76" w:rsidRPr="00472AB4">
        <w:rPr>
          <w:sz w:val="24"/>
          <w:szCs w:val="24"/>
        </w:rPr>
        <w:t xml:space="preserve">(ACS) </w:t>
      </w:r>
      <w:r w:rsidR="000F16DE" w:rsidRPr="00472AB4">
        <w:rPr>
          <w:sz w:val="24"/>
          <w:szCs w:val="24"/>
        </w:rPr>
        <w:fldChar w:fldCharType="begin"/>
      </w:r>
      <w:r w:rsidR="00CE0BB2" w:rsidRPr="00472AB4">
        <w:rPr>
          <w:sz w:val="24"/>
          <w:szCs w:val="24"/>
        </w:rPr>
        <w:instrText>ADDIN RW.CITE{{296 Wallentin, Lars 2009;297 Wiviott, Stephen D 2007}}</w:instrText>
      </w:r>
      <w:r w:rsidR="000F16DE" w:rsidRPr="00472AB4">
        <w:rPr>
          <w:sz w:val="24"/>
          <w:szCs w:val="24"/>
        </w:rPr>
        <w:fldChar w:fldCharType="separate"/>
      </w:r>
      <w:r w:rsidR="00CE0BB2" w:rsidRPr="00472AB4">
        <w:rPr>
          <w:rFonts w:eastAsia="Times New Roman"/>
          <w:sz w:val="24"/>
          <w:vertAlign w:val="superscript"/>
        </w:rPr>
        <w:t>5 6</w:t>
      </w:r>
      <w:r w:rsidR="000F16DE" w:rsidRPr="00472AB4">
        <w:rPr>
          <w:sz w:val="24"/>
          <w:szCs w:val="24"/>
        </w:rPr>
        <w:fldChar w:fldCharType="end"/>
      </w:r>
      <w:r w:rsidR="001F2008" w:rsidRPr="00472AB4">
        <w:rPr>
          <w:sz w:val="24"/>
          <w:szCs w:val="24"/>
        </w:rPr>
        <w:t xml:space="preserve"> </w:t>
      </w:r>
      <w:r w:rsidR="00743E4D" w:rsidRPr="00472AB4">
        <w:rPr>
          <w:sz w:val="24"/>
          <w:szCs w:val="24"/>
        </w:rPr>
        <w:t>albeit</w:t>
      </w:r>
      <w:r w:rsidR="00E06AF7" w:rsidRPr="00472AB4">
        <w:rPr>
          <w:sz w:val="24"/>
          <w:szCs w:val="24"/>
        </w:rPr>
        <w:t xml:space="preserve"> </w:t>
      </w:r>
      <w:r w:rsidR="001F2008" w:rsidRPr="00472AB4">
        <w:rPr>
          <w:sz w:val="24"/>
          <w:szCs w:val="24"/>
        </w:rPr>
        <w:t>at</w:t>
      </w:r>
      <w:r w:rsidR="00E06AF7" w:rsidRPr="00472AB4">
        <w:rPr>
          <w:sz w:val="24"/>
          <w:szCs w:val="24"/>
        </w:rPr>
        <w:t xml:space="preserve"> increased risk of non-CABG r</w:t>
      </w:r>
      <w:r w:rsidR="00EE532D" w:rsidRPr="00472AB4">
        <w:rPr>
          <w:sz w:val="24"/>
          <w:szCs w:val="24"/>
        </w:rPr>
        <w:t xml:space="preserve">elated major bleeding. </w:t>
      </w:r>
      <w:r w:rsidR="00954721" w:rsidRPr="00472AB4">
        <w:rPr>
          <w:sz w:val="24"/>
          <w:szCs w:val="24"/>
        </w:rPr>
        <w:t>U</w:t>
      </w:r>
      <w:r w:rsidR="008C0A09" w:rsidRPr="00472AB4">
        <w:rPr>
          <w:sz w:val="24"/>
          <w:szCs w:val="24"/>
        </w:rPr>
        <w:t xml:space="preserve">se of these </w:t>
      </w:r>
      <w:r w:rsidR="00EE532D" w:rsidRPr="00472AB4">
        <w:rPr>
          <w:sz w:val="24"/>
          <w:szCs w:val="24"/>
        </w:rPr>
        <w:t>novel agents</w:t>
      </w:r>
      <w:r w:rsidR="0038534C" w:rsidRPr="00472AB4">
        <w:rPr>
          <w:sz w:val="24"/>
          <w:szCs w:val="24"/>
        </w:rPr>
        <w:t xml:space="preserve"> in the United Kingdom</w:t>
      </w:r>
      <w:r w:rsidR="008C0A09" w:rsidRPr="00472AB4">
        <w:rPr>
          <w:sz w:val="24"/>
          <w:szCs w:val="24"/>
        </w:rPr>
        <w:t xml:space="preserve"> has</w:t>
      </w:r>
      <w:r w:rsidR="00E06AF7" w:rsidRPr="00472AB4">
        <w:rPr>
          <w:sz w:val="24"/>
          <w:szCs w:val="24"/>
        </w:rPr>
        <w:t xml:space="preserve"> </w:t>
      </w:r>
      <w:r w:rsidR="008C0A09" w:rsidRPr="00472AB4">
        <w:rPr>
          <w:sz w:val="24"/>
          <w:szCs w:val="24"/>
        </w:rPr>
        <w:t xml:space="preserve">been targeted in </w:t>
      </w:r>
      <w:r w:rsidR="00EE532D" w:rsidRPr="00472AB4">
        <w:rPr>
          <w:sz w:val="24"/>
          <w:szCs w:val="24"/>
        </w:rPr>
        <w:t>real</w:t>
      </w:r>
      <w:r w:rsidR="0038534C" w:rsidRPr="00472AB4">
        <w:rPr>
          <w:sz w:val="24"/>
          <w:szCs w:val="24"/>
        </w:rPr>
        <w:t xml:space="preserve"> </w:t>
      </w:r>
      <w:r w:rsidR="00EE532D" w:rsidRPr="00472AB4">
        <w:rPr>
          <w:sz w:val="24"/>
          <w:szCs w:val="24"/>
        </w:rPr>
        <w:t xml:space="preserve">world </w:t>
      </w:r>
      <w:r w:rsidR="008C0A09" w:rsidRPr="00472AB4">
        <w:rPr>
          <w:sz w:val="24"/>
          <w:szCs w:val="24"/>
        </w:rPr>
        <w:t>practice</w:t>
      </w:r>
      <w:r w:rsidR="00786DCC" w:rsidRPr="00472AB4">
        <w:rPr>
          <w:sz w:val="24"/>
          <w:szCs w:val="24"/>
        </w:rPr>
        <w:t xml:space="preserve"> to </w:t>
      </w:r>
      <w:r w:rsidR="00EE532D" w:rsidRPr="00472AB4">
        <w:rPr>
          <w:sz w:val="24"/>
          <w:szCs w:val="24"/>
        </w:rPr>
        <w:t xml:space="preserve">those contexts where </w:t>
      </w:r>
      <w:r w:rsidR="00786DCC" w:rsidRPr="00472AB4">
        <w:rPr>
          <w:sz w:val="24"/>
          <w:szCs w:val="24"/>
        </w:rPr>
        <w:t>ischaemi</w:t>
      </w:r>
      <w:r w:rsidR="001F2008" w:rsidRPr="00472AB4">
        <w:rPr>
          <w:sz w:val="24"/>
          <w:szCs w:val="24"/>
        </w:rPr>
        <w:t>c</w:t>
      </w:r>
      <w:r w:rsidR="008C0A09" w:rsidRPr="00472AB4">
        <w:rPr>
          <w:sz w:val="24"/>
          <w:szCs w:val="24"/>
        </w:rPr>
        <w:t xml:space="preserve"> risk</w:t>
      </w:r>
      <w:r w:rsidR="00EE532D" w:rsidRPr="00472AB4">
        <w:rPr>
          <w:sz w:val="24"/>
          <w:szCs w:val="24"/>
        </w:rPr>
        <w:t>s are</w:t>
      </w:r>
      <w:r w:rsidR="008C0A09" w:rsidRPr="00472AB4">
        <w:rPr>
          <w:sz w:val="24"/>
          <w:szCs w:val="24"/>
        </w:rPr>
        <w:t xml:space="preserve"> </w:t>
      </w:r>
      <w:r w:rsidR="001F2008" w:rsidRPr="00472AB4">
        <w:rPr>
          <w:sz w:val="24"/>
          <w:szCs w:val="24"/>
        </w:rPr>
        <w:t>greatest</w:t>
      </w:r>
      <w:r w:rsidR="00703116" w:rsidRPr="00472AB4">
        <w:rPr>
          <w:sz w:val="24"/>
          <w:szCs w:val="24"/>
        </w:rPr>
        <w:t>,</w:t>
      </w:r>
      <w:r w:rsidR="0038534C" w:rsidRPr="00472AB4">
        <w:rPr>
          <w:sz w:val="24"/>
          <w:szCs w:val="24"/>
        </w:rPr>
        <w:t xml:space="preserve"> </w:t>
      </w:r>
      <w:r w:rsidR="00703116" w:rsidRPr="00472AB4">
        <w:rPr>
          <w:sz w:val="24"/>
          <w:szCs w:val="24"/>
        </w:rPr>
        <w:t>such as in primary PCI</w:t>
      </w:r>
      <w:r w:rsidR="008C0A09" w:rsidRPr="00472AB4">
        <w:rPr>
          <w:sz w:val="24"/>
          <w:szCs w:val="24"/>
        </w:rPr>
        <w:t xml:space="preserve">. </w:t>
      </w:r>
      <w:r w:rsidR="00C8775C" w:rsidRPr="00472AB4">
        <w:rPr>
          <w:sz w:val="24"/>
          <w:szCs w:val="24"/>
        </w:rPr>
        <w:t>I</w:t>
      </w:r>
      <w:r w:rsidR="00D52E9C" w:rsidRPr="00472AB4">
        <w:rPr>
          <w:sz w:val="24"/>
          <w:szCs w:val="24"/>
        </w:rPr>
        <w:t xml:space="preserve">t is notable that the </w:t>
      </w:r>
      <w:r w:rsidR="00D52E9C" w:rsidRPr="00472AB4">
        <w:rPr>
          <w:i/>
          <w:sz w:val="24"/>
          <w:szCs w:val="24"/>
        </w:rPr>
        <w:t>post hoc</w:t>
      </w:r>
      <w:r w:rsidR="00D52E9C" w:rsidRPr="00472AB4">
        <w:rPr>
          <w:sz w:val="24"/>
          <w:szCs w:val="24"/>
        </w:rPr>
        <w:t xml:space="preserve"> analyses of both PLATO and TRITON TIMI</w:t>
      </w:r>
      <w:r w:rsidR="009E4080" w:rsidRPr="00472AB4">
        <w:rPr>
          <w:sz w:val="24"/>
          <w:szCs w:val="24"/>
        </w:rPr>
        <w:t xml:space="preserve"> </w:t>
      </w:r>
      <w:r w:rsidR="0088696F" w:rsidRPr="00472AB4">
        <w:rPr>
          <w:sz w:val="24"/>
          <w:szCs w:val="24"/>
        </w:rPr>
        <w:t>3</w:t>
      </w:r>
      <w:r w:rsidR="00D52E9C" w:rsidRPr="00472AB4">
        <w:rPr>
          <w:sz w:val="24"/>
          <w:szCs w:val="24"/>
        </w:rPr>
        <w:t xml:space="preserve">8 failed to show a </w:t>
      </w:r>
      <w:r w:rsidR="006342C4" w:rsidRPr="00472AB4">
        <w:rPr>
          <w:sz w:val="24"/>
          <w:szCs w:val="24"/>
        </w:rPr>
        <w:t xml:space="preserve">statistically </w:t>
      </w:r>
      <w:r w:rsidR="00D52E9C" w:rsidRPr="00472AB4">
        <w:rPr>
          <w:sz w:val="24"/>
          <w:szCs w:val="24"/>
        </w:rPr>
        <w:t xml:space="preserve">significant benefit for </w:t>
      </w:r>
      <w:r w:rsidR="00292EF8" w:rsidRPr="00472AB4">
        <w:rPr>
          <w:sz w:val="24"/>
          <w:szCs w:val="24"/>
        </w:rPr>
        <w:t>t</w:t>
      </w:r>
      <w:r w:rsidR="005673DA" w:rsidRPr="00472AB4">
        <w:rPr>
          <w:sz w:val="24"/>
          <w:szCs w:val="24"/>
        </w:rPr>
        <w:t>icagrelor</w:t>
      </w:r>
      <w:r w:rsidR="00D52E9C" w:rsidRPr="00472AB4">
        <w:rPr>
          <w:sz w:val="24"/>
          <w:szCs w:val="24"/>
        </w:rPr>
        <w:t xml:space="preserve"> or </w:t>
      </w:r>
      <w:r w:rsidR="00292EF8" w:rsidRPr="00472AB4">
        <w:rPr>
          <w:sz w:val="24"/>
          <w:szCs w:val="24"/>
        </w:rPr>
        <w:t>prasugrel</w:t>
      </w:r>
      <w:r w:rsidR="00D52E9C" w:rsidRPr="00472AB4">
        <w:rPr>
          <w:sz w:val="24"/>
          <w:szCs w:val="24"/>
        </w:rPr>
        <w:t xml:space="preserve"> over </w:t>
      </w:r>
      <w:r w:rsidR="00292EF8" w:rsidRPr="00472AB4">
        <w:rPr>
          <w:sz w:val="24"/>
          <w:szCs w:val="24"/>
        </w:rPr>
        <w:t>clopidogrel</w:t>
      </w:r>
      <w:r w:rsidR="00D52E9C" w:rsidRPr="00472AB4">
        <w:rPr>
          <w:sz w:val="24"/>
          <w:szCs w:val="24"/>
        </w:rPr>
        <w:t xml:space="preserve"> in the primary PCI subgroups of their heterogeneous </w:t>
      </w:r>
      <w:r w:rsidR="00680036" w:rsidRPr="00472AB4">
        <w:rPr>
          <w:sz w:val="24"/>
          <w:szCs w:val="24"/>
        </w:rPr>
        <w:t>ACS populations</w:t>
      </w:r>
      <w:r w:rsidR="000F16DE" w:rsidRPr="00472AB4">
        <w:rPr>
          <w:sz w:val="24"/>
          <w:szCs w:val="24"/>
        </w:rPr>
        <w:fldChar w:fldCharType="begin"/>
      </w:r>
      <w:r w:rsidR="00CE0BB2" w:rsidRPr="00472AB4">
        <w:rPr>
          <w:sz w:val="24"/>
          <w:szCs w:val="24"/>
        </w:rPr>
        <w:instrText>ADDIN RW.CITE{{298 Montalescot, Gilles 2009;299 Steg,P.G. 2010}}</w:instrText>
      </w:r>
      <w:r w:rsidR="000F16DE" w:rsidRPr="00472AB4">
        <w:rPr>
          <w:sz w:val="24"/>
          <w:szCs w:val="24"/>
        </w:rPr>
        <w:fldChar w:fldCharType="separate"/>
      </w:r>
      <w:r w:rsidR="00CE0BB2" w:rsidRPr="00472AB4">
        <w:rPr>
          <w:rFonts w:eastAsia="Times New Roman"/>
          <w:sz w:val="24"/>
          <w:vertAlign w:val="superscript"/>
        </w:rPr>
        <w:t>7 8</w:t>
      </w:r>
      <w:r w:rsidR="000F16DE" w:rsidRPr="00472AB4">
        <w:rPr>
          <w:sz w:val="24"/>
          <w:szCs w:val="24"/>
        </w:rPr>
        <w:fldChar w:fldCharType="end"/>
      </w:r>
      <w:r w:rsidR="008D1529" w:rsidRPr="00472AB4">
        <w:rPr>
          <w:sz w:val="24"/>
          <w:szCs w:val="24"/>
        </w:rPr>
        <w:t xml:space="preserve"> </w:t>
      </w:r>
      <w:r w:rsidR="005D5EA6" w:rsidRPr="00472AB4">
        <w:rPr>
          <w:sz w:val="24"/>
          <w:szCs w:val="24"/>
        </w:rPr>
        <w:t xml:space="preserve">and </w:t>
      </w:r>
      <w:r w:rsidR="008D1529" w:rsidRPr="00472AB4">
        <w:rPr>
          <w:sz w:val="24"/>
          <w:szCs w:val="24"/>
        </w:rPr>
        <w:t xml:space="preserve">infact </w:t>
      </w:r>
      <w:r w:rsidR="005D5EA6" w:rsidRPr="00472AB4">
        <w:rPr>
          <w:sz w:val="24"/>
          <w:szCs w:val="24"/>
        </w:rPr>
        <w:t>only 6</w:t>
      </w:r>
      <w:r w:rsidR="00D160FF" w:rsidRPr="00472AB4">
        <w:rPr>
          <w:sz w:val="24"/>
          <w:szCs w:val="24"/>
        </w:rPr>
        <w:t>8</w:t>
      </w:r>
      <w:r w:rsidR="005D5EA6" w:rsidRPr="00472AB4">
        <w:rPr>
          <w:sz w:val="24"/>
          <w:szCs w:val="24"/>
        </w:rPr>
        <w:t>%</w:t>
      </w:r>
      <w:r w:rsidR="00680036" w:rsidRPr="00472AB4">
        <w:rPr>
          <w:sz w:val="24"/>
          <w:szCs w:val="24"/>
        </w:rPr>
        <w:t xml:space="preserve"> </w:t>
      </w:r>
      <w:r w:rsidR="0088696F" w:rsidRPr="00472AB4">
        <w:rPr>
          <w:sz w:val="24"/>
          <w:szCs w:val="24"/>
        </w:rPr>
        <w:t>of the TRITON TIMI 3</w:t>
      </w:r>
      <w:r w:rsidR="00D160FF" w:rsidRPr="00472AB4">
        <w:rPr>
          <w:sz w:val="24"/>
          <w:szCs w:val="24"/>
        </w:rPr>
        <w:t>8 STEMI cohort underwent primary PCI</w:t>
      </w:r>
      <w:r w:rsidR="006E2359" w:rsidRPr="00472AB4">
        <w:rPr>
          <w:sz w:val="24"/>
          <w:szCs w:val="24"/>
        </w:rPr>
        <w:fldChar w:fldCharType="begin"/>
      </w:r>
      <w:r w:rsidR="00CE0BB2" w:rsidRPr="00472AB4">
        <w:rPr>
          <w:sz w:val="24"/>
          <w:szCs w:val="24"/>
        </w:rPr>
        <w:instrText>ADDIN RW.CITE{{314 Udell,JacobA 2014}}</w:instrText>
      </w:r>
      <w:r w:rsidR="006E2359" w:rsidRPr="00472AB4">
        <w:rPr>
          <w:sz w:val="24"/>
          <w:szCs w:val="24"/>
        </w:rPr>
        <w:fldChar w:fldCharType="separate"/>
      </w:r>
      <w:r w:rsidR="00CE0BB2" w:rsidRPr="00472AB4">
        <w:rPr>
          <w:sz w:val="24"/>
          <w:szCs w:val="24"/>
          <w:vertAlign w:val="superscript"/>
        </w:rPr>
        <w:t>9</w:t>
      </w:r>
      <w:r w:rsidR="006E2359" w:rsidRPr="00472AB4">
        <w:rPr>
          <w:sz w:val="24"/>
          <w:szCs w:val="24"/>
        </w:rPr>
        <w:fldChar w:fldCharType="end"/>
      </w:r>
      <w:r w:rsidR="00661971" w:rsidRPr="00472AB4">
        <w:rPr>
          <w:sz w:val="24"/>
          <w:szCs w:val="24"/>
        </w:rPr>
        <w:t xml:space="preserve"> and</w:t>
      </w:r>
      <w:r w:rsidR="00EB10F0" w:rsidRPr="00472AB4">
        <w:rPr>
          <w:sz w:val="24"/>
          <w:szCs w:val="24"/>
        </w:rPr>
        <w:t xml:space="preserve"> </w:t>
      </w:r>
      <w:r w:rsidR="00661971" w:rsidRPr="00472AB4">
        <w:rPr>
          <w:sz w:val="24"/>
          <w:szCs w:val="24"/>
        </w:rPr>
        <w:t>4949 out of 7544 ACS patients with STEMI or left bundle-branch block (</w:t>
      </w:r>
      <w:r w:rsidR="00EB10F0" w:rsidRPr="00472AB4">
        <w:rPr>
          <w:sz w:val="24"/>
          <w:szCs w:val="24"/>
        </w:rPr>
        <w:t>65.6%</w:t>
      </w:r>
      <w:r w:rsidR="00661971" w:rsidRPr="00472AB4">
        <w:rPr>
          <w:sz w:val="24"/>
          <w:szCs w:val="24"/>
        </w:rPr>
        <w:t>)</w:t>
      </w:r>
      <w:r w:rsidR="00EB10F0" w:rsidRPr="00472AB4">
        <w:rPr>
          <w:sz w:val="24"/>
          <w:szCs w:val="24"/>
        </w:rPr>
        <w:t xml:space="preserve"> of the STEMI patients in the PLATO trial underwent primary PCI</w:t>
      </w:r>
      <w:r w:rsidR="00CE0BB2" w:rsidRPr="00472AB4">
        <w:rPr>
          <w:sz w:val="24"/>
          <w:szCs w:val="24"/>
        </w:rPr>
        <w:fldChar w:fldCharType="begin"/>
      </w:r>
      <w:r w:rsidR="00CE0BB2" w:rsidRPr="00472AB4">
        <w:rPr>
          <w:sz w:val="24"/>
          <w:szCs w:val="24"/>
        </w:rPr>
        <w:instrText>ADDIN RW.CITE{{313 Velders,M.A. 2016}}</w:instrText>
      </w:r>
      <w:r w:rsidR="00CE0BB2" w:rsidRPr="00472AB4">
        <w:rPr>
          <w:sz w:val="24"/>
          <w:szCs w:val="24"/>
        </w:rPr>
        <w:fldChar w:fldCharType="separate"/>
      </w:r>
      <w:r w:rsidR="00CE0BB2" w:rsidRPr="00472AB4">
        <w:rPr>
          <w:sz w:val="24"/>
          <w:szCs w:val="24"/>
          <w:vertAlign w:val="superscript"/>
        </w:rPr>
        <w:t>10</w:t>
      </w:r>
      <w:r w:rsidR="00CE0BB2" w:rsidRPr="00472AB4">
        <w:rPr>
          <w:sz w:val="24"/>
          <w:szCs w:val="24"/>
        </w:rPr>
        <w:fldChar w:fldCharType="end"/>
      </w:r>
    </w:p>
    <w:p w14:paraId="0034F46D" w14:textId="7378C855" w:rsidR="00081978" w:rsidRPr="00472AB4" w:rsidRDefault="00D91D1C" w:rsidP="00703116">
      <w:pPr>
        <w:spacing w:before="0" w:after="0"/>
        <w:rPr>
          <w:sz w:val="24"/>
          <w:szCs w:val="24"/>
        </w:rPr>
      </w:pPr>
      <w:r w:rsidRPr="00472AB4">
        <w:rPr>
          <w:sz w:val="24"/>
          <w:szCs w:val="24"/>
        </w:rPr>
        <w:t xml:space="preserve">Although </w:t>
      </w:r>
      <w:r w:rsidR="00292EF8" w:rsidRPr="00472AB4">
        <w:rPr>
          <w:sz w:val="24"/>
          <w:szCs w:val="24"/>
        </w:rPr>
        <w:t>prasugrel</w:t>
      </w:r>
      <w:r w:rsidRPr="00472AB4">
        <w:rPr>
          <w:sz w:val="24"/>
          <w:szCs w:val="24"/>
        </w:rPr>
        <w:t xml:space="preserve"> and </w:t>
      </w:r>
      <w:r w:rsidR="00292EF8" w:rsidRPr="00472AB4">
        <w:rPr>
          <w:sz w:val="24"/>
          <w:szCs w:val="24"/>
        </w:rPr>
        <w:t>t</w:t>
      </w:r>
      <w:r w:rsidR="005673DA" w:rsidRPr="00472AB4">
        <w:rPr>
          <w:sz w:val="24"/>
          <w:szCs w:val="24"/>
        </w:rPr>
        <w:t>icagrelor</w:t>
      </w:r>
      <w:r w:rsidRPr="00472AB4">
        <w:rPr>
          <w:sz w:val="24"/>
          <w:szCs w:val="24"/>
        </w:rPr>
        <w:t xml:space="preserve"> are both ADP-receptor antagonists, there are a number of differences between them, </w:t>
      </w:r>
      <w:r w:rsidR="004B0FD5" w:rsidRPr="00472AB4">
        <w:rPr>
          <w:sz w:val="24"/>
          <w:szCs w:val="24"/>
        </w:rPr>
        <w:t xml:space="preserve">including </w:t>
      </w:r>
      <w:r w:rsidRPr="00472AB4">
        <w:rPr>
          <w:sz w:val="24"/>
          <w:szCs w:val="24"/>
        </w:rPr>
        <w:t>their pharmaco</w:t>
      </w:r>
      <w:r w:rsidR="001B5DB1" w:rsidRPr="00472AB4">
        <w:rPr>
          <w:sz w:val="24"/>
          <w:szCs w:val="24"/>
        </w:rPr>
        <w:t>dynamics</w:t>
      </w:r>
      <w:r w:rsidRPr="00472AB4">
        <w:rPr>
          <w:sz w:val="24"/>
          <w:szCs w:val="24"/>
        </w:rPr>
        <w:t>, drug inte</w:t>
      </w:r>
      <w:r w:rsidR="00AE0DB9" w:rsidRPr="00472AB4">
        <w:rPr>
          <w:sz w:val="24"/>
          <w:szCs w:val="24"/>
        </w:rPr>
        <w:t>ractions and side effect profile</w:t>
      </w:r>
      <w:r w:rsidR="000F16DE" w:rsidRPr="00472AB4">
        <w:rPr>
          <w:sz w:val="24"/>
          <w:szCs w:val="24"/>
        </w:rPr>
        <w:fldChar w:fldCharType="begin"/>
      </w:r>
      <w:r w:rsidR="00CE0BB2" w:rsidRPr="00472AB4">
        <w:rPr>
          <w:sz w:val="24"/>
          <w:szCs w:val="24"/>
        </w:rPr>
        <w:instrText>ADDIN RW.CITE{{300 Khan, Nazish 2016}}</w:instrText>
      </w:r>
      <w:r w:rsidR="000F16DE" w:rsidRPr="00472AB4">
        <w:rPr>
          <w:sz w:val="24"/>
          <w:szCs w:val="24"/>
        </w:rPr>
        <w:fldChar w:fldCharType="separate"/>
      </w:r>
      <w:r w:rsidR="00CE0BB2" w:rsidRPr="00472AB4">
        <w:rPr>
          <w:rFonts w:eastAsia="Times New Roman"/>
          <w:sz w:val="24"/>
          <w:vertAlign w:val="superscript"/>
        </w:rPr>
        <w:t>11</w:t>
      </w:r>
      <w:r w:rsidR="000F16DE" w:rsidRPr="00472AB4">
        <w:rPr>
          <w:sz w:val="24"/>
          <w:szCs w:val="24"/>
        </w:rPr>
        <w:fldChar w:fldCharType="end"/>
      </w:r>
      <w:r w:rsidRPr="00472AB4">
        <w:rPr>
          <w:sz w:val="24"/>
          <w:szCs w:val="24"/>
        </w:rPr>
        <w:t xml:space="preserve">. </w:t>
      </w:r>
      <w:r w:rsidR="001B5DB1" w:rsidRPr="00472AB4">
        <w:rPr>
          <w:sz w:val="24"/>
          <w:szCs w:val="24"/>
        </w:rPr>
        <w:t>Switching between the two agent</w:t>
      </w:r>
      <w:r w:rsidR="009E4080" w:rsidRPr="00472AB4">
        <w:rPr>
          <w:sz w:val="24"/>
          <w:szCs w:val="24"/>
        </w:rPr>
        <w:t>s</w:t>
      </w:r>
      <w:r w:rsidR="001B5DB1" w:rsidRPr="00472AB4">
        <w:rPr>
          <w:sz w:val="24"/>
          <w:szCs w:val="24"/>
        </w:rPr>
        <w:t xml:space="preserve"> produces demonstrable changes in platelet function</w:t>
      </w:r>
      <w:r w:rsidR="000F16DE" w:rsidRPr="00472AB4">
        <w:rPr>
          <w:sz w:val="24"/>
          <w:szCs w:val="24"/>
        </w:rPr>
        <w:fldChar w:fldCharType="begin"/>
      </w:r>
      <w:r w:rsidR="00CE0BB2" w:rsidRPr="00472AB4">
        <w:rPr>
          <w:sz w:val="24"/>
          <w:szCs w:val="24"/>
        </w:rPr>
        <w:instrText>ADDIN RW.CITE{{300 Khan, Nazish 2016;301 Angiolillo, Dominick J 2014}}</w:instrText>
      </w:r>
      <w:r w:rsidR="000F16DE" w:rsidRPr="00472AB4">
        <w:rPr>
          <w:sz w:val="24"/>
          <w:szCs w:val="24"/>
        </w:rPr>
        <w:fldChar w:fldCharType="separate"/>
      </w:r>
      <w:r w:rsidR="00CE0BB2" w:rsidRPr="00472AB4">
        <w:rPr>
          <w:rFonts w:eastAsia="Times New Roman"/>
          <w:sz w:val="24"/>
          <w:vertAlign w:val="superscript"/>
        </w:rPr>
        <w:t>11 12</w:t>
      </w:r>
      <w:r w:rsidR="000F16DE" w:rsidRPr="00472AB4">
        <w:rPr>
          <w:sz w:val="24"/>
          <w:szCs w:val="24"/>
        </w:rPr>
        <w:fldChar w:fldCharType="end"/>
      </w:r>
      <w:r w:rsidR="001B5DB1" w:rsidRPr="00472AB4">
        <w:rPr>
          <w:sz w:val="24"/>
          <w:szCs w:val="24"/>
        </w:rPr>
        <w:t xml:space="preserve">. </w:t>
      </w:r>
      <w:r w:rsidR="00385E76" w:rsidRPr="00472AB4">
        <w:rPr>
          <w:sz w:val="24"/>
          <w:szCs w:val="24"/>
        </w:rPr>
        <w:t xml:space="preserve">The landmark ACS trials </w:t>
      </w:r>
      <w:r w:rsidR="000945DC" w:rsidRPr="00472AB4">
        <w:rPr>
          <w:sz w:val="24"/>
          <w:szCs w:val="24"/>
        </w:rPr>
        <w:t xml:space="preserve">(PLATO and TRITON) </w:t>
      </w:r>
      <w:r w:rsidR="00385E76" w:rsidRPr="00472AB4">
        <w:rPr>
          <w:sz w:val="24"/>
          <w:szCs w:val="24"/>
        </w:rPr>
        <w:t>also found important differences in outcomes with the</w:t>
      </w:r>
      <w:r w:rsidR="00AC5578" w:rsidRPr="00472AB4">
        <w:rPr>
          <w:sz w:val="24"/>
          <w:szCs w:val="24"/>
        </w:rPr>
        <w:t>se</w:t>
      </w:r>
      <w:r w:rsidR="00385E76" w:rsidRPr="00472AB4">
        <w:rPr>
          <w:sz w:val="24"/>
          <w:szCs w:val="24"/>
        </w:rPr>
        <w:t xml:space="preserve"> </w:t>
      </w:r>
      <w:r w:rsidR="00D64790" w:rsidRPr="00472AB4">
        <w:rPr>
          <w:sz w:val="24"/>
          <w:szCs w:val="24"/>
        </w:rPr>
        <w:t xml:space="preserve">two </w:t>
      </w:r>
      <w:r w:rsidR="00385E76" w:rsidRPr="00472AB4">
        <w:rPr>
          <w:sz w:val="24"/>
          <w:szCs w:val="24"/>
        </w:rPr>
        <w:t>drugs</w:t>
      </w:r>
      <w:r w:rsidR="000F16DE" w:rsidRPr="00472AB4">
        <w:rPr>
          <w:sz w:val="24"/>
          <w:szCs w:val="24"/>
        </w:rPr>
        <w:fldChar w:fldCharType="begin"/>
      </w:r>
      <w:r w:rsidR="00CE0BB2" w:rsidRPr="00472AB4">
        <w:rPr>
          <w:sz w:val="24"/>
          <w:szCs w:val="24"/>
        </w:rPr>
        <w:instrText>ADDIN RW.CITE{{296 Wallentin, Lars 2009;298 Montalescot, Gilles 2009}}</w:instrText>
      </w:r>
      <w:r w:rsidR="000F16DE" w:rsidRPr="00472AB4">
        <w:rPr>
          <w:sz w:val="24"/>
          <w:szCs w:val="24"/>
        </w:rPr>
        <w:fldChar w:fldCharType="separate"/>
      </w:r>
      <w:r w:rsidR="00CE0BB2" w:rsidRPr="00472AB4">
        <w:rPr>
          <w:rFonts w:eastAsia="Times New Roman"/>
          <w:sz w:val="24"/>
          <w:vertAlign w:val="superscript"/>
        </w:rPr>
        <w:t>5 7</w:t>
      </w:r>
      <w:r w:rsidR="000F16DE" w:rsidRPr="00472AB4">
        <w:rPr>
          <w:sz w:val="24"/>
          <w:szCs w:val="24"/>
        </w:rPr>
        <w:fldChar w:fldCharType="end"/>
      </w:r>
      <w:r w:rsidR="00A71644" w:rsidRPr="00472AB4">
        <w:rPr>
          <w:sz w:val="24"/>
          <w:szCs w:val="24"/>
        </w:rPr>
        <w:t xml:space="preserve">. </w:t>
      </w:r>
      <w:r w:rsidR="00C2010A" w:rsidRPr="00472AB4">
        <w:rPr>
          <w:sz w:val="24"/>
          <w:szCs w:val="24"/>
        </w:rPr>
        <w:t xml:space="preserve">However, </w:t>
      </w:r>
      <w:r w:rsidR="008C3272" w:rsidRPr="00472AB4">
        <w:rPr>
          <w:sz w:val="24"/>
          <w:szCs w:val="24"/>
        </w:rPr>
        <w:t xml:space="preserve">outcomes from </w:t>
      </w:r>
      <w:r w:rsidR="00C2010A" w:rsidRPr="00472AB4">
        <w:rPr>
          <w:sz w:val="24"/>
          <w:szCs w:val="24"/>
        </w:rPr>
        <w:t>these landmark trials cannot be directly compared due to important differences in study populations, study design and inclusion</w:t>
      </w:r>
      <w:r w:rsidR="008F2D54" w:rsidRPr="00472AB4">
        <w:rPr>
          <w:sz w:val="24"/>
          <w:szCs w:val="24"/>
        </w:rPr>
        <w:t xml:space="preserve"> </w:t>
      </w:r>
      <w:r w:rsidR="00C2010A" w:rsidRPr="00472AB4">
        <w:rPr>
          <w:sz w:val="24"/>
          <w:szCs w:val="24"/>
        </w:rPr>
        <w:t>/</w:t>
      </w:r>
      <w:r w:rsidR="008F2D54" w:rsidRPr="00472AB4">
        <w:rPr>
          <w:sz w:val="24"/>
          <w:szCs w:val="24"/>
        </w:rPr>
        <w:t xml:space="preserve"> </w:t>
      </w:r>
      <w:r w:rsidR="00C2010A" w:rsidRPr="00472AB4">
        <w:rPr>
          <w:sz w:val="24"/>
          <w:szCs w:val="24"/>
        </w:rPr>
        <w:t>exclusion criteria</w:t>
      </w:r>
      <w:r w:rsidR="000F16DE" w:rsidRPr="00472AB4">
        <w:rPr>
          <w:sz w:val="24"/>
          <w:szCs w:val="24"/>
        </w:rPr>
        <w:fldChar w:fldCharType="begin"/>
      </w:r>
      <w:r w:rsidR="00CE0BB2" w:rsidRPr="00472AB4">
        <w:rPr>
          <w:sz w:val="24"/>
          <w:szCs w:val="24"/>
        </w:rPr>
        <w:instrText>ADDIN RW.CITE{{302 Husted,S. 2016}}</w:instrText>
      </w:r>
      <w:r w:rsidR="000F16DE" w:rsidRPr="00472AB4">
        <w:rPr>
          <w:sz w:val="24"/>
          <w:szCs w:val="24"/>
        </w:rPr>
        <w:fldChar w:fldCharType="separate"/>
      </w:r>
      <w:r w:rsidR="00CE0BB2" w:rsidRPr="00472AB4">
        <w:rPr>
          <w:rFonts w:eastAsia="Times New Roman"/>
          <w:sz w:val="24"/>
          <w:vertAlign w:val="superscript"/>
        </w:rPr>
        <w:t>13</w:t>
      </w:r>
      <w:r w:rsidR="000F16DE" w:rsidRPr="00472AB4">
        <w:rPr>
          <w:sz w:val="24"/>
          <w:szCs w:val="24"/>
        </w:rPr>
        <w:fldChar w:fldCharType="end"/>
      </w:r>
      <w:r w:rsidR="00C2010A" w:rsidRPr="00472AB4">
        <w:rPr>
          <w:sz w:val="24"/>
          <w:szCs w:val="24"/>
        </w:rPr>
        <w:t xml:space="preserve">. </w:t>
      </w:r>
    </w:p>
    <w:p w14:paraId="0A919998" w14:textId="0F5C3D6C" w:rsidR="006F3699" w:rsidRPr="00472AB4" w:rsidRDefault="00B62DE1" w:rsidP="00703116">
      <w:pPr>
        <w:spacing w:before="0" w:after="0"/>
        <w:rPr>
          <w:sz w:val="24"/>
          <w:szCs w:val="24"/>
        </w:rPr>
      </w:pPr>
      <w:r w:rsidRPr="00472AB4">
        <w:rPr>
          <w:sz w:val="24"/>
          <w:szCs w:val="24"/>
        </w:rPr>
        <w:t xml:space="preserve">There has been no head-to-head </w:t>
      </w:r>
      <w:r w:rsidR="00D64790" w:rsidRPr="00472AB4">
        <w:rPr>
          <w:sz w:val="24"/>
          <w:szCs w:val="24"/>
        </w:rPr>
        <w:t xml:space="preserve">randomised </w:t>
      </w:r>
      <w:r w:rsidRPr="00472AB4">
        <w:rPr>
          <w:sz w:val="24"/>
          <w:szCs w:val="24"/>
        </w:rPr>
        <w:t xml:space="preserve">comparison of </w:t>
      </w:r>
      <w:r w:rsidR="0038534C" w:rsidRPr="00472AB4">
        <w:rPr>
          <w:sz w:val="24"/>
          <w:szCs w:val="24"/>
        </w:rPr>
        <w:t xml:space="preserve">clinical outcomes for </w:t>
      </w:r>
      <w:r w:rsidR="00292EF8" w:rsidRPr="00472AB4">
        <w:rPr>
          <w:sz w:val="24"/>
          <w:szCs w:val="24"/>
        </w:rPr>
        <w:t>prasugrel</w:t>
      </w:r>
      <w:r w:rsidRPr="00472AB4">
        <w:rPr>
          <w:sz w:val="24"/>
          <w:szCs w:val="24"/>
        </w:rPr>
        <w:t xml:space="preserve"> versus </w:t>
      </w:r>
      <w:r w:rsidR="00292EF8" w:rsidRPr="00472AB4">
        <w:rPr>
          <w:sz w:val="24"/>
          <w:szCs w:val="24"/>
        </w:rPr>
        <w:t>t</w:t>
      </w:r>
      <w:r w:rsidR="005673DA" w:rsidRPr="00472AB4">
        <w:rPr>
          <w:sz w:val="24"/>
          <w:szCs w:val="24"/>
        </w:rPr>
        <w:t>icagrelor</w:t>
      </w:r>
      <w:r w:rsidRPr="00472AB4">
        <w:rPr>
          <w:sz w:val="24"/>
          <w:szCs w:val="24"/>
        </w:rPr>
        <w:t xml:space="preserve"> until </w:t>
      </w:r>
      <w:r w:rsidR="00B972E8" w:rsidRPr="00472AB4">
        <w:rPr>
          <w:sz w:val="24"/>
          <w:szCs w:val="24"/>
        </w:rPr>
        <w:t xml:space="preserve">the </w:t>
      </w:r>
      <w:r w:rsidR="00DA5C38" w:rsidRPr="00472AB4">
        <w:rPr>
          <w:sz w:val="24"/>
          <w:szCs w:val="24"/>
        </w:rPr>
        <w:t>recently presented PRAGUE-18</w:t>
      </w:r>
      <w:r w:rsidR="00906545" w:rsidRPr="00472AB4">
        <w:rPr>
          <w:sz w:val="24"/>
          <w:szCs w:val="24"/>
        </w:rPr>
        <w:t xml:space="preserve"> trial in </w:t>
      </w:r>
      <w:r w:rsidR="00A71644" w:rsidRPr="00472AB4">
        <w:rPr>
          <w:sz w:val="24"/>
          <w:szCs w:val="24"/>
        </w:rPr>
        <w:t>STEMI and highest-risk NSTE-ACS</w:t>
      </w:r>
      <w:r w:rsidR="000F16DE" w:rsidRPr="00472AB4">
        <w:rPr>
          <w:sz w:val="24"/>
          <w:szCs w:val="24"/>
        </w:rPr>
        <w:fldChar w:fldCharType="begin"/>
      </w:r>
      <w:r w:rsidR="00CE0BB2" w:rsidRPr="00472AB4">
        <w:rPr>
          <w:sz w:val="24"/>
          <w:szCs w:val="24"/>
        </w:rPr>
        <w:instrText>ADDIN RW.CITE{{303 Motovska,Z. 2016}}</w:instrText>
      </w:r>
      <w:r w:rsidR="000F16DE" w:rsidRPr="00472AB4">
        <w:rPr>
          <w:sz w:val="24"/>
          <w:szCs w:val="24"/>
        </w:rPr>
        <w:fldChar w:fldCharType="separate"/>
      </w:r>
      <w:r w:rsidR="00CE0BB2" w:rsidRPr="00472AB4">
        <w:rPr>
          <w:rFonts w:eastAsia="Times New Roman"/>
          <w:sz w:val="24"/>
          <w:vertAlign w:val="superscript"/>
        </w:rPr>
        <w:t>14</w:t>
      </w:r>
      <w:r w:rsidR="000F16DE" w:rsidRPr="00472AB4">
        <w:rPr>
          <w:sz w:val="24"/>
          <w:szCs w:val="24"/>
        </w:rPr>
        <w:fldChar w:fldCharType="end"/>
      </w:r>
      <w:r w:rsidR="00A71644" w:rsidRPr="00472AB4">
        <w:rPr>
          <w:sz w:val="24"/>
          <w:szCs w:val="24"/>
        </w:rPr>
        <w:t xml:space="preserve"> </w:t>
      </w:r>
      <w:r w:rsidR="00C605A1" w:rsidRPr="00472AB4">
        <w:rPr>
          <w:sz w:val="24"/>
          <w:szCs w:val="24"/>
        </w:rPr>
        <w:t>in which</w:t>
      </w:r>
      <w:r w:rsidR="00B91A01" w:rsidRPr="00472AB4">
        <w:rPr>
          <w:sz w:val="24"/>
          <w:szCs w:val="24"/>
        </w:rPr>
        <w:t xml:space="preserve"> no s</w:t>
      </w:r>
      <w:r w:rsidR="00B972E8" w:rsidRPr="00472AB4">
        <w:rPr>
          <w:sz w:val="24"/>
          <w:szCs w:val="24"/>
        </w:rPr>
        <w:t xml:space="preserve">ignificant </w:t>
      </w:r>
      <w:r w:rsidR="006F3699" w:rsidRPr="00472AB4">
        <w:rPr>
          <w:sz w:val="24"/>
          <w:szCs w:val="24"/>
        </w:rPr>
        <w:t>differences were</w:t>
      </w:r>
      <w:r w:rsidR="00DA062B" w:rsidRPr="00472AB4">
        <w:rPr>
          <w:sz w:val="24"/>
          <w:szCs w:val="24"/>
        </w:rPr>
        <w:t xml:space="preserve"> </w:t>
      </w:r>
      <w:r w:rsidR="00B91A01" w:rsidRPr="00472AB4">
        <w:rPr>
          <w:sz w:val="24"/>
          <w:szCs w:val="24"/>
        </w:rPr>
        <w:t>observed in</w:t>
      </w:r>
      <w:r w:rsidR="00B972E8" w:rsidRPr="00472AB4">
        <w:rPr>
          <w:sz w:val="24"/>
          <w:szCs w:val="24"/>
        </w:rPr>
        <w:t xml:space="preserve"> either the 7-day composite efficacy (primary) endpoint or the 30-day </w:t>
      </w:r>
      <w:r w:rsidR="00906545" w:rsidRPr="00472AB4">
        <w:rPr>
          <w:sz w:val="24"/>
          <w:szCs w:val="24"/>
        </w:rPr>
        <w:t xml:space="preserve">key </w:t>
      </w:r>
      <w:r w:rsidR="00B972E8" w:rsidRPr="00472AB4">
        <w:rPr>
          <w:sz w:val="24"/>
          <w:szCs w:val="24"/>
        </w:rPr>
        <w:t xml:space="preserve">safety endpoint. However, </w:t>
      </w:r>
      <w:r w:rsidR="008C3272" w:rsidRPr="00472AB4">
        <w:rPr>
          <w:sz w:val="24"/>
          <w:szCs w:val="24"/>
        </w:rPr>
        <w:t>this trial was</w:t>
      </w:r>
      <w:r w:rsidR="006F3699" w:rsidRPr="00472AB4">
        <w:rPr>
          <w:sz w:val="24"/>
          <w:szCs w:val="24"/>
        </w:rPr>
        <w:t xml:space="preserve"> </w:t>
      </w:r>
      <w:r w:rsidR="00B972E8" w:rsidRPr="00472AB4">
        <w:rPr>
          <w:sz w:val="24"/>
          <w:szCs w:val="24"/>
        </w:rPr>
        <w:t>premature</w:t>
      </w:r>
      <w:r w:rsidR="008C3272" w:rsidRPr="00472AB4">
        <w:rPr>
          <w:sz w:val="24"/>
          <w:szCs w:val="24"/>
        </w:rPr>
        <w:t>ly</w:t>
      </w:r>
      <w:r w:rsidR="00B972E8" w:rsidRPr="00472AB4">
        <w:rPr>
          <w:sz w:val="24"/>
          <w:szCs w:val="24"/>
        </w:rPr>
        <w:t xml:space="preserve"> </w:t>
      </w:r>
      <w:r w:rsidR="00534A49" w:rsidRPr="00472AB4">
        <w:rPr>
          <w:sz w:val="24"/>
          <w:szCs w:val="24"/>
        </w:rPr>
        <w:t>stopped</w:t>
      </w:r>
      <w:r w:rsidR="008C3272" w:rsidRPr="00472AB4">
        <w:rPr>
          <w:sz w:val="24"/>
          <w:szCs w:val="24"/>
        </w:rPr>
        <w:t xml:space="preserve"> </w:t>
      </w:r>
      <w:r w:rsidR="00B972E8" w:rsidRPr="00472AB4">
        <w:rPr>
          <w:sz w:val="24"/>
          <w:szCs w:val="24"/>
        </w:rPr>
        <w:t>after interim analysis and a severe statistical under</w:t>
      </w:r>
      <w:r w:rsidR="006F3699" w:rsidRPr="00472AB4">
        <w:rPr>
          <w:sz w:val="24"/>
          <w:szCs w:val="24"/>
        </w:rPr>
        <w:t>-</w:t>
      </w:r>
      <w:r w:rsidR="00B972E8" w:rsidRPr="00472AB4">
        <w:rPr>
          <w:sz w:val="24"/>
          <w:szCs w:val="24"/>
        </w:rPr>
        <w:t xml:space="preserve">powering to </w:t>
      </w:r>
      <w:r w:rsidR="00E76D94" w:rsidRPr="00472AB4">
        <w:rPr>
          <w:sz w:val="24"/>
          <w:szCs w:val="24"/>
        </w:rPr>
        <w:t xml:space="preserve">address the planned </w:t>
      </w:r>
      <w:r w:rsidR="006F3699" w:rsidRPr="00472AB4">
        <w:rPr>
          <w:sz w:val="24"/>
          <w:szCs w:val="24"/>
        </w:rPr>
        <w:t>aim</w:t>
      </w:r>
      <w:r w:rsidR="00B972E8" w:rsidRPr="00472AB4">
        <w:rPr>
          <w:sz w:val="24"/>
          <w:szCs w:val="24"/>
        </w:rPr>
        <w:t xml:space="preserve">. </w:t>
      </w:r>
      <w:r w:rsidR="00660C9C" w:rsidRPr="00472AB4">
        <w:rPr>
          <w:sz w:val="24"/>
          <w:szCs w:val="24"/>
        </w:rPr>
        <w:t>A</w:t>
      </w:r>
      <w:r w:rsidR="00B972E8" w:rsidRPr="00472AB4">
        <w:rPr>
          <w:sz w:val="24"/>
          <w:szCs w:val="24"/>
        </w:rPr>
        <w:t xml:space="preserve"> trial of adequate power </w:t>
      </w:r>
      <w:r w:rsidR="00660C9C" w:rsidRPr="00472AB4">
        <w:rPr>
          <w:sz w:val="24"/>
          <w:szCs w:val="24"/>
        </w:rPr>
        <w:t xml:space="preserve">for a head to head comparison between </w:t>
      </w:r>
      <w:r w:rsidR="00DA062B" w:rsidRPr="00472AB4">
        <w:rPr>
          <w:sz w:val="24"/>
          <w:szCs w:val="24"/>
        </w:rPr>
        <w:t xml:space="preserve"> </w:t>
      </w:r>
      <w:r w:rsidR="00660C9C" w:rsidRPr="00472AB4">
        <w:rPr>
          <w:sz w:val="24"/>
          <w:szCs w:val="24"/>
        </w:rPr>
        <w:t xml:space="preserve">prasugrel </w:t>
      </w:r>
      <w:r w:rsidR="00660C9C" w:rsidRPr="00472AB4">
        <w:rPr>
          <w:sz w:val="24"/>
          <w:szCs w:val="24"/>
        </w:rPr>
        <w:lastRenderedPageBreak/>
        <w:t xml:space="preserve">versus ticagrelor </w:t>
      </w:r>
      <w:r w:rsidR="00B972E8" w:rsidRPr="00472AB4">
        <w:rPr>
          <w:sz w:val="24"/>
          <w:szCs w:val="24"/>
        </w:rPr>
        <w:t xml:space="preserve">would probably require </w:t>
      </w:r>
      <w:r w:rsidR="006F3699" w:rsidRPr="00472AB4">
        <w:rPr>
          <w:sz w:val="24"/>
          <w:szCs w:val="24"/>
        </w:rPr>
        <w:t xml:space="preserve">a sample size </w:t>
      </w:r>
      <w:r w:rsidR="00CA0410" w:rsidRPr="00472AB4">
        <w:rPr>
          <w:sz w:val="24"/>
          <w:szCs w:val="24"/>
        </w:rPr>
        <w:t>approaching</w:t>
      </w:r>
      <w:r w:rsidR="00B972E8" w:rsidRPr="00472AB4">
        <w:rPr>
          <w:sz w:val="24"/>
          <w:szCs w:val="24"/>
        </w:rPr>
        <w:t xml:space="preserve"> </w:t>
      </w:r>
      <w:r w:rsidR="00CA0410" w:rsidRPr="00472AB4">
        <w:rPr>
          <w:sz w:val="24"/>
          <w:szCs w:val="24"/>
        </w:rPr>
        <w:t>15,</w:t>
      </w:r>
      <w:r w:rsidR="00B972E8" w:rsidRPr="00472AB4">
        <w:rPr>
          <w:sz w:val="24"/>
          <w:szCs w:val="24"/>
        </w:rPr>
        <w:t>000 patients</w:t>
      </w:r>
      <w:r w:rsidR="000F16DE" w:rsidRPr="00472AB4">
        <w:rPr>
          <w:sz w:val="24"/>
          <w:szCs w:val="24"/>
        </w:rPr>
        <w:fldChar w:fldCharType="begin"/>
      </w:r>
      <w:r w:rsidR="00CE0BB2" w:rsidRPr="00472AB4">
        <w:rPr>
          <w:sz w:val="24"/>
          <w:szCs w:val="24"/>
        </w:rPr>
        <w:instrText>ADDIN RW.CITE{{323 Wendling P.}}</w:instrText>
      </w:r>
      <w:r w:rsidR="000F16DE" w:rsidRPr="00472AB4">
        <w:rPr>
          <w:sz w:val="24"/>
          <w:szCs w:val="24"/>
        </w:rPr>
        <w:fldChar w:fldCharType="separate"/>
      </w:r>
      <w:r w:rsidR="00CE0BB2" w:rsidRPr="00472AB4">
        <w:rPr>
          <w:rFonts w:eastAsia="Times New Roman"/>
          <w:sz w:val="24"/>
          <w:vertAlign w:val="superscript"/>
        </w:rPr>
        <w:t>15</w:t>
      </w:r>
      <w:r w:rsidR="000F16DE" w:rsidRPr="00472AB4">
        <w:rPr>
          <w:sz w:val="24"/>
          <w:szCs w:val="24"/>
        </w:rPr>
        <w:fldChar w:fldCharType="end"/>
      </w:r>
      <w:r w:rsidR="00570582" w:rsidRPr="00472AB4">
        <w:rPr>
          <w:sz w:val="24"/>
          <w:szCs w:val="24"/>
        </w:rPr>
        <w:t>, with</w:t>
      </w:r>
      <w:r w:rsidR="00906545" w:rsidRPr="00472AB4">
        <w:rPr>
          <w:sz w:val="24"/>
          <w:szCs w:val="24"/>
        </w:rPr>
        <w:t xml:space="preserve"> implication</w:t>
      </w:r>
      <w:r w:rsidR="00E76D94" w:rsidRPr="00472AB4">
        <w:rPr>
          <w:sz w:val="24"/>
          <w:szCs w:val="24"/>
        </w:rPr>
        <w:t>s</w:t>
      </w:r>
      <w:r w:rsidR="00906545" w:rsidRPr="00472AB4">
        <w:rPr>
          <w:sz w:val="24"/>
          <w:szCs w:val="24"/>
        </w:rPr>
        <w:t xml:space="preserve"> for </w:t>
      </w:r>
      <w:r w:rsidR="00570582" w:rsidRPr="00472AB4">
        <w:rPr>
          <w:sz w:val="24"/>
          <w:szCs w:val="24"/>
        </w:rPr>
        <w:t xml:space="preserve">the ISAR REACT 5 </w:t>
      </w:r>
      <w:r w:rsidR="00906545" w:rsidRPr="00472AB4">
        <w:rPr>
          <w:sz w:val="24"/>
          <w:szCs w:val="24"/>
        </w:rPr>
        <w:t>RC</w:t>
      </w:r>
      <w:r w:rsidR="00DA062B" w:rsidRPr="00472AB4">
        <w:rPr>
          <w:sz w:val="24"/>
          <w:szCs w:val="24"/>
        </w:rPr>
        <w:t>T aimed at addressing this question</w:t>
      </w:r>
      <w:r w:rsidR="000F16DE" w:rsidRPr="00472AB4">
        <w:rPr>
          <w:sz w:val="24"/>
          <w:szCs w:val="24"/>
        </w:rPr>
        <w:fldChar w:fldCharType="begin"/>
      </w:r>
      <w:r w:rsidR="00CE0BB2" w:rsidRPr="00472AB4">
        <w:rPr>
          <w:sz w:val="24"/>
          <w:szCs w:val="24"/>
        </w:rPr>
        <w:instrText>ADDIN RW.CITE{{304 Schulz, Stefanie 2014}}</w:instrText>
      </w:r>
      <w:r w:rsidR="000F16DE" w:rsidRPr="00472AB4">
        <w:rPr>
          <w:sz w:val="24"/>
          <w:szCs w:val="24"/>
        </w:rPr>
        <w:fldChar w:fldCharType="separate"/>
      </w:r>
      <w:r w:rsidR="00CE0BB2" w:rsidRPr="00472AB4">
        <w:rPr>
          <w:rFonts w:eastAsia="Times New Roman"/>
          <w:sz w:val="24"/>
          <w:vertAlign w:val="superscript"/>
        </w:rPr>
        <w:t>16</w:t>
      </w:r>
      <w:r w:rsidR="000F16DE" w:rsidRPr="00472AB4">
        <w:rPr>
          <w:sz w:val="24"/>
          <w:szCs w:val="24"/>
        </w:rPr>
        <w:fldChar w:fldCharType="end"/>
      </w:r>
      <w:r w:rsidR="00A71644" w:rsidRPr="00472AB4">
        <w:rPr>
          <w:sz w:val="24"/>
          <w:szCs w:val="24"/>
        </w:rPr>
        <w:t>.</w:t>
      </w:r>
      <w:r w:rsidR="00DA062B" w:rsidRPr="00472AB4">
        <w:rPr>
          <w:sz w:val="24"/>
          <w:szCs w:val="24"/>
        </w:rPr>
        <w:t xml:space="preserve"> </w:t>
      </w:r>
    </w:p>
    <w:p w14:paraId="0EBE2534" w14:textId="614948BE" w:rsidR="00081978" w:rsidRPr="00472AB4" w:rsidRDefault="00570582" w:rsidP="00703116">
      <w:pPr>
        <w:spacing w:before="0" w:after="0"/>
        <w:rPr>
          <w:sz w:val="24"/>
          <w:szCs w:val="24"/>
        </w:rPr>
      </w:pPr>
      <w:r w:rsidRPr="00472AB4">
        <w:rPr>
          <w:sz w:val="24"/>
          <w:szCs w:val="24"/>
        </w:rPr>
        <w:t>I</w:t>
      </w:r>
      <w:r w:rsidR="00DA062B" w:rsidRPr="00472AB4">
        <w:rPr>
          <w:sz w:val="24"/>
          <w:szCs w:val="24"/>
        </w:rPr>
        <w:t>n the</w:t>
      </w:r>
      <w:r w:rsidR="000726E4" w:rsidRPr="00472AB4">
        <w:rPr>
          <w:sz w:val="24"/>
          <w:szCs w:val="24"/>
        </w:rPr>
        <w:t xml:space="preserve"> context</w:t>
      </w:r>
      <w:r w:rsidR="00E01901" w:rsidRPr="00472AB4">
        <w:rPr>
          <w:sz w:val="24"/>
          <w:szCs w:val="24"/>
        </w:rPr>
        <w:t xml:space="preserve"> </w:t>
      </w:r>
      <w:r w:rsidR="00DA062B" w:rsidRPr="00472AB4">
        <w:rPr>
          <w:sz w:val="24"/>
          <w:szCs w:val="24"/>
        </w:rPr>
        <w:t xml:space="preserve">of </w:t>
      </w:r>
      <w:r w:rsidR="004B0FD5" w:rsidRPr="00472AB4">
        <w:rPr>
          <w:sz w:val="24"/>
          <w:szCs w:val="24"/>
        </w:rPr>
        <w:t xml:space="preserve">(a) </w:t>
      </w:r>
      <w:r w:rsidR="00157E37" w:rsidRPr="00472AB4">
        <w:rPr>
          <w:sz w:val="24"/>
          <w:szCs w:val="24"/>
        </w:rPr>
        <w:t>limited data</w:t>
      </w:r>
      <w:r w:rsidR="00DA062B" w:rsidRPr="00472AB4">
        <w:rPr>
          <w:sz w:val="24"/>
          <w:szCs w:val="24"/>
        </w:rPr>
        <w:t xml:space="preserve"> </w:t>
      </w:r>
      <w:r w:rsidRPr="00472AB4">
        <w:rPr>
          <w:sz w:val="24"/>
          <w:szCs w:val="24"/>
        </w:rPr>
        <w:t xml:space="preserve">regarding comparative outcomes associated </w:t>
      </w:r>
      <w:r w:rsidR="00157E37" w:rsidRPr="00472AB4">
        <w:rPr>
          <w:sz w:val="24"/>
          <w:szCs w:val="24"/>
        </w:rPr>
        <w:t>with</w:t>
      </w:r>
      <w:r w:rsidRPr="00472AB4">
        <w:rPr>
          <w:sz w:val="24"/>
          <w:szCs w:val="24"/>
        </w:rPr>
        <w:t xml:space="preserve"> </w:t>
      </w:r>
      <w:r w:rsidR="00292EF8" w:rsidRPr="00472AB4">
        <w:rPr>
          <w:sz w:val="24"/>
          <w:szCs w:val="24"/>
        </w:rPr>
        <w:t>t</w:t>
      </w:r>
      <w:r w:rsidR="005673DA" w:rsidRPr="00472AB4">
        <w:rPr>
          <w:sz w:val="24"/>
          <w:szCs w:val="24"/>
        </w:rPr>
        <w:t>icagrelor</w:t>
      </w:r>
      <w:r w:rsidR="00157E37" w:rsidRPr="00472AB4">
        <w:rPr>
          <w:sz w:val="24"/>
          <w:szCs w:val="24"/>
        </w:rPr>
        <w:t xml:space="preserve"> and </w:t>
      </w:r>
      <w:r w:rsidR="00292EF8" w:rsidRPr="00472AB4">
        <w:rPr>
          <w:sz w:val="24"/>
          <w:szCs w:val="24"/>
        </w:rPr>
        <w:t>prasugrel</w:t>
      </w:r>
      <w:r w:rsidR="00157E37" w:rsidRPr="00472AB4">
        <w:rPr>
          <w:sz w:val="24"/>
          <w:szCs w:val="24"/>
        </w:rPr>
        <w:t xml:space="preserve"> use</w:t>
      </w:r>
      <w:r w:rsidR="004B0FD5" w:rsidRPr="00472AB4">
        <w:rPr>
          <w:sz w:val="24"/>
          <w:szCs w:val="24"/>
        </w:rPr>
        <w:t xml:space="preserve"> and (b) the unlikelihood of an adequately powered randomized trial to compare </w:t>
      </w:r>
      <w:r w:rsidR="00142450" w:rsidRPr="00472AB4">
        <w:rPr>
          <w:sz w:val="24"/>
          <w:szCs w:val="24"/>
        </w:rPr>
        <w:t>them in the future</w:t>
      </w:r>
      <w:r w:rsidR="00157E37" w:rsidRPr="00472AB4">
        <w:rPr>
          <w:sz w:val="24"/>
          <w:szCs w:val="24"/>
        </w:rPr>
        <w:t xml:space="preserve">, </w:t>
      </w:r>
      <w:r w:rsidR="00142450" w:rsidRPr="00472AB4">
        <w:rPr>
          <w:sz w:val="24"/>
          <w:szCs w:val="24"/>
        </w:rPr>
        <w:t>our aim was to use the</w:t>
      </w:r>
      <w:r w:rsidR="00157E37" w:rsidRPr="00472AB4">
        <w:rPr>
          <w:sz w:val="24"/>
          <w:szCs w:val="24"/>
        </w:rPr>
        <w:t xml:space="preserve"> </w:t>
      </w:r>
      <w:r w:rsidR="00E01901" w:rsidRPr="00472AB4">
        <w:rPr>
          <w:sz w:val="24"/>
          <w:szCs w:val="24"/>
        </w:rPr>
        <w:t xml:space="preserve">national </w:t>
      </w:r>
      <w:r w:rsidR="00D8503E" w:rsidRPr="00472AB4">
        <w:rPr>
          <w:sz w:val="24"/>
          <w:szCs w:val="24"/>
        </w:rPr>
        <w:t xml:space="preserve">British Cardiovascular Intervention Society </w:t>
      </w:r>
      <w:r w:rsidR="009778D3" w:rsidRPr="00472AB4">
        <w:rPr>
          <w:sz w:val="24"/>
          <w:szCs w:val="24"/>
        </w:rPr>
        <w:t xml:space="preserve">(BCIS) </w:t>
      </w:r>
      <w:r w:rsidR="00E01901" w:rsidRPr="00472AB4">
        <w:rPr>
          <w:sz w:val="24"/>
          <w:szCs w:val="24"/>
        </w:rPr>
        <w:t xml:space="preserve">PCI registry </w:t>
      </w:r>
      <w:r w:rsidR="00142450" w:rsidRPr="00472AB4">
        <w:rPr>
          <w:sz w:val="24"/>
          <w:szCs w:val="24"/>
        </w:rPr>
        <w:t xml:space="preserve">to explore </w:t>
      </w:r>
      <w:r w:rsidR="00D8503E" w:rsidRPr="00472AB4">
        <w:rPr>
          <w:sz w:val="24"/>
          <w:szCs w:val="24"/>
        </w:rPr>
        <w:t>outcomes associated with different P</w:t>
      </w:r>
      <w:r w:rsidR="00D8503E" w:rsidRPr="00472AB4">
        <w:rPr>
          <w:sz w:val="24"/>
          <w:szCs w:val="24"/>
          <w:vertAlign w:val="subscript"/>
        </w:rPr>
        <w:t>2</w:t>
      </w:r>
      <w:r w:rsidR="00D8503E" w:rsidRPr="00472AB4">
        <w:rPr>
          <w:sz w:val="24"/>
          <w:szCs w:val="24"/>
        </w:rPr>
        <w:t>Y</w:t>
      </w:r>
      <w:r w:rsidR="00D8503E" w:rsidRPr="00472AB4">
        <w:rPr>
          <w:sz w:val="24"/>
          <w:szCs w:val="24"/>
          <w:vertAlign w:val="subscript"/>
        </w:rPr>
        <w:t>12</w:t>
      </w:r>
      <w:r w:rsidR="00D8503E" w:rsidRPr="00472AB4">
        <w:rPr>
          <w:sz w:val="24"/>
          <w:szCs w:val="24"/>
        </w:rPr>
        <w:t xml:space="preserve"> antiplatelet agents</w:t>
      </w:r>
      <w:r w:rsidR="00142450" w:rsidRPr="00472AB4">
        <w:rPr>
          <w:sz w:val="24"/>
          <w:szCs w:val="24"/>
        </w:rPr>
        <w:t xml:space="preserve"> </w:t>
      </w:r>
      <w:r w:rsidR="003D0E2E" w:rsidRPr="00472AB4">
        <w:rPr>
          <w:sz w:val="24"/>
          <w:szCs w:val="24"/>
        </w:rPr>
        <w:t xml:space="preserve">in a large real world </w:t>
      </w:r>
      <w:r w:rsidR="00D8503E" w:rsidRPr="00472AB4">
        <w:rPr>
          <w:sz w:val="24"/>
          <w:szCs w:val="24"/>
        </w:rPr>
        <w:t>national c</w:t>
      </w:r>
      <w:r w:rsidR="00C605A1" w:rsidRPr="00472AB4">
        <w:rPr>
          <w:sz w:val="24"/>
          <w:szCs w:val="24"/>
        </w:rPr>
        <w:t>ohort</w:t>
      </w:r>
      <w:r w:rsidR="00142450" w:rsidRPr="00472AB4">
        <w:rPr>
          <w:sz w:val="24"/>
          <w:szCs w:val="24"/>
        </w:rPr>
        <w:t xml:space="preserve"> </w:t>
      </w:r>
      <w:r w:rsidR="00D8503E" w:rsidRPr="00472AB4">
        <w:rPr>
          <w:sz w:val="24"/>
          <w:szCs w:val="24"/>
        </w:rPr>
        <w:t>that captures &gt;99% of</w:t>
      </w:r>
      <w:r w:rsidR="00142450" w:rsidRPr="00472AB4">
        <w:rPr>
          <w:sz w:val="24"/>
          <w:szCs w:val="24"/>
        </w:rPr>
        <w:t xml:space="preserve"> PCI case</w:t>
      </w:r>
      <w:r w:rsidR="00D8503E" w:rsidRPr="00472AB4">
        <w:rPr>
          <w:sz w:val="24"/>
          <w:szCs w:val="24"/>
        </w:rPr>
        <w:t>s performed in the United Kingdom</w:t>
      </w:r>
      <w:r w:rsidR="00786DCC" w:rsidRPr="00472AB4">
        <w:rPr>
          <w:sz w:val="24"/>
          <w:szCs w:val="24"/>
        </w:rPr>
        <w:t xml:space="preserve">. </w:t>
      </w:r>
    </w:p>
    <w:p w14:paraId="2FA5FA99" w14:textId="77777777" w:rsidR="006327CC" w:rsidRPr="00472AB4" w:rsidRDefault="006327CC" w:rsidP="008E0662">
      <w:pPr>
        <w:pStyle w:val="Heading1"/>
        <w:rPr>
          <w:szCs w:val="24"/>
        </w:rPr>
      </w:pPr>
      <w:r w:rsidRPr="00472AB4">
        <w:rPr>
          <w:szCs w:val="24"/>
        </w:rPr>
        <w:t>Methods</w:t>
      </w:r>
    </w:p>
    <w:p w14:paraId="0D8B8B73" w14:textId="77777777" w:rsidR="006327CC" w:rsidRPr="00472AB4" w:rsidRDefault="006327CC" w:rsidP="008E0662">
      <w:pPr>
        <w:pStyle w:val="Heading2"/>
        <w:rPr>
          <w:i/>
          <w:sz w:val="24"/>
          <w:szCs w:val="24"/>
          <w:u w:val="none"/>
        </w:rPr>
      </w:pPr>
      <w:r w:rsidRPr="00472AB4">
        <w:rPr>
          <w:i/>
          <w:sz w:val="24"/>
          <w:szCs w:val="24"/>
          <w:u w:val="none"/>
        </w:rPr>
        <w:t>Study design and data collection</w:t>
      </w:r>
    </w:p>
    <w:p w14:paraId="3D717E07" w14:textId="610295B7" w:rsidR="00DF4EE2" w:rsidRPr="00472AB4" w:rsidRDefault="006327CC" w:rsidP="00F70499">
      <w:pPr>
        <w:rPr>
          <w:sz w:val="24"/>
          <w:szCs w:val="24"/>
        </w:rPr>
      </w:pPr>
      <w:r w:rsidRPr="00472AB4">
        <w:rPr>
          <w:sz w:val="24"/>
          <w:szCs w:val="24"/>
        </w:rPr>
        <w:t>This is a retrospective analysis of prospectively collected national data for all patients undergoing</w:t>
      </w:r>
      <w:r w:rsidR="008C70D0" w:rsidRPr="00472AB4">
        <w:rPr>
          <w:sz w:val="24"/>
          <w:szCs w:val="24"/>
        </w:rPr>
        <w:t xml:space="preserve"> primary</w:t>
      </w:r>
      <w:r w:rsidRPr="00472AB4">
        <w:rPr>
          <w:sz w:val="24"/>
          <w:szCs w:val="24"/>
        </w:rPr>
        <w:t xml:space="preserve"> PCI in </w:t>
      </w:r>
      <w:r w:rsidR="00DF6411" w:rsidRPr="00472AB4">
        <w:rPr>
          <w:sz w:val="24"/>
          <w:szCs w:val="24"/>
        </w:rPr>
        <w:t>England and Wales</w:t>
      </w:r>
      <w:r w:rsidRPr="00472AB4">
        <w:rPr>
          <w:sz w:val="24"/>
          <w:szCs w:val="24"/>
        </w:rPr>
        <w:t xml:space="preserve"> from January 200</w:t>
      </w:r>
      <w:r w:rsidR="00DB5446" w:rsidRPr="00472AB4">
        <w:rPr>
          <w:sz w:val="24"/>
          <w:szCs w:val="24"/>
        </w:rPr>
        <w:t>7</w:t>
      </w:r>
      <w:r w:rsidRPr="00472AB4">
        <w:rPr>
          <w:sz w:val="24"/>
          <w:szCs w:val="24"/>
        </w:rPr>
        <w:t xml:space="preserve"> to December 201</w:t>
      </w:r>
      <w:r w:rsidR="00DB5446" w:rsidRPr="00472AB4">
        <w:rPr>
          <w:sz w:val="24"/>
          <w:szCs w:val="24"/>
        </w:rPr>
        <w:t>4</w:t>
      </w:r>
      <w:r w:rsidRPr="00472AB4">
        <w:rPr>
          <w:sz w:val="24"/>
          <w:szCs w:val="24"/>
        </w:rPr>
        <w:t xml:space="preserve">. BCIS records information on PCI practice in </w:t>
      </w:r>
      <w:r w:rsidR="00AF4FC2" w:rsidRPr="00472AB4">
        <w:rPr>
          <w:sz w:val="24"/>
          <w:szCs w:val="24"/>
        </w:rPr>
        <w:t xml:space="preserve">the </w:t>
      </w:r>
      <w:r w:rsidRPr="00472AB4">
        <w:rPr>
          <w:sz w:val="24"/>
          <w:szCs w:val="24"/>
        </w:rPr>
        <w:t>UK with data collection managed by the National Institute of Cardiovascular Outcomes Research (NICOR)</w:t>
      </w:r>
      <w:r w:rsidR="00B80217" w:rsidRPr="00472AB4">
        <w:rPr>
          <w:sz w:val="24"/>
          <w:szCs w:val="24"/>
        </w:rPr>
        <w:fldChar w:fldCharType="begin"/>
      </w:r>
      <w:r w:rsidR="00CE0BB2" w:rsidRPr="00472AB4">
        <w:rPr>
          <w:sz w:val="24"/>
          <w:szCs w:val="24"/>
        </w:rPr>
        <w:instrText>ADDIN RW.CITE{{180 Mamas,M.A. 2014; 209 Mamas,M.A. 2016; 288 Sirker,A. 2016; 184 Ludman,P.F. 2011}}</w:instrText>
      </w:r>
      <w:r w:rsidR="00B80217" w:rsidRPr="00472AB4">
        <w:rPr>
          <w:sz w:val="24"/>
          <w:szCs w:val="24"/>
        </w:rPr>
        <w:fldChar w:fldCharType="separate"/>
      </w:r>
      <w:r w:rsidR="00CE0BB2" w:rsidRPr="00472AB4">
        <w:rPr>
          <w:sz w:val="24"/>
          <w:szCs w:val="24"/>
          <w:vertAlign w:val="superscript"/>
        </w:rPr>
        <w:t>17-20</w:t>
      </w:r>
      <w:r w:rsidR="00B80217" w:rsidRPr="00472AB4">
        <w:rPr>
          <w:sz w:val="24"/>
          <w:szCs w:val="24"/>
        </w:rPr>
        <w:fldChar w:fldCharType="end"/>
      </w:r>
      <w:r w:rsidR="00905209" w:rsidRPr="00472AB4">
        <w:rPr>
          <w:sz w:val="24"/>
          <w:szCs w:val="24"/>
        </w:rPr>
        <w:t>.</w:t>
      </w:r>
      <w:r w:rsidR="004607F1" w:rsidRPr="00472AB4">
        <w:rPr>
          <w:sz w:val="24"/>
          <w:szCs w:val="24"/>
          <w:vertAlign w:val="superscript"/>
        </w:rPr>
        <w:t xml:space="preserve"> </w:t>
      </w:r>
      <w:r w:rsidRPr="00472AB4">
        <w:rPr>
          <w:sz w:val="24"/>
          <w:szCs w:val="24"/>
        </w:rPr>
        <w:t xml:space="preserve">The BCIS database contains 113 clinical, procedural and outcome variables with </w:t>
      </w:r>
      <w:r w:rsidR="00AF4FC2" w:rsidRPr="00472AB4">
        <w:rPr>
          <w:sz w:val="24"/>
          <w:szCs w:val="24"/>
        </w:rPr>
        <w:t>more than</w:t>
      </w:r>
      <w:r w:rsidRPr="00472AB4">
        <w:rPr>
          <w:sz w:val="24"/>
          <w:szCs w:val="24"/>
        </w:rPr>
        <w:t xml:space="preserve"> 80,000 new records added each year. Using the Medical Research Information Services, we tracked </w:t>
      </w:r>
      <w:r w:rsidR="00697C29" w:rsidRPr="00472AB4">
        <w:rPr>
          <w:sz w:val="24"/>
          <w:szCs w:val="24"/>
        </w:rPr>
        <w:t xml:space="preserve">the </w:t>
      </w:r>
      <w:r w:rsidR="00A869D2" w:rsidRPr="00472AB4">
        <w:rPr>
          <w:sz w:val="24"/>
          <w:szCs w:val="24"/>
        </w:rPr>
        <w:t xml:space="preserve">life status of </w:t>
      </w:r>
      <w:r w:rsidRPr="00472AB4">
        <w:rPr>
          <w:sz w:val="24"/>
          <w:szCs w:val="24"/>
        </w:rPr>
        <w:t>patient</w:t>
      </w:r>
      <w:r w:rsidR="00A869D2" w:rsidRPr="00472AB4">
        <w:rPr>
          <w:sz w:val="24"/>
          <w:szCs w:val="24"/>
        </w:rPr>
        <w:t>s using their</w:t>
      </w:r>
      <w:r w:rsidRPr="00472AB4">
        <w:rPr>
          <w:sz w:val="24"/>
          <w:szCs w:val="24"/>
        </w:rPr>
        <w:t xml:space="preserve"> NHS number, a unique identifier for any person registered within the NHS.</w:t>
      </w:r>
      <w:r w:rsidR="00824466" w:rsidRPr="00472AB4">
        <w:t xml:space="preserve"> </w:t>
      </w:r>
      <w:r w:rsidR="00824466" w:rsidRPr="00472AB4">
        <w:rPr>
          <w:sz w:val="24"/>
          <w:szCs w:val="24"/>
        </w:rPr>
        <w:t xml:space="preserve"> All the data were collected as part of a national audit and were anonymised; therefore, institutional review board approval was not required for this study.</w:t>
      </w:r>
    </w:p>
    <w:p w14:paraId="45FC9A10" w14:textId="77777777" w:rsidR="000A7E41" w:rsidRPr="00472AB4" w:rsidRDefault="000A7E41" w:rsidP="008E0662">
      <w:pPr>
        <w:pStyle w:val="Heading2"/>
        <w:rPr>
          <w:i/>
          <w:sz w:val="24"/>
          <w:szCs w:val="24"/>
          <w:u w:val="none"/>
        </w:rPr>
      </w:pPr>
      <w:r w:rsidRPr="00472AB4">
        <w:rPr>
          <w:i/>
          <w:sz w:val="24"/>
          <w:szCs w:val="24"/>
          <w:u w:val="none"/>
        </w:rPr>
        <w:t xml:space="preserve">Outcomes </w:t>
      </w:r>
    </w:p>
    <w:p w14:paraId="06AF2CEF" w14:textId="204B3DE5" w:rsidR="000A7E41" w:rsidRPr="00472AB4" w:rsidRDefault="009778D3" w:rsidP="00F70499">
      <w:pPr>
        <w:rPr>
          <w:sz w:val="24"/>
          <w:szCs w:val="24"/>
        </w:rPr>
      </w:pPr>
      <w:r w:rsidRPr="00472AB4">
        <w:rPr>
          <w:sz w:val="24"/>
          <w:szCs w:val="24"/>
        </w:rPr>
        <w:t>Our outcomes were</w:t>
      </w:r>
      <w:r w:rsidR="000A7E41" w:rsidRPr="00472AB4">
        <w:rPr>
          <w:sz w:val="24"/>
          <w:szCs w:val="24"/>
        </w:rPr>
        <w:t xml:space="preserve"> </w:t>
      </w:r>
      <w:r w:rsidRPr="00472AB4">
        <w:rPr>
          <w:sz w:val="24"/>
          <w:szCs w:val="24"/>
        </w:rPr>
        <w:t xml:space="preserve">mortality at 30 days and one year, </w:t>
      </w:r>
      <w:r w:rsidR="000A7E41" w:rsidRPr="00472AB4">
        <w:rPr>
          <w:sz w:val="24"/>
          <w:szCs w:val="24"/>
        </w:rPr>
        <w:t>In-hospital major bleeding complication</w:t>
      </w:r>
      <w:r w:rsidRPr="00472AB4">
        <w:rPr>
          <w:sz w:val="24"/>
          <w:szCs w:val="24"/>
        </w:rPr>
        <w:t xml:space="preserve"> and</w:t>
      </w:r>
      <w:r w:rsidR="000A7E41" w:rsidRPr="00472AB4">
        <w:rPr>
          <w:sz w:val="24"/>
          <w:szCs w:val="24"/>
        </w:rPr>
        <w:t xml:space="preserve"> </w:t>
      </w:r>
      <w:r w:rsidR="002604C7" w:rsidRPr="00472AB4">
        <w:rPr>
          <w:sz w:val="24"/>
          <w:szCs w:val="24"/>
        </w:rPr>
        <w:t xml:space="preserve">Major Adverse Cardiovascular Events </w:t>
      </w:r>
      <w:r w:rsidR="000A7E41" w:rsidRPr="00472AB4">
        <w:rPr>
          <w:sz w:val="24"/>
          <w:szCs w:val="24"/>
        </w:rPr>
        <w:t>(MACE), Bleeding complications were defined as a composite of reported gastrointestinal bleed, intracerebral bleed, retroperitoneal hematoma, tamponade, blood or platelet transfusion, or an arterial access site complication requiring intervention</w:t>
      </w:r>
      <w:r w:rsidR="008D44AA" w:rsidRPr="00472AB4">
        <w:rPr>
          <w:sz w:val="24"/>
          <w:szCs w:val="24"/>
        </w:rPr>
        <w:fldChar w:fldCharType="begin"/>
      </w:r>
      <w:r w:rsidR="00CE0BB2" w:rsidRPr="00472AB4">
        <w:rPr>
          <w:sz w:val="24"/>
          <w:szCs w:val="24"/>
        </w:rPr>
        <w:instrText>ADDIN RW.CITE{{311 Kwok,ChunShing 2015; 180 Mamas,M.A. 2014; 63 Mamas,M.A. 2013}}</w:instrText>
      </w:r>
      <w:r w:rsidR="008D44AA" w:rsidRPr="00472AB4">
        <w:rPr>
          <w:sz w:val="24"/>
          <w:szCs w:val="24"/>
        </w:rPr>
        <w:fldChar w:fldCharType="separate"/>
      </w:r>
      <w:r w:rsidR="00CE0BB2" w:rsidRPr="00472AB4">
        <w:rPr>
          <w:sz w:val="24"/>
          <w:szCs w:val="24"/>
          <w:vertAlign w:val="superscript"/>
        </w:rPr>
        <w:t>17 21 22</w:t>
      </w:r>
      <w:r w:rsidR="008D44AA" w:rsidRPr="00472AB4">
        <w:rPr>
          <w:sz w:val="24"/>
          <w:szCs w:val="24"/>
        </w:rPr>
        <w:fldChar w:fldCharType="end"/>
      </w:r>
      <w:r w:rsidR="000A7E41" w:rsidRPr="00472AB4">
        <w:rPr>
          <w:sz w:val="24"/>
          <w:szCs w:val="24"/>
        </w:rPr>
        <w:t>, whilst a composite of in-hospital mortality, re-infarction and revascularization (emergency coronary artery bypass graft or re-intervention PCI)</w:t>
      </w:r>
      <w:r w:rsidR="00E00305" w:rsidRPr="00472AB4">
        <w:rPr>
          <w:sz w:val="24"/>
          <w:szCs w:val="24"/>
        </w:rPr>
        <w:t xml:space="preserve"> constituted MACE</w:t>
      </w:r>
      <w:r w:rsidR="008D44AA" w:rsidRPr="00472AB4">
        <w:rPr>
          <w:sz w:val="24"/>
          <w:szCs w:val="24"/>
        </w:rPr>
        <w:fldChar w:fldCharType="begin"/>
      </w:r>
      <w:r w:rsidR="00CE0BB2" w:rsidRPr="00472AB4">
        <w:rPr>
          <w:sz w:val="24"/>
          <w:szCs w:val="24"/>
        </w:rPr>
        <w:instrText>ADDIN RW.CITE{{288 Sirker,A. 2016; 311 Kwok,ChunShing 2015}}</w:instrText>
      </w:r>
      <w:r w:rsidR="008D44AA" w:rsidRPr="00472AB4">
        <w:rPr>
          <w:sz w:val="24"/>
          <w:szCs w:val="24"/>
        </w:rPr>
        <w:fldChar w:fldCharType="separate"/>
      </w:r>
      <w:r w:rsidR="00CE0BB2" w:rsidRPr="00472AB4">
        <w:rPr>
          <w:sz w:val="24"/>
          <w:szCs w:val="24"/>
          <w:vertAlign w:val="superscript"/>
        </w:rPr>
        <w:t>19 21</w:t>
      </w:r>
      <w:r w:rsidR="008D44AA" w:rsidRPr="00472AB4">
        <w:rPr>
          <w:sz w:val="24"/>
          <w:szCs w:val="24"/>
        </w:rPr>
        <w:fldChar w:fldCharType="end"/>
      </w:r>
      <w:r w:rsidR="000A7E41" w:rsidRPr="00472AB4">
        <w:rPr>
          <w:sz w:val="24"/>
          <w:szCs w:val="24"/>
        </w:rPr>
        <w:t xml:space="preserve">. </w:t>
      </w:r>
    </w:p>
    <w:p w14:paraId="095B8D7E" w14:textId="77777777" w:rsidR="000A4086" w:rsidRPr="00472AB4" w:rsidRDefault="00C67B1B" w:rsidP="008E0662">
      <w:pPr>
        <w:pStyle w:val="Heading2"/>
        <w:rPr>
          <w:i/>
          <w:sz w:val="24"/>
          <w:szCs w:val="24"/>
          <w:u w:val="none"/>
        </w:rPr>
      </w:pPr>
      <w:r w:rsidRPr="00472AB4">
        <w:rPr>
          <w:i/>
          <w:sz w:val="24"/>
          <w:szCs w:val="24"/>
          <w:u w:val="none"/>
        </w:rPr>
        <w:lastRenderedPageBreak/>
        <w:t>Study aim</w:t>
      </w:r>
    </w:p>
    <w:p w14:paraId="184FC4E3" w14:textId="021F84EA" w:rsidR="00AD4E00" w:rsidRPr="00472AB4" w:rsidRDefault="00EC52C0" w:rsidP="00F70499">
      <w:pPr>
        <w:rPr>
          <w:sz w:val="24"/>
          <w:szCs w:val="24"/>
        </w:rPr>
      </w:pPr>
      <w:r w:rsidRPr="00472AB4">
        <w:rPr>
          <w:sz w:val="24"/>
          <w:szCs w:val="24"/>
        </w:rPr>
        <w:t xml:space="preserve">The </w:t>
      </w:r>
      <w:r w:rsidR="00142450" w:rsidRPr="00472AB4">
        <w:rPr>
          <w:sz w:val="24"/>
          <w:szCs w:val="24"/>
        </w:rPr>
        <w:t>primary aim of</w:t>
      </w:r>
      <w:r w:rsidRPr="00472AB4">
        <w:rPr>
          <w:sz w:val="24"/>
          <w:szCs w:val="24"/>
        </w:rPr>
        <w:t xml:space="preserve"> this study was to investigate </w:t>
      </w:r>
      <w:r w:rsidR="003D0E2E" w:rsidRPr="00472AB4">
        <w:rPr>
          <w:sz w:val="24"/>
          <w:szCs w:val="24"/>
        </w:rPr>
        <w:t xml:space="preserve">the </w:t>
      </w:r>
      <w:r w:rsidRPr="00472AB4">
        <w:rPr>
          <w:sz w:val="24"/>
          <w:szCs w:val="24"/>
        </w:rPr>
        <w:t xml:space="preserve">association between the use of </w:t>
      </w:r>
      <w:r w:rsidR="00C67B1B" w:rsidRPr="00472AB4">
        <w:rPr>
          <w:sz w:val="24"/>
          <w:szCs w:val="24"/>
        </w:rPr>
        <w:t xml:space="preserve">a particular </w:t>
      </w:r>
      <w:r w:rsidRPr="00472AB4">
        <w:rPr>
          <w:sz w:val="24"/>
          <w:szCs w:val="24"/>
        </w:rPr>
        <w:t xml:space="preserve">antiplatelet drug </w:t>
      </w:r>
      <w:r w:rsidR="003D0E2E" w:rsidRPr="00472AB4">
        <w:rPr>
          <w:sz w:val="24"/>
          <w:szCs w:val="24"/>
        </w:rPr>
        <w:t>(</w:t>
      </w:r>
      <w:r w:rsidR="00292EF8" w:rsidRPr="00472AB4">
        <w:rPr>
          <w:sz w:val="24"/>
          <w:szCs w:val="24"/>
        </w:rPr>
        <w:t>clopidogrel</w:t>
      </w:r>
      <w:r w:rsidR="003D0E2E" w:rsidRPr="00472AB4">
        <w:rPr>
          <w:sz w:val="24"/>
          <w:szCs w:val="24"/>
        </w:rPr>
        <w:t xml:space="preserve">, </w:t>
      </w:r>
      <w:r w:rsidR="00292EF8" w:rsidRPr="00472AB4">
        <w:rPr>
          <w:sz w:val="24"/>
          <w:szCs w:val="24"/>
        </w:rPr>
        <w:t>prasugrel</w:t>
      </w:r>
      <w:r w:rsidR="003D0E2E" w:rsidRPr="00472AB4">
        <w:rPr>
          <w:sz w:val="24"/>
          <w:szCs w:val="24"/>
        </w:rPr>
        <w:t xml:space="preserve"> and </w:t>
      </w:r>
      <w:r w:rsidR="00292EF8" w:rsidRPr="00472AB4">
        <w:rPr>
          <w:sz w:val="24"/>
          <w:szCs w:val="24"/>
        </w:rPr>
        <w:t>t</w:t>
      </w:r>
      <w:r w:rsidR="005673DA" w:rsidRPr="00472AB4">
        <w:rPr>
          <w:sz w:val="24"/>
          <w:szCs w:val="24"/>
        </w:rPr>
        <w:t>icagrelor</w:t>
      </w:r>
      <w:r w:rsidR="003D0E2E" w:rsidRPr="00472AB4">
        <w:rPr>
          <w:sz w:val="24"/>
          <w:szCs w:val="24"/>
        </w:rPr>
        <w:t xml:space="preserve">) </w:t>
      </w:r>
      <w:r w:rsidRPr="00472AB4">
        <w:rPr>
          <w:sz w:val="24"/>
          <w:szCs w:val="24"/>
        </w:rPr>
        <w:t xml:space="preserve">and </w:t>
      </w:r>
      <w:r w:rsidR="005E4776" w:rsidRPr="00472AB4">
        <w:rPr>
          <w:sz w:val="24"/>
          <w:szCs w:val="24"/>
        </w:rPr>
        <w:t>30-day and 1-</w:t>
      </w:r>
      <w:r w:rsidR="00142450" w:rsidRPr="00472AB4">
        <w:rPr>
          <w:sz w:val="24"/>
          <w:szCs w:val="24"/>
        </w:rPr>
        <w:t>year mortality.</w:t>
      </w:r>
    </w:p>
    <w:p w14:paraId="4740EF16" w14:textId="77777777" w:rsidR="006327CC" w:rsidRPr="00472AB4" w:rsidRDefault="006327CC" w:rsidP="008E0662">
      <w:pPr>
        <w:pStyle w:val="Heading2"/>
        <w:rPr>
          <w:i/>
          <w:sz w:val="24"/>
          <w:szCs w:val="24"/>
          <w:u w:val="none"/>
        </w:rPr>
      </w:pPr>
      <w:r w:rsidRPr="00472AB4">
        <w:rPr>
          <w:i/>
          <w:sz w:val="24"/>
          <w:szCs w:val="24"/>
          <w:u w:val="none"/>
        </w:rPr>
        <w:t>Statistical analysis</w:t>
      </w:r>
    </w:p>
    <w:p w14:paraId="212108CB" w14:textId="77777777" w:rsidR="00F85D77" w:rsidRPr="00472AB4" w:rsidRDefault="00F85D77" w:rsidP="008E0662">
      <w:pPr>
        <w:pStyle w:val="Heading3"/>
        <w:rPr>
          <w:sz w:val="24"/>
          <w:szCs w:val="24"/>
        </w:rPr>
      </w:pPr>
      <w:r w:rsidRPr="00472AB4">
        <w:rPr>
          <w:sz w:val="24"/>
          <w:szCs w:val="24"/>
        </w:rPr>
        <w:t>Patient exclusion criteria</w:t>
      </w:r>
    </w:p>
    <w:p w14:paraId="0B5B1982" w14:textId="77777777" w:rsidR="00810E09" w:rsidRPr="00472AB4" w:rsidRDefault="00810E09" w:rsidP="00F70499">
      <w:pPr>
        <w:rPr>
          <w:sz w:val="24"/>
          <w:szCs w:val="24"/>
        </w:rPr>
      </w:pPr>
      <w:r w:rsidRPr="00472AB4">
        <w:rPr>
          <w:sz w:val="24"/>
          <w:szCs w:val="24"/>
        </w:rPr>
        <w:t xml:space="preserve">The data presented relate to all reported </w:t>
      </w:r>
      <w:r w:rsidR="00175DF3" w:rsidRPr="00472AB4">
        <w:rPr>
          <w:sz w:val="24"/>
          <w:szCs w:val="24"/>
        </w:rPr>
        <w:t xml:space="preserve">Primary </w:t>
      </w:r>
      <w:r w:rsidRPr="00472AB4">
        <w:rPr>
          <w:sz w:val="24"/>
          <w:szCs w:val="24"/>
        </w:rPr>
        <w:t xml:space="preserve">PCI procedures undertaken in patients in </w:t>
      </w:r>
      <w:r w:rsidR="0096346A" w:rsidRPr="00472AB4">
        <w:rPr>
          <w:sz w:val="24"/>
          <w:szCs w:val="24"/>
        </w:rPr>
        <w:t xml:space="preserve">England and Wales </w:t>
      </w:r>
      <w:r w:rsidRPr="00472AB4">
        <w:rPr>
          <w:sz w:val="24"/>
          <w:szCs w:val="24"/>
        </w:rPr>
        <w:t>between January 1, 200</w:t>
      </w:r>
      <w:r w:rsidR="00AB32DD" w:rsidRPr="00472AB4">
        <w:rPr>
          <w:sz w:val="24"/>
          <w:szCs w:val="24"/>
        </w:rPr>
        <w:t>7</w:t>
      </w:r>
      <w:r w:rsidRPr="00472AB4">
        <w:rPr>
          <w:sz w:val="24"/>
          <w:szCs w:val="24"/>
        </w:rPr>
        <w:t>, and December 31, 201</w:t>
      </w:r>
      <w:r w:rsidR="00AB32DD" w:rsidRPr="00472AB4">
        <w:rPr>
          <w:sz w:val="24"/>
          <w:szCs w:val="24"/>
        </w:rPr>
        <w:t>4</w:t>
      </w:r>
      <w:r w:rsidRPr="00472AB4">
        <w:rPr>
          <w:sz w:val="24"/>
          <w:szCs w:val="24"/>
        </w:rPr>
        <w:t xml:space="preserve">. </w:t>
      </w:r>
      <w:r w:rsidR="00C67B1B" w:rsidRPr="00472AB4">
        <w:rPr>
          <w:sz w:val="24"/>
          <w:szCs w:val="24"/>
        </w:rPr>
        <w:t>Procedures</w:t>
      </w:r>
      <w:r w:rsidR="004256B6" w:rsidRPr="00472AB4">
        <w:rPr>
          <w:sz w:val="24"/>
          <w:szCs w:val="24"/>
        </w:rPr>
        <w:t xml:space="preserve"> </w:t>
      </w:r>
      <w:r w:rsidRPr="00472AB4">
        <w:rPr>
          <w:sz w:val="24"/>
          <w:szCs w:val="24"/>
        </w:rPr>
        <w:t>were</w:t>
      </w:r>
      <w:r w:rsidR="00020D8C" w:rsidRPr="00472AB4">
        <w:rPr>
          <w:sz w:val="24"/>
          <w:szCs w:val="24"/>
        </w:rPr>
        <w:t xml:space="preserve"> excluded </w:t>
      </w:r>
      <w:r w:rsidR="00704972" w:rsidRPr="00472AB4">
        <w:rPr>
          <w:sz w:val="24"/>
          <w:szCs w:val="24"/>
        </w:rPr>
        <w:t>if</w:t>
      </w:r>
      <w:r w:rsidR="00020D8C" w:rsidRPr="00472AB4">
        <w:rPr>
          <w:sz w:val="24"/>
          <w:szCs w:val="24"/>
        </w:rPr>
        <w:t xml:space="preserve"> outcome</w:t>
      </w:r>
      <w:r w:rsidR="00210E04" w:rsidRPr="00472AB4">
        <w:rPr>
          <w:sz w:val="24"/>
          <w:szCs w:val="24"/>
        </w:rPr>
        <w:t xml:space="preserve"> data</w:t>
      </w:r>
      <w:r w:rsidR="00020D8C" w:rsidRPr="00472AB4">
        <w:rPr>
          <w:sz w:val="24"/>
          <w:szCs w:val="24"/>
        </w:rPr>
        <w:t>, age, or gender</w:t>
      </w:r>
      <w:r w:rsidR="00602532" w:rsidRPr="00472AB4">
        <w:rPr>
          <w:sz w:val="24"/>
          <w:szCs w:val="24"/>
        </w:rPr>
        <w:t xml:space="preserve"> </w:t>
      </w:r>
      <w:r w:rsidRPr="00472AB4">
        <w:rPr>
          <w:sz w:val="24"/>
          <w:szCs w:val="24"/>
        </w:rPr>
        <w:t>were missing</w:t>
      </w:r>
      <w:r w:rsidR="00CE3AF0" w:rsidRPr="00472AB4">
        <w:rPr>
          <w:sz w:val="24"/>
          <w:szCs w:val="24"/>
        </w:rPr>
        <w:t xml:space="preserve"> from the dataset</w:t>
      </w:r>
      <w:r w:rsidR="00020D8C" w:rsidRPr="00472AB4">
        <w:rPr>
          <w:sz w:val="24"/>
          <w:szCs w:val="24"/>
        </w:rPr>
        <w:t xml:space="preserve">. </w:t>
      </w:r>
    </w:p>
    <w:p w14:paraId="40EE47D3" w14:textId="77777777" w:rsidR="0031033D" w:rsidRPr="00472AB4" w:rsidRDefault="0031033D" w:rsidP="008E0662">
      <w:pPr>
        <w:pStyle w:val="Heading3"/>
        <w:rPr>
          <w:sz w:val="24"/>
          <w:szCs w:val="24"/>
        </w:rPr>
      </w:pPr>
      <w:r w:rsidRPr="00472AB4">
        <w:rPr>
          <w:sz w:val="24"/>
          <w:szCs w:val="24"/>
        </w:rPr>
        <w:t>Descriptive statistics</w:t>
      </w:r>
    </w:p>
    <w:p w14:paraId="10463AF4" w14:textId="77777777" w:rsidR="008D04C2" w:rsidRPr="00472AB4" w:rsidRDefault="0031033D" w:rsidP="00F70499">
      <w:pPr>
        <w:rPr>
          <w:sz w:val="24"/>
          <w:szCs w:val="24"/>
        </w:rPr>
      </w:pPr>
      <w:r w:rsidRPr="00472AB4">
        <w:rPr>
          <w:sz w:val="24"/>
          <w:szCs w:val="24"/>
        </w:rPr>
        <w:t xml:space="preserve">For basic analyses of demographics, procedural details and unadjusted outcomes, continuous variables were evaluated as </w:t>
      </w:r>
      <w:r w:rsidR="001D0BE2" w:rsidRPr="00472AB4">
        <w:rPr>
          <w:sz w:val="24"/>
          <w:szCs w:val="24"/>
        </w:rPr>
        <w:t>median and interquartile range (I</w:t>
      </w:r>
      <w:r w:rsidR="00747D52" w:rsidRPr="00472AB4">
        <w:rPr>
          <w:sz w:val="24"/>
          <w:szCs w:val="24"/>
        </w:rPr>
        <w:t>QR</w:t>
      </w:r>
      <w:r w:rsidR="0078016A" w:rsidRPr="00472AB4">
        <w:rPr>
          <w:sz w:val="24"/>
          <w:szCs w:val="24"/>
        </w:rPr>
        <w:t xml:space="preserve">, whilst categorical variables were reported using </w:t>
      </w:r>
      <w:r w:rsidR="00276F84" w:rsidRPr="00472AB4">
        <w:rPr>
          <w:sz w:val="24"/>
          <w:szCs w:val="24"/>
        </w:rPr>
        <w:t xml:space="preserve">frequencies and </w:t>
      </w:r>
      <w:r w:rsidR="0078016A" w:rsidRPr="00472AB4">
        <w:rPr>
          <w:sz w:val="24"/>
          <w:szCs w:val="24"/>
        </w:rPr>
        <w:t>proportions</w:t>
      </w:r>
      <w:r w:rsidR="009E3F58" w:rsidRPr="00472AB4">
        <w:rPr>
          <w:sz w:val="24"/>
          <w:szCs w:val="24"/>
        </w:rPr>
        <w:t xml:space="preserve"> (in percentages)</w:t>
      </w:r>
      <w:r w:rsidR="0078016A" w:rsidRPr="00472AB4">
        <w:rPr>
          <w:sz w:val="24"/>
          <w:szCs w:val="24"/>
        </w:rPr>
        <w:t xml:space="preserve">. </w:t>
      </w:r>
      <w:r w:rsidR="001D0BE2" w:rsidRPr="00472AB4">
        <w:rPr>
          <w:sz w:val="24"/>
          <w:szCs w:val="24"/>
        </w:rPr>
        <w:t>Medians</w:t>
      </w:r>
      <w:r w:rsidRPr="00472AB4">
        <w:rPr>
          <w:sz w:val="24"/>
          <w:szCs w:val="24"/>
        </w:rPr>
        <w:t xml:space="preserve">, </w:t>
      </w:r>
      <w:r w:rsidR="001D0BE2" w:rsidRPr="00472AB4">
        <w:rPr>
          <w:sz w:val="24"/>
          <w:szCs w:val="24"/>
        </w:rPr>
        <w:t>I</w:t>
      </w:r>
      <w:r w:rsidR="00FC09BE" w:rsidRPr="00472AB4">
        <w:rPr>
          <w:sz w:val="24"/>
          <w:szCs w:val="24"/>
        </w:rPr>
        <w:t>QR</w:t>
      </w:r>
      <w:r w:rsidR="001D0BE2" w:rsidRPr="00472AB4">
        <w:rPr>
          <w:sz w:val="24"/>
          <w:szCs w:val="24"/>
        </w:rPr>
        <w:t>s</w:t>
      </w:r>
      <w:r w:rsidR="00276F84" w:rsidRPr="00472AB4">
        <w:rPr>
          <w:sz w:val="24"/>
          <w:szCs w:val="24"/>
        </w:rPr>
        <w:t>, frequencies</w:t>
      </w:r>
      <w:r w:rsidRPr="00472AB4">
        <w:rPr>
          <w:sz w:val="24"/>
          <w:szCs w:val="24"/>
        </w:rPr>
        <w:t xml:space="preserve"> and percentages quoted for unadjusted data refer to numbers within the cohort where data were available. Chi-square</w:t>
      </w:r>
      <w:r w:rsidR="00A00F03" w:rsidRPr="00472AB4">
        <w:rPr>
          <w:sz w:val="24"/>
          <w:szCs w:val="24"/>
        </w:rPr>
        <w:t>d</w:t>
      </w:r>
      <w:r w:rsidRPr="00472AB4">
        <w:rPr>
          <w:sz w:val="24"/>
          <w:szCs w:val="24"/>
        </w:rPr>
        <w:t xml:space="preserve"> tests were used to assess the significance of differences in proportions between groups for categorical variables. </w:t>
      </w:r>
      <w:r w:rsidR="001D0BE2" w:rsidRPr="00472AB4">
        <w:rPr>
          <w:sz w:val="24"/>
          <w:szCs w:val="24"/>
        </w:rPr>
        <w:t xml:space="preserve">Kruskal-Wallis rank sum test </w:t>
      </w:r>
      <w:r w:rsidRPr="00472AB4">
        <w:rPr>
          <w:sz w:val="24"/>
          <w:szCs w:val="24"/>
        </w:rPr>
        <w:t>was used for continuous variables. All statistical tests were two-tailed and an alpha of 5% (for significance) was used throughout.</w:t>
      </w:r>
    </w:p>
    <w:p w14:paraId="71505930" w14:textId="77777777" w:rsidR="0031033D" w:rsidRPr="00472AB4" w:rsidRDefault="0031033D" w:rsidP="008E0662">
      <w:pPr>
        <w:pStyle w:val="Heading3"/>
        <w:rPr>
          <w:sz w:val="24"/>
          <w:szCs w:val="24"/>
        </w:rPr>
      </w:pPr>
      <w:r w:rsidRPr="00472AB4">
        <w:rPr>
          <w:sz w:val="24"/>
          <w:szCs w:val="24"/>
        </w:rPr>
        <w:t>Multiple imputations for missing data</w:t>
      </w:r>
    </w:p>
    <w:p w14:paraId="327A6945" w14:textId="596BF6A0" w:rsidR="00BB09A7" w:rsidRPr="00472AB4" w:rsidRDefault="00BB09A7" w:rsidP="00451448">
      <w:pPr>
        <w:pStyle w:val="CommentText"/>
      </w:pPr>
      <w:r w:rsidRPr="00472AB4">
        <w:rPr>
          <w:sz w:val="24"/>
          <w:szCs w:val="24"/>
        </w:rPr>
        <w:t xml:space="preserve">Multiple imputation methods were used in order to </w:t>
      </w:r>
      <w:r w:rsidR="0031033D" w:rsidRPr="00472AB4">
        <w:rPr>
          <w:sz w:val="24"/>
          <w:szCs w:val="24"/>
        </w:rPr>
        <w:t>reduce potential bias created by missing data</w:t>
      </w:r>
      <w:r w:rsidR="000F16DE" w:rsidRPr="00472AB4">
        <w:rPr>
          <w:sz w:val="24"/>
          <w:szCs w:val="24"/>
        </w:rPr>
        <w:fldChar w:fldCharType="begin"/>
      </w:r>
      <w:r w:rsidR="00CE0BB2" w:rsidRPr="00472AB4">
        <w:rPr>
          <w:sz w:val="24"/>
          <w:szCs w:val="24"/>
        </w:rPr>
        <w:instrText>ADDIN RW.CITE{{324 Rubin, DB 1987}}</w:instrText>
      </w:r>
      <w:r w:rsidR="000F16DE" w:rsidRPr="00472AB4">
        <w:rPr>
          <w:sz w:val="24"/>
          <w:szCs w:val="24"/>
        </w:rPr>
        <w:fldChar w:fldCharType="separate"/>
      </w:r>
      <w:r w:rsidR="00CE0BB2" w:rsidRPr="00472AB4">
        <w:rPr>
          <w:rFonts w:eastAsia="Times New Roman"/>
          <w:sz w:val="24"/>
          <w:vertAlign w:val="superscript"/>
        </w:rPr>
        <w:t>23</w:t>
      </w:r>
      <w:r w:rsidR="000F16DE" w:rsidRPr="00472AB4">
        <w:rPr>
          <w:sz w:val="24"/>
          <w:szCs w:val="24"/>
        </w:rPr>
        <w:fldChar w:fldCharType="end"/>
      </w:r>
      <w:r w:rsidR="00705464" w:rsidRPr="00472AB4">
        <w:rPr>
          <w:sz w:val="24"/>
          <w:szCs w:val="24"/>
        </w:rPr>
        <w:t>. To this aim, we used</w:t>
      </w:r>
      <w:r w:rsidRPr="00472AB4">
        <w:rPr>
          <w:sz w:val="24"/>
          <w:szCs w:val="24"/>
        </w:rPr>
        <w:t xml:space="preserve"> the </w:t>
      </w:r>
      <w:r w:rsidRPr="00472AB4">
        <w:rPr>
          <w:i/>
          <w:sz w:val="24"/>
          <w:szCs w:val="24"/>
        </w:rPr>
        <w:t>mice</w:t>
      </w:r>
      <w:r w:rsidRPr="00472AB4">
        <w:rPr>
          <w:sz w:val="24"/>
          <w:szCs w:val="24"/>
        </w:rPr>
        <w:t xml:space="preserve"> R package</w:t>
      </w:r>
      <w:r w:rsidR="00ED4EEF" w:rsidRPr="00472AB4">
        <w:rPr>
          <w:sz w:val="24"/>
          <w:szCs w:val="24"/>
        </w:rPr>
        <w:t>, version 2.25</w:t>
      </w:r>
      <w:r w:rsidR="000F16DE" w:rsidRPr="00472AB4">
        <w:rPr>
          <w:sz w:val="24"/>
          <w:szCs w:val="24"/>
        </w:rPr>
        <w:fldChar w:fldCharType="begin"/>
      </w:r>
      <w:r w:rsidR="00CE0BB2" w:rsidRPr="00472AB4">
        <w:rPr>
          <w:sz w:val="24"/>
          <w:szCs w:val="24"/>
        </w:rPr>
        <w:instrText>ADDIN RW.CITE{{325 Buuren, Stef 2011}}</w:instrText>
      </w:r>
      <w:r w:rsidR="000F16DE" w:rsidRPr="00472AB4">
        <w:rPr>
          <w:sz w:val="24"/>
          <w:szCs w:val="24"/>
        </w:rPr>
        <w:fldChar w:fldCharType="separate"/>
      </w:r>
      <w:r w:rsidR="00CE0BB2" w:rsidRPr="00472AB4">
        <w:rPr>
          <w:rFonts w:eastAsia="Times New Roman"/>
          <w:sz w:val="24"/>
          <w:vertAlign w:val="superscript"/>
        </w:rPr>
        <w:t>24</w:t>
      </w:r>
      <w:r w:rsidR="000F16DE" w:rsidRPr="00472AB4">
        <w:rPr>
          <w:sz w:val="24"/>
          <w:szCs w:val="24"/>
        </w:rPr>
        <w:fldChar w:fldCharType="end"/>
      </w:r>
      <w:r w:rsidR="007E61BC" w:rsidRPr="00472AB4">
        <w:rPr>
          <w:sz w:val="24"/>
          <w:szCs w:val="24"/>
        </w:rPr>
        <w:t xml:space="preserve"> </w:t>
      </w:r>
      <w:r w:rsidRPr="00472AB4">
        <w:rPr>
          <w:sz w:val="24"/>
          <w:szCs w:val="24"/>
        </w:rPr>
        <w:t>which is fr</w:t>
      </w:r>
      <w:r w:rsidR="009E3F58" w:rsidRPr="00472AB4">
        <w:rPr>
          <w:sz w:val="24"/>
          <w:szCs w:val="24"/>
        </w:rPr>
        <w:t>eely available on</w:t>
      </w:r>
      <w:r w:rsidR="00A00F03" w:rsidRPr="00472AB4">
        <w:rPr>
          <w:sz w:val="24"/>
          <w:szCs w:val="24"/>
        </w:rPr>
        <w:t xml:space="preserve"> the The Comprehensive R Archive Network</w:t>
      </w:r>
      <w:r w:rsidR="009E3F58" w:rsidRPr="00472AB4">
        <w:rPr>
          <w:sz w:val="24"/>
          <w:szCs w:val="24"/>
        </w:rPr>
        <w:t xml:space="preserve"> </w:t>
      </w:r>
      <w:r w:rsidR="00A00F03" w:rsidRPr="00472AB4">
        <w:rPr>
          <w:sz w:val="24"/>
          <w:szCs w:val="24"/>
        </w:rPr>
        <w:t>(</w:t>
      </w:r>
      <w:r w:rsidR="009E3F58" w:rsidRPr="00472AB4">
        <w:rPr>
          <w:sz w:val="24"/>
          <w:szCs w:val="24"/>
        </w:rPr>
        <w:t>CRAN</w:t>
      </w:r>
      <w:r w:rsidR="00A00F03" w:rsidRPr="00472AB4">
        <w:rPr>
          <w:sz w:val="24"/>
          <w:szCs w:val="24"/>
        </w:rPr>
        <w:t>)</w:t>
      </w:r>
      <w:r w:rsidR="009E3F58" w:rsidRPr="00472AB4">
        <w:rPr>
          <w:sz w:val="24"/>
          <w:szCs w:val="24"/>
        </w:rPr>
        <w:t xml:space="preserve"> repository</w:t>
      </w:r>
      <w:r w:rsidR="00A00F03" w:rsidRPr="00472AB4">
        <w:rPr>
          <w:sz w:val="24"/>
          <w:szCs w:val="24"/>
        </w:rPr>
        <w:t xml:space="preserve"> (</w:t>
      </w:r>
      <w:r w:rsidR="00A00F03" w:rsidRPr="00472AB4">
        <w:t>https://cran.r-project.org)</w:t>
      </w:r>
      <w:r w:rsidR="00AF028A" w:rsidRPr="00472AB4">
        <w:rPr>
          <w:sz w:val="24"/>
          <w:szCs w:val="24"/>
        </w:rPr>
        <w:t>.</w:t>
      </w:r>
      <w:r w:rsidRPr="00472AB4">
        <w:rPr>
          <w:sz w:val="24"/>
          <w:szCs w:val="24"/>
        </w:rPr>
        <w:t xml:space="preserve"> </w:t>
      </w:r>
      <w:r w:rsidR="0031033D" w:rsidRPr="00472AB4">
        <w:rPr>
          <w:sz w:val="24"/>
          <w:szCs w:val="24"/>
        </w:rPr>
        <w:t xml:space="preserve">Chained equations were used to impute data for all variables with missing </w:t>
      </w:r>
      <w:r w:rsidR="00276F84" w:rsidRPr="00472AB4">
        <w:rPr>
          <w:sz w:val="24"/>
          <w:szCs w:val="24"/>
        </w:rPr>
        <w:t>values</w:t>
      </w:r>
      <w:r w:rsidR="0031033D" w:rsidRPr="00472AB4">
        <w:rPr>
          <w:sz w:val="24"/>
          <w:szCs w:val="24"/>
        </w:rPr>
        <w:t xml:space="preserve"> </w:t>
      </w:r>
      <w:r w:rsidR="00705464" w:rsidRPr="00472AB4">
        <w:rPr>
          <w:sz w:val="24"/>
          <w:szCs w:val="24"/>
        </w:rPr>
        <w:t>to generate 10 dataset instances</w:t>
      </w:r>
      <w:r w:rsidR="0031033D" w:rsidRPr="00472AB4">
        <w:rPr>
          <w:sz w:val="24"/>
          <w:szCs w:val="24"/>
        </w:rPr>
        <w:t xml:space="preserve"> for use in the analyses</w:t>
      </w:r>
      <w:r w:rsidRPr="00472AB4">
        <w:rPr>
          <w:sz w:val="24"/>
          <w:szCs w:val="24"/>
        </w:rPr>
        <w:t>.</w:t>
      </w:r>
    </w:p>
    <w:p w14:paraId="1D254606" w14:textId="77777777" w:rsidR="00735C6D" w:rsidRPr="00472AB4" w:rsidRDefault="00735C6D" w:rsidP="008E0662">
      <w:pPr>
        <w:pStyle w:val="Heading3"/>
      </w:pPr>
      <w:r w:rsidRPr="00472AB4">
        <w:t>Multivariate statistical modelling</w:t>
      </w:r>
    </w:p>
    <w:p w14:paraId="39FC125F" w14:textId="51D74D65" w:rsidR="00735C6D" w:rsidRPr="00472AB4" w:rsidRDefault="00CC19FA" w:rsidP="00451448">
      <w:r w:rsidRPr="00472AB4">
        <w:rPr>
          <w:sz w:val="24"/>
          <w:szCs w:val="24"/>
        </w:rPr>
        <w:t xml:space="preserve">Multivariate logistic regression models were performed over the multiple imputed dataset instances in order to elucidate associations, in the form of odd ratios, between antiplatelet drug selection and adverse outcomes. We also used multivariate Cox regression models to estimate hazard ratios between antiplatelet and survival time outcome censored to 1 year. In order to </w:t>
      </w:r>
      <w:r w:rsidRPr="00472AB4">
        <w:rPr>
          <w:sz w:val="24"/>
          <w:szCs w:val="24"/>
        </w:rPr>
        <w:lastRenderedPageBreak/>
        <w:t>control for potential confounding, all models were adjusted for the following covariates: age, gender, smoking status, diabetes, history of peripheral vascular disease (PVD), hypertension, hypercholesterolemia, history of renal disease, previous coronary artery bypass graft (CABG), previous myocardial infarction (MI), previous stroke, previous PCI, left ventricular ejection fraction (LVEF), pre-procedural TIMI flow score, access site, vascular closure device (VCD) use, stent type, vessel attempted, cardiogenic shock (CS), intra-aortic balloon pump (IABP) use, ventilatory support, thrombectomy, glycoprotein IIb/IIIa inhibitors (GPI) use, bivalirudin use, and year of procedure.</w:t>
      </w:r>
    </w:p>
    <w:p w14:paraId="16599736" w14:textId="77777777" w:rsidR="00AB32DD" w:rsidRPr="00472AB4" w:rsidRDefault="00AB32DD" w:rsidP="008E0662">
      <w:pPr>
        <w:pStyle w:val="Heading3"/>
      </w:pPr>
      <w:r w:rsidRPr="00472AB4">
        <w:t>Propensity score matching</w:t>
      </w:r>
    </w:p>
    <w:p w14:paraId="060ABE26" w14:textId="1CFC90C2" w:rsidR="00C54910" w:rsidRPr="00472AB4" w:rsidRDefault="00B97095" w:rsidP="00451448">
      <w:pPr>
        <w:rPr>
          <w:sz w:val="24"/>
          <w:szCs w:val="24"/>
        </w:rPr>
      </w:pPr>
      <w:r w:rsidRPr="00472AB4">
        <w:t>A sensitivity analysis was performed using p</w:t>
      </w:r>
      <w:r w:rsidR="00D81FEF" w:rsidRPr="00472AB4">
        <w:t xml:space="preserve">ropensity score matching. </w:t>
      </w:r>
      <w:r w:rsidR="00FC6383" w:rsidRPr="00472AB4">
        <w:rPr>
          <w:sz w:val="24"/>
          <w:szCs w:val="24"/>
        </w:rPr>
        <w:t>The method was implemented in three separated logistic regression models (</w:t>
      </w:r>
      <w:r w:rsidR="00292EF8" w:rsidRPr="00472AB4">
        <w:rPr>
          <w:sz w:val="24"/>
          <w:szCs w:val="24"/>
        </w:rPr>
        <w:t>prasugrel</w:t>
      </w:r>
      <w:r w:rsidR="00FC6383" w:rsidRPr="00472AB4">
        <w:rPr>
          <w:sz w:val="24"/>
          <w:szCs w:val="24"/>
        </w:rPr>
        <w:t xml:space="preserve"> vs </w:t>
      </w:r>
      <w:r w:rsidR="00292EF8" w:rsidRPr="00472AB4">
        <w:rPr>
          <w:sz w:val="24"/>
          <w:szCs w:val="24"/>
        </w:rPr>
        <w:t>clopidogrel</w:t>
      </w:r>
      <w:r w:rsidR="00FC6383" w:rsidRPr="00472AB4">
        <w:rPr>
          <w:sz w:val="24"/>
          <w:szCs w:val="24"/>
        </w:rPr>
        <w:t xml:space="preserve">, </w:t>
      </w:r>
      <w:r w:rsidR="00292EF8" w:rsidRPr="00472AB4">
        <w:rPr>
          <w:sz w:val="24"/>
          <w:szCs w:val="24"/>
        </w:rPr>
        <w:t>t</w:t>
      </w:r>
      <w:r w:rsidR="005673DA" w:rsidRPr="00472AB4">
        <w:rPr>
          <w:sz w:val="24"/>
          <w:szCs w:val="24"/>
        </w:rPr>
        <w:t>icagrelor</w:t>
      </w:r>
      <w:r w:rsidR="00FC6383" w:rsidRPr="00472AB4">
        <w:rPr>
          <w:sz w:val="24"/>
          <w:szCs w:val="24"/>
        </w:rPr>
        <w:t xml:space="preserve"> vs </w:t>
      </w:r>
      <w:r w:rsidR="00292EF8" w:rsidRPr="00472AB4">
        <w:rPr>
          <w:sz w:val="24"/>
          <w:szCs w:val="24"/>
        </w:rPr>
        <w:t>clopidogrel</w:t>
      </w:r>
      <w:r w:rsidR="00FC6383" w:rsidRPr="00472AB4">
        <w:rPr>
          <w:sz w:val="24"/>
          <w:szCs w:val="24"/>
        </w:rPr>
        <w:t xml:space="preserve">, and </w:t>
      </w:r>
      <w:r w:rsidR="00292EF8" w:rsidRPr="00472AB4">
        <w:rPr>
          <w:sz w:val="24"/>
          <w:szCs w:val="24"/>
        </w:rPr>
        <w:t>t</w:t>
      </w:r>
      <w:r w:rsidR="005673DA" w:rsidRPr="00472AB4">
        <w:rPr>
          <w:sz w:val="24"/>
          <w:szCs w:val="24"/>
        </w:rPr>
        <w:t>icagrelor</w:t>
      </w:r>
      <w:r w:rsidR="00FC6383" w:rsidRPr="00472AB4">
        <w:rPr>
          <w:sz w:val="24"/>
          <w:szCs w:val="24"/>
        </w:rPr>
        <w:t xml:space="preserve"> vs </w:t>
      </w:r>
      <w:r w:rsidR="00292EF8" w:rsidRPr="00472AB4">
        <w:rPr>
          <w:sz w:val="24"/>
          <w:szCs w:val="24"/>
        </w:rPr>
        <w:t>prasugrel</w:t>
      </w:r>
      <w:r w:rsidR="00FC6383" w:rsidRPr="00472AB4">
        <w:rPr>
          <w:sz w:val="24"/>
          <w:szCs w:val="24"/>
        </w:rPr>
        <w:t>) over the multipl</w:t>
      </w:r>
      <w:r w:rsidR="00044626" w:rsidRPr="00472AB4">
        <w:rPr>
          <w:sz w:val="24"/>
          <w:szCs w:val="24"/>
        </w:rPr>
        <w:t>e</w:t>
      </w:r>
      <w:r w:rsidR="00FC6383" w:rsidRPr="00472AB4">
        <w:rPr>
          <w:sz w:val="24"/>
          <w:szCs w:val="24"/>
        </w:rPr>
        <w:t xml:space="preserve"> imputed dataset instances using </w:t>
      </w:r>
      <w:r w:rsidR="002D5FFF" w:rsidRPr="00472AB4">
        <w:rPr>
          <w:sz w:val="24"/>
          <w:szCs w:val="24"/>
        </w:rPr>
        <w:t xml:space="preserve">the aforementioned variables as explanatories and the antiplatelet drug use as the outcome. We used the </w:t>
      </w:r>
      <w:r w:rsidR="002D5FFF" w:rsidRPr="00472AB4">
        <w:rPr>
          <w:i/>
          <w:sz w:val="24"/>
          <w:szCs w:val="24"/>
        </w:rPr>
        <w:t>MatchIt</w:t>
      </w:r>
      <w:r w:rsidR="002D5FFF" w:rsidRPr="00472AB4">
        <w:rPr>
          <w:sz w:val="24"/>
          <w:szCs w:val="24"/>
        </w:rPr>
        <w:t xml:space="preserve"> R package</w:t>
      </w:r>
      <w:r w:rsidR="008050B0" w:rsidRPr="00472AB4">
        <w:rPr>
          <w:sz w:val="24"/>
          <w:szCs w:val="24"/>
        </w:rPr>
        <w:t>, version 2.4-21</w:t>
      </w:r>
      <w:r w:rsidR="000F16DE" w:rsidRPr="00472AB4">
        <w:rPr>
          <w:sz w:val="24"/>
          <w:szCs w:val="24"/>
        </w:rPr>
        <w:fldChar w:fldCharType="begin"/>
      </w:r>
      <w:r w:rsidR="00CE0BB2" w:rsidRPr="00472AB4">
        <w:rPr>
          <w:sz w:val="24"/>
          <w:szCs w:val="24"/>
        </w:rPr>
        <w:instrText>ADDIN RW.CITE{{322 Ho, Daniel E 1737}}</w:instrText>
      </w:r>
      <w:r w:rsidR="000F16DE" w:rsidRPr="00472AB4">
        <w:rPr>
          <w:sz w:val="24"/>
          <w:szCs w:val="24"/>
        </w:rPr>
        <w:fldChar w:fldCharType="separate"/>
      </w:r>
      <w:r w:rsidR="00CE0BB2" w:rsidRPr="00472AB4">
        <w:rPr>
          <w:rFonts w:eastAsia="Times New Roman"/>
          <w:sz w:val="24"/>
          <w:vertAlign w:val="superscript"/>
        </w:rPr>
        <w:t>25</w:t>
      </w:r>
      <w:r w:rsidR="000F16DE" w:rsidRPr="00472AB4">
        <w:rPr>
          <w:sz w:val="24"/>
          <w:szCs w:val="24"/>
        </w:rPr>
        <w:fldChar w:fldCharType="end"/>
      </w:r>
      <w:r w:rsidR="000A1543" w:rsidRPr="00472AB4">
        <w:rPr>
          <w:sz w:val="24"/>
          <w:szCs w:val="24"/>
        </w:rPr>
        <w:t>,</w:t>
      </w:r>
      <w:r w:rsidR="002D5FFF" w:rsidRPr="00472AB4">
        <w:rPr>
          <w:sz w:val="24"/>
          <w:szCs w:val="24"/>
        </w:rPr>
        <w:t xml:space="preserve"> to estimate the propensity scores and to form the new matched dataset instances according to them. As initial settings, </w:t>
      </w:r>
      <w:r w:rsidR="00AE771D" w:rsidRPr="00472AB4">
        <w:rPr>
          <w:sz w:val="24"/>
          <w:szCs w:val="24"/>
        </w:rPr>
        <w:t xml:space="preserve">we used </w:t>
      </w:r>
      <w:r w:rsidR="002D5FFF" w:rsidRPr="00472AB4">
        <w:rPr>
          <w:sz w:val="24"/>
          <w:szCs w:val="24"/>
        </w:rPr>
        <w:t>the nearest-neighbor matching method and no procedures</w:t>
      </w:r>
      <w:r w:rsidR="000A1543" w:rsidRPr="00472AB4">
        <w:rPr>
          <w:sz w:val="24"/>
          <w:szCs w:val="24"/>
        </w:rPr>
        <w:t xml:space="preserve"> </w:t>
      </w:r>
      <w:r w:rsidR="002D5FFF" w:rsidRPr="00472AB4">
        <w:rPr>
          <w:sz w:val="24"/>
          <w:szCs w:val="24"/>
        </w:rPr>
        <w:t xml:space="preserve">were discarded. </w:t>
      </w:r>
      <w:r w:rsidR="00044626" w:rsidRPr="00472AB4">
        <w:rPr>
          <w:sz w:val="24"/>
          <w:szCs w:val="24"/>
        </w:rPr>
        <w:t xml:space="preserve">Depending on the type of outcome, binary or survival time, </w:t>
      </w:r>
      <w:r w:rsidR="00BE7A45" w:rsidRPr="00472AB4">
        <w:rPr>
          <w:sz w:val="24"/>
          <w:szCs w:val="24"/>
        </w:rPr>
        <w:t xml:space="preserve">conditional </w:t>
      </w:r>
      <w:r w:rsidR="00044626" w:rsidRPr="00472AB4">
        <w:rPr>
          <w:sz w:val="24"/>
          <w:szCs w:val="24"/>
        </w:rPr>
        <w:t xml:space="preserve">logistic or Cox regression models </w:t>
      </w:r>
      <w:r w:rsidR="004579E8" w:rsidRPr="00472AB4">
        <w:rPr>
          <w:sz w:val="24"/>
          <w:szCs w:val="24"/>
        </w:rPr>
        <w:t>were performed</w:t>
      </w:r>
      <w:r w:rsidR="00044626" w:rsidRPr="00472AB4">
        <w:rPr>
          <w:sz w:val="24"/>
          <w:szCs w:val="24"/>
        </w:rPr>
        <w:t>, respectively,</w:t>
      </w:r>
      <w:r w:rsidR="004579E8" w:rsidRPr="00472AB4">
        <w:rPr>
          <w:sz w:val="24"/>
          <w:szCs w:val="24"/>
        </w:rPr>
        <w:t xml:space="preserve"> over </w:t>
      </w:r>
      <w:r w:rsidR="000A1543" w:rsidRPr="00472AB4">
        <w:rPr>
          <w:sz w:val="24"/>
          <w:szCs w:val="24"/>
        </w:rPr>
        <w:t xml:space="preserve">the </w:t>
      </w:r>
      <w:r w:rsidR="004579E8" w:rsidRPr="00472AB4">
        <w:rPr>
          <w:sz w:val="24"/>
          <w:szCs w:val="24"/>
        </w:rPr>
        <w:t>matched dataset instances</w:t>
      </w:r>
      <w:r w:rsidR="00A0556A" w:rsidRPr="00472AB4">
        <w:rPr>
          <w:sz w:val="24"/>
          <w:szCs w:val="24"/>
        </w:rPr>
        <w:t>.</w:t>
      </w:r>
    </w:p>
    <w:p w14:paraId="652D6EE0" w14:textId="77777777" w:rsidR="006327CC" w:rsidRPr="00472AB4" w:rsidRDefault="00F8066E" w:rsidP="008E0662">
      <w:pPr>
        <w:pStyle w:val="Heading1"/>
        <w:rPr>
          <w:szCs w:val="24"/>
        </w:rPr>
      </w:pPr>
      <w:r w:rsidRPr="00472AB4">
        <w:rPr>
          <w:szCs w:val="24"/>
        </w:rPr>
        <w:t>Results</w:t>
      </w:r>
    </w:p>
    <w:p w14:paraId="6FC02018" w14:textId="34D98DBA" w:rsidR="009778D3" w:rsidRPr="00472AB4" w:rsidRDefault="00CA34C2" w:rsidP="009778D3">
      <w:pPr>
        <w:rPr>
          <w:sz w:val="24"/>
          <w:szCs w:val="24"/>
          <w:lang w:val="en-GB"/>
        </w:rPr>
      </w:pPr>
      <w:r w:rsidRPr="00472AB4">
        <w:rPr>
          <w:sz w:val="24"/>
          <w:szCs w:val="24"/>
        </w:rPr>
        <w:t xml:space="preserve">A total of </w:t>
      </w:r>
      <w:r w:rsidR="001C1C7C" w:rsidRPr="00472AB4">
        <w:rPr>
          <w:sz w:val="24"/>
          <w:szCs w:val="24"/>
        </w:rPr>
        <w:t>125</w:t>
      </w:r>
      <w:r w:rsidRPr="00472AB4">
        <w:rPr>
          <w:sz w:val="24"/>
          <w:szCs w:val="24"/>
        </w:rPr>
        <w:t>,</w:t>
      </w:r>
      <w:r w:rsidR="001C1C7C" w:rsidRPr="00472AB4">
        <w:rPr>
          <w:sz w:val="24"/>
          <w:szCs w:val="24"/>
        </w:rPr>
        <w:t xml:space="preserve">424 </w:t>
      </w:r>
      <w:r w:rsidRPr="00472AB4">
        <w:rPr>
          <w:sz w:val="24"/>
          <w:szCs w:val="24"/>
        </w:rPr>
        <w:t>primary PCI procedures were undertaken on patients in England and Wales between 2007 and 2014 of which 89,067 (</w:t>
      </w:r>
      <w:r w:rsidR="001C1C7C" w:rsidRPr="00472AB4">
        <w:rPr>
          <w:sz w:val="24"/>
          <w:szCs w:val="24"/>
        </w:rPr>
        <w:t>71</w:t>
      </w:r>
      <w:r w:rsidR="006232A8" w:rsidRPr="00472AB4">
        <w:rPr>
          <w:sz w:val="24"/>
          <w:szCs w:val="24"/>
        </w:rPr>
        <w:t xml:space="preserve">.0 </w:t>
      </w:r>
      <w:r w:rsidRPr="00472AB4">
        <w:rPr>
          <w:sz w:val="24"/>
          <w:szCs w:val="24"/>
        </w:rPr>
        <w:t xml:space="preserve">%) were included in the </w:t>
      </w:r>
      <w:r w:rsidR="00E32B80" w:rsidRPr="00472AB4">
        <w:rPr>
          <w:sz w:val="24"/>
          <w:szCs w:val="24"/>
        </w:rPr>
        <w:t xml:space="preserve">descriptive </w:t>
      </w:r>
      <w:r w:rsidRPr="00472AB4">
        <w:rPr>
          <w:sz w:val="24"/>
          <w:szCs w:val="24"/>
        </w:rPr>
        <w:t>analyses</w:t>
      </w:r>
      <w:r w:rsidR="00201367" w:rsidRPr="00472AB4">
        <w:rPr>
          <w:sz w:val="24"/>
          <w:szCs w:val="24"/>
        </w:rPr>
        <w:t xml:space="preserve"> and</w:t>
      </w:r>
      <w:r w:rsidR="00E32B80" w:rsidRPr="00472AB4">
        <w:rPr>
          <w:sz w:val="24"/>
          <w:szCs w:val="24"/>
        </w:rPr>
        <w:t xml:space="preserve"> statistical </w:t>
      </w:r>
      <w:r w:rsidR="00615A91" w:rsidRPr="00472AB4">
        <w:rPr>
          <w:sz w:val="24"/>
          <w:szCs w:val="24"/>
        </w:rPr>
        <w:t>modeling</w:t>
      </w:r>
      <w:r w:rsidRPr="00472AB4">
        <w:rPr>
          <w:sz w:val="24"/>
          <w:szCs w:val="24"/>
        </w:rPr>
        <w:t>.</w:t>
      </w:r>
      <w:r w:rsidR="00CB02FB" w:rsidRPr="00472AB4">
        <w:rPr>
          <w:sz w:val="24"/>
          <w:szCs w:val="24"/>
        </w:rPr>
        <w:t xml:space="preserve"> Figure 1 displays a detailed flowchart for procedure inclusion/exclusion</w:t>
      </w:r>
      <w:r w:rsidR="00615A91" w:rsidRPr="00472AB4">
        <w:rPr>
          <w:sz w:val="24"/>
          <w:szCs w:val="24"/>
        </w:rPr>
        <w:t xml:space="preserve"> criteria</w:t>
      </w:r>
      <w:r w:rsidR="009778D3" w:rsidRPr="00472AB4">
        <w:rPr>
          <w:sz w:val="24"/>
          <w:szCs w:val="24"/>
        </w:rPr>
        <w:t xml:space="preserve">, the commonest reasons </w:t>
      </w:r>
      <w:r w:rsidR="00114E33" w:rsidRPr="00472AB4">
        <w:rPr>
          <w:sz w:val="24"/>
          <w:szCs w:val="24"/>
        </w:rPr>
        <w:t xml:space="preserve">being that antiplatelet agent was unknown in </w:t>
      </w:r>
      <w:r w:rsidR="009778D3" w:rsidRPr="00472AB4">
        <w:rPr>
          <w:sz w:val="24"/>
          <w:szCs w:val="24"/>
          <w:lang w:val="en-GB"/>
        </w:rPr>
        <w:t>34,265 procedures (27.42%).</w:t>
      </w:r>
    </w:p>
    <w:p w14:paraId="1B03749F" w14:textId="0F965861" w:rsidR="00CB02FB" w:rsidRPr="00472AB4" w:rsidRDefault="00291671" w:rsidP="00F638E2">
      <w:pPr>
        <w:spacing w:before="0" w:after="0"/>
        <w:rPr>
          <w:sz w:val="24"/>
          <w:szCs w:val="24"/>
        </w:rPr>
      </w:pPr>
      <w:r w:rsidRPr="00472AB4">
        <w:rPr>
          <w:sz w:val="24"/>
          <w:szCs w:val="24"/>
        </w:rPr>
        <w:t xml:space="preserve"> </w:t>
      </w:r>
    </w:p>
    <w:p w14:paraId="229C6DBD" w14:textId="64D5668A" w:rsidR="00F70499" w:rsidRPr="00472AB4" w:rsidRDefault="00EA1E62" w:rsidP="00013564">
      <w:pPr>
        <w:spacing w:before="0" w:after="0"/>
        <w:rPr>
          <w:sz w:val="24"/>
          <w:szCs w:val="24"/>
        </w:rPr>
      </w:pPr>
      <w:r w:rsidRPr="00472AB4">
        <w:rPr>
          <w:sz w:val="24"/>
          <w:szCs w:val="24"/>
        </w:rPr>
        <w:t xml:space="preserve">Figure </w:t>
      </w:r>
      <w:r w:rsidR="008B14E6" w:rsidRPr="00472AB4">
        <w:rPr>
          <w:sz w:val="24"/>
          <w:szCs w:val="24"/>
        </w:rPr>
        <w:t xml:space="preserve">2 </w:t>
      </w:r>
      <w:r w:rsidRPr="00472AB4">
        <w:rPr>
          <w:sz w:val="24"/>
          <w:szCs w:val="24"/>
        </w:rPr>
        <w:t>provides details on antiplatelet</w:t>
      </w:r>
      <w:r w:rsidR="006B0C01" w:rsidRPr="00472AB4">
        <w:rPr>
          <w:sz w:val="24"/>
          <w:szCs w:val="24"/>
        </w:rPr>
        <w:t xml:space="preserve"> agent</w:t>
      </w:r>
      <w:r w:rsidRPr="00472AB4">
        <w:rPr>
          <w:sz w:val="24"/>
          <w:szCs w:val="24"/>
        </w:rPr>
        <w:t xml:space="preserve"> </w:t>
      </w:r>
      <w:r w:rsidR="00F643ED" w:rsidRPr="00472AB4">
        <w:rPr>
          <w:sz w:val="24"/>
          <w:szCs w:val="24"/>
        </w:rPr>
        <w:t xml:space="preserve">in primary PCI </w:t>
      </w:r>
      <w:r w:rsidRPr="00472AB4">
        <w:rPr>
          <w:sz w:val="24"/>
          <w:szCs w:val="24"/>
        </w:rPr>
        <w:t>use at primary care trusts (</w:t>
      </w:r>
      <w:r w:rsidR="0023479A" w:rsidRPr="00472AB4">
        <w:rPr>
          <w:sz w:val="24"/>
          <w:szCs w:val="24"/>
        </w:rPr>
        <w:t xml:space="preserve">PCTs, </w:t>
      </w:r>
      <w:r w:rsidRPr="00472AB4">
        <w:rPr>
          <w:sz w:val="24"/>
          <w:szCs w:val="24"/>
        </w:rPr>
        <w:t>England) and local health boards (</w:t>
      </w:r>
      <w:r w:rsidR="0023479A" w:rsidRPr="00472AB4">
        <w:rPr>
          <w:sz w:val="24"/>
          <w:szCs w:val="24"/>
        </w:rPr>
        <w:t xml:space="preserve">LHBs, </w:t>
      </w:r>
      <w:r w:rsidRPr="00472AB4">
        <w:rPr>
          <w:sz w:val="24"/>
          <w:szCs w:val="24"/>
        </w:rPr>
        <w:t xml:space="preserve">Wales) levels. </w:t>
      </w:r>
      <w:r w:rsidR="00735B71" w:rsidRPr="00472AB4">
        <w:rPr>
          <w:sz w:val="24"/>
          <w:szCs w:val="24"/>
        </w:rPr>
        <w:t xml:space="preserve"> </w:t>
      </w:r>
      <w:r w:rsidR="00B225B5" w:rsidRPr="00472AB4">
        <w:rPr>
          <w:sz w:val="24"/>
          <w:szCs w:val="24"/>
        </w:rPr>
        <w:t>This figure shows differences in use acr</w:t>
      </w:r>
      <w:r w:rsidR="00013564" w:rsidRPr="00472AB4">
        <w:rPr>
          <w:sz w:val="24"/>
          <w:szCs w:val="24"/>
        </w:rPr>
        <w:t xml:space="preserve">oss England and Wales over time, </w:t>
      </w:r>
      <w:r w:rsidR="00292EF8" w:rsidRPr="00472AB4">
        <w:rPr>
          <w:sz w:val="24"/>
          <w:szCs w:val="24"/>
        </w:rPr>
        <w:t>t</w:t>
      </w:r>
      <w:r w:rsidR="005673DA" w:rsidRPr="00472AB4">
        <w:rPr>
          <w:sz w:val="24"/>
          <w:szCs w:val="24"/>
        </w:rPr>
        <w:t>icagrelor</w:t>
      </w:r>
      <w:r w:rsidR="00013564" w:rsidRPr="00472AB4">
        <w:rPr>
          <w:sz w:val="24"/>
          <w:szCs w:val="24"/>
        </w:rPr>
        <w:t xml:space="preserve"> mainly </w:t>
      </w:r>
      <w:r w:rsidR="00F643ED" w:rsidRPr="00472AB4">
        <w:rPr>
          <w:sz w:val="24"/>
          <w:szCs w:val="24"/>
        </w:rPr>
        <w:t xml:space="preserve">being </w:t>
      </w:r>
      <w:r w:rsidR="00013564" w:rsidRPr="00472AB4">
        <w:rPr>
          <w:sz w:val="24"/>
          <w:szCs w:val="24"/>
        </w:rPr>
        <w:t xml:space="preserve">prescribed in northern England and in some parts of the London area, whilst </w:t>
      </w:r>
      <w:r w:rsidR="003C4C52" w:rsidRPr="00472AB4">
        <w:rPr>
          <w:sz w:val="24"/>
          <w:szCs w:val="24"/>
        </w:rPr>
        <w:t>p</w:t>
      </w:r>
      <w:r w:rsidR="00292EF8" w:rsidRPr="00472AB4">
        <w:rPr>
          <w:sz w:val="24"/>
          <w:szCs w:val="24"/>
        </w:rPr>
        <w:t>rasugrel</w:t>
      </w:r>
      <w:r w:rsidR="00013564" w:rsidRPr="00472AB4">
        <w:rPr>
          <w:sz w:val="24"/>
          <w:szCs w:val="24"/>
        </w:rPr>
        <w:t xml:space="preserve"> seems to be favored in west England and some LHBs in Wales.</w:t>
      </w:r>
    </w:p>
    <w:p w14:paraId="6E9DCB28" w14:textId="3CC9BE75" w:rsidR="00735B71" w:rsidRPr="00472AB4" w:rsidRDefault="0023479A" w:rsidP="00013564">
      <w:pPr>
        <w:spacing w:before="0" w:after="0"/>
        <w:rPr>
          <w:sz w:val="24"/>
          <w:szCs w:val="24"/>
        </w:rPr>
      </w:pPr>
      <w:r w:rsidRPr="00472AB4">
        <w:rPr>
          <w:sz w:val="24"/>
          <w:szCs w:val="24"/>
        </w:rPr>
        <w:t xml:space="preserve"> </w:t>
      </w:r>
    </w:p>
    <w:p w14:paraId="36879DBD" w14:textId="30DE6516" w:rsidR="00E77509" w:rsidRPr="00472AB4" w:rsidRDefault="009B3A26" w:rsidP="00607332">
      <w:pPr>
        <w:spacing w:before="0" w:after="0"/>
        <w:rPr>
          <w:sz w:val="24"/>
          <w:szCs w:val="24"/>
        </w:rPr>
      </w:pPr>
      <w:r w:rsidRPr="00472AB4">
        <w:rPr>
          <w:sz w:val="24"/>
          <w:szCs w:val="24"/>
        </w:rPr>
        <w:lastRenderedPageBreak/>
        <w:t xml:space="preserve">Table 1 presents </w:t>
      </w:r>
      <w:r w:rsidR="00385F94" w:rsidRPr="00472AB4">
        <w:rPr>
          <w:sz w:val="24"/>
          <w:szCs w:val="24"/>
        </w:rPr>
        <w:t>baseline patient demographics, procedural details, pharmacology and outcomes for the three antiplatelet groups.</w:t>
      </w:r>
      <w:r w:rsidR="0099409F" w:rsidRPr="00472AB4">
        <w:rPr>
          <w:sz w:val="24"/>
          <w:szCs w:val="24"/>
        </w:rPr>
        <w:t xml:space="preserve"> Supplementary Table S1</w:t>
      </w:r>
      <w:r w:rsidR="001E0582" w:rsidRPr="00472AB4">
        <w:rPr>
          <w:sz w:val="24"/>
          <w:szCs w:val="24"/>
        </w:rPr>
        <w:t>a</w:t>
      </w:r>
      <w:r w:rsidR="0099409F" w:rsidRPr="00472AB4">
        <w:rPr>
          <w:sz w:val="24"/>
          <w:szCs w:val="24"/>
        </w:rPr>
        <w:t xml:space="preserve"> gives details of missing value levels presented in the data</w:t>
      </w:r>
      <w:r w:rsidR="001E0582" w:rsidRPr="00472AB4">
        <w:rPr>
          <w:sz w:val="24"/>
          <w:szCs w:val="24"/>
        </w:rPr>
        <w:t xml:space="preserve"> and Supplementary Table S1b patient demographics, procedural details, pharmacology and outcomes for patients where antiplatelet regime was missing</w:t>
      </w:r>
      <w:r w:rsidR="00385F94" w:rsidRPr="00472AB4">
        <w:rPr>
          <w:sz w:val="24"/>
          <w:szCs w:val="24"/>
        </w:rPr>
        <w:t xml:space="preserve">. </w:t>
      </w:r>
      <w:r w:rsidR="005E6E70" w:rsidRPr="00472AB4">
        <w:rPr>
          <w:sz w:val="24"/>
          <w:szCs w:val="24"/>
        </w:rPr>
        <w:t xml:space="preserve">Results of statistical tests included in Table 1 </w:t>
      </w:r>
      <w:r w:rsidR="00F643ED" w:rsidRPr="00472AB4">
        <w:rPr>
          <w:sz w:val="24"/>
          <w:szCs w:val="24"/>
        </w:rPr>
        <w:t>illustrate significant differences</w:t>
      </w:r>
      <w:r w:rsidR="005E6E70" w:rsidRPr="00472AB4">
        <w:rPr>
          <w:sz w:val="24"/>
          <w:szCs w:val="24"/>
        </w:rPr>
        <w:t xml:space="preserve"> among</w:t>
      </w:r>
      <w:r w:rsidR="00F643ED" w:rsidRPr="00472AB4">
        <w:rPr>
          <w:sz w:val="24"/>
          <w:szCs w:val="24"/>
        </w:rPr>
        <w:t>st</w:t>
      </w:r>
      <w:r w:rsidR="005E6E70" w:rsidRPr="00472AB4">
        <w:rPr>
          <w:sz w:val="24"/>
          <w:szCs w:val="24"/>
        </w:rPr>
        <w:t xml:space="preserve"> the groups</w:t>
      </w:r>
      <w:r w:rsidR="00501244" w:rsidRPr="00472AB4">
        <w:rPr>
          <w:sz w:val="24"/>
          <w:szCs w:val="24"/>
        </w:rPr>
        <w:t xml:space="preserve">. For instance, </w:t>
      </w:r>
      <w:r w:rsidR="003B7618" w:rsidRPr="00472AB4">
        <w:rPr>
          <w:sz w:val="24"/>
          <w:szCs w:val="24"/>
        </w:rPr>
        <w:t xml:space="preserve">patients from the </w:t>
      </w:r>
      <w:r w:rsidR="003C4C52" w:rsidRPr="00472AB4">
        <w:rPr>
          <w:sz w:val="24"/>
          <w:szCs w:val="24"/>
        </w:rPr>
        <w:t>c</w:t>
      </w:r>
      <w:r w:rsidR="00292EF8" w:rsidRPr="00472AB4">
        <w:rPr>
          <w:sz w:val="24"/>
          <w:szCs w:val="24"/>
        </w:rPr>
        <w:t>lopidogrel</w:t>
      </w:r>
      <w:r w:rsidR="00953BE6" w:rsidRPr="00472AB4">
        <w:rPr>
          <w:sz w:val="24"/>
          <w:szCs w:val="24"/>
        </w:rPr>
        <w:t xml:space="preserve"> group</w:t>
      </w:r>
      <w:r w:rsidR="00050ABD" w:rsidRPr="00472AB4">
        <w:rPr>
          <w:sz w:val="24"/>
          <w:szCs w:val="24"/>
        </w:rPr>
        <w:t xml:space="preserve"> </w:t>
      </w:r>
      <w:r w:rsidR="00114E33" w:rsidRPr="00472AB4">
        <w:rPr>
          <w:sz w:val="24"/>
          <w:szCs w:val="24"/>
        </w:rPr>
        <w:t>were</w:t>
      </w:r>
      <w:r w:rsidR="00953BE6" w:rsidRPr="00472AB4">
        <w:rPr>
          <w:sz w:val="24"/>
          <w:szCs w:val="24"/>
        </w:rPr>
        <w:t xml:space="preserve"> </w:t>
      </w:r>
      <w:r w:rsidR="00501244" w:rsidRPr="00472AB4">
        <w:rPr>
          <w:sz w:val="24"/>
          <w:szCs w:val="24"/>
        </w:rPr>
        <w:t>older</w:t>
      </w:r>
      <w:r w:rsidR="00953BE6" w:rsidRPr="00472AB4">
        <w:rPr>
          <w:sz w:val="24"/>
          <w:szCs w:val="24"/>
        </w:rPr>
        <w:t xml:space="preserve"> and</w:t>
      </w:r>
      <w:r w:rsidR="00501244" w:rsidRPr="00472AB4">
        <w:rPr>
          <w:sz w:val="24"/>
          <w:szCs w:val="24"/>
        </w:rPr>
        <w:t xml:space="preserve"> more likely to be female</w:t>
      </w:r>
      <w:r w:rsidR="00953BE6" w:rsidRPr="00472AB4">
        <w:rPr>
          <w:sz w:val="24"/>
          <w:szCs w:val="24"/>
        </w:rPr>
        <w:t>,</w:t>
      </w:r>
      <w:r w:rsidR="003B7618" w:rsidRPr="00472AB4">
        <w:rPr>
          <w:sz w:val="24"/>
          <w:szCs w:val="24"/>
        </w:rPr>
        <w:t xml:space="preserve"> and </w:t>
      </w:r>
      <w:r w:rsidR="009775A5" w:rsidRPr="00472AB4">
        <w:rPr>
          <w:sz w:val="24"/>
          <w:szCs w:val="24"/>
        </w:rPr>
        <w:t xml:space="preserve">to </w:t>
      </w:r>
      <w:r w:rsidR="00501244" w:rsidRPr="00472AB4">
        <w:rPr>
          <w:sz w:val="24"/>
          <w:szCs w:val="24"/>
        </w:rPr>
        <w:t>have</w:t>
      </w:r>
      <w:r w:rsidR="00BB0C69" w:rsidRPr="00472AB4">
        <w:rPr>
          <w:sz w:val="24"/>
          <w:szCs w:val="24"/>
        </w:rPr>
        <w:t xml:space="preserve"> a</w:t>
      </w:r>
      <w:r w:rsidR="00501244" w:rsidRPr="00472AB4">
        <w:rPr>
          <w:sz w:val="24"/>
          <w:szCs w:val="24"/>
        </w:rPr>
        <w:t xml:space="preserve"> </w:t>
      </w:r>
      <w:r w:rsidR="00953BE6" w:rsidRPr="00472AB4">
        <w:rPr>
          <w:sz w:val="24"/>
          <w:szCs w:val="24"/>
        </w:rPr>
        <w:t>history of peripheral vascular disease, hypertension, hypercholesterolemia, renal disease, coronary artery bypass graft, myocardial infarction, stroke, or PCI.</w:t>
      </w:r>
      <w:r w:rsidR="00050ABD" w:rsidRPr="00472AB4">
        <w:rPr>
          <w:sz w:val="24"/>
          <w:szCs w:val="24"/>
        </w:rPr>
        <w:t xml:space="preserve"> Patients prescribed with </w:t>
      </w:r>
      <w:r w:rsidR="003C4C52" w:rsidRPr="00472AB4">
        <w:rPr>
          <w:sz w:val="24"/>
          <w:szCs w:val="24"/>
        </w:rPr>
        <w:t>p</w:t>
      </w:r>
      <w:r w:rsidR="00292EF8" w:rsidRPr="00472AB4">
        <w:rPr>
          <w:sz w:val="24"/>
          <w:szCs w:val="24"/>
        </w:rPr>
        <w:t>rasugrel</w:t>
      </w:r>
      <w:r w:rsidR="009775A5" w:rsidRPr="00472AB4">
        <w:rPr>
          <w:sz w:val="24"/>
          <w:szCs w:val="24"/>
        </w:rPr>
        <w:t xml:space="preserve"> are younger,</w:t>
      </w:r>
      <w:r w:rsidR="00050ABD" w:rsidRPr="00472AB4">
        <w:rPr>
          <w:sz w:val="24"/>
          <w:szCs w:val="24"/>
        </w:rPr>
        <w:t xml:space="preserve"> more likely to be male and</w:t>
      </w:r>
      <w:r w:rsidR="003B7618" w:rsidRPr="00472AB4">
        <w:rPr>
          <w:sz w:val="24"/>
          <w:szCs w:val="24"/>
        </w:rPr>
        <w:t xml:space="preserve"> current</w:t>
      </w:r>
      <w:r w:rsidR="00050ABD" w:rsidRPr="00472AB4">
        <w:rPr>
          <w:sz w:val="24"/>
          <w:szCs w:val="24"/>
        </w:rPr>
        <w:t xml:space="preserve"> smoker</w:t>
      </w:r>
      <w:r w:rsidR="0058393B" w:rsidRPr="00472AB4">
        <w:rPr>
          <w:sz w:val="24"/>
          <w:szCs w:val="24"/>
        </w:rPr>
        <w:t>s</w:t>
      </w:r>
      <w:r w:rsidR="00050ABD" w:rsidRPr="00472AB4">
        <w:rPr>
          <w:sz w:val="24"/>
          <w:szCs w:val="24"/>
        </w:rPr>
        <w:t xml:space="preserve">, </w:t>
      </w:r>
      <w:r w:rsidR="009775A5" w:rsidRPr="00472AB4">
        <w:rPr>
          <w:sz w:val="24"/>
          <w:szCs w:val="24"/>
        </w:rPr>
        <w:t>and</w:t>
      </w:r>
      <w:r w:rsidR="00050ABD" w:rsidRPr="00472AB4">
        <w:rPr>
          <w:sz w:val="24"/>
          <w:szCs w:val="24"/>
        </w:rPr>
        <w:t xml:space="preserve"> </w:t>
      </w:r>
      <w:r w:rsidR="00AD121C" w:rsidRPr="00472AB4">
        <w:rPr>
          <w:sz w:val="24"/>
          <w:szCs w:val="24"/>
        </w:rPr>
        <w:t xml:space="preserve">less likely to be diabetics, whilst </w:t>
      </w:r>
      <w:r w:rsidR="00E77509" w:rsidRPr="00472AB4">
        <w:rPr>
          <w:sz w:val="24"/>
          <w:szCs w:val="24"/>
        </w:rPr>
        <w:t xml:space="preserve">patients in the </w:t>
      </w:r>
      <w:r w:rsidR="003C4C52" w:rsidRPr="00472AB4">
        <w:rPr>
          <w:sz w:val="24"/>
          <w:szCs w:val="24"/>
        </w:rPr>
        <w:t>t</w:t>
      </w:r>
      <w:r w:rsidR="005673DA" w:rsidRPr="00472AB4">
        <w:rPr>
          <w:sz w:val="24"/>
          <w:szCs w:val="24"/>
        </w:rPr>
        <w:t>icagrelor</w:t>
      </w:r>
      <w:r w:rsidR="00E77509" w:rsidRPr="00472AB4">
        <w:rPr>
          <w:sz w:val="24"/>
          <w:szCs w:val="24"/>
        </w:rPr>
        <w:t xml:space="preserve"> group were more likely to be </w:t>
      </w:r>
      <w:r w:rsidR="00F70499" w:rsidRPr="00472AB4">
        <w:rPr>
          <w:sz w:val="24"/>
          <w:szCs w:val="24"/>
        </w:rPr>
        <w:t>non-smokers</w:t>
      </w:r>
      <w:r w:rsidR="00AD121C" w:rsidRPr="00472AB4">
        <w:rPr>
          <w:sz w:val="24"/>
          <w:szCs w:val="24"/>
        </w:rPr>
        <w:t xml:space="preserve">. </w:t>
      </w:r>
    </w:p>
    <w:p w14:paraId="0BBB3E32" w14:textId="11213A19" w:rsidR="0058393B" w:rsidRPr="00472AB4" w:rsidRDefault="00E77509" w:rsidP="00607332">
      <w:pPr>
        <w:spacing w:before="0" w:after="0"/>
        <w:rPr>
          <w:sz w:val="24"/>
          <w:szCs w:val="24"/>
        </w:rPr>
      </w:pPr>
      <w:r w:rsidRPr="00472AB4">
        <w:rPr>
          <w:sz w:val="24"/>
          <w:szCs w:val="24"/>
        </w:rPr>
        <w:t>Differences in</w:t>
      </w:r>
      <w:r w:rsidR="009228A6" w:rsidRPr="00472AB4">
        <w:rPr>
          <w:sz w:val="24"/>
          <w:szCs w:val="24"/>
        </w:rPr>
        <w:t xml:space="preserve"> procedural </w:t>
      </w:r>
      <w:r w:rsidRPr="00472AB4">
        <w:rPr>
          <w:sz w:val="24"/>
          <w:szCs w:val="24"/>
        </w:rPr>
        <w:t>characteristics between the 3 groups were also observed</w:t>
      </w:r>
      <w:r w:rsidR="009228A6" w:rsidRPr="00472AB4">
        <w:rPr>
          <w:sz w:val="24"/>
          <w:szCs w:val="24"/>
        </w:rPr>
        <w:t xml:space="preserve">, </w:t>
      </w:r>
      <w:r w:rsidRPr="00472AB4">
        <w:rPr>
          <w:sz w:val="24"/>
          <w:szCs w:val="24"/>
        </w:rPr>
        <w:t xml:space="preserve">with </w:t>
      </w:r>
      <w:r w:rsidR="009228A6" w:rsidRPr="00472AB4">
        <w:rPr>
          <w:sz w:val="24"/>
          <w:szCs w:val="24"/>
        </w:rPr>
        <w:t xml:space="preserve">procedures within the </w:t>
      </w:r>
      <w:r w:rsidR="003C4C52" w:rsidRPr="00472AB4">
        <w:rPr>
          <w:sz w:val="24"/>
          <w:szCs w:val="24"/>
        </w:rPr>
        <w:t>c</w:t>
      </w:r>
      <w:r w:rsidR="00292EF8" w:rsidRPr="00472AB4">
        <w:rPr>
          <w:sz w:val="24"/>
          <w:szCs w:val="24"/>
        </w:rPr>
        <w:t>lopidogrel</w:t>
      </w:r>
      <w:r w:rsidR="009228A6" w:rsidRPr="00472AB4">
        <w:rPr>
          <w:sz w:val="24"/>
          <w:szCs w:val="24"/>
        </w:rPr>
        <w:t xml:space="preserve"> group less likely to be</w:t>
      </w:r>
      <w:r w:rsidRPr="00472AB4">
        <w:rPr>
          <w:sz w:val="24"/>
          <w:szCs w:val="24"/>
        </w:rPr>
        <w:t xml:space="preserve"> undertaken</w:t>
      </w:r>
      <w:r w:rsidR="009228A6" w:rsidRPr="00472AB4">
        <w:rPr>
          <w:sz w:val="24"/>
          <w:szCs w:val="24"/>
        </w:rPr>
        <w:t xml:space="preserve"> </w:t>
      </w:r>
      <w:r w:rsidRPr="00472AB4">
        <w:rPr>
          <w:sz w:val="24"/>
          <w:szCs w:val="24"/>
        </w:rPr>
        <w:t xml:space="preserve">through the </w:t>
      </w:r>
      <w:r w:rsidR="009228A6" w:rsidRPr="00472AB4">
        <w:rPr>
          <w:sz w:val="24"/>
          <w:szCs w:val="24"/>
        </w:rPr>
        <w:t xml:space="preserve">radial </w:t>
      </w:r>
      <w:r w:rsidRPr="00472AB4">
        <w:rPr>
          <w:sz w:val="24"/>
          <w:szCs w:val="24"/>
        </w:rPr>
        <w:t>route</w:t>
      </w:r>
      <w:r w:rsidR="009228A6" w:rsidRPr="00472AB4">
        <w:rPr>
          <w:sz w:val="24"/>
          <w:szCs w:val="24"/>
        </w:rPr>
        <w:t xml:space="preserve">, more likely to </w:t>
      </w:r>
      <w:r w:rsidRPr="00472AB4">
        <w:rPr>
          <w:sz w:val="24"/>
          <w:szCs w:val="24"/>
        </w:rPr>
        <w:t xml:space="preserve">have </w:t>
      </w:r>
      <w:r w:rsidR="009228A6" w:rsidRPr="00472AB4">
        <w:rPr>
          <w:sz w:val="24"/>
          <w:szCs w:val="24"/>
        </w:rPr>
        <w:t>multi</w:t>
      </w:r>
      <w:r w:rsidRPr="00472AB4">
        <w:rPr>
          <w:sz w:val="24"/>
          <w:szCs w:val="24"/>
        </w:rPr>
        <w:t>vessel PCI and present with</w:t>
      </w:r>
      <w:r w:rsidR="009228A6" w:rsidRPr="00472AB4">
        <w:rPr>
          <w:sz w:val="24"/>
          <w:szCs w:val="24"/>
        </w:rPr>
        <w:t xml:space="preserve"> </w:t>
      </w:r>
      <w:r w:rsidR="000B56C1" w:rsidRPr="00472AB4">
        <w:rPr>
          <w:sz w:val="24"/>
          <w:szCs w:val="24"/>
        </w:rPr>
        <w:t>cardiogenic shock and to require</w:t>
      </w:r>
      <w:r w:rsidR="009228A6" w:rsidRPr="00472AB4">
        <w:rPr>
          <w:sz w:val="24"/>
          <w:szCs w:val="24"/>
        </w:rPr>
        <w:t xml:space="preserve"> the use of intra-aortic balloon pump, although </w:t>
      </w:r>
      <w:r w:rsidR="00D7472E" w:rsidRPr="00472AB4">
        <w:rPr>
          <w:sz w:val="24"/>
          <w:szCs w:val="24"/>
        </w:rPr>
        <w:t>less likely to receive</w:t>
      </w:r>
      <w:r w:rsidR="009228A6" w:rsidRPr="00472AB4">
        <w:rPr>
          <w:sz w:val="24"/>
          <w:szCs w:val="24"/>
        </w:rPr>
        <w:t xml:space="preserve"> thrombectomy</w:t>
      </w:r>
      <w:r w:rsidR="00D7472E" w:rsidRPr="00472AB4">
        <w:rPr>
          <w:sz w:val="24"/>
          <w:szCs w:val="24"/>
        </w:rPr>
        <w:t xml:space="preserve">. Procedures within the </w:t>
      </w:r>
      <w:r w:rsidR="003C4C52" w:rsidRPr="00472AB4">
        <w:rPr>
          <w:sz w:val="24"/>
          <w:szCs w:val="24"/>
        </w:rPr>
        <w:t>p</w:t>
      </w:r>
      <w:r w:rsidR="00292EF8" w:rsidRPr="00472AB4">
        <w:rPr>
          <w:sz w:val="24"/>
          <w:szCs w:val="24"/>
        </w:rPr>
        <w:t>rasugrel</w:t>
      </w:r>
      <w:r w:rsidR="00D7472E" w:rsidRPr="00472AB4">
        <w:rPr>
          <w:sz w:val="24"/>
          <w:szCs w:val="24"/>
        </w:rPr>
        <w:t xml:space="preserve"> group </w:t>
      </w:r>
      <w:r w:rsidRPr="00472AB4">
        <w:rPr>
          <w:sz w:val="24"/>
          <w:szCs w:val="24"/>
        </w:rPr>
        <w:t>were</w:t>
      </w:r>
      <w:r w:rsidR="00D7472E" w:rsidRPr="00472AB4">
        <w:rPr>
          <w:sz w:val="24"/>
          <w:szCs w:val="24"/>
        </w:rPr>
        <w:t xml:space="preserve"> more likely to have</w:t>
      </w:r>
      <w:r w:rsidR="00F233E0" w:rsidRPr="00472AB4">
        <w:rPr>
          <w:sz w:val="24"/>
          <w:szCs w:val="24"/>
        </w:rPr>
        <w:t xml:space="preserve"> patients with</w:t>
      </w:r>
      <w:r w:rsidR="00D7472E" w:rsidRPr="00472AB4">
        <w:rPr>
          <w:sz w:val="24"/>
          <w:szCs w:val="24"/>
        </w:rPr>
        <w:t xml:space="preserve"> TIMI 0 flow, but less likely to require ventilator</w:t>
      </w:r>
      <w:r w:rsidR="00F233E0" w:rsidRPr="00472AB4">
        <w:rPr>
          <w:sz w:val="24"/>
          <w:szCs w:val="24"/>
        </w:rPr>
        <w:t>y</w:t>
      </w:r>
      <w:r w:rsidR="00D7472E" w:rsidRPr="00472AB4">
        <w:rPr>
          <w:sz w:val="24"/>
          <w:szCs w:val="24"/>
        </w:rPr>
        <w:t xml:space="preserve"> </w:t>
      </w:r>
      <w:r w:rsidR="00F233E0" w:rsidRPr="00472AB4">
        <w:rPr>
          <w:sz w:val="24"/>
          <w:szCs w:val="24"/>
        </w:rPr>
        <w:t>support, whilst drug eluting stent</w:t>
      </w:r>
      <w:r w:rsidRPr="00472AB4">
        <w:rPr>
          <w:sz w:val="24"/>
          <w:szCs w:val="24"/>
        </w:rPr>
        <w:t>s</w:t>
      </w:r>
      <w:r w:rsidR="00F233E0" w:rsidRPr="00472AB4">
        <w:rPr>
          <w:sz w:val="24"/>
          <w:szCs w:val="24"/>
        </w:rPr>
        <w:t xml:space="preserve"> </w:t>
      </w:r>
      <w:r w:rsidRPr="00472AB4">
        <w:rPr>
          <w:sz w:val="24"/>
          <w:szCs w:val="24"/>
        </w:rPr>
        <w:t>were</w:t>
      </w:r>
      <w:r w:rsidR="00F233E0" w:rsidRPr="00472AB4">
        <w:rPr>
          <w:sz w:val="24"/>
          <w:szCs w:val="24"/>
        </w:rPr>
        <w:t xml:space="preserve"> more likely to be used within the </w:t>
      </w:r>
      <w:r w:rsidR="003C4C52" w:rsidRPr="00472AB4">
        <w:rPr>
          <w:sz w:val="24"/>
          <w:szCs w:val="24"/>
        </w:rPr>
        <w:t>t</w:t>
      </w:r>
      <w:r w:rsidR="005673DA" w:rsidRPr="00472AB4">
        <w:rPr>
          <w:sz w:val="24"/>
          <w:szCs w:val="24"/>
        </w:rPr>
        <w:t>icagrelor</w:t>
      </w:r>
      <w:r w:rsidR="00F233E0" w:rsidRPr="00472AB4">
        <w:rPr>
          <w:sz w:val="24"/>
          <w:szCs w:val="24"/>
        </w:rPr>
        <w:t xml:space="preserve"> group. In addition, the use of bivalirudin is considerably less </w:t>
      </w:r>
      <w:r w:rsidR="00AE771D" w:rsidRPr="00472AB4">
        <w:rPr>
          <w:sz w:val="24"/>
          <w:szCs w:val="24"/>
        </w:rPr>
        <w:t xml:space="preserve">frequent </w:t>
      </w:r>
      <w:r w:rsidR="00F233E0" w:rsidRPr="00472AB4">
        <w:rPr>
          <w:sz w:val="24"/>
          <w:szCs w:val="24"/>
        </w:rPr>
        <w:t xml:space="preserve">within the </w:t>
      </w:r>
      <w:r w:rsidR="003C4C52" w:rsidRPr="00472AB4">
        <w:rPr>
          <w:sz w:val="24"/>
          <w:szCs w:val="24"/>
        </w:rPr>
        <w:t>c</w:t>
      </w:r>
      <w:r w:rsidR="00292EF8" w:rsidRPr="00472AB4">
        <w:rPr>
          <w:sz w:val="24"/>
          <w:szCs w:val="24"/>
        </w:rPr>
        <w:t>lopidogrel</w:t>
      </w:r>
      <w:r w:rsidR="00F233E0" w:rsidRPr="00472AB4">
        <w:rPr>
          <w:sz w:val="24"/>
          <w:szCs w:val="24"/>
        </w:rPr>
        <w:t xml:space="preserve"> group whilst glycoprotein IIb/IIIa inhibitors are less likely used within the </w:t>
      </w:r>
      <w:r w:rsidR="003C4C52" w:rsidRPr="00472AB4">
        <w:rPr>
          <w:sz w:val="24"/>
          <w:szCs w:val="24"/>
        </w:rPr>
        <w:t>t</w:t>
      </w:r>
      <w:r w:rsidR="005673DA" w:rsidRPr="00472AB4">
        <w:rPr>
          <w:sz w:val="24"/>
          <w:szCs w:val="24"/>
        </w:rPr>
        <w:t>icagrelor</w:t>
      </w:r>
      <w:r w:rsidR="00F233E0" w:rsidRPr="00472AB4">
        <w:rPr>
          <w:sz w:val="24"/>
          <w:szCs w:val="24"/>
        </w:rPr>
        <w:t xml:space="preserve"> group. </w:t>
      </w:r>
    </w:p>
    <w:p w14:paraId="294DB22C" w14:textId="72E1C639" w:rsidR="00607332" w:rsidRPr="00472AB4" w:rsidRDefault="00607332" w:rsidP="00607332">
      <w:pPr>
        <w:spacing w:before="0" w:after="0"/>
        <w:rPr>
          <w:sz w:val="24"/>
          <w:szCs w:val="24"/>
        </w:rPr>
      </w:pPr>
      <w:r w:rsidRPr="00472AB4">
        <w:rPr>
          <w:sz w:val="24"/>
          <w:szCs w:val="24"/>
        </w:rPr>
        <w:t xml:space="preserve">Crude mortality at both 30 days and 1 year </w:t>
      </w:r>
      <w:r w:rsidR="004F1AE2" w:rsidRPr="00472AB4">
        <w:rPr>
          <w:sz w:val="24"/>
          <w:szCs w:val="24"/>
        </w:rPr>
        <w:t xml:space="preserve">were highest in patients treated with </w:t>
      </w:r>
      <w:r w:rsidR="003C4C52" w:rsidRPr="00472AB4">
        <w:rPr>
          <w:sz w:val="24"/>
          <w:szCs w:val="24"/>
        </w:rPr>
        <w:t>c</w:t>
      </w:r>
      <w:r w:rsidR="00292EF8" w:rsidRPr="00472AB4">
        <w:rPr>
          <w:sz w:val="24"/>
          <w:szCs w:val="24"/>
        </w:rPr>
        <w:t>lopidogrel</w:t>
      </w:r>
      <w:r w:rsidR="004F1AE2" w:rsidRPr="00472AB4">
        <w:rPr>
          <w:sz w:val="24"/>
          <w:szCs w:val="24"/>
        </w:rPr>
        <w:t xml:space="preserve"> (6.5% and 10.2% respectively)</w:t>
      </w:r>
      <w:r w:rsidR="00114E33" w:rsidRPr="00472AB4">
        <w:rPr>
          <w:sz w:val="24"/>
          <w:szCs w:val="24"/>
        </w:rPr>
        <w:t>; P&lt;0.0001</w:t>
      </w:r>
      <w:r w:rsidR="004F1AE2" w:rsidRPr="00472AB4">
        <w:rPr>
          <w:sz w:val="24"/>
          <w:szCs w:val="24"/>
        </w:rPr>
        <w:t xml:space="preserve"> and lowest in patients treated with </w:t>
      </w:r>
      <w:r w:rsidR="003C4C52" w:rsidRPr="00472AB4">
        <w:rPr>
          <w:sz w:val="24"/>
          <w:szCs w:val="24"/>
        </w:rPr>
        <w:t>p</w:t>
      </w:r>
      <w:r w:rsidR="00292EF8" w:rsidRPr="00472AB4">
        <w:rPr>
          <w:sz w:val="24"/>
          <w:szCs w:val="24"/>
        </w:rPr>
        <w:t>rasugrel</w:t>
      </w:r>
      <w:r w:rsidR="00F41733" w:rsidRPr="00472AB4">
        <w:rPr>
          <w:sz w:val="24"/>
          <w:szCs w:val="24"/>
        </w:rPr>
        <w:t xml:space="preserve"> </w:t>
      </w:r>
      <w:r w:rsidR="004F1AE2" w:rsidRPr="00472AB4">
        <w:rPr>
          <w:sz w:val="24"/>
          <w:szCs w:val="24"/>
        </w:rPr>
        <w:t>(3.6% and 5.9%); P&lt;0.0001 (</w:t>
      </w:r>
      <w:r w:rsidR="003C4C52" w:rsidRPr="00472AB4">
        <w:rPr>
          <w:sz w:val="24"/>
          <w:szCs w:val="24"/>
        </w:rPr>
        <w:t>t</w:t>
      </w:r>
      <w:r w:rsidR="005673DA" w:rsidRPr="00472AB4">
        <w:rPr>
          <w:sz w:val="24"/>
          <w:szCs w:val="24"/>
        </w:rPr>
        <w:t>icagrelor</w:t>
      </w:r>
      <w:r w:rsidR="004F1AE2" w:rsidRPr="00472AB4">
        <w:rPr>
          <w:sz w:val="24"/>
          <w:szCs w:val="24"/>
        </w:rPr>
        <w:t xml:space="preserve"> 5.5% and 8.5%)</w:t>
      </w:r>
      <w:r w:rsidR="00114E33" w:rsidRPr="00472AB4">
        <w:rPr>
          <w:sz w:val="24"/>
          <w:szCs w:val="24"/>
        </w:rPr>
        <w:t>; P&lt;0.0001</w:t>
      </w:r>
      <w:r w:rsidR="004F1AE2" w:rsidRPr="00472AB4">
        <w:rPr>
          <w:sz w:val="24"/>
          <w:szCs w:val="24"/>
        </w:rPr>
        <w:t xml:space="preserve">. Similarly, in-hospital </w:t>
      </w:r>
      <w:r w:rsidRPr="00472AB4">
        <w:rPr>
          <w:sz w:val="24"/>
          <w:szCs w:val="24"/>
        </w:rPr>
        <w:t xml:space="preserve">MACE </w:t>
      </w:r>
      <w:r w:rsidR="004F1AE2" w:rsidRPr="00472AB4">
        <w:rPr>
          <w:sz w:val="24"/>
          <w:szCs w:val="24"/>
        </w:rPr>
        <w:t xml:space="preserve">was significantly </w:t>
      </w:r>
      <w:r w:rsidRPr="00472AB4">
        <w:rPr>
          <w:sz w:val="24"/>
          <w:szCs w:val="24"/>
        </w:rPr>
        <w:t xml:space="preserve">lower in the </w:t>
      </w:r>
      <w:r w:rsidR="003C4C52" w:rsidRPr="00472AB4">
        <w:rPr>
          <w:sz w:val="24"/>
          <w:szCs w:val="24"/>
        </w:rPr>
        <w:t>p</w:t>
      </w:r>
      <w:r w:rsidR="00292EF8" w:rsidRPr="00472AB4">
        <w:rPr>
          <w:sz w:val="24"/>
          <w:szCs w:val="24"/>
        </w:rPr>
        <w:t>rasugrel</w:t>
      </w:r>
      <w:r w:rsidR="004F1AE2" w:rsidRPr="00472AB4">
        <w:rPr>
          <w:sz w:val="24"/>
          <w:szCs w:val="24"/>
        </w:rPr>
        <w:t xml:space="preserve"> </w:t>
      </w:r>
      <w:r w:rsidRPr="00472AB4">
        <w:rPr>
          <w:sz w:val="24"/>
          <w:szCs w:val="24"/>
        </w:rPr>
        <w:t>grou</w:t>
      </w:r>
      <w:r w:rsidR="000B56C1" w:rsidRPr="00472AB4">
        <w:rPr>
          <w:sz w:val="24"/>
          <w:szCs w:val="24"/>
        </w:rPr>
        <w:t>p</w:t>
      </w:r>
      <w:r w:rsidR="004F1AE2" w:rsidRPr="00472AB4">
        <w:rPr>
          <w:sz w:val="24"/>
          <w:szCs w:val="24"/>
        </w:rPr>
        <w:t xml:space="preserve"> (3.2%) compared to either the group receiving </w:t>
      </w:r>
      <w:r w:rsidR="003C4C52" w:rsidRPr="00472AB4">
        <w:rPr>
          <w:sz w:val="24"/>
          <w:szCs w:val="24"/>
        </w:rPr>
        <w:t>c</w:t>
      </w:r>
      <w:r w:rsidR="00292EF8" w:rsidRPr="00472AB4">
        <w:rPr>
          <w:sz w:val="24"/>
          <w:szCs w:val="24"/>
        </w:rPr>
        <w:t>lopidogrel</w:t>
      </w:r>
      <w:r w:rsidR="004F1AE2" w:rsidRPr="00472AB4">
        <w:rPr>
          <w:sz w:val="24"/>
          <w:szCs w:val="24"/>
        </w:rPr>
        <w:t xml:space="preserve"> (4.9%) or </w:t>
      </w:r>
      <w:r w:rsidR="003C4C52" w:rsidRPr="00472AB4">
        <w:rPr>
          <w:sz w:val="24"/>
          <w:szCs w:val="24"/>
        </w:rPr>
        <w:t>t</w:t>
      </w:r>
      <w:r w:rsidR="005673DA" w:rsidRPr="00472AB4">
        <w:rPr>
          <w:sz w:val="24"/>
          <w:szCs w:val="24"/>
        </w:rPr>
        <w:t>icagrelor</w:t>
      </w:r>
      <w:r w:rsidR="004F1AE2" w:rsidRPr="00472AB4">
        <w:rPr>
          <w:sz w:val="24"/>
          <w:szCs w:val="24"/>
        </w:rPr>
        <w:t xml:space="preserve"> (</w:t>
      </w:r>
      <w:r w:rsidR="004F75ED" w:rsidRPr="00472AB4">
        <w:rPr>
          <w:sz w:val="24"/>
          <w:szCs w:val="24"/>
        </w:rPr>
        <w:t>4.8%); P&lt;0.0001</w:t>
      </w:r>
      <w:r w:rsidR="000B56C1" w:rsidRPr="00472AB4">
        <w:rPr>
          <w:sz w:val="24"/>
          <w:szCs w:val="24"/>
        </w:rPr>
        <w:t xml:space="preserve">, whilst crude </w:t>
      </w:r>
      <w:r w:rsidR="004F75ED" w:rsidRPr="00472AB4">
        <w:rPr>
          <w:sz w:val="24"/>
          <w:szCs w:val="24"/>
        </w:rPr>
        <w:t xml:space="preserve">in-hospital </w:t>
      </w:r>
      <w:r w:rsidR="000B56C1" w:rsidRPr="00472AB4">
        <w:rPr>
          <w:sz w:val="24"/>
          <w:szCs w:val="24"/>
        </w:rPr>
        <w:t>bleeding rate</w:t>
      </w:r>
      <w:r w:rsidR="004F75ED" w:rsidRPr="00472AB4">
        <w:rPr>
          <w:sz w:val="24"/>
          <w:szCs w:val="24"/>
        </w:rPr>
        <w:t>s were</w:t>
      </w:r>
      <w:r w:rsidRPr="00472AB4">
        <w:rPr>
          <w:sz w:val="24"/>
          <w:szCs w:val="24"/>
        </w:rPr>
        <w:t xml:space="preserve"> higher in the </w:t>
      </w:r>
      <w:r w:rsidR="003C4C52" w:rsidRPr="00472AB4">
        <w:rPr>
          <w:sz w:val="24"/>
          <w:szCs w:val="24"/>
        </w:rPr>
        <w:t>c</w:t>
      </w:r>
      <w:r w:rsidR="00292EF8" w:rsidRPr="00472AB4">
        <w:rPr>
          <w:sz w:val="24"/>
          <w:szCs w:val="24"/>
        </w:rPr>
        <w:t>lopidogrel</w:t>
      </w:r>
      <w:r w:rsidRPr="00472AB4">
        <w:rPr>
          <w:sz w:val="24"/>
          <w:szCs w:val="24"/>
        </w:rPr>
        <w:t xml:space="preserve"> group</w:t>
      </w:r>
      <w:r w:rsidR="004F75ED" w:rsidRPr="00472AB4">
        <w:rPr>
          <w:sz w:val="24"/>
          <w:szCs w:val="24"/>
        </w:rPr>
        <w:t xml:space="preserve"> (1.5%) compared to either </w:t>
      </w:r>
      <w:r w:rsidR="003C4C52" w:rsidRPr="00472AB4">
        <w:rPr>
          <w:sz w:val="24"/>
          <w:szCs w:val="24"/>
        </w:rPr>
        <w:t>p</w:t>
      </w:r>
      <w:r w:rsidR="00292EF8" w:rsidRPr="00472AB4">
        <w:rPr>
          <w:sz w:val="24"/>
          <w:szCs w:val="24"/>
        </w:rPr>
        <w:t>rasugrel</w:t>
      </w:r>
      <w:r w:rsidR="004F75ED" w:rsidRPr="00472AB4">
        <w:rPr>
          <w:sz w:val="24"/>
          <w:szCs w:val="24"/>
        </w:rPr>
        <w:t xml:space="preserve"> (0.7%) or </w:t>
      </w:r>
      <w:r w:rsidR="003C4C52" w:rsidRPr="00472AB4">
        <w:rPr>
          <w:sz w:val="24"/>
          <w:szCs w:val="24"/>
        </w:rPr>
        <w:t>t</w:t>
      </w:r>
      <w:r w:rsidR="005673DA" w:rsidRPr="00472AB4">
        <w:rPr>
          <w:sz w:val="24"/>
          <w:szCs w:val="24"/>
        </w:rPr>
        <w:t>icagrelor</w:t>
      </w:r>
      <w:r w:rsidR="004F75ED" w:rsidRPr="00472AB4">
        <w:rPr>
          <w:sz w:val="24"/>
          <w:szCs w:val="24"/>
        </w:rPr>
        <w:t xml:space="preserve"> (0.6%); P&lt;0.0001</w:t>
      </w:r>
      <w:r w:rsidRPr="00472AB4">
        <w:rPr>
          <w:sz w:val="24"/>
          <w:szCs w:val="24"/>
        </w:rPr>
        <w:t>.</w:t>
      </w:r>
    </w:p>
    <w:p w14:paraId="24B909B1" w14:textId="732B4535" w:rsidR="00335018" w:rsidRPr="00472AB4" w:rsidRDefault="0040236F" w:rsidP="00607420">
      <w:pPr>
        <w:spacing w:before="0" w:after="0"/>
        <w:rPr>
          <w:sz w:val="24"/>
          <w:szCs w:val="24"/>
        </w:rPr>
      </w:pPr>
      <w:r w:rsidRPr="00472AB4">
        <w:rPr>
          <w:sz w:val="24"/>
          <w:szCs w:val="24"/>
        </w:rPr>
        <w:t xml:space="preserve">Table 2 shows the results of fitting </w:t>
      </w:r>
      <w:r w:rsidR="001067C2" w:rsidRPr="00472AB4">
        <w:rPr>
          <w:sz w:val="24"/>
          <w:szCs w:val="24"/>
        </w:rPr>
        <w:t xml:space="preserve">multivariate </w:t>
      </w:r>
      <w:r w:rsidRPr="00472AB4">
        <w:rPr>
          <w:sz w:val="24"/>
          <w:szCs w:val="24"/>
        </w:rPr>
        <w:t xml:space="preserve">logistic regression models to </w:t>
      </w:r>
      <w:r w:rsidR="001067C2" w:rsidRPr="00472AB4">
        <w:rPr>
          <w:sz w:val="24"/>
          <w:szCs w:val="24"/>
        </w:rPr>
        <w:t>the original multiple imputed datasets</w:t>
      </w:r>
      <w:r w:rsidR="000B56C1" w:rsidRPr="00472AB4">
        <w:rPr>
          <w:sz w:val="24"/>
          <w:szCs w:val="24"/>
        </w:rPr>
        <w:t xml:space="preserve">. </w:t>
      </w:r>
      <w:r w:rsidR="00237588" w:rsidRPr="00472AB4">
        <w:rPr>
          <w:sz w:val="24"/>
          <w:szCs w:val="24"/>
        </w:rPr>
        <w:t xml:space="preserve">Compared with </w:t>
      </w:r>
      <w:r w:rsidR="003C4C52" w:rsidRPr="00472AB4">
        <w:rPr>
          <w:sz w:val="24"/>
          <w:szCs w:val="24"/>
        </w:rPr>
        <w:t>c</w:t>
      </w:r>
      <w:r w:rsidR="00292EF8" w:rsidRPr="00472AB4">
        <w:rPr>
          <w:sz w:val="24"/>
          <w:szCs w:val="24"/>
        </w:rPr>
        <w:t>lopidogrel</w:t>
      </w:r>
      <w:r w:rsidR="00237588" w:rsidRPr="00472AB4">
        <w:rPr>
          <w:sz w:val="24"/>
          <w:szCs w:val="24"/>
        </w:rPr>
        <w:t xml:space="preserve">, </w:t>
      </w:r>
      <w:r w:rsidR="003C4C52" w:rsidRPr="00472AB4">
        <w:rPr>
          <w:sz w:val="24"/>
          <w:szCs w:val="24"/>
        </w:rPr>
        <w:t>p</w:t>
      </w:r>
      <w:r w:rsidR="00292EF8" w:rsidRPr="00472AB4">
        <w:rPr>
          <w:sz w:val="24"/>
          <w:szCs w:val="24"/>
        </w:rPr>
        <w:t>rasugrel</w:t>
      </w:r>
      <w:r w:rsidRPr="00472AB4">
        <w:rPr>
          <w:sz w:val="24"/>
          <w:szCs w:val="24"/>
        </w:rPr>
        <w:t xml:space="preserve"> </w:t>
      </w:r>
      <w:r w:rsidR="000B56C1" w:rsidRPr="00472AB4">
        <w:rPr>
          <w:sz w:val="24"/>
          <w:szCs w:val="24"/>
        </w:rPr>
        <w:t>was</w:t>
      </w:r>
      <w:r w:rsidRPr="00472AB4">
        <w:rPr>
          <w:sz w:val="24"/>
          <w:szCs w:val="24"/>
        </w:rPr>
        <w:t xml:space="preserve"> associated with </w:t>
      </w:r>
      <w:r w:rsidR="0058393B" w:rsidRPr="00472AB4">
        <w:rPr>
          <w:sz w:val="24"/>
          <w:szCs w:val="24"/>
        </w:rPr>
        <w:t>a</w:t>
      </w:r>
      <w:r w:rsidR="008E0662" w:rsidRPr="00472AB4">
        <w:rPr>
          <w:sz w:val="24"/>
          <w:szCs w:val="24"/>
        </w:rPr>
        <w:t xml:space="preserve"> </w:t>
      </w:r>
      <w:r w:rsidR="0058393B" w:rsidRPr="00472AB4">
        <w:rPr>
          <w:sz w:val="24"/>
          <w:szCs w:val="24"/>
        </w:rPr>
        <w:t xml:space="preserve">lower </w:t>
      </w:r>
      <w:r w:rsidR="004F75ED" w:rsidRPr="00472AB4">
        <w:rPr>
          <w:sz w:val="24"/>
          <w:szCs w:val="24"/>
        </w:rPr>
        <w:t>risk of</w:t>
      </w:r>
      <w:r w:rsidR="002D027C" w:rsidRPr="00472AB4">
        <w:rPr>
          <w:sz w:val="24"/>
          <w:szCs w:val="24"/>
        </w:rPr>
        <w:t xml:space="preserve"> mortality at both 30 days </w:t>
      </w:r>
      <w:r w:rsidR="004F75ED" w:rsidRPr="00472AB4">
        <w:rPr>
          <w:sz w:val="24"/>
          <w:szCs w:val="24"/>
        </w:rPr>
        <w:t xml:space="preserve">(OR 0.87 95% CI 0.78-0.97, P=0.014) </w:t>
      </w:r>
      <w:r w:rsidR="002D027C" w:rsidRPr="00472AB4">
        <w:rPr>
          <w:sz w:val="24"/>
          <w:szCs w:val="24"/>
        </w:rPr>
        <w:t>and 1 year</w:t>
      </w:r>
      <w:r w:rsidR="004F75ED" w:rsidRPr="00472AB4">
        <w:rPr>
          <w:sz w:val="24"/>
          <w:szCs w:val="24"/>
        </w:rPr>
        <w:t xml:space="preserve"> (OR 0.89 95% CI 0.82-0.97, P=0.011)</w:t>
      </w:r>
      <w:r w:rsidR="00237588" w:rsidRPr="00472AB4">
        <w:rPr>
          <w:sz w:val="24"/>
          <w:szCs w:val="24"/>
        </w:rPr>
        <w:t xml:space="preserve">. </w:t>
      </w:r>
      <w:r w:rsidR="003C4C52" w:rsidRPr="00472AB4">
        <w:rPr>
          <w:sz w:val="24"/>
          <w:szCs w:val="24"/>
        </w:rPr>
        <w:t>p</w:t>
      </w:r>
      <w:r w:rsidR="00292EF8" w:rsidRPr="00472AB4">
        <w:rPr>
          <w:sz w:val="24"/>
          <w:szCs w:val="24"/>
        </w:rPr>
        <w:t>rasugrel</w:t>
      </w:r>
      <w:r w:rsidR="00237588" w:rsidRPr="00472AB4">
        <w:rPr>
          <w:sz w:val="24"/>
          <w:szCs w:val="24"/>
        </w:rPr>
        <w:t xml:space="preserve"> was also associated with</w:t>
      </w:r>
      <w:r w:rsidR="00114E33" w:rsidRPr="00472AB4">
        <w:rPr>
          <w:sz w:val="24"/>
          <w:szCs w:val="24"/>
        </w:rPr>
        <w:t xml:space="preserve"> decreased</w:t>
      </w:r>
      <w:r w:rsidR="004F75ED" w:rsidRPr="00472AB4">
        <w:rPr>
          <w:sz w:val="24"/>
          <w:szCs w:val="24"/>
        </w:rPr>
        <w:t xml:space="preserve"> in-hospital major bleeding (OR 0.73 95% CI 0.59-0.91,</w:t>
      </w:r>
      <w:r w:rsidR="008E0662" w:rsidRPr="00472AB4">
        <w:rPr>
          <w:sz w:val="24"/>
          <w:szCs w:val="24"/>
        </w:rPr>
        <w:t xml:space="preserve"> </w:t>
      </w:r>
      <w:r w:rsidR="004F75ED" w:rsidRPr="00472AB4">
        <w:rPr>
          <w:sz w:val="24"/>
          <w:szCs w:val="24"/>
        </w:rPr>
        <w:t xml:space="preserve">P=0.005) although no significant differences in in-hospital MACE were </w:t>
      </w:r>
      <w:r w:rsidR="00A74B3E" w:rsidRPr="00472AB4">
        <w:rPr>
          <w:sz w:val="24"/>
          <w:szCs w:val="24"/>
        </w:rPr>
        <w:t>observed</w:t>
      </w:r>
      <w:r w:rsidR="004F75ED" w:rsidRPr="00472AB4">
        <w:rPr>
          <w:sz w:val="24"/>
          <w:szCs w:val="24"/>
        </w:rPr>
        <w:t xml:space="preserve"> (OR 0.94 95% CI 0.84-1.06, P=0.30)</w:t>
      </w:r>
      <w:r w:rsidR="00607420" w:rsidRPr="00472AB4">
        <w:rPr>
          <w:sz w:val="24"/>
          <w:szCs w:val="24"/>
        </w:rPr>
        <w:t xml:space="preserve">. </w:t>
      </w:r>
      <w:r w:rsidR="00A74B3E" w:rsidRPr="00472AB4">
        <w:rPr>
          <w:sz w:val="24"/>
          <w:szCs w:val="24"/>
        </w:rPr>
        <w:t>In contrast, no signi</w:t>
      </w:r>
      <w:r w:rsidR="00547C18" w:rsidRPr="00472AB4">
        <w:rPr>
          <w:sz w:val="24"/>
          <w:szCs w:val="24"/>
        </w:rPr>
        <w:t>ficant differences in either 30-</w:t>
      </w:r>
      <w:r w:rsidR="00A74B3E" w:rsidRPr="00472AB4">
        <w:rPr>
          <w:sz w:val="24"/>
          <w:szCs w:val="24"/>
        </w:rPr>
        <w:t>day (</w:t>
      </w:r>
      <w:r w:rsidR="00547C18" w:rsidRPr="00472AB4">
        <w:rPr>
          <w:sz w:val="24"/>
          <w:szCs w:val="24"/>
        </w:rPr>
        <w:t xml:space="preserve">OR 1.07 95% CI 0.95-1.21, P=0.24) or 1-year mortality (OR 1.06 </w:t>
      </w:r>
      <w:r w:rsidR="00547C18" w:rsidRPr="00472AB4">
        <w:rPr>
          <w:sz w:val="24"/>
          <w:szCs w:val="24"/>
        </w:rPr>
        <w:lastRenderedPageBreak/>
        <w:t xml:space="preserve">95% CI 0.96-1.16, P=0.25) were observed between patients receiving </w:t>
      </w:r>
      <w:r w:rsidR="003C4C52" w:rsidRPr="00472AB4">
        <w:rPr>
          <w:sz w:val="24"/>
          <w:szCs w:val="24"/>
        </w:rPr>
        <w:t>t</w:t>
      </w:r>
      <w:r w:rsidR="005673DA" w:rsidRPr="00472AB4">
        <w:rPr>
          <w:sz w:val="24"/>
          <w:szCs w:val="24"/>
        </w:rPr>
        <w:t>icagrelor</w:t>
      </w:r>
      <w:r w:rsidR="00547C18" w:rsidRPr="00472AB4">
        <w:rPr>
          <w:sz w:val="24"/>
          <w:szCs w:val="24"/>
        </w:rPr>
        <w:t xml:space="preserve"> compared to those receiving </w:t>
      </w:r>
      <w:r w:rsidR="003C4C52" w:rsidRPr="00472AB4">
        <w:rPr>
          <w:sz w:val="24"/>
          <w:szCs w:val="24"/>
        </w:rPr>
        <w:t>c</w:t>
      </w:r>
      <w:r w:rsidR="00292EF8" w:rsidRPr="00472AB4">
        <w:rPr>
          <w:sz w:val="24"/>
          <w:szCs w:val="24"/>
        </w:rPr>
        <w:t>lopidogrel</w:t>
      </w:r>
      <w:r w:rsidR="00547C18" w:rsidRPr="00472AB4">
        <w:rPr>
          <w:sz w:val="24"/>
          <w:szCs w:val="24"/>
        </w:rPr>
        <w:t xml:space="preserve">.  </w:t>
      </w:r>
      <w:r w:rsidR="00237588" w:rsidRPr="00472AB4">
        <w:rPr>
          <w:sz w:val="24"/>
          <w:szCs w:val="24"/>
        </w:rPr>
        <w:t xml:space="preserve">Finally, </w:t>
      </w:r>
      <w:r w:rsidR="003C4C52" w:rsidRPr="00472AB4">
        <w:rPr>
          <w:sz w:val="24"/>
          <w:szCs w:val="24"/>
        </w:rPr>
        <w:t>t</w:t>
      </w:r>
      <w:r w:rsidR="005673DA" w:rsidRPr="00472AB4">
        <w:rPr>
          <w:sz w:val="24"/>
          <w:szCs w:val="24"/>
        </w:rPr>
        <w:t>icagrelor</w:t>
      </w:r>
      <w:r w:rsidR="00547C18" w:rsidRPr="00472AB4">
        <w:rPr>
          <w:sz w:val="24"/>
          <w:szCs w:val="24"/>
        </w:rPr>
        <w:t xml:space="preserve"> was associated with an increased risk of </w:t>
      </w:r>
      <w:r w:rsidR="008776D8" w:rsidRPr="00472AB4">
        <w:rPr>
          <w:sz w:val="24"/>
          <w:szCs w:val="24"/>
        </w:rPr>
        <w:t>30</w:t>
      </w:r>
      <w:r w:rsidR="00547C18" w:rsidRPr="00472AB4">
        <w:rPr>
          <w:sz w:val="24"/>
          <w:szCs w:val="24"/>
        </w:rPr>
        <w:t>-</w:t>
      </w:r>
      <w:r w:rsidR="008776D8" w:rsidRPr="00472AB4">
        <w:rPr>
          <w:sz w:val="24"/>
          <w:szCs w:val="24"/>
        </w:rPr>
        <w:t xml:space="preserve">day </w:t>
      </w:r>
      <w:r w:rsidR="00547C18" w:rsidRPr="00472AB4">
        <w:rPr>
          <w:sz w:val="24"/>
          <w:szCs w:val="24"/>
        </w:rPr>
        <w:t xml:space="preserve">(OR 1.22, 95% CI 1.03-1.44, P=0.020) </w:t>
      </w:r>
      <w:r w:rsidR="008776D8" w:rsidRPr="00472AB4">
        <w:rPr>
          <w:sz w:val="24"/>
          <w:szCs w:val="24"/>
        </w:rPr>
        <w:t>and 1</w:t>
      </w:r>
      <w:r w:rsidR="00547C18" w:rsidRPr="00472AB4">
        <w:rPr>
          <w:sz w:val="24"/>
          <w:szCs w:val="24"/>
        </w:rPr>
        <w:t>-</w:t>
      </w:r>
      <w:r w:rsidR="008776D8" w:rsidRPr="00472AB4">
        <w:rPr>
          <w:sz w:val="24"/>
          <w:szCs w:val="24"/>
        </w:rPr>
        <w:t xml:space="preserve">year </w:t>
      </w:r>
      <w:r w:rsidR="00547C18" w:rsidRPr="00472AB4">
        <w:rPr>
          <w:sz w:val="24"/>
          <w:szCs w:val="24"/>
        </w:rPr>
        <w:t>(OR 1.19 95% CI 1.04-1.35) mortality</w:t>
      </w:r>
      <w:r w:rsidR="008E0662" w:rsidRPr="00472AB4">
        <w:rPr>
          <w:sz w:val="24"/>
          <w:szCs w:val="24"/>
        </w:rPr>
        <w:t xml:space="preserve"> </w:t>
      </w:r>
      <w:r w:rsidR="00547C18" w:rsidRPr="00472AB4">
        <w:rPr>
          <w:sz w:val="24"/>
          <w:szCs w:val="24"/>
        </w:rPr>
        <w:t xml:space="preserve">compared to the </w:t>
      </w:r>
      <w:r w:rsidR="003C4C52" w:rsidRPr="00472AB4">
        <w:rPr>
          <w:sz w:val="24"/>
          <w:szCs w:val="24"/>
        </w:rPr>
        <w:t>p</w:t>
      </w:r>
      <w:r w:rsidR="00292EF8" w:rsidRPr="00472AB4">
        <w:rPr>
          <w:sz w:val="24"/>
          <w:szCs w:val="24"/>
        </w:rPr>
        <w:t>rasugrel</w:t>
      </w:r>
      <w:r w:rsidR="00547C18" w:rsidRPr="00472AB4">
        <w:rPr>
          <w:sz w:val="24"/>
          <w:szCs w:val="24"/>
        </w:rPr>
        <w:t xml:space="preserve"> group. A similar increased risk of in-hospital MACE (OR 1.25, 95% CI 1.06-1.47, P=0.008) was observed associated</w:t>
      </w:r>
      <w:r w:rsidR="008776D8" w:rsidRPr="00472AB4">
        <w:rPr>
          <w:sz w:val="24"/>
          <w:szCs w:val="24"/>
        </w:rPr>
        <w:t xml:space="preserve"> </w:t>
      </w:r>
      <w:r w:rsidR="00547C18" w:rsidRPr="00472AB4">
        <w:rPr>
          <w:sz w:val="24"/>
          <w:szCs w:val="24"/>
        </w:rPr>
        <w:t xml:space="preserve">with the use of </w:t>
      </w:r>
      <w:r w:rsidR="003C4C52" w:rsidRPr="00472AB4">
        <w:rPr>
          <w:sz w:val="24"/>
          <w:szCs w:val="24"/>
        </w:rPr>
        <w:t>t</w:t>
      </w:r>
      <w:r w:rsidR="005673DA" w:rsidRPr="00472AB4">
        <w:rPr>
          <w:sz w:val="24"/>
          <w:szCs w:val="24"/>
        </w:rPr>
        <w:t>icagrelor</w:t>
      </w:r>
      <w:r w:rsidR="00547C18" w:rsidRPr="00472AB4">
        <w:rPr>
          <w:sz w:val="24"/>
          <w:szCs w:val="24"/>
        </w:rPr>
        <w:t xml:space="preserve"> </w:t>
      </w:r>
      <w:r w:rsidR="00237588" w:rsidRPr="00472AB4">
        <w:rPr>
          <w:sz w:val="24"/>
          <w:szCs w:val="24"/>
        </w:rPr>
        <w:t xml:space="preserve">compared with </w:t>
      </w:r>
      <w:r w:rsidR="00292EF8" w:rsidRPr="00472AB4">
        <w:rPr>
          <w:sz w:val="24"/>
          <w:szCs w:val="24"/>
        </w:rPr>
        <w:t>prasugrel</w:t>
      </w:r>
      <w:r w:rsidR="00547C18" w:rsidRPr="00472AB4">
        <w:rPr>
          <w:sz w:val="24"/>
          <w:szCs w:val="24"/>
        </w:rPr>
        <w:t xml:space="preserve"> although no significant differences in in-hospital major bleeding were observed. </w:t>
      </w:r>
    </w:p>
    <w:p w14:paraId="69B59E9E" w14:textId="40087EF1" w:rsidR="0011780C" w:rsidRPr="00472AB4" w:rsidRDefault="0088597B" w:rsidP="00F638E2">
      <w:pPr>
        <w:spacing w:before="0" w:after="0"/>
        <w:rPr>
          <w:sz w:val="24"/>
          <w:szCs w:val="24"/>
        </w:rPr>
      </w:pPr>
      <w:r w:rsidRPr="00472AB4">
        <w:rPr>
          <w:sz w:val="24"/>
          <w:szCs w:val="24"/>
        </w:rPr>
        <w:t xml:space="preserve">Figure </w:t>
      </w:r>
      <w:r w:rsidR="006F0F11" w:rsidRPr="00472AB4">
        <w:rPr>
          <w:sz w:val="24"/>
          <w:szCs w:val="24"/>
        </w:rPr>
        <w:t>3</w:t>
      </w:r>
      <w:r w:rsidR="000A2AAD" w:rsidRPr="00472AB4">
        <w:rPr>
          <w:sz w:val="24"/>
          <w:szCs w:val="24"/>
        </w:rPr>
        <w:t xml:space="preserve"> </w:t>
      </w:r>
      <w:r w:rsidRPr="00472AB4">
        <w:rPr>
          <w:sz w:val="24"/>
          <w:szCs w:val="24"/>
        </w:rPr>
        <w:t xml:space="preserve">displays the Kaplan-Meier estimates of the survivor function for the 3 </w:t>
      </w:r>
      <w:r w:rsidR="001E3BC4" w:rsidRPr="00472AB4">
        <w:rPr>
          <w:sz w:val="24"/>
          <w:szCs w:val="24"/>
        </w:rPr>
        <w:t>cohorts</w:t>
      </w:r>
      <w:r w:rsidR="00E06011" w:rsidRPr="00472AB4">
        <w:rPr>
          <w:sz w:val="24"/>
          <w:szCs w:val="24"/>
        </w:rPr>
        <w:t>,</w:t>
      </w:r>
      <w:r w:rsidR="001E3BC4" w:rsidRPr="00472AB4">
        <w:rPr>
          <w:sz w:val="24"/>
          <w:szCs w:val="24"/>
        </w:rPr>
        <w:t xml:space="preserve"> and</w:t>
      </w:r>
      <w:r w:rsidR="00E06011" w:rsidRPr="00472AB4">
        <w:rPr>
          <w:sz w:val="24"/>
          <w:szCs w:val="24"/>
        </w:rPr>
        <w:t xml:space="preserve"> adjusted for </w:t>
      </w:r>
      <w:r w:rsidR="001E3BC4" w:rsidRPr="00472AB4">
        <w:rPr>
          <w:sz w:val="24"/>
          <w:szCs w:val="24"/>
        </w:rPr>
        <w:t>the same set of covariates used before</w:t>
      </w:r>
      <w:r w:rsidRPr="00472AB4">
        <w:rPr>
          <w:sz w:val="24"/>
          <w:szCs w:val="24"/>
        </w:rPr>
        <w:t xml:space="preserve">. </w:t>
      </w:r>
      <w:r w:rsidR="005949B0" w:rsidRPr="00472AB4">
        <w:rPr>
          <w:sz w:val="24"/>
          <w:szCs w:val="24"/>
        </w:rPr>
        <w:t>Survival analyse</w:t>
      </w:r>
      <w:r w:rsidR="00335018" w:rsidRPr="00472AB4">
        <w:rPr>
          <w:sz w:val="24"/>
          <w:szCs w:val="24"/>
        </w:rPr>
        <w:t xml:space="preserve">s </w:t>
      </w:r>
      <w:r w:rsidR="001F3EFB" w:rsidRPr="00472AB4">
        <w:rPr>
          <w:sz w:val="24"/>
          <w:szCs w:val="24"/>
        </w:rPr>
        <w:t xml:space="preserve">were performed </w:t>
      </w:r>
      <w:r w:rsidR="00335018" w:rsidRPr="00472AB4">
        <w:rPr>
          <w:sz w:val="24"/>
          <w:szCs w:val="24"/>
        </w:rPr>
        <w:t xml:space="preserve">using </w:t>
      </w:r>
      <w:r w:rsidR="008B0CA6" w:rsidRPr="00472AB4">
        <w:rPr>
          <w:sz w:val="24"/>
          <w:szCs w:val="24"/>
        </w:rPr>
        <w:t xml:space="preserve">multivariate </w:t>
      </w:r>
      <w:r w:rsidR="00335018" w:rsidRPr="00472AB4">
        <w:rPr>
          <w:sz w:val="24"/>
          <w:szCs w:val="24"/>
        </w:rPr>
        <w:t>Cox regression</w:t>
      </w:r>
      <w:r w:rsidR="00721529" w:rsidRPr="00472AB4">
        <w:rPr>
          <w:sz w:val="24"/>
          <w:szCs w:val="24"/>
        </w:rPr>
        <w:t>s</w:t>
      </w:r>
      <w:r w:rsidR="00A6559B" w:rsidRPr="00472AB4">
        <w:rPr>
          <w:sz w:val="24"/>
          <w:szCs w:val="24"/>
        </w:rPr>
        <w:t xml:space="preserve"> in</w:t>
      </w:r>
      <w:r w:rsidR="00721529" w:rsidRPr="00472AB4">
        <w:rPr>
          <w:sz w:val="24"/>
          <w:szCs w:val="24"/>
        </w:rPr>
        <w:t xml:space="preserve"> </w:t>
      </w:r>
      <w:r w:rsidR="001F3EFB" w:rsidRPr="00472AB4">
        <w:rPr>
          <w:sz w:val="24"/>
          <w:szCs w:val="24"/>
        </w:rPr>
        <w:t>which the</w:t>
      </w:r>
      <w:r w:rsidR="005949B0" w:rsidRPr="00472AB4">
        <w:rPr>
          <w:sz w:val="24"/>
          <w:szCs w:val="24"/>
        </w:rPr>
        <w:t xml:space="preserve"> </w:t>
      </w:r>
      <w:r w:rsidR="00335018" w:rsidRPr="00472AB4">
        <w:rPr>
          <w:sz w:val="24"/>
          <w:szCs w:val="24"/>
        </w:rPr>
        <w:t xml:space="preserve">survival time outcome </w:t>
      </w:r>
      <w:r w:rsidR="001F3EFB" w:rsidRPr="00472AB4">
        <w:rPr>
          <w:sz w:val="24"/>
          <w:szCs w:val="24"/>
        </w:rPr>
        <w:t>was</w:t>
      </w:r>
      <w:r w:rsidR="00335018" w:rsidRPr="00472AB4">
        <w:rPr>
          <w:sz w:val="24"/>
          <w:szCs w:val="24"/>
        </w:rPr>
        <w:t xml:space="preserve"> censored at 1 year.</w:t>
      </w:r>
      <w:r w:rsidR="005949B0" w:rsidRPr="00472AB4">
        <w:rPr>
          <w:sz w:val="24"/>
          <w:szCs w:val="24"/>
        </w:rPr>
        <w:t xml:space="preserve"> Table 3</w:t>
      </w:r>
      <w:r w:rsidR="00FB0F99" w:rsidRPr="00472AB4">
        <w:rPr>
          <w:sz w:val="24"/>
          <w:szCs w:val="24"/>
        </w:rPr>
        <w:t xml:space="preserve"> </w:t>
      </w:r>
      <w:r w:rsidR="005949B0" w:rsidRPr="00472AB4">
        <w:rPr>
          <w:sz w:val="24"/>
          <w:szCs w:val="24"/>
        </w:rPr>
        <w:t xml:space="preserve">summarizes the results, </w:t>
      </w:r>
      <w:r w:rsidR="00FB0F99" w:rsidRPr="00472AB4">
        <w:rPr>
          <w:sz w:val="24"/>
          <w:szCs w:val="24"/>
        </w:rPr>
        <w:t xml:space="preserve">which </w:t>
      </w:r>
      <w:r w:rsidR="005949B0" w:rsidRPr="00472AB4">
        <w:rPr>
          <w:sz w:val="24"/>
          <w:szCs w:val="24"/>
        </w:rPr>
        <w:t>shows associations between antiplatelet use and mortality</w:t>
      </w:r>
      <w:r w:rsidR="00FC6A0F" w:rsidRPr="00472AB4">
        <w:rPr>
          <w:sz w:val="24"/>
          <w:szCs w:val="24"/>
        </w:rPr>
        <w:t xml:space="preserve">. </w:t>
      </w:r>
      <w:r w:rsidR="003C4C52" w:rsidRPr="00472AB4">
        <w:rPr>
          <w:sz w:val="24"/>
          <w:szCs w:val="24"/>
        </w:rPr>
        <w:t>p</w:t>
      </w:r>
      <w:r w:rsidR="00292EF8" w:rsidRPr="00472AB4">
        <w:rPr>
          <w:sz w:val="24"/>
          <w:szCs w:val="24"/>
        </w:rPr>
        <w:t>rasugrel</w:t>
      </w:r>
      <w:r w:rsidR="005E0AEF" w:rsidRPr="00472AB4">
        <w:rPr>
          <w:sz w:val="24"/>
          <w:szCs w:val="24"/>
        </w:rPr>
        <w:t xml:space="preserve"> was associated with a no</w:t>
      </w:r>
      <w:r w:rsidR="00114E33" w:rsidRPr="00472AB4">
        <w:rPr>
          <w:sz w:val="24"/>
          <w:szCs w:val="24"/>
        </w:rPr>
        <w:t xml:space="preserve"> </w:t>
      </w:r>
      <w:r w:rsidR="005E0AEF" w:rsidRPr="00472AB4">
        <w:rPr>
          <w:sz w:val="24"/>
          <w:szCs w:val="24"/>
        </w:rPr>
        <w:t xml:space="preserve">significant </w:t>
      </w:r>
      <w:r w:rsidR="00114E33" w:rsidRPr="00472AB4">
        <w:rPr>
          <w:sz w:val="24"/>
          <w:szCs w:val="24"/>
        </w:rPr>
        <w:t>difference in</w:t>
      </w:r>
      <w:r w:rsidR="005E0AEF" w:rsidRPr="00472AB4">
        <w:rPr>
          <w:sz w:val="24"/>
          <w:szCs w:val="24"/>
        </w:rPr>
        <w:t xml:space="preserve"> mortality compared to </w:t>
      </w:r>
      <w:r w:rsidR="003C4C52" w:rsidRPr="00472AB4">
        <w:rPr>
          <w:sz w:val="24"/>
          <w:szCs w:val="24"/>
        </w:rPr>
        <w:t>c</w:t>
      </w:r>
      <w:r w:rsidR="00292EF8" w:rsidRPr="00472AB4">
        <w:rPr>
          <w:sz w:val="24"/>
          <w:szCs w:val="24"/>
        </w:rPr>
        <w:t>lopidogrel</w:t>
      </w:r>
      <w:r w:rsidR="005E0AEF" w:rsidRPr="00472AB4">
        <w:rPr>
          <w:sz w:val="24"/>
          <w:szCs w:val="24"/>
        </w:rPr>
        <w:t xml:space="preserve"> (HR 0.94 95% CI 0.87-1.01, P=0.084), whilst use of </w:t>
      </w:r>
      <w:r w:rsidR="003C4C52" w:rsidRPr="00472AB4">
        <w:rPr>
          <w:sz w:val="24"/>
          <w:szCs w:val="24"/>
        </w:rPr>
        <w:t>t</w:t>
      </w:r>
      <w:r w:rsidR="00BB0C69" w:rsidRPr="00472AB4">
        <w:rPr>
          <w:sz w:val="24"/>
          <w:szCs w:val="24"/>
        </w:rPr>
        <w:t xml:space="preserve">icagrelor </w:t>
      </w:r>
      <w:r w:rsidR="005E0AEF" w:rsidRPr="00472AB4">
        <w:rPr>
          <w:sz w:val="24"/>
          <w:szCs w:val="24"/>
        </w:rPr>
        <w:t>was associated with a significant increased mortality risk (</w:t>
      </w:r>
      <w:r w:rsidR="00A64BE8" w:rsidRPr="00472AB4">
        <w:rPr>
          <w:sz w:val="24"/>
          <w:szCs w:val="24"/>
        </w:rPr>
        <w:t>HR 1.10 95% CI 1.02-1.19, P=0.019)</w:t>
      </w:r>
      <w:r w:rsidR="0073111F" w:rsidRPr="00472AB4">
        <w:rPr>
          <w:sz w:val="24"/>
          <w:szCs w:val="24"/>
        </w:rPr>
        <w:t>.</w:t>
      </w:r>
      <w:r w:rsidR="0045611F" w:rsidRPr="00472AB4">
        <w:rPr>
          <w:sz w:val="24"/>
          <w:szCs w:val="24"/>
        </w:rPr>
        <w:t xml:space="preserve"> </w:t>
      </w:r>
      <w:r w:rsidR="0073111F" w:rsidRPr="00472AB4">
        <w:rPr>
          <w:sz w:val="24"/>
          <w:szCs w:val="24"/>
        </w:rPr>
        <w:t>Patients</w:t>
      </w:r>
      <w:r w:rsidR="00BB0C69" w:rsidRPr="00472AB4">
        <w:rPr>
          <w:sz w:val="24"/>
          <w:szCs w:val="24"/>
        </w:rPr>
        <w:t xml:space="preserve"> </w:t>
      </w:r>
      <w:r w:rsidR="0073111F" w:rsidRPr="00472AB4">
        <w:rPr>
          <w:sz w:val="24"/>
          <w:szCs w:val="24"/>
        </w:rPr>
        <w:t xml:space="preserve">treated with </w:t>
      </w:r>
      <w:r w:rsidR="003C4C52" w:rsidRPr="00472AB4">
        <w:rPr>
          <w:sz w:val="24"/>
          <w:szCs w:val="24"/>
        </w:rPr>
        <w:t>t</w:t>
      </w:r>
      <w:r w:rsidR="005673DA" w:rsidRPr="00472AB4">
        <w:rPr>
          <w:sz w:val="24"/>
          <w:szCs w:val="24"/>
        </w:rPr>
        <w:t>icagrelor</w:t>
      </w:r>
      <w:r w:rsidR="0073111F" w:rsidRPr="00472AB4">
        <w:rPr>
          <w:sz w:val="24"/>
          <w:szCs w:val="24"/>
        </w:rPr>
        <w:t xml:space="preserve"> </w:t>
      </w:r>
      <w:r w:rsidR="001401D9" w:rsidRPr="00472AB4">
        <w:rPr>
          <w:sz w:val="24"/>
          <w:szCs w:val="24"/>
        </w:rPr>
        <w:t xml:space="preserve">also </w:t>
      </w:r>
      <w:r w:rsidR="0073111F" w:rsidRPr="00472AB4">
        <w:rPr>
          <w:sz w:val="24"/>
          <w:szCs w:val="24"/>
        </w:rPr>
        <w:t xml:space="preserve">had a significantly greater risk of mortality than those patients receiving </w:t>
      </w:r>
      <w:r w:rsidR="003C4C52" w:rsidRPr="00472AB4">
        <w:rPr>
          <w:sz w:val="24"/>
          <w:szCs w:val="24"/>
        </w:rPr>
        <w:t>p</w:t>
      </w:r>
      <w:r w:rsidR="00292EF8" w:rsidRPr="00472AB4">
        <w:rPr>
          <w:sz w:val="24"/>
          <w:szCs w:val="24"/>
        </w:rPr>
        <w:t>rasugrel</w:t>
      </w:r>
      <w:r w:rsidR="0073111F" w:rsidRPr="00472AB4">
        <w:rPr>
          <w:sz w:val="24"/>
          <w:szCs w:val="24"/>
        </w:rPr>
        <w:t xml:space="preserve"> (HR 1.13 95% CI 1.01-1.27, P=0.030)</w:t>
      </w:r>
      <w:r w:rsidR="0045611F" w:rsidRPr="00472AB4">
        <w:rPr>
          <w:sz w:val="24"/>
          <w:szCs w:val="24"/>
        </w:rPr>
        <w:t>.</w:t>
      </w:r>
    </w:p>
    <w:p w14:paraId="77931300" w14:textId="57E80467" w:rsidR="00241F5C" w:rsidRPr="00472AB4" w:rsidRDefault="008573EA" w:rsidP="00212298">
      <w:pPr>
        <w:spacing w:before="0" w:after="0"/>
        <w:rPr>
          <w:sz w:val="24"/>
          <w:szCs w:val="24"/>
        </w:rPr>
      </w:pPr>
      <w:r w:rsidRPr="00472AB4">
        <w:rPr>
          <w:sz w:val="24"/>
          <w:szCs w:val="24"/>
        </w:rPr>
        <w:t xml:space="preserve">A </w:t>
      </w:r>
      <w:r w:rsidR="006B3F1E" w:rsidRPr="00472AB4">
        <w:rPr>
          <w:sz w:val="24"/>
          <w:szCs w:val="24"/>
        </w:rPr>
        <w:t xml:space="preserve">sensitivity </w:t>
      </w:r>
      <w:r w:rsidR="00F15D06" w:rsidRPr="00472AB4">
        <w:rPr>
          <w:sz w:val="24"/>
          <w:szCs w:val="24"/>
        </w:rPr>
        <w:t>analys</w:t>
      </w:r>
      <w:r w:rsidRPr="00472AB4">
        <w:rPr>
          <w:sz w:val="24"/>
          <w:szCs w:val="24"/>
        </w:rPr>
        <w:t>i</w:t>
      </w:r>
      <w:r w:rsidR="00F15D06" w:rsidRPr="00472AB4">
        <w:rPr>
          <w:sz w:val="24"/>
          <w:szCs w:val="24"/>
        </w:rPr>
        <w:t>s</w:t>
      </w:r>
      <w:r w:rsidR="00FB0F99" w:rsidRPr="00472AB4">
        <w:rPr>
          <w:sz w:val="24"/>
          <w:szCs w:val="24"/>
        </w:rPr>
        <w:t xml:space="preserve"> </w:t>
      </w:r>
      <w:r w:rsidRPr="00472AB4">
        <w:rPr>
          <w:sz w:val="24"/>
          <w:szCs w:val="24"/>
        </w:rPr>
        <w:t xml:space="preserve">was </w:t>
      </w:r>
      <w:r w:rsidR="00FB0F99" w:rsidRPr="00472AB4">
        <w:rPr>
          <w:sz w:val="24"/>
          <w:szCs w:val="24"/>
        </w:rPr>
        <w:t>performed by fitting</w:t>
      </w:r>
      <w:r w:rsidR="00F15D06" w:rsidRPr="00472AB4">
        <w:rPr>
          <w:sz w:val="24"/>
          <w:szCs w:val="24"/>
        </w:rPr>
        <w:t xml:space="preserve"> </w:t>
      </w:r>
      <w:r w:rsidR="00BE7A45" w:rsidRPr="00472AB4">
        <w:rPr>
          <w:sz w:val="24"/>
          <w:szCs w:val="24"/>
        </w:rPr>
        <w:t xml:space="preserve">conditional </w:t>
      </w:r>
      <w:r w:rsidR="00F15D06" w:rsidRPr="00472AB4">
        <w:rPr>
          <w:sz w:val="24"/>
          <w:szCs w:val="24"/>
        </w:rPr>
        <w:t xml:space="preserve">logistic and Cox regressions over </w:t>
      </w:r>
      <w:r w:rsidR="001067C2" w:rsidRPr="00472AB4">
        <w:rPr>
          <w:sz w:val="24"/>
          <w:szCs w:val="24"/>
        </w:rPr>
        <w:t xml:space="preserve">10 propensity score matched dataset instances </w:t>
      </w:r>
      <w:r w:rsidR="00F15D06" w:rsidRPr="00472AB4">
        <w:rPr>
          <w:sz w:val="24"/>
          <w:szCs w:val="24"/>
        </w:rPr>
        <w:t>(</w:t>
      </w:r>
      <w:r w:rsidR="006B3F1E" w:rsidRPr="00472AB4">
        <w:rPr>
          <w:sz w:val="24"/>
          <w:szCs w:val="24"/>
        </w:rPr>
        <w:t xml:space="preserve">Supplementary Table S2 that provides and overview of the propensity score matched datasets and </w:t>
      </w:r>
      <w:r w:rsidR="00F15D06" w:rsidRPr="00472AB4">
        <w:rPr>
          <w:sz w:val="24"/>
          <w:szCs w:val="24"/>
        </w:rPr>
        <w:t>Table 4)</w:t>
      </w:r>
      <w:r w:rsidR="006B3F1E" w:rsidRPr="00472AB4">
        <w:rPr>
          <w:sz w:val="24"/>
          <w:szCs w:val="24"/>
        </w:rPr>
        <w:t xml:space="preserve"> and in general the findings were materially similar</w:t>
      </w:r>
      <w:r w:rsidR="00A6559B" w:rsidRPr="00472AB4">
        <w:rPr>
          <w:sz w:val="24"/>
          <w:szCs w:val="24"/>
        </w:rPr>
        <w:t xml:space="preserve">, namely use of </w:t>
      </w:r>
      <w:r w:rsidR="003C4C52" w:rsidRPr="00472AB4">
        <w:rPr>
          <w:sz w:val="24"/>
          <w:szCs w:val="24"/>
        </w:rPr>
        <w:t>p</w:t>
      </w:r>
      <w:r w:rsidR="00292EF8" w:rsidRPr="00472AB4">
        <w:rPr>
          <w:sz w:val="24"/>
          <w:szCs w:val="24"/>
        </w:rPr>
        <w:t>rasugrel</w:t>
      </w:r>
      <w:r w:rsidR="00A6559B" w:rsidRPr="00472AB4">
        <w:rPr>
          <w:sz w:val="24"/>
          <w:szCs w:val="24"/>
        </w:rPr>
        <w:t xml:space="preserve"> was associated with a lower risk of mortality compared </w:t>
      </w:r>
      <w:r w:rsidR="00BB0C69" w:rsidRPr="00472AB4">
        <w:rPr>
          <w:sz w:val="24"/>
          <w:szCs w:val="24"/>
        </w:rPr>
        <w:t xml:space="preserve">with </w:t>
      </w:r>
      <w:r w:rsidR="003C4C52" w:rsidRPr="00472AB4">
        <w:rPr>
          <w:sz w:val="24"/>
          <w:szCs w:val="24"/>
        </w:rPr>
        <w:t>t</w:t>
      </w:r>
      <w:r w:rsidR="005673DA" w:rsidRPr="00472AB4">
        <w:rPr>
          <w:sz w:val="24"/>
          <w:szCs w:val="24"/>
        </w:rPr>
        <w:t>icagrelor</w:t>
      </w:r>
      <w:r w:rsidR="00A6559B" w:rsidRPr="00472AB4">
        <w:rPr>
          <w:sz w:val="24"/>
          <w:szCs w:val="24"/>
        </w:rPr>
        <w:t xml:space="preserve">, although no significant differences in mortality were </w:t>
      </w:r>
      <w:r w:rsidR="00CF34E6" w:rsidRPr="00472AB4">
        <w:rPr>
          <w:sz w:val="24"/>
          <w:szCs w:val="24"/>
        </w:rPr>
        <w:t xml:space="preserve">demonstrated associated with the use of </w:t>
      </w:r>
      <w:r w:rsidR="003C4C52" w:rsidRPr="00472AB4">
        <w:rPr>
          <w:sz w:val="24"/>
          <w:szCs w:val="24"/>
        </w:rPr>
        <w:t>t</w:t>
      </w:r>
      <w:r w:rsidR="005673DA" w:rsidRPr="00472AB4">
        <w:rPr>
          <w:sz w:val="24"/>
          <w:szCs w:val="24"/>
        </w:rPr>
        <w:t>icagrelor</w:t>
      </w:r>
      <w:r w:rsidR="00CF34E6" w:rsidRPr="00472AB4">
        <w:rPr>
          <w:sz w:val="24"/>
          <w:szCs w:val="24"/>
        </w:rPr>
        <w:t xml:space="preserve"> (compared to </w:t>
      </w:r>
      <w:r w:rsidR="003C4C52" w:rsidRPr="00472AB4">
        <w:rPr>
          <w:sz w:val="24"/>
          <w:szCs w:val="24"/>
        </w:rPr>
        <w:t>c</w:t>
      </w:r>
      <w:r w:rsidR="00292EF8" w:rsidRPr="00472AB4">
        <w:rPr>
          <w:sz w:val="24"/>
          <w:szCs w:val="24"/>
        </w:rPr>
        <w:t>lopidogrel</w:t>
      </w:r>
      <w:r w:rsidR="00CF34E6" w:rsidRPr="00472AB4">
        <w:rPr>
          <w:sz w:val="24"/>
          <w:szCs w:val="24"/>
        </w:rPr>
        <w:t>)</w:t>
      </w:r>
      <w:r w:rsidR="003A3E08" w:rsidRPr="00472AB4">
        <w:rPr>
          <w:sz w:val="24"/>
          <w:szCs w:val="24"/>
        </w:rPr>
        <w:t>.</w:t>
      </w:r>
      <w:r w:rsidR="00AF7B27" w:rsidRPr="00472AB4">
        <w:rPr>
          <w:sz w:val="24"/>
          <w:szCs w:val="24"/>
        </w:rPr>
        <w:t xml:space="preserve"> </w:t>
      </w:r>
      <w:r w:rsidR="00CF34E6" w:rsidRPr="00472AB4">
        <w:rPr>
          <w:sz w:val="24"/>
          <w:szCs w:val="24"/>
        </w:rPr>
        <w:t>F</w:t>
      </w:r>
      <w:r w:rsidR="009B0655" w:rsidRPr="00472AB4">
        <w:rPr>
          <w:sz w:val="24"/>
          <w:szCs w:val="24"/>
        </w:rPr>
        <w:t xml:space="preserve">urthermore, </w:t>
      </w:r>
      <w:r w:rsidR="003C4C52" w:rsidRPr="00472AB4">
        <w:rPr>
          <w:sz w:val="24"/>
          <w:szCs w:val="24"/>
        </w:rPr>
        <w:t>p</w:t>
      </w:r>
      <w:r w:rsidR="00292EF8" w:rsidRPr="00472AB4">
        <w:rPr>
          <w:sz w:val="24"/>
          <w:szCs w:val="24"/>
        </w:rPr>
        <w:t>rasugrel</w:t>
      </w:r>
      <w:r w:rsidR="00CF34E6" w:rsidRPr="00472AB4">
        <w:rPr>
          <w:sz w:val="24"/>
          <w:szCs w:val="24"/>
        </w:rPr>
        <w:t xml:space="preserve"> use was independently associated with a lower risk of mortality compared to </w:t>
      </w:r>
      <w:r w:rsidR="003C4C52" w:rsidRPr="00472AB4">
        <w:rPr>
          <w:sz w:val="24"/>
          <w:szCs w:val="24"/>
        </w:rPr>
        <w:t>t</w:t>
      </w:r>
      <w:r w:rsidR="00CF34E6" w:rsidRPr="00472AB4">
        <w:rPr>
          <w:sz w:val="24"/>
          <w:szCs w:val="24"/>
        </w:rPr>
        <w:t xml:space="preserve">icagralor. </w:t>
      </w:r>
      <w:r w:rsidR="00330E53" w:rsidRPr="00472AB4">
        <w:rPr>
          <w:sz w:val="24"/>
          <w:szCs w:val="24"/>
        </w:rPr>
        <w:t>Three</w:t>
      </w:r>
      <w:r w:rsidR="00212298" w:rsidRPr="00472AB4">
        <w:rPr>
          <w:sz w:val="24"/>
          <w:szCs w:val="24"/>
        </w:rPr>
        <w:t xml:space="preserve"> f</w:t>
      </w:r>
      <w:r w:rsidR="00B312B8" w:rsidRPr="00472AB4">
        <w:rPr>
          <w:sz w:val="24"/>
          <w:szCs w:val="24"/>
        </w:rPr>
        <w:t>urther sensitivity analyses were performed</w:t>
      </w:r>
      <w:r w:rsidR="007F1FC1" w:rsidRPr="00472AB4">
        <w:rPr>
          <w:sz w:val="24"/>
          <w:szCs w:val="24"/>
        </w:rPr>
        <w:t xml:space="preserve"> </w:t>
      </w:r>
      <w:r w:rsidR="00212298" w:rsidRPr="00472AB4">
        <w:rPr>
          <w:sz w:val="24"/>
          <w:szCs w:val="24"/>
        </w:rPr>
        <w:t>u</w:t>
      </w:r>
      <w:r w:rsidR="008E1935" w:rsidRPr="00472AB4">
        <w:rPr>
          <w:sz w:val="24"/>
          <w:szCs w:val="24"/>
        </w:rPr>
        <w:t>sing</w:t>
      </w:r>
      <w:r w:rsidR="00212298" w:rsidRPr="00472AB4">
        <w:rPr>
          <w:sz w:val="24"/>
          <w:szCs w:val="24"/>
        </w:rPr>
        <w:t>, firstly,</w:t>
      </w:r>
      <w:r w:rsidR="008E1935" w:rsidRPr="00472AB4">
        <w:rPr>
          <w:sz w:val="24"/>
          <w:szCs w:val="24"/>
        </w:rPr>
        <w:t xml:space="preserve"> </w:t>
      </w:r>
      <w:r w:rsidR="000A3AAA" w:rsidRPr="00472AB4">
        <w:rPr>
          <w:sz w:val="24"/>
          <w:szCs w:val="24"/>
        </w:rPr>
        <w:t xml:space="preserve">a </w:t>
      </w:r>
      <w:r w:rsidR="00212298" w:rsidRPr="00472AB4">
        <w:rPr>
          <w:sz w:val="24"/>
          <w:szCs w:val="24"/>
        </w:rPr>
        <w:t>restricted</w:t>
      </w:r>
      <w:r w:rsidR="000A3AAA" w:rsidRPr="00472AB4">
        <w:rPr>
          <w:sz w:val="24"/>
          <w:szCs w:val="24"/>
        </w:rPr>
        <w:t xml:space="preserve"> dataset containing procedures undertaken since 2010, only, when all three antiplatelet drugs were available in the UK; and</w:t>
      </w:r>
      <w:r w:rsidR="006D415C" w:rsidRPr="00472AB4">
        <w:rPr>
          <w:sz w:val="24"/>
          <w:szCs w:val="24"/>
        </w:rPr>
        <w:t xml:space="preserve">, secondly, </w:t>
      </w:r>
      <w:r w:rsidR="00F67F06" w:rsidRPr="00472AB4">
        <w:rPr>
          <w:sz w:val="24"/>
          <w:szCs w:val="24"/>
        </w:rPr>
        <w:t xml:space="preserve">a dataset which extends the </w:t>
      </w:r>
      <w:r w:rsidR="003C4C52" w:rsidRPr="00472AB4">
        <w:rPr>
          <w:sz w:val="24"/>
          <w:szCs w:val="24"/>
        </w:rPr>
        <w:t>p</w:t>
      </w:r>
      <w:r w:rsidR="00292EF8" w:rsidRPr="00472AB4">
        <w:rPr>
          <w:sz w:val="24"/>
          <w:szCs w:val="24"/>
        </w:rPr>
        <w:t>rasugrel</w:t>
      </w:r>
      <w:r w:rsidR="00F67F06" w:rsidRPr="00472AB4">
        <w:rPr>
          <w:sz w:val="24"/>
          <w:szCs w:val="24"/>
        </w:rPr>
        <w:t xml:space="preserve"> and </w:t>
      </w:r>
      <w:r w:rsidR="003C4C52" w:rsidRPr="00472AB4">
        <w:rPr>
          <w:sz w:val="24"/>
          <w:szCs w:val="24"/>
        </w:rPr>
        <w:t>t</w:t>
      </w:r>
      <w:r w:rsidR="005673DA" w:rsidRPr="00472AB4">
        <w:rPr>
          <w:sz w:val="24"/>
          <w:szCs w:val="24"/>
        </w:rPr>
        <w:t>icagrelor</w:t>
      </w:r>
      <w:r w:rsidR="00F67F06" w:rsidRPr="00472AB4">
        <w:rPr>
          <w:sz w:val="24"/>
          <w:szCs w:val="24"/>
        </w:rPr>
        <w:t xml:space="preserve"> group definitions to allow inclusion of procedures </w:t>
      </w:r>
      <w:r w:rsidR="006B3F1E" w:rsidRPr="00472AB4">
        <w:rPr>
          <w:sz w:val="24"/>
          <w:szCs w:val="24"/>
        </w:rPr>
        <w:t>in which</w:t>
      </w:r>
      <w:r w:rsidR="00F67F06" w:rsidRPr="00472AB4">
        <w:rPr>
          <w:sz w:val="24"/>
          <w:szCs w:val="24"/>
        </w:rPr>
        <w:t xml:space="preserve"> patients </w:t>
      </w:r>
      <w:r w:rsidR="006B3F1E" w:rsidRPr="00472AB4">
        <w:rPr>
          <w:sz w:val="24"/>
          <w:szCs w:val="24"/>
        </w:rPr>
        <w:t xml:space="preserve">were </w:t>
      </w:r>
      <w:r w:rsidR="00F67F06" w:rsidRPr="00472AB4">
        <w:rPr>
          <w:sz w:val="24"/>
          <w:szCs w:val="24"/>
        </w:rPr>
        <w:t xml:space="preserve">prescribed </w:t>
      </w:r>
      <w:r w:rsidR="003C4C52" w:rsidRPr="00472AB4">
        <w:rPr>
          <w:sz w:val="24"/>
          <w:szCs w:val="24"/>
        </w:rPr>
        <w:t>c</w:t>
      </w:r>
      <w:r w:rsidR="00292EF8" w:rsidRPr="00472AB4">
        <w:rPr>
          <w:sz w:val="24"/>
          <w:szCs w:val="24"/>
        </w:rPr>
        <w:t>lopidogrel</w:t>
      </w:r>
      <w:r w:rsidR="00F67F06" w:rsidRPr="00472AB4">
        <w:rPr>
          <w:sz w:val="24"/>
          <w:szCs w:val="24"/>
        </w:rPr>
        <w:t xml:space="preserve"> </w:t>
      </w:r>
      <w:r w:rsidR="006B3F1E" w:rsidRPr="00472AB4">
        <w:rPr>
          <w:sz w:val="24"/>
          <w:szCs w:val="24"/>
        </w:rPr>
        <w:t>as</w:t>
      </w:r>
      <w:r w:rsidR="00872DA8" w:rsidRPr="00472AB4">
        <w:rPr>
          <w:sz w:val="24"/>
          <w:szCs w:val="24"/>
        </w:rPr>
        <w:t xml:space="preserve"> </w:t>
      </w:r>
      <w:r w:rsidR="006B3F1E" w:rsidRPr="00472AB4">
        <w:rPr>
          <w:sz w:val="24"/>
          <w:szCs w:val="24"/>
        </w:rPr>
        <w:t>well as</w:t>
      </w:r>
      <w:r w:rsidR="00F67F06" w:rsidRPr="00472AB4">
        <w:rPr>
          <w:sz w:val="24"/>
          <w:szCs w:val="24"/>
        </w:rPr>
        <w:t xml:space="preserve"> </w:t>
      </w:r>
      <w:r w:rsidR="003C4C52" w:rsidRPr="00472AB4">
        <w:rPr>
          <w:sz w:val="24"/>
          <w:szCs w:val="24"/>
        </w:rPr>
        <w:t>p</w:t>
      </w:r>
      <w:r w:rsidR="00292EF8" w:rsidRPr="00472AB4">
        <w:rPr>
          <w:sz w:val="24"/>
          <w:szCs w:val="24"/>
        </w:rPr>
        <w:t>rasugrel</w:t>
      </w:r>
      <w:r w:rsidR="00F67F06" w:rsidRPr="00472AB4">
        <w:rPr>
          <w:sz w:val="24"/>
          <w:szCs w:val="24"/>
        </w:rPr>
        <w:t xml:space="preserve">, and </w:t>
      </w:r>
      <w:r w:rsidR="003C4C52" w:rsidRPr="00472AB4">
        <w:rPr>
          <w:sz w:val="24"/>
          <w:szCs w:val="24"/>
        </w:rPr>
        <w:t>c</w:t>
      </w:r>
      <w:r w:rsidR="00292EF8" w:rsidRPr="00472AB4">
        <w:rPr>
          <w:sz w:val="24"/>
          <w:szCs w:val="24"/>
        </w:rPr>
        <w:t>lopidogrel</w:t>
      </w:r>
      <w:r w:rsidR="00F67F06" w:rsidRPr="00472AB4">
        <w:rPr>
          <w:sz w:val="24"/>
          <w:szCs w:val="24"/>
        </w:rPr>
        <w:t xml:space="preserve"> a</w:t>
      </w:r>
      <w:r w:rsidR="006B3F1E" w:rsidRPr="00472AB4">
        <w:rPr>
          <w:sz w:val="24"/>
          <w:szCs w:val="24"/>
        </w:rPr>
        <w:t>swell as</w:t>
      </w:r>
      <w:r w:rsidR="00F67F06" w:rsidRPr="00472AB4">
        <w:rPr>
          <w:sz w:val="24"/>
          <w:szCs w:val="24"/>
        </w:rPr>
        <w:t xml:space="preserve"> </w:t>
      </w:r>
      <w:r w:rsidR="003C4C52" w:rsidRPr="00472AB4">
        <w:rPr>
          <w:sz w:val="24"/>
          <w:szCs w:val="24"/>
        </w:rPr>
        <w:t>t</w:t>
      </w:r>
      <w:r w:rsidR="005673DA" w:rsidRPr="00472AB4">
        <w:rPr>
          <w:sz w:val="24"/>
          <w:szCs w:val="24"/>
        </w:rPr>
        <w:t>icagrelor</w:t>
      </w:r>
      <w:r w:rsidR="006B3F1E" w:rsidRPr="00472AB4">
        <w:rPr>
          <w:sz w:val="24"/>
          <w:szCs w:val="24"/>
        </w:rPr>
        <w:t xml:space="preserve"> (presumably reflecting pre-treatment with </w:t>
      </w:r>
      <w:r w:rsidR="003C4C52" w:rsidRPr="00472AB4">
        <w:rPr>
          <w:sz w:val="24"/>
          <w:szCs w:val="24"/>
        </w:rPr>
        <w:t>c</w:t>
      </w:r>
      <w:r w:rsidR="00292EF8" w:rsidRPr="00472AB4">
        <w:rPr>
          <w:sz w:val="24"/>
          <w:szCs w:val="24"/>
        </w:rPr>
        <w:t>lopidogrel</w:t>
      </w:r>
      <w:r w:rsidR="006B3F1E" w:rsidRPr="00472AB4">
        <w:rPr>
          <w:sz w:val="24"/>
          <w:szCs w:val="24"/>
        </w:rPr>
        <w:t xml:space="preserve"> prior to prescription of either </w:t>
      </w:r>
      <w:r w:rsidR="003C4C52" w:rsidRPr="00472AB4">
        <w:rPr>
          <w:sz w:val="24"/>
          <w:szCs w:val="24"/>
        </w:rPr>
        <w:t>t</w:t>
      </w:r>
      <w:r w:rsidR="005673DA" w:rsidRPr="00472AB4">
        <w:rPr>
          <w:sz w:val="24"/>
          <w:szCs w:val="24"/>
        </w:rPr>
        <w:t>icagrelor</w:t>
      </w:r>
      <w:r w:rsidR="006B3F1E" w:rsidRPr="00472AB4">
        <w:rPr>
          <w:sz w:val="24"/>
          <w:szCs w:val="24"/>
        </w:rPr>
        <w:t xml:space="preserve"> or </w:t>
      </w:r>
      <w:r w:rsidR="003C4C52" w:rsidRPr="00472AB4">
        <w:rPr>
          <w:sz w:val="24"/>
          <w:szCs w:val="24"/>
        </w:rPr>
        <w:t>p</w:t>
      </w:r>
      <w:r w:rsidR="00292EF8" w:rsidRPr="00472AB4">
        <w:rPr>
          <w:sz w:val="24"/>
          <w:szCs w:val="24"/>
        </w:rPr>
        <w:t>rasugrel</w:t>
      </w:r>
      <w:r w:rsidR="006B3F1E" w:rsidRPr="00472AB4">
        <w:rPr>
          <w:sz w:val="24"/>
          <w:szCs w:val="24"/>
        </w:rPr>
        <w:t xml:space="preserve"> </w:t>
      </w:r>
      <w:r w:rsidR="00822038" w:rsidRPr="00472AB4">
        <w:rPr>
          <w:sz w:val="24"/>
          <w:szCs w:val="24"/>
        </w:rPr>
        <w:t xml:space="preserve">that was observed </w:t>
      </w:r>
      <w:r w:rsidR="006B3F1E" w:rsidRPr="00472AB4">
        <w:rPr>
          <w:sz w:val="24"/>
          <w:szCs w:val="24"/>
        </w:rPr>
        <w:t>in 1.8% of cases)</w:t>
      </w:r>
      <w:r w:rsidR="00F67F06" w:rsidRPr="00472AB4">
        <w:rPr>
          <w:sz w:val="24"/>
          <w:szCs w:val="24"/>
        </w:rPr>
        <w:t>, respectively.</w:t>
      </w:r>
      <w:r w:rsidR="00212298" w:rsidRPr="00472AB4">
        <w:rPr>
          <w:sz w:val="24"/>
          <w:szCs w:val="24"/>
        </w:rPr>
        <w:t xml:space="preserve"> </w:t>
      </w:r>
      <w:r w:rsidR="00330E53" w:rsidRPr="00472AB4">
        <w:rPr>
          <w:sz w:val="24"/>
          <w:szCs w:val="24"/>
        </w:rPr>
        <w:t xml:space="preserve">Finally, a third sensitivity analysis was undertaken by including the patients in whom the anti-platelet status was unknown. </w:t>
      </w:r>
      <w:r w:rsidR="00212298" w:rsidRPr="00472AB4">
        <w:rPr>
          <w:sz w:val="24"/>
          <w:szCs w:val="24"/>
        </w:rPr>
        <w:t>Results from these analyses are presented in the supplementary material</w:t>
      </w:r>
      <w:r w:rsidR="00330E53" w:rsidRPr="00472AB4">
        <w:rPr>
          <w:sz w:val="24"/>
          <w:szCs w:val="24"/>
        </w:rPr>
        <w:t xml:space="preserve"> (supplementary Table S3-S5)</w:t>
      </w:r>
      <w:r w:rsidR="00212298" w:rsidRPr="00472AB4">
        <w:rPr>
          <w:sz w:val="24"/>
          <w:szCs w:val="24"/>
        </w:rPr>
        <w:t>.</w:t>
      </w:r>
      <w:r w:rsidR="005C7B1C" w:rsidRPr="00472AB4">
        <w:rPr>
          <w:sz w:val="24"/>
          <w:szCs w:val="24"/>
        </w:rPr>
        <w:t xml:space="preserve"> </w:t>
      </w:r>
    </w:p>
    <w:p w14:paraId="70AEB5CB" w14:textId="77777777" w:rsidR="00F70499" w:rsidRPr="00472AB4" w:rsidRDefault="00F70499" w:rsidP="00212298">
      <w:pPr>
        <w:spacing w:before="0" w:after="0"/>
        <w:rPr>
          <w:sz w:val="24"/>
          <w:szCs w:val="24"/>
        </w:rPr>
      </w:pPr>
    </w:p>
    <w:p w14:paraId="7D7A53CF" w14:textId="77777777" w:rsidR="000536B5" w:rsidRPr="00472AB4" w:rsidRDefault="006635A0" w:rsidP="008E0662">
      <w:pPr>
        <w:spacing w:before="0" w:after="0"/>
        <w:outlineLvl w:val="0"/>
        <w:rPr>
          <w:i/>
          <w:sz w:val="24"/>
          <w:szCs w:val="24"/>
        </w:rPr>
      </w:pPr>
      <w:r w:rsidRPr="00472AB4">
        <w:rPr>
          <w:b/>
          <w:sz w:val="24"/>
          <w:szCs w:val="24"/>
        </w:rPr>
        <w:t>Discussion</w:t>
      </w:r>
    </w:p>
    <w:p w14:paraId="58EE2BBA" w14:textId="77777777" w:rsidR="008C73E7" w:rsidRPr="00472AB4" w:rsidRDefault="008C73E7" w:rsidP="008E0662">
      <w:pPr>
        <w:spacing w:before="0" w:after="0"/>
        <w:outlineLvl w:val="0"/>
        <w:rPr>
          <w:i/>
          <w:sz w:val="24"/>
          <w:szCs w:val="24"/>
        </w:rPr>
      </w:pPr>
      <w:r w:rsidRPr="00472AB4">
        <w:rPr>
          <w:i/>
          <w:sz w:val="24"/>
          <w:szCs w:val="24"/>
        </w:rPr>
        <w:t>R</w:t>
      </w:r>
      <w:r w:rsidR="00BD012A" w:rsidRPr="00472AB4">
        <w:rPr>
          <w:i/>
          <w:sz w:val="24"/>
          <w:szCs w:val="24"/>
        </w:rPr>
        <w:t>ationale for the present</w:t>
      </w:r>
      <w:r w:rsidRPr="00472AB4">
        <w:rPr>
          <w:i/>
          <w:sz w:val="24"/>
          <w:szCs w:val="24"/>
        </w:rPr>
        <w:t xml:space="preserve"> study</w:t>
      </w:r>
    </w:p>
    <w:p w14:paraId="44105E67" w14:textId="4BF4AF0E" w:rsidR="007C7ED5" w:rsidRPr="00472AB4" w:rsidRDefault="003A2EC6" w:rsidP="005673DA">
      <w:pPr>
        <w:spacing w:before="0" w:after="0"/>
        <w:rPr>
          <w:sz w:val="24"/>
          <w:szCs w:val="24"/>
        </w:rPr>
      </w:pPr>
      <w:r w:rsidRPr="00472AB4">
        <w:rPr>
          <w:sz w:val="24"/>
          <w:szCs w:val="24"/>
        </w:rPr>
        <w:lastRenderedPageBreak/>
        <w:t xml:space="preserve">Both </w:t>
      </w:r>
      <w:r w:rsidR="00221FCB" w:rsidRPr="00472AB4">
        <w:rPr>
          <w:sz w:val="24"/>
          <w:szCs w:val="24"/>
        </w:rPr>
        <w:t>p</w:t>
      </w:r>
      <w:r w:rsidR="00292EF8" w:rsidRPr="00472AB4">
        <w:rPr>
          <w:sz w:val="24"/>
          <w:szCs w:val="24"/>
        </w:rPr>
        <w:t>rasugrel</w:t>
      </w:r>
      <w:r w:rsidR="00221FCB" w:rsidRPr="00472AB4">
        <w:rPr>
          <w:sz w:val="24"/>
          <w:szCs w:val="24"/>
        </w:rPr>
        <w:t xml:space="preserve"> and t</w:t>
      </w:r>
      <w:r w:rsidR="006C78C1" w:rsidRPr="00472AB4">
        <w:rPr>
          <w:sz w:val="24"/>
          <w:szCs w:val="24"/>
        </w:rPr>
        <w:t>icagralor are associated with</w:t>
      </w:r>
      <w:r w:rsidRPr="00472AB4">
        <w:rPr>
          <w:sz w:val="24"/>
          <w:szCs w:val="24"/>
        </w:rPr>
        <w:t xml:space="preserve"> </w:t>
      </w:r>
      <w:r w:rsidR="00FA5219" w:rsidRPr="00472AB4">
        <w:rPr>
          <w:sz w:val="24"/>
          <w:szCs w:val="24"/>
        </w:rPr>
        <w:t xml:space="preserve">lower rates of </w:t>
      </w:r>
      <w:r w:rsidR="006B165E" w:rsidRPr="00472AB4">
        <w:rPr>
          <w:sz w:val="24"/>
          <w:szCs w:val="24"/>
        </w:rPr>
        <w:t>ischaemic</w:t>
      </w:r>
      <w:r w:rsidR="00FA5219" w:rsidRPr="00472AB4">
        <w:rPr>
          <w:sz w:val="24"/>
          <w:szCs w:val="24"/>
        </w:rPr>
        <w:t xml:space="preserve"> end points</w:t>
      </w:r>
      <w:r w:rsidR="006B165E" w:rsidRPr="00472AB4">
        <w:rPr>
          <w:sz w:val="24"/>
          <w:szCs w:val="24"/>
        </w:rPr>
        <w:t xml:space="preserve"> </w:t>
      </w:r>
      <w:r w:rsidR="00FA5219" w:rsidRPr="00472AB4">
        <w:rPr>
          <w:sz w:val="24"/>
          <w:szCs w:val="24"/>
        </w:rPr>
        <w:t>compared to</w:t>
      </w:r>
      <w:r w:rsidRPr="00472AB4">
        <w:rPr>
          <w:sz w:val="24"/>
          <w:szCs w:val="24"/>
        </w:rPr>
        <w:t xml:space="preserve"> </w:t>
      </w:r>
      <w:r w:rsidR="00221FCB" w:rsidRPr="00472AB4">
        <w:rPr>
          <w:sz w:val="24"/>
          <w:szCs w:val="24"/>
        </w:rPr>
        <w:t>c</w:t>
      </w:r>
      <w:r w:rsidR="00292EF8" w:rsidRPr="00472AB4">
        <w:rPr>
          <w:sz w:val="24"/>
          <w:szCs w:val="24"/>
        </w:rPr>
        <w:t>lopidogrel</w:t>
      </w:r>
      <w:r w:rsidRPr="00472AB4">
        <w:rPr>
          <w:sz w:val="24"/>
          <w:szCs w:val="24"/>
        </w:rPr>
        <w:t xml:space="preserve"> in</w:t>
      </w:r>
      <w:r w:rsidR="00FA5219" w:rsidRPr="00472AB4">
        <w:rPr>
          <w:sz w:val="24"/>
          <w:szCs w:val="24"/>
        </w:rPr>
        <w:t xml:space="preserve"> large randomised</w:t>
      </w:r>
      <w:r w:rsidR="0039247C" w:rsidRPr="00472AB4">
        <w:rPr>
          <w:sz w:val="24"/>
          <w:szCs w:val="24"/>
        </w:rPr>
        <w:t xml:space="preserve"> trials</w:t>
      </w:r>
      <w:r w:rsidR="00EF684B" w:rsidRPr="00472AB4">
        <w:rPr>
          <w:sz w:val="24"/>
          <w:szCs w:val="24"/>
        </w:rPr>
        <w:t xml:space="preserve"> that included a heterogeneous population of ACS patients</w:t>
      </w:r>
      <w:r w:rsidRPr="00472AB4">
        <w:rPr>
          <w:sz w:val="24"/>
          <w:szCs w:val="24"/>
        </w:rPr>
        <w:t xml:space="preserve">. </w:t>
      </w:r>
      <w:r w:rsidR="0039247C" w:rsidRPr="00472AB4">
        <w:rPr>
          <w:sz w:val="24"/>
          <w:szCs w:val="24"/>
        </w:rPr>
        <w:t>However</w:t>
      </w:r>
      <w:r w:rsidR="00EF684B" w:rsidRPr="00472AB4">
        <w:rPr>
          <w:sz w:val="24"/>
          <w:szCs w:val="24"/>
        </w:rPr>
        <w:t>,</w:t>
      </w:r>
      <w:r w:rsidR="0039247C" w:rsidRPr="00472AB4">
        <w:rPr>
          <w:sz w:val="24"/>
          <w:szCs w:val="24"/>
        </w:rPr>
        <w:t xml:space="preserve"> </w:t>
      </w:r>
      <w:r w:rsidR="00FA5219" w:rsidRPr="00472AB4">
        <w:rPr>
          <w:sz w:val="24"/>
          <w:szCs w:val="24"/>
        </w:rPr>
        <w:t xml:space="preserve">two important questions that relate directly to clinical practice remain unclear. Firstly, whether the newer agents are significantly better than </w:t>
      </w:r>
      <w:r w:rsidR="00221FCB" w:rsidRPr="00472AB4">
        <w:rPr>
          <w:sz w:val="24"/>
          <w:szCs w:val="24"/>
        </w:rPr>
        <w:t>c</w:t>
      </w:r>
      <w:r w:rsidR="00292EF8" w:rsidRPr="00472AB4">
        <w:rPr>
          <w:sz w:val="24"/>
          <w:szCs w:val="24"/>
        </w:rPr>
        <w:t>lopidogrel</w:t>
      </w:r>
      <w:r w:rsidR="00FA5219" w:rsidRPr="00472AB4">
        <w:rPr>
          <w:sz w:val="24"/>
          <w:szCs w:val="24"/>
        </w:rPr>
        <w:t xml:space="preserve"> in a primary PCI population</w:t>
      </w:r>
      <w:r w:rsidR="006F0F11" w:rsidRPr="00472AB4">
        <w:rPr>
          <w:sz w:val="24"/>
          <w:szCs w:val="24"/>
        </w:rPr>
        <w:t xml:space="preserve"> and secondly</w:t>
      </w:r>
      <w:r w:rsidR="00FA5219" w:rsidRPr="00472AB4">
        <w:rPr>
          <w:sz w:val="24"/>
          <w:szCs w:val="24"/>
        </w:rPr>
        <w:t xml:space="preserve">, </w:t>
      </w:r>
      <w:r w:rsidR="0039247C" w:rsidRPr="00472AB4">
        <w:rPr>
          <w:sz w:val="24"/>
          <w:szCs w:val="24"/>
        </w:rPr>
        <w:t>t</w:t>
      </w:r>
      <w:r w:rsidRPr="00472AB4">
        <w:rPr>
          <w:sz w:val="24"/>
          <w:szCs w:val="24"/>
        </w:rPr>
        <w:t xml:space="preserve">he relative benefits of these </w:t>
      </w:r>
      <w:r w:rsidR="00E3522C" w:rsidRPr="00472AB4">
        <w:rPr>
          <w:sz w:val="24"/>
          <w:szCs w:val="24"/>
        </w:rPr>
        <w:t xml:space="preserve">2 </w:t>
      </w:r>
      <w:r w:rsidRPr="00472AB4">
        <w:rPr>
          <w:sz w:val="24"/>
          <w:szCs w:val="24"/>
        </w:rPr>
        <w:t>novel agents compared to ea</w:t>
      </w:r>
      <w:r w:rsidR="0039247C" w:rsidRPr="00472AB4">
        <w:rPr>
          <w:sz w:val="24"/>
          <w:szCs w:val="24"/>
        </w:rPr>
        <w:t>ch other</w:t>
      </w:r>
      <w:r w:rsidR="00FA5219" w:rsidRPr="00472AB4">
        <w:rPr>
          <w:sz w:val="24"/>
          <w:szCs w:val="24"/>
        </w:rPr>
        <w:t>.</w:t>
      </w:r>
      <w:r w:rsidR="006B165E" w:rsidRPr="00472AB4">
        <w:rPr>
          <w:sz w:val="24"/>
          <w:szCs w:val="24"/>
        </w:rPr>
        <w:t xml:space="preserve"> </w:t>
      </w:r>
    </w:p>
    <w:p w14:paraId="43027B78" w14:textId="70809B26" w:rsidR="0039247C" w:rsidRPr="00472AB4" w:rsidRDefault="0039247C" w:rsidP="005673DA">
      <w:pPr>
        <w:spacing w:before="0" w:after="0"/>
        <w:rPr>
          <w:rFonts w:eastAsia="Times New Roman"/>
          <w:sz w:val="24"/>
          <w:szCs w:val="24"/>
          <w:lang w:val="en-GB" w:eastAsia="en-US"/>
        </w:rPr>
      </w:pPr>
      <w:r w:rsidRPr="00472AB4">
        <w:rPr>
          <w:sz w:val="24"/>
          <w:szCs w:val="24"/>
        </w:rPr>
        <w:t xml:space="preserve">With </w:t>
      </w:r>
      <w:r w:rsidR="007C7ED5" w:rsidRPr="00472AB4">
        <w:rPr>
          <w:sz w:val="24"/>
          <w:szCs w:val="24"/>
        </w:rPr>
        <w:t xml:space="preserve">a </w:t>
      </w:r>
      <w:r w:rsidRPr="00472AB4">
        <w:rPr>
          <w:sz w:val="24"/>
          <w:szCs w:val="24"/>
        </w:rPr>
        <w:t xml:space="preserve">specific focus on STEMI, </w:t>
      </w:r>
      <w:r w:rsidR="007C7ED5" w:rsidRPr="00472AB4">
        <w:rPr>
          <w:sz w:val="24"/>
          <w:szCs w:val="24"/>
        </w:rPr>
        <w:t>the landmark RCTs</w:t>
      </w:r>
      <w:r w:rsidRPr="00472AB4">
        <w:rPr>
          <w:sz w:val="24"/>
          <w:szCs w:val="24"/>
        </w:rPr>
        <w:t xml:space="preserve"> came to dif</w:t>
      </w:r>
      <w:r w:rsidR="007C7ED5" w:rsidRPr="00472AB4">
        <w:rPr>
          <w:sz w:val="24"/>
          <w:szCs w:val="24"/>
        </w:rPr>
        <w:t>ferent conclusions in the</w:t>
      </w:r>
      <w:r w:rsidR="002C5E61" w:rsidRPr="00472AB4">
        <w:rPr>
          <w:sz w:val="24"/>
          <w:szCs w:val="24"/>
        </w:rPr>
        <w:t>ir</w:t>
      </w:r>
      <w:r w:rsidR="007C7ED5" w:rsidRPr="00472AB4">
        <w:rPr>
          <w:sz w:val="24"/>
          <w:szCs w:val="24"/>
        </w:rPr>
        <w:t xml:space="preserve"> relevant </w:t>
      </w:r>
      <w:r w:rsidR="002C5E61" w:rsidRPr="00472AB4">
        <w:rPr>
          <w:i/>
          <w:sz w:val="24"/>
          <w:szCs w:val="24"/>
        </w:rPr>
        <w:t>posthoc</w:t>
      </w:r>
      <w:r w:rsidR="002C5E61" w:rsidRPr="00472AB4">
        <w:rPr>
          <w:sz w:val="24"/>
          <w:szCs w:val="24"/>
        </w:rPr>
        <w:t xml:space="preserve"> </w:t>
      </w:r>
      <w:r w:rsidR="007C7ED5" w:rsidRPr="00472AB4">
        <w:rPr>
          <w:sz w:val="24"/>
          <w:szCs w:val="24"/>
        </w:rPr>
        <w:t xml:space="preserve">subgroup analyses. In </w:t>
      </w:r>
      <w:r w:rsidR="00E3522C" w:rsidRPr="00472AB4">
        <w:rPr>
          <w:sz w:val="24"/>
          <w:szCs w:val="24"/>
        </w:rPr>
        <w:t xml:space="preserve">the </w:t>
      </w:r>
      <w:r w:rsidR="007C7ED5" w:rsidRPr="00472AB4">
        <w:rPr>
          <w:sz w:val="24"/>
          <w:szCs w:val="24"/>
        </w:rPr>
        <w:t xml:space="preserve">PLATO subgroup </w:t>
      </w:r>
      <w:r w:rsidR="00E3522C" w:rsidRPr="00472AB4">
        <w:rPr>
          <w:sz w:val="24"/>
          <w:szCs w:val="24"/>
        </w:rPr>
        <w:t xml:space="preserve">of </w:t>
      </w:r>
      <w:r w:rsidR="007C7ED5" w:rsidRPr="00472AB4">
        <w:rPr>
          <w:sz w:val="24"/>
          <w:szCs w:val="24"/>
        </w:rPr>
        <w:t>patients treated with primary PCI within 12 hours for STEMI</w:t>
      </w:r>
      <w:r w:rsidR="000F16DE" w:rsidRPr="00472AB4">
        <w:rPr>
          <w:sz w:val="24"/>
          <w:szCs w:val="24"/>
        </w:rPr>
        <w:fldChar w:fldCharType="begin"/>
      </w:r>
      <w:r w:rsidR="00CE0BB2" w:rsidRPr="00472AB4">
        <w:rPr>
          <w:sz w:val="24"/>
          <w:szCs w:val="24"/>
        </w:rPr>
        <w:instrText>ADDIN RW.CITE{{313 Velders,M.A. 2016}}</w:instrText>
      </w:r>
      <w:r w:rsidR="000F16DE" w:rsidRPr="00472AB4">
        <w:rPr>
          <w:sz w:val="24"/>
          <w:szCs w:val="24"/>
        </w:rPr>
        <w:fldChar w:fldCharType="separate"/>
      </w:r>
      <w:r w:rsidR="00CE0BB2" w:rsidRPr="00472AB4">
        <w:rPr>
          <w:rFonts w:eastAsia="Times New Roman"/>
          <w:sz w:val="24"/>
          <w:vertAlign w:val="superscript"/>
        </w:rPr>
        <w:t>10</w:t>
      </w:r>
      <w:r w:rsidR="000F16DE" w:rsidRPr="00472AB4">
        <w:rPr>
          <w:sz w:val="24"/>
          <w:szCs w:val="24"/>
        </w:rPr>
        <w:fldChar w:fldCharType="end"/>
      </w:r>
      <w:r w:rsidR="006A004F" w:rsidRPr="00472AB4">
        <w:rPr>
          <w:sz w:val="24"/>
          <w:szCs w:val="24"/>
        </w:rPr>
        <w:t>,</w:t>
      </w:r>
      <w:r w:rsidR="007C7ED5" w:rsidRPr="00472AB4">
        <w:rPr>
          <w:sz w:val="24"/>
          <w:szCs w:val="24"/>
        </w:rPr>
        <w:t xml:space="preserve"> </w:t>
      </w:r>
      <w:r w:rsidR="00221FCB" w:rsidRPr="00472AB4">
        <w:rPr>
          <w:sz w:val="24"/>
          <w:szCs w:val="24"/>
        </w:rPr>
        <w:t>t</w:t>
      </w:r>
      <w:r w:rsidR="005673DA" w:rsidRPr="00472AB4">
        <w:rPr>
          <w:sz w:val="24"/>
          <w:szCs w:val="24"/>
        </w:rPr>
        <w:t>icagrelor</w:t>
      </w:r>
      <w:r w:rsidR="007C7ED5" w:rsidRPr="00472AB4">
        <w:rPr>
          <w:sz w:val="24"/>
          <w:szCs w:val="24"/>
        </w:rPr>
        <w:t xml:space="preserve"> did not show a significant reduction in the primary efficacy endpoint versus </w:t>
      </w:r>
      <w:r w:rsidR="00221FCB" w:rsidRPr="00472AB4">
        <w:rPr>
          <w:sz w:val="24"/>
          <w:szCs w:val="24"/>
        </w:rPr>
        <w:t>c</w:t>
      </w:r>
      <w:r w:rsidR="00292EF8" w:rsidRPr="00472AB4">
        <w:rPr>
          <w:sz w:val="24"/>
          <w:szCs w:val="24"/>
        </w:rPr>
        <w:t>lopidogrel</w:t>
      </w:r>
      <w:r w:rsidR="007C7ED5" w:rsidRPr="00472AB4">
        <w:rPr>
          <w:sz w:val="24"/>
          <w:szCs w:val="24"/>
        </w:rPr>
        <w:t>, nor did it reduce cardiovascular death (in contrast to the overall study population). The possible reasons for this are various but include the smaller cohort size (aroun</w:t>
      </w:r>
      <w:r w:rsidR="005D0FFF" w:rsidRPr="00472AB4">
        <w:rPr>
          <w:sz w:val="24"/>
          <w:szCs w:val="24"/>
        </w:rPr>
        <w:t>d 4000 patients)</w:t>
      </w:r>
      <w:r w:rsidR="00E7478F" w:rsidRPr="00472AB4">
        <w:rPr>
          <w:sz w:val="24"/>
          <w:szCs w:val="24"/>
        </w:rPr>
        <w:t xml:space="preserve"> compared to over 70,000 patients included in our analysis</w:t>
      </w:r>
      <w:r w:rsidR="005D0FFF" w:rsidRPr="00472AB4">
        <w:rPr>
          <w:sz w:val="24"/>
          <w:szCs w:val="24"/>
        </w:rPr>
        <w:t xml:space="preserve">. </w:t>
      </w:r>
      <w:r w:rsidR="000536B5" w:rsidRPr="00472AB4">
        <w:rPr>
          <w:sz w:val="24"/>
          <w:szCs w:val="24"/>
        </w:rPr>
        <w:t>Similarly</w:t>
      </w:r>
      <w:r w:rsidR="007C7ED5" w:rsidRPr="00472AB4">
        <w:rPr>
          <w:sz w:val="24"/>
          <w:szCs w:val="24"/>
        </w:rPr>
        <w:t xml:space="preserve">, the TRITON subgroup who underwent primary PCI </w:t>
      </w:r>
      <w:r w:rsidR="008C73E7" w:rsidRPr="00472AB4">
        <w:rPr>
          <w:sz w:val="24"/>
          <w:szCs w:val="24"/>
        </w:rPr>
        <w:t xml:space="preserve">(with around </w:t>
      </w:r>
      <w:r w:rsidR="0001475E" w:rsidRPr="00472AB4">
        <w:rPr>
          <w:sz w:val="24"/>
          <w:szCs w:val="24"/>
        </w:rPr>
        <w:t xml:space="preserve">2300 </w:t>
      </w:r>
      <w:r w:rsidR="008C73E7" w:rsidRPr="00472AB4">
        <w:rPr>
          <w:sz w:val="24"/>
          <w:szCs w:val="24"/>
        </w:rPr>
        <w:t xml:space="preserve">patients) </w:t>
      </w:r>
      <w:r w:rsidR="0001475E" w:rsidRPr="00472AB4">
        <w:rPr>
          <w:sz w:val="24"/>
          <w:szCs w:val="24"/>
        </w:rPr>
        <w:t xml:space="preserve">also </w:t>
      </w:r>
      <w:r w:rsidR="00EF684B" w:rsidRPr="00472AB4">
        <w:rPr>
          <w:sz w:val="24"/>
          <w:szCs w:val="24"/>
        </w:rPr>
        <w:t xml:space="preserve">demonstrated no significant </w:t>
      </w:r>
      <w:r w:rsidR="007C7ED5" w:rsidRPr="00472AB4">
        <w:rPr>
          <w:sz w:val="24"/>
          <w:szCs w:val="24"/>
        </w:rPr>
        <w:t xml:space="preserve">reduction in the primary endpoint with </w:t>
      </w:r>
      <w:r w:rsidR="00221FCB" w:rsidRPr="00472AB4">
        <w:rPr>
          <w:sz w:val="24"/>
          <w:szCs w:val="24"/>
        </w:rPr>
        <w:t>p</w:t>
      </w:r>
      <w:r w:rsidR="00292EF8" w:rsidRPr="00472AB4">
        <w:rPr>
          <w:sz w:val="24"/>
          <w:szCs w:val="24"/>
        </w:rPr>
        <w:t>rasugrel</w:t>
      </w:r>
      <w:r w:rsidR="008C73E7" w:rsidRPr="00472AB4">
        <w:rPr>
          <w:sz w:val="24"/>
          <w:szCs w:val="24"/>
        </w:rPr>
        <w:t xml:space="preserve"> compared to </w:t>
      </w:r>
      <w:r w:rsidR="00221FCB" w:rsidRPr="00472AB4">
        <w:rPr>
          <w:sz w:val="24"/>
          <w:szCs w:val="24"/>
        </w:rPr>
        <w:t>c</w:t>
      </w:r>
      <w:r w:rsidR="00292EF8" w:rsidRPr="00472AB4">
        <w:rPr>
          <w:sz w:val="24"/>
          <w:szCs w:val="24"/>
        </w:rPr>
        <w:t>lopidogrel</w:t>
      </w:r>
      <w:r w:rsidR="000F16DE" w:rsidRPr="00472AB4">
        <w:rPr>
          <w:sz w:val="24"/>
          <w:szCs w:val="24"/>
        </w:rPr>
        <w:fldChar w:fldCharType="begin"/>
      </w:r>
      <w:r w:rsidR="00CE0BB2" w:rsidRPr="00472AB4">
        <w:rPr>
          <w:sz w:val="24"/>
          <w:szCs w:val="24"/>
        </w:rPr>
        <w:instrText>ADDIN RW.CITE{{314 Udell, Jacob A 2014}}</w:instrText>
      </w:r>
      <w:r w:rsidR="000F16DE" w:rsidRPr="00472AB4">
        <w:rPr>
          <w:sz w:val="24"/>
          <w:szCs w:val="24"/>
        </w:rPr>
        <w:fldChar w:fldCharType="separate"/>
      </w:r>
      <w:r w:rsidR="00CE0BB2" w:rsidRPr="00472AB4">
        <w:rPr>
          <w:rFonts w:eastAsia="Times New Roman"/>
          <w:sz w:val="24"/>
          <w:vertAlign w:val="superscript"/>
        </w:rPr>
        <w:t>9</w:t>
      </w:r>
      <w:r w:rsidR="000F16DE" w:rsidRPr="00472AB4">
        <w:rPr>
          <w:sz w:val="24"/>
          <w:szCs w:val="24"/>
        </w:rPr>
        <w:fldChar w:fldCharType="end"/>
      </w:r>
      <w:r w:rsidR="008C73E7" w:rsidRPr="00472AB4">
        <w:rPr>
          <w:sz w:val="24"/>
          <w:szCs w:val="24"/>
        </w:rPr>
        <w:t xml:space="preserve">. </w:t>
      </w:r>
      <w:r w:rsidR="006A004F" w:rsidRPr="00472AB4">
        <w:rPr>
          <w:sz w:val="24"/>
          <w:szCs w:val="24"/>
        </w:rPr>
        <w:t>We therefore</w:t>
      </w:r>
      <w:r w:rsidR="00464958" w:rsidRPr="00472AB4">
        <w:rPr>
          <w:sz w:val="24"/>
          <w:szCs w:val="24"/>
        </w:rPr>
        <w:t xml:space="preserve"> attempted to evaluate</w:t>
      </w:r>
      <w:r w:rsidR="00384AB2" w:rsidRPr="00472AB4">
        <w:rPr>
          <w:sz w:val="24"/>
          <w:szCs w:val="24"/>
        </w:rPr>
        <w:t xml:space="preserve"> </w:t>
      </w:r>
      <w:r w:rsidR="00C9612F" w:rsidRPr="00472AB4">
        <w:rPr>
          <w:sz w:val="24"/>
          <w:szCs w:val="24"/>
        </w:rPr>
        <w:t xml:space="preserve">the </w:t>
      </w:r>
      <w:r w:rsidR="00384AB2" w:rsidRPr="00472AB4">
        <w:rPr>
          <w:sz w:val="24"/>
          <w:szCs w:val="24"/>
        </w:rPr>
        <w:t>relative benefit</w:t>
      </w:r>
      <w:r w:rsidR="00464958" w:rsidRPr="00472AB4">
        <w:rPr>
          <w:sz w:val="24"/>
          <w:szCs w:val="24"/>
        </w:rPr>
        <w:t>s</w:t>
      </w:r>
      <w:r w:rsidR="00384AB2" w:rsidRPr="00472AB4">
        <w:rPr>
          <w:sz w:val="24"/>
          <w:szCs w:val="24"/>
        </w:rPr>
        <w:t xml:space="preserve"> of </w:t>
      </w:r>
      <w:r w:rsidR="00292EF8" w:rsidRPr="00472AB4">
        <w:rPr>
          <w:sz w:val="24"/>
          <w:szCs w:val="24"/>
        </w:rPr>
        <w:t>Prasugrel</w:t>
      </w:r>
      <w:r w:rsidR="00384AB2" w:rsidRPr="00472AB4">
        <w:rPr>
          <w:sz w:val="24"/>
          <w:szCs w:val="24"/>
        </w:rPr>
        <w:t xml:space="preserve"> versus </w:t>
      </w:r>
      <w:r w:rsidR="00221FCB" w:rsidRPr="00472AB4">
        <w:rPr>
          <w:sz w:val="24"/>
          <w:szCs w:val="24"/>
        </w:rPr>
        <w:t>t</w:t>
      </w:r>
      <w:r w:rsidR="005673DA" w:rsidRPr="00472AB4">
        <w:rPr>
          <w:sz w:val="24"/>
          <w:szCs w:val="24"/>
        </w:rPr>
        <w:t>icagrelor</w:t>
      </w:r>
      <w:r w:rsidR="00384AB2" w:rsidRPr="00472AB4">
        <w:rPr>
          <w:sz w:val="24"/>
          <w:szCs w:val="24"/>
        </w:rPr>
        <w:t xml:space="preserve"> in primary PCI </w:t>
      </w:r>
      <w:r w:rsidR="00E3522C" w:rsidRPr="00472AB4">
        <w:rPr>
          <w:sz w:val="24"/>
          <w:szCs w:val="24"/>
        </w:rPr>
        <w:t>from a large observational registry</w:t>
      </w:r>
      <w:r w:rsidR="0001475E" w:rsidRPr="00472AB4">
        <w:rPr>
          <w:rStyle w:val="current-selection"/>
          <w:rFonts w:eastAsia="Times New Roman"/>
          <w:sz w:val="24"/>
          <w:szCs w:val="24"/>
        </w:rPr>
        <w:t xml:space="preserve"> and </w:t>
      </w:r>
      <w:r w:rsidR="0001475E" w:rsidRPr="00472AB4">
        <w:rPr>
          <w:rFonts w:eastAsia="Times New Roman"/>
          <w:sz w:val="24"/>
          <w:szCs w:val="24"/>
          <w:lang w:val="en-GB" w:eastAsia="en-US"/>
        </w:rPr>
        <w:t xml:space="preserve">the present analysis provides the first comparative evaluation between </w:t>
      </w:r>
      <w:r w:rsidR="00221FCB" w:rsidRPr="00472AB4">
        <w:rPr>
          <w:rFonts w:eastAsia="Times New Roman"/>
          <w:sz w:val="24"/>
          <w:szCs w:val="24"/>
          <w:lang w:val="en-GB" w:eastAsia="en-US"/>
        </w:rPr>
        <w:t>p</w:t>
      </w:r>
      <w:r w:rsidR="00292EF8" w:rsidRPr="00472AB4">
        <w:rPr>
          <w:rFonts w:eastAsia="Times New Roman"/>
          <w:sz w:val="24"/>
          <w:szCs w:val="24"/>
          <w:lang w:val="en-GB" w:eastAsia="en-US"/>
        </w:rPr>
        <w:t>rasugrel</w:t>
      </w:r>
      <w:r w:rsidR="0001475E" w:rsidRPr="00472AB4">
        <w:rPr>
          <w:rFonts w:eastAsia="Times New Roman"/>
          <w:sz w:val="24"/>
          <w:szCs w:val="24"/>
          <w:lang w:val="en-GB" w:eastAsia="en-US"/>
        </w:rPr>
        <w:t xml:space="preserve"> and </w:t>
      </w:r>
      <w:r w:rsidR="00221FCB" w:rsidRPr="00472AB4">
        <w:rPr>
          <w:rFonts w:eastAsia="Times New Roman"/>
          <w:sz w:val="24"/>
          <w:szCs w:val="24"/>
          <w:lang w:val="en-GB" w:eastAsia="en-US"/>
        </w:rPr>
        <w:t>t</w:t>
      </w:r>
      <w:r w:rsidR="005673DA" w:rsidRPr="00472AB4">
        <w:rPr>
          <w:rFonts w:eastAsia="Times New Roman"/>
          <w:sz w:val="24"/>
          <w:szCs w:val="24"/>
          <w:lang w:val="en-GB" w:eastAsia="en-US"/>
        </w:rPr>
        <w:t>icagrelor</w:t>
      </w:r>
      <w:r w:rsidR="0001475E" w:rsidRPr="00472AB4">
        <w:rPr>
          <w:rFonts w:eastAsia="Times New Roman"/>
          <w:sz w:val="24"/>
          <w:szCs w:val="24"/>
          <w:lang w:val="en-GB" w:eastAsia="en-US"/>
        </w:rPr>
        <w:t xml:space="preserve"> in the “real world” from a national </w:t>
      </w:r>
      <w:r w:rsidR="0097217F" w:rsidRPr="00472AB4">
        <w:rPr>
          <w:rFonts w:eastAsia="Times New Roman"/>
          <w:sz w:val="24"/>
          <w:szCs w:val="24"/>
          <w:lang w:val="en-GB" w:eastAsia="en-US"/>
        </w:rPr>
        <w:t>perspective</w:t>
      </w:r>
      <w:r w:rsidR="0001475E" w:rsidRPr="00472AB4">
        <w:rPr>
          <w:rFonts w:eastAsia="Times New Roman"/>
          <w:sz w:val="24"/>
          <w:szCs w:val="24"/>
          <w:lang w:val="en-GB" w:eastAsia="en-US"/>
        </w:rPr>
        <w:t>.</w:t>
      </w:r>
    </w:p>
    <w:p w14:paraId="51479391" w14:textId="77777777" w:rsidR="005673DA" w:rsidRPr="00472AB4" w:rsidRDefault="005673DA" w:rsidP="005673DA">
      <w:pPr>
        <w:spacing w:before="0" w:after="0"/>
        <w:rPr>
          <w:i/>
          <w:sz w:val="24"/>
          <w:szCs w:val="24"/>
        </w:rPr>
      </w:pPr>
    </w:p>
    <w:p w14:paraId="41F50DDF" w14:textId="77777777" w:rsidR="00C54910" w:rsidRPr="00472AB4" w:rsidRDefault="0048190E" w:rsidP="008E0662">
      <w:pPr>
        <w:spacing w:before="0" w:after="0"/>
        <w:outlineLvl w:val="0"/>
        <w:rPr>
          <w:i/>
          <w:sz w:val="24"/>
          <w:szCs w:val="24"/>
        </w:rPr>
      </w:pPr>
      <w:r w:rsidRPr="00472AB4">
        <w:rPr>
          <w:i/>
          <w:sz w:val="24"/>
          <w:szCs w:val="24"/>
        </w:rPr>
        <w:t>Interpreting k</w:t>
      </w:r>
      <w:r w:rsidR="008C73E7" w:rsidRPr="00472AB4">
        <w:rPr>
          <w:i/>
          <w:sz w:val="24"/>
          <w:szCs w:val="24"/>
        </w:rPr>
        <w:t xml:space="preserve">ey findings </w:t>
      </w:r>
      <w:r w:rsidRPr="00472AB4">
        <w:rPr>
          <w:i/>
          <w:sz w:val="24"/>
          <w:szCs w:val="24"/>
        </w:rPr>
        <w:t>of</w:t>
      </w:r>
      <w:r w:rsidR="00464958" w:rsidRPr="00472AB4">
        <w:rPr>
          <w:i/>
          <w:sz w:val="24"/>
          <w:szCs w:val="24"/>
        </w:rPr>
        <w:t xml:space="preserve"> our study</w:t>
      </w:r>
    </w:p>
    <w:p w14:paraId="74009A10" w14:textId="0DFBA692" w:rsidR="00BD012A" w:rsidRPr="00472AB4" w:rsidRDefault="0048190E" w:rsidP="008E0662">
      <w:pPr>
        <w:spacing w:before="0" w:after="0"/>
        <w:outlineLvl w:val="0"/>
        <w:rPr>
          <w:i/>
          <w:sz w:val="24"/>
          <w:szCs w:val="24"/>
        </w:rPr>
      </w:pPr>
      <w:r w:rsidRPr="00472AB4">
        <w:rPr>
          <w:i/>
          <w:sz w:val="24"/>
          <w:szCs w:val="24"/>
        </w:rPr>
        <w:t>Association of P2Y12 antagonist and clinical outcomes</w:t>
      </w:r>
    </w:p>
    <w:p w14:paraId="56235E75" w14:textId="5433D10D" w:rsidR="006C4EB3" w:rsidRPr="00472AB4" w:rsidRDefault="003E7CA3" w:rsidP="00B81057">
      <w:pPr>
        <w:spacing w:before="0" w:after="0"/>
        <w:rPr>
          <w:sz w:val="24"/>
          <w:szCs w:val="24"/>
        </w:rPr>
      </w:pPr>
      <w:r w:rsidRPr="00472AB4">
        <w:rPr>
          <w:sz w:val="24"/>
          <w:szCs w:val="24"/>
        </w:rPr>
        <w:t>Certain baseline demographics are noteworthy when considering the association of oral antiplatelet agents and mortality</w:t>
      </w:r>
      <w:r w:rsidR="002A4CC1" w:rsidRPr="00472AB4">
        <w:rPr>
          <w:sz w:val="24"/>
          <w:szCs w:val="24"/>
        </w:rPr>
        <w:t xml:space="preserve"> in the present work</w:t>
      </w:r>
      <w:r w:rsidRPr="00472AB4">
        <w:rPr>
          <w:sz w:val="24"/>
          <w:szCs w:val="24"/>
        </w:rPr>
        <w:t xml:space="preserve">. For example, radial access was far more frequently employed in patients receiving </w:t>
      </w:r>
      <w:r w:rsidR="00221FCB" w:rsidRPr="00472AB4">
        <w:rPr>
          <w:sz w:val="24"/>
          <w:szCs w:val="24"/>
        </w:rPr>
        <w:t>t</w:t>
      </w:r>
      <w:r w:rsidR="005673DA" w:rsidRPr="00472AB4">
        <w:rPr>
          <w:sz w:val="24"/>
          <w:szCs w:val="24"/>
        </w:rPr>
        <w:t>icagrelor</w:t>
      </w:r>
      <w:r w:rsidRPr="00472AB4">
        <w:rPr>
          <w:sz w:val="24"/>
          <w:szCs w:val="24"/>
        </w:rPr>
        <w:t xml:space="preserve"> and </w:t>
      </w:r>
      <w:r w:rsidR="00221FCB" w:rsidRPr="00472AB4">
        <w:rPr>
          <w:sz w:val="24"/>
          <w:szCs w:val="24"/>
        </w:rPr>
        <w:t>p</w:t>
      </w:r>
      <w:r w:rsidR="00292EF8" w:rsidRPr="00472AB4">
        <w:rPr>
          <w:sz w:val="24"/>
          <w:szCs w:val="24"/>
        </w:rPr>
        <w:t>rasugrel</w:t>
      </w:r>
      <w:r w:rsidRPr="00472AB4">
        <w:rPr>
          <w:sz w:val="24"/>
          <w:szCs w:val="24"/>
        </w:rPr>
        <w:t xml:space="preserve"> than in those receiving </w:t>
      </w:r>
      <w:r w:rsidR="00221FCB" w:rsidRPr="00472AB4">
        <w:rPr>
          <w:sz w:val="24"/>
          <w:szCs w:val="24"/>
        </w:rPr>
        <w:t>c</w:t>
      </w:r>
      <w:r w:rsidR="00292EF8" w:rsidRPr="00472AB4">
        <w:rPr>
          <w:sz w:val="24"/>
          <w:szCs w:val="24"/>
        </w:rPr>
        <w:t>lopidogrel</w:t>
      </w:r>
      <w:r w:rsidRPr="00472AB4">
        <w:rPr>
          <w:sz w:val="24"/>
          <w:szCs w:val="24"/>
        </w:rPr>
        <w:t xml:space="preserve">. The reasons behind this are not immediately </w:t>
      </w:r>
      <w:r w:rsidR="008E4A9F" w:rsidRPr="00472AB4">
        <w:rPr>
          <w:sz w:val="24"/>
          <w:szCs w:val="24"/>
        </w:rPr>
        <w:t xml:space="preserve">clear but may be partly time-dependent, since radial use </w:t>
      </w:r>
      <w:r w:rsidR="00D37F38" w:rsidRPr="00472AB4">
        <w:rPr>
          <w:sz w:val="24"/>
          <w:szCs w:val="24"/>
        </w:rPr>
        <w:t>in the UK</w:t>
      </w:r>
      <w:r w:rsidR="008E4A9F" w:rsidRPr="00472AB4">
        <w:rPr>
          <w:sz w:val="24"/>
          <w:szCs w:val="24"/>
        </w:rPr>
        <w:t xml:space="preserve"> progressively increased over the study period (2009-2014)</w:t>
      </w:r>
      <w:r w:rsidR="00D725E1" w:rsidRPr="00472AB4">
        <w:rPr>
          <w:sz w:val="24"/>
          <w:szCs w:val="24"/>
        </w:rPr>
        <w:fldChar w:fldCharType="begin"/>
      </w:r>
      <w:r w:rsidR="00CE0BB2" w:rsidRPr="00472AB4">
        <w:rPr>
          <w:sz w:val="24"/>
          <w:szCs w:val="24"/>
        </w:rPr>
        <w:instrText>ADDIN RW.CITE{{209 Mamas,M.A. 2016}}</w:instrText>
      </w:r>
      <w:r w:rsidR="00D725E1" w:rsidRPr="00472AB4">
        <w:rPr>
          <w:sz w:val="24"/>
          <w:szCs w:val="24"/>
        </w:rPr>
        <w:fldChar w:fldCharType="separate"/>
      </w:r>
      <w:r w:rsidR="00CE0BB2" w:rsidRPr="00472AB4">
        <w:rPr>
          <w:sz w:val="24"/>
          <w:szCs w:val="24"/>
          <w:vertAlign w:val="superscript"/>
        </w:rPr>
        <w:t>18</w:t>
      </w:r>
      <w:r w:rsidR="00D725E1" w:rsidRPr="00472AB4">
        <w:rPr>
          <w:sz w:val="24"/>
          <w:szCs w:val="24"/>
        </w:rPr>
        <w:fldChar w:fldCharType="end"/>
      </w:r>
      <w:r w:rsidR="00FC106D" w:rsidRPr="00472AB4">
        <w:rPr>
          <w:sz w:val="24"/>
          <w:szCs w:val="24"/>
        </w:rPr>
        <w:t xml:space="preserve"> </w:t>
      </w:r>
      <w:r w:rsidR="008E4A9F" w:rsidRPr="00472AB4">
        <w:rPr>
          <w:sz w:val="24"/>
          <w:szCs w:val="24"/>
        </w:rPr>
        <w:t xml:space="preserve">and a greater proportion of the </w:t>
      </w:r>
      <w:r w:rsidR="00221FCB" w:rsidRPr="00472AB4">
        <w:rPr>
          <w:sz w:val="24"/>
          <w:szCs w:val="24"/>
        </w:rPr>
        <w:t>c</w:t>
      </w:r>
      <w:r w:rsidR="00292EF8" w:rsidRPr="00472AB4">
        <w:rPr>
          <w:sz w:val="24"/>
          <w:szCs w:val="24"/>
        </w:rPr>
        <w:t>lopidogrel</w:t>
      </w:r>
      <w:r w:rsidR="008E4A9F" w:rsidRPr="00472AB4">
        <w:rPr>
          <w:sz w:val="24"/>
          <w:szCs w:val="24"/>
        </w:rPr>
        <w:t xml:space="preserve"> cases were undertaken in the earlier part of this </w:t>
      </w:r>
      <w:r w:rsidR="00D37F38" w:rsidRPr="00472AB4">
        <w:rPr>
          <w:sz w:val="24"/>
          <w:szCs w:val="24"/>
        </w:rPr>
        <w:t>period compared to the other 2 agents</w:t>
      </w:r>
      <w:r w:rsidR="008E4A9F" w:rsidRPr="00472AB4">
        <w:rPr>
          <w:sz w:val="24"/>
          <w:szCs w:val="24"/>
        </w:rPr>
        <w:t xml:space="preserve">.  </w:t>
      </w:r>
      <w:r w:rsidR="00F628DF" w:rsidRPr="00472AB4">
        <w:rPr>
          <w:sz w:val="24"/>
          <w:szCs w:val="24"/>
        </w:rPr>
        <w:t>Given the relationship between radial access and reduced major bleeding and mortality in STEMI</w:t>
      </w:r>
      <w:r w:rsidR="00D725E1" w:rsidRPr="00472AB4">
        <w:rPr>
          <w:sz w:val="24"/>
          <w:szCs w:val="24"/>
        </w:rPr>
        <w:fldChar w:fldCharType="begin"/>
      </w:r>
      <w:r w:rsidR="00CE0BB2" w:rsidRPr="00472AB4">
        <w:rPr>
          <w:sz w:val="24"/>
          <w:szCs w:val="24"/>
        </w:rPr>
        <w:instrText>ADDIN RW.CITE{{64 Mamas,M.A. 2012; 316 Mehta,ShamirR 2012; 63 Mamas,M.A. 2013}}</w:instrText>
      </w:r>
      <w:r w:rsidR="00D725E1" w:rsidRPr="00472AB4">
        <w:rPr>
          <w:sz w:val="24"/>
          <w:szCs w:val="24"/>
        </w:rPr>
        <w:fldChar w:fldCharType="separate"/>
      </w:r>
      <w:r w:rsidR="00CE0BB2" w:rsidRPr="00472AB4">
        <w:rPr>
          <w:sz w:val="24"/>
          <w:szCs w:val="24"/>
          <w:vertAlign w:val="superscript"/>
        </w:rPr>
        <w:t>22 26 27</w:t>
      </w:r>
      <w:r w:rsidR="00D725E1" w:rsidRPr="00472AB4">
        <w:rPr>
          <w:sz w:val="24"/>
          <w:szCs w:val="24"/>
        </w:rPr>
        <w:fldChar w:fldCharType="end"/>
      </w:r>
      <w:r w:rsidR="00FB62B9" w:rsidRPr="00472AB4">
        <w:rPr>
          <w:sz w:val="24"/>
          <w:szCs w:val="24"/>
        </w:rPr>
        <w:t xml:space="preserve"> </w:t>
      </w:r>
      <w:r w:rsidR="00F628DF" w:rsidRPr="00472AB4">
        <w:rPr>
          <w:sz w:val="24"/>
          <w:szCs w:val="24"/>
        </w:rPr>
        <w:t xml:space="preserve">this </w:t>
      </w:r>
      <w:r w:rsidR="00904329" w:rsidRPr="00472AB4">
        <w:rPr>
          <w:sz w:val="24"/>
          <w:szCs w:val="24"/>
        </w:rPr>
        <w:t xml:space="preserve">would </w:t>
      </w:r>
      <w:r w:rsidR="00EF5C4D" w:rsidRPr="00472AB4">
        <w:rPr>
          <w:sz w:val="24"/>
          <w:szCs w:val="24"/>
        </w:rPr>
        <w:t>favour</w:t>
      </w:r>
      <w:r w:rsidR="00E7478F" w:rsidRPr="00472AB4">
        <w:rPr>
          <w:sz w:val="24"/>
          <w:szCs w:val="24"/>
        </w:rPr>
        <w:t xml:space="preserve"> outcomes in </w:t>
      </w:r>
      <w:r w:rsidR="00F628DF" w:rsidRPr="00472AB4">
        <w:rPr>
          <w:sz w:val="24"/>
          <w:szCs w:val="24"/>
        </w:rPr>
        <w:t xml:space="preserve">groups who received </w:t>
      </w:r>
      <w:r w:rsidR="00221FCB" w:rsidRPr="00472AB4">
        <w:rPr>
          <w:sz w:val="24"/>
          <w:szCs w:val="24"/>
        </w:rPr>
        <w:t>p</w:t>
      </w:r>
      <w:r w:rsidR="00292EF8" w:rsidRPr="00472AB4">
        <w:rPr>
          <w:sz w:val="24"/>
          <w:szCs w:val="24"/>
        </w:rPr>
        <w:t>rasugrel</w:t>
      </w:r>
      <w:r w:rsidR="00F628DF" w:rsidRPr="00472AB4">
        <w:rPr>
          <w:sz w:val="24"/>
          <w:szCs w:val="24"/>
        </w:rPr>
        <w:t xml:space="preserve"> and </w:t>
      </w:r>
      <w:r w:rsidR="00221FCB" w:rsidRPr="00472AB4">
        <w:rPr>
          <w:sz w:val="24"/>
          <w:szCs w:val="24"/>
        </w:rPr>
        <w:t>t</w:t>
      </w:r>
      <w:r w:rsidR="005673DA" w:rsidRPr="00472AB4">
        <w:rPr>
          <w:sz w:val="24"/>
          <w:szCs w:val="24"/>
        </w:rPr>
        <w:t>icagrelor</w:t>
      </w:r>
      <w:r w:rsidR="00F628DF" w:rsidRPr="00472AB4">
        <w:rPr>
          <w:sz w:val="24"/>
          <w:szCs w:val="24"/>
        </w:rPr>
        <w:t xml:space="preserve">.  </w:t>
      </w:r>
      <w:r w:rsidR="008A158C" w:rsidRPr="00472AB4">
        <w:rPr>
          <w:sz w:val="24"/>
          <w:szCs w:val="24"/>
        </w:rPr>
        <w:t>Furthermore</w:t>
      </w:r>
      <w:r w:rsidR="00EF5C4D" w:rsidRPr="00472AB4">
        <w:rPr>
          <w:sz w:val="24"/>
          <w:szCs w:val="24"/>
        </w:rPr>
        <w:t xml:space="preserve">, the group who received </w:t>
      </w:r>
      <w:r w:rsidR="00221FCB" w:rsidRPr="00472AB4">
        <w:rPr>
          <w:sz w:val="24"/>
          <w:szCs w:val="24"/>
        </w:rPr>
        <w:t>c</w:t>
      </w:r>
      <w:r w:rsidR="00292EF8" w:rsidRPr="00472AB4">
        <w:rPr>
          <w:sz w:val="24"/>
          <w:szCs w:val="24"/>
        </w:rPr>
        <w:t>lopidogrel</w:t>
      </w:r>
      <w:r w:rsidR="00EF5C4D" w:rsidRPr="00472AB4">
        <w:rPr>
          <w:sz w:val="24"/>
          <w:szCs w:val="24"/>
        </w:rPr>
        <w:t xml:space="preserve"> </w:t>
      </w:r>
      <w:r w:rsidR="00904329" w:rsidRPr="00472AB4">
        <w:rPr>
          <w:sz w:val="24"/>
          <w:szCs w:val="24"/>
        </w:rPr>
        <w:t>had</w:t>
      </w:r>
      <w:r w:rsidR="00EF5C4D" w:rsidRPr="00472AB4">
        <w:rPr>
          <w:sz w:val="24"/>
          <w:szCs w:val="24"/>
        </w:rPr>
        <w:t xml:space="preserve"> a higher incidence of adverse risk factors for outcome, for example</w:t>
      </w:r>
      <w:r w:rsidR="002A4CC1" w:rsidRPr="00472AB4">
        <w:rPr>
          <w:sz w:val="24"/>
          <w:szCs w:val="24"/>
        </w:rPr>
        <w:t>,</w:t>
      </w:r>
      <w:r w:rsidR="00EF5C4D" w:rsidRPr="00472AB4">
        <w:rPr>
          <w:sz w:val="24"/>
          <w:szCs w:val="24"/>
        </w:rPr>
        <w:t xml:space="preserve"> evidence of cardiogenic shock at presentation and </w:t>
      </w:r>
      <w:r w:rsidR="002A4CC1" w:rsidRPr="00472AB4">
        <w:rPr>
          <w:sz w:val="24"/>
          <w:szCs w:val="24"/>
        </w:rPr>
        <w:t xml:space="preserve">a </w:t>
      </w:r>
      <w:r w:rsidR="00EF5C4D" w:rsidRPr="00472AB4">
        <w:rPr>
          <w:sz w:val="24"/>
          <w:szCs w:val="24"/>
        </w:rPr>
        <w:t xml:space="preserve">history of previous stroke. </w:t>
      </w:r>
      <w:r w:rsidR="008759E6" w:rsidRPr="00472AB4">
        <w:rPr>
          <w:sz w:val="24"/>
          <w:szCs w:val="24"/>
        </w:rPr>
        <w:t>Hence</w:t>
      </w:r>
      <w:r w:rsidR="00F42809" w:rsidRPr="00472AB4">
        <w:rPr>
          <w:sz w:val="24"/>
          <w:szCs w:val="24"/>
        </w:rPr>
        <w:t>,</w:t>
      </w:r>
      <w:r w:rsidR="008759E6" w:rsidRPr="00472AB4">
        <w:rPr>
          <w:sz w:val="24"/>
          <w:szCs w:val="24"/>
        </w:rPr>
        <w:t xml:space="preserve"> it was not surprising to find that unadjusted </w:t>
      </w:r>
      <w:r w:rsidR="00840712" w:rsidRPr="00472AB4">
        <w:rPr>
          <w:sz w:val="24"/>
          <w:szCs w:val="24"/>
        </w:rPr>
        <w:t xml:space="preserve">(raw) </w:t>
      </w:r>
      <w:r w:rsidR="008759E6" w:rsidRPr="00472AB4">
        <w:rPr>
          <w:sz w:val="24"/>
          <w:szCs w:val="24"/>
        </w:rPr>
        <w:t xml:space="preserve">data indicated both novel potent antiplatelets </w:t>
      </w:r>
      <w:r w:rsidR="008A158C" w:rsidRPr="00472AB4">
        <w:rPr>
          <w:sz w:val="24"/>
          <w:szCs w:val="24"/>
        </w:rPr>
        <w:t xml:space="preserve">were associated with </w:t>
      </w:r>
      <w:r w:rsidR="008759E6" w:rsidRPr="00472AB4">
        <w:rPr>
          <w:sz w:val="24"/>
          <w:szCs w:val="24"/>
        </w:rPr>
        <w:t xml:space="preserve">a significant mortality advantage over </w:t>
      </w:r>
      <w:r w:rsidR="00221FCB" w:rsidRPr="00472AB4">
        <w:rPr>
          <w:sz w:val="24"/>
          <w:szCs w:val="24"/>
        </w:rPr>
        <w:t>c</w:t>
      </w:r>
      <w:r w:rsidR="00292EF8" w:rsidRPr="00472AB4">
        <w:rPr>
          <w:sz w:val="24"/>
          <w:szCs w:val="24"/>
        </w:rPr>
        <w:t>lopidogrel</w:t>
      </w:r>
      <w:r w:rsidR="008759E6" w:rsidRPr="00472AB4">
        <w:rPr>
          <w:sz w:val="24"/>
          <w:szCs w:val="24"/>
        </w:rPr>
        <w:t xml:space="preserve">. </w:t>
      </w:r>
    </w:p>
    <w:p w14:paraId="66D66F01" w14:textId="7B6C5BCD" w:rsidR="002B45F1" w:rsidRPr="00472AB4" w:rsidRDefault="00E7090D" w:rsidP="00292EF8">
      <w:pPr>
        <w:spacing w:before="0" w:after="0"/>
        <w:rPr>
          <w:sz w:val="24"/>
          <w:szCs w:val="24"/>
        </w:rPr>
      </w:pPr>
      <w:r w:rsidRPr="00472AB4">
        <w:rPr>
          <w:sz w:val="24"/>
          <w:szCs w:val="24"/>
        </w:rPr>
        <w:lastRenderedPageBreak/>
        <w:t>A</w:t>
      </w:r>
      <w:r w:rsidR="008A158C" w:rsidRPr="00472AB4">
        <w:rPr>
          <w:sz w:val="24"/>
          <w:szCs w:val="24"/>
        </w:rPr>
        <w:t>fter</w:t>
      </w:r>
      <w:r w:rsidR="008759E6" w:rsidRPr="00472AB4">
        <w:rPr>
          <w:sz w:val="24"/>
          <w:szCs w:val="24"/>
        </w:rPr>
        <w:t xml:space="preserve"> </w:t>
      </w:r>
      <w:r w:rsidR="002817E9" w:rsidRPr="00472AB4">
        <w:rPr>
          <w:sz w:val="24"/>
          <w:szCs w:val="24"/>
        </w:rPr>
        <w:t>multivariate</w:t>
      </w:r>
      <w:r w:rsidR="008759E6" w:rsidRPr="00472AB4">
        <w:rPr>
          <w:sz w:val="24"/>
          <w:szCs w:val="24"/>
        </w:rPr>
        <w:t xml:space="preserve"> adjustment for </w:t>
      </w:r>
      <w:r w:rsidR="002817E9" w:rsidRPr="00472AB4">
        <w:rPr>
          <w:sz w:val="24"/>
          <w:szCs w:val="24"/>
        </w:rPr>
        <w:t>differences in baseline co-variates</w:t>
      </w:r>
      <w:r w:rsidR="008759E6" w:rsidRPr="00472AB4">
        <w:rPr>
          <w:sz w:val="24"/>
          <w:szCs w:val="24"/>
        </w:rPr>
        <w:t xml:space="preserve">, the </w:t>
      </w:r>
      <w:r w:rsidR="00F75E97" w:rsidRPr="00472AB4">
        <w:rPr>
          <w:sz w:val="24"/>
          <w:szCs w:val="24"/>
        </w:rPr>
        <w:t xml:space="preserve">significant mortality impact </w:t>
      </w:r>
      <w:r w:rsidR="008759E6" w:rsidRPr="00472AB4">
        <w:rPr>
          <w:sz w:val="24"/>
          <w:szCs w:val="24"/>
        </w:rPr>
        <w:t xml:space="preserve">of the newer </w:t>
      </w:r>
      <w:r w:rsidR="00F75E97" w:rsidRPr="00472AB4">
        <w:rPr>
          <w:sz w:val="24"/>
          <w:szCs w:val="24"/>
        </w:rPr>
        <w:t xml:space="preserve">agents (each compared to </w:t>
      </w:r>
      <w:r w:rsidR="00221FCB" w:rsidRPr="00472AB4">
        <w:rPr>
          <w:sz w:val="24"/>
          <w:szCs w:val="24"/>
        </w:rPr>
        <w:t>c</w:t>
      </w:r>
      <w:r w:rsidR="00292EF8" w:rsidRPr="00472AB4">
        <w:rPr>
          <w:sz w:val="24"/>
          <w:szCs w:val="24"/>
        </w:rPr>
        <w:t>lopidogrel</w:t>
      </w:r>
      <w:r w:rsidR="00F75E97" w:rsidRPr="00472AB4">
        <w:rPr>
          <w:sz w:val="24"/>
          <w:szCs w:val="24"/>
        </w:rPr>
        <w:t>) was found to persist</w:t>
      </w:r>
      <w:r w:rsidR="00DC08EF" w:rsidRPr="00472AB4">
        <w:rPr>
          <w:sz w:val="24"/>
          <w:szCs w:val="24"/>
        </w:rPr>
        <w:t xml:space="preserve"> for </w:t>
      </w:r>
      <w:r w:rsidR="00221FCB" w:rsidRPr="00472AB4">
        <w:rPr>
          <w:sz w:val="24"/>
          <w:szCs w:val="24"/>
        </w:rPr>
        <w:t>p</w:t>
      </w:r>
      <w:r w:rsidR="00292EF8" w:rsidRPr="00472AB4">
        <w:rPr>
          <w:sz w:val="24"/>
          <w:szCs w:val="24"/>
        </w:rPr>
        <w:t>rasugrel</w:t>
      </w:r>
      <w:r w:rsidR="00DC08EF" w:rsidRPr="00472AB4">
        <w:rPr>
          <w:sz w:val="24"/>
          <w:szCs w:val="24"/>
        </w:rPr>
        <w:t xml:space="preserve"> but not </w:t>
      </w:r>
      <w:r w:rsidR="00221FCB" w:rsidRPr="00472AB4">
        <w:rPr>
          <w:sz w:val="24"/>
          <w:szCs w:val="24"/>
        </w:rPr>
        <w:t>t</w:t>
      </w:r>
      <w:r w:rsidR="005673DA" w:rsidRPr="00472AB4">
        <w:rPr>
          <w:sz w:val="24"/>
          <w:szCs w:val="24"/>
        </w:rPr>
        <w:t>icagrelor</w:t>
      </w:r>
      <w:r w:rsidR="008759E6" w:rsidRPr="00472AB4">
        <w:rPr>
          <w:sz w:val="24"/>
          <w:szCs w:val="24"/>
        </w:rPr>
        <w:t xml:space="preserve">. </w:t>
      </w:r>
      <w:r w:rsidR="00AB6118" w:rsidRPr="00472AB4">
        <w:rPr>
          <w:sz w:val="24"/>
          <w:szCs w:val="24"/>
        </w:rPr>
        <w:t>The</w:t>
      </w:r>
      <w:r w:rsidR="004000E8" w:rsidRPr="00472AB4">
        <w:rPr>
          <w:sz w:val="24"/>
          <w:szCs w:val="24"/>
        </w:rPr>
        <w:t xml:space="preserve"> </w:t>
      </w:r>
      <w:r w:rsidR="000F1C5A" w:rsidRPr="00472AB4">
        <w:rPr>
          <w:sz w:val="24"/>
          <w:szCs w:val="24"/>
        </w:rPr>
        <w:t xml:space="preserve">mortality </w:t>
      </w:r>
      <w:r w:rsidR="00690EFA" w:rsidRPr="00472AB4">
        <w:rPr>
          <w:sz w:val="24"/>
          <w:szCs w:val="24"/>
        </w:rPr>
        <w:t xml:space="preserve">finding for </w:t>
      </w:r>
      <w:r w:rsidR="00221FCB" w:rsidRPr="00472AB4">
        <w:rPr>
          <w:sz w:val="24"/>
          <w:szCs w:val="24"/>
        </w:rPr>
        <w:t>p</w:t>
      </w:r>
      <w:r w:rsidR="00292EF8" w:rsidRPr="00472AB4">
        <w:rPr>
          <w:sz w:val="24"/>
          <w:szCs w:val="24"/>
        </w:rPr>
        <w:t>rasugrel</w:t>
      </w:r>
      <w:r w:rsidR="00690EFA" w:rsidRPr="00472AB4">
        <w:rPr>
          <w:sz w:val="24"/>
          <w:szCs w:val="24"/>
        </w:rPr>
        <w:t xml:space="preserve"> versus </w:t>
      </w:r>
      <w:r w:rsidR="00221FCB" w:rsidRPr="00472AB4">
        <w:rPr>
          <w:sz w:val="24"/>
          <w:szCs w:val="24"/>
        </w:rPr>
        <w:t>c</w:t>
      </w:r>
      <w:r w:rsidR="00292EF8" w:rsidRPr="00472AB4">
        <w:rPr>
          <w:sz w:val="24"/>
          <w:szCs w:val="24"/>
        </w:rPr>
        <w:t>lopidogrel</w:t>
      </w:r>
      <w:r w:rsidR="00690EFA" w:rsidRPr="00472AB4">
        <w:rPr>
          <w:sz w:val="24"/>
          <w:szCs w:val="24"/>
        </w:rPr>
        <w:t xml:space="preserve"> </w:t>
      </w:r>
      <w:r w:rsidR="00B52B60" w:rsidRPr="00472AB4">
        <w:rPr>
          <w:sz w:val="24"/>
          <w:szCs w:val="24"/>
        </w:rPr>
        <w:t xml:space="preserve">in our main </w:t>
      </w:r>
      <w:r w:rsidR="000F1C5A" w:rsidRPr="00472AB4">
        <w:rPr>
          <w:sz w:val="24"/>
          <w:szCs w:val="24"/>
        </w:rPr>
        <w:t xml:space="preserve">adjusted </w:t>
      </w:r>
      <w:r w:rsidR="00B52B60" w:rsidRPr="00472AB4">
        <w:rPr>
          <w:sz w:val="24"/>
          <w:szCs w:val="24"/>
        </w:rPr>
        <w:t>an</w:t>
      </w:r>
      <w:r w:rsidR="000F1C5A" w:rsidRPr="00472AB4">
        <w:rPr>
          <w:sz w:val="24"/>
          <w:szCs w:val="24"/>
        </w:rPr>
        <w:t>alyse</w:t>
      </w:r>
      <w:r w:rsidR="00B52B60" w:rsidRPr="00472AB4">
        <w:rPr>
          <w:sz w:val="24"/>
          <w:szCs w:val="24"/>
        </w:rPr>
        <w:t xml:space="preserve">s </w:t>
      </w:r>
      <w:r w:rsidR="00AB6118" w:rsidRPr="00472AB4">
        <w:rPr>
          <w:sz w:val="24"/>
          <w:szCs w:val="24"/>
        </w:rPr>
        <w:t>is</w:t>
      </w:r>
      <w:r w:rsidR="00690EFA" w:rsidRPr="00472AB4">
        <w:rPr>
          <w:sz w:val="24"/>
          <w:szCs w:val="24"/>
        </w:rPr>
        <w:t xml:space="preserve"> </w:t>
      </w:r>
      <w:r w:rsidRPr="00472AB4">
        <w:rPr>
          <w:sz w:val="24"/>
          <w:szCs w:val="24"/>
        </w:rPr>
        <w:t>interesting</w:t>
      </w:r>
      <w:r w:rsidR="00747BB3" w:rsidRPr="00472AB4">
        <w:rPr>
          <w:sz w:val="24"/>
          <w:szCs w:val="24"/>
        </w:rPr>
        <w:t>,</w:t>
      </w:r>
      <w:r w:rsidR="00690EFA" w:rsidRPr="00472AB4">
        <w:rPr>
          <w:sz w:val="24"/>
          <w:szCs w:val="24"/>
        </w:rPr>
        <w:t xml:space="preserve"> since </w:t>
      </w:r>
      <w:r w:rsidR="00DC08EF" w:rsidRPr="00472AB4">
        <w:rPr>
          <w:sz w:val="24"/>
          <w:szCs w:val="24"/>
        </w:rPr>
        <w:t>a red</w:t>
      </w:r>
      <w:r w:rsidR="00C502C0" w:rsidRPr="00472AB4">
        <w:rPr>
          <w:sz w:val="24"/>
          <w:szCs w:val="24"/>
        </w:rPr>
        <w:t>uction in the primary endpoint</w:t>
      </w:r>
      <w:r w:rsidR="00DC08EF" w:rsidRPr="00472AB4">
        <w:rPr>
          <w:sz w:val="24"/>
          <w:szCs w:val="24"/>
        </w:rPr>
        <w:t xml:space="preserve"> </w:t>
      </w:r>
      <w:r w:rsidR="00C502C0" w:rsidRPr="00472AB4">
        <w:rPr>
          <w:sz w:val="24"/>
          <w:szCs w:val="24"/>
        </w:rPr>
        <w:t xml:space="preserve">(of </w:t>
      </w:r>
      <w:r w:rsidR="00C502C0" w:rsidRPr="00472AB4">
        <w:rPr>
          <w:rFonts w:eastAsia="Times New Roman"/>
          <w:sz w:val="24"/>
          <w:szCs w:val="24"/>
        </w:rPr>
        <w:t xml:space="preserve">cardiovascular death, myocardial infarction, or stroke) </w:t>
      </w:r>
      <w:r w:rsidR="00537387" w:rsidRPr="00472AB4">
        <w:rPr>
          <w:sz w:val="24"/>
          <w:szCs w:val="24"/>
        </w:rPr>
        <w:t xml:space="preserve">at 15 months </w:t>
      </w:r>
      <w:r w:rsidR="00DC08EF" w:rsidRPr="00472AB4">
        <w:rPr>
          <w:sz w:val="24"/>
          <w:szCs w:val="24"/>
        </w:rPr>
        <w:t xml:space="preserve">was also observed in the TRITON </w:t>
      </w:r>
      <w:r w:rsidR="00C502C0" w:rsidRPr="00472AB4">
        <w:rPr>
          <w:sz w:val="24"/>
          <w:szCs w:val="24"/>
        </w:rPr>
        <w:t xml:space="preserve">STEMI </w:t>
      </w:r>
      <w:r w:rsidR="00DC08EF" w:rsidRPr="00472AB4">
        <w:rPr>
          <w:sz w:val="24"/>
          <w:szCs w:val="24"/>
        </w:rPr>
        <w:t xml:space="preserve">subgroup who underwent PCI (with around 3000 patients) with </w:t>
      </w:r>
      <w:r w:rsidR="00221FCB" w:rsidRPr="00472AB4">
        <w:rPr>
          <w:sz w:val="24"/>
          <w:szCs w:val="24"/>
        </w:rPr>
        <w:t>p</w:t>
      </w:r>
      <w:r w:rsidR="00292EF8" w:rsidRPr="00472AB4">
        <w:rPr>
          <w:sz w:val="24"/>
          <w:szCs w:val="24"/>
        </w:rPr>
        <w:t>rasugrel</w:t>
      </w:r>
      <w:r w:rsidR="00DC08EF" w:rsidRPr="00472AB4">
        <w:rPr>
          <w:sz w:val="24"/>
          <w:szCs w:val="24"/>
        </w:rPr>
        <w:t xml:space="preserve"> compared to </w:t>
      </w:r>
      <w:r w:rsidR="00221FCB" w:rsidRPr="00472AB4">
        <w:rPr>
          <w:sz w:val="24"/>
          <w:szCs w:val="24"/>
        </w:rPr>
        <w:t>c</w:t>
      </w:r>
      <w:r w:rsidR="00292EF8" w:rsidRPr="00472AB4">
        <w:rPr>
          <w:sz w:val="24"/>
          <w:szCs w:val="24"/>
        </w:rPr>
        <w:t>lopidogrel</w:t>
      </w:r>
      <w:r w:rsidR="00537387" w:rsidRPr="00472AB4">
        <w:rPr>
          <w:sz w:val="24"/>
          <w:szCs w:val="24"/>
        </w:rPr>
        <w:t xml:space="preserve"> </w:t>
      </w:r>
      <w:r w:rsidR="00537387" w:rsidRPr="00472AB4">
        <w:rPr>
          <w:rFonts w:eastAsia="Times New Roman"/>
          <w:sz w:val="24"/>
          <w:szCs w:val="24"/>
        </w:rPr>
        <w:t>(HR 0.79</w:t>
      </w:r>
      <w:r w:rsidR="00C502C0" w:rsidRPr="00472AB4">
        <w:rPr>
          <w:rFonts w:eastAsia="Times New Roman"/>
          <w:sz w:val="24"/>
          <w:szCs w:val="24"/>
        </w:rPr>
        <w:t>,</w:t>
      </w:r>
      <w:r w:rsidR="00537387" w:rsidRPr="00472AB4">
        <w:rPr>
          <w:rFonts w:eastAsia="Times New Roman"/>
          <w:sz w:val="24"/>
          <w:szCs w:val="24"/>
        </w:rPr>
        <w:t xml:space="preserve"> 95% CI 0.65 - 0.97; p = 0.022)</w:t>
      </w:r>
      <w:r w:rsidR="000F16DE" w:rsidRPr="00472AB4">
        <w:rPr>
          <w:rFonts w:eastAsia="Times New Roman"/>
        </w:rPr>
        <w:fldChar w:fldCharType="begin"/>
      </w:r>
      <w:r w:rsidR="00CE0BB2" w:rsidRPr="00472AB4">
        <w:rPr>
          <w:rFonts w:eastAsia="Times New Roman"/>
        </w:rPr>
        <w:instrText>ADDIN RW.CITE{{314 Udell, Jacob A 2014}}</w:instrText>
      </w:r>
      <w:r w:rsidR="000F16DE" w:rsidRPr="00472AB4">
        <w:rPr>
          <w:rFonts w:eastAsia="Times New Roman"/>
        </w:rPr>
        <w:fldChar w:fldCharType="separate"/>
      </w:r>
      <w:r w:rsidR="00CE0BB2" w:rsidRPr="00472AB4">
        <w:rPr>
          <w:rFonts w:eastAsia="Times New Roman"/>
          <w:vertAlign w:val="superscript"/>
        </w:rPr>
        <w:t>9</w:t>
      </w:r>
      <w:r w:rsidR="000F16DE" w:rsidRPr="00472AB4">
        <w:rPr>
          <w:rFonts w:eastAsia="Times New Roman"/>
        </w:rPr>
        <w:fldChar w:fldCharType="end"/>
      </w:r>
      <w:r w:rsidR="00C502C0" w:rsidRPr="00472AB4">
        <w:rPr>
          <w:rFonts w:eastAsia="Times New Roman"/>
          <w:sz w:val="24"/>
          <w:szCs w:val="24"/>
        </w:rPr>
        <w:t>, although not in the primary PCI subgroup (HR 0.89, 95% CI 0.69-1.13)</w:t>
      </w:r>
      <w:r w:rsidR="00537387" w:rsidRPr="00472AB4">
        <w:rPr>
          <w:rFonts w:eastAsia="Times New Roman"/>
          <w:sz w:val="24"/>
          <w:szCs w:val="24"/>
        </w:rPr>
        <w:t>.</w:t>
      </w:r>
      <w:r w:rsidR="00537387" w:rsidRPr="00472AB4">
        <w:rPr>
          <w:rFonts w:eastAsia="Times New Roman"/>
        </w:rPr>
        <w:t xml:space="preserve"> </w:t>
      </w:r>
      <w:r w:rsidR="006D4552" w:rsidRPr="00472AB4">
        <w:rPr>
          <w:sz w:val="24"/>
          <w:szCs w:val="24"/>
        </w:rPr>
        <w:t>T</w:t>
      </w:r>
      <w:r w:rsidR="00CA37D9" w:rsidRPr="00472AB4">
        <w:rPr>
          <w:sz w:val="24"/>
          <w:szCs w:val="24"/>
        </w:rPr>
        <w:t>he primary PCI subgroup in TRITON was much smaller</w:t>
      </w:r>
      <w:r w:rsidR="0035042B" w:rsidRPr="00472AB4">
        <w:rPr>
          <w:sz w:val="24"/>
          <w:szCs w:val="24"/>
        </w:rPr>
        <w:t xml:space="preserve"> in size </w:t>
      </w:r>
      <w:r w:rsidR="00D81FAA" w:rsidRPr="00472AB4">
        <w:rPr>
          <w:sz w:val="24"/>
          <w:szCs w:val="24"/>
        </w:rPr>
        <w:t xml:space="preserve">than ours </w:t>
      </w:r>
      <w:r w:rsidR="0035042B" w:rsidRPr="00472AB4">
        <w:rPr>
          <w:sz w:val="24"/>
          <w:szCs w:val="24"/>
        </w:rPr>
        <w:t xml:space="preserve">(2340 versus over </w:t>
      </w:r>
      <w:r w:rsidR="00E7478F" w:rsidRPr="00472AB4">
        <w:rPr>
          <w:sz w:val="24"/>
          <w:szCs w:val="24"/>
        </w:rPr>
        <w:t>70,000</w:t>
      </w:r>
      <w:r w:rsidR="00CA37D9" w:rsidRPr="00472AB4">
        <w:rPr>
          <w:sz w:val="24"/>
          <w:szCs w:val="24"/>
        </w:rPr>
        <w:t xml:space="preserve"> cases), – hence it may </w:t>
      </w:r>
      <w:r w:rsidR="000F1C5A" w:rsidRPr="00472AB4">
        <w:rPr>
          <w:sz w:val="24"/>
          <w:szCs w:val="24"/>
        </w:rPr>
        <w:t xml:space="preserve">simply </w:t>
      </w:r>
      <w:r w:rsidR="00CA37D9" w:rsidRPr="00472AB4">
        <w:rPr>
          <w:sz w:val="24"/>
          <w:szCs w:val="24"/>
        </w:rPr>
        <w:t xml:space="preserve">be that the </w:t>
      </w:r>
      <w:r w:rsidR="0035042B" w:rsidRPr="00472AB4">
        <w:rPr>
          <w:sz w:val="24"/>
          <w:szCs w:val="24"/>
        </w:rPr>
        <w:t xml:space="preserve">much </w:t>
      </w:r>
      <w:r w:rsidR="00CA37D9" w:rsidRPr="00472AB4">
        <w:rPr>
          <w:sz w:val="24"/>
          <w:szCs w:val="24"/>
        </w:rPr>
        <w:t>large</w:t>
      </w:r>
      <w:r w:rsidR="000F1C5A" w:rsidRPr="00472AB4">
        <w:rPr>
          <w:sz w:val="24"/>
          <w:szCs w:val="24"/>
        </w:rPr>
        <w:t>r</w:t>
      </w:r>
      <w:r w:rsidR="00CA37D9" w:rsidRPr="00472AB4">
        <w:rPr>
          <w:sz w:val="24"/>
          <w:szCs w:val="24"/>
        </w:rPr>
        <w:t xml:space="preserve"> population in our registry allowed a mortality effect to</w:t>
      </w:r>
      <w:r w:rsidR="0035042B" w:rsidRPr="00472AB4">
        <w:rPr>
          <w:sz w:val="24"/>
          <w:szCs w:val="24"/>
        </w:rPr>
        <w:t>o</w:t>
      </w:r>
      <w:r w:rsidR="00CA37D9" w:rsidRPr="00472AB4">
        <w:rPr>
          <w:sz w:val="24"/>
          <w:szCs w:val="24"/>
        </w:rPr>
        <w:t xml:space="preserve"> small to detec</w:t>
      </w:r>
      <w:r w:rsidR="000F1C5A" w:rsidRPr="00472AB4">
        <w:rPr>
          <w:sz w:val="24"/>
          <w:szCs w:val="24"/>
        </w:rPr>
        <w:t xml:space="preserve">t in the RCT to be demonstrated. Another pertinent factor arises from the </w:t>
      </w:r>
      <w:r w:rsidR="0035042B" w:rsidRPr="00472AB4">
        <w:rPr>
          <w:sz w:val="24"/>
          <w:szCs w:val="24"/>
        </w:rPr>
        <w:t xml:space="preserve">likely pattern of use of </w:t>
      </w:r>
      <w:r w:rsidR="00221FCB" w:rsidRPr="00472AB4">
        <w:rPr>
          <w:sz w:val="24"/>
          <w:szCs w:val="24"/>
        </w:rPr>
        <w:t>p</w:t>
      </w:r>
      <w:r w:rsidR="00292EF8" w:rsidRPr="00472AB4">
        <w:rPr>
          <w:sz w:val="24"/>
          <w:szCs w:val="24"/>
        </w:rPr>
        <w:t>rasugrel</w:t>
      </w:r>
      <w:r w:rsidR="0035042B" w:rsidRPr="00472AB4">
        <w:rPr>
          <w:sz w:val="24"/>
          <w:szCs w:val="24"/>
        </w:rPr>
        <w:t xml:space="preserve"> in our study versus </w:t>
      </w:r>
      <w:r w:rsidR="00D81FAA" w:rsidRPr="00472AB4">
        <w:rPr>
          <w:sz w:val="24"/>
          <w:szCs w:val="24"/>
        </w:rPr>
        <w:t xml:space="preserve">that in </w:t>
      </w:r>
      <w:r w:rsidR="0035042B" w:rsidRPr="00472AB4">
        <w:rPr>
          <w:sz w:val="24"/>
          <w:szCs w:val="24"/>
        </w:rPr>
        <w:t>TRITON</w:t>
      </w:r>
      <w:r w:rsidR="00D81FAA" w:rsidRPr="00472AB4">
        <w:rPr>
          <w:sz w:val="24"/>
          <w:szCs w:val="24"/>
        </w:rPr>
        <w:t>. G</w:t>
      </w:r>
      <w:r w:rsidR="0035042B" w:rsidRPr="00472AB4">
        <w:rPr>
          <w:sz w:val="24"/>
          <w:szCs w:val="24"/>
        </w:rPr>
        <w:t xml:space="preserve">iven the real-world setting of </w:t>
      </w:r>
      <w:r w:rsidR="00D81FAA" w:rsidRPr="00472AB4">
        <w:rPr>
          <w:sz w:val="24"/>
          <w:szCs w:val="24"/>
        </w:rPr>
        <w:t>our study, it is likely that</w:t>
      </w:r>
      <w:r w:rsidR="0035042B" w:rsidRPr="00472AB4">
        <w:rPr>
          <w:sz w:val="24"/>
          <w:szCs w:val="24"/>
        </w:rPr>
        <w:t xml:space="preserve"> prescribing guidance </w:t>
      </w:r>
      <w:r w:rsidR="00D81FAA" w:rsidRPr="00472AB4">
        <w:rPr>
          <w:sz w:val="24"/>
          <w:szCs w:val="24"/>
        </w:rPr>
        <w:t xml:space="preserve">for </w:t>
      </w:r>
      <w:r w:rsidR="00221FCB" w:rsidRPr="00472AB4">
        <w:rPr>
          <w:sz w:val="24"/>
          <w:szCs w:val="24"/>
        </w:rPr>
        <w:t>p</w:t>
      </w:r>
      <w:r w:rsidR="00292EF8" w:rsidRPr="00472AB4">
        <w:rPr>
          <w:sz w:val="24"/>
          <w:szCs w:val="24"/>
        </w:rPr>
        <w:t>rasugrel</w:t>
      </w:r>
      <w:r w:rsidR="00D81FAA" w:rsidRPr="00472AB4">
        <w:rPr>
          <w:sz w:val="24"/>
          <w:szCs w:val="24"/>
        </w:rPr>
        <w:t xml:space="preserve"> </w:t>
      </w:r>
      <w:r w:rsidR="0035042B" w:rsidRPr="00472AB4">
        <w:rPr>
          <w:sz w:val="24"/>
          <w:szCs w:val="24"/>
        </w:rPr>
        <w:t xml:space="preserve">was largely followed and hence groups with neutral or adverse effect with </w:t>
      </w:r>
      <w:r w:rsidR="00221FCB" w:rsidRPr="00472AB4">
        <w:rPr>
          <w:sz w:val="24"/>
          <w:szCs w:val="24"/>
        </w:rPr>
        <w:t>p</w:t>
      </w:r>
      <w:r w:rsidR="00292EF8" w:rsidRPr="00472AB4">
        <w:rPr>
          <w:sz w:val="24"/>
          <w:szCs w:val="24"/>
        </w:rPr>
        <w:t>rasugrel</w:t>
      </w:r>
      <w:r w:rsidR="0035042B" w:rsidRPr="00472AB4">
        <w:rPr>
          <w:sz w:val="24"/>
          <w:szCs w:val="24"/>
        </w:rPr>
        <w:t xml:space="preserve"> from TRITON were underrepresented in our study’s </w:t>
      </w:r>
      <w:r w:rsidR="00221FCB" w:rsidRPr="00472AB4">
        <w:rPr>
          <w:sz w:val="24"/>
          <w:szCs w:val="24"/>
        </w:rPr>
        <w:t>p</w:t>
      </w:r>
      <w:r w:rsidR="00292EF8" w:rsidRPr="00472AB4">
        <w:rPr>
          <w:sz w:val="24"/>
          <w:szCs w:val="24"/>
        </w:rPr>
        <w:t>rasugrel</w:t>
      </w:r>
      <w:r w:rsidR="0035042B" w:rsidRPr="00472AB4">
        <w:rPr>
          <w:sz w:val="24"/>
          <w:szCs w:val="24"/>
        </w:rPr>
        <w:t xml:space="preserve"> group (as seen from patient age and history of stroke in Table 1). This too may have contributed to a larger advantage of </w:t>
      </w:r>
      <w:r w:rsidR="00221FCB" w:rsidRPr="00472AB4">
        <w:rPr>
          <w:sz w:val="24"/>
          <w:szCs w:val="24"/>
        </w:rPr>
        <w:t>p</w:t>
      </w:r>
      <w:r w:rsidR="00292EF8" w:rsidRPr="00472AB4">
        <w:rPr>
          <w:sz w:val="24"/>
          <w:szCs w:val="24"/>
        </w:rPr>
        <w:t>rasugrel</w:t>
      </w:r>
      <w:r w:rsidR="0035042B" w:rsidRPr="00472AB4">
        <w:rPr>
          <w:sz w:val="24"/>
          <w:szCs w:val="24"/>
        </w:rPr>
        <w:t xml:space="preserve"> over </w:t>
      </w:r>
      <w:r w:rsidR="00221FCB" w:rsidRPr="00472AB4">
        <w:rPr>
          <w:sz w:val="24"/>
          <w:szCs w:val="24"/>
        </w:rPr>
        <w:t>c</w:t>
      </w:r>
      <w:r w:rsidR="00292EF8" w:rsidRPr="00472AB4">
        <w:rPr>
          <w:sz w:val="24"/>
          <w:szCs w:val="24"/>
        </w:rPr>
        <w:t>lopidogrel</w:t>
      </w:r>
      <w:r w:rsidR="0035042B" w:rsidRPr="00472AB4">
        <w:rPr>
          <w:sz w:val="24"/>
          <w:szCs w:val="24"/>
        </w:rPr>
        <w:t xml:space="preserve"> in our work</w:t>
      </w:r>
      <w:r w:rsidR="00B26CDF" w:rsidRPr="00472AB4">
        <w:rPr>
          <w:sz w:val="24"/>
          <w:szCs w:val="24"/>
        </w:rPr>
        <w:t>,</w:t>
      </w:r>
      <w:r w:rsidR="0035042B" w:rsidRPr="00472AB4">
        <w:rPr>
          <w:sz w:val="24"/>
          <w:szCs w:val="24"/>
        </w:rPr>
        <w:t xml:space="preserve"> compared to the landmark RCT. </w:t>
      </w:r>
      <w:r w:rsidR="00B211CF" w:rsidRPr="00472AB4">
        <w:rPr>
          <w:sz w:val="24"/>
          <w:szCs w:val="24"/>
        </w:rPr>
        <w:t xml:space="preserve">For the comparison of </w:t>
      </w:r>
      <w:r w:rsidR="00221FCB" w:rsidRPr="00472AB4">
        <w:rPr>
          <w:sz w:val="24"/>
          <w:szCs w:val="24"/>
        </w:rPr>
        <w:t>p</w:t>
      </w:r>
      <w:r w:rsidR="00292EF8" w:rsidRPr="00472AB4">
        <w:rPr>
          <w:sz w:val="24"/>
          <w:szCs w:val="24"/>
        </w:rPr>
        <w:t>rasugrel</w:t>
      </w:r>
      <w:r w:rsidR="00B211CF" w:rsidRPr="00472AB4">
        <w:rPr>
          <w:sz w:val="24"/>
          <w:szCs w:val="24"/>
        </w:rPr>
        <w:t xml:space="preserve"> versus </w:t>
      </w:r>
      <w:r w:rsidR="00221FCB" w:rsidRPr="00472AB4">
        <w:rPr>
          <w:sz w:val="24"/>
          <w:szCs w:val="24"/>
        </w:rPr>
        <w:t>t</w:t>
      </w:r>
      <w:r w:rsidR="005673DA" w:rsidRPr="00472AB4">
        <w:rPr>
          <w:sz w:val="24"/>
          <w:szCs w:val="24"/>
        </w:rPr>
        <w:t>icagrelor</w:t>
      </w:r>
      <w:r w:rsidR="00B211CF" w:rsidRPr="00472AB4">
        <w:rPr>
          <w:sz w:val="24"/>
          <w:szCs w:val="24"/>
        </w:rPr>
        <w:t xml:space="preserve">, our mortality findings at both early (30 days) and later (1 year) time points favoured </w:t>
      </w:r>
      <w:r w:rsidR="00221FCB" w:rsidRPr="00472AB4">
        <w:rPr>
          <w:sz w:val="24"/>
          <w:szCs w:val="24"/>
        </w:rPr>
        <w:t>p</w:t>
      </w:r>
      <w:r w:rsidR="00292EF8" w:rsidRPr="00472AB4">
        <w:rPr>
          <w:sz w:val="24"/>
          <w:szCs w:val="24"/>
        </w:rPr>
        <w:t>rasugrel</w:t>
      </w:r>
      <w:r w:rsidR="00B211CF" w:rsidRPr="00472AB4">
        <w:rPr>
          <w:sz w:val="24"/>
          <w:szCs w:val="24"/>
        </w:rPr>
        <w:t xml:space="preserve"> in the main analysis. </w:t>
      </w:r>
      <w:r w:rsidRPr="00472AB4">
        <w:rPr>
          <w:sz w:val="24"/>
          <w:szCs w:val="24"/>
        </w:rPr>
        <w:t xml:space="preserve"> Although there are potential unadjusted confounders or selection bias inherent in a study such as this, the differences described here may well reflect a genuine difference in clinical effect, rather than related to confounders or selection bias. </w:t>
      </w:r>
      <w:r w:rsidR="00B211CF" w:rsidRPr="00472AB4">
        <w:rPr>
          <w:sz w:val="24"/>
          <w:szCs w:val="24"/>
        </w:rPr>
        <w:t xml:space="preserve">Compliance may be a factor, since </w:t>
      </w:r>
      <w:r w:rsidR="00221FCB" w:rsidRPr="00472AB4">
        <w:rPr>
          <w:sz w:val="24"/>
          <w:szCs w:val="24"/>
        </w:rPr>
        <w:t>p</w:t>
      </w:r>
      <w:r w:rsidR="00292EF8" w:rsidRPr="00472AB4">
        <w:rPr>
          <w:sz w:val="24"/>
          <w:szCs w:val="24"/>
        </w:rPr>
        <w:t>rasugrel</w:t>
      </w:r>
      <w:r w:rsidR="00B211CF" w:rsidRPr="00472AB4">
        <w:rPr>
          <w:sz w:val="24"/>
          <w:szCs w:val="24"/>
        </w:rPr>
        <w:t xml:space="preserve"> is a once daily medication whereas </w:t>
      </w:r>
      <w:r w:rsidR="00221FCB" w:rsidRPr="00472AB4">
        <w:rPr>
          <w:sz w:val="24"/>
          <w:szCs w:val="24"/>
        </w:rPr>
        <w:t>t</w:t>
      </w:r>
      <w:r w:rsidR="005673DA" w:rsidRPr="00472AB4">
        <w:rPr>
          <w:sz w:val="24"/>
          <w:szCs w:val="24"/>
        </w:rPr>
        <w:t>icagrelor</w:t>
      </w:r>
      <w:r w:rsidR="00B211CF" w:rsidRPr="00472AB4">
        <w:rPr>
          <w:sz w:val="24"/>
          <w:szCs w:val="24"/>
        </w:rPr>
        <w:t xml:space="preserve"> has a b</w:t>
      </w:r>
      <w:r w:rsidR="00792F09" w:rsidRPr="00472AB4">
        <w:rPr>
          <w:sz w:val="24"/>
          <w:szCs w:val="24"/>
        </w:rPr>
        <w:t xml:space="preserve">.d. regimen for use, and this may predispose to better adherence to </w:t>
      </w:r>
      <w:r w:rsidR="00221FCB" w:rsidRPr="00472AB4">
        <w:rPr>
          <w:sz w:val="24"/>
          <w:szCs w:val="24"/>
        </w:rPr>
        <w:t>p</w:t>
      </w:r>
      <w:r w:rsidR="00292EF8" w:rsidRPr="00472AB4">
        <w:rPr>
          <w:sz w:val="24"/>
          <w:szCs w:val="24"/>
        </w:rPr>
        <w:t>rasugrel</w:t>
      </w:r>
      <w:r w:rsidR="00792F09" w:rsidRPr="00472AB4">
        <w:rPr>
          <w:sz w:val="24"/>
          <w:szCs w:val="24"/>
        </w:rPr>
        <w:t xml:space="preserve"> prescriptions. Another possible influence on compliance is the differing side effect profile</w:t>
      </w:r>
      <w:r w:rsidR="00E21C0C" w:rsidRPr="00472AB4">
        <w:rPr>
          <w:sz w:val="24"/>
          <w:szCs w:val="24"/>
        </w:rPr>
        <w:t>s</w:t>
      </w:r>
      <w:r w:rsidR="00792F09" w:rsidRPr="00472AB4">
        <w:rPr>
          <w:sz w:val="24"/>
          <w:szCs w:val="24"/>
        </w:rPr>
        <w:t xml:space="preserve"> – for example, dyspnea </w:t>
      </w:r>
      <w:r w:rsidR="001C20C7" w:rsidRPr="00472AB4">
        <w:rPr>
          <w:sz w:val="24"/>
          <w:szCs w:val="24"/>
        </w:rPr>
        <w:t xml:space="preserve">sometimes </w:t>
      </w:r>
      <w:r w:rsidR="00792F09" w:rsidRPr="00472AB4">
        <w:rPr>
          <w:sz w:val="24"/>
          <w:szCs w:val="24"/>
        </w:rPr>
        <w:t xml:space="preserve">noted with </w:t>
      </w:r>
      <w:r w:rsidR="00221FCB" w:rsidRPr="00472AB4">
        <w:rPr>
          <w:sz w:val="24"/>
          <w:szCs w:val="24"/>
        </w:rPr>
        <w:t>t</w:t>
      </w:r>
      <w:r w:rsidR="005673DA" w:rsidRPr="00472AB4">
        <w:rPr>
          <w:sz w:val="24"/>
          <w:szCs w:val="24"/>
        </w:rPr>
        <w:t>icagrelor</w:t>
      </w:r>
      <w:r w:rsidR="00E61836" w:rsidRPr="00472AB4">
        <w:rPr>
          <w:sz w:val="24"/>
          <w:szCs w:val="24"/>
        </w:rPr>
        <w:t xml:space="preserve"> (but not </w:t>
      </w:r>
      <w:r w:rsidR="00221FCB" w:rsidRPr="00472AB4">
        <w:rPr>
          <w:sz w:val="24"/>
          <w:szCs w:val="24"/>
        </w:rPr>
        <w:t>p</w:t>
      </w:r>
      <w:r w:rsidR="00292EF8" w:rsidRPr="00472AB4">
        <w:rPr>
          <w:sz w:val="24"/>
          <w:szCs w:val="24"/>
        </w:rPr>
        <w:t>rasugrel</w:t>
      </w:r>
      <w:r w:rsidR="00E61836" w:rsidRPr="00472AB4">
        <w:rPr>
          <w:sz w:val="24"/>
          <w:szCs w:val="24"/>
        </w:rPr>
        <w:t>)</w:t>
      </w:r>
      <w:r w:rsidR="001C20C7" w:rsidRPr="00472AB4">
        <w:rPr>
          <w:sz w:val="24"/>
          <w:szCs w:val="24"/>
        </w:rPr>
        <w:t xml:space="preserve"> might be a reason underlying</w:t>
      </w:r>
      <w:r w:rsidR="00792F09" w:rsidRPr="00472AB4">
        <w:rPr>
          <w:sz w:val="24"/>
          <w:szCs w:val="24"/>
        </w:rPr>
        <w:t xml:space="preserve"> non-compliance or unplanned switching to another agent, again potentially impacting on outcomes. </w:t>
      </w:r>
      <w:r w:rsidRPr="00472AB4">
        <w:rPr>
          <w:sz w:val="24"/>
          <w:szCs w:val="24"/>
        </w:rPr>
        <w:t>D</w:t>
      </w:r>
      <w:r w:rsidR="00C441DE" w:rsidRPr="00472AB4">
        <w:rPr>
          <w:sz w:val="24"/>
          <w:szCs w:val="24"/>
        </w:rPr>
        <w:t xml:space="preserve">ifferences in pharmacodynamics between </w:t>
      </w:r>
      <w:r w:rsidR="00221FCB" w:rsidRPr="00472AB4">
        <w:rPr>
          <w:sz w:val="24"/>
          <w:szCs w:val="24"/>
        </w:rPr>
        <w:t>p</w:t>
      </w:r>
      <w:r w:rsidR="00292EF8" w:rsidRPr="00472AB4">
        <w:rPr>
          <w:sz w:val="24"/>
          <w:szCs w:val="24"/>
        </w:rPr>
        <w:t>rasugrel</w:t>
      </w:r>
      <w:r w:rsidR="00C441DE" w:rsidRPr="00472AB4">
        <w:rPr>
          <w:sz w:val="24"/>
          <w:szCs w:val="24"/>
        </w:rPr>
        <w:t xml:space="preserve"> and </w:t>
      </w:r>
      <w:r w:rsidR="00221FCB" w:rsidRPr="00472AB4">
        <w:rPr>
          <w:sz w:val="24"/>
          <w:szCs w:val="24"/>
        </w:rPr>
        <w:t>t</w:t>
      </w:r>
      <w:r w:rsidR="005673DA" w:rsidRPr="00472AB4">
        <w:rPr>
          <w:sz w:val="24"/>
          <w:szCs w:val="24"/>
        </w:rPr>
        <w:t>icagrelor</w:t>
      </w:r>
      <w:r w:rsidR="00C441DE" w:rsidRPr="00472AB4">
        <w:rPr>
          <w:sz w:val="24"/>
          <w:szCs w:val="24"/>
        </w:rPr>
        <w:t xml:space="preserve"> in patients presenting with STEMI</w:t>
      </w:r>
      <w:r w:rsidRPr="00472AB4">
        <w:rPr>
          <w:sz w:val="24"/>
          <w:szCs w:val="24"/>
        </w:rPr>
        <w:t xml:space="preserve"> may contribute to our findings</w:t>
      </w:r>
      <w:r w:rsidR="00BA5A7F" w:rsidRPr="00472AB4">
        <w:rPr>
          <w:sz w:val="24"/>
          <w:szCs w:val="24"/>
        </w:rPr>
        <w:fldChar w:fldCharType="begin"/>
      </w:r>
      <w:r w:rsidR="00CE0BB2" w:rsidRPr="00472AB4">
        <w:rPr>
          <w:sz w:val="24"/>
          <w:szCs w:val="24"/>
        </w:rPr>
        <w:instrText>ADDIN RW.CITE{{317 Alexopoulos,D. 2012}}</w:instrText>
      </w:r>
      <w:r w:rsidR="00BA5A7F" w:rsidRPr="00472AB4">
        <w:rPr>
          <w:sz w:val="24"/>
          <w:szCs w:val="24"/>
        </w:rPr>
        <w:fldChar w:fldCharType="separate"/>
      </w:r>
      <w:r w:rsidR="00CE0BB2" w:rsidRPr="00472AB4">
        <w:rPr>
          <w:sz w:val="24"/>
          <w:szCs w:val="24"/>
          <w:vertAlign w:val="superscript"/>
        </w:rPr>
        <w:t>28</w:t>
      </w:r>
      <w:r w:rsidR="00BA5A7F" w:rsidRPr="00472AB4">
        <w:rPr>
          <w:sz w:val="24"/>
          <w:szCs w:val="24"/>
        </w:rPr>
        <w:fldChar w:fldCharType="end"/>
      </w:r>
      <w:r w:rsidR="006C4EB3" w:rsidRPr="00472AB4">
        <w:rPr>
          <w:sz w:val="24"/>
          <w:szCs w:val="24"/>
        </w:rPr>
        <w:t xml:space="preserve">. For example, </w:t>
      </w:r>
      <w:r w:rsidR="00FF068C" w:rsidRPr="00472AB4">
        <w:rPr>
          <w:sz w:val="24"/>
          <w:szCs w:val="24"/>
        </w:rPr>
        <w:t xml:space="preserve">in </w:t>
      </w:r>
      <w:r w:rsidR="006C4EB3" w:rsidRPr="00472AB4">
        <w:rPr>
          <w:sz w:val="24"/>
          <w:szCs w:val="24"/>
        </w:rPr>
        <w:t>one</w:t>
      </w:r>
      <w:r w:rsidR="00FF068C" w:rsidRPr="00472AB4">
        <w:rPr>
          <w:sz w:val="24"/>
          <w:szCs w:val="24"/>
        </w:rPr>
        <w:t xml:space="preserve"> randomized study</w:t>
      </w:r>
      <w:r w:rsidR="00C441DE" w:rsidRPr="00472AB4">
        <w:rPr>
          <w:sz w:val="24"/>
          <w:szCs w:val="24"/>
        </w:rPr>
        <w:t xml:space="preserve"> 2 h </w:t>
      </w:r>
      <w:r w:rsidR="00FF068C" w:rsidRPr="00472AB4">
        <w:rPr>
          <w:sz w:val="24"/>
          <w:szCs w:val="24"/>
        </w:rPr>
        <w:t>post</w:t>
      </w:r>
      <w:r w:rsidR="00C441DE" w:rsidRPr="00472AB4">
        <w:rPr>
          <w:sz w:val="24"/>
          <w:szCs w:val="24"/>
        </w:rPr>
        <w:t xml:space="preserve"> loading dose </w:t>
      </w:r>
      <w:r w:rsidR="00221FCB" w:rsidRPr="00472AB4">
        <w:rPr>
          <w:sz w:val="24"/>
          <w:szCs w:val="24"/>
        </w:rPr>
        <w:t>t</w:t>
      </w:r>
      <w:r w:rsidR="005673DA" w:rsidRPr="00472AB4">
        <w:rPr>
          <w:sz w:val="24"/>
          <w:szCs w:val="24"/>
        </w:rPr>
        <w:t>icagrelor</w:t>
      </w:r>
      <w:r w:rsidR="00C441DE" w:rsidRPr="00472AB4">
        <w:rPr>
          <w:sz w:val="24"/>
          <w:szCs w:val="24"/>
        </w:rPr>
        <w:t xml:space="preserve"> achieved 12% platelet inhibition compared to 48% with </w:t>
      </w:r>
      <w:r w:rsidR="00221FCB" w:rsidRPr="00472AB4">
        <w:rPr>
          <w:sz w:val="24"/>
          <w:szCs w:val="24"/>
        </w:rPr>
        <w:t>p</w:t>
      </w:r>
      <w:r w:rsidR="00292EF8" w:rsidRPr="00472AB4">
        <w:rPr>
          <w:sz w:val="24"/>
          <w:szCs w:val="24"/>
        </w:rPr>
        <w:t>rasugrel</w:t>
      </w:r>
      <w:r w:rsidR="006C4EB3" w:rsidRPr="00472AB4">
        <w:rPr>
          <w:sz w:val="24"/>
          <w:szCs w:val="24"/>
        </w:rPr>
        <w:t>. Furthermore, the</w:t>
      </w:r>
      <w:r w:rsidR="00C441DE" w:rsidRPr="00472AB4">
        <w:rPr>
          <w:sz w:val="24"/>
          <w:szCs w:val="24"/>
        </w:rPr>
        <w:t xml:space="preserve"> mean time to achieve </w:t>
      </w:r>
      <w:r w:rsidR="00FF068C" w:rsidRPr="00472AB4">
        <w:rPr>
          <w:sz w:val="24"/>
          <w:szCs w:val="24"/>
        </w:rPr>
        <w:t xml:space="preserve">platelet reactivity </w:t>
      </w:r>
      <w:r w:rsidR="00C441DE" w:rsidRPr="00472AB4">
        <w:rPr>
          <w:sz w:val="24"/>
          <w:szCs w:val="24"/>
        </w:rPr>
        <w:t xml:space="preserve">&lt;240 units </w:t>
      </w:r>
      <w:r w:rsidR="006C4EB3" w:rsidRPr="00472AB4">
        <w:rPr>
          <w:sz w:val="24"/>
          <w:szCs w:val="24"/>
        </w:rPr>
        <w:t xml:space="preserve">(using Accumetrics verifyNow) </w:t>
      </w:r>
      <w:r w:rsidR="00C441DE" w:rsidRPr="00472AB4">
        <w:rPr>
          <w:sz w:val="24"/>
          <w:szCs w:val="24"/>
        </w:rPr>
        <w:t>was 3</w:t>
      </w:r>
      <w:r w:rsidR="00C441DE" w:rsidRPr="00472AB4">
        <w:rPr>
          <w:rFonts w:ascii="MS Gothic" w:eastAsia="MS Gothic"/>
          <w:color w:val="000000"/>
          <w:sz w:val="24"/>
          <w:szCs w:val="24"/>
        </w:rPr>
        <w:t>±</w:t>
      </w:r>
      <w:r w:rsidR="00FF068C" w:rsidRPr="00472AB4">
        <w:rPr>
          <w:sz w:val="24"/>
          <w:szCs w:val="24"/>
        </w:rPr>
        <w:t>2</w:t>
      </w:r>
      <w:r w:rsidR="00C441DE" w:rsidRPr="00472AB4">
        <w:rPr>
          <w:sz w:val="24"/>
          <w:szCs w:val="24"/>
        </w:rPr>
        <w:t xml:space="preserve">h with </w:t>
      </w:r>
      <w:r w:rsidR="00221FCB" w:rsidRPr="00472AB4">
        <w:rPr>
          <w:sz w:val="24"/>
          <w:szCs w:val="24"/>
        </w:rPr>
        <w:t>p</w:t>
      </w:r>
      <w:r w:rsidR="00292EF8" w:rsidRPr="00472AB4">
        <w:rPr>
          <w:sz w:val="24"/>
          <w:szCs w:val="24"/>
        </w:rPr>
        <w:t>rasugrel</w:t>
      </w:r>
      <w:r w:rsidR="00C441DE" w:rsidRPr="00472AB4">
        <w:rPr>
          <w:sz w:val="24"/>
          <w:szCs w:val="24"/>
        </w:rPr>
        <w:t xml:space="preserve"> compared to 5</w:t>
      </w:r>
      <w:r w:rsidR="00C441DE" w:rsidRPr="00472AB4">
        <w:rPr>
          <w:rFonts w:ascii="MS Gothic" w:eastAsia="MS Gothic"/>
          <w:color w:val="000000"/>
          <w:sz w:val="24"/>
          <w:szCs w:val="24"/>
        </w:rPr>
        <w:t>±</w:t>
      </w:r>
      <w:r w:rsidR="00C441DE" w:rsidRPr="00472AB4">
        <w:rPr>
          <w:sz w:val="24"/>
          <w:szCs w:val="24"/>
        </w:rPr>
        <w:t xml:space="preserve">4h in patients treated with </w:t>
      </w:r>
      <w:r w:rsidR="00221FCB" w:rsidRPr="00472AB4">
        <w:rPr>
          <w:sz w:val="24"/>
          <w:szCs w:val="24"/>
        </w:rPr>
        <w:t>t</w:t>
      </w:r>
      <w:r w:rsidR="005673DA" w:rsidRPr="00472AB4">
        <w:rPr>
          <w:sz w:val="24"/>
          <w:szCs w:val="24"/>
        </w:rPr>
        <w:t>icagrelor</w:t>
      </w:r>
      <w:r w:rsidR="000F16DE" w:rsidRPr="00472AB4">
        <w:rPr>
          <w:sz w:val="24"/>
          <w:szCs w:val="24"/>
        </w:rPr>
        <w:fldChar w:fldCharType="begin"/>
      </w:r>
      <w:r w:rsidR="00CE0BB2" w:rsidRPr="00472AB4">
        <w:rPr>
          <w:sz w:val="24"/>
          <w:szCs w:val="24"/>
        </w:rPr>
        <w:instrText>ADDIN RW.CITE{{317 Alexopoulos,D. 2012}}</w:instrText>
      </w:r>
      <w:r w:rsidR="000F16DE" w:rsidRPr="00472AB4">
        <w:rPr>
          <w:sz w:val="24"/>
          <w:szCs w:val="24"/>
        </w:rPr>
        <w:fldChar w:fldCharType="separate"/>
      </w:r>
      <w:r w:rsidR="00CE0BB2" w:rsidRPr="00472AB4">
        <w:rPr>
          <w:rFonts w:eastAsia="Times New Roman"/>
          <w:sz w:val="24"/>
          <w:szCs w:val="24"/>
          <w:vertAlign w:val="superscript"/>
        </w:rPr>
        <w:t>28</w:t>
      </w:r>
      <w:r w:rsidR="000F16DE" w:rsidRPr="00472AB4">
        <w:rPr>
          <w:sz w:val="24"/>
          <w:szCs w:val="24"/>
        </w:rPr>
        <w:fldChar w:fldCharType="end"/>
      </w:r>
      <w:r w:rsidR="00C441DE" w:rsidRPr="00472AB4">
        <w:rPr>
          <w:sz w:val="24"/>
          <w:szCs w:val="24"/>
        </w:rPr>
        <w:t xml:space="preserve">. </w:t>
      </w:r>
      <w:r w:rsidR="006C4EB3" w:rsidRPr="00472AB4">
        <w:rPr>
          <w:sz w:val="24"/>
          <w:szCs w:val="24"/>
        </w:rPr>
        <w:t xml:space="preserve">In a </w:t>
      </w:r>
      <w:r w:rsidR="00ED0336" w:rsidRPr="00472AB4">
        <w:rPr>
          <w:sz w:val="24"/>
          <w:szCs w:val="24"/>
        </w:rPr>
        <w:t xml:space="preserve"> further analysis of 16,000 patients ACS managed with PCI</w:t>
      </w:r>
      <w:r w:rsidR="00243601" w:rsidRPr="00472AB4">
        <w:rPr>
          <w:sz w:val="24"/>
          <w:szCs w:val="24"/>
        </w:rPr>
        <w:t xml:space="preserve"> treated with either </w:t>
      </w:r>
      <w:r w:rsidR="00221FCB" w:rsidRPr="00472AB4">
        <w:rPr>
          <w:sz w:val="24"/>
          <w:szCs w:val="24"/>
        </w:rPr>
        <w:t>p</w:t>
      </w:r>
      <w:r w:rsidR="00292EF8" w:rsidRPr="00472AB4">
        <w:rPr>
          <w:sz w:val="24"/>
          <w:szCs w:val="24"/>
        </w:rPr>
        <w:t>rasugrel</w:t>
      </w:r>
      <w:r w:rsidR="00243601" w:rsidRPr="00472AB4">
        <w:rPr>
          <w:sz w:val="24"/>
          <w:szCs w:val="24"/>
        </w:rPr>
        <w:t xml:space="preserve"> or </w:t>
      </w:r>
      <w:r w:rsidR="00221FCB" w:rsidRPr="00472AB4">
        <w:rPr>
          <w:sz w:val="24"/>
          <w:szCs w:val="24"/>
        </w:rPr>
        <w:t>t</w:t>
      </w:r>
      <w:r w:rsidR="005673DA" w:rsidRPr="00472AB4">
        <w:rPr>
          <w:sz w:val="24"/>
          <w:szCs w:val="24"/>
        </w:rPr>
        <w:t>icagrelor</w:t>
      </w:r>
      <w:r w:rsidR="00ED0336" w:rsidRPr="00472AB4">
        <w:rPr>
          <w:sz w:val="24"/>
          <w:szCs w:val="24"/>
        </w:rPr>
        <w:t xml:space="preserve">, </w:t>
      </w:r>
      <w:r w:rsidR="00F149B4" w:rsidRPr="00472AB4">
        <w:rPr>
          <w:sz w:val="24"/>
          <w:szCs w:val="24"/>
        </w:rPr>
        <w:t xml:space="preserve">both MACE (HR 0.80, 95% CI 0.64–0.98, P= 0.03) and </w:t>
      </w:r>
      <w:r w:rsidR="00BB3A93" w:rsidRPr="00472AB4">
        <w:rPr>
          <w:sz w:val="24"/>
          <w:szCs w:val="24"/>
        </w:rPr>
        <w:t xml:space="preserve">net adverse clinical events </w:t>
      </w:r>
      <w:r w:rsidR="00F149B4" w:rsidRPr="00472AB4">
        <w:rPr>
          <w:sz w:val="24"/>
          <w:szCs w:val="24"/>
        </w:rPr>
        <w:t>NACE (HR 0.78 95% CI 0.64–0.94, P= 0.009)</w:t>
      </w:r>
      <w:r w:rsidR="00EC4235" w:rsidRPr="00472AB4">
        <w:rPr>
          <w:sz w:val="24"/>
          <w:szCs w:val="24"/>
        </w:rPr>
        <w:t xml:space="preserve"> </w:t>
      </w:r>
      <w:r w:rsidR="003855D1" w:rsidRPr="00472AB4">
        <w:rPr>
          <w:sz w:val="24"/>
          <w:szCs w:val="24"/>
        </w:rPr>
        <w:t xml:space="preserve">were significantly lower </w:t>
      </w:r>
      <w:r w:rsidR="00FF068C" w:rsidRPr="00472AB4">
        <w:rPr>
          <w:sz w:val="24"/>
          <w:szCs w:val="24"/>
        </w:rPr>
        <w:t xml:space="preserve">in the </w:t>
      </w:r>
      <w:r w:rsidR="00221FCB" w:rsidRPr="00472AB4">
        <w:rPr>
          <w:sz w:val="24"/>
          <w:szCs w:val="24"/>
        </w:rPr>
        <w:t>p</w:t>
      </w:r>
      <w:r w:rsidR="00292EF8" w:rsidRPr="00472AB4">
        <w:rPr>
          <w:sz w:val="24"/>
          <w:szCs w:val="24"/>
        </w:rPr>
        <w:t>rasugrel</w:t>
      </w:r>
      <w:r w:rsidR="00FF068C" w:rsidRPr="00472AB4">
        <w:rPr>
          <w:sz w:val="24"/>
          <w:szCs w:val="24"/>
        </w:rPr>
        <w:t xml:space="preserve"> groups compared to </w:t>
      </w:r>
      <w:r w:rsidR="00221FCB" w:rsidRPr="00472AB4">
        <w:rPr>
          <w:sz w:val="24"/>
          <w:szCs w:val="24"/>
        </w:rPr>
        <w:t>t</w:t>
      </w:r>
      <w:r w:rsidR="005673DA" w:rsidRPr="00472AB4">
        <w:rPr>
          <w:sz w:val="24"/>
          <w:szCs w:val="24"/>
        </w:rPr>
        <w:t>icagrelor</w:t>
      </w:r>
      <w:r w:rsidR="00FF068C" w:rsidRPr="00472AB4">
        <w:rPr>
          <w:sz w:val="24"/>
          <w:szCs w:val="24"/>
        </w:rPr>
        <w:t xml:space="preserve"> in a propensity score </w:t>
      </w:r>
      <w:r w:rsidR="00FF068C" w:rsidRPr="00472AB4">
        <w:rPr>
          <w:sz w:val="24"/>
          <w:szCs w:val="24"/>
        </w:rPr>
        <w:lastRenderedPageBreak/>
        <w:t>matched cohort</w:t>
      </w:r>
      <w:r w:rsidR="000F16DE" w:rsidRPr="00472AB4">
        <w:rPr>
          <w:sz w:val="24"/>
          <w:szCs w:val="24"/>
        </w:rPr>
        <w:fldChar w:fldCharType="begin"/>
      </w:r>
      <w:r w:rsidR="00CE0BB2" w:rsidRPr="00472AB4">
        <w:rPr>
          <w:sz w:val="24"/>
          <w:szCs w:val="24"/>
        </w:rPr>
        <w:instrText>ADDIN RW.CITE{{318 Larmore, Cynthia 2015}}</w:instrText>
      </w:r>
      <w:r w:rsidR="000F16DE" w:rsidRPr="00472AB4">
        <w:rPr>
          <w:sz w:val="24"/>
          <w:szCs w:val="24"/>
        </w:rPr>
        <w:fldChar w:fldCharType="separate"/>
      </w:r>
      <w:r w:rsidR="00CE0BB2" w:rsidRPr="00472AB4">
        <w:rPr>
          <w:rFonts w:eastAsia="Times New Roman"/>
          <w:sz w:val="24"/>
          <w:szCs w:val="24"/>
          <w:vertAlign w:val="superscript"/>
        </w:rPr>
        <w:t>29</w:t>
      </w:r>
      <w:r w:rsidR="000F16DE" w:rsidRPr="00472AB4">
        <w:rPr>
          <w:sz w:val="24"/>
          <w:szCs w:val="24"/>
        </w:rPr>
        <w:fldChar w:fldCharType="end"/>
      </w:r>
      <w:r w:rsidR="00EC4235" w:rsidRPr="00472AB4">
        <w:rPr>
          <w:sz w:val="24"/>
          <w:szCs w:val="24"/>
        </w:rPr>
        <w:t>.</w:t>
      </w:r>
      <w:r w:rsidR="009302CB" w:rsidRPr="00472AB4">
        <w:rPr>
          <w:sz w:val="24"/>
          <w:szCs w:val="24"/>
        </w:rPr>
        <w:t xml:space="preserve"> Similarly, a recent network meta-analysis of 37 studies including 88,402 patients</w:t>
      </w:r>
      <w:r w:rsidR="002C5776" w:rsidRPr="00472AB4">
        <w:rPr>
          <w:sz w:val="24"/>
          <w:szCs w:val="24"/>
        </w:rPr>
        <w:t xml:space="preserve"> that sought to compare the clinical efficacy and safety of P</w:t>
      </w:r>
      <w:r w:rsidR="002C5776" w:rsidRPr="00472AB4">
        <w:rPr>
          <w:sz w:val="24"/>
          <w:szCs w:val="24"/>
          <w:vertAlign w:val="subscript"/>
        </w:rPr>
        <w:t>2</w:t>
      </w:r>
      <w:r w:rsidR="002C5776" w:rsidRPr="00472AB4">
        <w:rPr>
          <w:sz w:val="24"/>
          <w:szCs w:val="24"/>
        </w:rPr>
        <w:t>Y</w:t>
      </w:r>
      <w:r w:rsidR="002C5776" w:rsidRPr="00472AB4">
        <w:rPr>
          <w:sz w:val="24"/>
          <w:szCs w:val="24"/>
          <w:vertAlign w:val="subscript"/>
        </w:rPr>
        <w:t>12</w:t>
      </w:r>
      <w:r w:rsidR="002C5776" w:rsidRPr="00472AB4">
        <w:rPr>
          <w:sz w:val="24"/>
          <w:szCs w:val="24"/>
        </w:rPr>
        <w:t xml:space="preserve"> inhibitors in patients with STEMI undergoing primary PCI</w:t>
      </w:r>
      <w:r w:rsidR="00B13172" w:rsidRPr="00472AB4">
        <w:rPr>
          <w:sz w:val="24"/>
          <w:szCs w:val="24"/>
        </w:rPr>
        <w:t xml:space="preserve"> demonstrated that </w:t>
      </w:r>
      <w:r w:rsidR="00221FCB" w:rsidRPr="00472AB4">
        <w:rPr>
          <w:sz w:val="24"/>
          <w:szCs w:val="24"/>
        </w:rPr>
        <w:t>p</w:t>
      </w:r>
      <w:r w:rsidR="00292EF8" w:rsidRPr="00472AB4">
        <w:rPr>
          <w:sz w:val="24"/>
          <w:szCs w:val="24"/>
        </w:rPr>
        <w:t>rasugrel</w:t>
      </w:r>
      <w:r w:rsidR="00B13172" w:rsidRPr="00472AB4">
        <w:rPr>
          <w:sz w:val="24"/>
          <w:szCs w:val="24"/>
        </w:rPr>
        <w:t xml:space="preserve"> was associated with reduced risk of 30-day mortality (OR 0.69, 95% CI 0.56-0.84) and 30-day MACE (OR 0.69, 95% CI 0.56-0.84), but not cardiovascular mortality (OR 0.74, 95% CI 0.43-1.25) or major bleeding (OR 0.76 95% CI 0.57-1.05)</w:t>
      </w:r>
      <w:r w:rsidR="000F16DE" w:rsidRPr="00472AB4">
        <w:rPr>
          <w:sz w:val="24"/>
          <w:szCs w:val="24"/>
        </w:rPr>
        <w:fldChar w:fldCharType="begin"/>
      </w:r>
      <w:r w:rsidR="00CE0BB2" w:rsidRPr="00472AB4">
        <w:rPr>
          <w:sz w:val="24"/>
          <w:szCs w:val="24"/>
        </w:rPr>
        <w:instrText>ADDIN RW.CITE{{319 Rafique, Asim M 2016}}</w:instrText>
      </w:r>
      <w:r w:rsidR="000F16DE" w:rsidRPr="00472AB4">
        <w:rPr>
          <w:sz w:val="24"/>
          <w:szCs w:val="24"/>
        </w:rPr>
        <w:fldChar w:fldCharType="separate"/>
      </w:r>
      <w:r w:rsidR="00CE0BB2" w:rsidRPr="00472AB4">
        <w:rPr>
          <w:rFonts w:eastAsia="Times New Roman"/>
          <w:sz w:val="24"/>
          <w:szCs w:val="24"/>
          <w:vertAlign w:val="superscript"/>
        </w:rPr>
        <w:t>30</w:t>
      </w:r>
      <w:r w:rsidR="000F16DE" w:rsidRPr="00472AB4">
        <w:rPr>
          <w:sz w:val="24"/>
          <w:szCs w:val="24"/>
        </w:rPr>
        <w:fldChar w:fldCharType="end"/>
      </w:r>
      <w:r w:rsidR="002C5776" w:rsidRPr="00472AB4">
        <w:rPr>
          <w:sz w:val="24"/>
          <w:szCs w:val="24"/>
        </w:rPr>
        <w:t>.</w:t>
      </w:r>
      <w:r w:rsidR="009D57B8" w:rsidRPr="00472AB4">
        <w:rPr>
          <w:sz w:val="24"/>
          <w:szCs w:val="24"/>
        </w:rPr>
        <w:t xml:space="preserve"> </w:t>
      </w:r>
    </w:p>
    <w:p w14:paraId="62B00D81" w14:textId="4501CAB7" w:rsidR="00781AD9" w:rsidRPr="00472AB4" w:rsidRDefault="009D57B8" w:rsidP="008E0662">
      <w:pPr>
        <w:spacing w:after="0"/>
        <w:outlineLvl w:val="0"/>
        <w:rPr>
          <w:i/>
          <w:sz w:val="24"/>
          <w:szCs w:val="24"/>
        </w:rPr>
      </w:pPr>
      <w:r w:rsidRPr="00472AB4">
        <w:rPr>
          <w:sz w:val="24"/>
          <w:szCs w:val="24"/>
        </w:rPr>
        <w:t xml:space="preserve">Nevertheless, </w:t>
      </w:r>
      <w:r w:rsidR="002909FC" w:rsidRPr="00472AB4">
        <w:rPr>
          <w:sz w:val="24"/>
          <w:szCs w:val="24"/>
        </w:rPr>
        <w:t>i</w:t>
      </w:r>
      <w:r w:rsidR="00D8585C" w:rsidRPr="00472AB4">
        <w:rPr>
          <w:sz w:val="24"/>
          <w:szCs w:val="24"/>
        </w:rPr>
        <w:t xml:space="preserve">n keeping with all observational studies, the potential for undetected or unquantified confounders exists. </w:t>
      </w:r>
      <w:r w:rsidR="00170AAA" w:rsidRPr="00472AB4">
        <w:rPr>
          <w:sz w:val="24"/>
          <w:szCs w:val="24"/>
        </w:rPr>
        <w:t>An</w:t>
      </w:r>
      <w:r w:rsidR="00EB5C90" w:rsidRPr="00472AB4">
        <w:rPr>
          <w:sz w:val="24"/>
          <w:szCs w:val="24"/>
        </w:rPr>
        <w:t xml:space="preserve"> important</w:t>
      </w:r>
      <w:r w:rsidR="00170AAA" w:rsidRPr="00472AB4">
        <w:rPr>
          <w:sz w:val="24"/>
          <w:szCs w:val="24"/>
        </w:rPr>
        <w:t xml:space="preserve"> limitation</w:t>
      </w:r>
      <w:r w:rsidR="001609FE" w:rsidRPr="00472AB4">
        <w:rPr>
          <w:sz w:val="24"/>
          <w:szCs w:val="24"/>
        </w:rPr>
        <w:t>,</w:t>
      </w:r>
      <w:r w:rsidR="00170AAA" w:rsidRPr="00472AB4">
        <w:rPr>
          <w:sz w:val="24"/>
          <w:szCs w:val="24"/>
        </w:rPr>
        <w:t xml:space="preserve"> specific to this work</w:t>
      </w:r>
      <w:r w:rsidR="001609FE" w:rsidRPr="00472AB4">
        <w:rPr>
          <w:sz w:val="24"/>
          <w:szCs w:val="24"/>
        </w:rPr>
        <w:t>, relates</w:t>
      </w:r>
      <w:r w:rsidR="00170AAA" w:rsidRPr="00472AB4">
        <w:rPr>
          <w:sz w:val="24"/>
          <w:szCs w:val="24"/>
        </w:rPr>
        <w:t xml:space="preserve"> to the recording of P2Y12 blocker </w:t>
      </w:r>
      <w:r w:rsidR="001609FE" w:rsidRPr="00472AB4">
        <w:rPr>
          <w:sz w:val="24"/>
          <w:szCs w:val="24"/>
        </w:rPr>
        <w:t xml:space="preserve">choice </w:t>
      </w:r>
      <w:r w:rsidR="00170AAA" w:rsidRPr="00472AB4">
        <w:rPr>
          <w:sz w:val="24"/>
          <w:szCs w:val="24"/>
        </w:rPr>
        <w:t xml:space="preserve">on the </w:t>
      </w:r>
      <w:r w:rsidR="001609FE" w:rsidRPr="00472AB4">
        <w:rPr>
          <w:sz w:val="24"/>
          <w:szCs w:val="24"/>
        </w:rPr>
        <w:t xml:space="preserve">registry </w:t>
      </w:r>
      <w:r w:rsidR="00170AAA" w:rsidRPr="00472AB4">
        <w:rPr>
          <w:sz w:val="24"/>
          <w:szCs w:val="24"/>
        </w:rPr>
        <w:t>database at the time of the primary PCI procedure. Hence</w:t>
      </w:r>
      <w:r w:rsidR="002909FC" w:rsidRPr="00472AB4">
        <w:rPr>
          <w:sz w:val="24"/>
          <w:szCs w:val="24"/>
        </w:rPr>
        <w:t>,</w:t>
      </w:r>
      <w:r w:rsidR="00170AAA" w:rsidRPr="00472AB4">
        <w:rPr>
          <w:sz w:val="24"/>
          <w:szCs w:val="24"/>
        </w:rPr>
        <w:t xml:space="preserve"> it is not possible to detect cases where there may have been premature </w:t>
      </w:r>
      <w:r w:rsidR="00F77128" w:rsidRPr="00472AB4">
        <w:rPr>
          <w:sz w:val="24"/>
          <w:szCs w:val="24"/>
        </w:rPr>
        <w:t xml:space="preserve">drug </w:t>
      </w:r>
      <w:r w:rsidR="00170AAA" w:rsidRPr="00472AB4">
        <w:rPr>
          <w:sz w:val="24"/>
          <w:szCs w:val="24"/>
        </w:rPr>
        <w:t>discontinuation</w:t>
      </w:r>
      <w:r w:rsidR="001609FE" w:rsidRPr="00472AB4">
        <w:rPr>
          <w:sz w:val="24"/>
          <w:szCs w:val="24"/>
        </w:rPr>
        <w:t xml:space="preserve"> </w:t>
      </w:r>
      <w:r w:rsidR="00170AAA" w:rsidRPr="00472AB4">
        <w:rPr>
          <w:sz w:val="24"/>
          <w:szCs w:val="24"/>
        </w:rPr>
        <w:t>o</w:t>
      </w:r>
      <w:r w:rsidR="00F77128" w:rsidRPr="00472AB4">
        <w:rPr>
          <w:sz w:val="24"/>
          <w:szCs w:val="24"/>
        </w:rPr>
        <w:t xml:space="preserve">r substitution of the initially </w:t>
      </w:r>
      <w:r w:rsidR="00170AAA" w:rsidRPr="00472AB4">
        <w:rPr>
          <w:sz w:val="24"/>
          <w:szCs w:val="24"/>
        </w:rPr>
        <w:t>selected agent later in the clinical course</w:t>
      </w:r>
      <w:r w:rsidR="00F77128" w:rsidRPr="00472AB4">
        <w:rPr>
          <w:sz w:val="24"/>
          <w:szCs w:val="24"/>
        </w:rPr>
        <w:t xml:space="preserve"> e.g. due to side </w:t>
      </w:r>
      <w:r w:rsidR="005546C2" w:rsidRPr="00472AB4">
        <w:rPr>
          <w:sz w:val="24"/>
          <w:szCs w:val="24"/>
        </w:rPr>
        <w:t>effects</w:t>
      </w:r>
      <w:r w:rsidR="009B15FB" w:rsidRPr="00472AB4">
        <w:rPr>
          <w:sz w:val="24"/>
          <w:szCs w:val="24"/>
        </w:rPr>
        <w:t xml:space="preserve"> or whether the antiplatelet agent was given pre- or post-procedure</w:t>
      </w:r>
      <w:r w:rsidR="00170AAA" w:rsidRPr="00472AB4">
        <w:rPr>
          <w:sz w:val="24"/>
          <w:szCs w:val="24"/>
        </w:rPr>
        <w:t xml:space="preserve">. </w:t>
      </w:r>
      <w:r w:rsidR="00E82B93" w:rsidRPr="00472AB4">
        <w:rPr>
          <w:sz w:val="24"/>
          <w:szCs w:val="24"/>
        </w:rPr>
        <w:t xml:space="preserve">Thirdly, we acknowledge that there is likely to be selection bias, in that newer antiplatelet agents are more likely to be prescribed to less sick, younger patients that may drive some of our observations, although it is unlikely that such a mechanism would explain the differences in outcomes that we report between the 2 newer (prasugrel and ticagrelor) agents. </w:t>
      </w:r>
      <w:r w:rsidR="00E07AD7" w:rsidRPr="00472AB4">
        <w:rPr>
          <w:sz w:val="24"/>
          <w:szCs w:val="24"/>
        </w:rPr>
        <w:t>Finally, our secondary endpoints (in hospital major bleeding and in-hospital MACE) are based on retrospective recording (by operators or other team members) of these complications and are not externally validated. This is in contrast to the highly robust mortality tracking, derived from linkage of the PCI registry to the national UK mortality database. Hence the conclusions drawn from these secondary endpoints are acknowledged to be less robust than our mortality outcomes.</w:t>
      </w:r>
    </w:p>
    <w:p w14:paraId="2B587947" w14:textId="77777777" w:rsidR="00431A42" w:rsidRPr="00472AB4" w:rsidRDefault="00431A42" w:rsidP="008E0662">
      <w:pPr>
        <w:spacing w:after="0"/>
        <w:outlineLvl w:val="0"/>
        <w:rPr>
          <w:i/>
          <w:sz w:val="24"/>
          <w:szCs w:val="24"/>
        </w:rPr>
      </w:pPr>
      <w:r w:rsidRPr="00472AB4">
        <w:rPr>
          <w:i/>
          <w:sz w:val="24"/>
          <w:szCs w:val="24"/>
        </w:rPr>
        <w:t>Conclusions</w:t>
      </w:r>
    </w:p>
    <w:p w14:paraId="7AD074AA" w14:textId="49FDCDC4" w:rsidR="00950572" w:rsidRPr="00472AB4" w:rsidRDefault="00FD7817" w:rsidP="0008733B">
      <w:pPr>
        <w:spacing w:after="0"/>
        <w:rPr>
          <w:sz w:val="24"/>
          <w:szCs w:val="24"/>
        </w:rPr>
      </w:pPr>
      <w:r w:rsidRPr="00472AB4">
        <w:rPr>
          <w:sz w:val="24"/>
          <w:szCs w:val="24"/>
        </w:rPr>
        <w:t xml:space="preserve">In a cohort of just over 89,000 patients undergoing primary PCI for STEMI in clinical practice in the UK, </w:t>
      </w:r>
      <w:r w:rsidR="00292EF8" w:rsidRPr="00472AB4">
        <w:rPr>
          <w:sz w:val="24"/>
          <w:szCs w:val="24"/>
        </w:rPr>
        <w:t>prasugrel</w:t>
      </w:r>
      <w:r w:rsidRPr="00472AB4">
        <w:rPr>
          <w:sz w:val="24"/>
          <w:szCs w:val="24"/>
        </w:rPr>
        <w:t xml:space="preserve"> is associated with a lower </w:t>
      </w:r>
      <w:r w:rsidR="00A86B70" w:rsidRPr="00472AB4">
        <w:rPr>
          <w:sz w:val="24"/>
          <w:szCs w:val="24"/>
        </w:rPr>
        <w:t>30-day</w:t>
      </w:r>
      <w:r w:rsidRPr="00472AB4">
        <w:rPr>
          <w:sz w:val="24"/>
          <w:szCs w:val="24"/>
        </w:rPr>
        <w:t xml:space="preserve"> and </w:t>
      </w:r>
      <w:r w:rsidR="00A86B70" w:rsidRPr="00472AB4">
        <w:rPr>
          <w:sz w:val="24"/>
          <w:szCs w:val="24"/>
        </w:rPr>
        <w:t>1-year</w:t>
      </w:r>
      <w:r w:rsidRPr="00472AB4">
        <w:rPr>
          <w:sz w:val="24"/>
          <w:szCs w:val="24"/>
        </w:rPr>
        <w:t xml:space="preserve"> mortality than </w:t>
      </w:r>
      <w:r w:rsidR="00221FCB" w:rsidRPr="00472AB4">
        <w:rPr>
          <w:sz w:val="24"/>
          <w:szCs w:val="24"/>
        </w:rPr>
        <w:t>c</w:t>
      </w:r>
      <w:r w:rsidR="00292EF8" w:rsidRPr="00472AB4">
        <w:rPr>
          <w:sz w:val="24"/>
          <w:szCs w:val="24"/>
        </w:rPr>
        <w:t>lopidogrel</w:t>
      </w:r>
      <w:r w:rsidRPr="00472AB4">
        <w:rPr>
          <w:sz w:val="24"/>
          <w:szCs w:val="24"/>
        </w:rPr>
        <w:t xml:space="preserve"> and ticagrelor.  Give that </w:t>
      </w:r>
      <w:r w:rsidR="00BB3A93" w:rsidRPr="00472AB4">
        <w:rPr>
          <w:sz w:val="24"/>
          <w:szCs w:val="24"/>
        </w:rPr>
        <w:t xml:space="preserve">it is unlikely that an adequately powered randomized trial will be undertaken to compare them in the future, </w:t>
      </w:r>
      <w:r w:rsidRPr="00472AB4">
        <w:rPr>
          <w:sz w:val="24"/>
          <w:szCs w:val="24"/>
        </w:rPr>
        <w:t xml:space="preserve">these data may have implications for routine </w:t>
      </w:r>
      <w:r w:rsidR="00BB3A93" w:rsidRPr="00472AB4">
        <w:rPr>
          <w:sz w:val="24"/>
          <w:szCs w:val="24"/>
        </w:rPr>
        <w:t xml:space="preserve">clinical </w:t>
      </w:r>
      <w:r w:rsidRPr="00472AB4">
        <w:rPr>
          <w:sz w:val="24"/>
          <w:szCs w:val="24"/>
        </w:rPr>
        <w:t>care.</w:t>
      </w:r>
      <w:r w:rsidR="00470BDA" w:rsidRPr="00472AB4">
        <w:rPr>
          <w:sz w:val="24"/>
          <w:szCs w:val="24"/>
        </w:rPr>
        <w:t xml:space="preserve"> </w:t>
      </w:r>
    </w:p>
    <w:p w14:paraId="010BA218" w14:textId="6BA48E51" w:rsidR="00654012" w:rsidRPr="00472AB4" w:rsidRDefault="002C4F87" w:rsidP="008E0662">
      <w:pPr>
        <w:outlineLvl w:val="0"/>
        <w:rPr>
          <w:b/>
          <w:sz w:val="24"/>
          <w:szCs w:val="24"/>
        </w:rPr>
      </w:pPr>
      <w:r w:rsidRPr="00472AB4">
        <w:rPr>
          <w:b/>
          <w:sz w:val="24"/>
          <w:szCs w:val="24"/>
        </w:rPr>
        <w:t>Funding</w:t>
      </w:r>
      <w:r w:rsidR="00654012" w:rsidRPr="00472AB4">
        <w:rPr>
          <w:b/>
          <w:sz w:val="24"/>
          <w:szCs w:val="24"/>
        </w:rPr>
        <w:t xml:space="preserve"> sources</w:t>
      </w:r>
    </w:p>
    <w:p w14:paraId="36562E96" w14:textId="25C7C977" w:rsidR="00654012" w:rsidRPr="00472AB4" w:rsidRDefault="00E2675A" w:rsidP="009934CF">
      <w:pPr>
        <w:rPr>
          <w:sz w:val="24"/>
          <w:szCs w:val="24"/>
        </w:rPr>
      </w:pPr>
      <w:r w:rsidRPr="00472AB4">
        <w:rPr>
          <w:sz w:val="24"/>
          <w:szCs w:val="24"/>
        </w:rPr>
        <w:t>Unrestricted educational grant from Daiichi Sankyo to MAM</w:t>
      </w:r>
      <w:r w:rsidR="008905B4" w:rsidRPr="00472AB4">
        <w:rPr>
          <w:sz w:val="24"/>
          <w:szCs w:val="24"/>
        </w:rPr>
        <w:t xml:space="preserve">, although the company had no role in the design of study, preparation of manuscript </w:t>
      </w:r>
      <w:r w:rsidR="00625CFE" w:rsidRPr="00472AB4">
        <w:rPr>
          <w:sz w:val="24"/>
          <w:szCs w:val="24"/>
        </w:rPr>
        <w:t>or</w:t>
      </w:r>
      <w:r w:rsidR="008905B4" w:rsidRPr="00472AB4">
        <w:rPr>
          <w:sz w:val="24"/>
          <w:szCs w:val="24"/>
        </w:rPr>
        <w:t xml:space="preserve"> access to the contents of the manuscript prior to submission</w:t>
      </w:r>
      <w:r w:rsidR="00654012" w:rsidRPr="00472AB4">
        <w:rPr>
          <w:sz w:val="24"/>
          <w:szCs w:val="24"/>
        </w:rPr>
        <w:t>.</w:t>
      </w:r>
    </w:p>
    <w:p w14:paraId="7C88AE39" w14:textId="11BD1D52" w:rsidR="0008733B" w:rsidRPr="00472AB4" w:rsidRDefault="0008733B" w:rsidP="0008733B">
      <w:pPr>
        <w:pStyle w:val="Heading1"/>
      </w:pPr>
      <w:r w:rsidRPr="00472AB4">
        <w:lastRenderedPageBreak/>
        <w:t>Contributions:</w:t>
      </w:r>
    </w:p>
    <w:p w14:paraId="787DA7CA" w14:textId="201CA8B1" w:rsidR="00444A86" w:rsidRPr="00472AB4" w:rsidRDefault="0008733B" w:rsidP="006E2359">
      <w:pPr>
        <w:outlineLvl w:val="0"/>
        <w:rPr>
          <w:rStyle w:val="CommentReference"/>
        </w:rPr>
      </w:pPr>
      <w:r w:rsidRPr="00472AB4">
        <w:rPr>
          <w:sz w:val="24"/>
          <w:szCs w:val="24"/>
        </w:rPr>
        <w:t>MAM, IO and AS designed the study; acquired, and interpreted data</w:t>
      </w:r>
      <w:r w:rsidR="001E2E28" w:rsidRPr="00472AB4">
        <w:rPr>
          <w:sz w:val="24"/>
          <w:szCs w:val="24"/>
        </w:rPr>
        <w:t xml:space="preserve"> </w:t>
      </w:r>
      <w:r w:rsidR="00D150D9" w:rsidRPr="00472AB4">
        <w:rPr>
          <w:sz w:val="24"/>
          <w:szCs w:val="24"/>
        </w:rPr>
        <w:t xml:space="preserve">and drafted the first draft of manuscript; </w:t>
      </w:r>
      <w:r w:rsidR="001E2E28" w:rsidRPr="00472AB4">
        <w:rPr>
          <w:sz w:val="24"/>
          <w:szCs w:val="24"/>
        </w:rPr>
        <w:t>IO analyzed the data</w:t>
      </w:r>
      <w:r w:rsidR="00D150D9" w:rsidRPr="00472AB4">
        <w:rPr>
          <w:sz w:val="24"/>
          <w:szCs w:val="24"/>
        </w:rPr>
        <w:t>. MAM and IO</w:t>
      </w:r>
      <w:r w:rsidRPr="00472AB4">
        <w:rPr>
          <w:sz w:val="24"/>
          <w:szCs w:val="24"/>
        </w:rPr>
        <w:t xml:space="preserve"> agree to be the guarantors who are accountable for all aspects of the work in ensuring that questions related to the accuracy or integrity of any part of the work are appropriately investigated and resolved. NC, TK, PL, JB, MR, DHS, MAB, and AB made substantial contributions to the design of the work, </w:t>
      </w:r>
      <w:r w:rsidR="001E2E28" w:rsidRPr="00472AB4">
        <w:rPr>
          <w:sz w:val="24"/>
          <w:szCs w:val="24"/>
        </w:rPr>
        <w:t xml:space="preserve">critically </w:t>
      </w:r>
      <w:r w:rsidRPr="00472AB4">
        <w:rPr>
          <w:sz w:val="24"/>
          <w:szCs w:val="24"/>
        </w:rPr>
        <w:t>revised the report</w:t>
      </w:r>
    </w:p>
    <w:p w14:paraId="1C389F56" w14:textId="65DADC8B" w:rsidR="00CE0BB2" w:rsidRPr="00472AB4" w:rsidRDefault="00CE0BB2" w:rsidP="007C353A">
      <w:pPr>
        <w:pStyle w:val="NormalWeb"/>
        <w:rPr>
          <w:b/>
        </w:rPr>
      </w:pPr>
      <w:r w:rsidRPr="00472AB4">
        <w:fldChar w:fldCharType="begin"/>
      </w:r>
      <w:r w:rsidRPr="00472AB4">
        <w:instrText>ADDIN RW.BIB</w:instrText>
      </w:r>
      <w:r w:rsidRPr="00472AB4">
        <w:fldChar w:fldCharType="separate"/>
      </w:r>
      <w:r w:rsidR="007C353A" w:rsidRPr="00472AB4">
        <w:rPr>
          <w:b/>
        </w:rPr>
        <w:t>References:</w:t>
      </w:r>
    </w:p>
    <w:p w14:paraId="4345748B" w14:textId="77777777" w:rsidR="00CE0BB2" w:rsidRPr="00472AB4" w:rsidRDefault="00CE0BB2" w:rsidP="00CE0BB2">
      <w:pPr>
        <w:pStyle w:val="NormalWeb"/>
      </w:pPr>
      <w:r w:rsidRPr="00472AB4">
        <w:t>1 Schomig A, Neumann FJ, Kastrati A</w:t>
      </w:r>
      <w:r w:rsidRPr="00472AB4">
        <w:rPr>
          <w:i/>
          <w:iCs/>
        </w:rPr>
        <w:t>, et al</w:t>
      </w:r>
      <w:r w:rsidRPr="00472AB4">
        <w:t xml:space="preserve">. A randomized comparison of antiplatelet and anticoagulant therapy after the placement of coronary-artery stents. </w:t>
      </w:r>
      <w:r w:rsidRPr="00472AB4">
        <w:rPr>
          <w:i/>
          <w:iCs/>
        </w:rPr>
        <w:t>N Engl J Med</w:t>
      </w:r>
      <w:r w:rsidRPr="00472AB4">
        <w:t xml:space="preserve"> 1996;</w:t>
      </w:r>
      <w:r w:rsidRPr="00472AB4">
        <w:rPr>
          <w:b/>
          <w:bCs/>
        </w:rPr>
        <w:t>334</w:t>
      </w:r>
      <w:r w:rsidRPr="00472AB4">
        <w:t>: 1084-9.</w:t>
      </w:r>
    </w:p>
    <w:p w14:paraId="5A94CB37" w14:textId="77777777" w:rsidR="00CE0BB2" w:rsidRPr="00472AB4" w:rsidRDefault="00CE0BB2" w:rsidP="00CE0BB2">
      <w:pPr>
        <w:pStyle w:val="NormalWeb"/>
      </w:pPr>
      <w:r w:rsidRPr="00472AB4">
        <w:t>2 Bertrand ME, Rupprecht HJ, Urban P</w:t>
      </w:r>
      <w:r w:rsidRPr="00472AB4">
        <w:rPr>
          <w:i/>
          <w:iCs/>
        </w:rPr>
        <w:t>, et al</w:t>
      </w:r>
      <w:r w:rsidRPr="00472AB4">
        <w:t xml:space="preserve">. Double-blind study of the safety of clopidogrel with and without a loading dose in combination with aspirin compared with ticlopidine in combination with aspirin after coronary stenting : The clopidogrel aspirin stent international cooperative study (CLASSICS). </w:t>
      </w:r>
      <w:r w:rsidRPr="00472AB4">
        <w:rPr>
          <w:i/>
          <w:iCs/>
        </w:rPr>
        <w:t>Circulation</w:t>
      </w:r>
      <w:r w:rsidRPr="00472AB4">
        <w:t xml:space="preserve"> 2000;</w:t>
      </w:r>
      <w:r w:rsidRPr="00472AB4">
        <w:rPr>
          <w:b/>
          <w:bCs/>
        </w:rPr>
        <w:t>102</w:t>
      </w:r>
      <w:r w:rsidRPr="00472AB4">
        <w:t>: 624-9.</w:t>
      </w:r>
    </w:p>
    <w:p w14:paraId="1944EB34" w14:textId="77777777" w:rsidR="00CE0BB2" w:rsidRPr="00472AB4" w:rsidRDefault="00CE0BB2" w:rsidP="00CE0BB2">
      <w:pPr>
        <w:pStyle w:val="NormalWeb"/>
      </w:pPr>
      <w:r w:rsidRPr="00472AB4">
        <w:t>3 Gawaz M, Geisler T. Coronary artery disease: Platelet activity: An obstacle for successful PCI. 2009;</w:t>
      </w:r>
      <w:r w:rsidRPr="00472AB4">
        <w:rPr>
          <w:b/>
          <w:bCs/>
        </w:rPr>
        <w:t>6</w:t>
      </w:r>
      <w:r w:rsidRPr="00472AB4">
        <w:t>: 391-2.</w:t>
      </w:r>
    </w:p>
    <w:p w14:paraId="03FFE4CA" w14:textId="77777777" w:rsidR="00CE0BB2" w:rsidRPr="00472AB4" w:rsidRDefault="00CE0BB2" w:rsidP="00CE0BB2">
      <w:pPr>
        <w:pStyle w:val="NormalWeb"/>
      </w:pPr>
      <w:r w:rsidRPr="00472AB4">
        <w:t>4 Hochholzer W, Trenk D, Frundi D</w:t>
      </w:r>
      <w:r w:rsidRPr="00472AB4">
        <w:rPr>
          <w:i/>
          <w:iCs/>
        </w:rPr>
        <w:t>, et al</w:t>
      </w:r>
      <w:r w:rsidRPr="00472AB4">
        <w:t xml:space="preserve">. Time dependence of platelet inhibition after a 600-mg loading dose of clopidogrel in a large, unselected cohort of candidates for percutaneous coronary intervention. </w:t>
      </w:r>
      <w:r w:rsidRPr="00472AB4">
        <w:rPr>
          <w:i/>
          <w:iCs/>
        </w:rPr>
        <w:t>Circulation</w:t>
      </w:r>
      <w:r w:rsidRPr="00472AB4">
        <w:t xml:space="preserve"> 2005;</w:t>
      </w:r>
      <w:r w:rsidRPr="00472AB4">
        <w:rPr>
          <w:b/>
          <w:bCs/>
        </w:rPr>
        <w:t>111</w:t>
      </w:r>
      <w:r w:rsidRPr="00472AB4">
        <w:t>: 2560-4.</w:t>
      </w:r>
    </w:p>
    <w:p w14:paraId="0AF8C405" w14:textId="77777777" w:rsidR="00CE0BB2" w:rsidRPr="00472AB4" w:rsidRDefault="00CE0BB2" w:rsidP="00CE0BB2">
      <w:pPr>
        <w:pStyle w:val="NormalWeb"/>
      </w:pPr>
      <w:r w:rsidRPr="00472AB4">
        <w:t>5 Wallentin L, Becker RC, Budaj A</w:t>
      </w:r>
      <w:r w:rsidRPr="00472AB4">
        <w:rPr>
          <w:i/>
          <w:iCs/>
        </w:rPr>
        <w:t>, et al</w:t>
      </w:r>
      <w:r w:rsidRPr="00472AB4">
        <w:t xml:space="preserve">. Ticagrelor versus clopidogrel in patients with acute coronary syndromes. </w:t>
      </w:r>
      <w:r w:rsidRPr="00472AB4">
        <w:rPr>
          <w:i/>
          <w:iCs/>
        </w:rPr>
        <w:t>N Engl J Med</w:t>
      </w:r>
      <w:r w:rsidRPr="00472AB4">
        <w:t xml:space="preserve"> 2009;</w:t>
      </w:r>
      <w:r w:rsidRPr="00472AB4">
        <w:rPr>
          <w:b/>
          <w:bCs/>
        </w:rPr>
        <w:t>361</w:t>
      </w:r>
      <w:r w:rsidRPr="00472AB4">
        <w:t>: 1045-57.</w:t>
      </w:r>
    </w:p>
    <w:p w14:paraId="0484B4DC" w14:textId="77777777" w:rsidR="00CE0BB2" w:rsidRPr="00472AB4" w:rsidRDefault="00CE0BB2" w:rsidP="00CE0BB2">
      <w:pPr>
        <w:pStyle w:val="NormalWeb"/>
      </w:pPr>
      <w:r w:rsidRPr="00472AB4">
        <w:t>6 Wiviott SD, Braunwald E, McCabe CH</w:t>
      </w:r>
      <w:r w:rsidRPr="00472AB4">
        <w:rPr>
          <w:i/>
          <w:iCs/>
        </w:rPr>
        <w:t>, et al</w:t>
      </w:r>
      <w:r w:rsidRPr="00472AB4">
        <w:t xml:space="preserve">. Prasugrel versus clopidogrel in patients with acute coronary syndromes. </w:t>
      </w:r>
      <w:r w:rsidRPr="00472AB4">
        <w:rPr>
          <w:i/>
          <w:iCs/>
        </w:rPr>
        <w:t>N Engl J Med</w:t>
      </w:r>
      <w:r w:rsidRPr="00472AB4">
        <w:t xml:space="preserve"> 2007;</w:t>
      </w:r>
      <w:r w:rsidRPr="00472AB4">
        <w:rPr>
          <w:b/>
          <w:bCs/>
        </w:rPr>
        <w:t>357</w:t>
      </w:r>
      <w:r w:rsidRPr="00472AB4">
        <w:t>: 2001-15.</w:t>
      </w:r>
    </w:p>
    <w:p w14:paraId="721B0282" w14:textId="77777777" w:rsidR="00CE0BB2" w:rsidRPr="00472AB4" w:rsidRDefault="00CE0BB2" w:rsidP="00CE0BB2">
      <w:pPr>
        <w:pStyle w:val="NormalWeb"/>
      </w:pPr>
      <w:r w:rsidRPr="00472AB4">
        <w:t>7 Montalescot G, Wiviott SD, Braunwald E</w:t>
      </w:r>
      <w:r w:rsidRPr="00472AB4">
        <w:rPr>
          <w:i/>
          <w:iCs/>
        </w:rPr>
        <w:t>, et al</w:t>
      </w:r>
      <w:r w:rsidRPr="00472AB4">
        <w:t>. Prasugrel compared with clopidogrel in patients undergoing percutaneous coronary intervention for ST-elevation myocardial infarction (TRITON-TIMI 38): Double-blind, randomised controlled trial. 2009;</w:t>
      </w:r>
      <w:r w:rsidRPr="00472AB4">
        <w:rPr>
          <w:b/>
          <w:bCs/>
        </w:rPr>
        <w:t>373</w:t>
      </w:r>
      <w:r w:rsidRPr="00472AB4">
        <w:t>: 723-31.</w:t>
      </w:r>
    </w:p>
    <w:p w14:paraId="113C23F9" w14:textId="77777777" w:rsidR="00CE0BB2" w:rsidRPr="00472AB4" w:rsidRDefault="00CE0BB2" w:rsidP="00CE0BB2">
      <w:pPr>
        <w:pStyle w:val="NormalWeb"/>
      </w:pPr>
      <w:r w:rsidRPr="00472AB4">
        <w:t>8 Steg PG, James S, Harrington RA</w:t>
      </w:r>
      <w:r w:rsidRPr="00472AB4">
        <w:rPr>
          <w:i/>
          <w:iCs/>
        </w:rPr>
        <w:t>, et al</w:t>
      </w:r>
      <w:r w:rsidRPr="00472AB4">
        <w:t xml:space="preserve">. Ticagrelor versus clopidogrel in patients with ST-elevation acute coronary syndromes intended for reperfusion with primary percutaneous coronary intervention: A platelet inhibition and patient outcomes (PLATO) trial subgroup analysis. </w:t>
      </w:r>
      <w:r w:rsidRPr="00472AB4">
        <w:rPr>
          <w:i/>
          <w:iCs/>
        </w:rPr>
        <w:t>Circulation</w:t>
      </w:r>
      <w:r w:rsidRPr="00472AB4">
        <w:t xml:space="preserve"> 2010;</w:t>
      </w:r>
      <w:r w:rsidRPr="00472AB4">
        <w:rPr>
          <w:b/>
          <w:bCs/>
        </w:rPr>
        <w:t>122</w:t>
      </w:r>
      <w:r w:rsidRPr="00472AB4">
        <w:t>: 2131-41.</w:t>
      </w:r>
    </w:p>
    <w:p w14:paraId="4B3CCCEA" w14:textId="77777777" w:rsidR="00CE0BB2" w:rsidRPr="00472AB4" w:rsidRDefault="00CE0BB2" w:rsidP="00CE0BB2">
      <w:pPr>
        <w:pStyle w:val="NormalWeb"/>
      </w:pPr>
      <w:r w:rsidRPr="00472AB4">
        <w:t>9 Udell JA, Braunwald E, Antman EM</w:t>
      </w:r>
      <w:r w:rsidRPr="00472AB4">
        <w:rPr>
          <w:i/>
          <w:iCs/>
        </w:rPr>
        <w:t>, et al</w:t>
      </w:r>
      <w:r w:rsidRPr="00472AB4">
        <w:t>. Prasugrel versus clopidogrel in patients with ST-segment elevation myocardial infarction according to timing of percutaneous coronary intervention: A TRITON–TIMI 38 subgroup analysis (trial to assess improvement in therapeutic outcomes by optimizing platelet inhibition with Prasugrel–Thrombolysis in myocardial infarction 38). 2014;</w:t>
      </w:r>
      <w:r w:rsidRPr="00472AB4">
        <w:rPr>
          <w:b/>
          <w:bCs/>
        </w:rPr>
        <w:t>7</w:t>
      </w:r>
      <w:r w:rsidRPr="00472AB4">
        <w:t>: 604-12.</w:t>
      </w:r>
    </w:p>
    <w:p w14:paraId="768E1574" w14:textId="77777777" w:rsidR="00CE0BB2" w:rsidRPr="00472AB4" w:rsidRDefault="00CE0BB2" w:rsidP="00CE0BB2">
      <w:pPr>
        <w:pStyle w:val="NormalWeb"/>
      </w:pPr>
      <w:r w:rsidRPr="00472AB4">
        <w:lastRenderedPageBreak/>
        <w:t>10 Velders MA, Abtan J, Angiolillo DJ</w:t>
      </w:r>
      <w:r w:rsidRPr="00472AB4">
        <w:rPr>
          <w:i/>
          <w:iCs/>
        </w:rPr>
        <w:t>, et al</w:t>
      </w:r>
      <w:r w:rsidRPr="00472AB4">
        <w:t xml:space="preserve">. Safety and efficacy of ticagrelor and clopidogrel in primary percutaneous coronary intervention. </w:t>
      </w:r>
      <w:r w:rsidRPr="00472AB4">
        <w:rPr>
          <w:i/>
          <w:iCs/>
        </w:rPr>
        <w:t>Heart</w:t>
      </w:r>
      <w:r w:rsidRPr="00472AB4">
        <w:t xml:space="preserve"> 2016;</w:t>
      </w:r>
      <w:r w:rsidRPr="00472AB4">
        <w:rPr>
          <w:b/>
          <w:bCs/>
        </w:rPr>
        <w:t>102</w:t>
      </w:r>
      <w:r w:rsidRPr="00472AB4">
        <w:t>: 617-25.</w:t>
      </w:r>
    </w:p>
    <w:p w14:paraId="43DA0B49" w14:textId="77777777" w:rsidR="00CE0BB2" w:rsidRPr="00472AB4" w:rsidRDefault="00CE0BB2" w:rsidP="00CE0BB2">
      <w:pPr>
        <w:pStyle w:val="NormalWeb"/>
      </w:pPr>
      <w:r w:rsidRPr="00472AB4">
        <w:t xml:space="preserve">11 Khan N, Cox AR, Cotton JM. Pharmacokinetics and pharmacodynamics of oral P2Y12 inhibitors during the acute phase of a myocardial infarction: A systematic review. </w:t>
      </w:r>
      <w:r w:rsidRPr="00472AB4">
        <w:rPr>
          <w:i/>
          <w:iCs/>
        </w:rPr>
        <w:t>Thromb Res</w:t>
      </w:r>
      <w:r w:rsidRPr="00472AB4">
        <w:t xml:space="preserve"> 2016;</w:t>
      </w:r>
      <w:r w:rsidRPr="00472AB4">
        <w:rPr>
          <w:b/>
          <w:bCs/>
        </w:rPr>
        <w:t>143</w:t>
      </w:r>
      <w:r w:rsidRPr="00472AB4">
        <w:t>: 141-8.</w:t>
      </w:r>
    </w:p>
    <w:p w14:paraId="1EEFCB02" w14:textId="77777777" w:rsidR="00CE0BB2" w:rsidRPr="00472AB4" w:rsidRDefault="00CE0BB2" w:rsidP="00CE0BB2">
      <w:pPr>
        <w:pStyle w:val="NormalWeb"/>
      </w:pPr>
      <w:r w:rsidRPr="00472AB4">
        <w:t>12 Angiolillo DJ, Curzen N, Gurbel P</w:t>
      </w:r>
      <w:r w:rsidRPr="00472AB4">
        <w:rPr>
          <w:i/>
          <w:iCs/>
        </w:rPr>
        <w:t>, et al</w:t>
      </w:r>
      <w:r w:rsidRPr="00472AB4">
        <w:t xml:space="preserve">. Pharmacodynamic evaluation of switching from ticagrelor to prasugrel in patients with stable coronary artery disease: Results of the SWAP-2 study (switching anti platelet-2). </w:t>
      </w:r>
      <w:r w:rsidRPr="00472AB4">
        <w:rPr>
          <w:i/>
          <w:iCs/>
        </w:rPr>
        <w:t>J Am Coll Cardiol</w:t>
      </w:r>
      <w:r w:rsidRPr="00472AB4">
        <w:t xml:space="preserve"> 2014;</w:t>
      </w:r>
      <w:r w:rsidRPr="00472AB4">
        <w:rPr>
          <w:b/>
          <w:bCs/>
        </w:rPr>
        <w:t>63</w:t>
      </w:r>
      <w:r w:rsidRPr="00472AB4">
        <w:t>: 1500-9.</w:t>
      </w:r>
    </w:p>
    <w:p w14:paraId="704BDD3F" w14:textId="77777777" w:rsidR="00CE0BB2" w:rsidRPr="00472AB4" w:rsidRDefault="00CE0BB2" w:rsidP="00CE0BB2">
      <w:pPr>
        <w:pStyle w:val="NormalWeb"/>
      </w:pPr>
      <w:r w:rsidRPr="00472AB4">
        <w:t xml:space="preserve">13 Husted S, Boersma E. Case study: Ticagrelor in PLATO and prasugrel in TRITON-TIMI 38 and TRILOGY-ACS trials in patients with acute coronary syndromes. </w:t>
      </w:r>
      <w:r w:rsidRPr="00472AB4">
        <w:rPr>
          <w:i/>
          <w:iCs/>
        </w:rPr>
        <w:t>Am J Ther</w:t>
      </w:r>
      <w:r w:rsidRPr="00472AB4">
        <w:t xml:space="preserve"> 2016;</w:t>
      </w:r>
      <w:r w:rsidRPr="00472AB4">
        <w:rPr>
          <w:b/>
          <w:bCs/>
        </w:rPr>
        <w:t>23</w:t>
      </w:r>
      <w:r w:rsidRPr="00472AB4">
        <w:t>: e1876-89.</w:t>
      </w:r>
    </w:p>
    <w:p w14:paraId="2973ABB4" w14:textId="77777777" w:rsidR="00CE0BB2" w:rsidRPr="00472AB4" w:rsidRDefault="00CE0BB2" w:rsidP="00CE0BB2">
      <w:pPr>
        <w:pStyle w:val="NormalWeb"/>
      </w:pPr>
      <w:r w:rsidRPr="00472AB4">
        <w:t>14 Motovska Z, Hlinomaz O, Miklik R</w:t>
      </w:r>
      <w:r w:rsidRPr="00472AB4">
        <w:rPr>
          <w:i/>
          <w:iCs/>
        </w:rPr>
        <w:t>, et al</w:t>
      </w:r>
      <w:r w:rsidRPr="00472AB4">
        <w:t xml:space="preserve">. Prasugrel versus ticagrelor in patients with acute myocardial infarction treated with primary percutaneous coronary intervention: Multicenter randomized PRAGUE-18 study. </w:t>
      </w:r>
      <w:r w:rsidRPr="00472AB4">
        <w:rPr>
          <w:i/>
          <w:iCs/>
        </w:rPr>
        <w:t>Circulation</w:t>
      </w:r>
      <w:r w:rsidRPr="00472AB4">
        <w:t xml:space="preserve"> 2016;</w:t>
      </w:r>
      <w:r w:rsidRPr="00472AB4">
        <w:rPr>
          <w:b/>
          <w:bCs/>
        </w:rPr>
        <w:t>134</w:t>
      </w:r>
      <w:r w:rsidRPr="00472AB4">
        <w:t>: 1603-12.</w:t>
      </w:r>
    </w:p>
    <w:p w14:paraId="558EEEEF" w14:textId="2640C341" w:rsidR="00CE0BB2" w:rsidRPr="00472AB4" w:rsidRDefault="00CE0BB2" w:rsidP="00CE0BB2">
      <w:pPr>
        <w:pStyle w:val="NormalWeb"/>
      </w:pPr>
      <w:r w:rsidRPr="00472AB4">
        <w:t xml:space="preserve">15 Wendling P. PRAGUE-18: Prasugrel, ticagrelor equal in STEMI, but questions remain. medscape. aug 30, 2016. </w:t>
      </w:r>
      <w:hyperlink r:id="rId9" w:tgtFrame="_blank" w:history="1">
        <w:r w:rsidRPr="00472AB4">
          <w:rPr>
            <w:rStyle w:val="Hyperlink"/>
            <w:b/>
            <w:bCs/>
          </w:rPr>
          <w:t>http://www.medscape.com/viewarticle/868142</w:t>
        </w:r>
      </w:hyperlink>
      <w:r w:rsidRPr="00472AB4">
        <w:rPr>
          <w:b/>
          <w:bCs/>
        </w:rPr>
        <w:t xml:space="preserve"> accessed on 24 March 2016.</w:t>
      </w:r>
    </w:p>
    <w:p w14:paraId="677118CB" w14:textId="77777777" w:rsidR="00CE0BB2" w:rsidRPr="00472AB4" w:rsidRDefault="00CE0BB2" w:rsidP="00CE0BB2">
      <w:pPr>
        <w:pStyle w:val="NormalWeb"/>
      </w:pPr>
      <w:r w:rsidRPr="00472AB4">
        <w:t>16 Schulz S, Angiolillo DJ, Antoniucci D</w:t>
      </w:r>
      <w:r w:rsidRPr="00472AB4">
        <w:rPr>
          <w:i/>
          <w:iCs/>
        </w:rPr>
        <w:t>, et al</w:t>
      </w:r>
      <w:r w:rsidRPr="00472AB4">
        <w:t>. Randomized comparison of ticagrelor versus prasugrel in patients with acute coronary syndrome and planned invasive strategy—design and rationale of the iNtracoronary stenting and antithrombotic regimen: Rapid early action for coronary treatment (ISAR-REACT) 5 trial. 2014;</w:t>
      </w:r>
      <w:r w:rsidRPr="00472AB4">
        <w:rPr>
          <w:b/>
          <w:bCs/>
        </w:rPr>
        <w:t>7</w:t>
      </w:r>
      <w:r w:rsidRPr="00472AB4">
        <w:t>: 91-100.</w:t>
      </w:r>
    </w:p>
    <w:p w14:paraId="78D11901" w14:textId="77777777" w:rsidR="00CE0BB2" w:rsidRPr="00472AB4" w:rsidRDefault="00CE0BB2" w:rsidP="00CE0BB2">
      <w:pPr>
        <w:pStyle w:val="NormalWeb"/>
      </w:pPr>
      <w:r w:rsidRPr="00472AB4">
        <w:t>17 Mamas MA, Anderson SG, Carr M</w:t>
      </w:r>
      <w:r w:rsidRPr="00472AB4">
        <w:rPr>
          <w:i/>
          <w:iCs/>
        </w:rPr>
        <w:t>, et al</w:t>
      </w:r>
      <w:r w:rsidRPr="00472AB4">
        <w:t xml:space="preserve">. Baseline bleeding risk and arterial access site practice in relation to procedural outcomes after percutaneous coronary intervention. </w:t>
      </w:r>
      <w:r w:rsidRPr="00472AB4">
        <w:rPr>
          <w:i/>
          <w:iCs/>
        </w:rPr>
        <w:t>J Am Coll Cardiol</w:t>
      </w:r>
      <w:r w:rsidRPr="00472AB4">
        <w:t xml:space="preserve"> 2014;</w:t>
      </w:r>
      <w:r w:rsidRPr="00472AB4">
        <w:rPr>
          <w:b/>
          <w:bCs/>
        </w:rPr>
        <w:t>64</w:t>
      </w:r>
      <w:r w:rsidRPr="00472AB4">
        <w:t>: 1554-64.</w:t>
      </w:r>
    </w:p>
    <w:p w14:paraId="08B945D6" w14:textId="77777777" w:rsidR="00CE0BB2" w:rsidRPr="00472AB4" w:rsidRDefault="00CE0BB2" w:rsidP="00CE0BB2">
      <w:pPr>
        <w:pStyle w:val="NormalWeb"/>
      </w:pPr>
      <w:r w:rsidRPr="00472AB4">
        <w:t>18 Mamas MA, Nolan J, de Belder MA</w:t>
      </w:r>
      <w:r w:rsidRPr="00472AB4">
        <w:rPr>
          <w:i/>
          <w:iCs/>
        </w:rPr>
        <w:t>, et al</w:t>
      </w:r>
      <w:r w:rsidRPr="00472AB4">
        <w:t xml:space="preserve">. Changes in arterial access site and association with mortality in the united kingdom: Observations from a national percutaneous coronary intervention database. </w:t>
      </w:r>
      <w:r w:rsidRPr="00472AB4">
        <w:rPr>
          <w:i/>
          <w:iCs/>
        </w:rPr>
        <w:t>Circulation</w:t>
      </w:r>
      <w:r w:rsidRPr="00472AB4">
        <w:t xml:space="preserve"> 2016;</w:t>
      </w:r>
      <w:r w:rsidRPr="00472AB4">
        <w:rPr>
          <w:b/>
          <w:bCs/>
        </w:rPr>
        <w:t>133</w:t>
      </w:r>
      <w:r w:rsidRPr="00472AB4">
        <w:t>: 1655-67.</w:t>
      </w:r>
    </w:p>
    <w:p w14:paraId="46B8C9A1" w14:textId="77777777" w:rsidR="00CE0BB2" w:rsidRPr="00472AB4" w:rsidRDefault="00CE0BB2" w:rsidP="00CE0BB2">
      <w:pPr>
        <w:pStyle w:val="NormalWeb"/>
      </w:pPr>
      <w:r w:rsidRPr="00472AB4">
        <w:t>19 Sirker A, Mamas M, Robinson D</w:t>
      </w:r>
      <w:r w:rsidRPr="00472AB4">
        <w:rPr>
          <w:i/>
          <w:iCs/>
        </w:rPr>
        <w:t>, et al</w:t>
      </w:r>
      <w:r w:rsidRPr="00472AB4">
        <w:t xml:space="preserve">. Bivalirudin, glycoprotein inhibitor, and heparin use and association with outcomes of primary percutaneous coronary intervention in the united kingdom. </w:t>
      </w:r>
      <w:r w:rsidRPr="00472AB4">
        <w:rPr>
          <w:i/>
          <w:iCs/>
        </w:rPr>
        <w:t>Eur Heart J</w:t>
      </w:r>
      <w:r w:rsidRPr="00472AB4">
        <w:t xml:space="preserve"> 2016;</w:t>
      </w:r>
      <w:r w:rsidRPr="00472AB4">
        <w:rPr>
          <w:b/>
          <w:bCs/>
        </w:rPr>
        <w:t>37</w:t>
      </w:r>
      <w:r w:rsidRPr="00472AB4">
        <w:t>: 1312-20.</w:t>
      </w:r>
    </w:p>
    <w:p w14:paraId="3A1C09BE" w14:textId="77777777" w:rsidR="00CE0BB2" w:rsidRPr="00472AB4" w:rsidRDefault="00CE0BB2" w:rsidP="00CE0BB2">
      <w:pPr>
        <w:pStyle w:val="NormalWeb"/>
      </w:pPr>
      <w:r w:rsidRPr="00472AB4">
        <w:t xml:space="preserve">20 Ludman PF, British Cardiovascular Intervention Society. British cardiovascular intervention society registry for audit and quality assessment of percutaneous coronary interventions in the united kingdom. </w:t>
      </w:r>
      <w:r w:rsidRPr="00472AB4">
        <w:rPr>
          <w:i/>
          <w:iCs/>
        </w:rPr>
        <w:t>Heart</w:t>
      </w:r>
      <w:r w:rsidRPr="00472AB4">
        <w:t xml:space="preserve"> 2011;</w:t>
      </w:r>
      <w:r w:rsidRPr="00472AB4">
        <w:rPr>
          <w:b/>
          <w:bCs/>
        </w:rPr>
        <w:t>97</w:t>
      </w:r>
      <w:r w:rsidRPr="00472AB4">
        <w:t>: 1293-7.</w:t>
      </w:r>
    </w:p>
    <w:p w14:paraId="60AE9936" w14:textId="77777777" w:rsidR="00CE0BB2" w:rsidRPr="00472AB4" w:rsidRDefault="00CE0BB2" w:rsidP="00CE0BB2">
      <w:pPr>
        <w:pStyle w:val="NormalWeb"/>
      </w:pPr>
      <w:r w:rsidRPr="00472AB4">
        <w:t>21 Kwok CS, Kontopantelis E, Kunadian V</w:t>
      </w:r>
      <w:r w:rsidRPr="00472AB4">
        <w:rPr>
          <w:i/>
          <w:iCs/>
        </w:rPr>
        <w:t>, et al</w:t>
      </w:r>
      <w:r w:rsidRPr="00472AB4">
        <w:t xml:space="preserve">. Effect of access site, gender, and indication on clinical outcomes after percutaneous coronary intervention: Insights from the british cardiovascular intervention society (BCIS). </w:t>
      </w:r>
      <w:r w:rsidRPr="00472AB4">
        <w:rPr>
          <w:i/>
          <w:iCs/>
        </w:rPr>
        <w:t>Am Heart J</w:t>
      </w:r>
      <w:r w:rsidRPr="00472AB4">
        <w:t xml:space="preserve"> 2015;</w:t>
      </w:r>
      <w:r w:rsidRPr="00472AB4">
        <w:rPr>
          <w:b/>
          <w:bCs/>
        </w:rPr>
        <w:t>170</w:t>
      </w:r>
      <w:r w:rsidRPr="00472AB4">
        <w:t>: 164,172. e5.</w:t>
      </w:r>
    </w:p>
    <w:p w14:paraId="253888A2" w14:textId="77777777" w:rsidR="00CE0BB2" w:rsidRPr="00472AB4" w:rsidRDefault="00CE0BB2" w:rsidP="00CE0BB2">
      <w:pPr>
        <w:pStyle w:val="NormalWeb"/>
      </w:pPr>
      <w:r w:rsidRPr="00472AB4">
        <w:lastRenderedPageBreak/>
        <w:t>22 Mamas MA, Ratib K, Routledge H</w:t>
      </w:r>
      <w:r w:rsidRPr="00472AB4">
        <w:rPr>
          <w:i/>
          <w:iCs/>
        </w:rPr>
        <w:t>, et al</w:t>
      </w:r>
      <w:r w:rsidRPr="00472AB4">
        <w:t xml:space="preserve">. Influence of arterial access site selection on outcomes in primary percutaneous coronary intervention: Are the results of randomized trials achievable in clinical practice? </w:t>
      </w:r>
      <w:r w:rsidRPr="00472AB4">
        <w:rPr>
          <w:i/>
          <w:iCs/>
        </w:rPr>
        <w:t>JACC Cardiovasc Interv</w:t>
      </w:r>
      <w:r w:rsidRPr="00472AB4">
        <w:t xml:space="preserve"> 2013;</w:t>
      </w:r>
      <w:r w:rsidRPr="00472AB4">
        <w:rPr>
          <w:b/>
          <w:bCs/>
        </w:rPr>
        <w:t>6</w:t>
      </w:r>
      <w:r w:rsidRPr="00472AB4">
        <w:t>: 698-706.</w:t>
      </w:r>
    </w:p>
    <w:p w14:paraId="04DE646E" w14:textId="77777777" w:rsidR="00CE0BB2" w:rsidRPr="00472AB4" w:rsidRDefault="00CE0BB2" w:rsidP="00CE0BB2">
      <w:pPr>
        <w:pStyle w:val="NormalWeb"/>
      </w:pPr>
      <w:r w:rsidRPr="00472AB4">
        <w:t>23 Rubin D. Multiple imputation for nonresponse in surveys 1987 wiley new york. 1987;.</w:t>
      </w:r>
    </w:p>
    <w:p w14:paraId="62BF7E91" w14:textId="33C3AF21" w:rsidR="00CE0BB2" w:rsidRPr="00472AB4" w:rsidRDefault="00CE0BB2" w:rsidP="00CE0BB2">
      <w:pPr>
        <w:pStyle w:val="NormalWeb"/>
      </w:pPr>
      <w:r w:rsidRPr="00472AB4">
        <w:t>24 Buuren S, Groothuis-Oudshoorn K. Mice: Multivariate imputation by chained equations in R. 2011;</w:t>
      </w:r>
      <w:r w:rsidRPr="00472AB4">
        <w:rPr>
          <w:b/>
          <w:bCs/>
        </w:rPr>
        <w:t xml:space="preserve">45 </w:t>
      </w:r>
      <w:r w:rsidRPr="00472AB4">
        <w:rPr>
          <w:bCs/>
        </w:rPr>
        <w:t>(3)</w:t>
      </w:r>
      <w:r w:rsidRPr="00472AB4">
        <w:t>.</w:t>
      </w:r>
    </w:p>
    <w:p w14:paraId="676759C3" w14:textId="6B2BE1B8" w:rsidR="00CE0BB2" w:rsidRPr="00472AB4" w:rsidRDefault="00CE0BB2" w:rsidP="00CE0BB2">
      <w:pPr>
        <w:pStyle w:val="NormalWeb"/>
      </w:pPr>
      <w:r w:rsidRPr="00472AB4">
        <w:t xml:space="preserve">25 Ho DE. Imai K, King G, Stuart EA. MatchIt: nonparametric preprocessing </w:t>
      </w:r>
      <w:r w:rsidR="007C353A" w:rsidRPr="00472AB4">
        <w:t xml:space="preserve">for parametric casual inference. Journal of Statistical Software. 2011; </w:t>
      </w:r>
      <w:r w:rsidR="007C353A" w:rsidRPr="00472AB4">
        <w:rPr>
          <w:b/>
        </w:rPr>
        <w:t>14</w:t>
      </w:r>
      <w:r w:rsidR="007C353A" w:rsidRPr="00472AB4">
        <w:t>:1-28.</w:t>
      </w:r>
    </w:p>
    <w:p w14:paraId="02EB8CEC" w14:textId="77777777" w:rsidR="00CE0BB2" w:rsidRPr="00472AB4" w:rsidRDefault="00CE0BB2" w:rsidP="00CE0BB2">
      <w:pPr>
        <w:pStyle w:val="NormalWeb"/>
      </w:pPr>
      <w:r w:rsidRPr="00472AB4">
        <w:t>26 Mamas MA, Ratib K, Routledge H</w:t>
      </w:r>
      <w:r w:rsidRPr="00472AB4">
        <w:rPr>
          <w:i/>
          <w:iCs/>
        </w:rPr>
        <w:t>, et al</w:t>
      </w:r>
      <w:r w:rsidRPr="00472AB4">
        <w:t xml:space="preserve">. Influence of access site selection on PCI-related adverse events in patients with STEMI: Meta-analysis of randomised controlled trials. </w:t>
      </w:r>
      <w:r w:rsidRPr="00472AB4">
        <w:rPr>
          <w:i/>
          <w:iCs/>
        </w:rPr>
        <w:t>Heart</w:t>
      </w:r>
      <w:r w:rsidRPr="00472AB4">
        <w:t xml:space="preserve"> 2012;</w:t>
      </w:r>
      <w:r w:rsidRPr="00472AB4">
        <w:rPr>
          <w:b/>
          <w:bCs/>
        </w:rPr>
        <w:t>98</w:t>
      </w:r>
      <w:r w:rsidRPr="00472AB4">
        <w:t>: 303-11.</w:t>
      </w:r>
    </w:p>
    <w:p w14:paraId="2189EF9C" w14:textId="77777777" w:rsidR="00CE0BB2" w:rsidRPr="00472AB4" w:rsidRDefault="00CE0BB2" w:rsidP="00CE0BB2">
      <w:pPr>
        <w:pStyle w:val="NormalWeb"/>
      </w:pPr>
      <w:r w:rsidRPr="00472AB4">
        <w:t>27 Mehta SR, Jolly SS, Cairns J</w:t>
      </w:r>
      <w:r w:rsidRPr="00472AB4">
        <w:rPr>
          <w:i/>
          <w:iCs/>
        </w:rPr>
        <w:t>, et al</w:t>
      </w:r>
      <w:r w:rsidRPr="00472AB4">
        <w:t xml:space="preserve">. Effects of radial versus femoral artery access in patients with acute coronary syndromes with or without ST-segment elevation. </w:t>
      </w:r>
      <w:r w:rsidRPr="00472AB4">
        <w:rPr>
          <w:i/>
          <w:iCs/>
        </w:rPr>
        <w:t>J Am Coll Cardiol</w:t>
      </w:r>
      <w:r w:rsidRPr="00472AB4">
        <w:t xml:space="preserve"> 2012;</w:t>
      </w:r>
      <w:r w:rsidRPr="00472AB4">
        <w:rPr>
          <w:b/>
          <w:bCs/>
        </w:rPr>
        <w:t>60</w:t>
      </w:r>
      <w:r w:rsidRPr="00472AB4">
        <w:t>: 2490-9.</w:t>
      </w:r>
    </w:p>
    <w:p w14:paraId="43B9FE27" w14:textId="77777777" w:rsidR="00CE0BB2" w:rsidRPr="00472AB4" w:rsidRDefault="00CE0BB2" w:rsidP="00CE0BB2">
      <w:pPr>
        <w:pStyle w:val="NormalWeb"/>
      </w:pPr>
      <w:r w:rsidRPr="00472AB4">
        <w:t>28 Alexopoulos D, Xanthopoulou I, Gkizas V</w:t>
      </w:r>
      <w:r w:rsidRPr="00472AB4">
        <w:rPr>
          <w:i/>
          <w:iCs/>
        </w:rPr>
        <w:t>, et al</w:t>
      </w:r>
      <w:r w:rsidRPr="00472AB4">
        <w:t xml:space="preserve">. Randomized assessment of ticagrelor versus prasugrel antiplatelet effects in patients with ST-segment-elevation myocardial infarction. </w:t>
      </w:r>
      <w:r w:rsidRPr="00472AB4">
        <w:rPr>
          <w:i/>
          <w:iCs/>
        </w:rPr>
        <w:t>Circ Cardiovasc Interv</w:t>
      </w:r>
      <w:r w:rsidRPr="00472AB4">
        <w:t xml:space="preserve"> 2012;</w:t>
      </w:r>
      <w:r w:rsidRPr="00472AB4">
        <w:rPr>
          <w:b/>
          <w:bCs/>
        </w:rPr>
        <w:t>5</w:t>
      </w:r>
      <w:r w:rsidRPr="00472AB4">
        <w:t>: 797-804.</w:t>
      </w:r>
    </w:p>
    <w:p w14:paraId="5157FDC7" w14:textId="77777777" w:rsidR="00CE0BB2" w:rsidRPr="00472AB4" w:rsidRDefault="00CE0BB2" w:rsidP="00CE0BB2">
      <w:pPr>
        <w:pStyle w:val="NormalWeb"/>
      </w:pPr>
      <w:r w:rsidRPr="00472AB4">
        <w:t>29 Larmore C, Effron MB, Molife C</w:t>
      </w:r>
      <w:r w:rsidRPr="00472AB4">
        <w:rPr>
          <w:i/>
          <w:iCs/>
        </w:rPr>
        <w:t>, et al</w:t>
      </w:r>
      <w:r w:rsidRPr="00472AB4">
        <w:t>. “Real‐World” comparison of prasugrel with ticagrelor in patients with acute coronary syndrome treated with percutaneous coronary intervention in the united states. 2015;.</w:t>
      </w:r>
    </w:p>
    <w:p w14:paraId="0680599C" w14:textId="660C86AD" w:rsidR="006E2359" w:rsidRPr="00472AB4" w:rsidRDefault="00CE0BB2" w:rsidP="00B11465">
      <w:pPr>
        <w:pStyle w:val="NormalWeb"/>
      </w:pPr>
      <w:r w:rsidRPr="00472AB4">
        <w:t>30 Rafique AM, Nayyar P, Wang TY</w:t>
      </w:r>
      <w:r w:rsidRPr="00472AB4">
        <w:rPr>
          <w:i/>
          <w:iCs/>
        </w:rPr>
        <w:t>, et al</w:t>
      </w:r>
      <w:r w:rsidRPr="00472AB4">
        <w:t>. Optimal P2Y 12 inhibitor in patients with ST-segment elevation myocardial infarction undergoing primary percutaneous coronary intervention: A network meta-analysis. 2016;</w:t>
      </w:r>
      <w:r w:rsidRPr="00472AB4">
        <w:rPr>
          <w:b/>
          <w:bCs/>
        </w:rPr>
        <w:t>9</w:t>
      </w:r>
      <w:r w:rsidRPr="00472AB4">
        <w:t>: 1036-46. </w:t>
      </w:r>
      <w:r w:rsidRPr="00472AB4">
        <w:fldChar w:fldCharType="end"/>
      </w:r>
    </w:p>
    <w:p w14:paraId="0F3AFB11" w14:textId="2F350C6B" w:rsidR="00012AE5" w:rsidRPr="00472AB4" w:rsidRDefault="00012AE5" w:rsidP="00012AE5">
      <w:pPr>
        <w:rPr>
          <w:sz w:val="24"/>
          <w:szCs w:val="24"/>
        </w:rPr>
      </w:pPr>
    </w:p>
    <w:p w14:paraId="03BB1E1F" w14:textId="77777777" w:rsidR="00193E4A" w:rsidRPr="00472AB4" w:rsidRDefault="00193E4A" w:rsidP="004607F1">
      <w:pPr>
        <w:rPr>
          <w:sz w:val="24"/>
          <w:szCs w:val="24"/>
        </w:rPr>
      </w:pPr>
    </w:p>
    <w:p w14:paraId="3C7F3DD7" w14:textId="77777777" w:rsidR="00501894" w:rsidRPr="00472AB4" w:rsidRDefault="00EE71FF" w:rsidP="008E0662">
      <w:pPr>
        <w:widowControl w:val="0"/>
        <w:autoSpaceDE w:val="0"/>
        <w:autoSpaceDN w:val="0"/>
        <w:adjustRightInd w:val="0"/>
        <w:outlineLvl w:val="0"/>
        <w:rPr>
          <w:b/>
          <w:sz w:val="24"/>
          <w:szCs w:val="24"/>
        </w:rPr>
      </w:pPr>
      <w:r w:rsidRPr="00472AB4">
        <w:rPr>
          <w:b/>
          <w:sz w:val="24"/>
          <w:szCs w:val="24"/>
        </w:rPr>
        <w:t>List of Figures and Tables</w:t>
      </w:r>
    </w:p>
    <w:p w14:paraId="78742BE1" w14:textId="77777777" w:rsidR="00EE71FF" w:rsidRPr="00472AB4" w:rsidRDefault="00EE71FF" w:rsidP="00EE71FF">
      <w:pPr>
        <w:rPr>
          <w:b/>
          <w:sz w:val="24"/>
          <w:szCs w:val="24"/>
          <w:lang w:val="en-GB" w:eastAsia="en-GB"/>
        </w:rPr>
      </w:pPr>
      <w:r w:rsidRPr="00472AB4">
        <w:rPr>
          <w:b/>
          <w:sz w:val="24"/>
          <w:szCs w:val="24"/>
          <w:lang w:val="en-GB" w:eastAsia="en-GB"/>
        </w:rPr>
        <w:t xml:space="preserve">Figure 1. </w:t>
      </w:r>
      <w:r w:rsidRPr="00472AB4">
        <w:rPr>
          <w:sz w:val="24"/>
          <w:szCs w:val="24"/>
          <w:lang w:val="en-GB" w:eastAsia="en-GB"/>
        </w:rPr>
        <w:t xml:space="preserve">Flowchart for </w:t>
      </w:r>
      <w:r w:rsidR="004B2787" w:rsidRPr="00472AB4">
        <w:rPr>
          <w:sz w:val="24"/>
          <w:szCs w:val="24"/>
          <w:lang w:val="en-GB" w:eastAsia="en-GB"/>
        </w:rPr>
        <w:t>procedure</w:t>
      </w:r>
      <w:r w:rsidRPr="00472AB4">
        <w:rPr>
          <w:sz w:val="24"/>
          <w:szCs w:val="24"/>
          <w:lang w:val="en-GB" w:eastAsia="en-GB"/>
        </w:rPr>
        <w:t xml:space="preserve"> inclusion/exclusion</w:t>
      </w:r>
      <w:r w:rsidR="004B2787" w:rsidRPr="00472AB4">
        <w:rPr>
          <w:sz w:val="24"/>
          <w:szCs w:val="24"/>
          <w:lang w:val="en-GB" w:eastAsia="en-GB"/>
        </w:rPr>
        <w:t>.</w:t>
      </w:r>
      <w:r w:rsidRPr="00472AB4">
        <w:rPr>
          <w:sz w:val="24"/>
          <w:szCs w:val="24"/>
          <w:lang w:val="en-GB" w:eastAsia="en-GB"/>
        </w:rPr>
        <w:t xml:space="preserve"> </w:t>
      </w:r>
    </w:p>
    <w:p w14:paraId="57E05AEF" w14:textId="09A8619E" w:rsidR="00A05102" w:rsidRPr="00472AB4" w:rsidRDefault="00A05102" w:rsidP="00A05102">
      <w:pPr>
        <w:rPr>
          <w:b/>
          <w:sz w:val="24"/>
          <w:szCs w:val="24"/>
          <w:lang w:val="en-GB" w:eastAsia="en-GB"/>
        </w:rPr>
      </w:pPr>
      <w:r w:rsidRPr="00472AB4">
        <w:rPr>
          <w:b/>
          <w:sz w:val="24"/>
          <w:szCs w:val="24"/>
          <w:lang w:val="en-GB" w:eastAsia="en-GB"/>
        </w:rPr>
        <w:t xml:space="preserve">Figure </w:t>
      </w:r>
      <w:r w:rsidR="00D46F0C" w:rsidRPr="00472AB4">
        <w:rPr>
          <w:b/>
          <w:sz w:val="24"/>
          <w:szCs w:val="24"/>
          <w:lang w:val="en-GB" w:eastAsia="en-GB"/>
        </w:rPr>
        <w:t>2</w:t>
      </w:r>
      <w:r w:rsidRPr="00472AB4">
        <w:rPr>
          <w:b/>
          <w:sz w:val="24"/>
          <w:szCs w:val="24"/>
          <w:lang w:val="en-GB" w:eastAsia="en-GB"/>
        </w:rPr>
        <w:t>.</w:t>
      </w:r>
      <w:r w:rsidR="004B2787" w:rsidRPr="00472AB4">
        <w:rPr>
          <w:b/>
          <w:sz w:val="24"/>
          <w:szCs w:val="24"/>
          <w:lang w:val="en-GB" w:eastAsia="en-GB"/>
        </w:rPr>
        <w:t xml:space="preserve"> </w:t>
      </w:r>
      <w:r w:rsidR="004B2787" w:rsidRPr="00472AB4">
        <w:rPr>
          <w:sz w:val="24"/>
          <w:szCs w:val="24"/>
          <w:lang w:val="en-GB" w:eastAsia="en-GB"/>
        </w:rPr>
        <w:t>Changes in use of antiplatelet drugs in Primary Care Trusts in England and Local Health Boards in Wales.</w:t>
      </w:r>
    </w:p>
    <w:p w14:paraId="550D5971" w14:textId="1BB59F9A" w:rsidR="00A05102" w:rsidRPr="00472AB4" w:rsidRDefault="00A05102" w:rsidP="00A05102">
      <w:pPr>
        <w:rPr>
          <w:b/>
          <w:sz w:val="24"/>
          <w:szCs w:val="24"/>
          <w:lang w:val="en-GB" w:eastAsia="en-GB"/>
        </w:rPr>
      </w:pPr>
      <w:r w:rsidRPr="00472AB4">
        <w:rPr>
          <w:b/>
          <w:sz w:val="24"/>
          <w:szCs w:val="24"/>
          <w:lang w:val="en-GB" w:eastAsia="en-GB"/>
        </w:rPr>
        <w:t xml:space="preserve">Figure </w:t>
      </w:r>
      <w:r w:rsidR="00D46F0C" w:rsidRPr="00472AB4">
        <w:rPr>
          <w:b/>
          <w:sz w:val="24"/>
          <w:szCs w:val="24"/>
          <w:lang w:val="en-GB" w:eastAsia="en-GB"/>
        </w:rPr>
        <w:t>3</w:t>
      </w:r>
      <w:r w:rsidRPr="00472AB4">
        <w:rPr>
          <w:b/>
          <w:sz w:val="24"/>
          <w:szCs w:val="24"/>
          <w:lang w:val="en-GB" w:eastAsia="en-GB"/>
        </w:rPr>
        <w:t xml:space="preserve">. </w:t>
      </w:r>
      <w:r w:rsidRPr="00472AB4">
        <w:rPr>
          <w:sz w:val="24"/>
          <w:szCs w:val="24"/>
          <w:lang w:val="en-GB" w:eastAsia="en-GB"/>
        </w:rPr>
        <w:t>Kaplan-Meier curves for the propensity score matched datasets. Confidence intervals are represented by colored shades.</w:t>
      </w:r>
    </w:p>
    <w:p w14:paraId="7C2D1CFD" w14:textId="77777777" w:rsidR="00EE71FF" w:rsidRPr="00472AB4" w:rsidRDefault="00EE71FF" w:rsidP="00EE71FF">
      <w:pPr>
        <w:rPr>
          <w:b/>
          <w:sz w:val="24"/>
          <w:szCs w:val="24"/>
          <w:lang w:val="en-GB" w:eastAsia="en-GB"/>
        </w:rPr>
      </w:pPr>
    </w:p>
    <w:p w14:paraId="69BE070D" w14:textId="77777777" w:rsidR="00A36D99" w:rsidRPr="00472AB4" w:rsidRDefault="00A36D99" w:rsidP="00A36D99">
      <w:pPr>
        <w:spacing w:before="0" w:after="0" w:line="276" w:lineRule="auto"/>
        <w:jc w:val="left"/>
        <w:rPr>
          <w:rFonts w:asciiTheme="minorHAnsi" w:eastAsiaTheme="minorHAnsi" w:hAnsiTheme="minorHAnsi" w:cstheme="minorBidi"/>
          <w:lang w:val="en-GB" w:eastAsia="en-US"/>
        </w:rPr>
      </w:pPr>
      <w:r w:rsidRPr="00472AB4">
        <w:rPr>
          <w:rFonts w:asciiTheme="minorHAnsi" w:eastAsiaTheme="minorHAnsi" w:hAnsiTheme="minorHAnsi" w:cstheme="minorBidi"/>
          <w:b/>
          <w:lang w:val="en-GB" w:eastAsia="en-US"/>
        </w:rPr>
        <w:lastRenderedPageBreak/>
        <w:t>Table 1</w:t>
      </w:r>
      <w:r w:rsidRPr="00472AB4">
        <w:rPr>
          <w:rFonts w:asciiTheme="minorHAnsi" w:eastAsiaTheme="minorHAnsi" w:hAnsiTheme="minorHAnsi" w:cstheme="minorBidi"/>
          <w:lang w:val="en-GB" w:eastAsia="en-US"/>
        </w:rPr>
        <w:t xml:space="preserve">: </w:t>
      </w:r>
      <w:r w:rsidRPr="00472AB4">
        <w:rPr>
          <w:rFonts w:asciiTheme="minorHAnsi" w:eastAsiaTheme="minorHAnsi" w:hAnsiTheme="minorHAnsi" w:cstheme="minorBidi"/>
          <w:lang w:val="en-GB" w:eastAsia="en-GB"/>
        </w:rPr>
        <w:t>Baseline patient demographics, procedural details, pharmacology, and outcomes.</w:t>
      </w:r>
    </w:p>
    <w:tbl>
      <w:tblPr>
        <w:tblW w:w="5000" w:type="pct"/>
        <w:tblCellMar>
          <w:top w:w="15" w:type="dxa"/>
          <w:left w:w="15" w:type="dxa"/>
          <w:bottom w:w="15" w:type="dxa"/>
          <w:right w:w="15" w:type="dxa"/>
        </w:tblCellMar>
        <w:tblLook w:val="04A0" w:firstRow="1" w:lastRow="0" w:firstColumn="1" w:lastColumn="0" w:noHBand="0" w:noVBand="1"/>
      </w:tblPr>
      <w:tblGrid>
        <w:gridCol w:w="3613"/>
        <w:gridCol w:w="1339"/>
        <w:gridCol w:w="1339"/>
        <w:gridCol w:w="1343"/>
        <w:gridCol w:w="697"/>
        <w:gridCol w:w="695"/>
      </w:tblGrid>
      <w:tr w:rsidR="00333CB8" w:rsidRPr="00472AB4" w14:paraId="77ED67D7" w14:textId="5C6B4949" w:rsidTr="00333CB8">
        <w:trPr>
          <w:tblHeader/>
        </w:trPr>
        <w:tc>
          <w:tcPr>
            <w:tcW w:w="2001" w:type="pct"/>
            <w:tcBorders>
              <w:top w:val="single" w:sz="12" w:space="0" w:color="auto"/>
              <w:bottom w:val="single" w:sz="4" w:space="0" w:color="auto"/>
            </w:tcBorders>
            <w:vAlign w:val="center"/>
            <w:hideMark/>
          </w:tcPr>
          <w:p w14:paraId="3A21625A" w14:textId="77777777" w:rsidR="00333CB8" w:rsidRPr="00472AB4" w:rsidRDefault="00333CB8" w:rsidP="00A36D99">
            <w:pPr>
              <w:spacing w:before="0" w:after="0" w:line="240" w:lineRule="auto"/>
              <w:jc w:val="center"/>
              <w:rPr>
                <w:rFonts w:asciiTheme="minorHAnsi" w:eastAsia="Times New Roman" w:hAnsiTheme="minorHAnsi"/>
                <w:b/>
                <w:bCs/>
                <w:sz w:val="18"/>
                <w:szCs w:val="18"/>
                <w:lang w:val="en-GB" w:eastAsia="en-GB"/>
              </w:rPr>
            </w:pPr>
          </w:p>
        </w:tc>
        <w:tc>
          <w:tcPr>
            <w:tcW w:w="742" w:type="pct"/>
            <w:tcBorders>
              <w:top w:val="single" w:sz="12" w:space="0" w:color="auto"/>
              <w:bottom w:val="single" w:sz="4" w:space="0" w:color="auto"/>
            </w:tcBorders>
            <w:vAlign w:val="center"/>
            <w:hideMark/>
          </w:tcPr>
          <w:p w14:paraId="2DC6EE5D" w14:textId="3D2B3FB7" w:rsidR="00333CB8" w:rsidRPr="00472AB4" w:rsidRDefault="00333CB8" w:rsidP="00A36D99">
            <w:pPr>
              <w:spacing w:before="0" w:after="0" w:line="240" w:lineRule="auto"/>
              <w:jc w:val="center"/>
              <w:rPr>
                <w:rFonts w:asciiTheme="minorHAnsi" w:eastAsia="Times New Roman" w:hAnsiTheme="minorHAnsi"/>
                <w:b/>
                <w:bCs/>
                <w:sz w:val="18"/>
                <w:szCs w:val="18"/>
                <w:lang w:val="en-GB" w:eastAsia="en-GB"/>
              </w:rPr>
            </w:pPr>
            <w:r w:rsidRPr="00472AB4">
              <w:rPr>
                <w:rFonts w:asciiTheme="minorHAnsi" w:eastAsia="Times New Roman" w:hAnsiTheme="minorHAnsi"/>
                <w:b/>
                <w:bCs/>
                <w:sz w:val="18"/>
                <w:szCs w:val="18"/>
                <w:lang w:val="en-GB" w:eastAsia="en-GB"/>
              </w:rPr>
              <w:t>Clopidogrel</w:t>
            </w:r>
            <w:r w:rsidRPr="00472AB4">
              <w:rPr>
                <w:rFonts w:asciiTheme="minorHAnsi" w:eastAsia="Times New Roman" w:hAnsiTheme="minorHAnsi"/>
                <w:b/>
                <w:bCs/>
                <w:sz w:val="18"/>
                <w:szCs w:val="18"/>
                <w:lang w:val="en-GB" w:eastAsia="en-GB"/>
              </w:rPr>
              <w:br/>
              <w:t>(58,248)</w:t>
            </w:r>
          </w:p>
        </w:tc>
        <w:tc>
          <w:tcPr>
            <w:tcW w:w="742" w:type="pct"/>
            <w:tcBorders>
              <w:top w:val="single" w:sz="12" w:space="0" w:color="auto"/>
              <w:bottom w:val="single" w:sz="4" w:space="0" w:color="auto"/>
            </w:tcBorders>
            <w:vAlign w:val="center"/>
            <w:hideMark/>
          </w:tcPr>
          <w:p w14:paraId="43B32D31" w14:textId="4B916F02" w:rsidR="00333CB8" w:rsidRPr="00472AB4" w:rsidRDefault="00333CB8" w:rsidP="00A36D99">
            <w:pPr>
              <w:spacing w:before="0" w:after="0" w:line="240" w:lineRule="auto"/>
              <w:jc w:val="center"/>
              <w:rPr>
                <w:rFonts w:asciiTheme="minorHAnsi" w:eastAsia="Times New Roman" w:hAnsiTheme="minorHAnsi"/>
                <w:b/>
                <w:bCs/>
                <w:sz w:val="18"/>
                <w:szCs w:val="18"/>
                <w:lang w:val="en-GB" w:eastAsia="en-GB"/>
              </w:rPr>
            </w:pPr>
            <w:r w:rsidRPr="00472AB4">
              <w:rPr>
                <w:rFonts w:asciiTheme="minorHAnsi" w:eastAsia="Times New Roman" w:hAnsiTheme="minorHAnsi"/>
                <w:b/>
                <w:bCs/>
                <w:sz w:val="18"/>
                <w:szCs w:val="18"/>
                <w:lang w:val="en-GB" w:eastAsia="en-GB"/>
              </w:rPr>
              <w:t>Prasugrel</w:t>
            </w:r>
            <w:r w:rsidRPr="00472AB4">
              <w:rPr>
                <w:rFonts w:asciiTheme="minorHAnsi" w:eastAsia="Times New Roman" w:hAnsiTheme="minorHAnsi"/>
                <w:b/>
                <w:bCs/>
                <w:sz w:val="18"/>
                <w:szCs w:val="18"/>
                <w:lang w:val="en-GB" w:eastAsia="en-GB"/>
              </w:rPr>
              <w:br/>
              <w:t>(17,714)</w:t>
            </w:r>
          </w:p>
        </w:tc>
        <w:tc>
          <w:tcPr>
            <w:tcW w:w="744" w:type="pct"/>
            <w:tcBorders>
              <w:top w:val="single" w:sz="12" w:space="0" w:color="auto"/>
              <w:bottom w:val="single" w:sz="4" w:space="0" w:color="auto"/>
            </w:tcBorders>
            <w:vAlign w:val="center"/>
            <w:hideMark/>
          </w:tcPr>
          <w:p w14:paraId="4BD98E9C" w14:textId="77777777" w:rsidR="00333CB8" w:rsidRPr="00472AB4" w:rsidRDefault="00333CB8" w:rsidP="00A36D99">
            <w:pPr>
              <w:spacing w:before="0" w:after="0" w:line="240" w:lineRule="auto"/>
              <w:jc w:val="center"/>
              <w:rPr>
                <w:rFonts w:asciiTheme="minorHAnsi" w:eastAsia="Times New Roman" w:hAnsiTheme="minorHAnsi"/>
                <w:b/>
                <w:bCs/>
                <w:sz w:val="18"/>
                <w:szCs w:val="18"/>
                <w:lang w:val="en-GB" w:eastAsia="en-GB"/>
              </w:rPr>
            </w:pPr>
            <w:r w:rsidRPr="00472AB4">
              <w:rPr>
                <w:rFonts w:asciiTheme="minorHAnsi" w:eastAsia="Times New Roman" w:hAnsiTheme="minorHAnsi"/>
                <w:b/>
                <w:bCs/>
                <w:sz w:val="18"/>
                <w:szCs w:val="18"/>
                <w:lang w:val="en-GB" w:eastAsia="en-GB"/>
              </w:rPr>
              <w:t>Ticagrelor</w:t>
            </w:r>
            <w:r w:rsidRPr="00472AB4">
              <w:rPr>
                <w:rFonts w:asciiTheme="minorHAnsi" w:eastAsia="Times New Roman" w:hAnsiTheme="minorHAnsi"/>
                <w:b/>
                <w:bCs/>
                <w:sz w:val="18"/>
                <w:szCs w:val="18"/>
                <w:lang w:val="en-GB" w:eastAsia="en-GB"/>
              </w:rPr>
              <w:br/>
              <w:t>(13,105)</w:t>
            </w:r>
          </w:p>
        </w:tc>
        <w:tc>
          <w:tcPr>
            <w:tcW w:w="386" w:type="pct"/>
            <w:tcBorders>
              <w:top w:val="single" w:sz="12" w:space="0" w:color="auto"/>
              <w:bottom w:val="single" w:sz="4" w:space="0" w:color="auto"/>
            </w:tcBorders>
            <w:vAlign w:val="center"/>
            <w:hideMark/>
          </w:tcPr>
          <w:p w14:paraId="7440E065" w14:textId="0A650E0A" w:rsidR="00333CB8" w:rsidRPr="00472AB4" w:rsidRDefault="00333CB8" w:rsidP="00855DBD">
            <w:pPr>
              <w:spacing w:before="0" w:after="0" w:line="240" w:lineRule="auto"/>
              <w:jc w:val="center"/>
              <w:rPr>
                <w:rFonts w:asciiTheme="minorHAnsi" w:eastAsia="Times New Roman" w:hAnsiTheme="minorHAnsi"/>
                <w:b/>
                <w:bCs/>
                <w:sz w:val="18"/>
                <w:szCs w:val="18"/>
                <w:vertAlign w:val="superscript"/>
                <w:lang w:val="en-GB" w:eastAsia="en-GB"/>
              </w:rPr>
            </w:pPr>
            <w:r w:rsidRPr="00472AB4">
              <w:rPr>
                <w:rFonts w:asciiTheme="minorHAnsi" w:eastAsia="Times New Roman" w:hAnsiTheme="minorHAnsi"/>
                <w:b/>
                <w:bCs/>
                <w:sz w:val="18"/>
                <w:szCs w:val="18"/>
                <w:lang w:val="en-GB" w:eastAsia="en-GB"/>
              </w:rPr>
              <w:t>P-value</w:t>
            </w:r>
            <w:r w:rsidR="00855DBD" w:rsidRPr="00472AB4">
              <w:rPr>
                <w:rFonts w:ascii="Calibri" w:eastAsia="Times New Roman" w:hAnsi="Calibri"/>
                <w:b/>
                <w:bCs/>
                <w:sz w:val="18"/>
                <w:szCs w:val="18"/>
                <w:lang w:val="en-GB" w:eastAsia="en-GB"/>
              </w:rPr>
              <w:t>†</w:t>
            </w:r>
          </w:p>
        </w:tc>
        <w:tc>
          <w:tcPr>
            <w:tcW w:w="385" w:type="pct"/>
            <w:tcBorders>
              <w:top w:val="single" w:sz="12" w:space="0" w:color="auto"/>
              <w:bottom w:val="single" w:sz="4" w:space="0" w:color="auto"/>
            </w:tcBorders>
            <w:vAlign w:val="center"/>
          </w:tcPr>
          <w:p w14:paraId="2E801074" w14:textId="61D84DC1" w:rsidR="00333CB8" w:rsidRPr="00472AB4" w:rsidRDefault="00333CB8" w:rsidP="00A36D99">
            <w:pPr>
              <w:spacing w:before="0" w:after="0" w:line="240" w:lineRule="auto"/>
              <w:jc w:val="center"/>
              <w:rPr>
                <w:rFonts w:asciiTheme="minorHAnsi" w:eastAsia="Times New Roman" w:hAnsiTheme="minorHAnsi"/>
                <w:b/>
                <w:bCs/>
                <w:sz w:val="18"/>
                <w:szCs w:val="18"/>
                <w:lang w:val="en-GB" w:eastAsia="en-GB"/>
              </w:rPr>
            </w:pPr>
            <w:r w:rsidRPr="00472AB4">
              <w:rPr>
                <w:rFonts w:asciiTheme="minorHAnsi" w:eastAsia="Times New Roman" w:hAnsiTheme="minorHAnsi"/>
                <w:b/>
                <w:bCs/>
                <w:sz w:val="18"/>
                <w:szCs w:val="18"/>
              </w:rPr>
              <w:t>P-value</w:t>
            </w:r>
            <w:r w:rsidR="00855DBD" w:rsidRPr="00472AB4">
              <w:rPr>
                <w:rFonts w:ascii="Calibri" w:eastAsia="Times New Roman" w:hAnsi="Calibri"/>
                <w:b/>
                <w:bCs/>
                <w:sz w:val="18"/>
                <w:szCs w:val="18"/>
                <w:lang w:val="en-GB" w:eastAsia="en-GB"/>
              </w:rPr>
              <w:t>‡</w:t>
            </w:r>
          </w:p>
        </w:tc>
      </w:tr>
      <w:tr w:rsidR="00333CB8" w:rsidRPr="00472AB4" w14:paraId="3D0F19F7" w14:textId="3887E2E0" w:rsidTr="00333CB8">
        <w:tc>
          <w:tcPr>
            <w:tcW w:w="2001" w:type="pct"/>
            <w:tcBorders>
              <w:top w:val="single" w:sz="4" w:space="0" w:color="auto"/>
            </w:tcBorders>
            <w:vAlign w:val="center"/>
            <w:hideMark/>
          </w:tcPr>
          <w:p w14:paraId="69B5ABB3"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Age</w:t>
            </w:r>
          </w:p>
        </w:tc>
        <w:tc>
          <w:tcPr>
            <w:tcW w:w="742" w:type="pct"/>
            <w:tcBorders>
              <w:top w:val="single" w:sz="4" w:space="0" w:color="auto"/>
            </w:tcBorders>
            <w:vAlign w:val="center"/>
            <w:hideMark/>
          </w:tcPr>
          <w:p w14:paraId="7988D0F5"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64.0 (54.0 - 75.0)</w:t>
            </w:r>
          </w:p>
        </w:tc>
        <w:tc>
          <w:tcPr>
            <w:tcW w:w="742" w:type="pct"/>
            <w:tcBorders>
              <w:top w:val="single" w:sz="4" w:space="0" w:color="auto"/>
            </w:tcBorders>
            <w:vAlign w:val="center"/>
            <w:hideMark/>
          </w:tcPr>
          <w:p w14:paraId="10C54C88"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61.0 (52.0 - 69.0)</w:t>
            </w:r>
          </w:p>
        </w:tc>
        <w:tc>
          <w:tcPr>
            <w:tcW w:w="744" w:type="pct"/>
            <w:tcBorders>
              <w:top w:val="single" w:sz="4" w:space="0" w:color="auto"/>
            </w:tcBorders>
            <w:vAlign w:val="center"/>
            <w:hideMark/>
          </w:tcPr>
          <w:p w14:paraId="7C15A4E4"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63.0 (53.0 - 72.0)</w:t>
            </w:r>
          </w:p>
        </w:tc>
        <w:tc>
          <w:tcPr>
            <w:tcW w:w="386" w:type="pct"/>
            <w:tcBorders>
              <w:top w:val="single" w:sz="4" w:space="0" w:color="auto"/>
            </w:tcBorders>
            <w:vAlign w:val="center"/>
            <w:hideMark/>
          </w:tcPr>
          <w:p w14:paraId="6563B477"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&lt; 0.0001</w:t>
            </w:r>
          </w:p>
        </w:tc>
        <w:tc>
          <w:tcPr>
            <w:tcW w:w="385" w:type="pct"/>
            <w:tcBorders>
              <w:top w:val="single" w:sz="4" w:space="0" w:color="auto"/>
            </w:tcBorders>
            <w:vAlign w:val="center"/>
          </w:tcPr>
          <w:p w14:paraId="707D4BA7" w14:textId="5098D516"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rPr>
              <w:t>&lt; 0.0001</w:t>
            </w:r>
          </w:p>
        </w:tc>
      </w:tr>
      <w:tr w:rsidR="00333CB8" w:rsidRPr="00472AB4" w14:paraId="5D999336" w14:textId="31AEDD08" w:rsidTr="00333CB8">
        <w:tc>
          <w:tcPr>
            <w:tcW w:w="2001" w:type="pct"/>
            <w:vAlign w:val="center"/>
            <w:hideMark/>
          </w:tcPr>
          <w:p w14:paraId="0763DF51"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Gender (Male)</w:t>
            </w:r>
          </w:p>
        </w:tc>
        <w:tc>
          <w:tcPr>
            <w:tcW w:w="742" w:type="pct"/>
            <w:vAlign w:val="center"/>
            <w:hideMark/>
          </w:tcPr>
          <w:p w14:paraId="1D7ADDF3"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42,821 (73.5%)</w:t>
            </w:r>
          </w:p>
        </w:tc>
        <w:tc>
          <w:tcPr>
            <w:tcW w:w="742" w:type="pct"/>
            <w:vAlign w:val="center"/>
            <w:hideMark/>
          </w:tcPr>
          <w:p w14:paraId="0DA17D9C"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13,739 (77.6%)</w:t>
            </w:r>
          </w:p>
        </w:tc>
        <w:tc>
          <w:tcPr>
            <w:tcW w:w="744" w:type="pct"/>
            <w:vAlign w:val="center"/>
            <w:hideMark/>
          </w:tcPr>
          <w:p w14:paraId="075C8458"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9,721 (74.2%)</w:t>
            </w:r>
          </w:p>
        </w:tc>
        <w:tc>
          <w:tcPr>
            <w:tcW w:w="386" w:type="pct"/>
            <w:vAlign w:val="center"/>
            <w:hideMark/>
          </w:tcPr>
          <w:p w14:paraId="034DE011"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&lt; 0.0001</w:t>
            </w:r>
          </w:p>
        </w:tc>
        <w:tc>
          <w:tcPr>
            <w:tcW w:w="385" w:type="pct"/>
            <w:vAlign w:val="center"/>
          </w:tcPr>
          <w:p w14:paraId="658FFA07" w14:textId="123383C3"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rPr>
              <w:t>&lt; 0.0001</w:t>
            </w:r>
          </w:p>
        </w:tc>
      </w:tr>
      <w:tr w:rsidR="00333CB8" w:rsidRPr="00472AB4" w14:paraId="7983487F" w14:textId="5F77B90E" w:rsidTr="00333CB8">
        <w:tc>
          <w:tcPr>
            <w:tcW w:w="4229" w:type="pct"/>
            <w:gridSpan w:val="4"/>
            <w:vAlign w:val="center"/>
            <w:hideMark/>
          </w:tcPr>
          <w:p w14:paraId="67B170CF"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Smoking status</w:t>
            </w:r>
          </w:p>
        </w:tc>
        <w:tc>
          <w:tcPr>
            <w:tcW w:w="386" w:type="pct"/>
            <w:vAlign w:val="center"/>
            <w:hideMark/>
          </w:tcPr>
          <w:p w14:paraId="1D419F26"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&lt; 0.0001</w:t>
            </w:r>
          </w:p>
        </w:tc>
        <w:tc>
          <w:tcPr>
            <w:tcW w:w="385" w:type="pct"/>
          </w:tcPr>
          <w:p w14:paraId="1E18BFEF" w14:textId="38C5A81F"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&lt; 0.0001</w:t>
            </w:r>
          </w:p>
        </w:tc>
      </w:tr>
      <w:tr w:rsidR="00333CB8" w:rsidRPr="00472AB4" w14:paraId="249F39B2" w14:textId="3687FE4E" w:rsidTr="00333CB8">
        <w:tc>
          <w:tcPr>
            <w:tcW w:w="2001" w:type="pct"/>
            <w:vAlign w:val="center"/>
            <w:hideMark/>
          </w:tcPr>
          <w:p w14:paraId="3C812C38"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  Never</w:t>
            </w:r>
          </w:p>
        </w:tc>
        <w:tc>
          <w:tcPr>
            <w:tcW w:w="742" w:type="pct"/>
            <w:vAlign w:val="center"/>
            <w:hideMark/>
          </w:tcPr>
          <w:p w14:paraId="428A3264"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16,934 (32.3%)</w:t>
            </w:r>
          </w:p>
        </w:tc>
        <w:tc>
          <w:tcPr>
            <w:tcW w:w="742" w:type="pct"/>
            <w:vAlign w:val="center"/>
            <w:hideMark/>
          </w:tcPr>
          <w:p w14:paraId="4ABBFC32"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4,797 (29.6%)</w:t>
            </w:r>
          </w:p>
        </w:tc>
        <w:tc>
          <w:tcPr>
            <w:tcW w:w="744" w:type="pct"/>
            <w:vAlign w:val="center"/>
            <w:hideMark/>
          </w:tcPr>
          <w:p w14:paraId="28C6EA26"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4,545 (37.6%)</w:t>
            </w:r>
          </w:p>
        </w:tc>
        <w:tc>
          <w:tcPr>
            <w:tcW w:w="386" w:type="pct"/>
            <w:vAlign w:val="center"/>
            <w:hideMark/>
          </w:tcPr>
          <w:p w14:paraId="7211816D"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c>
          <w:tcPr>
            <w:tcW w:w="385" w:type="pct"/>
            <w:vAlign w:val="center"/>
          </w:tcPr>
          <w:p w14:paraId="6ACDF9E3"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r>
      <w:tr w:rsidR="00333CB8" w:rsidRPr="00472AB4" w14:paraId="5D01DF74" w14:textId="4E30FDC4" w:rsidTr="00333CB8">
        <w:tc>
          <w:tcPr>
            <w:tcW w:w="2001" w:type="pct"/>
            <w:vAlign w:val="center"/>
            <w:hideMark/>
          </w:tcPr>
          <w:p w14:paraId="0B752853"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  Ex-smoker</w:t>
            </w:r>
          </w:p>
        </w:tc>
        <w:tc>
          <w:tcPr>
            <w:tcW w:w="742" w:type="pct"/>
            <w:vAlign w:val="center"/>
            <w:hideMark/>
          </w:tcPr>
          <w:p w14:paraId="2898B6A5"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15,465 (29.5%)</w:t>
            </w:r>
          </w:p>
        </w:tc>
        <w:tc>
          <w:tcPr>
            <w:tcW w:w="742" w:type="pct"/>
            <w:vAlign w:val="center"/>
            <w:hideMark/>
          </w:tcPr>
          <w:p w14:paraId="05A39E27"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4,021 (24.8%)</w:t>
            </w:r>
          </w:p>
        </w:tc>
        <w:tc>
          <w:tcPr>
            <w:tcW w:w="744" w:type="pct"/>
            <w:vAlign w:val="center"/>
            <w:hideMark/>
          </w:tcPr>
          <w:p w14:paraId="70F6F935"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2,742 (22.7%)</w:t>
            </w:r>
          </w:p>
        </w:tc>
        <w:tc>
          <w:tcPr>
            <w:tcW w:w="386" w:type="pct"/>
            <w:vAlign w:val="center"/>
            <w:hideMark/>
          </w:tcPr>
          <w:p w14:paraId="4DC36B8D"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c>
          <w:tcPr>
            <w:tcW w:w="385" w:type="pct"/>
            <w:vAlign w:val="center"/>
          </w:tcPr>
          <w:p w14:paraId="27359FE8"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r>
      <w:tr w:rsidR="00333CB8" w:rsidRPr="00472AB4" w14:paraId="6A547601" w14:textId="0E5A65D9" w:rsidTr="00333CB8">
        <w:tc>
          <w:tcPr>
            <w:tcW w:w="2001" w:type="pct"/>
            <w:vAlign w:val="center"/>
            <w:hideMark/>
          </w:tcPr>
          <w:p w14:paraId="2BE6602D"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  Current</w:t>
            </w:r>
          </w:p>
        </w:tc>
        <w:tc>
          <w:tcPr>
            <w:tcW w:w="742" w:type="pct"/>
            <w:vAlign w:val="center"/>
            <w:hideMark/>
          </w:tcPr>
          <w:p w14:paraId="40045B90"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20,033 (38.2%)</w:t>
            </w:r>
          </w:p>
        </w:tc>
        <w:tc>
          <w:tcPr>
            <w:tcW w:w="742" w:type="pct"/>
            <w:vAlign w:val="center"/>
            <w:hideMark/>
          </w:tcPr>
          <w:p w14:paraId="02398C84"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7,384 (45.6%)</w:t>
            </w:r>
          </w:p>
        </w:tc>
        <w:tc>
          <w:tcPr>
            <w:tcW w:w="744" w:type="pct"/>
            <w:vAlign w:val="center"/>
            <w:hideMark/>
          </w:tcPr>
          <w:p w14:paraId="74D05853"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4,785 (39.6%)</w:t>
            </w:r>
          </w:p>
        </w:tc>
        <w:tc>
          <w:tcPr>
            <w:tcW w:w="386" w:type="pct"/>
            <w:vAlign w:val="center"/>
            <w:hideMark/>
          </w:tcPr>
          <w:p w14:paraId="77D96715"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c>
          <w:tcPr>
            <w:tcW w:w="385" w:type="pct"/>
            <w:vAlign w:val="center"/>
          </w:tcPr>
          <w:p w14:paraId="080D7076"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r>
      <w:tr w:rsidR="00333CB8" w:rsidRPr="00472AB4" w14:paraId="67CCC8A8" w14:textId="0BEA9E30" w:rsidTr="00333CB8">
        <w:tc>
          <w:tcPr>
            <w:tcW w:w="2001" w:type="pct"/>
            <w:vAlign w:val="center"/>
            <w:hideMark/>
          </w:tcPr>
          <w:p w14:paraId="453FFB6D"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Diabetes</w:t>
            </w:r>
          </w:p>
        </w:tc>
        <w:tc>
          <w:tcPr>
            <w:tcW w:w="742" w:type="pct"/>
            <w:vAlign w:val="center"/>
            <w:hideMark/>
          </w:tcPr>
          <w:p w14:paraId="429D5020"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8,233 (14.8%)</w:t>
            </w:r>
          </w:p>
        </w:tc>
        <w:tc>
          <w:tcPr>
            <w:tcW w:w="742" w:type="pct"/>
            <w:vAlign w:val="center"/>
            <w:hideMark/>
          </w:tcPr>
          <w:p w14:paraId="2817B910"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2,315 (13.4%)</w:t>
            </w:r>
          </w:p>
        </w:tc>
        <w:tc>
          <w:tcPr>
            <w:tcW w:w="744" w:type="pct"/>
            <w:vAlign w:val="center"/>
            <w:hideMark/>
          </w:tcPr>
          <w:p w14:paraId="312361B2"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1,927 (15.0%)</w:t>
            </w:r>
          </w:p>
        </w:tc>
        <w:tc>
          <w:tcPr>
            <w:tcW w:w="386" w:type="pct"/>
            <w:vAlign w:val="center"/>
            <w:hideMark/>
          </w:tcPr>
          <w:p w14:paraId="3567BD0F"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&lt; 0.0001</w:t>
            </w:r>
          </w:p>
        </w:tc>
        <w:tc>
          <w:tcPr>
            <w:tcW w:w="385" w:type="pct"/>
            <w:vAlign w:val="center"/>
          </w:tcPr>
          <w:p w14:paraId="476DBA50" w14:textId="4378B598"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rPr>
              <w:t>&lt; 0.0001</w:t>
            </w:r>
          </w:p>
        </w:tc>
      </w:tr>
      <w:tr w:rsidR="00333CB8" w:rsidRPr="00472AB4" w14:paraId="7303EE99" w14:textId="58D8C7C8" w:rsidTr="00333CB8">
        <w:tc>
          <w:tcPr>
            <w:tcW w:w="2001" w:type="pct"/>
            <w:vAlign w:val="center"/>
            <w:hideMark/>
          </w:tcPr>
          <w:p w14:paraId="363AB790"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History of peripheral vascular disease</w:t>
            </w:r>
          </w:p>
        </w:tc>
        <w:tc>
          <w:tcPr>
            <w:tcW w:w="742" w:type="pct"/>
            <w:vAlign w:val="center"/>
            <w:hideMark/>
          </w:tcPr>
          <w:p w14:paraId="05A0E3B0"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2,024 (3.6%)</w:t>
            </w:r>
          </w:p>
        </w:tc>
        <w:tc>
          <w:tcPr>
            <w:tcW w:w="742" w:type="pct"/>
            <w:vAlign w:val="center"/>
            <w:hideMark/>
          </w:tcPr>
          <w:p w14:paraId="084B7849"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416 (2.5%)</w:t>
            </w:r>
          </w:p>
        </w:tc>
        <w:tc>
          <w:tcPr>
            <w:tcW w:w="744" w:type="pct"/>
            <w:vAlign w:val="center"/>
            <w:hideMark/>
          </w:tcPr>
          <w:p w14:paraId="5252357A"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332 (2.7%)</w:t>
            </w:r>
          </w:p>
        </w:tc>
        <w:tc>
          <w:tcPr>
            <w:tcW w:w="386" w:type="pct"/>
            <w:vAlign w:val="center"/>
            <w:hideMark/>
          </w:tcPr>
          <w:p w14:paraId="36DA6290"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&lt; 0.0001</w:t>
            </w:r>
          </w:p>
        </w:tc>
        <w:tc>
          <w:tcPr>
            <w:tcW w:w="385" w:type="pct"/>
            <w:vAlign w:val="center"/>
          </w:tcPr>
          <w:p w14:paraId="7E1C527C" w14:textId="08DB6D73"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rPr>
              <w:t>0.21</w:t>
            </w:r>
          </w:p>
        </w:tc>
      </w:tr>
      <w:tr w:rsidR="00333CB8" w:rsidRPr="00472AB4" w14:paraId="1563B6F6" w14:textId="1E3AFD4E" w:rsidTr="00333CB8">
        <w:tc>
          <w:tcPr>
            <w:tcW w:w="2001" w:type="pct"/>
            <w:vAlign w:val="center"/>
            <w:hideMark/>
          </w:tcPr>
          <w:p w14:paraId="78E55DF0"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Hypertension</w:t>
            </w:r>
          </w:p>
        </w:tc>
        <w:tc>
          <w:tcPr>
            <w:tcW w:w="742" w:type="pct"/>
            <w:vAlign w:val="center"/>
            <w:hideMark/>
          </w:tcPr>
          <w:p w14:paraId="1251B1DB"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25,022 (44.9%)</w:t>
            </w:r>
          </w:p>
        </w:tc>
        <w:tc>
          <w:tcPr>
            <w:tcW w:w="742" w:type="pct"/>
            <w:vAlign w:val="center"/>
            <w:hideMark/>
          </w:tcPr>
          <w:p w14:paraId="6320E72A"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6,363 (37.5%)</w:t>
            </w:r>
          </w:p>
        </w:tc>
        <w:tc>
          <w:tcPr>
            <w:tcW w:w="744" w:type="pct"/>
            <w:vAlign w:val="center"/>
            <w:hideMark/>
          </w:tcPr>
          <w:p w14:paraId="0051107A"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4,986 (40.5%)</w:t>
            </w:r>
          </w:p>
        </w:tc>
        <w:tc>
          <w:tcPr>
            <w:tcW w:w="386" w:type="pct"/>
            <w:vAlign w:val="center"/>
            <w:hideMark/>
          </w:tcPr>
          <w:p w14:paraId="40F1C01C"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&lt; 0.0001</w:t>
            </w:r>
          </w:p>
        </w:tc>
        <w:tc>
          <w:tcPr>
            <w:tcW w:w="385" w:type="pct"/>
            <w:vAlign w:val="center"/>
          </w:tcPr>
          <w:p w14:paraId="425C9603" w14:textId="65029776"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rPr>
              <w:t>&lt; 0.0001</w:t>
            </w:r>
          </w:p>
        </w:tc>
      </w:tr>
      <w:tr w:rsidR="00333CB8" w:rsidRPr="00472AB4" w14:paraId="6CCEA72C" w14:textId="22A1E1E3" w:rsidTr="00333CB8">
        <w:tc>
          <w:tcPr>
            <w:tcW w:w="2001" w:type="pct"/>
            <w:vAlign w:val="center"/>
            <w:hideMark/>
          </w:tcPr>
          <w:p w14:paraId="2D6EB37D"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Hypercholesterolemia</w:t>
            </w:r>
          </w:p>
        </w:tc>
        <w:tc>
          <w:tcPr>
            <w:tcW w:w="742" w:type="pct"/>
            <w:vAlign w:val="center"/>
            <w:hideMark/>
          </w:tcPr>
          <w:p w14:paraId="0AE89E20"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23,246 (41.7%)</w:t>
            </w:r>
          </w:p>
        </w:tc>
        <w:tc>
          <w:tcPr>
            <w:tcW w:w="742" w:type="pct"/>
            <w:vAlign w:val="center"/>
            <w:hideMark/>
          </w:tcPr>
          <w:p w14:paraId="1906F1B1"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6,850 (40.4%)</w:t>
            </w:r>
          </w:p>
        </w:tc>
        <w:tc>
          <w:tcPr>
            <w:tcW w:w="744" w:type="pct"/>
            <w:vAlign w:val="center"/>
            <w:hideMark/>
          </w:tcPr>
          <w:p w14:paraId="3A72D264"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4,630 (37.6%)</w:t>
            </w:r>
          </w:p>
        </w:tc>
        <w:tc>
          <w:tcPr>
            <w:tcW w:w="386" w:type="pct"/>
            <w:vAlign w:val="center"/>
            <w:hideMark/>
          </w:tcPr>
          <w:p w14:paraId="61FE1DEB"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&lt; 0.0001</w:t>
            </w:r>
          </w:p>
        </w:tc>
        <w:tc>
          <w:tcPr>
            <w:tcW w:w="385" w:type="pct"/>
            <w:vAlign w:val="center"/>
          </w:tcPr>
          <w:p w14:paraId="4735C436" w14:textId="2F797D09"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rPr>
              <w:t>&lt; 0.0001</w:t>
            </w:r>
          </w:p>
        </w:tc>
      </w:tr>
      <w:tr w:rsidR="00333CB8" w:rsidRPr="00472AB4" w14:paraId="5F8D7D8A" w14:textId="7D9B5271" w:rsidTr="00333CB8">
        <w:tc>
          <w:tcPr>
            <w:tcW w:w="2001" w:type="pct"/>
            <w:vAlign w:val="center"/>
            <w:hideMark/>
          </w:tcPr>
          <w:p w14:paraId="4EF024EA"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History of renal disease</w:t>
            </w:r>
          </w:p>
        </w:tc>
        <w:tc>
          <w:tcPr>
            <w:tcW w:w="742" w:type="pct"/>
            <w:vAlign w:val="center"/>
            <w:hideMark/>
          </w:tcPr>
          <w:p w14:paraId="6DC50E6E"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478 (0.9%)</w:t>
            </w:r>
          </w:p>
        </w:tc>
        <w:tc>
          <w:tcPr>
            <w:tcW w:w="742" w:type="pct"/>
            <w:vAlign w:val="center"/>
            <w:hideMark/>
          </w:tcPr>
          <w:p w14:paraId="3BC7819B"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67 (0.4%)</w:t>
            </w:r>
          </w:p>
        </w:tc>
        <w:tc>
          <w:tcPr>
            <w:tcW w:w="744" w:type="pct"/>
            <w:vAlign w:val="center"/>
            <w:hideMark/>
          </w:tcPr>
          <w:p w14:paraId="6FC3E3A8"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42 (0.3%)</w:t>
            </w:r>
          </w:p>
        </w:tc>
        <w:tc>
          <w:tcPr>
            <w:tcW w:w="386" w:type="pct"/>
            <w:vAlign w:val="center"/>
            <w:hideMark/>
          </w:tcPr>
          <w:p w14:paraId="4901A7C1"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&lt; 0.0001</w:t>
            </w:r>
          </w:p>
        </w:tc>
        <w:tc>
          <w:tcPr>
            <w:tcW w:w="385" w:type="pct"/>
            <w:vAlign w:val="center"/>
          </w:tcPr>
          <w:p w14:paraId="64A44896" w14:textId="62BE7CB6"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rPr>
              <w:t>0.34</w:t>
            </w:r>
          </w:p>
        </w:tc>
      </w:tr>
      <w:tr w:rsidR="00333CB8" w:rsidRPr="00472AB4" w14:paraId="50CB6A06" w14:textId="60E7AD99" w:rsidTr="00333CB8">
        <w:tc>
          <w:tcPr>
            <w:tcW w:w="2001" w:type="pct"/>
            <w:vAlign w:val="center"/>
            <w:hideMark/>
          </w:tcPr>
          <w:p w14:paraId="5215FC96"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History of coronary artery bypass graft</w:t>
            </w:r>
          </w:p>
        </w:tc>
        <w:tc>
          <w:tcPr>
            <w:tcW w:w="742" w:type="pct"/>
            <w:vAlign w:val="center"/>
            <w:hideMark/>
          </w:tcPr>
          <w:p w14:paraId="3087DE16"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1,866 (4.7%)</w:t>
            </w:r>
          </w:p>
        </w:tc>
        <w:tc>
          <w:tcPr>
            <w:tcW w:w="742" w:type="pct"/>
            <w:vAlign w:val="center"/>
            <w:hideMark/>
          </w:tcPr>
          <w:p w14:paraId="675FB26E"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356 (2.5%)</w:t>
            </w:r>
          </w:p>
        </w:tc>
        <w:tc>
          <w:tcPr>
            <w:tcW w:w="744" w:type="pct"/>
            <w:vAlign w:val="center"/>
            <w:hideMark/>
          </w:tcPr>
          <w:p w14:paraId="5D4D07E4"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367 (4.2%)</w:t>
            </w:r>
          </w:p>
        </w:tc>
        <w:tc>
          <w:tcPr>
            <w:tcW w:w="386" w:type="pct"/>
            <w:vAlign w:val="center"/>
            <w:hideMark/>
          </w:tcPr>
          <w:p w14:paraId="6F349F2D"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&lt; 0.0001</w:t>
            </w:r>
          </w:p>
        </w:tc>
        <w:tc>
          <w:tcPr>
            <w:tcW w:w="385" w:type="pct"/>
            <w:vAlign w:val="center"/>
          </w:tcPr>
          <w:p w14:paraId="406562AF" w14:textId="40C34608"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rPr>
              <w:t>&lt; 0.0001</w:t>
            </w:r>
          </w:p>
        </w:tc>
      </w:tr>
      <w:tr w:rsidR="00333CB8" w:rsidRPr="00472AB4" w14:paraId="6428D16C" w14:textId="7BCA2F72" w:rsidTr="00333CB8">
        <w:tc>
          <w:tcPr>
            <w:tcW w:w="2001" w:type="pct"/>
            <w:vAlign w:val="center"/>
            <w:hideMark/>
          </w:tcPr>
          <w:p w14:paraId="26AF3894"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History myocardial infarction</w:t>
            </w:r>
          </w:p>
        </w:tc>
        <w:tc>
          <w:tcPr>
            <w:tcW w:w="742" w:type="pct"/>
            <w:vAlign w:val="center"/>
            <w:hideMark/>
          </w:tcPr>
          <w:p w14:paraId="2B1A5BC9"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7,603 (14.0%)</w:t>
            </w:r>
          </w:p>
        </w:tc>
        <w:tc>
          <w:tcPr>
            <w:tcW w:w="742" w:type="pct"/>
            <w:vAlign w:val="center"/>
            <w:hideMark/>
          </w:tcPr>
          <w:p w14:paraId="2D3FF594"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1,866 (10.7%)</w:t>
            </w:r>
          </w:p>
        </w:tc>
        <w:tc>
          <w:tcPr>
            <w:tcW w:w="744" w:type="pct"/>
            <w:vAlign w:val="center"/>
            <w:hideMark/>
          </w:tcPr>
          <w:p w14:paraId="09BCF427"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1,472 (12.3%)</w:t>
            </w:r>
          </w:p>
        </w:tc>
        <w:tc>
          <w:tcPr>
            <w:tcW w:w="386" w:type="pct"/>
            <w:vAlign w:val="center"/>
            <w:hideMark/>
          </w:tcPr>
          <w:p w14:paraId="30EF374A"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&lt; 0.0001</w:t>
            </w:r>
          </w:p>
        </w:tc>
        <w:tc>
          <w:tcPr>
            <w:tcW w:w="385" w:type="pct"/>
            <w:vAlign w:val="center"/>
          </w:tcPr>
          <w:p w14:paraId="49AD68DB" w14:textId="1E627AAC"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rPr>
              <w:t>&lt; 0.0001</w:t>
            </w:r>
          </w:p>
        </w:tc>
      </w:tr>
      <w:tr w:rsidR="00333CB8" w:rsidRPr="00472AB4" w14:paraId="434850FD" w14:textId="70AE0915" w:rsidTr="00333CB8">
        <w:tc>
          <w:tcPr>
            <w:tcW w:w="2001" w:type="pct"/>
            <w:vAlign w:val="center"/>
            <w:hideMark/>
          </w:tcPr>
          <w:p w14:paraId="0CF6F747"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History of stroke</w:t>
            </w:r>
          </w:p>
        </w:tc>
        <w:tc>
          <w:tcPr>
            <w:tcW w:w="742" w:type="pct"/>
            <w:vAlign w:val="center"/>
            <w:hideMark/>
          </w:tcPr>
          <w:p w14:paraId="79790680"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2,368 (4.2%)</w:t>
            </w:r>
          </w:p>
        </w:tc>
        <w:tc>
          <w:tcPr>
            <w:tcW w:w="742" w:type="pct"/>
            <w:vAlign w:val="center"/>
            <w:hideMark/>
          </w:tcPr>
          <w:p w14:paraId="32FB670B"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322 (1.9%)</w:t>
            </w:r>
          </w:p>
        </w:tc>
        <w:tc>
          <w:tcPr>
            <w:tcW w:w="744" w:type="pct"/>
            <w:vAlign w:val="center"/>
            <w:hideMark/>
          </w:tcPr>
          <w:p w14:paraId="71ACE54A"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411 (3.3%)</w:t>
            </w:r>
          </w:p>
        </w:tc>
        <w:tc>
          <w:tcPr>
            <w:tcW w:w="386" w:type="pct"/>
            <w:vAlign w:val="center"/>
            <w:hideMark/>
          </w:tcPr>
          <w:p w14:paraId="10E52EFD"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&lt; 0.0001</w:t>
            </w:r>
          </w:p>
        </w:tc>
        <w:tc>
          <w:tcPr>
            <w:tcW w:w="385" w:type="pct"/>
            <w:vAlign w:val="center"/>
          </w:tcPr>
          <w:p w14:paraId="38E16347" w14:textId="4308E330"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rPr>
              <w:t>&lt; 0.0001</w:t>
            </w:r>
          </w:p>
        </w:tc>
      </w:tr>
      <w:tr w:rsidR="00333CB8" w:rsidRPr="00472AB4" w14:paraId="557A97F8" w14:textId="7D741181" w:rsidTr="00333CB8">
        <w:tc>
          <w:tcPr>
            <w:tcW w:w="2001" w:type="pct"/>
            <w:vAlign w:val="center"/>
            <w:hideMark/>
          </w:tcPr>
          <w:p w14:paraId="4857D2C6"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History of percutaneous coronary intervention</w:t>
            </w:r>
          </w:p>
        </w:tc>
        <w:tc>
          <w:tcPr>
            <w:tcW w:w="742" w:type="pct"/>
            <w:vAlign w:val="center"/>
            <w:hideMark/>
          </w:tcPr>
          <w:p w14:paraId="6C3DE01A"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5,642 (9.9%)</w:t>
            </w:r>
          </w:p>
        </w:tc>
        <w:tc>
          <w:tcPr>
            <w:tcW w:w="742" w:type="pct"/>
            <w:vAlign w:val="center"/>
            <w:hideMark/>
          </w:tcPr>
          <w:p w14:paraId="1CCB2E0C"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1,458 (8.3%)</w:t>
            </w:r>
          </w:p>
        </w:tc>
        <w:tc>
          <w:tcPr>
            <w:tcW w:w="744" w:type="pct"/>
            <w:vAlign w:val="center"/>
            <w:hideMark/>
          </w:tcPr>
          <w:p w14:paraId="39B24BB7"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1,120 (8.7%)</w:t>
            </w:r>
          </w:p>
        </w:tc>
        <w:tc>
          <w:tcPr>
            <w:tcW w:w="386" w:type="pct"/>
            <w:vAlign w:val="center"/>
            <w:hideMark/>
          </w:tcPr>
          <w:p w14:paraId="080F7EA8"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&lt; 0.0001</w:t>
            </w:r>
          </w:p>
        </w:tc>
        <w:tc>
          <w:tcPr>
            <w:tcW w:w="385" w:type="pct"/>
            <w:vAlign w:val="center"/>
          </w:tcPr>
          <w:p w14:paraId="5CE16A28" w14:textId="470085F3"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rPr>
              <w:t>0.22</w:t>
            </w:r>
          </w:p>
        </w:tc>
      </w:tr>
      <w:tr w:rsidR="00333CB8" w:rsidRPr="00472AB4" w14:paraId="28F944CE" w14:textId="4EB2768B" w:rsidTr="00333CB8">
        <w:tc>
          <w:tcPr>
            <w:tcW w:w="4229" w:type="pct"/>
            <w:gridSpan w:val="4"/>
            <w:vAlign w:val="center"/>
            <w:hideMark/>
          </w:tcPr>
          <w:p w14:paraId="5B24F3FC"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Left ventricular ejection fraction</w:t>
            </w:r>
          </w:p>
        </w:tc>
        <w:tc>
          <w:tcPr>
            <w:tcW w:w="386" w:type="pct"/>
            <w:vAlign w:val="center"/>
            <w:hideMark/>
          </w:tcPr>
          <w:p w14:paraId="33B10428"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&lt; 0.0001</w:t>
            </w:r>
          </w:p>
        </w:tc>
        <w:tc>
          <w:tcPr>
            <w:tcW w:w="385" w:type="pct"/>
            <w:vAlign w:val="center"/>
          </w:tcPr>
          <w:p w14:paraId="06CD5734" w14:textId="1782056F"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&lt; 0.0001</w:t>
            </w:r>
          </w:p>
        </w:tc>
      </w:tr>
      <w:tr w:rsidR="00333CB8" w:rsidRPr="00472AB4" w14:paraId="0C699DAB" w14:textId="0E97201D" w:rsidTr="00333CB8">
        <w:tc>
          <w:tcPr>
            <w:tcW w:w="2001" w:type="pct"/>
            <w:vAlign w:val="center"/>
            <w:hideMark/>
          </w:tcPr>
          <w:p w14:paraId="7DD1573E"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  Good (&gt;50%)</w:t>
            </w:r>
          </w:p>
        </w:tc>
        <w:tc>
          <w:tcPr>
            <w:tcW w:w="742" w:type="pct"/>
            <w:vAlign w:val="center"/>
            <w:hideMark/>
          </w:tcPr>
          <w:p w14:paraId="630CDF81"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10,098 (52.1%)</w:t>
            </w:r>
          </w:p>
        </w:tc>
        <w:tc>
          <w:tcPr>
            <w:tcW w:w="742" w:type="pct"/>
            <w:vAlign w:val="center"/>
            <w:hideMark/>
          </w:tcPr>
          <w:p w14:paraId="7FE74CF9"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2,764 (55.8%)</w:t>
            </w:r>
          </w:p>
        </w:tc>
        <w:tc>
          <w:tcPr>
            <w:tcW w:w="744" w:type="pct"/>
            <w:vAlign w:val="center"/>
            <w:hideMark/>
          </w:tcPr>
          <w:p w14:paraId="6780E8FC"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1,978 (51.1%)</w:t>
            </w:r>
          </w:p>
        </w:tc>
        <w:tc>
          <w:tcPr>
            <w:tcW w:w="386" w:type="pct"/>
            <w:vAlign w:val="center"/>
            <w:hideMark/>
          </w:tcPr>
          <w:p w14:paraId="5777078D"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c>
          <w:tcPr>
            <w:tcW w:w="385" w:type="pct"/>
            <w:vAlign w:val="center"/>
          </w:tcPr>
          <w:p w14:paraId="149BA7DA"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r>
      <w:tr w:rsidR="00333CB8" w:rsidRPr="00472AB4" w14:paraId="7B5908C1" w14:textId="601517D6" w:rsidTr="00333CB8">
        <w:tc>
          <w:tcPr>
            <w:tcW w:w="2001" w:type="pct"/>
            <w:vAlign w:val="center"/>
            <w:hideMark/>
          </w:tcPr>
          <w:p w14:paraId="4AD25CBF"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  Moderate (30%-50%)</w:t>
            </w:r>
          </w:p>
        </w:tc>
        <w:tc>
          <w:tcPr>
            <w:tcW w:w="742" w:type="pct"/>
            <w:vAlign w:val="center"/>
            <w:hideMark/>
          </w:tcPr>
          <w:p w14:paraId="033CEB00"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7,117 (36.7%)</w:t>
            </w:r>
          </w:p>
        </w:tc>
        <w:tc>
          <w:tcPr>
            <w:tcW w:w="742" w:type="pct"/>
            <w:vAlign w:val="center"/>
            <w:hideMark/>
          </w:tcPr>
          <w:p w14:paraId="531009C9"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1,763 (35.6%)</w:t>
            </w:r>
          </w:p>
        </w:tc>
        <w:tc>
          <w:tcPr>
            <w:tcW w:w="744" w:type="pct"/>
            <w:vAlign w:val="center"/>
            <w:hideMark/>
          </w:tcPr>
          <w:p w14:paraId="295432FF"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1,532 (39.6%)</w:t>
            </w:r>
          </w:p>
        </w:tc>
        <w:tc>
          <w:tcPr>
            <w:tcW w:w="386" w:type="pct"/>
            <w:vAlign w:val="center"/>
            <w:hideMark/>
          </w:tcPr>
          <w:p w14:paraId="1E353C5A"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c>
          <w:tcPr>
            <w:tcW w:w="385" w:type="pct"/>
            <w:vAlign w:val="center"/>
          </w:tcPr>
          <w:p w14:paraId="6C414D2D"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r>
      <w:tr w:rsidR="00333CB8" w:rsidRPr="00472AB4" w14:paraId="6A23313A" w14:textId="54308DA6" w:rsidTr="00333CB8">
        <w:tc>
          <w:tcPr>
            <w:tcW w:w="2001" w:type="pct"/>
            <w:vAlign w:val="center"/>
            <w:hideMark/>
          </w:tcPr>
          <w:p w14:paraId="21B1DFEF"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  Poor (&lt;30%)</w:t>
            </w:r>
          </w:p>
        </w:tc>
        <w:tc>
          <w:tcPr>
            <w:tcW w:w="742" w:type="pct"/>
            <w:vAlign w:val="center"/>
            <w:hideMark/>
          </w:tcPr>
          <w:p w14:paraId="3FE88534"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2,181 (11.2%)</w:t>
            </w:r>
          </w:p>
        </w:tc>
        <w:tc>
          <w:tcPr>
            <w:tcW w:w="742" w:type="pct"/>
            <w:vAlign w:val="center"/>
            <w:hideMark/>
          </w:tcPr>
          <w:p w14:paraId="564AEA44"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427 (8.6%)</w:t>
            </w:r>
          </w:p>
        </w:tc>
        <w:tc>
          <w:tcPr>
            <w:tcW w:w="744" w:type="pct"/>
            <w:vAlign w:val="center"/>
            <w:hideMark/>
          </w:tcPr>
          <w:p w14:paraId="130A0C65"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363 (9.4%)</w:t>
            </w:r>
          </w:p>
        </w:tc>
        <w:tc>
          <w:tcPr>
            <w:tcW w:w="386" w:type="pct"/>
            <w:vAlign w:val="center"/>
            <w:hideMark/>
          </w:tcPr>
          <w:p w14:paraId="038A426E"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c>
          <w:tcPr>
            <w:tcW w:w="385" w:type="pct"/>
            <w:vAlign w:val="center"/>
          </w:tcPr>
          <w:p w14:paraId="02A70731"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r>
      <w:tr w:rsidR="00333CB8" w:rsidRPr="00472AB4" w14:paraId="1F8D1FE1" w14:textId="5CCB8604" w:rsidTr="00855DBD">
        <w:tc>
          <w:tcPr>
            <w:tcW w:w="4229" w:type="pct"/>
            <w:gridSpan w:val="4"/>
            <w:vAlign w:val="center"/>
            <w:hideMark/>
          </w:tcPr>
          <w:p w14:paraId="632471E8"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TIMI flow</w:t>
            </w:r>
          </w:p>
        </w:tc>
        <w:tc>
          <w:tcPr>
            <w:tcW w:w="386" w:type="pct"/>
            <w:vAlign w:val="center"/>
            <w:hideMark/>
          </w:tcPr>
          <w:p w14:paraId="0832CA72"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&lt; 0.0001</w:t>
            </w:r>
          </w:p>
        </w:tc>
        <w:tc>
          <w:tcPr>
            <w:tcW w:w="385" w:type="pct"/>
            <w:vAlign w:val="center"/>
          </w:tcPr>
          <w:p w14:paraId="4DAC0F32" w14:textId="43B1CE12"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&lt; 0.0001</w:t>
            </w:r>
          </w:p>
        </w:tc>
      </w:tr>
      <w:tr w:rsidR="00333CB8" w:rsidRPr="00472AB4" w14:paraId="2D458BB3" w14:textId="5CCFD258" w:rsidTr="00333CB8">
        <w:tc>
          <w:tcPr>
            <w:tcW w:w="2001" w:type="pct"/>
            <w:vAlign w:val="center"/>
            <w:hideMark/>
          </w:tcPr>
          <w:p w14:paraId="040CB184"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  TIMI 0</w:t>
            </w:r>
          </w:p>
        </w:tc>
        <w:tc>
          <w:tcPr>
            <w:tcW w:w="742" w:type="pct"/>
            <w:vAlign w:val="center"/>
            <w:hideMark/>
          </w:tcPr>
          <w:p w14:paraId="7602BFF6"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35,718 (69.2%)</w:t>
            </w:r>
          </w:p>
        </w:tc>
        <w:tc>
          <w:tcPr>
            <w:tcW w:w="742" w:type="pct"/>
            <w:vAlign w:val="center"/>
            <w:hideMark/>
          </w:tcPr>
          <w:p w14:paraId="628B243F"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12,239 (75.8%)</w:t>
            </w:r>
          </w:p>
        </w:tc>
        <w:tc>
          <w:tcPr>
            <w:tcW w:w="744" w:type="pct"/>
            <w:vAlign w:val="center"/>
            <w:hideMark/>
          </w:tcPr>
          <w:p w14:paraId="0EFA63AD"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8,140 (71.6%)</w:t>
            </w:r>
          </w:p>
        </w:tc>
        <w:tc>
          <w:tcPr>
            <w:tcW w:w="386" w:type="pct"/>
            <w:vAlign w:val="center"/>
            <w:hideMark/>
          </w:tcPr>
          <w:p w14:paraId="36CE8EB5"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c>
          <w:tcPr>
            <w:tcW w:w="385" w:type="pct"/>
            <w:vAlign w:val="center"/>
          </w:tcPr>
          <w:p w14:paraId="0949B04A"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r>
      <w:tr w:rsidR="00333CB8" w:rsidRPr="00472AB4" w14:paraId="560A860E" w14:textId="4F8E36F1" w:rsidTr="00333CB8">
        <w:tc>
          <w:tcPr>
            <w:tcW w:w="2001" w:type="pct"/>
            <w:vAlign w:val="center"/>
            <w:hideMark/>
          </w:tcPr>
          <w:p w14:paraId="600D129D"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  TIMI 1</w:t>
            </w:r>
          </w:p>
        </w:tc>
        <w:tc>
          <w:tcPr>
            <w:tcW w:w="742" w:type="pct"/>
            <w:vAlign w:val="center"/>
            <w:hideMark/>
          </w:tcPr>
          <w:p w14:paraId="709000E7"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4,660 (9.0%)</w:t>
            </w:r>
          </w:p>
        </w:tc>
        <w:tc>
          <w:tcPr>
            <w:tcW w:w="742" w:type="pct"/>
            <w:vAlign w:val="center"/>
            <w:hideMark/>
          </w:tcPr>
          <w:p w14:paraId="5F7F7F06"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1,057 (6.5%)</w:t>
            </w:r>
          </w:p>
        </w:tc>
        <w:tc>
          <w:tcPr>
            <w:tcW w:w="744" w:type="pct"/>
            <w:vAlign w:val="center"/>
            <w:hideMark/>
          </w:tcPr>
          <w:p w14:paraId="3938F29B"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964 (8.5%)</w:t>
            </w:r>
          </w:p>
        </w:tc>
        <w:tc>
          <w:tcPr>
            <w:tcW w:w="386" w:type="pct"/>
            <w:vAlign w:val="center"/>
            <w:hideMark/>
          </w:tcPr>
          <w:p w14:paraId="58BFED96"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c>
          <w:tcPr>
            <w:tcW w:w="385" w:type="pct"/>
            <w:vAlign w:val="center"/>
          </w:tcPr>
          <w:p w14:paraId="7EDC1DB1"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r>
      <w:tr w:rsidR="00333CB8" w:rsidRPr="00472AB4" w14:paraId="2F28499D" w14:textId="02D8E3AE" w:rsidTr="00333CB8">
        <w:tc>
          <w:tcPr>
            <w:tcW w:w="2001" w:type="pct"/>
            <w:vAlign w:val="center"/>
            <w:hideMark/>
          </w:tcPr>
          <w:p w14:paraId="6CC5BCDF"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  TIMI 2</w:t>
            </w:r>
          </w:p>
        </w:tc>
        <w:tc>
          <w:tcPr>
            <w:tcW w:w="742" w:type="pct"/>
            <w:vAlign w:val="center"/>
            <w:hideMark/>
          </w:tcPr>
          <w:p w14:paraId="78EBA587"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5,031 (9.8%)</w:t>
            </w:r>
          </w:p>
        </w:tc>
        <w:tc>
          <w:tcPr>
            <w:tcW w:w="742" w:type="pct"/>
            <w:vAlign w:val="center"/>
            <w:hideMark/>
          </w:tcPr>
          <w:p w14:paraId="033A2941"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1,502 (9.3%)</w:t>
            </w:r>
          </w:p>
        </w:tc>
        <w:tc>
          <w:tcPr>
            <w:tcW w:w="744" w:type="pct"/>
            <w:vAlign w:val="center"/>
            <w:hideMark/>
          </w:tcPr>
          <w:p w14:paraId="694D43CE"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1,101 (9.7%)</w:t>
            </w:r>
          </w:p>
        </w:tc>
        <w:tc>
          <w:tcPr>
            <w:tcW w:w="386" w:type="pct"/>
            <w:vAlign w:val="center"/>
            <w:hideMark/>
          </w:tcPr>
          <w:p w14:paraId="542F2196"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c>
          <w:tcPr>
            <w:tcW w:w="385" w:type="pct"/>
            <w:vAlign w:val="center"/>
          </w:tcPr>
          <w:p w14:paraId="15C3D7CD"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r>
      <w:tr w:rsidR="00333CB8" w:rsidRPr="00472AB4" w14:paraId="00A7B9B7" w14:textId="72853A7B" w:rsidTr="00333CB8">
        <w:tc>
          <w:tcPr>
            <w:tcW w:w="2001" w:type="pct"/>
            <w:vAlign w:val="center"/>
            <w:hideMark/>
          </w:tcPr>
          <w:p w14:paraId="379CE8DF"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  TIMI 3</w:t>
            </w:r>
          </w:p>
        </w:tc>
        <w:tc>
          <w:tcPr>
            <w:tcW w:w="742" w:type="pct"/>
            <w:vAlign w:val="center"/>
            <w:hideMark/>
          </w:tcPr>
          <w:p w14:paraId="199E8EE0"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6,189 (12.0%)</w:t>
            </w:r>
          </w:p>
        </w:tc>
        <w:tc>
          <w:tcPr>
            <w:tcW w:w="742" w:type="pct"/>
            <w:vAlign w:val="center"/>
            <w:hideMark/>
          </w:tcPr>
          <w:p w14:paraId="72DBF55F"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1,341 (8.3%)</w:t>
            </w:r>
          </w:p>
        </w:tc>
        <w:tc>
          <w:tcPr>
            <w:tcW w:w="744" w:type="pct"/>
            <w:vAlign w:val="center"/>
            <w:hideMark/>
          </w:tcPr>
          <w:p w14:paraId="7B614115"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1,161 (10.2%)</w:t>
            </w:r>
          </w:p>
        </w:tc>
        <w:tc>
          <w:tcPr>
            <w:tcW w:w="386" w:type="pct"/>
            <w:vAlign w:val="center"/>
            <w:hideMark/>
          </w:tcPr>
          <w:p w14:paraId="5D0AC155"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c>
          <w:tcPr>
            <w:tcW w:w="385" w:type="pct"/>
            <w:vAlign w:val="center"/>
          </w:tcPr>
          <w:p w14:paraId="052C1DDA"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r>
      <w:tr w:rsidR="00333CB8" w:rsidRPr="00472AB4" w14:paraId="6BE91097" w14:textId="295DB89D" w:rsidTr="00333CB8">
        <w:tc>
          <w:tcPr>
            <w:tcW w:w="2001" w:type="pct"/>
            <w:vAlign w:val="center"/>
            <w:hideMark/>
          </w:tcPr>
          <w:p w14:paraId="3D8C612C"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Access site (Radial)</w:t>
            </w:r>
          </w:p>
        </w:tc>
        <w:tc>
          <w:tcPr>
            <w:tcW w:w="742" w:type="pct"/>
            <w:vAlign w:val="center"/>
            <w:hideMark/>
          </w:tcPr>
          <w:p w14:paraId="4D789799"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26,514 (47.1%)</w:t>
            </w:r>
          </w:p>
        </w:tc>
        <w:tc>
          <w:tcPr>
            <w:tcW w:w="742" w:type="pct"/>
            <w:vAlign w:val="center"/>
            <w:hideMark/>
          </w:tcPr>
          <w:p w14:paraId="265C99E2"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12,692 (74.9%)</w:t>
            </w:r>
          </w:p>
        </w:tc>
        <w:tc>
          <w:tcPr>
            <w:tcW w:w="744" w:type="pct"/>
            <w:vAlign w:val="center"/>
            <w:hideMark/>
          </w:tcPr>
          <w:p w14:paraId="498829A6"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9,765 (78.3%)</w:t>
            </w:r>
          </w:p>
        </w:tc>
        <w:tc>
          <w:tcPr>
            <w:tcW w:w="386" w:type="pct"/>
            <w:vAlign w:val="center"/>
            <w:hideMark/>
          </w:tcPr>
          <w:p w14:paraId="07B2A824"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&lt; 0.0001</w:t>
            </w:r>
          </w:p>
        </w:tc>
        <w:tc>
          <w:tcPr>
            <w:tcW w:w="385" w:type="pct"/>
            <w:vAlign w:val="center"/>
          </w:tcPr>
          <w:p w14:paraId="7CAF8B7C" w14:textId="75179912"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rPr>
              <w:t>&lt; 0.0001</w:t>
            </w:r>
          </w:p>
        </w:tc>
      </w:tr>
      <w:tr w:rsidR="00333CB8" w:rsidRPr="00472AB4" w14:paraId="51B7F30E" w14:textId="758720E9" w:rsidTr="00855DBD">
        <w:tc>
          <w:tcPr>
            <w:tcW w:w="4229" w:type="pct"/>
            <w:gridSpan w:val="4"/>
            <w:vAlign w:val="center"/>
            <w:hideMark/>
          </w:tcPr>
          <w:p w14:paraId="672E74CD"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Stent</w:t>
            </w:r>
          </w:p>
        </w:tc>
        <w:tc>
          <w:tcPr>
            <w:tcW w:w="386" w:type="pct"/>
            <w:vAlign w:val="center"/>
            <w:hideMark/>
          </w:tcPr>
          <w:p w14:paraId="7C43D7BA"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&lt; 0.0001</w:t>
            </w:r>
          </w:p>
        </w:tc>
        <w:tc>
          <w:tcPr>
            <w:tcW w:w="385" w:type="pct"/>
            <w:vAlign w:val="center"/>
          </w:tcPr>
          <w:p w14:paraId="56DCCEF6" w14:textId="364CA2D1"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&lt; 0.0001</w:t>
            </w:r>
          </w:p>
        </w:tc>
      </w:tr>
      <w:tr w:rsidR="00333CB8" w:rsidRPr="00472AB4" w14:paraId="1C567F91" w14:textId="6FFC9D9D" w:rsidTr="00333CB8">
        <w:tc>
          <w:tcPr>
            <w:tcW w:w="2001" w:type="pct"/>
            <w:vAlign w:val="center"/>
            <w:hideMark/>
          </w:tcPr>
          <w:p w14:paraId="18F43CED"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  None</w:t>
            </w:r>
          </w:p>
        </w:tc>
        <w:tc>
          <w:tcPr>
            <w:tcW w:w="742" w:type="pct"/>
            <w:vAlign w:val="center"/>
            <w:hideMark/>
          </w:tcPr>
          <w:p w14:paraId="6CD20598"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4,422 (8.0%)</w:t>
            </w:r>
          </w:p>
        </w:tc>
        <w:tc>
          <w:tcPr>
            <w:tcW w:w="742" w:type="pct"/>
            <w:vAlign w:val="center"/>
            <w:hideMark/>
          </w:tcPr>
          <w:p w14:paraId="502D8C95"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1,050 (6.1%)</w:t>
            </w:r>
          </w:p>
        </w:tc>
        <w:tc>
          <w:tcPr>
            <w:tcW w:w="744" w:type="pct"/>
            <w:vAlign w:val="center"/>
            <w:hideMark/>
          </w:tcPr>
          <w:p w14:paraId="7E770D69"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773 (6.1%)</w:t>
            </w:r>
          </w:p>
        </w:tc>
        <w:tc>
          <w:tcPr>
            <w:tcW w:w="386" w:type="pct"/>
            <w:vAlign w:val="center"/>
            <w:hideMark/>
          </w:tcPr>
          <w:p w14:paraId="384A7AD1"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c>
          <w:tcPr>
            <w:tcW w:w="385" w:type="pct"/>
            <w:vAlign w:val="center"/>
          </w:tcPr>
          <w:p w14:paraId="309CEF63"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r>
      <w:tr w:rsidR="00333CB8" w:rsidRPr="00472AB4" w14:paraId="473A9418" w14:textId="7127229D" w:rsidTr="00333CB8">
        <w:tc>
          <w:tcPr>
            <w:tcW w:w="2001" w:type="pct"/>
            <w:vAlign w:val="center"/>
            <w:hideMark/>
          </w:tcPr>
          <w:p w14:paraId="3D6896C6"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  Bare metal</w:t>
            </w:r>
          </w:p>
        </w:tc>
        <w:tc>
          <w:tcPr>
            <w:tcW w:w="742" w:type="pct"/>
            <w:vAlign w:val="center"/>
            <w:hideMark/>
          </w:tcPr>
          <w:p w14:paraId="706CED23"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19,479 (35.2%)</w:t>
            </w:r>
          </w:p>
        </w:tc>
        <w:tc>
          <w:tcPr>
            <w:tcW w:w="742" w:type="pct"/>
            <w:vAlign w:val="center"/>
            <w:hideMark/>
          </w:tcPr>
          <w:p w14:paraId="1DD2554C"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4,217 (24.5%)</w:t>
            </w:r>
          </w:p>
        </w:tc>
        <w:tc>
          <w:tcPr>
            <w:tcW w:w="744" w:type="pct"/>
            <w:vAlign w:val="center"/>
            <w:hideMark/>
          </w:tcPr>
          <w:p w14:paraId="291F0892"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1,503 (11.9%)</w:t>
            </w:r>
          </w:p>
        </w:tc>
        <w:tc>
          <w:tcPr>
            <w:tcW w:w="386" w:type="pct"/>
            <w:vAlign w:val="center"/>
            <w:hideMark/>
          </w:tcPr>
          <w:p w14:paraId="26989937"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c>
          <w:tcPr>
            <w:tcW w:w="385" w:type="pct"/>
            <w:vAlign w:val="center"/>
          </w:tcPr>
          <w:p w14:paraId="699CA1F8"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r>
      <w:tr w:rsidR="00333CB8" w:rsidRPr="00472AB4" w14:paraId="21DFA991" w14:textId="7D5291AA" w:rsidTr="00333CB8">
        <w:tc>
          <w:tcPr>
            <w:tcW w:w="2001" w:type="pct"/>
            <w:vAlign w:val="center"/>
            <w:hideMark/>
          </w:tcPr>
          <w:p w14:paraId="2D5030A4"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  Drug eluting</w:t>
            </w:r>
          </w:p>
        </w:tc>
        <w:tc>
          <w:tcPr>
            <w:tcW w:w="742" w:type="pct"/>
            <w:vAlign w:val="center"/>
            <w:hideMark/>
          </w:tcPr>
          <w:p w14:paraId="7866C7D6"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31,492 (56.9%)</w:t>
            </w:r>
          </w:p>
        </w:tc>
        <w:tc>
          <w:tcPr>
            <w:tcW w:w="742" w:type="pct"/>
            <w:vAlign w:val="center"/>
            <w:hideMark/>
          </w:tcPr>
          <w:p w14:paraId="1A0D48CB"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11,974 (69.5%)</w:t>
            </w:r>
          </w:p>
        </w:tc>
        <w:tc>
          <w:tcPr>
            <w:tcW w:w="744" w:type="pct"/>
            <w:vAlign w:val="center"/>
            <w:hideMark/>
          </w:tcPr>
          <w:p w14:paraId="0AAE4487"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10,381 (82.0%)</w:t>
            </w:r>
          </w:p>
        </w:tc>
        <w:tc>
          <w:tcPr>
            <w:tcW w:w="386" w:type="pct"/>
            <w:vAlign w:val="center"/>
            <w:hideMark/>
          </w:tcPr>
          <w:p w14:paraId="5A87AC09"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c>
          <w:tcPr>
            <w:tcW w:w="385" w:type="pct"/>
            <w:vAlign w:val="center"/>
          </w:tcPr>
          <w:p w14:paraId="1BCF6702"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r>
      <w:tr w:rsidR="00333CB8" w:rsidRPr="00472AB4" w14:paraId="705E5824" w14:textId="7EAF813A" w:rsidTr="00855DBD">
        <w:tc>
          <w:tcPr>
            <w:tcW w:w="4229" w:type="pct"/>
            <w:gridSpan w:val="4"/>
            <w:vAlign w:val="center"/>
            <w:hideMark/>
          </w:tcPr>
          <w:p w14:paraId="1C78E06B"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Vessel attempted</w:t>
            </w:r>
          </w:p>
        </w:tc>
        <w:tc>
          <w:tcPr>
            <w:tcW w:w="386" w:type="pct"/>
            <w:vAlign w:val="center"/>
            <w:hideMark/>
          </w:tcPr>
          <w:p w14:paraId="644619F2"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&lt; 0.0001</w:t>
            </w:r>
          </w:p>
        </w:tc>
        <w:tc>
          <w:tcPr>
            <w:tcW w:w="385" w:type="pct"/>
            <w:vAlign w:val="center"/>
          </w:tcPr>
          <w:p w14:paraId="0F900E90" w14:textId="3FE2C4F0"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&lt; 0.0001</w:t>
            </w:r>
          </w:p>
        </w:tc>
      </w:tr>
      <w:tr w:rsidR="00333CB8" w:rsidRPr="00472AB4" w14:paraId="4BE781D0" w14:textId="248B746B" w:rsidTr="00333CB8">
        <w:tc>
          <w:tcPr>
            <w:tcW w:w="2001" w:type="pct"/>
            <w:vAlign w:val="center"/>
            <w:hideMark/>
          </w:tcPr>
          <w:p w14:paraId="6E684740"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  Venous or arterial graft</w:t>
            </w:r>
          </w:p>
        </w:tc>
        <w:tc>
          <w:tcPr>
            <w:tcW w:w="742" w:type="pct"/>
            <w:vAlign w:val="center"/>
            <w:hideMark/>
          </w:tcPr>
          <w:p w14:paraId="31824AED"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803 (1.4%)</w:t>
            </w:r>
          </w:p>
        </w:tc>
        <w:tc>
          <w:tcPr>
            <w:tcW w:w="742" w:type="pct"/>
            <w:vAlign w:val="center"/>
            <w:hideMark/>
          </w:tcPr>
          <w:p w14:paraId="6E81367E"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259 (1.5%)</w:t>
            </w:r>
          </w:p>
        </w:tc>
        <w:tc>
          <w:tcPr>
            <w:tcW w:w="744" w:type="pct"/>
            <w:vAlign w:val="center"/>
            <w:hideMark/>
          </w:tcPr>
          <w:p w14:paraId="6E147C27"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143 (1.1%)</w:t>
            </w:r>
          </w:p>
        </w:tc>
        <w:tc>
          <w:tcPr>
            <w:tcW w:w="386" w:type="pct"/>
            <w:vAlign w:val="center"/>
            <w:hideMark/>
          </w:tcPr>
          <w:p w14:paraId="22EBD217"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c>
          <w:tcPr>
            <w:tcW w:w="385" w:type="pct"/>
            <w:vAlign w:val="center"/>
          </w:tcPr>
          <w:p w14:paraId="2F4AFA75"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r>
      <w:tr w:rsidR="00333CB8" w:rsidRPr="00472AB4" w14:paraId="5967291D" w14:textId="6E463D74" w:rsidTr="00333CB8">
        <w:tc>
          <w:tcPr>
            <w:tcW w:w="2001" w:type="pct"/>
            <w:vAlign w:val="center"/>
            <w:hideMark/>
          </w:tcPr>
          <w:p w14:paraId="0B6BF104"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  Left main stem artery</w:t>
            </w:r>
          </w:p>
        </w:tc>
        <w:tc>
          <w:tcPr>
            <w:tcW w:w="742" w:type="pct"/>
            <w:vAlign w:val="center"/>
            <w:hideMark/>
          </w:tcPr>
          <w:p w14:paraId="4709E1DF"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411 (0.7%)</w:t>
            </w:r>
          </w:p>
        </w:tc>
        <w:tc>
          <w:tcPr>
            <w:tcW w:w="742" w:type="pct"/>
            <w:vAlign w:val="center"/>
            <w:hideMark/>
          </w:tcPr>
          <w:p w14:paraId="612B036C"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67 (0.4%)</w:t>
            </w:r>
          </w:p>
        </w:tc>
        <w:tc>
          <w:tcPr>
            <w:tcW w:w="744" w:type="pct"/>
            <w:vAlign w:val="center"/>
            <w:hideMark/>
          </w:tcPr>
          <w:p w14:paraId="4A2F3727"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230 (1.8%)</w:t>
            </w:r>
          </w:p>
        </w:tc>
        <w:tc>
          <w:tcPr>
            <w:tcW w:w="386" w:type="pct"/>
            <w:vAlign w:val="center"/>
            <w:hideMark/>
          </w:tcPr>
          <w:p w14:paraId="1063A2BF"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c>
          <w:tcPr>
            <w:tcW w:w="385" w:type="pct"/>
            <w:vAlign w:val="center"/>
          </w:tcPr>
          <w:p w14:paraId="7748A65B"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r>
      <w:tr w:rsidR="00333CB8" w:rsidRPr="00472AB4" w14:paraId="78AA45E2" w14:textId="68D63832" w:rsidTr="00333CB8">
        <w:tc>
          <w:tcPr>
            <w:tcW w:w="2001" w:type="pct"/>
            <w:vAlign w:val="center"/>
            <w:hideMark/>
          </w:tcPr>
          <w:p w14:paraId="65A1326C"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  Left anterior descending artery</w:t>
            </w:r>
          </w:p>
        </w:tc>
        <w:tc>
          <w:tcPr>
            <w:tcW w:w="742" w:type="pct"/>
            <w:vAlign w:val="center"/>
            <w:hideMark/>
          </w:tcPr>
          <w:p w14:paraId="741840DB"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22,858 (39.5%)</w:t>
            </w:r>
          </w:p>
        </w:tc>
        <w:tc>
          <w:tcPr>
            <w:tcW w:w="742" w:type="pct"/>
            <w:vAlign w:val="center"/>
            <w:hideMark/>
          </w:tcPr>
          <w:p w14:paraId="617D19C7"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6,905 (39.2%)</w:t>
            </w:r>
          </w:p>
        </w:tc>
        <w:tc>
          <w:tcPr>
            <w:tcW w:w="744" w:type="pct"/>
            <w:vAlign w:val="center"/>
            <w:hideMark/>
          </w:tcPr>
          <w:p w14:paraId="1752C9D4"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4,974 (38.2%)</w:t>
            </w:r>
          </w:p>
        </w:tc>
        <w:tc>
          <w:tcPr>
            <w:tcW w:w="386" w:type="pct"/>
            <w:vAlign w:val="center"/>
            <w:hideMark/>
          </w:tcPr>
          <w:p w14:paraId="5E157805"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c>
          <w:tcPr>
            <w:tcW w:w="385" w:type="pct"/>
            <w:vAlign w:val="center"/>
          </w:tcPr>
          <w:p w14:paraId="0D82BE06"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r>
      <w:tr w:rsidR="00333CB8" w:rsidRPr="00472AB4" w14:paraId="38F7EB3A" w14:textId="3A9CD366" w:rsidTr="00333CB8">
        <w:tc>
          <w:tcPr>
            <w:tcW w:w="2001" w:type="pct"/>
            <w:vAlign w:val="center"/>
            <w:hideMark/>
          </w:tcPr>
          <w:p w14:paraId="3747E8C9"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  Left circumflex artery</w:t>
            </w:r>
          </w:p>
        </w:tc>
        <w:tc>
          <w:tcPr>
            <w:tcW w:w="742" w:type="pct"/>
            <w:vAlign w:val="center"/>
            <w:hideMark/>
          </w:tcPr>
          <w:p w14:paraId="5CBA4042"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7,216 (12.5%)</w:t>
            </w:r>
          </w:p>
        </w:tc>
        <w:tc>
          <w:tcPr>
            <w:tcW w:w="742" w:type="pct"/>
            <w:vAlign w:val="center"/>
            <w:hideMark/>
          </w:tcPr>
          <w:p w14:paraId="70400AA0"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2,186 (12.4%)</w:t>
            </w:r>
          </w:p>
        </w:tc>
        <w:tc>
          <w:tcPr>
            <w:tcW w:w="744" w:type="pct"/>
            <w:vAlign w:val="center"/>
            <w:hideMark/>
          </w:tcPr>
          <w:p w14:paraId="63E4967B"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1,839 (14.1%)</w:t>
            </w:r>
          </w:p>
        </w:tc>
        <w:tc>
          <w:tcPr>
            <w:tcW w:w="386" w:type="pct"/>
            <w:vAlign w:val="center"/>
            <w:hideMark/>
          </w:tcPr>
          <w:p w14:paraId="536DDE59"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c>
          <w:tcPr>
            <w:tcW w:w="385" w:type="pct"/>
            <w:vAlign w:val="center"/>
          </w:tcPr>
          <w:p w14:paraId="56E7EB25"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r>
      <w:tr w:rsidR="00333CB8" w:rsidRPr="00472AB4" w14:paraId="08AD9DF3" w14:textId="5CE8D604" w:rsidTr="00333CB8">
        <w:tc>
          <w:tcPr>
            <w:tcW w:w="2001" w:type="pct"/>
            <w:vAlign w:val="center"/>
            <w:hideMark/>
          </w:tcPr>
          <w:p w14:paraId="1A07E351"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  Right coronary artery</w:t>
            </w:r>
          </w:p>
        </w:tc>
        <w:tc>
          <w:tcPr>
            <w:tcW w:w="742" w:type="pct"/>
            <w:vAlign w:val="center"/>
            <w:hideMark/>
          </w:tcPr>
          <w:p w14:paraId="3BA86CB3"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22,915 (39.6%)</w:t>
            </w:r>
          </w:p>
        </w:tc>
        <w:tc>
          <w:tcPr>
            <w:tcW w:w="742" w:type="pct"/>
            <w:vAlign w:val="center"/>
            <w:hideMark/>
          </w:tcPr>
          <w:p w14:paraId="475ED370"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7,269 (41.2%)</w:t>
            </w:r>
          </w:p>
        </w:tc>
        <w:tc>
          <w:tcPr>
            <w:tcW w:w="744" w:type="pct"/>
            <w:vAlign w:val="center"/>
            <w:hideMark/>
          </w:tcPr>
          <w:p w14:paraId="1BE2434F"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5,147 (39.5%)</w:t>
            </w:r>
          </w:p>
        </w:tc>
        <w:tc>
          <w:tcPr>
            <w:tcW w:w="386" w:type="pct"/>
            <w:vAlign w:val="center"/>
            <w:hideMark/>
          </w:tcPr>
          <w:p w14:paraId="523CFC73"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c>
          <w:tcPr>
            <w:tcW w:w="385" w:type="pct"/>
            <w:vAlign w:val="center"/>
          </w:tcPr>
          <w:p w14:paraId="74639AF2"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r>
      <w:tr w:rsidR="00333CB8" w:rsidRPr="00472AB4" w14:paraId="6835691B" w14:textId="71CC510D" w:rsidTr="00333CB8">
        <w:tc>
          <w:tcPr>
            <w:tcW w:w="2001" w:type="pct"/>
            <w:vAlign w:val="center"/>
            <w:hideMark/>
          </w:tcPr>
          <w:p w14:paraId="07912269"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  Multiple</w:t>
            </w:r>
          </w:p>
        </w:tc>
        <w:tc>
          <w:tcPr>
            <w:tcW w:w="742" w:type="pct"/>
            <w:vAlign w:val="center"/>
            <w:hideMark/>
          </w:tcPr>
          <w:p w14:paraId="65E1D349"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3,671 (6.3%)</w:t>
            </w:r>
          </w:p>
        </w:tc>
        <w:tc>
          <w:tcPr>
            <w:tcW w:w="742" w:type="pct"/>
            <w:vAlign w:val="center"/>
            <w:hideMark/>
          </w:tcPr>
          <w:p w14:paraId="237379C1"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937 (5.3%)</w:t>
            </w:r>
          </w:p>
        </w:tc>
        <w:tc>
          <w:tcPr>
            <w:tcW w:w="744" w:type="pct"/>
            <w:vAlign w:val="center"/>
            <w:hideMark/>
          </w:tcPr>
          <w:p w14:paraId="2012999D"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700 (5.4%)</w:t>
            </w:r>
          </w:p>
        </w:tc>
        <w:tc>
          <w:tcPr>
            <w:tcW w:w="386" w:type="pct"/>
            <w:vAlign w:val="center"/>
            <w:hideMark/>
          </w:tcPr>
          <w:p w14:paraId="049BCDDE"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c>
          <w:tcPr>
            <w:tcW w:w="385" w:type="pct"/>
            <w:vAlign w:val="center"/>
          </w:tcPr>
          <w:p w14:paraId="1E425FA5"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r>
      <w:tr w:rsidR="00333CB8" w:rsidRPr="00472AB4" w14:paraId="18E8C3D9" w14:textId="4794DAEA" w:rsidTr="00333CB8">
        <w:tc>
          <w:tcPr>
            <w:tcW w:w="2001" w:type="pct"/>
            <w:vAlign w:val="center"/>
            <w:hideMark/>
          </w:tcPr>
          <w:p w14:paraId="640E1822"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Cardiogenic shock</w:t>
            </w:r>
          </w:p>
        </w:tc>
        <w:tc>
          <w:tcPr>
            <w:tcW w:w="742" w:type="pct"/>
            <w:vAlign w:val="center"/>
            <w:hideMark/>
          </w:tcPr>
          <w:p w14:paraId="0BC0BCB4"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4,155 (7.2%)</w:t>
            </w:r>
          </w:p>
        </w:tc>
        <w:tc>
          <w:tcPr>
            <w:tcW w:w="742" w:type="pct"/>
            <w:vAlign w:val="center"/>
            <w:hideMark/>
          </w:tcPr>
          <w:p w14:paraId="7C13EB87"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988 (5.6%)</w:t>
            </w:r>
          </w:p>
        </w:tc>
        <w:tc>
          <w:tcPr>
            <w:tcW w:w="744" w:type="pct"/>
            <w:vAlign w:val="center"/>
            <w:hideMark/>
          </w:tcPr>
          <w:p w14:paraId="233F8558"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812 (6.2%)</w:t>
            </w:r>
          </w:p>
        </w:tc>
        <w:tc>
          <w:tcPr>
            <w:tcW w:w="386" w:type="pct"/>
            <w:vAlign w:val="center"/>
            <w:hideMark/>
          </w:tcPr>
          <w:p w14:paraId="56EB38A4"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&lt; 0.0001</w:t>
            </w:r>
          </w:p>
        </w:tc>
        <w:tc>
          <w:tcPr>
            <w:tcW w:w="385" w:type="pct"/>
            <w:vAlign w:val="center"/>
          </w:tcPr>
          <w:p w14:paraId="2D367B99" w14:textId="5D3398E5"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rPr>
              <w:t>0.020</w:t>
            </w:r>
          </w:p>
        </w:tc>
      </w:tr>
      <w:tr w:rsidR="00333CB8" w:rsidRPr="00472AB4" w14:paraId="76D87C86" w14:textId="567EA9E0" w:rsidTr="00333CB8">
        <w:tc>
          <w:tcPr>
            <w:tcW w:w="2001" w:type="pct"/>
            <w:vAlign w:val="center"/>
            <w:hideMark/>
          </w:tcPr>
          <w:p w14:paraId="34AE0E43"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Intra-aortic balloon pump use</w:t>
            </w:r>
          </w:p>
        </w:tc>
        <w:tc>
          <w:tcPr>
            <w:tcW w:w="742" w:type="pct"/>
            <w:vAlign w:val="center"/>
            <w:hideMark/>
          </w:tcPr>
          <w:p w14:paraId="1465DD2F"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2,832 (5.1%)</w:t>
            </w:r>
          </w:p>
        </w:tc>
        <w:tc>
          <w:tcPr>
            <w:tcW w:w="742" w:type="pct"/>
            <w:vAlign w:val="center"/>
            <w:hideMark/>
          </w:tcPr>
          <w:p w14:paraId="22E31A6F"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567 (3.4%)</w:t>
            </w:r>
          </w:p>
        </w:tc>
        <w:tc>
          <w:tcPr>
            <w:tcW w:w="744" w:type="pct"/>
            <w:vAlign w:val="center"/>
            <w:hideMark/>
          </w:tcPr>
          <w:p w14:paraId="7D79DD4D"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421 (3.4%)</w:t>
            </w:r>
          </w:p>
        </w:tc>
        <w:tc>
          <w:tcPr>
            <w:tcW w:w="386" w:type="pct"/>
            <w:vAlign w:val="center"/>
            <w:hideMark/>
          </w:tcPr>
          <w:p w14:paraId="472BD007"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&lt; 0.0001</w:t>
            </w:r>
          </w:p>
        </w:tc>
        <w:tc>
          <w:tcPr>
            <w:tcW w:w="385" w:type="pct"/>
            <w:vAlign w:val="center"/>
          </w:tcPr>
          <w:p w14:paraId="44361F2A" w14:textId="1F7D61FC"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rPr>
              <w:t>0.77</w:t>
            </w:r>
          </w:p>
        </w:tc>
      </w:tr>
      <w:tr w:rsidR="00333CB8" w:rsidRPr="00472AB4" w14:paraId="2CB8A45B" w14:textId="62AF7847" w:rsidTr="00333CB8">
        <w:tc>
          <w:tcPr>
            <w:tcW w:w="2001" w:type="pct"/>
            <w:vAlign w:val="center"/>
            <w:hideMark/>
          </w:tcPr>
          <w:p w14:paraId="6A2E14AB"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Ventilatory support</w:t>
            </w:r>
          </w:p>
        </w:tc>
        <w:tc>
          <w:tcPr>
            <w:tcW w:w="742" w:type="pct"/>
            <w:vAlign w:val="center"/>
            <w:hideMark/>
          </w:tcPr>
          <w:p w14:paraId="04DBC4DC"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1,891 (3.5%)</w:t>
            </w:r>
          </w:p>
        </w:tc>
        <w:tc>
          <w:tcPr>
            <w:tcW w:w="742" w:type="pct"/>
            <w:vAlign w:val="center"/>
            <w:hideMark/>
          </w:tcPr>
          <w:p w14:paraId="7E1BCC23"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425 (2.5%)</w:t>
            </w:r>
          </w:p>
        </w:tc>
        <w:tc>
          <w:tcPr>
            <w:tcW w:w="744" w:type="pct"/>
            <w:vAlign w:val="center"/>
            <w:hideMark/>
          </w:tcPr>
          <w:p w14:paraId="0B735EF8"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392 (3.4%)</w:t>
            </w:r>
          </w:p>
        </w:tc>
        <w:tc>
          <w:tcPr>
            <w:tcW w:w="386" w:type="pct"/>
            <w:vAlign w:val="center"/>
            <w:hideMark/>
          </w:tcPr>
          <w:p w14:paraId="640EF422"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&lt; 0.0001</w:t>
            </w:r>
          </w:p>
        </w:tc>
        <w:tc>
          <w:tcPr>
            <w:tcW w:w="385" w:type="pct"/>
            <w:vAlign w:val="center"/>
          </w:tcPr>
          <w:p w14:paraId="6E0F4B4D" w14:textId="2824BD64"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rPr>
              <w:t>&lt; 0.0001</w:t>
            </w:r>
          </w:p>
        </w:tc>
      </w:tr>
      <w:tr w:rsidR="00333CB8" w:rsidRPr="00472AB4" w14:paraId="75A86038" w14:textId="0392203C" w:rsidTr="00333CB8">
        <w:tc>
          <w:tcPr>
            <w:tcW w:w="2001" w:type="pct"/>
            <w:vAlign w:val="center"/>
            <w:hideMark/>
          </w:tcPr>
          <w:p w14:paraId="4285EF08"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Thrombectomy</w:t>
            </w:r>
          </w:p>
        </w:tc>
        <w:tc>
          <w:tcPr>
            <w:tcW w:w="742" w:type="pct"/>
            <w:vAlign w:val="center"/>
            <w:hideMark/>
          </w:tcPr>
          <w:p w14:paraId="272FD3AF"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25,933 (46.6%)</w:t>
            </w:r>
          </w:p>
        </w:tc>
        <w:tc>
          <w:tcPr>
            <w:tcW w:w="742" w:type="pct"/>
            <w:vAlign w:val="center"/>
            <w:hideMark/>
          </w:tcPr>
          <w:p w14:paraId="70D8A8E1"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8,583 (51.0%)</w:t>
            </w:r>
          </w:p>
        </w:tc>
        <w:tc>
          <w:tcPr>
            <w:tcW w:w="744" w:type="pct"/>
            <w:vAlign w:val="center"/>
            <w:hideMark/>
          </w:tcPr>
          <w:p w14:paraId="42D3A471"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6,518 (52.7%)</w:t>
            </w:r>
          </w:p>
        </w:tc>
        <w:tc>
          <w:tcPr>
            <w:tcW w:w="386" w:type="pct"/>
            <w:vAlign w:val="center"/>
            <w:hideMark/>
          </w:tcPr>
          <w:p w14:paraId="4C5861AF"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&lt; 0.0001</w:t>
            </w:r>
          </w:p>
        </w:tc>
        <w:tc>
          <w:tcPr>
            <w:tcW w:w="385" w:type="pct"/>
            <w:vAlign w:val="center"/>
          </w:tcPr>
          <w:p w14:paraId="3FD220FE" w14:textId="24826BB0"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rPr>
              <w:t>0.005</w:t>
            </w:r>
          </w:p>
        </w:tc>
      </w:tr>
      <w:tr w:rsidR="00333CB8" w:rsidRPr="00472AB4" w14:paraId="22663AB5" w14:textId="3BE70D16" w:rsidTr="00333CB8">
        <w:tc>
          <w:tcPr>
            <w:tcW w:w="2001" w:type="pct"/>
            <w:vAlign w:val="center"/>
            <w:hideMark/>
          </w:tcPr>
          <w:p w14:paraId="578048E4"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Bivalirudin use</w:t>
            </w:r>
          </w:p>
        </w:tc>
        <w:tc>
          <w:tcPr>
            <w:tcW w:w="742" w:type="pct"/>
            <w:vAlign w:val="center"/>
            <w:hideMark/>
          </w:tcPr>
          <w:p w14:paraId="6F79391A"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5,095 (8.7%)</w:t>
            </w:r>
          </w:p>
        </w:tc>
        <w:tc>
          <w:tcPr>
            <w:tcW w:w="742" w:type="pct"/>
            <w:vAlign w:val="center"/>
            <w:hideMark/>
          </w:tcPr>
          <w:p w14:paraId="18909854"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5,697 (32.2%)</w:t>
            </w:r>
          </w:p>
        </w:tc>
        <w:tc>
          <w:tcPr>
            <w:tcW w:w="744" w:type="pct"/>
            <w:vAlign w:val="center"/>
            <w:hideMark/>
          </w:tcPr>
          <w:p w14:paraId="7E3087FB"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2,963 (22.6%)</w:t>
            </w:r>
          </w:p>
        </w:tc>
        <w:tc>
          <w:tcPr>
            <w:tcW w:w="386" w:type="pct"/>
            <w:vAlign w:val="center"/>
            <w:hideMark/>
          </w:tcPr>
          <w:p w14:paraId="26DDB49A"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&lt; 0.0001</w:t>
            </w:r>
          </w:p>
        </w:tc>
        <w:tc>
          <w:tcPr>
            <w:tcW w:w="385" w:type="pct"/>
            <w:vAlign w:val="center"/>
          </w:tcPr>
          <w:p w14:paraId="2934E8B8" w14:textId="3A6A07EB"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rPr>
              <w:t>&lt; 0.0001</w:t>
            </w:r>
          </w:p>
        </w:tc>
      </w:tr>
      <w:tr w:rsidR="00333CB8" w:rsidRPr="00472AB4" w14:paraId="3EBA254D" w14:textId="26670125" w:rsidTr="00333CB8">
        <w:tc>
          <w:tcPr>
            <w:tcW w:w="2001" w:type="pct"/>
            <w:vAlign w:val="center"/>
            <w:hideMark/>
          </w:tcPr>
          <w:p w14:paraId="46E70586"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Glycoprotein IIb/IIIa inhibitors use</w:t>
            </w:r>
          </w:p>
        </w:tc>
        <w:tc>
          <w:tcPr>
            <w:tcW w:w="742" w:type="pct"/>
            <w:vAlign w:val="center"/>
            <w:hideMark/>
          </w:tcPr>
          <w:p w14:paraId="27CBC25E"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30,258 (53.7%)</w:t>
            </w:r>
          </w:p>
        </w:tc>
        <w:tc>
          <w:tcPr>
            <w:tcW w:w="742" w:type="pct"/>
            <w:vAlign w:val="center"/>
            <w:hideMark/>
          </w:tcPr>
          <w:p w14:paraId="4EEC5E13"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7,672 (44.5%)</w:t>
            </w:r>
          </w:p>
        </w:tc>
        <w:tc>
          <w:tcPr>
            <w:tcW w:w="744" w:type="pct"/>
            <w:vAlign w:val="center"/>
            <w:hideMark/>
          </w:tcPr>
          <w:p w14:paraId="5CE1D525"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4,294 (34.8%)</w:t>
            </w:r>
          </w:p>
        </w:tc>
        <w:tc>
          <w:tcPr>
            <w:tcW w:w="386" w:type="pct"/>
            <w:vAlign w:val="center"/>
            <w:hideMark/>
          </w:tcPr>
          <w:p w14:paraId="5EBAC8E7"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&lt; 0.0001</w:t>
            </w:r>
          </w:p>
        </w:tc>
        <w:tc>
          <w:tcPr>
            <w:tcW w:w="385" w:type="pct"/>
            <w:vAlign w:val="center"/>
          </w:tcPr>
          <w:p w14:paraId="7574EB82" w14:textId="10BE9911"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rPr>
              <w:t>&lt; 0.0001</w:t>
            </w:r>
          </w:p>
        </w:tc>
      </w:tr>
      <w:tr w:rsidR="00333CB8" w:rsidRPr="00472AB4" w14:paraId="31949965" w14:textId="217BDC3B" w:rsidTr="00855DBD">
        <w:tc>
          <w:tcPr>
            <w:tcW w:w="4229" w:type="pct"/>
            <w:gridSpan w:val="4"/>
            <w:vAlign w:val="center"/>
            <w:hideMark/>
          </w:tcPr>
          <w:p w14:paraId="0635DD95"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Year</w:t>
            </w:r>
          </w:p>
        </w:tc>
        <w:tc>
          <w:tcPr>
            <w:tcW w:w="386" w:type="pct"/>
            <w:vAlign w:val="center"/>
            <w:hideMark/>
          </w:tcPr>
          <w:p w14:paraId="5B82521A"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&lt; 0.0001</w:t>
            </w:r>
          </w:p>
        </w:tc>
        <w:tc>
          <w:tcPr>
            <w:tcW w:w="385" w:type="pct"/>
            <w:vAlign w:val="center"/>
          </w:tcPr>
          <w:p w14:paraId="2ADA9337" w14:textId="46EB00DE"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&lt; 0.0001</w:t>
            </w:r>
          </w:p>
        </w:tc>
      </w:tr>
      <w:tr w:rsidR="00333CB8" w:rsidRPr="00472AB4" w14:paraId="103A2196" w14:textId="1E4E711C" w:rsidTr="00333CB8">
        <w:tc>
          <w:tcPr>
            <w:tcW w:w="2001" w:type="pct"/>
            <w:vAlign w:val="center"/>
            <w:hideMark/>
          </w:tcPr>
          <w:p w14:paraId="2CCD8B63"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  2007</w:t>
            </w:r>
          </w:p>
        </w:tc>
        <w:tc>
          <w:tcPr>
            <w:tcW w:w="742" w:type="pct"/>
            <w:vAlign w:val="center"/>
            <w:hideMark/>
          </w:tcPr>
          <w:p w14:paraId="64692AAE"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3,448 (5.9%)</w:t>
            </w:r>
          </w:p>
        </w:tc>
        <w:tc>
          <w:tcPr>
            <w:tcW w:w="742" w:type="pct"/>
            <w:vAlign w:val="center"/>
            <w:hideMark/>
          </w:tcPr>
          <w:p w14:paraId="31974D9F"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0 (0.0%)</w:t>
            </w:r>
          </w:p>
        </w:tc>
        <w:tc>
          <w:tcPr>
            <w:tcW w:w="744" w:type="pct"/>
            <w:vAlign w:val="center"/>
            <w:hideMark/>
          </w:tcPr>
          <w:p w14:paraId="1489A2A2"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0 (0.0%)</w:t>
            </w:r>
          </w:p>
        </w:tc>
        <w:tc>
          <w:tcPr>
            <w:tcW w:w="386" w:type="pct"/>
            <w:vAlign w:val="center"/>
            <w:hideMark/>
          </w:tcPr>
          <w:p w14:paraId="7F30DA78"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c>
          <w:tcPr>
            <w:tcW w:w="385" w:type="pct"/>
            <w:vAlign w:val="center"/>
          </w:tcPr>
          <w:p w14:paraId="066911F8"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r>
      <w:tr w:rsidR="00333CB8" w:rsidRPr="00472AB4" w14:paraId="71C351E1" w14:textId="796F77C3" w:rsidTr="00333CB8">
        <w:tc>
          <w:tcPr>
            <w:tcW w:w="2001" w:type="pct"/>
            <w:vAlign w:val="center"/>
            <w:hideMark/>
          </w:tcPr>
          <w:p w14:paraId="212731DD"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  2008</w:t>
            </w:r>
          </w:p>
        </w:tc>
        <w:tc>
          <w:tcPr>
            <w:tcW w:w="742" w:type="pct"/>
            <w:vAlign w:val="center"/>
            <w:hideMark/>
          </w:tcPr>
          <w:p w14:paraId="77B0B1DD"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5,467 (9.4%)</w:t>
            </w:r>
          </w:p>
        </w:tc>
        <w:tc>
          <w:tcPr>
            <w:tcW w:w="742" w:type="pct"/>
            <w:vAlign w:val="center"/>
            <w:hideMark/>
          </w:tcPr>
          <w:p w14:paraId="50A46F88"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0 (0.0%)</w:t>
            </w:r>
          </w:p>
        </w:tc>
        <w:tc>
          <w:tcPr>
            <w:tcW w:w="744" w:type="pct"/>
            <w:vAlign w:val="center"/>
            <w:hideMark/>
          </w:tcPr>
          <w:p w14:paraId="4F57A52C"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0 (0.0%)</w:t>
            </w:r>
          </w:p>
        </w:tc>
        <w:tc>
          <w:tcPr>
            <w:tcW w:w="386" w:type="pct"/>
            <w:vAlign w:val="center"/>
            <w:hideMark/>
          </w:tcPr>
          <w:p w14:paraId="706870FB"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c>
          <w:tcPr>
            <w:tcW w:w="385" w:type="pct"/>
            <w:vAlign w:val="center"/>
          </w:tcPr>
          <w:p w14:paraId="2B0E00BD"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r>
      <w:tr w:rsidR="00333CB8" w:rsidRPr="00472AB4" w14:paraId="3A657AA9" w14:textId="29B661B2" w:rsidTr="00333CB8">
        <w:tc>
          <w:tcPr>
            <w:tcW w:w="2001" w:type="pct"/>
            <w:vAlign w:val="center"/>
            <w:hideMark/>
          </w:tcPr>
          <w:p w14:paraId="6D2918F3"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  2009</w:t>
            </w:r>
          </w:p>
        </w:tc>
        <w:tc>
          <w:tcPr>
            <w:tcW w:w="742" w:type="pct"/>
            <w:vAlign w:val="center"/>
            <w:hideMark/>
          </w:tcPr>
          <w:p w14:paraId="5CAF17FD"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8,134 (14.0%)</w:t>
            </w:r>
          </w:p>
        </w:tc>
        <w:tc>
          <w:tcPr>
            <w:tcW w:w="742" w:type="pct"/>
            <w:vAlign w:val="center"/>
            <w:hideMark/>
          </w:tcPr>
          <w:p w14:paraId="44382C89"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42 (0.2%)</w:t>
            </w:r>
          </w:p>
        </w:tc>
        <w:tc>
          <w:tcPr>
            <w:tcW w:w="744" w:type="pct"/>
            <w:vAlign w:val="center"/>
            <w:hideMark/>
          </w:tcPr>
          <w:p w14:paraId="3A1165A0"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0 (0.0%)</w:t>
            </w:r>
          </w:p>
        </w:tc>
        <w:tc>
          <w:tcPr>
            <w:tcW w:w="386" w:type="pct"/>
            <w:vAlign w:val="center"/>
            <w:hideMark/>
          </w:tcPr>
          <w:p w14:paraId="48748D81"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c>
          <w:tcPr>
            <w:tcW w:w="385" w:type="pct"/>
            <w:vAlign w:val="center"/>
          </w:tcPr>
          <w:p w14:paraId="397B5D98"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r>
      <w:tr w:rsidR="00333CB8" w:rsidRPr="00472AB4" w14:paraId="2648B9CB" w14:textId="16131862" w:rsidTr="00333CB8">
        <w:tc>
          <w:tcPr>
            <w:tcW w:w="2001" w:type="pct"/>
            <w:vAlign w:val="center"/>
            <w:hideMark/>
          </w:tcPr>
          <w:p w14:paraId="621F7557"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  2010</w:t>
            </w:r>
          </w:p>
        </w:tc>
        <w:tc>
          <w:tcPr>
            <w:tcW w:w="742" w:type="pct"/>
            <w:vAlign w:val="center"/>
            <w:hideMark/>
          </w:tcPr>
          <w:p w14:paraId="6BE5838A"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9,491 (16.3%)</w:t>
            </w:r>
          </w:p>
        </w:tc>
        <w:tc>
          <w:tcPr>
            <w:tcW w:w="742" w:type="pct"/>
            <w:vAlign w:val="center"/>
            <w:hideMark/>
          </w:tcPr>
          <w:p w14:paraId="5EF4256A"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1,649 (9.3%)</w:t>
            </w:r>
          </w:p>
        </w:tc>
        <w:tc>
          <w:tcPr>
            <w:tcW w:w="744" w:type="pct"/>
            <w:vAlign w:val="center"/>
            <w:hideMark/>
          </w:tcPr>
          <w:p w14:paraId="574C3D15"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4 (0.0%)</w:t>
            </w:r>
          </w:p>
        </w:tc>
        <w:tc>
          <w:tcPr>
            <w:tcW w:w="386" w:type="pct"/>
            <w:vAlign w:val="center"/>
            <w:hideMark/>
          </w:tcPr>
          <w:p w14:paraId="22D025D9"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c>
          <w:tcPr>
            <w:tcW w:w="385" w:type="pct"/>
            <w:vAlign w:val="center"/>
          </w:tcPr>
          <w:p w14:paraId="5A65A7DE"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r>
      <w:tr w:rsidR="00333CB8" w:rsidRPr="00472AB4" w14:paraId="225EC2D0" w14:textId="59A448DC" w:rsidTr="00333CB8">
        <w:tc>
          <w:tcPr>
            <w:tcW w:w="2001" w:type="pct"/>
            <w:vAlign w:val="center"/>
            <w:hideMark/>
          </w:tcPr>
          <w:p w14:paraId="4F0C70EB"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  2011</w:t>
            </w:r>
          </w:p>
        </w:tc>
        <w:tc>
          <w:tcPr>
            <w:tcW w:w="742" w:type="pct"/>
            <w:vAlign w:val="center"/>
            <w:hideMark/>
          </w:tcPr>
          <w:p w14:paraId="2B54CED9"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9,204 (15.8%)</w:t>
            </w:r>
          </w:p>
        </w:tc>
        <w:tc>
          <w:tcPr>
            <w:tcW w:w="742" w:type="pct"/>
            <w:vAlign w:val="center"/>
            <w:hideMark/>
          </w:tcPr>
          <w:p w14:paraId="6F902EC0"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4,383 (24.7%)</w:t>
            </w:r>
          </w:p>
        </w:tc>
        <w:tc>
          <w:tcPr>
            <w:tcW w:w="744" w:type="pct"/>
            <w:vAlign w:val="center"/>
            <w:hideMark/>
          </w:tcPr>
          <w:p w14:paraId="095E6660"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15 (0.1%)</w:t>
            </w:r>
          </w:p>
        </w:tc>
        <w:tc>
          <w:tcPr>
            <w:tcW w:w="386" w:type="pct"/>
            <w:vAlign w:val="center"/>
            <w:hideMark/>
          </w:tcPr>
          <w:p w14:paraId="058A36A3"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c>
          <w:tcPr>
            <w:tcW w:w="385" w:type="pct"/>
            <w:vAlign w:val="center"/>
          </w:tcPr>
          <w:p w14:paraId="76214788"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r>
      <w:tr w:rsidR="00333CB8" w:rsidRPr="00472AB4" w14:paraId="116DC008" w14:textId="2D49A4DF" w:rsidTr="00333CB8">
        <w:tc>
          <w:tcPr>
            <w:tcW w:w="2001" w:type="pct"/>
            <w:vAlign w:val="center"/>
            <w:hideMark/>
          </w:tcPr>
          <w:p w14:paraId="286476DD"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  2012</w:t>
            </w:r>
          </w:p>
        </w:tc>
        <w:tc>
          <w:tcPr>
            <w:tcW w:w="742" w:type="pct"/>
            <w:vAlign w:val="center"/>
            <w:hideMark/>
          </w:tcPr>
          <w:p w14:paraId="3130B2D6"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8,528 (14.6%)</w:t>
            </w:r>
          </w:p>
        </w:tc>
        <w:tc>
          <w:tcPr>
            <w:tcW w:w="742" w:type="pct"/>
            <w:vAlign w:val="center"/>
            <w:hideMark/>
          </w:tcPr>
          <w:p w14:paraId="34497836"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5,049 (28.5%)</w:t>
            </w:r>
          </w:p>
        </w:tc>
        <w:tc>
          <w:tcPr>
            <w:tcW w:w="744" w:type="pct"/>
            <w:vAlign w:val="center"/>
            <w:hideMark/>
          </w:tcPr>
          <w:p w14:paraId="01957980"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1,601 (12.2%)</w:t>
            </w:r>
          </w:p>
        </w:tc>
        <w:tc>
          <w:tcPr>
            <w:tcW w:w="386" w:type="pct"/>
            <w:vAlign w:val="center"/>
            <w:hideMark/>
          </w:tcPr>
          <w:p w14:paraId="5E62DAB8"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c>
          <w:tcPr>
            <w:tcW w:w="385" w:type="pct"/>
            <w:vAlign w:val="center"/>
          </w:tcPr>
          <w:p w14:paraId="332DE5E7"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r>
      <w:tr w:rsidR="00333CB8" w:rsidRPr="00472AB4" w14:paraId="6A206C67" w14:textId="212AFE2E" w:rsidTr="00333CB8">
        <w:tc>
          <w:tcPr>
            <w:tcW w:w="2001" w:type="pct"/>
            <w:vAlign w:val="center"/>
            <w:hideMark/>
          </w:tcPr>
          <w:p w14:paraId="3A6CA329"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  2013</w:t>
            </w:r>
          </w:p>
        </w:tc>
        <w:tc>
          <w:tcPr>
            <w:tcW w:w="742" w:type="pct"/>
            <w:vAlign w:val="center"/>
            <w:hideMark/>
          </w:tcPr>
          <w:p w14:paraId="74BC34D5"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7,408 (12.7%)</w:t>
            </w:r>
          </w:p>
        </w:tc>
        <w:tc>
          <w:tcPr>
            <w:tcW w:w="742" w:type="pct"/>
            <w:vAlign w:val="center"/>
            <w:hideMark/>
          </w:tcPr>
          <w:p w14:paraId="7343C085"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3,594 (20.3%)</w:t>
            </w:r>
          </w:p>
        </w:tc>
        <w:tc>
          <w:tcPr>
            <w:tcW w:w="744" w:type="pct"/>
            <w:vAlign w:val="center"/>
            <w:hideMark/>
          </w:tcPr>
          <w:p w14:paraId="093D92F3"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4,870 (37.2%)</w:t>
            </w:r>
          </w:p>
        </w:tc>
        <w:tc>
          <w:tcPr>
            <w:tcW w:w="386" w:type="pct"/>
            <w:vAlign w:val="center"/>
            <w:hideMark/>
          </w:tcPr>
          <w:p w14:paraId="1A3B25A8"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c>
          <w:tcPr>
            <w:tcW w:w="385" w:type="pct"/>
            <w:vAlign w:val="center"/>
          </w:tcPr>
          <w:p w14:paraId="7200F998"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r>
      <w:tr w:rsidR="00333CB8" w:rsidRPr="00472AB4" w14:paraId="55D81564" w14:textId="2836F900" w:rsidTr="00333CB8">
        <w:tc>
          <w:tcPr>
            <w:tcW w:w="2001" w:type="pct"/>
            <w:vAlign w:val="center"/>
            <w:hideMark/>
          </w:tcPr>
          <w:p w14:paraId="78EBAB78"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  2014</w:t>
            </w:r>
          </w:p>
        </w:tc>
        <w:tc>
          <w:tcPr>
            <w:tcW w:w="742" w:type="pct"/>
            <w:vAlign w:val="center"/>
            <w:hideMark/>
          </w:tcPr>
          <w:p w14:paraId="041E04B2"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6,568 (11.3%)</w:t>
            </w:r>
          </w:p>
        </w:tc>
        <w:tc>
          <w:tcPr>
            <w:tcW w:w="742" w:type="pct"/>
            <w:vAlign w:val="center"/>
            <w:hideMark/>
          </w:tcPr>
          <w:p w14:paraId="0EA6DBF0"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2,997 (16.9%)</w:t>
            </w:r>
          </w:p>
        </w:tc>
        <w:tc>
          <w:tcPr>
            <w:tcW w:w="744" w:type="pct"/>
            <w:vAlign w:val="center"/>
            <w:hideMark/>
          </w:tcPr>
          <w:p w14:paraId="32502D4D"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6,615 (50.5%)</w:t>
            </w:r>
          </w:p>
        </w:tc>
        <w:tc>
          <w:tcPr>
            <w:tcW w:w="386" w:type="pct"/>
            <w:vAlign w:val="center"/>
            <w:hideMark/>
          </w:tcPr>
          <w:p w14:paraId="48E6B5C5"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c>
          <w:tcPr>
            <w:tcW w:w="385" w:type="pct"/>
            <w:vAlign w:val="center"/>
          </w:tcPr>
          <w:p w14:paraId="492A994E"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p>
        </w:tc>
      </w:tr>
      <w:tr w:rsidR="00333CB8" w:rsidRPr="00472AB4" w14:paraId="31605BB3" w14:textId="47349DF7" w:rsidTr="00333CB8">
        <w:tc>
          <w:tcPr>
            <w:tcW w:w="2001" w:type="pct"/>
            <w:vAlign w:val="center"/>
            <w:hideMark/>
          </w:tcPr>
          <w:p w14:paraId="5DB97A76"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Bleeding</w:t>
            </w:r>
          </w:p>
        </w:tc>
        <w:tc>
          <w:tcPr>
            <w:tcW w:w="742" w:type="pct"/>
            <w:vAlign w:val="center"/>
            <w:hideMark/>
          </w:tcPr>
          <w:p w14:paraId="2F9BF89B"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843 (1.5%)</w:t>
            </w:r>
          </w:p>
        </w:tc>
        <w:tc>
          <w:tcPr>
            <w:tcW w:w="742" w:type="pct"/>
            <w:vAlign w:val="center"/>
            <w:hideMark/>
          </w:tcPr>
          <w:p w14:paraId="0D9D0FD4"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121 (0.7%)</w:t>
            </w:r>
          </w:p>
        </w:tc>
        <w:tc>
          <w:tcPr>
            <w:tcW w:w="744" w:type="pct"/>
            <w:vAlign w:val="center"/>
            <w:hideMark/>
          </w:tcPr>
          <w:p w14:paraId="5D74F05C"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76 (0.6%)</w:t>
            </w:r>
          </w:p>
        </w:tc>
        <w:tc>
          <w:tcPr>
            <w:tcW w:w="386" w:type="pct"/>
            <w:vAlign w:val="center"/>
            <w:hideMark/>
          </w:tcPr>
          <w:p w14:paraId="6A35EA09"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&lt; 0.0001</w:t>
            </w:r>
          </w:p>
        </w:tc>
        <w:tc>
          <w:tcPr>
            <w:tcW w:w="385" w:type="pct"/>
            <w:vAlign w:val="center"/>
          </w:tcPr>
          <w:p w14:paraId="238D76C6" w14:textId="378DB1DE"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rPr>
              <w:t>0.30</w:t>
            </w:r>
          </w:p>
        </w:tc>
      </w:tr>
      <w:tr w:rsidR="00333CB8" w:rsidRPr="00472AB4" w14:paraId="2BA98787" w14:textId="490F20A3" w:rsidTr="00333CB8">
        <w:tc>
          <w:tcPr>
            <w:tcW w:w="2001" w:type="pct"/>
            <w:vAlign w:val="center"/>
            <w:hideMark/>
          </w:tcPr>
          <w:p w14:paraId="58AAA23D"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lastRenderedPageBreak/>
              <w:t>Major adverse cardiovascular event</w:t>
            </w:r>
          </w:p>
        </w:tc>
        <w:tc>
          <w:tcPr>
            <w:tcW w:w="742" w:type="pct"/>
            <w:vAlign w:val="center"/>
            <w:hideMark/>
          </w:tcPr>
          <w:p w14:paraId="251EF18D"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2,783 (4.9%)</w:t>
            </w:r>
          </w:p>
        </w:tc>
        <w:tc>
          <w:tcPr>
            <w:tcW w:w="742" w:type="pct"/>
            <w:vAlign w:val="center"/>
            <w:hideMark/>
          </w:tcPr>
          <w:p w14:paraId="2F257D93"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545 (3.2%)</w:t>
            </w:r>
          </w:p>
        </w:tc>
        <w:tc>
          <w:tcPr>
            <w:tcW w:w="744" w:type="pct"/>
            <w:vAlign w:val="center"/>
            <w:hideMark/>
          </w:tcPr>
          <w:p w14:paraId="4C4F3197"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616 (4.8%)</w:t>
            </w:r>
          </w:p>
        </w:tc>
        <w:tc>
          <w:tcPr>
            <w:tcW w:w="386" w:type="pct"/>
            <w:vAlign w:val="center"/>
            <w:hideMark/>
          </w:tcPr>
          <w:p w14:paraId="152E48BF"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&lt; 0.0001</w:t>
            </w:r>
          </w:p>
        </w:tc>
        <w:tc>
          <w:tcPr>
            <w:tcW w:w="385" w:type="pct"/>
            <w:vAlign w:val="center"/>
          </w:tcPr>
          <w:p w14:paraId="2863009B" w14:textId="51ED5036"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rPr>
              <w:t>&lt; 0.0001</w:t>
            </w:r>
          </w:p>
        </w:tc>
      </w:tr>
      <w:tr w:rsidR="00333CB8" w:rsidRPr="00472AB4" w14:paraId="54B771EE" w14:textId="69A37EBC" w:rsidTr="00333CB8">
        <w:tc>
          <w:tcPr>
            <w:tcW w:w="2001" w:type="pct"/>
            <w:vAlign w:val="center"/>
            <w:hideMark/>
          </w:tcPr>
          <w:p w14:paraId="21C10C1A"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30 days mortality</w:t>
            </w:r>
          </w:p>
        </w:tc>
        <w:tc>
          <w:tcPr>
            <w:tcW w:w="742" w:type="pct"/>
            <w:vAlign w:val="center"/>
            <w:hideMark/>
          </w:tcPr>
          <w:p w14:paraId="05FA14EB"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3,534 (6.4%)</w:t>
            </w:r>
          </w:p>
        </w:tc>
        <w:tc>
          <w:tcPr>
            <w:tcW w:w="742" w:type="pct"/>
            <w:vAlign w:val="center"/>
            <w:hideMark/>
          </w:tcPr>
          <w:p w14:paraId="66013C2F"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622 (3.6%)</w:t>
            </w:r>
          </w:p>
        </w:tc>
        <w:tc>
          <w:tcPr>
            <w:tcW w:w="744" w:type="pct"/>
            <w:vAlign w:val="center"/>
            <w:hideMark/>
          </w:tcPr>
          <w:p w14:paraId="586EB57C"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689 (5.5%)</w:t>
            </w:r>
          </w:p>
        </w:tc>
        <w:tc>
          <w:tcPr>
            <w:tcW w:w="386" w:type="pct"/>
            <w:vAlign w:val="center"/>
            <w:hideMark/>
          </w:tcPr>
          <w:p w14:paraId="2A352ACB"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&lt; 0.0001</w:t>
            </w:r>
          </w:p>
        </w:tc>
        <w:tc>
          <w:tcPr>
            <w:tcW w:w="385" w:type="pct"/>
            <w:vAlign w:val="center"/>
          </w:tcPr>
          <w:p w14:paraId="197745D0" w14:textId="182B1B29"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rPr>
              <w:t>&lt; 0.0001</w:t>
            </w:r>
          </w:p>
        </w:tc>
      </w:tr>
      <w:tr w:rsidR="00333CB8" w:rsidRPr="00472AB4" w14:paraId="04B38319" w14:textId="3C3D72F7" w:rsidTr="00333CB8">
        <w:tc>
          <w:tcPr>
            <w:tcW w:w="2001" w:type="pct"/>
            <w:tcBorders>
              <w:bottom w:val="single" w:sz="12" w:space="0" w:color="auto"/>
            </w:tcBorders>
            <w:vAlign w:val="center"/>
            <w:hideMark/>
          </w:tcPr>
          <w:p w14:paraId="1C9A9C8B" w14:textId="77777777" w:rsidR="00333CB8" w:rsidRPr="00472AB4" w:rsidRDefault="00333CB8" w:rsidP="00A36D99">
            <w:pPr>
              <w:spacing w:before="0" w:after="0" w:line="240" w:lineRule="auto"/>
              <w:jc w:val="left"/>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1 year mortality</w:t>
            </w:r>
          </w:p>
        </w:tc>
        <w:tc>
          <w:tcPr>
            <w:tcW w:w="742" w:type="pct"/>
            <w:tcBorders>
              <w:bottom w:val="single" w:sz="12" w:space="0" w:color="auto"/>
            </w:tcBorders>
            <w:vAlign w:val="center"/>
            <w:hideMark/>
          </w:tcPr>
          <w:p w14:paraId="7274353E"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5,656 (10.2%)</w:t>
            </w:r>
          </w:p>
        </w:tc>
        <w:tc>
          <w:tcPr>
            <w:tcW w:w="742" w:type="pct"/>
            <w:tcBorders>
              <w:bottom w:val="single" w:sz="12" w:space="0" w:color="auto"/>
            </w:tcBorders>
            <w:vAlign w:val="center"/>
            <w:hideMark/>
          </w:tcPr>
          <w:p w14:paraId="6F2B86EE"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999 (5.9%)</w:t>
            </w:r>
          </w:p>
        </w:tc>
        <w:tc>
          <w:tcPr>
            <w:tcW w:w="744" w:type="pct"/>
            <w:tcBorders>
              <w:bottom w:val="single" w:sz="12" w:space="0" w:color="auto"/>
            </w:tcBorders>
            <w:vAlign w:val="center"/>
            <w:hideMark/>
          </w:tcPr>
          <w:p w14:paraId="73E43897"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1,075 (8.5%)</w:t>
            </w:r>
          </w:p>
        </w:tc>
        <w:tc>
          <w:tcPr>
            <w:tcW w:w="386" w:type="pct"/>
            <w:tcBorders>
              <w:bottom w:val="single" w:sz="12" w:space="0" w:color="auto"/>
            </w:tcBorders>
            <w:vAlign w:val="center"/>
            <w:hideMark/>
          </w:tcPr>
          <w:p w14:paraId="155BFADC" w14:textId="77777777"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lang w:val="en-GB" w:eastAsia="en-GB"/>
              </w:rPr>
              <w:t>&lt; 0.0001</w:t>
            </w:r>
          </w:p>
        </w:tc>
        <w:tc>
          <w:tcPr>
            <w:tcW w:w="385" w:type="pct"/>
            <w:tcBorders>
              <w:bottom w:val="single" w:sz="12" w:space="0" w:color="auto"/>
            </w:tcBorders>
            <w:vAlign w:val="center"/>
          </w:tcPr>
          <w:p w14:paraId="09154E9D" w14:textId="48BDAAD1" w:rsidR="00333CB8" w:rsidRPr="00472AB4" w:rsidRDefault="00333CB8" w:rsidP="00A36D99">
            <w:pPr>
              <w:spacing w:before="0" w:after="0" w:line="240" w:lineRule="auto"/>
              <w:jc w:val="center"/>
              <w:rPr>
                <w:rFonts w:asciiTheme="minorHAnsi" w:eastAsia="Times New Roman" w:hAnsiTheme="minorHAnsi"/>
                <w:sz w:val="18"/>
                <w:szCs w:val="18"/>
                <w:lang w:val="en-GB" w:eastAsia="en-GB"/>
              </w:rPr>
            </w:pPr>
            <w:r w:rsidRPr="00472AB4">
              <w:rPr>
                <w:rFonts w:asciiTheme="minorHAnsi" w:eastAsia="Times New Roman" w:hAnsiTheme="minorHAnsi"/>
                <w:sz w:val="18"/>
                <w:szCs w:val="18"/>
              </w:rPr>
              <w:t>&lt; 0.0001</w:t>
            </w:r>
          </w:p>
        </w:tc>
      </w:tr>
    </w:tbl>
    <w:p w14:paraId="44922CD3" w14:textId="4FCBD888" w:rsidR="00855DBD" w:rsidRPr="00472AB4" w:rsidRDefault="00855DBD" w:rsidP="00A36D99">
      <w:pPr>
        <w:spacing w:before="0" w:after="200" w:line="276" w:lineRule="auto"/>
        <w:jc w:val="left"/>
        <w:rPr>
          <w:rFonts w:ascii="Calibri" w:eastAsia="Times New Roman" w:hAnsi="Calibri"/>
          <w:bCs/>
          <w:sz w:val="18"/>
          <w:szCs w:val="18"/>
          <w:lang w:val="en-GB" w:eastAsia="en-GB"/>
        </w:rPr>
      </w:pPr>
      <w:r w:rsidRPr="00472AB4">
        <w:rPr>
          <w:rFonts w:ascii="Calibri" w:eastAsia="Times New Roman" w:hAnsi="Calibri"/>
          <w:bCs/>
          <w:sz w:val="18"/>
          <w:szCs w:val="18"/>
          <w:lang w:val="en-GB" w:eastAsia="en-GB"/>
        </w:rPr>
        <w:t>†</w:t>
      </w:r>
      <w:r w:rsidR="00062A28" w:rsidRPr="00472AB4">
        <w:rPr>
          <w:rFonts w:ascii="Calibri" w:eastAsia="Times New Roman" w:hAnsi="Calibri"/>
          <w:bCs/>
          <w:sz w:val="18"/>
          <w:szCs w:val="18"/>
          <w:lang w:val="en-GB" w:eastAsia="en-GB"/>
        </w:rPr>
        <w:t xml:space="preserve">Resulting tests when comparing the three groups. </w:t>
      </w:r>
      <w:r w:rsidRPr="00472AB4">
        <w:rPr>
          <w:rFonts w:ascii="Calibri" w:eastAsia="Times New Roman" w:hAnsi="Calibri"/>
          <w:bCs/>
          <w:sz w:val="18"/>
          <w:szCs w:val="18"/>
          <w:lang w:val="en-GB" w:eastAsia="en-GB"/>
        </w:rPr>
        <w:t>‡</w:t>
      </w:r>
      <w:r w:rsidR="00062A28" w:rsidRPr="00472AB4">
        <w:rPr>
          <w:rFonts w:ascii="Calibri" w:eastAsia="Times New Roman" w:hAnsi="Calibri"/>
          <w:bCs/>
          <w:sz w:val="18"/>
          <w:szCs w:val="18"/>
          <w:lang w:val="en-GB" w:eastAsia="en-GB"/>
        </w:rPr>
        <w:t xml:space="preserve">Resulting tests when comparing </w:t>
      </w:r>
      <w:r w:rsidR="00046511" w:rsidRPr="00472AB4">
        <w:rPr>
          <w:rFonts w:ascii="Calibri" w:eastAsia="Times New Roman" w:hAnsi="Calibri"/>
          <w:bCs/>
          <w:sz w:val="18"/>
          <w:szCs w:val="18"/>
          <w:lang w:val="en-GB" w:eastAsia="en-GB"/>
        </w:rPr>
        <w:t xml:space="preserve">Ticagrelor vs </w:t>
      </w:r>
      <w:r w:rsidR="00062A28" w:rsidRPr="00472AB4">
        <w:rPr>
          <w:rFonts w:ascii="Calibri" w:eastAsia="Times New Roman" w:hAnsi="Calibri"/>
          <w:bCs/>
          <w:sz w:val="18"/>
          <w:szCs w:val="18"/>
          <w:lang w:val="en-GB" w:eastAsia="en-GB"/>
        </w:rPr>
        <w:t>Prasugrel only.</w:t>
      </w:r>
    </w:p>
    <w:p w14:paraId="76B61BE9" w14:textId="77777777" w:rsidR="00062A28" w:rsidRPr="00472AB4" w:rsidRDefault="00062A28" w:rsidP="00A36D99">
      <w:pPr>
        <w:spacing w:before="0" w:after="200" w:line="276" w:lineRule="auto"/>
        <w:jc w:val="left"/>
        <w:rPr>
          <w:rFonts w:ascii="Calibri" w:eastAsia="Times New Roman" w:hAnsi="Calibri"/>
          <w:bCs/>
          <w:sz w:val="18"/>
          <w:szCs w:val="18"/>
          <w:lang w:val="en-GB" w:eastAsia="en-GB"/>
        </w:rPr>
      </w:pPr>
    </w:p>
    <w:p w14:paraId="4424D4DD" w14:textId="77777777" w:rsidR="00855DBD" w:rsidRPr="00472AB4" w:rsidRDefault="00855DBD" w:rsidP="00A36D99">
      <w:pPr>
        <w:spacing w:before="0" w:after="200" w:line="276" w:lineRule="auto"/>
        <w:jc w:val="left"/>
        <w:rPr>
          <w:rFonts w:asciiTheme="minorHAnsi" w:eastAsiaTheme="minorHAnsi" w:hAnsiTheme="minorHAnsi" w:cstheme="minorBidi"/>
          <w:lang w:val="en-GB" w:eastAsia="en-US"/>
        </w:rPr>
        <w:sectPr w:rsidR="00855DBD" w:rsidRPr="00472AB4">
          <w:pgSz w:w="11906" w:h="16838"/>
          <w:pgMar w:top="1440" w:right="1440" w:bottom="1440" w:left="1440" w:header="708" w:footer="708" w:gutter="0"/>
          <w:cols w:space="708"/>
          <w:docGrid w:linePitch="360"/>
        </w:sectPr>
      </w:pPr>
    </w:p>
    <w:p w14:paraId="5457BFA6" w14:textId="77777777" w:rsidR="00A36D99" w:rsidRPr="00472AB4" w:rsidRDefault="00A36D99" w:rsidP="00A36D99">
      <w:pPr>
        <w:spacing w:before="0" w:after="0" w:line="276" w:lineRule="auto"/>
        <w:jc w:val="left"/>
        <w:rPr>
          <w:rFonts w:asciiTheme="minorHAnsi" w:eastAsiaTheme="minorHAnsi" w:hAnsiTheme="minorHAnsi" w:cstheme="minorBidi"/>
          <w:lang w:val="en-GB" w:eastAsia="en-US"/>
        </w:rPr>
      </w:pPr>
      <w:r w:rsidRPr="00472AB4">
        <w:rPr>
          <w:rFonts w:asciiTheme="minorHAnsi" w:eastAsiaTheme="minorHAnsi" w:hAnsiTheme="minorHAnsi" w:cstheme="minorBidi"/>
          <w:b/>
          <w:lang w:val="en-GB" w:eastAsia="en-US"/>
        </w:rPr>
        <w:lastRenderedPageBreak/>
        <w:t>Table 2</w:t>
      </w:r>
      <w:r w:rsidRPr="00472AB4">
        <w:rPr>
          <w:rFonts w:asciiTheme="minorHAnsi" w:eastAsiaTheme="minorHAnsi" w:hAnsiTheme="minorHAnsi" w:cstheme="minorBidi"/>
          <w:lang w:val="en-GB" w:eastAsia="en-US"/>
        </w:rPr>
        <w:t xml:space="preserve">: Results of multivariate logistic regression models. Odd ratios, confidence intervals (in brackets), and p-values represent the pooled results over 10 multiple imputed dataset instances.  </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0"/>
        <w:gridCol w:w="3074"/>
        <w:gridCol w:w="2525"/>
        <w:gridCol w:w="1157"/>
      </w:tblGrid>
      <w:tr w:rsidR="00A36D99" w:rsidRPr="00472AB4" w14:paraId="78A41E4B" w14:textId="77777777" w:rsidTr="00A36D99">
        <w:tc>
          <w:tcPr>
            <w:tcW w:w="1257" w:type="pct"/>
            <w:tcBorders>
              <w:top w:val="single" w:sz="12" w:space="0" w:color="auto"/>
              <w:bottom w:val="single" w:sz="4" w:space="0" w:color="auto"/>
            </w:tcBorders>
          </w:tcPr>
          <w:p w14:paraId="45602E14" w14:textId="77777777" w:rsidR="00A36D99" w:rsidRPr="00472AB4" w:rsidRDefault="00A36D99" w:rsidP="00A36D99">
            <w:pPr>
              <w:spacing w:before="0" w:after="0" w:line="240" w:lineRule="auto"/>
              <w:jc w:val="center"/>
              <w:rPr>
                <w:rFonts w:eastAsiaTheme="minorHAnsi"/>
                <w:sz w:val="20"/>
                <w:szCs w:val="20"/>
                <w:lang w:val="en-GB" w:eastAsia="en-US"/>
              </w:rPr>
            </w:pPr>
            <w:r w:rsidRPr="00472AB4">
              <w:rPr>
                <w:rFonts w:eastAsiaTheme="minorHAnsi"/>
                <w:sz w:val="20"/>
                <w:szCs w:val="20"/>
                <w:lang w:val="en-GB" w:eastAsia="en-US"/>
              </w:rPr>
              <w:t>Outcome</w:t>
            </w:r>
          </w:p>
        </w:tc>
        <w:tc>
          <w:tcPr>
            <w:tcW w:w="1703" w:type="pct"/>
            <w:tcBorders>
              <w:top w:val="single" w:sz="12" w:space="0" w:color="auto"/>
              <w:bottom w:val="single" w:sz="4" w:space="0" w:color="auto"/>
            </w:tcBorders>
          </w:tcPr>
          <w:p w14:paraId="15D488E3" w14:textId="77777777" w:rsidR="00A36D99" w:rsidRPr="00472AB4" w:rsidRDefault="00A36D99" w:rsidP="00A36D99">
            <w:pPr>
              <w:spacing w:before="0" w:after="0" w:line="240" w:lineRule="auto"/>
              <w:jc w:val="center"/>
              <w:rPr>
                <w:rFonts w:eastAsiaTheme="minorHAnsi"/>
                <w:sz w:val="20"/>
                <w:szCs w:val="20"/>
                <w:lang w:val="en-GB" w:eastAsia="en-US"/>
              </w:rPr>
            </w:pPr>
            <w:r w:rsidRPr="00472AB4">
              <w:rPr>
                <w:rFonts w:eastAsiaTheme="minorHAnsi"/>
                <w:sz w:val="20"/>
                <w:szCs w:val="20"/>
                <w:lang w:val="en-GB" w:eastAsia="en-US"/>
              </w:rPr>
              <w:t>Cohort</w:t>
            </w:r>
          </w:p>
        </w:tc>
        <w:tc>
          <w:tcPr>
            <w:tcW w:w="1399" w:type="pct"/>
            <w:tcBorders>
              <w:top w:val="single" w:sz="12" w:space="0" w:color="auto"/>
              <w:bottom w:val="single" w:sz="4" w:space="0" w:color="auto"/>
            </w:tcBorders>
          </w:tcPr>
          <w:p w14:paraId="15943B38" w14:textId="77777777" w:rsidR="00A36D99" w:rsidRPr="00472AB4" w:rsidRDefault="00A36D99" w:rsidP="00A36D99">
            <w:pPr>
              <w:spacing w:before="0" w:after="0" w:line="240" w:lineRule="auto"/>
              <w:jc w:val="center"/>
              <w:rPr>
                <w:rFonts w:eastAsiaTheme="minorHAnsi"/>
                <w:sz w:val="20"/>
                <w:szCs w:val="20"/>
                <w:lang w:val="en-GB" w:eastAsia="en-US"/>
              </w:rPr>
            </w:pPr>
            <w:r w:rsidRPr="00472AB4">
              <w:rPr>
                <w:rFonts w:eastAsiaTheme="minorHAnsi"/>
                <w:sz w:val="20"/>
                <w:szCs w:val="20"/>
                <w:lang w:val="en-GB" w:eastAsia="en-US"/>
              </w:rPr>
              <w:t>Odd ratio (95% CI)</w:t>
            </w:r>
          </w:p>
        </w:tc>
        <w:tc>
          <w:tcPr>
            <w:tcW w:w="641" w:type="pct"/>
            <w:tcBorders>
              <w:top w:val="single" w:sz="12" w:space="0" w:color="auto"/>
              <w:bottom w:val="single" w:sz="4" w:space="0" w:color="auto"/>
            </w:tcBorders>
          </w:tcPr>
          <w:p w14:paraId="72B08325" w14:textId="77777777" w:rsidR="00A36D99" w:rsidRPr="00472AB4" w:rsidRDefault="00A36D99" w:rsidP="00A36D99">
            <w:pPr>
              <w:spacing w:before="0" w:after="0" w:line="240" w:lineRule="auto"/>
              <w:jc w:val="center"/>
              <w:rPr>
                <w:rFonts w:eastAsiaTheme="minorHAnsi"/>
                <w:sz w:val="20"/>
                <w:szCs w:val="20"/>
                <w:lang w:val="en-GB" w:eastAsia="en-US"/>
              </w:rPr>
            </w:pPr>
            <w:r w:rsidRPr="00472AB4">
              <w:rPr>
                <w:rFonts w:eastAsiaTheme="minorHAnsi"/>
                <w:sz w:val="20"/>
                <w:szCs w:val="20"/>
                <w:lang w:val="en-GB" w:eastAsia="en-US"/>
              </w:rPr>
              <w:t>P-value</w:t>
            </w:r>
          </w:p>
        </w:tc>
      </w:tr>
      <w:tr w:rsidR="00A36D99" w:rsidRPr="00472AB4" w14:paraId="2AA932C2" w14:textId="77777777" w:rsidTr="00A36D99">
        <w:tc>
          <w:tcPr>
            <w:tcW w:w="1257" w:type="pct"/>
            <w:tcBorders>
              <w:top w:val="single" w:sz="4" w:space="0" w:color="auto"/>
            </w:tcBorders>
          </w:tcPr>
          <w:p w14:paraId="4B2B2D30" w14:textId="77777777" w:rsidR="00A36D99" w:rsidRPr="00472AB4" w:rsidRDefault="00A36D99" w:rsidP="00A36D99">
            <w:pPr>
              <w:spacing w:before="0" w:after="0" w:line="240" w:lineRule="auto"/>
              <w:jc w:val="left"/>
              <w:rPr>
                <w:rFonts w:eastAsiaTheme="minorHAnsi"/>
                <w:sz w:val="20"/>
                <w:szCs w:val="20"/>
                <w:lang w:val="en-GB" w:eastAsia="en-US"/>
              </w:rPr>
            </w:pPr>
            <w:r w:rsidRPr="00472AB4">
              <w:rPr>
                <w:rFonts w:eastAsiaTheme="minorHAnsi"/>
                <w:sz w:val="20"/>
                <w:szCs w:val="20"/>
                <w:lang w:val="en-GB" w:eastAsia="en-US"/>
              </w:rPr>
              <w:t>Bleeding</w:t>
            </w:r>
          </w:p>
        </w:tc>
        <w:tc>
          <w:tcPr>
            <w:tcW w:w="1703" w:type="pct"/>
            <w:tcBorders>
              <w:top w:val="single" w:sz="4" w:space="0" w:color="auto"/>
            </w:tcBorders>
          </w:tcPr>
          <w:p w14:paraId="527173B6" w14:textId="6A17A5AB" w:rsidR="00A36D99" w:rsidRPr="00472AB4" w:rsidRDefault="00292EF8" w:rsidP="00A36D99">
            <w:pPr>
              <w:spacing w:before="0" w:after="0" w:line="240" w:lineRule="auto"/>
              <w:jc w:val="left"/>
              <w:rPr>
                <w:rFonts w:eastAsiaTheme="minorHAnsi"/>
                <w:sz w:val="20"/>
                <w:szCs w:val="20"/>
                <w:lang w:val="en-GB" w:eastAsia="en-US"/>
              </w:rPr>
            </w:pPr>
            <w:r w:rsidRPr="00472AB4">
              <w:rPr>
                <w:rFonts w:eastAsiaTheme="minorHAnsi"/>
                <w:sz w:val="20"/>
                <w:szCs w:val="20"/>
                <w:lang w:val="en-GB" w:eastAsia="en-US"/>
              </w:rPr>
              <w:t>Prasugrel</w:t>
            </w:r>
            <w:r w:rsidR="00A36D99" w:rsidRPr="00472AB4">
              <w:rPr>
                <w:rFonts w:eastAsiaTheme="minorHAnsi"/>
                <w:sz w:val="20"/>
                <w:szCs w:val="20"/>
                <w:lang w:val="en-GB" w:eastAsia="en-US"/>
              </w:rPr>
              <w:t xml:space="preserve"> vs </w:t>
            </w:r>
            <w:r w:rsidRPr="00472AB4">
              <w:rPr>
                <w:rFonts w:eastAsiaTheme="minorHAnsi"/>
                <w:sz w:val="20"/>
                <w:szCs w:val="20"/>
                <w:lang w:val="en-GB" w:eastAsia="en-US"/>
              </w:rPr>
              <w:t>Clopidogrel</w:t>
            </w:r>
          </w:p>
        </w:tc>
        <w:tc>
          <w:tcPr>
            <w:tcW w:w="1399" w:type="pct"/>
            <w:tcBorders>
              <w:top w:val="single" w:sz="4" w:space="0" w:color="auto"/>
            </w:tcBorders>
          </w:tcPr>
          <w:p w14:paraId="6570EED2" w14:textId="77777777" w:rsidR="00A36D99" w:rsidRPr="00472AB4" w:rsidRDefault="00A36D99" w:rsidP="00A36D99">
            <w:pPr>
              <w:spacing w:before="0" w:after="0" w:line="240" w:lineRule="auto"/>
              <w:jc w:val="left"/>
              <w:rPr>
                <w:rFonts w:eastAsiaTheme="minorHAnsi"/>
                <w:sz w:val="20"/>
                <w:szCs w:val="20"/>
                <w:lang w:val="en-GB" w:eastAsia="en-US"/>
              </w:rPr>
            </w:pPr>
            <w:r w:rsidRPr="00472AB4">
              <w:rPr>
                <w:rFonts w:eastAsiaTheme="minorHAnsi"/>
                <w:sz w:val="20"/>
                <w:szCs w:val="20"/>
                <w:lang w:val="en-GB" w:eastAsia="en-US"/>
              </w:rPr>
              <w:t>0.732 (0.588-0.910)</w:t>
            </w:r>
          </w:p>
        </w:tc>
        <w:tc>
          <w:tcPr>
            <w:tcW w:w="641" w:type="pct"/>
            <w:tcBorders>
              <w:top w:val="single" w:sz="4" w:space="0" w:color="auto"/>
            </w:tcBorders>
          </w:tcPr>
          <w:p w14:paraId="3886E919" w14:textId="77777777" w:rsidR="00A36D99" w:rsidRPr="00472AB4" w:rsidRDefault="00A36D99" w:rsidP="00A36D99">
            <w:pPr>
              <w:spacing w:before="0" w:after="0" w:line="240" w:lineRule="auto"/>
              <w:jc w:val="left"/>
              <w:rPr>
                <w:rFonts w:eastAsiaTheme="minorHAnsi"/>
                <w:sz w:val="20"/>
                <w:szCs w:val="20"/>
                <w:lang w:val="en-GB" w:eastAsia="en-US"/>
              </w:rPr>
            </w:pPr>
            <w:r w:rsidRPr="00472AB4">
              <w:rPr>
                <w:rFonts w:eastAsiaTheme="minorHAnsi"/>
                <w:sz w:val="20"/>
                <w:szCs w:val="20"/>
                <w:lang w:val="en-GB" w:eastAsia="en-US"/>
              </w:rPr>
              <w:t>0.005</w:t>
            </w:r>
          </w:p>
        </w:tc>
      </w:tr>
      <w:tr w:rsidR="00A36D99" w:rsidRPr="00472AB4" w14:paraId="0466A76F" w14:textId="77777777" w:rsidTr="00A36D99">
        <w:tc>
          <w:tcPr>
            <w:tcW w:w="1257" w:type="pct"/>
          </w:tcPr>
          <w:p w14:paraId="380D0BAD" w14:textId="77777777" w:rsidR="00A36D99" w:rsidRPr="00472AB4" w:rsidRDefault="00A36D99" w:rsidP="00A36D99">
            <w:pPr>
              <w:spacing w:before="0" w:after="0" w:line="240" w:lineRule="auto"/>
              <w:jc w:val="left"/>
              <w:rPr>
                <w:rFonts w:eastAsiaTheme="minorHAnsi"/>
                <w:sz w:val="20"/>
                <w:szCs w:val="20"/>
                <w:lang w:val="en-GB" w:eastAsia="en-US"/>
              </w:rPr>
            </w:pPr>
          </w:p>
        </w:tc>
        <w:tc>
          <w:tcPr>
            <w:tcW w:w="1703" w:type="pct"/>
          </w:tcPr>
          <w:p w14:paraId="6785C576" w14:textId="1D263EA5" w:rsidR="00A36D99" w:rsidRPr="00472AB4" w:rsidRDefault="00A36D99" w:rsidP="00A36D99">
            <w:pPr>
              <w:spacing w:before="0" w:after="0" w:line="240" w:lineRule="auto"/>
              <w:jc w:val="left"/>
              <w:rPr>
                <w:rFonts w:eastAsiaTheme="minorHAnsi"/>
                <w:sz w:val="20"/>
                <w:szCs w:val="20"/>
                <w:lang w:val="en-GB" w:eastAsia="en-US"/>
              </w:rPr>
            </w:pPr>
            <w:r w:rsidRPr="00472AB4">
              <w:rPr>
                <w:rFonts w:eastAsiaTheme="minorHAnsi"/>
                <w:sz w:val="20"/>
                <w:szCs w:val="20"/>
                <w:lang w:val="en-GB" w:eastAsia="en-US"/>
              </w:rPr>
              <w:t xml:space="preserve">Ticagrelor vs </w:t>
            </w:r>
            <w:r w:rsidR="00292EF8" w:rsidRPr="00472AB4">
              <w:rPr>
                <w:rFonts w:eastAsiaTheme="minorHAnsi"/>
                <w:sz w:val="20"/>
                <w:szCs w:val="20"/>
                <w:lang w:val="en-GB" w:eastAsia="en-US"/>
              </w:rPr>
              <w:t>Clopidogrel</w:t>
            </w:r>
          </w:p>
        </w:tc>
        <w:tc>
          <w:tcPr>
            <w:tcW w:w="1399" w:type="pct"/>
          </w:tcPr>
          <w:p w14:paraId="11F52300" w14:textId="77777777" w:rsidR="00A36D99" w:rsidRPr="00472AB4" w:rsidRDefault="00A36D99" w:rsidP="00A36D99">
            <w:pPr>
              <w:spacing w:before="0" w:after="0" w:line="240" w:lineRule="auto"/>
              <w:jc w:val="left"/>
              <w:rPr>
                <w:rFonts w:eastAsiaTheme="minorHAnsi"/>
                <w:sz w:val="20"/>
                <w:szCs w:val="20"/>
                <w:lang w:val="en-GB" w:eastAsia="en-US"/>
              </w:rPr>
            </w:pPr>
            <w:r w:rsidRPr="00472AB4">
              <w:rPr>
                <w:rFonts w:eastAsiaTheme="minorHAnsi"/>
                <w:sz w:val="20"/>
                <w:szCs w:val="20"/>
                <w:lang w:val="en-GB" w:eastAsia="en-US"/>
              </w:rPr>
              <w:t>0.648 (0.493-0.852)</w:t>
            </w:r>
          </w:p>
        </w:tc>
        <w:tc>
          <w:tcPr>
            <w:tcW w:w="641" w:type="pct"/>
          </w:tcPr>
          <w:p w14:paraId="044C7665" w14:textId="77777777" w:rsidR="00A36D99" w:rsidRPr="00472AB4" w:rsidRDefault="00A36D99" w:rsidP="00A36D99">
            <w:pPr>
              <w:spacing w:before="0" w:after="0" w:line="240" w:lineRule="auto"/>
              <w:jc w:val="left"/>
              <w:rPr>
                <w:rFonts w:eastAsiaTheme="minorHAnsi"/>
                <w:sz w:val="20"/>
                <w:szCs w:val="20"/>
                <w:lang w:val="en-GB" w:eastAsia="en-US"/>
              </w:rPr>
            </w:pPr>
            <w:r w:rsidRPr="00472AB4">
              <w:rPr>
                <w:rFonts w:eastAsiaTheme="minorHAnsi"/>
                <w:sz w:val="20"/>
                <w:szCs w:val="20"/>
                <w:lang w:val="en-GB" w:eastAsia="en-US"/>
              </w:rPr>
              <w:t>0.002</w:t>
            </w:r>
          </w:p>
        </w:tc>
      </w:tr>
      <w:tr w:rsidR="00A36D99" w:rsidRPr="00472AB4" w14:paraId="175850C3" w14:textId="77777777" w:rsidTr="00A36D99">
        <w:tc>
          <w:tcPr>
            <w:tcW w:w="1257" w:type="pct"/>
            <w:tcBorders>
              <w:bottom w:val="single" w:sz="4" w:space="0" w:color="auto"/>
            </w:tcBorders>
          </w:tcPr>
          <w:p w14:paraId="7131FD47" w14:textId="77777777" w:rsidR="00A36D99" w:rsidRPr="00472AB4" w:rsidRDefault="00A36D99" w:rsidP="00A36D99">
            <w:pPr>
              <w:spacing w:before="0" w:after="0" w:line="240" w:lineRule="auto"/>
              <w:jc w:val="left"/>
              <w:rPr>
                <w:rFonts w:eastAsiaTheme="minorHAnsi"/>
                <w:sz w:val="20"/>
                <w:szCs w:val="20"/>
                <w:lang w:val="en-GB" w:eastAsia="en-US"/>
              </w:rPr>
            </w:pPr>
          </w:p>
        </w:tc>
        <w:tc>
          <w:tcPr>
            <w:tcW w:w="1703" w:type="pct"/>
            <w:tcBorders>
              <w:bottom w:val="single" w:sz="4" w:space="0" w:color="auto"/>
            </w:tcBorders>
          </w:tcPr>
          <w:p w14:paraId="25CE703A" w14:textId="1042EED4" w:rsidR="00A36D99" w:rsidRPr="00472AB4" w:rsidRDefault="00A36D99" w:rsidP="00A36D99">
            <w:pPr>
              <w:spacing w:before="0" w:after="0" w:line="240" w:lineRule="auto"/>
              <w:jc w:val="left"/>
              <w:rPr>
                <w:rFonts w:eastAsiaTheme="minorHAnsi"/>
                <w:sz w:val="20"/>
                <w:szCs w:val="20"/>
                <w:lang w:val="en-GB" w:eastAsia="en-US"/>
              </w:rPr>
            </w:pPr>
            <w:r w:rsidRPr="00472AB4">
              <w:rPr>
                <w:rFonts w:eastAsiaTheme="minorHAnsi"/>
                <w:sz w:val="20"/>
                <w:szCs w:val="20"/>
                <w:lang w:val="en-GB" w:eastAsia="en-US"/>
              </w:rPr>
              <w:t xml:space="preserve">Ticagrelor vs </w:t>
            </w:r>
            <w:r w:rsidR="00292EF8" w:rsidRPr="00472AB4">
              <w:rPr>
                <w:rFonts w:eastAsiaTheme="minorHAnsi"/>
                <w:sz w:val="20"/>
                <w:szCs w:val="20"/>
                <w:lang w:val="en-GB" w:eastAsia="en-US"/>
              </w:rPr>
              <w:t>Prasugrel</w:t>
            </w:r>
          </w:p>
        </w:tc>
        <w:tc>
          <w:tcPr>
            <w:tcW w:w="1399" w:type="pct"/>
            <w:tcBorders>
              <w:bottom w:val="single" w:sz="4" w:space="0" w:color="auto"/>
            </w:tcBorders>
          </w:tcPr>
          <w:p w14:paraId="7BB4160B" w14:textId="77777777" w:rsidR="00A36D99" w:rsidRPr="00472AB4" w:rsidRDefault="00A36D99" w:rsidP="00A36D99">
            <w:pPr>
              <w:spacing w:before="0" w:after="0" w:line="240" w:lineRule="auto"/>
              <w:jc w:val="left"/>
              <w:rPr>
                <w:rFonts w:eastAsiaTheme="minorHAnsi"/>
                <w:sz w:val="20"/>
                <w:szCs w:val="20"/>
                <w:lang w:val="en-GB" w:eastAsia="en-US"/>
              </w:rPr>
            </w:pPr>
            <w:r w:rsidRPr="00472AB4">
              <w:rPr>
                <w:rFonts w:eastAsiaTheme="minorHAnsi"/>
                <w:sz w:val="20"/>
                <w:szCs w:val="20"/>
                <w:lang w:val="en-GB" w:eastAsia="en-US"/>
              </w:rPr>
              <w:t>0.866 (0.600-1.249)</w:t>
            </w:r>
          </w:p>
        </w:tc>
        <w:tc>
          <w:tcPr>
            <w:tcW w:w="641" w:type="pct"/>
            <w:tcBorders>
              <w:bottom w:val="single" w:sz="4" w:space="0" w:color="auto"/>
            </w:tcBorders>
          </w:tcPr>
          <w:p w14:paraId="46BE8DF2" w14:textId="77777777" w:rsidR="00A36D99" w:rsidRPr="00472AB4" w:rsidRDefault="00A36D99" w:rsidP="00A36D99">
            <w:pPr>
              <w:spacing w:before="0" w:after="0" w:line="240" w:lineRule="auto"/>
              <w:jc w:val="left"/>
              <w:rPr>
                <w:rFonts w:eastAsiaTheme="minorHAnsi"/>
                <w:sz w:val="20"/>
                <w:szCs w:val="20"/>
                <w:lang w:val="en-GB" w:eastAsia="en-US"/>
              </w:rPr>
            </w:pPr>
            <w:r w:rsidRPr="00472AB4">
              <w:rPr>
                <w:rFonts w:eastAsiaTheme="minorHAnsi"/>
                <w:sz w:val="20"/>
                <w:szCs w:val="20"/>
                <w:lang w:val="en-GB" w:eastAsia="en-US"/>
              </w:rPr>
              <w:t>0.441</w:t>
            </w:r>
          </w:p>
        </w:tc>
      </w:tr>
      <w:tr w:rsidR="00A36D99" w:rsidRPr="00472AB4" w14:paraId="3213192B" w14:textId="77777777" w:rsidTr="00A36D99">
        <w:tc>
          <w:tcPr>
            <w:tcW w:w="1257" w:type="pct"/>
            <w:tcBorders>
              <w:top w:val="single" w:sz="4" w:space="0" w:color="auto"/>
            </w:tcBorders>
          </w:tcPr>
          <w:p w14:paraId="321F0622" w14:textId="77777777" w:rsidR="00A36D99" w:rsidRPr="00472AB4" w:rsidRDefault="00A36D99" w:rsidP="00A36D99">
            <w:pPr>
              <w:spacing w:before="0" w:after="0" w:line="240" w:lineRule="auto"/>
              <w:jc w:val="left"/>
              <w:rPr>
                <w:rFonts w:eastAsiaTheme="minorHAnsi"/>
                <w:sz w:val="20"/>
                <w:szCs w:val="20"/>
                <w:lang w:val="en-GB" w:eastAsia="en-US"/>
              </w:rPr>
            </w:pPr>
            <w:r w:rsidRPr="00472AB4">
              <w:rPr>
                <w:rFonts w:eastAsiaTheme="minorHAnsi"/>
                <w:sz w:val="20"/>
                <w:szCs w:val="20"/>
                <w:lang w:val="en-GB" w:eastAsia="en-US"/>
              </w:rPr>
              <w:t>MACE</w:t>
            </w:r>
          </w:p>
        </w:tc>
        <w:tc>
          <w:tcPr>
            <w:tcW w:w="1703" w:type="pct"/>
            <w:tcBorders>
              <w:top w:val="single" w:sz="4" w:space="0" w:color="auto"/>
            </w:tcBorders>
          </w:tcPr>
          <w:p w14:paraId="6B3B1027" w14:textId="5448EA38" w:rsidR="00A36D99" w:rsidRPr="00472AB4" w:rsidRDefault="00292EF8" w:rsidP="00A36D99">
            <w:pPr>
              <w:spacing w:before="0" w:after="0" w:line="240" w:lineRule="auto"/>
              <w:jc w:val="left"/>
              <w:rPr>
                <w:rFonts w:eastAsiaTheme="minorHAnsi"/>
                <w:sz w:val="20"/>
                <w:szCs w:val="20"/>
                <w:lang w:val="en-GB" w:eastAsia="en-US"/>
              </w:rPr>
            </w:pPr>
            <w:r w:rsidRPr="00472AB4">
              <w:rPr>
                <w:rFonts w:eastAsiaTheme="minorHAnsi"/>
                <w:sz w:val="20"/>
                <w:szCs w:val="20"/>
                <w:lang w:val="en-GB" w:eastAsia="en-US"/>
              </w:rPr>
              <w:t>Prasugrel</w:t>
            </w:r>
            <w:r w:rsidR="00A36D99" w:rsidRPr="00472AB4">
              <w:rPr>
                <w:rFonts w:eastAsiaTheme="minorHAnsi"/>
                <w:sz w:val="20"/>
                <w:szCs w:val="20"/>
                <w:lang w:val="en-GB" w:eastAsia="en-US"/>
              </w:rPr>
              <w:t xml:space="preserve"> vs </w:t>
            </w:r>
            <w:r w:rsidRPr="00472AB4">
              <w:rPr>
                <w:rFonts w:eastAsiaTheme="minorHAnsi"/>
                <w:sz w:val="20"/>
                <w:szCs w:val="20"/>
                <w:lang w:val="en-GB" w:eastAsia="en-US"/>
              </w:rPr>
              <w:t>Clopidogrel</w:t>
            </w:r>
          </w:p>
        </w:tc>
        <w:tc>
          <w:tcPr>
            <w:tcW w:w="1399" w:type="pct"/>
            <w:tcBorders>
              <w:top w:val="single" w:sz="4" w:space="0" w:color="auto"/>
            </w:tcBorders>
          </w:tcPr>
          <w:p w14:paraId="53E7A526" w14:textId="77777777" w:rsidR="00A36D99" w:rsidRPr="00472AB4" w:rsidRDefault="00A36D99" w:rsidP="00A36D99">
            <w:pPr>
              <w:spacing w:before="0" w:after="0" w:line="240" w:lineRule="auto"/>
              <w:jc w:val="left"/>
              <w:rPr>
                <w:rFonts w:eastAsiaTheme="minorHAnsi"/>
                <w:sz w:val="20"/>
                <w:szCs w:val="20"/>
                <w:lang w:val="en-GB" w:eastAsia="en-US"/>
              </w:rPr>
            </w:pPr>
            <w:r w:rsidRPr="00472AB4">
              <w:rPr>
                <w:rFonts w:eastAsiaTheme="minorHAnsi"/>
                <w:sz w:val="20"/>
                <w:szCs w:val="20"/>
                <w:lang w:val="en-GB" w:eastAsia="en-US"/>
              </w:rPr>
              <w:t>0.940 (0.837-1.056)</w:t>
            </w:r>
          </w:p>
        </w:tc>
        <w:tc>
          <w:tcPr>
            <w:tcW w:w="641" w:type="pct"/>
            <w:tcBorders>
              <w:top w:val="single" w:sz="4" w:space="0" w:color="auto"/>
            </w:tcBorders>
          </w:tcPr>
          <w:p w14:paraId="78B77BBE" w14:textId="77777777" w:rsidR="00A36D99" w:rsidRPr="00472AB4" w:rsidRDefault="00A36D99" w:rsidP="00A36D99">
            <w:pPr>
              <w:spacing w:before="0" w:after="0" w:line="240" w:lineRule="auto"/>
              <w:jc w:val="left"/>
              <w:rPr>
                <w:rFonts w:eastAsiaTheme="minorHAnsi"/>
                <w:sz w:val="20"/>
                <w:szCs w:val="20"/>
                <w:lang w:val="en-GB" w:eastAsia="en-US"/>
              </w:rPr>
            </w:pPr>
            <w:r w:rsidRPr="00472AB4">
              <w:rPr>
                <w:rFonts w:eastAsiaTheme="minorHAnsi"/>
                <w:sz w:val="20"/>
                <w:szCs w:val="20"/>
                <w:lang w:val="en-GB" w:eastAsia="en-US"/>
              </w:rPr>
              <w:t>0.296</w:t>
            </w:r>
          </w:p>
        </w:tc>
      </w:tr>
      <w:tr w:rsidR="00A36D99" w:rsidRPr="00472AB4" w14:paraId="1105F13F" w14:textId="77777777" w:rsidTr="00A36D99">
        <w:tc>
          <w:tcPr>
            <w:tcW w:w="1257" w:type="pct"/>
          </w:tcPr>
          <w:p w14:paraId="21B944E4" w14:textId="77777777" w:rsidR="00A36D99" w:rsidRPr="00472AB4" w:rsidRDefault="00A36D99" w:rsidP="00A36D99">
            <w:pPr>
              <w:spacing w:before="0" w:after="0" w:line="240" w:lineRule="auto"/>
              <w:jc w:val="left"/>
              <w:rPr>
                <w:rFonts w:eastAsiaTheme="minorHAnsi"/>
                <w:sz w:val="20"/>
                <w:szCs w:val="20"/>
                <w:lang w:val="en-GB" w:eastAsia="en-US"/>
              </w:rPr>
            </w:pPr>
          </w:p>
        </w:tc>
        <w:tc>
          <w:tcPr>
            <w:tcW w:w="1703" w:type="pct"/>
          </w:tcPr>
          <w:p w14:paraId="5B949021" w14:textId="72CE5E83" w:rsidR="00A36D99" w:rsidRPr="00472AB4" w:rsidRDefault="00A36D99" w:rsidP="00A36D99">
            <w:pPr>
              <w:spacing w:before="0" w:after="0" w:line="240" w:lineRule="auto"/>
              <w:jc w:val="left"/>
              <w:rPr>
                <w:rFonts w:eastAsiaTheme="minorHAnsi"/>
                <w:sz w:val="20"/>
                <w:szCs w:val="20"/>
                <w:lang w:val="en-GB" w:eastAsia="en-US"/>
              </w:rPr>
            </w:pPr>
            <w:r w:rsidRPr="00472AB4">
              <w:rPr>
                <w:rFonts w:eastAsiaTheme="minorHAnsi"/>
                <w:sz w:val="20"/>
                <w:szCs w:val="20"/>
                <w:lang w:val="en-GB" w:eastAsia="en-US"/>
              </w:rPr>
              <w:t xml:space="preserve">Ticagrelor vs </w:t>
            </w:r>
            <w:r w:rsidR="00292EF8" w:rsidRPr="00472AB4">
              <w:rPr>
                <w:rFonts w:eastAsiaTheme="minorHAnsi"/>
                <w:sz w:val="20"/>
                <w:szCs w:val="20"/>
                <w:lang w:val="en-GB" w:eastAsia="en-US"/>
              </w:rPr>
              <w:t>Clopidogrel</w:t>
            </w:r>
          </w:p>
        </w:tc>
        <w:tc>
          <w:tcPr>
            <w:tcW w:w="1399" w:type="pct"/>
          </w:tcPr>
          <w:p w14:paraId="6D6A2FC1" w14:textId="77777777" w:rsidR="00A36D99" w:rsidRPr="00472AB4" w:rsidRDefault="00A36D99" w:rsidP="00A36D99">
            <w:pPr>
              <w:spacing w:before="0" w:after="0" w:line="240" w:lineRule="auto"/>
              <w:jc w:val="left"/>
              <w:rPr>
                <w:rFonts w:eastAsiaTheme="minorHAnsi"/>
                <w:sz w:val="20"/>
                <w:szCs w:val="20"/>
                <w:lang w:val="en-GB" w:eastAsia="en-US"/>
              </w:rPr>
            </w:pPr>
            <w:r w:rsidRPr="00472AB4">
              <w:rPr>
                <w:rFonts w:eastAsiaTheme="minorHAnsi"/>
                <w:sz w:val="20"/>
                <w:szCs w:val="20"/>
                <w:lang w:val="en-GB" w:eastAsia="en-US"/>
              </w:rPr>
              <w:t>1.171 (1.037-1.323)</w:t>
            </w:r>
          </w:p>
        </w:tc>
        <w:tc>
          <w:tcPr>
            <w:tcW w:w="641" w:type="pct"/>
          </w:tcPr>
          <w:p w14:paraId="1DB7034A" w14:textId="77777777" w:rsidR="00A36D99" w:rsidRPr="00472AB4" w:rsidRDefault="00A36D99" w:rsidP="00A36D99">
            <w:pPr>
              <w:spacing w:before="0" w:after="0" w:line="240" w:lineRule="auto"/>
              <w:jc w:val="left"/>
              <w:rPr>
                <w:rFonts w:eastAsiaTheme="minorHAnsi"/>
                <w:sz w:val="20"/>
                <w:szCs w:val="20"/>
                <w:lang w:val="en-GB" w:eastAsia="en-US"/>
              </w:rPr>
            </w:pPr>
            <w:r w:rsidRPr="00472AB4">
              <w:rPr>
                <w:rFonts w:eastAsiaTheme="minorHAnsi"/>
                <w:sz w:val="20"/>
                <w:szCs w:val="20"/>
                <w:lang w:val="en-GB" w:eastAsia="en-US"/>
              </w:rPr>
              <w:t>0.011</w:t>
            </w:r>
          </w:p>
        </w:tc>
      </w:tr>
      <w:tr w:rsidR="00A36D99" w:rsidRPr="00472AB4" w14:paraId="6E848F57" w14:textId="77777777" w:rsidTr="00A36D99">
        <w:tc>
          <w:tcPr>
            <w:tcW w:w="1257" w:type="pct"/>
          </w:tcPr>
          <w:p w14:paraId="2C04BCAE" w14:textId="77777777" w:rsidR="00A36D99" w:rsidRPr="00472AB4" w:rsidRDefault="00A36D99" w:rsidP="00A36D99">
            <w:pPr>
              <w:spacing w:before="0" w:after="0" w:line="240" w:lineRule="auto"/>
              <w:jc w:val="left"/>
              <w:rPr>
                <w:rFonts w:eastAsiaTheme="minorHAnsi"/>
                <w:sz w:val="20"/>
                <w:szCs w:val="20"/>
                <w:lang w:val="en-GB" w:eastAsia="en-US"/>
              </w:rPr>
            </w:pPr>
          </w:p>
        </w:tc>
        <w:tc>
          <w:tcPr>
            <w:tcW w:w="1703" w:type="pct"/>
          </w:tcPr>
          <w:p w14:paraId="4CC71AEE" w14:textId="34A472D8" w:rsidR="00A36D99" w:rsidRPr="00472AB4" w:rsidRDefault="00A36D99" w:rsidP="00A36D99">
            <w:pPr>
              <w:spacing w:before="0" w:after="0" w:line="240" w:lineRule="auto"/>
              <w:jc w:val="left"/>
              <w:rPr>
                <w:rFonts w:eastAsiaTheme="minorHAnsi"/>
                <w:sz w:val="20"/>
                <w:szCs w:val="20"/>
                <w:lang w:val="en-GB" w:eastAsia="en-US"/>
              </w:rPr>
            </w:pPr>
            <w:r w:rsidRPr="00472AB4">
              <w:rPr>
                <w:rFonts w:eastAsiaTheme="minorHAnsi"/>
                <w:sz w:val="20"/>
                <w:szCs w:val="20"/>
                <w:lang w:val="en-GB" w:eastAsia="en-US"/>
              </w:rPr>
              <w:t xml:space="preserve">Ticagrelor vs </w:t>
            </w:r>
            <w:r w:rsidR="00292EF8" w:rsidRPr="00472AB4">
              <w:rPr>
                <w:rFonts w:eastAsiaTheme="minorHAnsi"/>
                <w:sz w:val="20"/>
                <w:szCs w:val="20"/>
                <w:lang w:val="en-GB" w:eastAsia="en-US"/>
              </w:rPr>
              <w:t>Prasugrel</w:t>
            </w:r>
          </w:p>
        </w:tc>
        <w:tc>
          <w:tcPr>
            <w:tcW w:w="1399" w:type="pct"/>
          </w:tcPr>
          <w:p w14:paraId="0D60ED63" w14:textId="77777777" w:rsidR="00A36D99" w:rsidRPr="00472AB4" w:rsidRDefault="00A36D99" w:rsidP="00A36D99">
            <w:pPr>
              <w:spacing w:before="0" w:after="0" w:line="240" w:lineRule="auto"/>
              <w:jc w:val="left"/>
              <w:rPr>
                <w:rFonts w:eastAsiaTheme="minorHAnsi"/>
                <w:sz w:val="20"/>
                <w:szCs w:val="20"/>
                <w:lang w:val="en-GB" w:eastAsia="en-US"/>
              </w:rPr>
            </w:pPr>
            <w:r w:rsidRPr="00472AB4">
              <w:rPr>
                <w:rFonts w:eastAsiaTheme="minorHAnsi"/>
                <w:sz w:val="20"/>
                <w:szCs w:val="20"/>
                <w:lang w:val="en-GB" w:eastAsia="en-US"/>
              </w:rPr>
              <w:t>1.249 (1.059-1.472)</w:t>
            </w:r>
          </w:p>
        </w:tc>
        <w:tc>
          <w:tcPr>
            <w:tcW w:w="641" w:type="pct"/>
          </w:tcPr>
          <w:p w14:paraId="5A7FA908" w14:textId="77777777" w:rsidR="00A36D99" w:rsidRPr="00472AB4" w:rsidRDefault="00A36D99" w:rsidP="00A36D99">
            <w:pPr>
              <w:spacing w:before="0" w:after="0" w:line="240" w:lineRule="auto"/>
              <w:jc w:val="left"/>
              <w:rPr>
                <w:rFonts w:eastAsiaTheme="minorHAnsi"/>
                <w:sz w:val="20"/>
                <w:szCs w:val="20"/>
                <w:lang w:val="en-GB" w:eastAsia="en-US"/>
              </w:rPr>
            </w:pPr>
            <w:r w:rsidRPr="00472AB4">
              <w:rPr>
                <w:rFonts w:eastAsiaTheme="minorHAnsi"/>
                <w:sz w:val="20"/>
                <w:szCs w:val="20"/>
                <w:lang w:val="en-GB" w:eastAsia="en-US"/>
              </w:rPr>
              <w:t>0.008</w:t>
            </w:r>
          </w:p>
        </w:tc>
      </w:tr>
      <w:tr w:rsidR="00A36D99" w:rsidRPr="00472AB4" w14:paraId="67AF7CF7" w14:textId="77777777" w:rsidTr="00A36D99">
        <w:tc>
          <w:tcPr>
            <w:tcW w:w="1257" w:type="pct"/>
            <w:tcBorders>
              <w:top w:val="single" w:sz="4" w:space="0" w:color="auto"/>
            </w:tcBorders>
          </w:tcPr>
          <w:p w14:paraId="6E7BEAF9" w14:textId="77777777" w:rsidR="00A36D99" w:rsidRPr="00472AB4" w:rsidRDefault="00A36D99" w:rsidP="00A36D99">
            <w:pPr>
              <w:spacing w:before="0" w:after="0" w:line="240" w:lineRule="auto"/>
              <w:jc w:val="left"/>
              <w:rPr>
                <w:rFonts w:eastAsiaTheme="minorHAnsi"/>
                <w:sz w:val="20"/>
                <w:szCs w:val="20"/>
                <w:lang w:val="en-GB" w:eastAsia="en-US"/>
              </w:rPr>
            </w:pPr>
            <w:r w:rsidRPr="00472AB4">
              <w:rPr>
                <w:rFonts w:eastAsiaTheme="minorHAnsi"/>
                <w:sz w:val="20"/>
                <w:szCs w:val="20"/>
                <w:lang w:val="en-GB" w:eastAsia="en-US"/>
              </w:rPr>
              <w:t>30 days mortality</w:t>
            </w:r>
          </w:p>
        </w:tc>
        <w:tc>
          <w:tcPr>
            <w:tcW w:w="1703" w:type="pct"/>
            <w:tcBorders>
              <w:top w:val="single" w:sz="4" w:space="0" w:color="auto"/>
            </w:tcBorders>
          </w:tcPr>
          <w:p w14:paraId="22F241BA" w14:textId="7D2BB636" w:rsidR="00A36D99" w:rsidRPr="00472AB4" w:rsidRDefault="00292EF8" w:rsidP="00A36D99">
            <w:pPr>
              <w:spacing w:before="0" w:after="0" w:line="240" w:lineRule="auto"/>
              <w:jc w:val="left"/>
              <w:rPr>
                <w:rFonts w:eastAsiaTheme="minorHAnsi"/>
                <w:sz w:val="20"/>
                <w:szCs w:val="20"/>
                <w:lang w:val="en-GB" w:eastAsia="en-US"/>
              </w:rPr>
            </w:pPr>
            <w:r w:rsidRPr="00472AB4">
              <w:rPr>
                <w:rFonts w:eastAsiaTheme="minorHAnsi"/>
                <w:sz w:val="20"/>
                <w:szCs w:val="20"/>
                <w:lang w:val="en-GB" w:eastAsia="en-US"/>
              </w:rPr>
              <w:t>Prasugrel</w:t>
            </w:r>
            <w:r w:rsidR="00A36D99" w:rsidRPr="00472AB4">
              <w:rPr>
                <w:rFonts w:eastAsiaTheme="minorHAnsi"/>
                <w:sz w:val="20"/>
                <w:szCs w:val="20"/>
                <w:lang w:val="en-GB" w:eastAsia="en-US"/>
              </w:rPr>
              <w:t xml:space="preserve"> vs </w:t>
            </w:r>
            <w:r w:rsidRPr="00472AB4">
              <w:rPr>
                <w:rFonts w:eastAsiaTheme="minorHAnsi"/>
                <w:sz w:val="20"/>
                <w:szCs w:val="20"/>
                <w:lang w:val="en-GB" w:eastAsia="en-US"/>
              </w:rPr>
              <w:t>Clopidogrel</w:t>
            </w:r>
          </w:p>
        </w:tc>
        <w:tc>
          <w:tcPr>
            <w:tcW w:w="1399" w:type="pct"/>
            <w:tcBorders>
              <w:top w:val="single" w:sz="4" w:space="0" w:color="auto"/>
            </w:tcBorders>
          </w:tcPr>
          <w:p w14:paraId="42D04C5E" w14:textId="77777777" w:rsidR="00A36D99" w:rsidRPr="00472AB4" w:rsidRDefault="00A36D99" w:rsidP="00A36D99">
            <w:pPr>
              <w:spacing w:before="0" w:after="0" w:line="240" w:lineRule="auto"/>
              <w:jc w:val="left"/>
              <w:rPr>
                <w:rFonts w:eastAsiaTheme="minorHAnsi"/>
                <w:sz w:val="20"/>
                <w:szCs w:val="20"/>
                <w:lang w:val="en-GB" w:eastAsia="en-US"/>
              </w:rPr>
            </w:pPr>
            <w:r w:rsidRPr="00472AB4">
              <w:rPr>
                <w:rFonts w:eastAsiaTheme="minorHAnsi"/>
                <w:sz w:val="20"/>
                <w:szCs w:val="20"/>
                <w:lang w:val="en-GB" w:eastAsia="en-US"/>
              </w:rPr>
              <w:t>0.870 (0.777-0.973)</w:t>
            </w:r>
          </w:p>
        </w:tc>
        <w:tc>
          <w:tcPr>
            <w:tcW w:w="641" w:type="pct"/>
            <w:tcBorders>
              <w:top w:val="single" w:sz="4" w:space="0" w:color="auto"/>
            </w:tcBorders>
          </w:tcPr>
          <w:p w14:paraId="4C0E9D25" w14:textId="77777777" w:rsidR="00A36D99" w:rsidRPr="00472AB4" w:rsidRDefault="00A36D99" w:rsidP="00A36D99">
            <w:pPr>
              <w:spacing w:before="0" w:after="0" w:line="240" w:lineRule="auto"/>
              <w:jc w:val="left"/>
              <w:rPr>
                <w:rFonts w:eastAsiaTheme="minorHAnsi"/>
                <w:sz w:val="20"/>
                <w:szCs w:val="20"/>
                <w:lang w:val="en-GB" w:eastAsia="en-US"/>
              </w:rPr>
            </w:pPr>
            <w:r w:rsidRPr="00472AB4">
              <w:rPr>
                <w:rFonts w:eastAsiaTheme="minorHAnsi"/>
                <w:sz w:val="20"/>
                <w:szCs w:val="20"/>
                <w:lang w:val="en-GB" w:eastAsia="en-US"/>
              </w:rPr>
              <w:t>0.014</w:t>
            </w:r>
          </w:p>
        </w:tc>
      </w:tr>
      <w:tr w:rsidR="00A36D99" w:rsidRPr="00472AB4" w14:paraId="5AFD2752" w14:textId="77777777" w:rsidTr="00A36D99">
        <w:tc>
          <w:tcPr>
            <w:tcW w:w="1257" w:type="pct"/>
          </w:tcPr>
          <w:p w14:paraId="5259F87B" w14:textId="77777777" w:rsidR="00A36D99" w:rsidRPr="00472AB4" w:rsidRDefault="00A36D99" w:rsidP="00A36D99">
            <w:pPr>
              <w:spacing w:before="0" w:after="0" w:line="240" w:lineRule="auto"/>
              <w:jc w:val="left"/>
              <w:rPr>
                <w:rFonts w:eastAsiaTheme="minorHAnsi"/>
                <w:sz w:val="20"/>
                <w:szCs w:val="20"/>
                <w:lang w:val="en-GB" w:eastAsia="en-US"/>
              </w:rPr>
            </w:pPr>
          </w:p>
        </w:tc>
        <w:tc>
          <w:tcPr>
            <w:tcW w:w="1703" w:type="pct"/>
          </w:tcPr>
          <w:p w14:paraId="609E5DF9" w14:textId="61531AD8" w:rsidR="00A36D99" w:rsidRPr="00472AB4" w:rsidRDefault="00A36D99" w:rsidP="00A36D99">
            <w:pPr>
              <w:spacing w:before="0" w:after="0" w:line="240" w:lineRule="auto"/>
              <w:jc w:val="left"/>
              <w:rPr>
                <w:rFonts w:eastAsiaTheme="minorHAnsi"/>
                <w:sz w:val="20"/>
                <w:szCs w:val="20"/>
                <w:lang w:val="en-GB" w:eastAsia="en-US"/>
              </w:rPr>
            </w:pPr>
            <w:r w:rsidRPr="00472AB4">
              <w:rPr>
                <w:rFonts w:eastAsiaTheme="minorHAnsi"/>
                <w:sz w:val="20"/>
                <w:szCs w:val="20"/>
                <w:lang w:val="en-GB" w:eastAsia="en-US"/>
              </w:rPr>
              <w:t xml:space="preserve">Ticagrelor vs </w:t>
            </w:r>
            <w:r w:rsidR="00292EF8" w:rsidRPr="00472AB4">
              <w:rPr>
                <w:rFonts w:eastAsiaTheme="minorHAnsi"/>
                <w:sz w:val="20"/>
                <w:szCs w:val="20"/>
                <w:lang w:val="en-GB" w:eastAsia="en-US"/>
              </w:rPr>
              <w:t>Clopidogrel</w:t>
            </w:r>
          </w:p>
        </w:tc>
        <w:tc>
          <w:tcPr>
            <w:tcW w:w="1399" w:type="pct"/>
          </w:tcPr>
          <w:p w14:paraId="36880AC0" w14:textId="77777777" w:rsidR="00A36D99" w:rsidRPr="00472AB4" w:rsidRDefault="00A36D99" w:rsidP="00A36D99">
            <w:pPr>
              <w:spacing w:before="0" w:after="0" w:line="240" w:lineRule="auto"/>
              <w:jc w:val="left"/>
              <w:rPr>
                <w:rFonts w:eastAsiaTheme="minorHAnsi"/>
                <w:sz w:val="20"/>
                <w:szCs w:val="20"/>
                <w:lang w:val="en-GB" w:eastAsia="en-US"/>
              </w:rPr>
            </w:pPr>
            <w:r w:rsidRPr="00472AB4">
              <w:rPr>
                <w:rFonts w:eastAsiaTheme="minorHAnsi"/>
                <w:sz w:val="20"/>
                <w:szCs w:val="20"/>
                <w:lang w:val="en-GB" w:eastAsia="en-US"/>
              </w:rPr>
              <w:t>1.074 (0.954-1.208)</w:t>
            </w:r>
          </w:p>
        </w:tc>
        <w:tc>
          <w:tcPr>
            <w:tcW w:w="641" w:type="pct"/>
          </w:tcPr>
          <w:p w14:paraId="1C1133CE" w14:textId="77777777" w:rsidR="00A36D99" w:rsidRPr="00472AB4" w:rsidRDefault="00A36D99" w:rsidP="00A36D99">
            <w:pPr>
              <w:spacing w:before="0" w:after="0" w:line="240" w:lineRule="auto"/>
              <w:jc w:val="left"/>
              <w:rPr>
                <w:rFonts w:eastAsiaTheme="minorHAnsi"/>
                <w:sz w:val="20"/>
                <w:szCs w:val="20"/>
                <w:lang w:val="en-GB" w:eastAsia="en-US"/>
              </w:rPr>
            </w:pPr>
            <w:r w:rsidRPr="00472AB4">
              <w:rPr>
                <w:rFonts w:eastAsiaTheme="minorHAnsi"/>
                <w:sz w:val="20"/>
                <w:szCs w:val="20"/>
                <w:lang w:val="en-GB" w:eastAsia="en-US"/>
              </w:rPr>
              <w:t>0.237</w:t>
            </w:r>
          </w:p>
        </w:tc>
      </w:tr>
      <w:tr w:rsidR="00A36D99" w:rsidRPr="00472AB4" w14:paraId="5F560392" w14:textId="77777777" w:rsidTr="00A36D99">
        <w:tc>
          <w:tcPr>
            <w:tcW w:w="1257" w:type="pct"/>
            <w:tcBorders>
              <w:bottom w:val="single" w:sz="4" w:space="0" w:color="auto"/>
            </w:tcBorders>
          </w:tcPr>
          <w:p w14:paraId="3CDA6B8D" w14:textId="77777777" w:rsidR="00A36D99" w:rsidRPr="00472AB4" w:rsidRDefault="00A36D99" w:rsidP="00A36D99">
            <w:pPr>
              <w:spacing w:before="0" w:after="0" w:line="240" w:lineRule="auto"/>
              <w:jc w:val="left"/>
              <w:rPr>
                <w:rFonts w:eastAsiaTheme="minorHAnsi"/>
                <w:sz w:val="20"/>
                <w:szCs w:val="20"/>
                <w:lang w:val="en-GB" w:eastAsia="en-US"/>
              </w:rPr>
            </w:pPr>
          </w:p>
        </w:tc>
        <w:tc>
          <w:tcPr>
            <w:tcW w:w="1703" w:type="pct"/>
            <w:tcBorders>
              <w:bottom w:val="single" w:sz="4" w:space="0" w:color="auto"/>
            </w:tcBorders>
          </w:tcPr>
          <w:p w14:paraId="225CD63E" w14:textId="694E9247" w:rsidR="00A36D99" w:rsidRPr="00472AB4" w:rsidRDefault="00A36D99" w:rsidP="00A36D99">
            <w:pPr>
              <w:spacing w:before="0" w:after="0" w:line="240" w:lineRule="auto"/>
              <w:jc w:val="left"/>
              <w:rPr>
                <w:rFonts w:eastAsiaTheme="minorHAnsi"/>
                <w:sz w:val="20"/>
                <w:szCs w:val="20"/>
                <w:lang w:val="en-GB" w:eastAsia="en-US"/>
              </w:rPr>
            </w:pPr>
            <w:r w:rsidRPr="00472AB4">
              <w:rPr>
                <w:rFonts w:eastAsiaTheme="minorHAnsi"/>
                <w:sz w:val="20"/>
                <w:szCs w:val="20"/>
                <w:lang w:val="en-GB" w:eastAsia="en-US"/>
              </w:rPr>
              <w:t xml:space="preserve">Ticagrelor vs </w:t>
            </w:r>
            <w:r w:rsidR="00292EF8" w:rsidRPr="00472AB4">
              <w:rPr>
                <w:rFonts w:eastAsiaTheme="minorHAnsi"/>
                <w:sz w:val="20"/>
                <w:szCs w:val="20"/>
                <w:lang w:val="en-GB" w:eastAsia="en-US"/>
              </w:rPr>
              <w:t>Prasugrel</w:t>
            </w:r>
          </w:p>
        </w:tc>
        <w:tc>
          <w:tcPr>
            <w:tcW w:w="1399" w:type="pct"/>
            <w:tcBorders>
              <w:bottom w:val="single" w:sz="4" w:space="0" w:color="auto"/>
            </w:tcBorders>
          </w:tcPr>
          <w:p w14:paraId="5E93D014" w14:textId="77777777" w:rsidR="00A36D99" w:rsidRPr="00472AB4" w:rsidRDefault="00A36D99" w:rsidP="00A36D99">
            <w:pPr>
              <w:spacing w:before="0" w:after="0" w:line="240" w:lineRule="auto"/>
              <w:jc w:val="left"/>
              <w:rPr>
                <w:rFonts w:eastAsiaTheme="minorHAnsi"/>
                <w:sz w:val="20"/>
                <w:szCs w:val="20"/>
                <w:lang w:val="en-GB" w:eastAsia="en-US"/>
              </w:rPr>
            </w:pPr>
            <w:r w:rsidRPr="00472AB4">
              <w:rPr>
                <w:rFonts w:eastAsiaTheme="minorHAnsi"/>
                <w:sz w:val="20"/>
                <w:szCs w:val="20"/>
                <w:lang w:val="en-GB" w:eastAsia="en-US"/>
              </w:rPr>
              <w:t>1.216 (1.031-1.435)</w:t>
            </w:r>
          </w:p>
        </w:tc>
        <w:tc>
          <w:tcPr>
            <w:tcW w:w="641" w:type="pct"/>
            <w:tcBorders>
              <w:bottom w:val="single" w:sz="4" w:space="0" w:color="auto"/>
            </w:tcBorders>
          </w:tcPr>
          <w:p w14:paraId="67A27B03" w14:textId="77777777" w:rsidR="00A36D99" w:rsidRPr="00472AB4" w:rsidRDefault="00A36D99" w:rsidP="00A36D99">
            <w:pPr>
              <w:spacing w:before="0" w:after="0" w:line="240" w:lineRule="auto"/>
              <w:jc w:val="left"/>
              <w:rPr>
                <w:rFonts w:eastAsiaTheme="minorHAnsi"/>
                <w:sz w:val="20"/>
                <w:szCs w:val="20"/>
                <w:lang w:val="en-GB" w:eastAsia="en-US"/>
              </w:rPr>
            </w:pPr>
            <w:r w:rsidRPr="00472AB4">
              <w:rPr>
                <w:rFonts w:eastAsiaTheme="minorHAnsi"/>
                <w:sz w:val="20"/>
                <w:szCs w:val="20"/>
                <w:lang w:val="en-GB" w:eastAsia="en-US"/>
              </w:rPr>
              <w:t>0.020</w:t>
            </w:r>
          </w:p>
        </w:tc>
      </w:tr>
      <w:tr w:rsidR="00A36D99" w:rsidRPr="00472AB4" w14:paraId="4AEE1918" w14:textId="77777777" w:rsidTr="00A36D99">
        <w:tc>
          <w:tcPr>
            <w:tcW w:w="1257" w:type="pct"/>
            <w:tcBorders>
              <w:top w:val="single" w:sz="4" w:space="0" w:color="auto"/>
            </w:tcBorders>
          </w:tcPr>
          <w:p w14:paraId="01D3DDF2" w14:textId="77777777" w:rsidR="00A36D99" w:rsidRPr="00472AB4" w:rsidRDefault="00A36D99" w:rsidP="00A36D99">
            <w:pPr>
              <w:spacing w:before="0" w:after="0" w:line="240" w:lineRule="auto"/>
              <w:jc w:val="left"/>
              <w:rPr>
                <w:rFonts w:eastAsiaTheme="minorHAnsi"/>
                <w:sz w:val="20"/>
                <w:szCs w:val="20"/>
                <w:lang w:val="en-GB" w:eastAsia="en-US"/>
              </w:rPr>
            </w:pPr>
            <w:r w:rsidRPr="00472AB4">
              <w:rPr>
                <w:rFonts w:eastAsiaTheme="minorHAnsi"/>
                <w:sz w:val="20"/>
                <w:szCs w:val="20"/>
                <w:lang w:val="en-GB" w:eastAsia="en-US"/>
              </w:rPr>
              <w:t>1 year mortality</w:t>
            </w:r>
          </w:p>
        </w:tc>
        <w:tc>
          <w:tcPr>
            <w:tcW w:w="1703" w:type="pct"/>
            <w:tcBorders>
              <w:top w:val="single" w:sz="4" w:space="0" w:color="auto"/>
            </w:tcBorders>
          </w:tcPr>
          <w:p w14:paraId="37F64197" w14:textId="0EC7373E" w:rsidR="00A36D99" w:rsidRPr="00472AB4" w:rsidRDefault="00292EF8" w:rsidP="00A36D99">
            <w:pPr>
              <w:spacing w:before="0" w:after="0" w:line="240" w:lineRule="auto"/>
              <w:jc w:val="left"/>
              <w:rPr>
                <w:rFonts w:eastAsiaTheme="minorHAnsi"/>
                <w:sz w:val="20"/>
                <w:szCs w:val="20"/>
                <w:lang w:val="en-GB" w:eastAsia="en-US"/>
              </w:rPr>
            </w:pPr>
            <w:r w:rsidRPr="00472AB4">
              <w:rPr>
                <w:rFonts w:eastAsiaTheme="minorHAnsi"/>
                <w:sz w:val="20"/>
                <w:szCs w:val="20"/>
                <w:lang w:val="en-GB" w:eastAsia="en-US"/>
              </w:rPr>
              <w:t>Prasugrel</w:t>
            </w:r>
            <w:r w:rsidR="00A36D99" w:rsidRPr="00472AB4">
              <w:rPr>
                <w:rFonts w:eastAsiaTheme="minorHAnsi"/>
                <w:sz w:val="20"/>
                <w:szCs w:val="20"/>
                <w:lang w:val="en-GB" w:eastAsia="en-US"/>
              </w:rPr>
              <w:t xml:space="preserve"> vs </w:t>
            </w:r>
            <w:r w:rsidRPr="00472AB4">
              <w:rPr>
                <w:rFonts w:eastAsiaTheme="minorHAnsi"/>
                <w:sz w:val="20"/>
                <w:szCs w:val="20"/>
                <w:lang w:val="en-GB" w:eastAsia="en-US"/>
              </w:rPr>
              <w:t>Clopidogrel</w:t>
            </w:r>
          </w:p>
        </w:tc>
        <w:tc>
          <w:tcPr>
            <w:tcW w:w="1399" w:type="pct"/>
            <w:tcBorders>
              <w:top w:val="single" w:sz="4" w:space="0" w:color="auto"/>
            </w:tcBorders>
          </w:tcPr>
          <w:p w14:paraId="7D3F0BEE" w14:textId="77777777" w:rsidR="00A36D99" w:rsidRPr="00472AB4" w:rsidRDefault="00A36D99" w:rsidP="00A36D99">
            <w:pPr>
              <w:spacing w:before="0" w:after="0" w:line="240" w:lineRule="auto"/>
              <w:jc w:val="left"/>
              <w:rPr>
                <w:rFonts w:eastAsiaTheme="minorHAnsi"/>
                <w:sz w:val="20"/>
                <w:szCs w:val="20"/>
                <w:lang w:val="en-GB" w:eastAsia="en-US"/>
              </w:rPr>
            </w:pPr>
            <w:r w:rsidRPr="00472AB4">
              <w:rPr>
                <w:rFonts w:eastAsiaTheme="minorHAnsi"/>
                <w:sz w:val="20"/>
                <w:szCs w:val="20"/>
                <w:lang w:val="en-GB" w:eastAsia="en-US"/>
              </w:rPr>
              <w:t>0.891 (0.815-0.974)</w:t>
            </w:r>
          </w:p>
        </w:tc>
        <w:tc>
          <w:tcPr>
            <w:tcW w:w="641" w:type="pct"/>
            <w:tcBorders>
              <w:top w:val="single" w:sz="4" w:space="0" w:color="auto"/>
            </w:tcBorders>
          </w:tcPr>
          <w:p w14:paraId="76B9A4A4" w14:textId="77777777" w:rsidR="00A36D99" w:rsidRPr="00472AB4" w:rsidRDefault="00A36D99" w:rsidP="00A36D99">
            <w:pPr>
              <w:spacing w:before="0" w:after="0" w:line="240" w:lineRule="auto"/>
              <w:jc w:val="left"/>
              <w:rPr>
                <w:rFonts w:eastAsiaTheme="minorHAnsi"/>
                <w:sz w:val="20"/>
                <w:szCs w:val="20"/>
                <w:lang w:val="en-GB" w:eastAsia="en-US"/>
              </w:rPr>
            </w:pPr>
            <w:r w:rsidRPr="00472AB4">
              <w:rPr>
                <w:rFonts w:eastAsiaTheme="minorHAnsi"/>
                <w:sz w:val="20"/>
                <w:szCs w:val="20"/>
                <w:lang w:val="en-GB" w:eastAsia="en-US"/>
              </w:rPr>
              <w:t>0.011</w:t>
            </w:r>
          </w:p>
        </w:tc>
      </w:tr>
      <w:tr w:rsidR="00A36D99" w:rsidRPr="00472AB4" w14:paraId="0B5346DF" w14:textId="77777777" w:rsidTr="00A36D99">
        <w:tc>
          <w:tcPr>
            <w:tcW w:w="1257" w:type="pct"/>
          </w:tcPr>
          <w:p w14:paraId="2B458EC1" w14:textId="77777777" w:rsidR="00A36D99" w:rsidRPr="00472AB4" w:rsidRDefault="00A36D99" w:rsidP="00A36D99">
            <w:pPr>
              <w:spacing w:before="0" w:after="0" w:line="240" w:lineRule="auto"/>
              <w:jc w:val="left"/>
              <w:rPr>
                <w:rFonts w:eastAsiaTheme="minorHAnsi"/>
                <w:sz w:val="20"/>
                <w:szCs w:val="20"/>
                <w:lang w:val="en-GB" w:eastAsia="en-US"/>
              </w:rPr>
            </w:pPr>
          </w:p>
        </w:tc>
        <w:tc>
          <w:tcPr>
            <w:tcW w:w="1703" w:type="pct"/>
          </w:tcPr>
          <w:p w14:paraId="26823E35" w14:textId="584A54F3" w:rsidR="00A36D99" w:rsidRPr="00472AB4" w:rsidRDefault="00A36D99" w:rsidP="00A36D99">
            <w:pPr>
              <w:spacing w:before="0" w:after="0" w:line="240" w:lineRule="auto"/>
              <w:jc w:val="left"/>
              <w:rPr>
                <w:rFonts w:eastAsiaTheme="minorHAnsi"/>
                <w:sz w:val="20"/>
                <w:szCs w:val="20"/>
                <w:lang w:val="en-GB" w:eastAsia="en-US"/>
              </w:rPr>
            </w:pPr>
            <w:r w:rsidRPr="00472AB4">
              <w:rPr>
                <w:rFonts w:eastAsiaTheme="minorHAnsi"/>
                <w:sz w:val="20"/>
                <w:szCs w:val="20"/>
                <w:lang w:val="en-GB" w:eastAsia="en-US"/>
              </w:rPr>
              <w:t xml:space="preserve">Ticagrelor vs </w:t>
            </w:r>
            <w:r w:rsidR="00292EF8" w:rsidRPr="00472AB4">
              <w:rPr>
                <w:rFonts w:eastAsiaTheme="minorHAnsi"/>
                <w:sz w:val="20"/>
                <w:szCs w:val="20"/>
                <w:lang w:val="en-GB" w:eastAsia="en-US"/>
              </w:rPr>
              <w:t>Clopidogrel</w:t>
            </w:r>
          </w:p>
        </w:tc>
        <w:tc>
          <w:tcPr>
            <w:tcW w:w="1399" w:type="pct"/>
          </w:tcPr>
          <w:p w14:paraId="6D9944A7" w14:textId="77777777" w:rsidR="00A36D99" w:rsidRPr="00472AB4" w:rsidRDefault="00A36D99" w:rsidP="00A36D99">
            <w:pPr>
              <w:spacing w:before="0" w:after="0" w:line="240" w:lineRule="auto"/>
              <w:jc w:val="left"/>
              <w:rPr>
                <w:rFonts w:eastAsiaTheme="minorHAnsi"/>
                <w:sz w:val="20"/>
                <w:szCs w:val="20"/>
                <w:lang w:val="en-GB" w:eastAsia="en-US"/>
              </w:rPr>
            </w:pPr>
            <w:r w:rsidRPr="00472AB4">
              <w:rPr>
                <w:rFonts w:eastAsiaTheme="minorHAnsi"/>
                <w:sz w:val="20"/>
                <w:szCs w:val="20"/>
                <w:lang w:val="en-GB" w:eastAsia="en-US"/>
              </w:rPr>
              <w:t>1.058 (0.962-1.163)</w:t>
            </w:r>
          </w:p>
        </w:tc>
        <w:tc>
          <w:tcPr>
            <w:tcW w:w="641" w:type="pct"/>
          </w:tcPr>
          <w:p w14:paraId="2BEBACDC" w14:textId="77777777" w:rsidR="00A36D99" w:rsidRPr="00472AB4" w:rsidRDefault="00A36D99" w:rsidP="00A36D99">
            <w:pPr>
              <w:spacing w:before="0" w:after="0" w:line="240" w:lineRule="auto"/>
              <w:jc w:val="left"/>
              <w:rPr>
                <w:rFonts w:eastAsiaTheme="minorHAnsi"/>
                <w:sz w:val="20"/>
                <w:szCs w:val="20"/>
                <w:lang w:val="en-GB" w:eastAsia="en-US"/>
              </w:rPr>
            </w:pPr>
            <w:r w:rsidRPr="00472AB4">
              <w:rPr>
                <w:rFonts w:eastAsiaTheme="minorHAnsi"/>
                <w:sz w:val="20"/>
                <w:szCs w:val="20"/>
                <w:lang w:val="en-GB" w:eastAsia="en-US"/>
              </w:rPr>
              <w:t>0.247</w:t>
            </w:r>
          </w:p>
        </w:tc>
      </w:tr>
      <w:tr w:rsidR="00A36D99" w:rsidRPr="00472AB4" w14:paraId="5F601B23" w14:textId="77777777" w:rsidTr="00A36D99">
        <w:tc>
          <w:tcPr>
            <w:tcW w:w="1257" w:type="pct"/>
            <w:tcBorders>
              <w:bottom w:val="single" w:sz="12" w:space="0" w:color="auto"/>
            </w:tcBorders>
          </w:tcPr>
          <w:p w14:paraId="14D28F6A" w14:textId="77777777" w:rsidR="00A36D99" w:rsidRPr="00472AB4" w:rsidRDefault="00A36D99" w:rsidP="00A36D99">
            <w:pPr>
              <w:spacing w:before="0" w:after="0" w:line="240" w:lineRule="auto"/>
              <w:jc w:val="left"/>
              <w:rPr>
                <w:rFonts w:eastAsiaTheme="minorHAnsi"/>
                <w:sz w:val="20"/>
                <w:szCs w:val="20"/>
                <w:lang w:val="en-GB" w:eastAsia="en-US"/>
              </w:rPr>
            </w:pPr>
          </w:p>
        </w:tc>
        <w:tc>
          <w:tcPr>
            <w:tcW w:w="1703" w:type="pct"/>
            <w:tcBorders>
              <w:bottom w:val="single" w:sz="12" w:space="0" w:color="auto"/>
            </w:tcBorders>
          </w:tcPr>
          <w:p w14:paraId="6CD48409" w14:textId="6B843506" w:rsidR="00A36D99" w:rsidRPr="00472AB4" w:rsidRDefault="00A36D99" w:rsidP="00A36D99">
            <w:pPr>
              <w:spacing w:before="0" w:after="0" w:line="240" w:lineRule="auto"/>
              <w:jc w:val="left"/>
              <w:rPr>
                <w:rFonts w:eastAsiaTheme="minorHAnsi"/>
                <w:sz w:val="20"/>
                <w:szCs w:val="20"/>
                <w:lang w:val="en-GB" w:eastAsia="en-US"/>
              </w:rPr>
            </w:pPr>
            <w:r w:rsidRPr="00472AB4">
              <w:rPr>
                <w:rFonts w:eastAsiaTheme="minorHAnsi"/>
                <w:sz w:val="20"/>
                <w:szCs w:val="20"/>
                <w:lang w:val="en-GB" w:eastAsia="en-US"/>
              </w:rPr>
              <w:t xml:space="preserve">Ticagrelor vs </w:t>
            </w:r>
            <w:r w:rsidR="00292EF8" w:rsidRPr="00472AB4">
              <w:rPr>
                <w:rFonts w:eastAsiaTheme="minorHAnsi"/>
                <w:sz w:val="20"/>
                <w:szCs w:val="20"/>
                <w:lang w:val="en-GB" w:eastAsia="en-US"/>
              </w:rPr>
              <w:t>Prasugrel</w:t>
            </w:r>
          </w:p>
        </w:tc>
        <w:tc>
          <w:tcPr>
            <w:tcW w:w="1399" w:type="pct"/>
            <w:tcBorders>
              <w:bottom w:val="single" w:sz="12" w:space="0" w:color="auto"/>
            </w:tcBorders>
          </w:tcPr>
          <w:p w14:paraId="2FDA45C1" w14:textId="77777777" w:rsidR="00A36D99" w:rsidRPr="00472AB4" w:rsidRDefault="00A36D99" w:rsidP="00A36D99">
            <w:pPr>
              <w:spacing w:before="0" w:after="0" w:line="240" w:lineRule="auto"/>
              <w:jc w:val="left"/>
              <w:rPr>
                <w:rFonts w:eastAsiaTheme="minorHAnsi"/>
                <w:sz w:val="20"/>
                <w:szCs w:val="20"/>
                <w:lang w:val="en-GB" w:eastAsia="en-US"/>
              </w:rPr>
            </w:pPr>
            <w:r w:rsidRPr="00472AB4">
              <w:rPr>
                <w:rFonts w:eastAsiaTheme="minorHAnsi"/>
                <w:sz w:val="20"/>
                <w:szCs w:val="20"/>
                <w:lang w:val="en-GB" w:eastAsia="en-US"/>
              </w:rPr>
              <w:t>1.188 (1.042-1.354)</w:t>
            </w:r>
          </w:p>
        </w:tc>
        <w:tc>
          <w:tcPr>
            <w:tcW w:w="641" w:type="pct"/>
            <w:tcBorders>
              <w:bottom w:val="single" w:sz="12" w:space="0" w:color="auto"/>
            </w:tcBorders>
          </w:tcPr>
          <w:p w14:paraId="63B2D9F3" w14:textId="77777777" w:rsidR="00A36D99" w:rsidRPr="00472AB4" w:rsidRDefault="00A36D99" w:rsidP="00A36D99">
            <w:pPr>
              <w:spacing w:before="0" w:after="0" w:line="240" w:lineRule="auto"/>
              <w:jc w:val="left"/>
              <w:rPr>
                <w:rFonts w:eastAsiaTheme="minorHAnsi"/>
                <w:sz w:val="20"/>
                <w:szCs w:val="20"/>
                <w:lang w:val="en-GB" w:eastAsia="en-US"/>
              </w:rPr>
            </w:pPr>
            <w:r w:rsidRPr="00472AB4">
              <w:rPr>
                <w:rFonts w:eastAsiaTheme="minorHAnsi"/>
                <w:sz w:val="20"/>
                <w:szCs w:val="20"/>
                <w:lang w:val="en-GB" w:eastAsia="en-US"/>
              </w:rPr>
              <w:t>0.010</w:t>
            </w:r>
          </w:p>
        </w:tc>
      </w:tr>
    </w:tbl>
    <w:p w14:paraId="04FE0215" w14:textId="77777777" w:rsidR="00A36D99" w:rsidRPr="00472AB4" w:rsidRDefault="00A36D99" w:rsidP="00A36D99">
      <w:pPr>
        <w:spacing w:before="0" w:after="0" w:line="276" w:lineRule="auto"/>
        <w:jc w:val="left"/>
        <w:rPr>
          <w:rFonts w:asciiTheme="minorHAnsi" w:eastAsiaTheme="minorHAnsi" w:hAnsiTheme="minorHAnsi" w:cstheme="minorBidi"/>
          <w:lang w:val="en-GB" w:eastAsia="en-US"/>
        </w:rPr>
        <w:sectPr w:rsidR="00A36D99" w:rsidRPr="00472AB4" w:rsidSect="00A36D99">
          <w:pgSz w:w="11906" w:h="16838"/>
          <w:pgMar w:top="1440" w:right="1440" w:bottom="1440" w:left="1440" w:header="708" w:footer="708" w:gutter="0"/>
          <w:cols w:space="708"/>
          <w:docGrid w:linePitch="360"/>
        </w:sectPr>
      </w:pPr>
    </w:p>
    <w:p w14:paraId="1FA2967B" w14:textId="77777777" w:rsidR="00A36D99" w:rsidRPr="00472AB4" w:rsidRDefault="00A36D99" w:rsidP="00A36D99">
      <w:pPr>
        <w:spacing w:before="0" w:after="0" w:line="276" w:lineRule="auto"/>
        <w:jc w:val="left"/>
        <w:rPr>
          <w:rFonts w:asciiTheme="minorHAnsi" w:eastAsiaTheme="minorHAnsi" w:hAnsiTheme="minorHAnsi" w:cstheme="minorBidi"/>
          <w:lang w:val="en-GB" w:eastAsia="en-US"/>
        </w:rPr>
      </w:pPr>
      <w:r w:rsidRPr="00472AB4">
        <w:rPr>
          <w:rFonts w:asciiTheme="minorHAnsi" w:eastAsiaTheme="minorHAnsi" w:hAnsiTheme="minorHAnsi" w:cstheme="minorBidi"/>
          <w:b/>
          <w:lang w:val="en-GB" w:eastAsia="en-US"/>
        </w:rPr>
        <w:lastRenderedPageBreak/>
        <w:t>Table 3</w:t>
      </w:r>
      <w:r w:rsidRPr="00472AB4">
        <w:rPr>
          <w:rFonts w:asciiTheme="minorHAnsi" w:eastAsiaTheme="minorHAnsi" w:hAnsiTheme="minorHAnsi" w:cstheme="minorBidi"/>
          <w:lang w:val="en-GB" w:eastAsia="en-US"/>
        </w:rPr>
        <w:t>: Results of multivariate Cox regression models with survival time censored at 1 year. Hazard ratios, confidence intervals (in brackets), and p-values represent the pooled results over 10 multiple imputed dataset instances.</w:t>
      </w:r>
    </w:p>
    <w:tbl>
      <w:tblPr>
        <w:tblStyle w:val="TableGrid2"/>
        <w:tblW w:w="37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4"/>
        <w:gridCol w:w="2526"/>
        <w:gridCol w:w="1157"/>
      </w:tblGrid>
      <w:tr w:rsidR="00A36D99" w:rsidRPr="00472AB4" w14:paraId="0064205A" w14:textId="77777777" w:rsidTr="00A36D99">
        <w:tc>
          <w:tcPr>
            <w:tcW w:w="2275" w:type="pct"/>
            <w:tcBorders>
              <w:top w:val="single" w:sz="12" w:space="0" w:color="auto"/>
              <w:bottom w:val="single" w:sz="4" w:space="0" w:color="auto"/>
            </w:tcBorders>
          </w:tcPr>
          <w:p w14:paraId="3B739EA9" w14:textId="77777777" w:rsidR="00A36D99" w:rsidRPr="00472AB4" w:rsidRDefault="00A36D99" w:rsidP="00A36D99">
            <w:pPr>
              <w:spacing w:before="0" w:after="0" w:line="240" w:lineRule="auto"/>
              <w:jc w:val="center"/>
              <w:rPr>
                <w:rFonts w:eastAsiaTheme="minorHAnsi"/>
                <w:sz w:val="20"/>
                <w:szCs w:val="20"/>
                <w:lang w:val="en-GB" w:eastAsia="en-US"/>
              </w:rPr>
            </w:pPr>
            <w:r w:rsidRPr="00472AB4">
              <w:rPr>
                <w:rFonts w:eastAsiaTheme="minorHAnsi"/>
                <w:sz w:val="20"/>
                <w:szCs w:val="20"/>
                <w:lang w:val="en-GB" w:eastAsia="en-US"/>
              </w:rPr>
              <w:t>Cohort</w:t>
            </w:r>
          </w:p>
        </w:tc>
        <w:tc>
          <w:tcPr>
            <w:tcW w:w="1869" w:type="pct"/>
            <w:tcBorders>
              <w:top w:val="single" w:sz="12" w:space="0" w:color="auto"/>
              <w:bottom w:val="single" w:sz="4" w:space="0" w:color="auto"/>
            </w:tcBorders>
          </w:tcPr>
          <w:p w14:paraId="5D9A9927" w14:textId="77777777" w:rsidR="00A36D99" w:rsidRPr="00472AB4" w:rsidRDefault="00A36D99" w:rsidP="00A36D99">
            <w:pPr>
              <w:spacing w:before="0" w:after="0" w:line="240" w:lineRule="auto"/>
              <w:jc w:val="center"/>
              <w:rPr>
                <w:rFonts w:eastAsiaTheme="minorHAnsi"/>
                <w:sz w:val="20"/>
                <w:szCs w:val="20"/>
                <w:lang w:val="en-GB" w:eastAsia="en-US"/>
              </w:rPr>
            </w:pPr>
            <w:r w:rsidRPr="00472AB4">
              <w:rPr>
                <w:rFonts w:eastAsiaTheme="minorHAnsi"/>
                <w:sz w:val="20"/>
                <w:szCs w:val="20"/>
                <w:lang w:val="en-GB" w:eastAsia="en-US"/>
              </w:rPr>
              <w:t>Hazard ratio (95% CI)</w:t>
            </w:r>
          </w:p>
        </w:tc>
        <w:tc>
          <w:tcPr>
            <w:tcW w:w="856" w:type="pct"/>
            <w:tcBorders>
              <w:top w:val="single" w:sz="12" w:space="0" w:color="auto"/>
              <w:bottom w:val="single" w:sz="4" w:space="0" w:color="auto"/>
            </w:tcBorders>
          </w:tcPr>
          <w:p w14:paraId="0EF24C41" w14:textId="77777777" w:rsidR="00A36D99" w:rsidRPr="00472AB4" w:rsidRDefault="00A36D99" w:rsidP="00A36D99">
            <w:pPr>
              <w:spacing w:before="0" w:after="0" w:line="240" w:lineRule="auto"/>
              <w:jc w:val="center"/>
              <w:rPr>
                <w:rFonts w:eastAsiaTheme="minorHAnsi"/>
                <w:sz w:val="20"/>
                <w:szCs w:val="20"/>
                <w:lang w:val="en-GB" w:eastAsia="en-US"/>
              </w:rPr>
            </w:pPr>
            <w:r w:rsidRPr="00472AB4">
              <w:rPr>
                <w:rFonts w:eastAsiaTheme="minorHAnsi"/>
                <w:sz w:val="20"/>
                <w:szCs w:val="20"/>
                <w:lang w:val="en-GB" w:eastAsia="en-US"/>
              </w:rPr>
              <w:t>P-value</w:t>
            </w:r>
          </w:p>
        </w:tc>
      </w:tr>
      <w:tr w:rsidR="00A36D99" w:rsidRPr="00472AB4" w14:paraId="33475C8D" w14:textId="77777777" w:rsidTr="00A36D99">
        <w:tc>
          <w:tcPr>
            <w:tcW w:w="2275" w:type="pct"/>
            <w:tcBorders>
              <w:top w:val="single" w:sz="4" w:space="0" w:color="auto"/>
            </w:tcBorders>
          </w:tcPr>
          <w:p w14:paraId="1C39BBCB" w14:textId="0FB9523F" w:rsidR="00A36D99" w:rsidRPr="00472AB4" w:rsidRDefault="00292EF8" w:rsidP="00A36D99">
            <w:pPr>
              <w:spacing w:before="0" w:after="0" w:line="240" w:lineRule="auto"/>
              <w:jc w:val="left"/>
              <w:rPr>
                <w:rFonts w:eastAsiaTheme="minorHAnsi"/>
                <w:sz w:val="20"/>
                <w:szCs w:val="20"/>
                <w:lang w:val="en-GB" w:eastAsia="en-US"/>
              </w:rPr>
            </w:pPr>
            <w:r w:rsidRPr="00472AB4">
              <w:rPr>
                <w:rFonts w:eastAsiaTheme="minorHAnsi"/>
                <w:sz w:val="20"/>
                <w:szCs w:val="20"/>
                <w:lang w:val="en-GB" w:eastAsia="en-US"/>
              </w:rPr>
              <w:t>Prasugrel</w:t>
            </w:r>
            <w:r w:rsidR="00A36D99" w:rsidRPr="00472AB4">
              <w:rPr>
                <w:rFonts w:eastAsiaTheme="minorHAnsi"/>
                <w:sz w:val="20"/>
                <w:szCs w:val="20"/>
                <w:lang w:val="en-GB" w:eastAsia="en-US"/>
              </w:rPr>
              <w:t xml:space="preserve"> vs </w:t>
            </w:r>
            <w:r w:rsidRPr="00472AB4">
              <w:rPr>
                <w:rFonts w:eastAsiaTheme="minorHAnsi"/>
                <w:sz w:val="20"/>
                <w:szCs w:val="20"/>
                <w:lang w:val="en-GB" w:eastAsia="en-US"/>
              </w:rPr>
              <w:t>Clopidogrel</w:t>
            </w:r>
          </w:p>
        </w:tc>
        <w:tc>
          <w:tcPr>
            <w:tcW w:w="1869" w:type="pct"/>
            <w:tcBorders>
              <w:top w:val="single" w:sz="4" w:space="0" w:color="auto"/>
            </w:tcBorders>
          </w:tcPr>
          <w:p w14:paraId="6DE61CD5" w14:textId="77777777" w:rsidR="00A36D99" w:rsidRPr="00472AB4" w:rsidRDefault="00A36D99" w:rsidP="00A36D99">
            <w:pPr>
              <w:spacing w:before="0" w:after="0" w:line="240" w:lineRule="auto"/>
              <w:jc w:val="left"/>
              <w:rPr>
                <w:rFonts w:eastAsiaTheme="minorHAnsi"/>
                <w:sz w:val="20"/>
                <w:szCs w:val="20"/>
                <w:lang w:val="en-GB" w:eastAsia="en-US"/>
              </w:rPr>
            </w:pPr>
            <w:r w:rsidRPr="00472AB4">
              <w:rPr>
                <w:rFonts w:eastAsiaTheme="minorHAnsi"/>
                <w:sz w:val="20"/>
                <w:szCs w:val="20"/>
                <w:lang w:val="en-GB" w:eastAsia="en-US"/>
              </w:rPr>
              <w:t>0.935 (0.866-1.009)</w:t>
            </w:r>
          </w:p>
        </w:tc>
        <w:tc>
          <w:tcPr>
            <w:tcW w:w="856" w:type="pct"/>
            <w:tcBorders>
              <w:top w:val="single" w:sz="4" w:space="0" w:color="auto"/>
            </w:tcBorders>
          </w:tcPr>
          <w:p w14:paraId="2FED078C" w14:textId="77777777" w:rsidR="00A36D99" w:rsidRPr="00472AB4" w:rsidRDefault="00A36D99" w:rsidP="00A36D99">
            <w:pPr>
              <w:spacing w:before="0" w:after="0" w:line="240" w:lineRule="auto"/>
              <w:jc w:val="left"/>
              <w:rPr>
                <w:rFonts w:eastAsiaTheme="minorHAnsi"/>
                <w:sz w:val="20"/>
                <w:szCs w:val="20"/>
                <w:lang w:val="en-GB" w:eastAsia="en-US"/>
              </w:rPr>
            </w:pPr>
            <w:r w:rsidRPr="00472AB4">
              <w:rPr>
                <w:rFonts w:eastAsiaTheme="minorHAnsi"/>
                <w:sz w:val="20"/>
                <w:szCs w:val="20"/>
                <w:lang w:val="en-GB" w:eastAsia="en-US"/>
              </w:rPr>
              <w:t>0.084</w:t>
            </w:r>
          </w:p>
        </w:tc>
      </w:tr>
      <w:tr w:rsidR="00A36D99" w:rsidRPr="00472AB4" w14:paraId="36971F56" w14:textId="77777777" w:rsidTr="00A36D99">
        <w:tc>
          <w:tcPr>
            <w:tcW w:w="2275" w:type="pct"/>
          </w:tcPr>
          <w:p w14:paraId="53B66D21" w14:textId="4EB9D295" w:rsidR="00A36D99" w:rsidRPr="00472AB4" w:rsidRDefault="00A36D99" w:rsidP="00A36D99">
            <w:pPr>
              <w:spacing w:before="0" w:after="0" w:line="240" w:lineRule="auto"/>
              <w:jc w:val="left"/>
              <w:rPr>
                <w:rFonts w:eastAsiaTheme="minorHAnsi"/>
                <w:sz w:val="20"/>
                <w:szCs w:val="20"/>
                <w:lang w:val="en-GB" w:eastAsia="en-US"/>
              </w:rPr>
            </w:pPr>
            <w:r w:rsidRPr="00472AB4">
              <w:rPr>
                <w:rFonts w:eastAsiaTheme="minorHAnsi"/>
                <w:sz w:val="20"/>
                <w:szCs w:val="20"/>
                <w:lang w:val="en-GB" w:eastAsia="en-US"/>
              </w:rPr>
              <w:t xml:space="preserve">Ticagrelor vs </w:t>
            </w:r>
            <w:r w:rsidR="00292EF8" w:rsidRPr="00472AB4">
              <w:rPr>
                <w:rFonts w:eastAsiaTheme="minorHAnsi"/>
                <w:sz w:val="20"/>
                <w:szCs w:val="20"/>
                <w:lang w:val="en-GB" w:eastAsia="en-US"/>
              </w:rPr>
              <w:t>Clopidogrel</w:t>
            </w:r>
          </w:p>
        </w:tc>
        <w:tc>
          <w:tcPr>
            <w:tcW w:w="1869" w:type="pct"/>
          </w:tcPr>
          <w:p w14:paraId="18857803" w14:textId="77777777" w:rsidR="00A36D99" w:rsidRPr="00472AB4" w:rsidRDefault="00A36D99" w:rsidP="00A36D99">
            <w:pPr>
              <w:spacing w:before="0" w:after="0" w:line="240" w:lineRule="auto"/>
              <w:jc w:val="left"/>
              <w:rPr>
                <w:rFonts w:eastAsiaTheme="minorHAnsi"/>
                <w:sz w:val="20"/>
                <w:szCs w:val="20"/>
                <w:lang w:val="en-GB" w:eastAsia="en-US"/>
              </w:rPr>
            </w:pPr>
            <w:r w:rsidRPr="00472AB4">
              <w:rPr>
                <w:rFonts w:eastAsiaTheme="minorHAnsi"/>
                <w:sz w:val="20"/>
                <w:szCs w:val="20"/>
                <w:lang w:val="en-GB" w:eastAsia="en-US"/>
              </w:rPr>
              <w:t>1.099 (1.016-1.189)</w:t>
            </w:r>
          </w:p>
        </w:tc>
        <w:tc>
          <w:tcPr>
            <w:tcW w:w="856" w:type="pct"/>
          </w:tcPr>
          <w:p w14:paraId="5359C994" w14:textId="77777777" w:rsidR="00A36D99" w:rsidRPr="00472AB4" w:rsidRDefault="00A36D99" w:rsidP="00A36D99">
            <w:pPr>
              <w:spacing w:before="0" w:after="0" w:line="240" w:lineRule="auto"/>
              <w:jc w:val="left"/>
              <w:rPr>
                <w:rFonts w:eastAsiaTheme="minorHAnsi"/>
                <w:sz w:val="20"/>
                <w:szCs w:val="20"/>
                <w:lang w:val="en-GB" w:eastAsia="en-US"/>
              </w:rPr>
            </w:pPr>
            <w:r w:rsidRPr="00472AB4">
              <w:rPr>
                <w:rFonts w:eastAsiaTheme="minorHAnsi"/>
                <w:sz w:val="20"/>
                <w:szCs w:val="20"/>
                <w:lang w:val="en-GB" w:eastAsia="en-US"/>
              </w:rPr>
              <w:t>0.019</w:t>
            </w:r>
          </w:p>
        </w:tc>
      </w:tr>
      <w:tr w:rsidR="00A36D99" w:rsidRPr="00472AB4" w14:paraId="59AA487D" w14:textId="77777777" w:rsidTr="00A36D99">
        <w:tc>
          <w:tcPr>
            <w:tcW w:w="2275" w:type="pct"/>
            <w:tcBorders>
              <w:bottom w:val="single" w:sz="12" w:space="0" w:color="auto"/>
            </w:tcBorders>
          </w:tcPr>
          <w:p w14:paraId="5E9A07A6" w14:textId="149A4B2D" w:rsidR="00A36D99" w:rsidRPr="00472AB4" w:rsidRDefault="00A36D99" w:rsidP="00A36D99">
            <w:pPr>
              <w:spacing w:before="0" w:after="0" w:line="240" w:lineRule="auto"/>
              <w:jc w:val="left"/>
              <w:rPr>
                <w:rFonts w:eastAsiaTheme="minorHAnsi"/>
                <w:sz w:val="20"/>
                <w:szCs w:val="20"/>
                <w:lang w:val="en-GB" w:eastAsia="en-US"/>
              </w:rPr>
            </w:pPr>
            <w:r w:rsidRPr="00472AB4">
              <w:rPr>
                <w:rFonts w:eastAsiaTheme="minorHAnsi"/>
                <w:sz w:val="20"/>
                <w:szCs w:val="20"/>
                <w:lang w:val="en-GB" w:eastAsia="en-US"/>
              </w:rPr>
              <w:t xml:space="preserve">Ticagrelor vs </w:t>
            </w:r>
            <w:r w:rsidR="00292EF8" w:rsidRPr="00472AB4">
              <w:rPr>
                <w:rFonts w:eastAsiaTheme="minorHAnsi"/>
                <w:sz w:val="20"/>
                <w:szCs w:val="20"/>
                <w:lang w:val="en-GB" w:eastAsia="en-US"/>
              </w:rPr>
              <w:t>Prasugrel</w:t>
            </w:r>
          </w:p>
        </w:tc>
        <w:tc>
          <w:tcPr>
            <w:tcW w:w="1869" w:type="pct"/>
            <w:tcBorders>
              <w:bottom w:val="single" w:sz="12" w:space="0" w:color="auto"/>
            </w:tcBorders>
          </w:tcPr>
          <w:p w14:paraId="56244A3D" w14:textId="77777777" w:rsidR="00A36D99" w:rsidRPr="00472AB4" w:rsidRDefault="00A36D99" w:rsidP="00A36D99">
            <w:pPr>
              <w:spacing w:before="0" w:after="0" w:line="240" w:lineRule="auto"/>
              <w:jc w:val="left"/>
              <w:rPr>
                <w:rFonts w:eastAsiaTheme="minorHAnsi"/>
                <w:sz w:val="20"/>
                <w:szCs w:val="20"/>
                <w:lang w:val="en-GB" w:eastAsia="en-US"/>
              </w:rPr>
            </w:pPr>
            <w:r w:rsidRPr="00472AB4">
              <w:rPr>
                <w:rFonts w:eastAsiaTheme="minorHAnsi"/>
                <w:sz w:val="20"/>
                <w:szCs w:val="20"/>
                <w:lang w:val="en-GB" w:eastAsia="en-US"/>
              </w:rPr>
              <w:t>1.133 (1.012-1.267)</w:t>
            </w:r>
          </w:p>
        </w:tc>
        <w:tc>
          <w:tcPr>
            <w:tcW w:w="856" w:type="pct"/>
            <w:tcBorders>
              <w:bottom w:val="single" w:sz="12" w:space="0" w:color="auto"/>
            </w:tcBorders>
          </w:tcPr>
          <w:p w14:paraId="4940E552" w14:textId="77777777" w:rsidR="00A36D99" w:rsidRPr="00472AB4" w:rsidRDefault="00A36D99" w:rsidP="00A36D99">
            <w:pPr>
              <w:spacing w:before="0" w:after="0" w:line="240" w:lineRule="auto"/>
              <w:jc w:val="left"/>
              <w:rPr>
                <w:rFonts w:eastAsiaTheme="minorHAnsi"/>
                <w:sz w:val="20"/>
                <w:szCs w:val="20"/>
                <w:lang w:val="en-GB" w:eastAsia="en-US"/>
              </w:rPr>
            </w:pPr>
            <w:r w:rsidRPr="00472AB4">
              <w:rPr>
                <w:rFonts w:eastAsiaTheme="minorHAnsi"/>
                <w:sz w:val="20"/>
                <w:szCs w:val="20"/>
                <w:lang w:val="en-GB" w:eastAsia="en-US"/>
              </w:rPr>
              <w:t>0.030</w:t>
            </w:r>
          </w:p>
        </w:tc>
      </w:tr>
    </w:tbl>
    <w:p w14:paraId="74ABCB1C" w14:textId="77777777" w:rsidR="00A36D99" w:rsidRPr="00472AB4" w:rsidRDefault="00A36D99" w:rsidP="00A36D99">
      <w:pPr>
        <w:spacing w:before="0" w:after="0" w:line="276" w:lineRule="auto"/>
        <w:jc w:val="left"/>
        <w:rPr>
          <w:rFonts w:asciiTheme="minorHAnsi" w:eastAsiaTheme="minorHAnsi" w:hAnsiTheme="minorHAnsi" w:cstheme="minorBidi"/>
          <w:lang w:val="en-GB" w:eastAsia="en-US"/>
        </w:rPr>
      </w:pPr>
    </w:p>
    <w:p w14:paraId="7D9BD9FE" w14:textId="77777777" w:rsidR="00A36D99" w:rsidRPr="00472AB4" w:rsidRDefault="00A36D99" w:rsidP="00A36D99">
      <w:pPr>
        <w:spacing w:before="0" w:after="0" w:line="276" w:lineRule="auto"/>
        <w:jc w:val="left"/>
        <w:rPr>
          <w:rFonts w:asciiTheme="minorHAnsi" w:eastAsiaTheme="minorHAnsi" w:hAnsiTheme="minorHAnsi" w:cstheme="minorBidi"/>
          <w:lang w:val="en-GB" w:eastAsia="en-US"/>
        </w:rPr>
      </w:pPr>
    </w:p>
    <w:p w14:paraId="5F06E9F8" w14:textId="77777777" w:rsidR="00A36D99" w:rsidRPr="00472AB4" w:rsidRDefault="00A36D99" w:rsidP="00A36D99">
      <w:pPr>
        <w:spacing w:before="0" w:after="0" w:line="276" w:lineRule="auto"/>
        <w:jc w:val="left"/>
        <w:rPr>
          <w:rFonts w:asciiTheme="minorHAnsi" w:eastAsiaTheme="minorHAnsi" w:hAnsiTheme="minorHAnsi" w:cstheme="minorBidi"/>
          <w:lang w:val="en-GB" w:eastAsia="en-US"/>
        </w:rPr>
      </w:pPr>
    </w:p>
    <w:p w14:paraId="274AC34F" w14:textId="77777777" w:rsidR="00A36D99" w:rsidRPr="00472AB4" w:rsidRDefault="00A36D99" w:rsidP="00A36D99">
      <w:pPr>
        <w:spacing w:before="0" w:after="0" w:line="276" w:lineRule="auto"/>
        <w:jc w:val="left"/>
        <w:rPr>
          <w:rFonts w:asciiTheme="minorHAnsi" w:eastAsiaTheme="minorHAnsi" w:hAnsiTheme="minorHAnsi" w:cstheme="minorBidi"/>
          <w:lang w:val="en-GB" w:eastAsia="en-US"/>
        </w:rPr>
      </w:pPr>
    </w:p>
    <w:p w14:paraId="7A337CF8" w14:textId="77777777" w:rsidR="00A36D99" w:rsidRPr="00472AB4" w:rsidRDefault="00A36D99" w:rsidP="00A36D99">
      <w:pPr>
        <w:spacing w:before="0" w:after="0" w:line="276" w:lineRule="auto"/>
        <w:jc w:val="left"/>
        <w:rPr>
          <w:rFonts w:asciiTheme="minorHAnsi" w:eastAsiaTheme="minorHAnsi" w:hAnsiTheme="minorHAnsi" w:cstheme="minorBidi"/>
          <w:lang w:val="en-GB" w:eastAsia="en-US"/>
        </w:rPr>
      </w:pPr>
    </w:p>
    <w:p w14:paraId="244E3D0B" w14:textId="77777777" w:rsidR="00A36D99" w:rsidRPr="00472AB4" w:rsidRDefault="00A36D99" w:rsidP="00A36D99">
      <w:pPr>
        <w:spacing w:before="0" w:after="0" w:line="276" w:lineRule="auto"/>
        <w:jc w:val="left"/>
        <w:rPr>
          <w:rFonts w:asciiTheme="minorHAnsi" w:eastAsiaTheme="minorHAnsi" w:hAnsiTheme="minorHAnsi" w:cstheme="minorBidi"/>
          <w:lang w:val="en-GB" w:eastAsia="en-US"/>
        </w:rPr>
        <w:sectPr w:rsidR="00A36D99" w:rsidRPr="00472AB4" w:rsidSect="00A36D99">
          <w:pgSz w:w="11906" w:h="16838"/>
          <w:pgMar w:top="1440" w:right="1440" w:bottom="1440" w:left="1440" w:header="708" w:footer="708" w:gutter="0"/>
          <w:cols w:space="708"/>
          <w:docGrid w:linePitch="360"/>
        </w:sectPr>
      </w:pPr>
    </w:p>
    <w:p w14:paraId="688887B7" w14:textId="77777777" w:rsidR="00A36D99" w:rsidRPr="00472AB4" w:rsidRDefault="00A36D99" w:rsidP="00A36D99">
      <w:pPr>
        <w:spacing w:before="0" w:after="0" w:line="276" w:lineRule="auto"/>
        <w:jc w:val="left"/>
        <w:rPr>
          <w:rFonts w:asciiTheme="minorHAnsi" w:eastAsiaTheme="minorHAnsi" w:hAnsiTheme="minorHAnsi" w:cstheme="minorBidi"/>
          <w:lang w:val="en-GB" w:eastAsia="en-US"/>
        </w:rPr>
      </w:pPr>
      <w:r w:rsidRPr="00472AB4">
        <w:rPr>
          <w:rFonts w:asciiTheme="minorHAnsi" w:eastAsiaTheme="minorHAnsi" w:hAnsiTheme="minorHAnsi" w:cstheme="minorBidi"/>
          <w:b/>
          <w:lang w:val="en-GB" w:eastAsia="en-US"/>
        </w:rPr>
        <w:lastRenderedPageBreak/>
        <w:t>Table 4</w:t>
      </w:r>
      <w:r w:rsidRPr="00472AB4">
        <w:rPr>
          <w:rFonts w:asciiTheme="minorHAnsi" w:eastAsiaTheme="minorHAnsi" w:hAnsiTheme="minorHAnsi" w:cstheme="minorBidi"/>
          <w:lang w:val="en-GB" w:eastAsia="en-US"/>
        </w:rPr>
        <w:t>: Sensitivity analysis 1</w:t>
      </w:r>
    </w:p>
    <w:p w14:paraId="58CB6493" w14:textId="293EFC7D" w:rsidR="00A36D99" w:rsidRPr="00472AB4" w:rsidRDefault="00A36D99" w:rsidP="00A36D99">
      <w:pPr>
        <w:spacing w:before="0" w:after="0" w:line="276" w:lineRule="auto"/>
        <w:jc w:val="left"/>
        <w:rPr>
          <w:rFonts w:asciiTheme="minorHAnsi" w:eastAsiaTheme="minorHAnsi" w:hAnsiTheme="minorHAnsi" w:cstheme="minorBidi"/>
          <w:lang w:val="en-GB" w:eastAsia="en-US"/>
        </w:rPr>
      </w:pPr>
      <w:r w:rsidRPr="00472AB4">
        <w:rPr>
          <w:rFonts w:asciiTheme="minorHAnsi" w:eastAsiaTheme="minorHAnsi" w:hAnsiTheme="minorHAnsi" w:cstheme="minorBidi"/>
          <w:lang w:val="en-GB" w:eastAsia="en-US"/>
        </w:rPr>
        <w:t xml:space="preserve">(a) Results of </w:t>
      </w:r>
      <w:r w:rsidR="00BE7A45" w:rsidRPr="00472AB4">
        <w:rPr>
          <w:rFonts w:asciiTheme="minorHAnsi" w:eastAsiaTheme="minorHAnsi" w:hAnsiTheme="minorHAnsi" w:cstheme="minorBidi"/>
          <w:lang w:val="en-GB" w:eastAsia="en-US"/>
        </w:rPr>
        <w:t xml:space="preserve">conditional </w:t>
      </w:r>
      <w:r w:rsidRPr="00472AB4">
        <w:rPr>
          <w:rFonts w:asciiTheme="minorHAnsi" w:eastAsiaTheme="minorHAnsi" w:hAnsiTheme="minorHAnsi" w:cstheme="minorBidi"/>
          <w:lang w:val="en-GB" w:eastAsia="en-US"/>
        </w:rPr>
        <w:t xml:space="preserve">logistic regression models. Odd ratios, confidence intervals (in brackets), and p-values represent the pooled results over 10 propensity score matched dataset instances.  </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7"/>
        <w:gridCol w:w="2827"/>
        <w:gridCol w:w="2322"/>
        <w:gridCol w:w="1064"/>
      </w:tblGrid>
      <w:tr w:rsidR="00A36D99" w:rsidRPr="00472AB4" w14:paraId="27B3A0E0" w14:textId="77777777" w:rsidTr="00A36D99">
        <w:tc>
          <w:tcPr>
            <w:tcW w:w="1257" w:type="pct"/>
            <w:tcBorders>
              <w:top w:val="single" w:sz="12" w:space="0" w:color="auto"/>
              <w:bottom w:val="single" w:sz="4" w:space="0" w:color="auto"/>
            </w:tcBorders>
          </w:tcPr>
          <w:p w14:paraId="0DDE473A" w14:textId="77777777" w:rsidR="00A36D99" w:rsidRPr="00472AB4" w:rsidRDefault="00A36D99" w:rsidP="00A36D99">
            <w:pPr>
              <w:spacing w:before="0" w:after="0" w:line="240" w:lineRule="auto"/>
              <w:jc w:val="center"/>
              <w:rPr>
                <w:rFonts w:eastAsiaTheme="minorHAnsi"/>
                <w:sz w:val="18"/>
                <w:szCs w:val="18"/>
                <w:lang w:val="en-GB" w:eastAsia="en-US"/>
              </w:rPr>
            </w:pPr>
            <w:r w:rsidRPr="00472AB4">
              <w:rPr>
                <w:rFonts w:eastAsiaTheme="minorHAnsi"/>
                <w:sz w:val="18"/>
                <w:szCs w:val="18"/>
                <w:lang w:val="en-GB" w:eastAsia="en-US"/>
              </w:rPr>
              <w:t>Outcome</w:t>
            </w:r>
          </w:p>
        </w:tc>
        <w:tc>
          <w:tcPr>
            <w:tcW w:w="1703" w:type="pct"/>
            <w:tcBorders>
              <w:top w:val="single" w:sz="12" w:space="0" w:color="auto"/>
              <w:bottom w:val="single" w:sz="4" w:space="0" w:color="auto"/>
            </w:tcBorders>
          </w:tcPr>
          <w:p w14:paraId="235F3E29" w14:textId="77777777" w:rsidR="00A36D99" w:rsidRPr="00472AB4" w:rsidRDefault="00A36D99" w:rsidP="00A36D99">
            <w:pPr>
              <w:spacing w:before="0" w:after="0" w:line="240" w:lineRule="auto"/>
              <w:jc w:val="center"/>
              <w:rPr>
                <w:rFonts w:eastAsiaTheme="minorHAnsi"/>
                <w:sz w:val="18"/>
                <w:szCs w:val="18"/>
                <w:lang w:val="en-GB" w:eastAsia="en-US"/>
              </w:rPr>
            </w:pPr>
            <w:r w:rsidRPr="00472AB4">
              <w:rPr>
                <w:rFonts w:eastAsiaTheme="minorHAnsi"/>
                <w:sz w:val="18"/>
                <w:szCs w:val="18"/>
                <w:lang w:val="en-GB" w:eastAsia="en-US"/>
              </w:rPr>
              <w:t>Cohort</w:t>
            </w:r>
          </w:p>
        </w:tc>
        <w:tc>
          <w:tcPr>
            <w:tcW w:w="1399" w:type="pct"/>
            <w:tcBorders>
              <w:top w:val="single" w:sz="12" w:space="0" w:color="auto"/>
              <w:bottom w:val="single" w:sz="4" w:space="0" w:color="auto"/>
            </w:tcBorders>
          </w:tcPr>
          <w:p w14:paraId="17E06651" w14:textId="77777777" w:rsidR="00A36D99" w:rsidRPr="00472AB4" w:rsidRDefault="00A36D99" w:rsidP="00A36D99">
            <w:pPr>
              <w:spacing w:before="0" w:after="0" w:line="240" w:lineRule="auto"/>
              <w:jc w:val="center"/>
              <w:rPr>
                <w:rFonts w:eastAsiaTheme="minorHAnsi"/>
                <w:sz w:val="18"/>
                <w:szCs w:val="18"/>
                <w:lang w:val="en-GB" w:eastAsia="en-US"/>
              </w:rPr>
            </w:pPr>
            <w:r w:rsidRPr="00472AB4">
              <w:rPr>
                <w:rFonts w:eastAsiaTheme="minorHAnsi"/>
                <w:sz w:val="18"/>
                <w:szCs w:val="18"/>
                <w:lang w:val="en-GB" w:eastAsia="en-US"/>
              </w:rPr>
              <w:t>Odd ratio (95% CI)</w:t>
            </w:r>
          </w:p>
        </w:tc>
        <w:tc>
          <w:tcPr>
            <w:tcW w:w="641" w:type="pct"/>
            <w:tcBorders>
              <w:top w:val="single" w:sz="12" w:space="0" w:color="auto"/>
              <w:bottom w:val="single" w:sz="4" w:space="0" w:color="auto"/>
            </w:tcBorders>
          </w:tcPr>
          <w:p w14:paraId="16C1E67A" w14:textId="77777777" w:rsidR="00A36D99" w:rsidRPr="00472AB4" w:rsidRDefault="00A36D99" w:rsidP="00A36D99">
            <w:pPr>
              <w:spacing w:before="0" w:after="0" w:line="240" w:lineRule="auto"/>
              <w:jc w:val="center"/>
              <w:rPr>
                <w:rFonts w:eastAsiaTheme="minorHAnsi"/>
                <w:sz w:val="18"/>
                <w:szCs w:val="18"/>
                <w:lang w:val="en-GB" w:eastAsia="en-US"/>
              </w:rPr>
            </w:pPr>
            <w:r w:rsidRPr="00472AB4">
              <w:rPr>
                <w:rFonts w:eastAsiaTheme="minorHAnsi"/>
                <w:sz w:val="18"/>
                <w:szCs w:val="18"/>
                <w:lang w:val="en-GB" w:eastAsia="en-US"/>
              </w:rPr>
              <w:t>P-value</w:t>
            </w:r>
          </w:p>
        </w:tc>
      </w:tr>
      <w:tr w:rsidR="00BE7A45" w:rsidRPr="00472AB4" w14:paraId="0774D620" w14:textId="77777777" w:rsidTr="00A36D99">
        <w:tc>
          <w:tcPr>
            <w:tcW w:w="1257" w:type="pct"/>
            <w:tcBorders>
              <w:top w:val="single" w:sz="4" w:space="0" w:color="auto"/>
            </w:tcBorders>
          </w:tcPr>
          <w:p w14:paraId="312F80F3" w14:textId="77777777" w:rsidR="00BE7A45" w:rsidRPr="00472AB4" w:rsidRDefault="00BE7A45" w:rsidP="00A36D99">
            <w:pPr>
              <w:spacing w:before="0" w:after="0" w:line="240" w:lineRule="auto"/>
              <w:jc w:val="left"/>
              <w:rPr>
                <w:rFonts w:eastAsiaTheme="minorHAnsi"/>
                <w:sz w:val="18"/>
                <w:szCs w:val="18"/>
                <w:lang w:val="en-GB" w:eastAsia="en-US"/>
              </w:rPr>
            </w:pPr>
            <w:r w:rsidRPr="00472AB4">
              <w:rPr>
                <w:rFonts w:eastAsiaTheme="minorHAnsi"/>
                <w:sz w:val="18"/>
                <w:szCs w:val="18"/>
                <w:lang w:val="en-GB" w:eastAsia="en-US"/>
              </w:rPr>
              <w:t>Bleeding</w:t>
            </w:r>
          </w:p>
        </w:tc>
        <w:tc>
          <w:tcPr>
            <w:tcW w:w="1703" w:type="pct"/>
            <w:tcBorders>
              <w:top w:val="single" w:sz="4" w:space="0" w:color="auto"/>
            </w:tcBorders>
          </w:tcPr>
          <w:p w14:paraId="0672C060" w14:textId="5E474EAE" w:rsidR="00BE7A45" w:rsidRPr="00472AB4" w:rsidRDefault="00BE7A45" w:rsidP="00A36D99">
            <w:pPr>
              <w:spacing w:before="0" w:after="0" w:line="240" w:lineRule="auto"/>
              <w:jc w:val="left"/>
              <w:rPr>
                <w:rFonts w:eastAsiaTheme="minorHAnsi"/>
                <w:sz w:val="18"/>
                <w:szCs w:val="18"/>
                <w:lang w:val="en-GB" w:eastAsia="en-US"/>
              </w:rPr>
            </w:pPr>
            <w:r w:rsidRPr="00472AB4">
              <w:rPr>
                <w:rFonts w:eastAsiaTheme="minorHAnsi"/>
                <w:sz w:val="18"/>
                <w:szCs w:val="18"/>
                <w:lang w:val="en-GB" w:eastAsia="en-US"/>
              </w:rPr>
              <w:t>Prasugrel vs Clopidogrel</w:t>
            </w:r>
          </w:p>
        </w:tc>
        <w:tc>
          <w:tcPr>
            <w:tcW w:w="1399" w:type="pct"/>
            <w:tcBorders>
              <w:top w:val="single" w:sz="4" w:space="0" w:color="auto"/>
            </w:tcBorders>
          </w:tcPr>
          <w:p w14:paraId="7B4ACB09" w14:textId="144E782B" w:rsidR="00BE7A45" w:rsidRPr="00472AB4" w:rsidRDefault="00BE7A45" w:rsidP="00A36D99">
            <w:pPr>
              <w:spacing w:before="0" w:after="0" w:line="240" w:lineRule="auto"/>
              <w:jc w:val="center"/>
              <w:rPr>
                <w:rFonts w:eastAsiaTheme="minorHAnsi"/>
                <w:sz w:val="18"/>
                <w:szCs w:val="18"/>
                <w:lang w:val="en-GB" w:eastAsia="en-US"/>
              </w:rPr>
            </w:pPr>
            <w:r w:rsidRPr="00472AB4">
              <w:rPr>
                <w:rFonts w:eastAsia="Times New Roman"/>
                <w:color w:val="000000"/>
                <w:sz w:val="18"/>
                <w:szCs w:val="18"/>
                <w:lang w:eastAsia="en-US"/>
              </w:rPr>
              <w:t>0.737 (0.511-0.961)</w:t>
            </w:r>
          </w:p>
        </w:tc>
        <w:tc>
          <w:tcPr>
            <w:tcW w:w="641" w:type="pct"/>
            <w:tcBorders>
              <w:top w:val="single" w:sz="4" w:space="0" w:color="auto"/>
            </w:tcBorders>
          </w:tcPr>
          <w:p w14:paraId="7F5BFFE4" w14:textId="2164CE7B" w:rsidR="00BE7A45" w:rsidRPr="00472AB4" w:rsidRDefault="00BE7A45" w:rsidP="00A36D99">
            <w:pPr>
              <w:spacing w:before="0" w:after="0" w:line="240" w:lineRule="auto"/>
              <w:jc w:val="center"/>
              <w:rPr>
                <w:rFonts w:eastAsiaTheme="minorHAnsi"/>
                <w:sz w:val="18"/>
                <w:szCs w:val="18"/>
                <w:lang w:val="en-GB" w:eastAsia="en-US"/>
              </w:rPr>
            </w:pPr>
            <w:r w:rsidRPr="00472AB4">
              <w:rPr>
                <w:rFonts w:eastAsiaTheme="minorHAnsi"/>
                <w:color w:val="000000"/>
                <w:sz w:val="18"/>
                <w:szCs w:val="18"/>
                <w:lang w:val="en-GB" w:eastAsia="en-US"/>
              </w:rPr>
              <w:t>0.031</w:t>
            </w:r>
          </w:p>
        </w:tc>
      </w:tr>
      <w:tr w:rsidR="00BE7A45" w:rsidRPr="00472AB4" w14:paraId="2F01A3AD" w14:textId="77777777" w:rsidTr="00A36D99">
        <w:tc>
          <w:tcPr>
            <w:tcW w:w="1257" w:type="pct"/>
          </w:tcPr>
          <w:p w14:paraId="28474CB0" w14:textId="77777777" w:rsidR="00BE7A45" w:rsidRPr="00472AB4" w:rsidRDefault="00BE7A45" w:rsidP="00A36D99">
            <w:pPr>
              <w:spacing w:before="0" w:after="0" w:line="240" w:lineRule="auto"/>
              <w:jc w:val="left"/>
              <w:rPr>
                <w:rFonts w:eastAsiaTheme="minorHAnsi"/>
                <w:sz w:val="18"/>
                <w:szCs w:val="18"/>
                <w:lang w:val="en-GB" w:eastAsia="en-US"/>
              </w:rPr>
            </w:pPr>
          </w:p>
        </w:tc>
        <w:tc>
          <w:tcPr>
            <w:tcW w:w="1703" w:type="pct"/>
          </w:tcPr>
          <w:p w14:paraId="5255C537" w14:textId="68F7CF68" w:rsidR="00BE7A45" w:rsidRPr="00472AB4" w:rsidRDefault="00BE7A45" w:rsidP="00A36D99">
            <w:pPr>
              <w:spacing w:before="0" w:after="0" w:line="240" w:lineRule="auto"/>
              <w:jc w:val="left"/>
              <w:rPr>
                <w:rFonts w:eastAsiaTheme="minorHAnsi"/>
                <w:sz w:val="18"/>
                <w:szCs w:val="18"/>
                <w:lang w:val="en-GB" w:eastAsia="en-US"/>
              </w:rPr>
            </w:pPr>
            <w:r w:rsidRPr="00472AB4">
              <w:rPr>
                <w:rFonts w:eastAsiaTheme="minorHAnsi"/>
                <w:sz w:val="18"/>
                <w:szCs w:val="18"/>
                <w:lang w:val="en-GB" w:eastAsia="en-US"/>
              </w:rPr>
              <w:t>Ticagrelor vs Clopidogrel</w:t>
            </w:r>
          </w:p>
        </w:tc>
        <w:tc>
          <w:tcPr>
            <w:tcW w:w="1399" w:type="pct"/>
          </w:tcPr>
          <w:p w14:paraId="3F7BC18C" w14:textId="33521BC0" w:rsidR="00BE7A45" w:rsidRPr="00472AB4" w:rsidRDefault="00BE7A45" w:rsidP="00A36D99">
            <w:pPr>
              <w:spacing w:before="0" w:after="0" w:line="240" w:lineRule="auto"/>
              <w:jc w:val="center"/>
              <w:rPr>
                <w:rFonts w:eastAsiaTheme="minorHAnsi"/>
                <w:sz w:val="18"/>
                <w:szCs w:val="18"/>
                <w:lang w:val="en-GB" w:eastAsia="en-US"/>
              </w:rPr>
            </w:pPr>
            <w:r w:rsidRPr="00472AB4">
              <w:rPr>
                <w:rFonts w:eastAsia="Times New Roman"/>
                <w:color w:val="000000"/>
                <w:sz w:val="18"/>
                <w:szCs w:val="18"/>
                <w:lang w:eastAsia="en-US"/>
              </w:rPr>
              <w:t>0.682 (0.464-1.005</w:t>
            </w:r>
            <w:r w:rsidRPr="00472AB4">
              <w:rPr>
                <w:rFonts w:eastAsiaTheme="minorHAnsi"/>
                <w:sz w:val="18"/>
                <w:szCs w:val="18"/>
                <w:lang w:val="en-GB" w:eastAsia="en-US"/>
              </w:rPr>
              <w:t>)</w:t>
            </w:r>
          </w:p>
        </w:tc>
        <w:tc>
          <w:tcPr>
            <w:tcW w:w="641" w:type="pct"/>
          </w:tcPr>
          <w:p w14:paraId="09BCE749" w14:textId="6FFF7122" w:rsidR="00BE7A45" w:rsidRPr="00472AB4" w:rsidRDefault="00BE7A45" w:rsidP="00A36D99">
            <w:pPr>
              <w:spacing w:before="0" w:after="0" w:line="240" w:lineRule="auto"/>
              <w:jc w:val="center"/>
              <w:rPr>
                <w:rFonts w:eastAsiaTheme="minorHAnsi"/>
                <w:sz w:val="18"/>
                <w:szCs w:val="18"/>
                <w:lang w:val="en-GB" w:eastAsia="en-US"/>
              </w:rPr>
            </w:pPr>
            <w:r w:rsidRPr="00472AB4">
              <w:rPr>
                <w:rFonts w:eastAsiaTheme="minorHAnsi"/>
                <w:color w:val="000000"/>
                <w:sz w:val="18"/>
                <w:szCs w:val="18"/>
                <w:lang w:val="en-GB" w:eastAsia="en-US"/>
              </w:rPr>
              <w:t>0.053</w:t>
            </w:r>
          </w:p>
        </w:tc>
      </w:tr>
      <w:tr w:rsidR="00BE7A45" w:rsidRPr="00472AB4" w14:paraId="73AC0704" w14:textId="77777777" w:rsidTr="00A36D99">
        <w:tc>
          <w:tcPr>
            <w:tcW w:w="1257" w:type="pct"/>
            <w:tcBorders>
              <w:bottom w:val="single" w:sz="4" w:space="0" w:color="auto"/>
            </w:tcBorders>
          </w:tcPr>
          <w:p w14:paraId="6CF0FA9D" w14:textId="77777777" w:rsidR="00BE7A45" w:rsidRPr="00472AB4" w:rsidRDefault="00BE7A45" w:rsidP="00A36D99">
            <w:pPr>
              <w:spacing w:before="0" w:after="0" w:line="240" w:lineRule="auto"/>
              <w:jc w:val="left"/>
              <w:rPr>
                <w:rFonts w:eastAsiaTheme="minorHAnsi"/>
                <w:sz w:val="18"/>
                <w:szCs w:val="18"/>
                <w:lang w:val="en-GB" w:eastAsia="en-US"/>
              </w:rPr>
            </w:pPr>
          </w:p>
        </w:tc>
        <w:tc>
          <w:tcPr>
            <w:tcW w:w="1703" w:type="pct"/>
            <w:tcBorders>
              <w:bottom w:val="single" w:sz="4" w:space="0" w:color="auto"/>
            </w:tcBorders>
          </w:tcPr>
          <w:p w14:paraId="73CB3FE9" w14:textId="1B74A116" w:rsidR="00BE7A45" w:rsidRPr="00472AB4" w:rsidRDefault="00BE7A45" w:rsidP="00A36D99">
            <w:pPr>
              <w:spacing w:before="0" w:after="0" w:line="240" w:lineRule="auto"/>
              <w:jc w:val="left"/>
              <w:rPr>
                <w:rFonts w:eastAsiaTheme="minorHAnsi"/>
                <w:sz w:val="18"/>
                <w:szCs w:val="18"/>
                <w:lang w:val="en-GB" w:eastAsia="en-US"/>
              </w:rPr>
            </w:pPr>
            <w:r w:rsidRPr="00472AB4">
              <w:rPr>
                <w:rFonts w:eastAsiaTheme="minorHAnsi"/>
                <w:sz w:val="18"/>
                <w:szCs w:val="18"/>
                <w:lang w:val="en-GB" w:eastAsia="en-US"/>
              </w:rPr>
              <w:t>Ticagrelor vs Prasugrel</w:t>
            </w:r>
          </w:p>
        </w:tc>
        <w:tc>
          <w:tcPr>
            <w:tcW w:w="1399" w:type="pct"/>
            <w:tcBorders>
              <w:bottom w:val="single" w:sz="4" w:space="0" w:color="auto"/>
            </w:tcBorders>
          </w:tcPr>
          <w:p w14:paraId="575FB69E" w14:textId="35A42422" w:rsidR="00BE7A45" w:rsidRPr="00472AB4" w:rsidRDefault="00BE7A45" w:rsidP="00A36D99">
            <w:pPr>
              <w:spacing w:before="0" w:after="0" w:line="240" w:lineRule="auto"/>
              <w:jc w:val="center"/>
              <w:rPr>
                <w:rFonts w:eastAsiaTheme="minorHAnsi"/>
                <w:sz w:val="18"/>
                <w:szCs w:val="18"/>
                <w:lang w:val="en-GB" w:eastAsia="en-US"/>
              </w:rPr>
            </w:pPr>
            <w:r w:rsidRPr="00472AB4">
              <w:rPr>
                <w:rFonts w:eastAsia="Times New Roman"/>
                <w:color w:val="000000"/>
                <w:sz w:val="18"/>
                <w:szCs w:val="18"/>
                <w:lang w:eastAsia="en-US"/>
              </w:rPr>
              <w:t>0.949 (0.515-1.748</w:t>
            </w:r>
            <w:r w:rsidRPr="00472AB4">
              <w:rPr>
                <w:rFonts w:eastAsiaTheme="minorHAnsi"/>
                <w:color w:val="000000"/>
                <w:sz w:val="18"/>
                <w:szCs w:val="18"/>
                <w:lang w:val="en-GB" w:eastAsia="en-US"/>
              </w:rPr>
              <w:t>)</w:t>
            </w:r>
          </w:p>
        </w:tc>
        <w:tc>
          <w:tcPr>
            <w:tcW w:w="641" w:type="pct"/>
            <w:tcBorders>
              <w:bottom w:val="single" w:sz="4" w:space="0" w:color="auto"/>
            </w:tcBorders>
          </w:tcPr>
          <w:p w14:paraId="0DEDB7AC" w14:textId="750AECB6" w:rsidR="00BE7A45" w:rsidRPr="00472AB4" w:rsidRDefault="00BE7A45" w:rsidP="00A36D99">
            <w:pPr>
              <w:spacing w:before="0" w:after="0" w:line="240" w:lineRule="auto"/>
              <w:jc w:val="center"/>
              <w:rPr>
                <w:rFonts w:eastAsiaTheme="minorHAnsi"/>
                <w:sz w:val="18"/>
                <w:szCs w:val="18"/>
                <w:lang w:val="en-GB" w:eastAsia="en-US"/>
              </w:rPr>
            </w:pPr>
            <w:r w:rsidRPr="00472AB4">
              <w:rPr>
                <w:rFonts w:eastAsiaTheme="minorHAnsi"/>
                <w:color w:val="000000"/>
                <w:sz w:val="18"/>
                <w:szCs w:val="18"/>
                <w:lang w:val="en-GB" w:eastAsia="en-US"/>
              </w:rPr>
              <w:t>0.863</w:t>
            </w:r>
          </w:p>
        </w:tc>
      </w:tr>
      <w:tr w:rsidR="00BE7A45" w:rsidRPr="00472AB4" w14:paraId="5C3D7137" w14:textId="77777777" w:rsidTr="00A36D99">
        <w:tc>
          <w:tcPr>
            <w:tcW w:w="1257" w:type="pct"/>
            <w:tcBorders>
              <w:top w:val="single" w:sz="4" w:space="0" w:color="auto"/>
            </w:tcBorders>
          </w:tcPr>
          <w:p w14:paraId="299613E0" w14:textId="77777777" w:rsidR="00BE7A45" w:rsidRPr="00472AB4" w:rsidRDefault="00BE7A45" w:rsidP="00A36D99">
            <w:pPr>
              <w:spacing w:before="0" w:after="0" w:line="240" w:lineRule="auto"/>
              <w:jc w:val="left"/>
              <w:rPr>
                <w:rFonts w:eastAsiaTheme="minorHAnsi"/>
                <w:sz w:val="18"/>
                <w:szCs w:val="18"/>
                <w:lang w:val="en-GB" w:eastAsia="en-US"/>
              </w:rPr>
            </w:pPr>
            <w:r w:rsidRPr="00472AB4">
              <w:rPr>
                <w:rFonts w:eastAsiaTheme="minorHAnsi"/>
                <w:sz w:val="18"/>
                <w:szCs w:val="18"/>
                <w:lang w:val="en-GB" w:eastAsia="en-US"/>
              </w:rPr>
              <w:t>MACE</w:t>
            </w:r>
          </w:p>
        </w:tc>
        <w:tc>
          <w:tcPr>
            <w:tcW w:w="1703" w:type="pct"/>
            <w:tcBorders>
              <w:top w:val="single" w:sz="4" w:space="0" w:color="auto"/>
            </w:tcBorders>
          </w:tcPr>
          <w:p w14:paraId="7D852FBE" w14:textId="1C59A9AD" w:rsidR="00BE7A45" w:rsidRPr="00472AB4" w:rsidRDefault="00BE7A45" w:rsidP="00A36D99">
            <w:pPr>
              <w:spacing w:before="0" w:after="0" w:line="240" w:lineRule="auto"/>
              <w:jc w:val="left"/>
              <w:rPr>
                <w:rFonts w:eastAsiaTheme="minorHAnsi"/>
                <w:sz w:val="18"/>
                <w:szCs w:val="18"/>
                <w:lang w:val="en-GB" w:eastAsia="en-US"/>
              </w:rPr>
            </w:pPr>
            <w:r w:rsidRPr="00472AB4">
              <w:rPr>
                <w:rFonts w:eastAsiaTheme="minorHAnsi"/>
                <w:sz w:val="18"/>
                <w:szCs w:val="18"/>
                <w:lang w:val="en-GB" w:eastAsia="en-US"/>
              </w:rPr>
              <w:t>Prasugrel vs Clopidogrel</w:t>
            </w:r>
          </w:p>
        </w:tc>
        <w:tc>
          <w:tcPr>
            <w:tcW w:w="1399" w:type="pct"/>
            <w:tcBorders>
              <w:top w:val="single" w:sz="4" w:space="0" w:color="auto"/>
            </w:tcBorders>
          </w:tcPr>
          <w:p w14:paraId="79859524" w14:textId="3F280372" w:rsidR="00BE7A45" w:rsidRPr="00472AB4" w:rsidRDefault="00BE7A45" w:rsidP="00A36D99">
            <w:pPr>
              <w:spacing w:before="0" w:after="0" w:line="240" w:lineRule="auto"/>
              <w:jc w:val="center"/>
              <w:rPr>
                <w:rFonts w:eastAsiaTheme="minorHAnsi"/>
                <w:sz w:val="18"/>
                <w:szCs w:val="18"/>
                <w:lang w:val="en-GB" w:eastAsia="en-US"/>
              </w:rPr>
            </w:pPr>
            <w:r w:rsidRPr="00472AB4">
              <w:rPr>
                <w:rFonts w:eastAsia="Times New Roman"/>
                <w:color w:val="000000"/>
                <w:sz w:val="18"/>
                <w:szCs w:val="18"/>
                <w:lang w:eastAsia="en-US"/>
              </w:rPr>
              <w:t>0.964 (0.814-1.141)</w:t>
            </w:r>
          </w:p>
        </w:tc>
        <w:tc>
          <w:tcPr>
            <w:tcW w:w="641" w:type="pct"/>
            <w:tcBorders>
              <w:top w:val="single" w:sz="4" w:space="0" w:color="auto"/>
            </w:tcBorders>
          </w:tcPr>
          <w:p w14:paraId="14B76F81" w14:textId="7D18F3AB" w:rsidR="00BE7A45" w:rsidRPr="00472AB4" w:rsidRDefault="00BE7A45" w:rsidP="00A36D99">
            <w:pPr>
              <w:spacing w:before="0" w:after="0" w:line="240" w:lineRule="auto"/>
              <w:jc w:val="center"/>
              <w:rPr>
                <w:rFonts w:eastAsiaTheme="minorHAnsi"/>
                <w:sz w:val="18"/>
                <w:szCs w:val="18"/>
                <w:lang w:val="en-GB" w:eastAsia="en-US"/>
              </w:rPr>
            </w:pPr>
            <w:r w:rsidRPr="00472AB4">
              <w:rPr>
                <w:rFonts w:eastAsiaTheme="minorHAnsi"/>
                <w:sz w:val="18"/>
                <w:szCs w:val="18"/>
                <w:lang w:val="en-GB" w:eastAsia="en-US"/>
              </w:rPr>
              <w:t>0.669</w:t>
            </w:r>
          </w:p>
        </w:tc>
      </w:tr>
      <w:tr w:rsidR="00BE7A45" w:rsidRPr="00472AB4" w14:paraId="1203B93B" w14:textId="77777777" w:rsidTr="00A36D99">
        <w:tc>
          <w:tcPr>
            <w:tcW w:w="1257" w:type="pct"/>
          </w:tcPr>
          <w:p w14:paraId="3C2D4484" w14:textId="77777777" w:rsidR="00BE7A45" w:rsidRPr="00472AB4" w:rsidRDefault="00BE7A45" w:rsidP="00A36D99">
            <w:pPr>
              <w:spacing w:before="0" w:after="0" w:line="240" w:lineRule="auto"/>
              <w:jc w:val="left"/>
              <w:rPr>
                <w:rFonts w:eastAsiaTheme="minorHAnsi"/>
                <w:sz w:val="18"/>
                <w:szCs w:val="18"/>
                <w:lang w:val="en-GB" w:eastAsia="en-US"/>
              </w:rPr>
            </w:pPr>
          </w:p>
        </w:tc>
        <w:tc>
          <w:tcPr>
            <w:tcW w:w="1703" w:type="pct"/>
          </w:tcPr>
          <w:p w14:paraId="2FAA4742" w14:textId="40F8B77E" w:rsidR="00BE7A45" w:rsidRPr="00472AB4" w:rsidRDefault="00BE7A45" w:rsidP="00A36D99">
            <w:pPr>
              <w:spacing w:before="0" w:after="0" w:line="240" w:lineRule="auto"/>
              <w:jc w:val="left"/>
              <w:rPr>
                <w:rFonts w:eastAsiaTheme="minorHAnsi"/>
                <w:sz w:val="18"/>
                <w:szCs w:val="18"/>
                <w:lang w:val="en-GB" w:eastAsia="en-US"/>
              </w:rPr>
            </w:pPr>
            <w:r w:rsidRPr="00472AB4">
              <w:rPr>
                <w:rFonts w:eastAsiaTheme="minorHAnsi"/>
                <w:sz w:val="18"/>
                <w:szCs w:val="18"/>
                <w:lang w:val="en-GB" w:eastAsia="en-US"/>
              </w:rPr>
              <w:t>Ticagrelor vs Clopidogrel</w:t>
            </w:r>
          </w:p>
        </w:tc>
        <w:tc>
          <w:tcPr>
            <w:tcW w:w="1399" w:type="pct"/>
          </w:tcPr>
          <w:p w14:paraId="327C7782" w14:textId="4148DD5C" w:rsidR="00BE7A45" w:rsidRPr="00472AB4" w:rsidRDefault="00BE7A45" w:rsidP="00A36D99">
            <w:pPr>
              <w:spacing w:before="0" w:after="0" w:line="240" w:lineRule="auto"/>
              <w:jc w:val="center"/>
              <w:rPr>
                <w:rFonts w:eastAsiaTheme="minorHAnsi"/>
                <w:sz w:val="18"/>
                <w:szCs w:val="18"/>
                <w:lang w:val="en-GB" w:eastAsia="en-US"/>
              </w:rPr>
            </w:pPr>
            <w:r w:rsidRPr="00472AB4">
              <w:rPr>
                <w:rFonts w:eastAsia="Times New Roman"/>
                <w:color w:val="000000"/>
                <w:sz w:val="18"/>
                <w:szCs w:val="18"/>
                <w:lang w:eastAsia="en-US"/>
              </w:rPr>
              <w:t>1.219 (1.015-1.463</w:t>
            </w:r>
            <w:r w:rsidRPr="00472AB4">
              <w:rPr>
                <w:rFonts w:eastAsiaTheme="minorHAnsi"/>
                <w:color w:val="000000"/>
                <w:sz w:val="18"/>
                <w:szCs w:val="18"/>
                <w:lang w:val="en-GB" w:eastAsia="en-US"/>
              </w:rPr>
              <w:t>)</w:t>
            </w:r>
          </w:p>
        </w:tc>
        <w:tc>
          <w:tcPr>
            <w:tcW w:w="641" w:type="pct"/>
          </w:tcPr>
          <w:p w14:paraId="6C018978" w14:textId="2360DE2D" w:rsidR="00BE7A45" w:rsidRPr="00472AB4" w:rsidRDefault="00BE7A45" w:rsidP="00A36D99">
            <w:pPr>
              <w:spacing w:before="0" w:after="0" w:line="240" w:lineRule="auto"/>
              <w:jc w:val="center"/>
              <w:rPr>
                <w:rFonts w:eastAsiaTheme="minorHAnsi"/>
                <w:sz w:val="18"/>
                <w:szCs w:val="18"/>
                <w:lang w:val="en-GB" w:eastAsia="en-US"/>
              </w:rPr>
            </w:pPr>
            <w:r w:rsidRPr="00472AB4">
              <w:rPr>
                <w:rFonts w:eastAsiaTheme="minorHAnsi"/>
                <w:color w:val="000000"/>
                <w:sz w:val="18"/>
                <w:szCs w:val="18"/>
                <w:lang w:val="en-GB" w:eastAsia="en-US"/>
              </w:rPr>
              <w:t>0.034</w:t>
            </w:r>
          </w:p>
        </w:tc>
      </w:tr>
      <w:tr w:rsidR="00BE7A45" w:rsidRPr="00472AB4" w14:paraId="1FFC8B0E" w14:textId="77777777" w:rsidTr="00A36D99">
        <w:tc>
          <w:tcPr>
            <w:tcW w:w="1257" w:type="pct"/>
          </w:tcPr>
          <w:p w14:paraId="33E5D0FE" w14:textId="77777777" w:rsidR="00BE7A45" w:rsidRPr="00472AB4" w:rsidRDefault="00BE7A45" w:rsidP="00A36D99">
            <w:pPr>
              <w:spacing w:before="0" w:after="0" w:line="240" w:lineRule="auto"/>
              <w:jc w:val="left"/>
              <w:rPr>
                <w:rFonts w:eastAsiaTheme="minorHAnsi"/>
                <w:sz w:val="18"/>
                <w:szCs w:val="18"/>
                <w:lang w:val="en-GB" w:eastAsia="en-US"/>
              </w:rPr>
            </w:pPr>
          </w:p>
        </w:tc>
        <w:tc>
          <w:tcPr>
            <w:tcW w:w="1703" w:type="pct"/>
          </w:tcPr>
          <w:p w14:paraId="128F81D5" w14:textId="41ACB490" w:rsidR="00BE7A45" w:rsidRPr="00472AB4" w:rsidRDefault="00BE7A45" w:rsidP="00A36D99">
            <w:pPr>
              <w:spacing w:before="0" w:after="0" w:line="240" w:lineRule="auto"/>
              <w:jc w:val="left"/>
              <w:rPr>
                <w:rFonts w:eastAsiaTheme="minorHAnsi"/>
                <w:sz w:val="18"/>
                <w:szCs w:val="18"/>
                <w:lang w:val="en-GB" w:eastAsia="en-US"/>
              </w:rPr>
            </w:pPr>
            <w:r w:rsidRPr="00472AB4">
              <w:rPr>
                <w:rFonts w:eastAsiaTheme="minorHAnsi"/>
                <w:sz w:val="18"/>
                <w:szCs w:val="18"/>
                <w:lang w:val="en-GB" w:eastAsia="en-US"/>
              </w:rPr>
              <w:t>Ticagrelor vs Prasugrel</w:t>
            </w:r>
          </w:p>
        </w:tc>
        <w:tc>
          <w:tcPr>
            <w:tcW w:w="1399" w:type="pct"/>
          </w:tcPr>
          <w:p w14:paraId="26748EE3" w14:textId="56383053" w:rsidR="00BE7A45" w:rsidRPr="00472AB4" w:rsidRDefault="00BE7A45" w:rsidP="00A36D99">
            <w:pPr>
              <w:spacing w:before="0" w:after="0" w:line="240" w:lineRule="auto"/>
              <w:jc w:val="center"/>
              <w:rPr>
                <w:rFonts w:eastAsiaTheme="minorHAnsi"/>
                <w:sz w:val="18"/>
                <w:szCs w:val="18"/>
                <w:lang w:val="en-GB" w:eastAsia="en-US"/>
              </w:rPr>
            </w:pPr>
            <w:r w:rsidRPr="00472AB4">
              <w:rPr>
                <w:rFonts w:eastAsia="Times New Roman"/>
                <w:color w:val="000000"/>
                <w:sz w:val="18"/>
                <w:szCs w:val="18"/>
                <w:lang w:eastAsia="en-US"/>
              </w:rPr>
              <w:t>1.309 (1.059-1.619</w:t>
            </w:r>
            <w:r w:rsidRPr="00472AB4">
              <w:rPr>
                <w:rFonts w:eastAsiaTheme="minorHAnsi"/>
                <w:sz w:val="18"/>
                <w:szCs w:val="18"/>
                <w:lang w:val="en-GB" w:eastAsia="en-US"/>
              </w:rPr>
              <w:t>)</w:t>
            </w:r>
          </w:p>
        </w:tc>
        <w:tc>
          <w:tcPr>
            <w:tcW w:w="641" w:type="pct"/>
          </w:tcPr>
          <w:p w14:paraId="609A7161" w14:textId="44A2C109" w:rsidR="00BE7A45" w:rsidRPr="00472AB4" w:rsidRDefault="00BE7A45" w:rsidP="00A36D99">
            <w:pPr>
              <w:spacing w:before="0" w:after="0" w:line="240" w:lineRule="auto"/>
              <w:jc w:val="center"/>
              <w:rPr>
                <w:rFonts w:eastAsiaTheme="minorHAnsi"/>
                <w:sz w:val="18"/>
                <w:szCs w:val="18"/>
                <w:lang w:val="en-GB" w:eastAsia="en-US"/>
              </w:rPr>
            </w:pPr>
            <w:r w:rsidRPr="00472AB4">
              <w:rPr>
                <w:rFonts w:eastAsiaTheme="minorHAnsi"/>
                <w:color w:val="000000"/>
                <w:sz w:val="18"/>
                <w:szCs w:val="18"/>
                <w:lang w:val="en-GB" w:eastAsia="en-US"/>
              </w:rPr>
              <w:t>0.013</w:t>
            </w:r>
          </w:p>
        </w:tc>
      </w:tr>
      <w:tr w:rsidR="00BE7A45" w:rsidRPr="00472AB4" w14:paraId="6DC47DD6" w14:textId="77777777" w:rsidTr="00A36D99">
        <w:tc>
          <w:tcPr>
            <w:tcW w:w="1257" w:type="pct"/>
            <w:tcBorders>
              <w:top w:val="single" w:sz="4" w:space="0" w:color="auto"/>
            </w:tcBorders>
          </w:tcPr>
          <w:p w14:paraId="366F5262" w14:textId="77777777" w:rsidR="00BE7A45" w:rsidRPr="00472AB4" w:rsidRDefault="00BE7A45" w:rsidP="00A36D99">
            <w:pPr>
              <w:spacing w:before="0" w:after="0" w:line="240" w:lineRule="auto"/>
              <w:jc w:val="left"/>
              <w:rPr>
                <w:rFonts w:eastAsiaTheme="minorHAnsi"/>
                <w:sz w:val="18"/>
                <w:szCs w:val="18"/>
                <w:lang w:val="en-GB" w:eastAsia="en-US"/>
              </w:rPr>
            </w:pPr>
            <w:r w:rsidRPr="00472AB4">
              <w:rPr>
                <w:rFonts w:eastAsiaTheme="minorHAnsi"/>
                <w:sz w:val="18"/>
                <w:szCs w:val="18"/>
                <w:lang w:val="en-GB" w:eastAsia="en-US"/>
              </w:rPr>
              <w:t>30 days mortality</w:t>
            </w:r>
          </w:p>
        </w:tc>
        <w:tc>
          <w:tcPr>
            <w:tcW w:w="1703" w:type="pct"/>
            <w:tcBorders>
              <w:top w:val="single" w:sz="4" w:space="0" w:color="auto"/>
            </w:tcBorders>
          </w:tcPr>
          <w:p w14:paraId="67B83937" w14:textId="6F8B7DAA" w:rsidR="00BE7A45" w:rsidRPr="00472AB4" w:rsidRDefault="00BE7A45" w:rsidP="00A36D99">
            <w:pPr>
              <w:spacing w:before="0" w:after="0" w:line="240" w:lineRule="auto"/>
              <w:jc w:val="left"/>
              <w:rPr>
                <w:rFonts w:eastAsiaTheme="minorHAnsi"/>
                <w:sz w:val="18"/>
                <w:szCs w:val="18"/>
                <w:lang w:val="en-GB" w:eastAsia="en-US"/>
              </w:rPr>
            </w:pPr>
            <w:r w:rsidRPr="00472AB4">
              <w:rPr>
                <w:rFonts w:eastAsiaTheme="minorHAnsi"/>
                <w:sz w:val="18"/>
                <w:szCs w:val="18"/>
                <w:lang w:val="en-GB" w:eastAsia="en-US"/>
              </w:rPr>
              <w:t>Prasugrel vs Clopidogrel</w:t>
            </w:r>
          </w:p>
        </w:tc>
        <w:tc>
          <w:tcPr>
            <w:tcW w:w="1399" w:type="pct"/>
            <w:tcBorders>
              <w:top w:val="single" w:sz="4" w:space="0" w:color="auto"/>
            </w:tcBorders>
          </w:tcPr>
          <w:p w14:paraId="2177D4FD" w14:textId="32D44ACA" w:rsidR="00BE7A45" w:rsidRPr="00472AB4" w:rsidRDefault="00BE7A45" w:rsidP="00A36D99">
            <w:pPr>
              <w:spacing w:before="0" w:after="0" w:line="240" w:lineRule="auto"/>
              <w:jc w:val="center"/>
              <w:rPr>
                <w:rFonts w:eastAsiaTheme="minorHAnsi"/>
                <w:sz w:val="18"/>
                <w:szCs w:val="18"/>
                <w:lang w:val="en-GB" w:eastAsia="en-US"/>
              </w:rPr>
            </w:pPr>
            <w:r w:rsidRPr="00472AB4">
              <w:rPr>
                <w:rFonts w:eastAsia="Times New Roman"/>
                <w:color w:val="000000"/>
                <w:sz w:val="18"/>
                <w:szCs w:val="18"/>
                <w:lang w:eastAsia="en-US"/>
              </w:rPr>
              <w:t>0.860 (0.738-0.998</w:t>
            </w:r>
            <w:r w:rsidRPr="00472AB4">
              <w:rPr>
                <w:rFonts w:eastAsiaTheme="minorHAnsi"/>
                <w:color w:val="000000"/>
                <w:sz w:val="18"/>
                <w:szCs w:val="18"/>
                <w:lang w:val="en-GB" w:eastAsia="en-US"/>
              </w:rPr>
              <w:t>)</w:t>
            </w:r>
          </w:p>
        </w:tc>
        <w:tc>
          <w:tcPr>
            <w:tcW w:w="641" w:type="pct"/>
            <w:tcBorders>
              <w:top w:val="single" w:sz="4" w:space="0" w:color="auto"/>
            </w:tcBorders>
          </w:tcPr>
          <w:p w14:paraId="0D32B7DE" w14:textId="1545FD07" w:rsidR="00BE7A45" w:rsidRPr="00472AB4" w:rsidRDefault="00BE7A45" w:rsidP="00A36D99">
            <w:pPr>
              <w:spacing w:before="0" w:after="0" w:line="240" w:lineRule="auto"/>
              <w:jc w:val="center"/>
              <w:rPr>
                <w:rFonts w:eastAsiaTheme="minorHAnsi"/>
                <w:sz w:val="18"/>
                <w:szCs w:val="18"/>
                <w:lang w:val="en-GB" w:eastAsia="en-US"/>
              </w:rPr>
            </w:pPr>
            <w:r w:rsidRPr="00472AB4">
              <w:rPr>
                <w:rFonts w:eastAsiaTheme="minorHAnsi"/>
                <w:color w:val="000000"/>
                <w:sz w:val="18"/>
                <w:szCs w:val="18"/>
                <w:lang w:val="en-GB" w:eastAsia="en-US"/>
              </w:rPr>
              <w:t>0.042</w:t>
            </w:r>
          </w:p>
        </w:tc>
      </w:tr>
      <w:tr w:rsidR="00BE7A45" w:rsidRPr="00472AB4" w14:paraId="14F1B975" w14:textId="77777777" w:rsidTr="00A36D99">
        <w:tc>
          <w:tcPr>
            <w:tcW w:w="1257" w:type="pct"/>
          </w:tcPr>
          <w:p w14:paraId="261C71CE" w14:textId="77777777" w:rsidR="00BE7A45" w:rsidRPr="00472AB4" w:rsidRDefault="00BE7A45" w:rsidP="00A36D99">
            <w:pPr>
              <w:spacing w:before="0" w:after="0" w:line="240" w:lineRule="auto"/>
              <w:jc w:val="left"/>
              <w:rPr>
                <w:rFonts w:eastAsiaTheme="minorHAnsi"/>
                <w:sz w:val="18"/>
                <w:szCs w:val="18"/>
                <w:lang w:val="en-GB" w:eastAsia="en-US"/>
              </w:rPr>
            </w:pPr>
          </w:p>
        </w:tc>
        <w:tc>
          <w:tcPr>
            <w:tcW w:w="1703" w:type="pct"/>
          </w:tcPr>
          <w:p w14:paraId="2C46B771" w14:textId="4DA610A3" w:rsidR="00BE7A45" w:rsidRPr="00472AB4" w:rsidRDefault="00BE7A45" w:rsidP="00A36D99">
            <w:pPr>
              <w:spacing w:before="0" w:after="0" w:line="240" w:lineRule="auto"/>
              <w:jc w:val="left"/>
              <w:rPr>
                <w:rFonts w:eastAsiaTheme="minorHAnsi"/>
                <w:sz w:val="18"/>
                <w:szCs w:val="18"/>
                <w:lang w:val="en-GB" w:eastAsia="en-US"/>
              </w:rPr>
            </w:pPr>
            <w:r w:rsidRPr="00472AB4">
              <w:rPr>
                <w:rFonts w:eastAsiaTheme="minorHAnsi"/>
                <w:sz w:val="18"/>
                <w:szCs w:val="18"/>
                <w:lang w:val="en-GB" w:eastAsia="en-US"/>
              </w:rPr>
              <w:t>Ticagrelor vs Clopidogrel</w:t>
            </w:r>
          </w:p>
        </w:tc>
        <w:tc>
          <w:tcPr>
            <w:tcW w:w="1399" w:type="pct"/>
          </w:tcPr>
          <w:p w14:paraId="2FF82818" w14:textId="3908C09F" w:rsidR="00BE7A45" w:rsidRPr="00472AB4" w:rsidRDefault="00BE7A45" w:rsidP="00A36D99">
            <w:pPr>
              <w:spacing w:before="0" w:after="0" w:line="240" w:lineRule="auto"/>
              <w:jc w:val="center"/>
              <w:rPr>
                <w:rFonts w:eastAsiaTheme="minorHAnsi"/>
                <w:sz w:val="18"/>
                <w:szCs w:val="18"/>
                <w:lang w:val="en-GB" w:eastAsia="en-US"/>
              </w:rPr>
            </w:pPr>
            <w:r w:rsidRPr="00472AB4">
              <w:rPr>
                <w:rFonts w:eastAsia="Times New Roman"/>
                <w:color w:val="000000"/>
                <w:sz w:val="18"/>
                <w:szCs w:val="18"/>
                <w:lang w:eastAsia="en-US"/>
              </w:rPr>
              <w:t>1.099 (0.942-1.282</w:t>
            </w:r>
            <w:r w:rsidRPr="00472AB4">
              <w:rPr>
                <w:rFonts w:eastAsiaTheme="minorHAnsi"/>
                <w:color w:val="000000"/>
                <w:sz w:val="18"/>
                <w:szCs w:val="18"/>
                <w:lang w:val="en-GB" w:eastAsia="en-US"/>
              </w:rPr>
              <w:t>)</w:t>
            </w:r>
          </w:p>
        </w:tc>
        <w:tc>
          <w:tcPr>
            <w:tcW w:w="641" w:type="pct"/>
          </w:tcPr>
          <w:p w14:paraId="5E26E37A" w14:textId="1FD26DC1" w:rsidR="00BE7A45" w:rsidRPr="00472AB4" w:rsidRDefault="00BE7A45" w:rsidP="00A36D99">
            <w:pPr>
              <w:spacing w:before="0" w:after="0" w:line="240" w:lineRule="auto"/>
              <w:jc w:val="center"/>
              <w:rPr>
                <w:rFonts w:eastAsiaTheme="minorHAnsi"/>
                <w:sz w:val="18"/>
                <w:szCs w:val="18"/>
                <w:lang w:val="en-GB" w:eastAsia="en-US"/>
              </w:rPr>
            </w:pPr>
            <w:r w:rsidRPr="00472AB4">
              <w:rPr>
                <w:rFonts w:eastAsiaTheme="minorHAnsi"/>
                <w:color w:val="000000"/>
                <w:sz w:val="18"/>
                <w:szCs w:val="18"/>
                <w:lang w:val="en-GB" w:eastAsia="en-US"/>
              </w:rPr>
              <w:t>0.229</w:t>
            </w:r>
          </w:p>
        </w:tc>
      </w:tr>
      <w:tr w:rsidR="00BE7A45" w:rsidRPr="00472AB4" w14:paraId="148980A4" w14:textId="77777777" w:rsidTr="00A36D99">
        <w:tc>
          <w:tcPr>
            <w:tcW w:w="1257" w:type="pct"/>
            <w:tcBorders>
              <w:bottom w:val="single" w:sz="4" w:space="0" w:color="auto"/>
            </w:tcBorders>
          </w:tcPr>
          <w:p w14:paraId="186473D4" w14:textId="77777777" w:rsidR="00BE7A45" w:rsidRPr="00472AB4" w:rsidRDefault="00BE7A45" w:rsidP="00A36D99">
            <w:pPr>
              <w:spacing w:before="0" w:after="0" w:line="240" w:lineRule="auto"/>
              <w:jc w:val="left"/>
              <w:rPr>
                <w:rFonts w:eastAsiaTheme="minorHAnsi"/>
                <w:sz w:val="18"/>
                <w:szCs w:val="18"/>
                <w:lang w:val="en-GB" w:eastAsia="en-US"/>
              </w:rPr>
            </w:pPr>
          </w:p>
        </w:tc>
        <w:tc>
          <w:tcPr>
            <w:tcW w:w="1703" w:type="pct"/>
            <w:tcBorders>
              <w:bottom w:val="single" w:sz="4" w:space="0" w:color="auto"/>
            </w:tcBorders>
          </w:tcPr>
          <w:p w14:paraId="60BC59F0" w14:textId="01CFFF08" w:rsidR="00BE7A45" w:rsidRPr="00472AB4" w:rsidRDefault="00BE7A45" w:rsidP="00A36D99">
            <w:pPr>
              <w:spacing w:before="0" w:after="0" w:line="240" w:lineRule="auto"/>
              <w:jc w:val="left"/>
              <w:rPr>
                <w:rFonts w:eastAsiaTheme="minorHAnsi"/>
                <w:sz w:val="18"/>
                <w:szCs w:val="18"/>
                <w:lang w:val="en-GB" w:eastAsia="en-US"/>
              </w:rPr>
            </w:pPr>
            <w:r w:rsidRPr="00472AB4">
              <w:rPr>
                <w:rFonts w:eastAsiaTheme="minorHAnsi"/>
                <w:sz w:val="18"/>
                <w:szCs w:val="18"/>
                <w:lang w:val="en-GB" w:eastAsia="en-US"/>
              </w:rPr>
              <w:t>Ticagrelor vs Prasugrel</w:t>
            </w:r>
          </w:p>
        </w:tc>
        <w:tc>
          <w:tcPr>
            <w:tcW w:w="1399" w:type="pct"/>
            <w:tcBorders>
              <w:bottom w:val="single" w:sz="4" w:space="0" w:color="auto"/>
            </w:tcBorders>
          </w:tcPr>
          <w:p w14:paraId="34D348CB" w14:textId="66C93E5B" w:rsidR="00BE7A45" w:rsidRPr="00472AB4" w:rsidRDefault="00BE7A45" w:rsidP="00A36D99">
            <w:pPr>
              <w:spacing w:before="0" w:after="0" w:line="240" w:lineRule="auto"/>
              <w:jc w:val="center"/>
              <w:rPr>
                <w:rFonts w:eastAsiaTheme="minorHAnsi"/>
                <w:sz w:val="18"/>
                <w:szCs w:val="18"/>
                <w:lang w:val="en-GB" w:eastAsia="en-US"/>
              </w:rPr>
            </w:pPr>
            <w:r w:rsidRPr="00472AB4">
              <w:rPr>
                <w:rFonts w:eastAsia="Times New Roman"/>
                <w:color w:val="000000"/>
                <w:sz w:val="18"/>
                <w:szCs w:val="18"/>
                <w:lang w:eastAsia="en-US"/>
              </w:rPr>
              <w:t>1.281 (1.053-1.557</w:t>
            </w:r>
            <w:r w:rsidRPr="00472AB4">
              <w:rPr>
                <w:rFonts w:eastAsiaTheme="minorHAnsi"/>
                <w:sz w:val="18"/>
                <w:szCs w:val="18"/>
                <w:lang w:val="en-GB" w:eastAsia="en-US"/>
              </w:rPr>
              <w:t>)</w:t>
            </w:r>
          </w:p>
        </w:tc>
        <w:tc>
          <w:tcPr>
            <w:tcW w:w="641" w:type="pct"/>
            <w:tcBorders>
              <w:bottom w:val="single" w:sz="4" w:space="0" w:color="auto"/>
            </w:tcBorders>
          </w:tcPr>
          <w:p w14:paraId="289C7036" w14:textId="516A2092" w:rsidR="00BE7A45" w:rsidRPr="00472AB4" w:rsidRDefault="00BE7A45" w:rsidP="00A36D99">
            <w:pPr>
              <w:spacing w:before="0" w:after="0" w:line="240" w:lineRule="auto"/>
              <w:jc w:val="center"/>
              <w:rPr>
                <w:rFonts w:eastAsiaTheme="minorHAnsi"/>
                <w:sz w:val="18"/>
                <w:szCs w:val="18"/>
                <w:lang w:val="en-GB" w:eastAsia="en-US"/>
              </w:rPr>
            </w:pPr>
            <w:r w:rsidRPr="00472AB4">
              <w:rPr>
                <w:rFonts w:eastAsiaTheme="minorHAnsi"/>
                <w:color w:val="000000"/>
                <w:sz w:val="18"/>
                <w:szCs w:val="18"/>
                <w:lang w:val="en-GB" w:eastAsia="en-US"/>
              </w:rPr>
              <w:t>0.013</w:t>
            </w:r>
          </w:p>
        </w:tc>
      </w:tr>
      <w:tr w:rsidR="00BE7A45" w:rsidRPr="00472AB4" w14:paraId="752E4B30" w14:textId="77777777" w:rsidTr="00A36D99">
        <w:tc>
          <w:tcPr>
            <w:tcW w:w="1257" w:type="pct"/>
            <w:tcBorders>
              <w:top w:val="single" w:sz="4" w:space="0" w:color="auto"/>
            </w:tcBorders>
          </w:tcPr>
          <w:p w14:paraId="7A18CFD1" w14:textId="77777777" w:rsidR="00BE7A45" w:rsidRPr="00472AB4" w:rsidRDefault="00BE7A45" w:rsidP="00A36D99">
            <w:pPr>
              <w:spacing w:before="0" w:after="0" w:line="240" w:lineRule="auto"/>
              <w:jc w:val="left"/>
              <w:rPr>
                <w:rFonts w:eastAsiaTheme="minorHAnsi"/>
                <w:sz w:val="18"/>
                <w:szCs w:val="18"/>
                <w:lang w:val="en-GB" w:eastAsia="en-US"/>
              </w:rPr>
            </w:pPr>
            <w:r w:rsidRPr="00472AB4">
              <w:rPr>
                <w:rFonts w:eastAsiaTheme="minorHAnsi"/>
                <w:sz w:val="18"/>
                <w:szCs w:val="18"/>
                <w:lang w:val="en-GB" w:eastAsia="en-US"/>
              </w:rPr>
              <w:t>1 year mortality</w:t>
            </w:r>
          </w:p>
        </w:tc>
        <w:tc>
          <w:tcPr>
            <w:tcW w:w="1703" w:type="pct"/>
            <w:tcBorders>
              <w:top w:val="single" w:sz="4" w:space="0" w:color="auto"/>
            </w:tcBorders>
          </w:tcPr>
          <w:p w14:paraId="24E986A1" w14:textId="3AAAB41D" w:rsidR="00BE7A45" w:rsidRPr="00472AB4" w:rsidRDefault="00BE7A45" w:rsidP="00A36D99">
            <w:pPr>
              <w:spacing w:before="0" w:after="0" w:line="240" w:lineRule="auto"/>
              <w:jc w:val="left"/>
              <w:rPr>
                <w:rFonts w:eastAsiaTheme="minorHAnsi"/>
                <w:sz w:val="18"/>
                <w:szCs w:val="18"/>
                <w:lang w:val="en-GB" w:eastAsia="en-US"/>
              </w:rPr>
            </w:pPr>
            <w:r w:rsidRPr="00472AB4">
              <w:rPr>
                <w:rFonts w:eastAsiaTheme="minorHAnsi"/>
                <w:sz w:val="18"/>
                <w:szCs w:val="18"/>
                <w:lang w:val="en-GB" w:eastAsia="en-US"/>
              </w:rPr>
              <w:t>Prasugrel vs Clopidogrel</w:t>
            </w:r>
          </w:p>
        </w:tc>
        <w:tc>
          <w:tcPr>
            <w:tcW w:w="1399" w:type="pct"/>
            <w:tcBorders>
              <w:top w:val="single" w:sz="4" w:space="0" w:color="auto"/>
            </w:tcBorders>
          </w:tcPr>
          <w:p w14:paraId="2DDE9226" w14:textId="6F705003" w:rsidR="00BE7A45" w:rsidRPr="00472AB4" w:rsidRDefault="00BE7A45" w:rsidP="00A36D99">
            <w:pPr>
              <w:spacing w:before="0" w:after="0" w:line="240" w:lineRule="auto"/>
              <w:jc w:val="center"/>
              <w:rPr>
                <w:rFonts w:eastAsiaTheme="minorHAnsi"/>
                <w:sz w:val="18"/>
                <w:szCs w:val="18"/>
                <w:lang w:val="en-GB" w:eastAsia="en-US"/>
              </w:rPr>
            </w:pPr>
            <w:r w:rsidRPr="00472AB4">
              <w:rPr>
                <w:rFonts w:eastAsia="Times New Roman"/>
                <w:color w:val="000000"/>
                <w:sz w:val="18"/>
                <w:szCs w:val="18"/>
                <w:lang w:eastAsia="en-US"/>
              </w:rPr>
              <w:t>0.855 (0.755-0.968</w:t>
            </w:r>
            <w:r w:rsidRPr="00472AB4">
              <w:rPr>
                <w:rFonts w:eastAsiaTheme="minorHAnsi"/>
                <w:sz w:val="18"/>
                <w:szCs w:val="18"/>
                <w:lang w:val="en-GB" w:eastAsia="en-US"/>
              </w:rPr>
              <w:t>)</w:t>
            </w:r>
          </w:p>
        </w:tc>
        <w:tc>
          <w:tcPr>
            <w:tcW w:w="641" w:type="pct"/>
            <w:tcBorders>
              <w:top w:val="single" w:sz="4" w:space="0" w:color="auto"/>
            </w:tcBorders>
          </w:tcPr>
          <w:p w14:paraId="4E999678" w14:textId="42BA6E2A" w:rsidR="00BE7A45" w:rsidRPr="00472AB4" w:rsidRDefault="00BE7A45" w:rsidP="00A36D99">
            <w:pPr>
              <w:spacing w:before="0" w:after="0" w:line="240" w:lineRule="auto"/>
              <w:jc w:val="center"/>
              <w:rPr>
                <w:rFonts w:eastAsiaTheme="minorHAnsi"/>
                <w:sz w:val="18"/>
                <w:szCs w:val="18"/>
                <w:lang w:val="en-GB" w:eastAsia="en-US"/>
              </w:rPr>
            </w:pPr>
            <w:r w:rsidRPr="00472AB4">
              <w:rPr>
                <w:rFonts w:eastAsiaTheme="minorHAnsi"/>
                <w:color w:val="000000"/>
                <w:sz w:val="18"/>
                <w:szCs w:val="18"/>
                <w:lang w:val="en-GB" w:eastAsia="en-US"/>
              </w:rPr>
              <w:t>0.014</w:t>
            </w:r>
          </w:p>
        </w:tc>
      </w:tr>
      <w:tr w:rsidR="00BE7A45" w:rsidRPr="00472AB4" w14:paraId="2705F70F" w14:textId="77777777" w:rsidTr="00A36D99">
        <w:tc>
          <w:tcPr>
            <w:tcW w:w="1257" w:type="pct"/>
          </w:tcPr>
          <w:p w14:paraId="0C07693A" w14:textId="77777777" w:rsidR="00BE7A45" w:rsidRPr="00472AB4" w:rsidRDefault="00BE7A45" w:rsidP="00A36D99">
            <w:pPr>
              <w:spacing w:before="0" w:after="0" w:line="240" w:lineRule="auto"/>
              <w:jc w:val="left"/>
              <w:rPr>
                <w:rFonts w:eastAsiaTheme="minorHAnsi"/>
                <w:sz w:val="18"/>
                <w:szCs w:val="18"/>
                <w:lang w:val="en-GB" w:eastAsia="en-US"/>
              </w:rPr>
            </w:pPr>
          </w:p>
        </w:tc>
        <w:tc>
          <w:tcPr>
            <w:tcW w:w="1703" w:type="pct"/>
          </w:tcPr>
          <w:p w14:paraId="135C820E" w14:textId="2E08D9D3" w:rsidR="00BE7A45" w:rsidRPr="00472AB4" w:rsidRDefault="00BE7A45" w:rsidP="00A36D99">
            <w:pPr>
              <w:spacing w:before="0" w:after="0" w:line="240" w:lineRule="auto"/>
              <w:jc w:val="left"/>
              <w:rPr>
                <w:rFonts w:eastAsiaTheme="minorHAnsi"/>
                <w:sz w:val="18"/>
                <w:szCs w:val="18"/>
                <w:lang w:val="en-GB" w:eastAsia="en-US"/>
              </w:rPr>
            </w:pPr>
            <w:r w:rsidRPr="00472AB4">
              <w:rPr>
                <w:rFonts w:eastAsiaTheme="minorHAnsi"/>
                <w:sz w:val="18"/>
                <w:szCs w:val="18"/>
                <w:lang w:val="en-GB" w:eastAsia="en-US"/>
              </w:rPr>
              <w:t>Ticagrelor vs Clopidogrel</w:t>
            </w:r>
          </w:p>
        </w:tc>
        <w:tc>
          <w:tcPr>
            <w:tcW w:w="1399" w:type="pct"/>
          </w:tcPr>
          <w:p w14:paraId="5EF61E76" w14:textId="05210A77" w:rsidR="00BE7A45" w:rsidRPr="00472AB4" w:rsidRDefault="00BE7A45" w:rsidP="00A36D99">
            <w:pPr>
              <w:spacing w:before="0" w:after="0" w:line="240" w:lineRule="auto"/>
              <w:jc w:val="center"/>
              <w:rPr>
                <w:rFonts w:eastAsiaTheme="minorHAnsi"/>
                <w:sz w:val="18"/>
                <w:szCs w:val="18"/>
                <w:lang w:val="en-GB" w:eastAsia="en-US"/>
              </w:rPr>
            </w:pPr>
            <w:r w:rsidRPr="00472AB4">
              <w:rPr>
                <w:rFonts w:eastAsia="Times New Roman"/>
                <w:color w:val="000000"/>
                <w:sz w:val="18"/>
                <w:szCs w:val="18"/>
                <w:lang w:eastAsia="en-US"/>
              </w:rPr>
              <w:t>1.082 (0.959-1.220</w:t>
            </w:r>
            <w:r w:rsidRPr="00472AB4">
              <w:rPr>
                <w:rFonts w:eastAsiaTheme="minorHAnsi"/>
                <w:sz w:val="18"/>
                <w:szCs w:val="18"/>
                <w:lang w:val="en-GB" w:eastAsia="en-US"/>
              </w:rPr>
              <w:t>)</w:t>
            </w:r>
          </w:p>
        </w:tc>
        <w:tc>
          <w:tcPr>
            <w:tcW w:w="641" w:type="pct"/>
          </w:tcPr>
          <w:p w14:paraId="22FB8ABB" w14:textId="5F9B3C76" w:rsidR="00BE7A45" w:rsidRPr="00472AB4" w:rsidRDefault="00BE7A45" w:rsidP="00A36D99">
            <w:pPr>
              <w:spacing w:before="0" w:after="0" w:line="240" w:lineRule="auto"/>
              <w:jc w:val="center"/>
              <w:rPr>
                <w:rFonts w:eastAsiaTheme="minorHAnsi"/>
                <w:sz w:val="18"/>
                <w:szCs w:val="18"/>
                <w:lang w:val="en-GB" w:eastAsia="en-US"/>
              </w:rPr>
            </w:pPr>
            <w:r w:rsidRPr="00472AB4">
              <w:rPr>
                <w:rFonts w:eastAsiaTheme="minorHAnsi"/>
                <w:color w:val="000000"/>
                <w:sz w:val="18"/>
                <w:szCs w:val="18"/>
                <w:lang w:val="en-GB" w:eastAsia="en-US"/>
              </w:rPr>
              <w:t>0.201</w:t>
            </w:r>
          </w:p>
        </w:tc>
      </w:tr>
      <w:tr w:rsidR="00BE7A45" w:rsidRPr="00472AB4" w14:paraId="70ADB012" w14:textId="77777777" w:rsidTr="00A36D99">
        <w:tc>
          <w:tcPr>
            <w:tcW w:w="1257" w:type="pct"/>
            <w:tcBorders>
              <w:bottom w:val="single" w:sz="12" w:space="0" w:color="auto"/>
            </w:tcBorders>
          </w:tcPr>
          <w:p w14:paraId="2AE3CD19" w14:textId="77777777" w:rsidR="00BE7A45" w:rsidRPr="00472AB4" w:rsidRDefault="00BE7A45" w:rsidP="00A36D99">
            <w:pPr>
              <w:spacing w:before="0" w:after="0" w:line="240" w:lineRule="auto"/>
              <w:jc w:val="left"/>
              <w:rPr>
                <w:rFonts w:eastAsiaTheme="minorHAnsi"/>
                <w:sz w:val="18"/>
                <w:szCs w:val="18"/>
                <w:lang w:val="en-GB" w:eastAsia="en-US"/>
              </w:rPr>
            </w:pPr>
          </w:p>
        </w:tc>
        <w:tc>
          <w:tcPr>
            <w:tcW w:w="1703" w:type="pct"/>
            <w:tcBorders>
              <w:bottom w:val="single" w:sz="12" w:space="0" w:color="auto"/>
            </w:tcBorders>
          </w:tcPr>
          <w:p w14:paraId="003FF8F9" w14:textId="612A6D1D" w:rsidR="00BE7A45" w:rsidRPr="00472AB4" w:rsidRDefault="00BE7A45" w:rsidP="00A36D99">
            <w:pPr>
              <w:spacing w:before="0" w:after="0" w:line="240" w:lineRule="auto"/>
              <w:jc w:val="left"/>
              <w:rPr>
                <w:rFonts w:eastAsiaTheme="minorHAnsi"/>
                <w:sz w:val="18"/>
                <w:szCs w:val="18"/>
                <w:lang w:val="en-GB" w:eastAsia="en-US"/>
              </w:rPr>
            </w:pPr>
            <w:r w:rsidRPr="00472AB4">
              <w:rPr>
                <w:rFonts w:eastAsiaTheme="minorHAnsi"/>
                <w:sz w:val="18"/>
                <w:szCs w:val="18"/>
                <w:lang w:val="en-GB" w:eastAsia="en-US"/>
              </w:rPr>
              <w:t>Ticagrelor vs Prasugrel</w:t>
            </w:r>
          </w:p>
        </w:tc>
        <w:tc>
          <w:tcPr>
            <w:tcW w:w="1399" w:type="pct"/>
            <w:tcBorders>
              <w:bottom w:val="single" w:sz="12" w:space="0" w:color="auto"/>
            </w:tcBorders>
          </w:tcPr>
          <w:p w14:paraId="313F2779" w14:textId="616B74C6" w:rsidR="00BE7A45" w:rsidRPr="00472AB4" w:rsidRDefault="00BE7A45" w:rsidP="00A36D99">
            <w:pPr>
              <w:spacing w:before="0" w:after="0" w:line="240" w:lineRule="auto"/>
              <w:jc w:val="center"/>
              <w:rPr>
                <w:rFonts w:eastAsiaTheme="minorHAnsi"/>
                <w:sz w:val="18"/>
                <w:szCs w:val="18"/>
                <w:lang w:val="en-GB" w:eastAsia="en-US"/>
              </w:rPr>
            </w:pPr>
            <w:r w:rsidRPr="00472AB4">
              <w:rPr>
                <w:rFonts w:eastAsia="Times New Roman"/>
                <w:color w:val="000000"/>
                <w:sz w:val="18"/>
                <w:szCs w:val="18"/>
                <w:lang w:eastAsia="en-US"/>
              </w:rPr>
              <w:t>1.250 (1.075-1.454</w:t>
            </w:r>
            <w:r w:rsidRPr="00472AB4">
              <w:rPr>
                <w:rFonts w:eastAsiaTheme="minorHAnsi"/>
                <w:sz w:val="18"/>
                <w:szCs w:val="18"/>
                <w:lang w:val="en-GB" w:eastAsia="en-US"/>
              </w:rPr>
              <w:t>)</w:t>
            </w:r>
          </w:p>
        </w:tc>
        <w:tc>
          <w:tcPr>
            <w:tcW w:w="641" w:type="pct"/>
            <w:tcBorders>
              <w:bottom w:val="single" w:sz="12" w:space="0" w:color="auto"/>
            </w:tcBorders>
          </w:tcPr>
          <w:p w14:paraId="5EDA1D94" w14:textId="726BBE12" w:rsidR="00BE7A45" w:rsidRPr="00472AB4" w:rsidRDefault="00BE7A45" w:rsidP="00A36D99">
            <w:pPr>
              <w:spacing w:before="0" w:after="0" w:line="240" w:lineRule="auto"/>
              <w:jc w:val="center"/>
              <w:rPr>
                <w:rFonts w:eastAsiaTheme="minorHAnsi"/>
                <w:sz w:val="18"/>
                <w:szCs w:val="18"/>
                <w:lang w:val="en-GB" w:eastAsia="en-US"/>
              </w:rPr>
            </w:pPr>
            <w:r w:rsidRPr="00472AB4">
              <w:rPr>
                <w:rFonts w:eastAsiaTheme="minorHAnsi"/>
                <w:color w:val="000000"/>
                <w:sz w:val="18"/>
                <w:szCs w:val="18"/>
                <w:lang w:val="en-GB" w:eastAsia="en-US"/>
              </w:rPr>
              <w:t>0.004</w:t>
            </w:r>
          </w:p>
        </w:tc>
      </w:tr>
    </w:tbl>
    <w:p w14:paraId="5248A5AA" w14:textId="77777777" w:rsidR="00A36D99" w:rsidRPr="00472AB4" w:rsidRDefault="00A36D99" w:rsidP="00A36D99">
      <w:pPr>
        <w:spacing w:before="0" w:after="0" w:line="276" w:lineRule="auto"/>
        <w:jc w:val="left"/>
        <w:rPr>
          <w:rFonts w:asciiTheme="minorHAnsi" w:eastAsiaTheme="minorHAnsi" w:hAnsiTheme="minorHAnsi" w:cstheme="minorBidi"/>
          <w:lang w:val="en-GB" w:eastAsia="en-US"/>
        </w:rPr>
      </w:pPr>
    </w:p>
    <w:p w14:paraId="48083FCD" w14:textId="77777777" w:rsidR="00A36D99" w:rsidRPr="00472AB4" w:rsidRDefault="00A36D99" w:rsidP="00A36D99">
      <w:pPr>
        <w:spacing w:before="0" w:after="0" w:line="276" w:lineRule="auto"/>
        <w:jc w:val="left"/>
        <w:rPr>
          <w:rFonts w:asciiTheme="minorHAnsi" w:eastAsiaTheme="minorHAnsi" w:hAnsiTheme="minorHAnsi" w:cstheme="minorBidi"/>
          <w:lang w:val="en-GB" w:eastAsia="en-US"/>
        </w:rPr>
      </w:pPr>
      <w:r w:rsidRPr="00472AB4">
        <w:rPr>
          <w:rFonts w:asciiTheme="minorHAnsi" w:eastAsiaTheme="minorHAnsi" w:hAnsiTheme="minorHAnsi" w:cstheme="minorBidi"/>
          <w:lang w:val="en-GB" w:eastAsia="en-US"/>
        </w:rPr>
        <w:t>(b) Results of Cox regression models with survival time censored at 1 year. Hazard ratios, confidence intervals (in brackets), and p-values represent the pooled results over 10 propensity score matched dataset instances.</w:t>
      </w:r>
    </w:p>
    <w:tbl>
      <w:tblPr>
        <w:tblStyle w:val="TableGrid2"/>
        <w:tblW w:w="37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7"/>
        <w:gridCol w:w="2322"/>
        <w:gridCol w:w="1064"/>
      </w:tblGrid>
      <w:tr w:rsidR="00A36D99" w:rsidRPr="00472AB4" w14:paraId="521AE6DD" w14:textId="77777777" w:rsidTr="00A36D99">
        <w:tc>
          <w:tcPr>
            <w:tcW w:w="2275" w:type="pct"/>
            <w:tcBorders>
              <w:top w:val="single" w:sz="12" w:space="0" w:color="auto"/>
              <w:bottom w:val="single" w:sz="4" w:space="0" w:color="auto"/>
            </w:tcBorders>
          </w:tcPr>
          <w:p w14:paraId="7F847B87" w14:textId="77777777" w:rsidR="00A36D99" w:rsidRPr="00472AB4" w:rsidRDefault="00A36D99" w:rsidP="00A36D99">
            <w:pPr>
              <w:spacing w:before="0" w:after="0" w:line="240" w:lineRule="auto"/>
              <w:jc w:val="center"/>
              <w:rPr>
                <w:rFonts w:eastAsiaTheme="minorHAnsi"/>
                <w:sz w:val="18"/>
                <w:szCs w:val="18"/>
                <w:lang w:val="en-GB" w:eastAsia="en-US"/>
              </w:rPr>
            </w:pPr>
            <w:r w:rsidRPr="00472AB4">
              <w:rPr>
                <w:rFonts w:eastAsiaTheme="minorHAnsi"/>
                <w:sz w:val="18"/>
                <w:szCs w:val="18"/>
                <w:lang w:val="en-GB" w:eastAsia="en-US"/>
              </w:rPr>
              <w:t>Cohort</w:t>
            </w:r>
          </w:p>
        </w:tc>
        <w:tc>
          <w:tcPr>
            <w:tcW w:w="1869" w:type="pct"/>
            <w:tcBorders>
              <w:top w:val="single" w:sz="12" w:space="0" w:color="auto"/>
              <w:bottom w:val="single" w:sz="4" w:space="0" w:color="auto"/>
            </w:tcBorders>
          </w:tcPr>
          <w:p w14:paraId="1883E501" w14:textId="77777777" w:rsidR="00A36D99" w:rsidRPr="00472AB4" w:rsidRDefault="00A36D99" w:rsidP="00A36D99">
            <w:pPr>
              <w:spacing w:before="0" w:after="0" w:line="240" w:lineRule="auto"/>
              <w:jc w:val="center"/>
              <w:rPr>
                <w:rFonts w:eastAsiaTheme="minorHAnsi"/>
                <w:sz w:val="18"/>
                <w:szCs w:val="18"/>
                <w:lang w:val="en-GB" w:eastAsia="en-US"/>
              </w:rPr>
            </w:pPr>
            <w:r w:rsidRPr="00472AB4">
              <w:rPr>
                <w:rFonts w:eastAsiaTheme="minorHAnsi"/>
                <w:sz w:val="18"/>
                <w:szCs w:val="18"/>
                <w:lang w:val="en-GB" w:eastAsia="en-US"/>
              </w:rPr>
              <w:t>Hazard ratio (95% CI)</w:t>
            </w:r>
          </w:p>
        </w:tc>
        <w:tc>
          <w:tcPr>
            <w:tcW w:w="856" w:type="pct"/>
            <w:tcBorders>
              <w:top w:val="single" w:sz="12" w:space="0" w:color="auto"/>
              <w:bottom w:val="single" w:sz="4" w:space="0" w:color="auto"/>
            </w:tcBorders>
          </w:tcPr>
          <w:p w14:paraId="16F50DB0" w14:textId="77777777" w:rsidR="00A36D99" w:rsidRPr="00472AB4" w:rsidRDefault="00A36D99" w:rsidP="00A36D99">
            <w:pPr>
              <w:spacing w:before="0" w:after="0" w:line="240" w:lineRule="auto"/>
              <w:jc w:val="center"/>
              <w:rPr>
                <w:rFonts w:eastAsiaTheme="minorHAnsi"/>
                <w:sz w:val="18"/>
                <w:szCs w:val="18"/>
                <w:lang w:val="en-GB" w:eastAsia="en-US"/>
              </w:rPr>
            </w:pPr>
            <w:r w:rsidRPr="00472AB4">
              <w:rPr>
                <w:rFonts w:eastAsiaTheme="minorHAnsi"/>
                <w:sz w:val="18"/>
                <w:szCs w:val="18"/>
                <w:lang w:val="en-GB" w:eastAsia="en-US"/>
              </w:rPr>
              <w:t>P-value</w:t>
            </w:r>
          </w:p>
        </w:tc>
      </w:tr>
      <w:tr w:rsidR="00BE7A45" w:rsidRPr="00472AB4" w14:paraId="4682903C" w14:textId="77777777" w:rsidTr="00A36D99">
        <w:tc>
          <w:tcPr>
            <w:tcW w:w="2275" w:type="pct"/>
            <w:tcBorders>
              <w:top w:val="single" w:sz="4" w:space="0" w:color="auto"/>
            </w:tcBorders>
          </w:tcPr>
          <w:p w14:paraId="6D178286" w14:textId="704C53FD" w:rsidR="00BE7A45" w:rsidRPr="00472AB4" w:rsidRDefault="00BE7A45" w:rsidP="00A36D99">
            <w:pPr>
              <w:spacing w:before="0" w:after="0" w:line="240" w:lineRule="auto"/>
              <w:jc w:val="left"/>
              <w:rPr>
                <w:rFonts w:eastAsiaTheme="minorHAnsi"/>
                <w:sz w:val="18"/>
                <w:szCs w:val="18"/>
                <w:lang w:val="en-GB" w:eastAsia="en-US"/>
              </w:rPr>
            </w:pPr>
            <w:r w:rsidRPr="00472AB4">
              <w:rPr>
                <w:rFonts w:eastAsiaTheme="minorHAnsi"/>
                <w:sz w:val="18"/>
                <w:szCs w:val="18"/>
                <w:lang w:val="en-GB" w:eastAsia="en-US"/>
              </w:rPr>
              <w:t>Prasugrel vs Clopidogrel</w:t>
            </w:r>
          </w:p>
        </w:tc>
        <w:tc>
          <w:tcPr>
            <w:tcW w:w="1869" w:type="pct"/>
            <w:tcBorders>
              <w:top w:val="single" w:sz="4" w:space="0" w:color="auto"/>
            </w:tcBorders>
          </w:tcPr>
          <w:p w14:paraId="39F75181" w14:textId="2A67B931" w:rsidR="00BE7A45" w:rsidRPr="00472AB4" w:rsidRDefault="00BE7A45" w:rsidP="00A36D99">
            <w:pPr>
              <w:spacing w:before="0" w:after="0" w:line="240" w:lineRule="auto"/>
              <w:jc w:val="center"/>
              <w:rPr>
                <w:rFonts w:eastAsiaTheme="minorHAnsi"/>
                <w:sz w:val="18"/>
                <w:szCs w:val="18"/>
                <w:lang w:val="en-GB" w:eastAsia="en-US"/>
              </w:rPr>
            </w:pPr>
            <w:r w:rsidRPr="00472AB4">
              <w:rPr>
                <w:rFonts w:eastAsia="Times New Roman"/>
                <w:color w:val="000000"/>
                <w:sz w:val="18"/>
                <w:szCs w:val="18"/>
                <w:lang w:eastAsia="en-US"/>
              </w:rPr>
              <w:t>0.871 (0.774-0.981</w:t>
            </w:r>
            <w:r w:rsidRPr="00472AB4">
              <w:rPr>
                <w:rFonts w:eastAsiaTheme="minorHAnsi"/>
                <w:sz w:val="18"/>
                <w:szCs w:val="18"/>
                <w:lang w:val="en-GB" w:eastAsia="en-US"/>
              </w:rPr>
              <w:t>)</w:t>
            </w:r>
          </w:p>
        </w:tc>
        <w:tc>
          <w:tcPr>
            <w:tcW w:w="856" w:type="pct"/>
            <w:tcBorders>
              <w:top w:val="single" w:sz="4" w:space="0" w:color="auto"/>
            </w:tcBorders>
          </w:tcPr>
          <w:p w14:paraId="5FFEA165" w14:textId="683861FE" w:rsidR="00BE7A45" w:rsidRPr="00472AB4" w:rsidRDefault="00BE7A45" w:rsidP="00A36D99">
            <w:pPr>
              <w:spacing w:before="0" w:after="0" w:line="240" w:lineRule="auto"/>
              <w:jc w:val="center"/>
              <w:rPr>
                <w:rFonts w:eastAsiaTheme="minorHAnsi"/>
                <w:sz w:val="18"/>
                <w:szCs w:val="18"/>
                <w:lang w:val="en-GB" w:eastAsia="en-US"/>
              </w:rPr>
            </w:pPr>
            <w:r w:rsidRPr="00472AB4">
              <w:rPr>
                <w:rFonts w:eastAsiaTheme="minorHAnsi"/>
                <w:color w:val="000000"/>
                <w:sz w:val="18"/>
                <w:szCs w:val="18"/>
                <w:lang w:val="en-GB" w:eastAsia="en-US"/>
              </w:rPr>
              <w:t>0.023</w:t>
            </w:r>
          </w:p>
        </w:tc>
      </w:tr>
      <w:tr w:rsidR="00BE7A45" w:rsidRPr="00472AB4" w14:paraId="3D1E2789" w14:textId="77777777" w:rsidTr="00A36D99">
        <w:tc>
          <w:tcPr>
            <w:tcW w:w="2275" w:type="pct"/>
          </w:tcPr>
          <w:p w14:paraId="19E420E5" w14:textId="0B8A26EB" w:rsidR="00BE7A45" w:rsidRPr="00472AB4" w:rsidRDefault="00BE7A45" w:rsidP="00A36D99">
            <w:pPr>
              <w:spacing w:before="0" w:after="0" w:line="240" w:lineRule="auto"/>
              <w:jc w:val="left"/>
              <w:rPr>
                <w:rFonts w:eastAsiaTheme="minorHAnsi"/>
                <w:sz w:val="18"/>
                <w:szCs w:val="18"/>
                <w:lang w:val="en-GB" w:eastAsia="en-US"/>
              </w:rPr>
            </w:pPr>
            <w:r w:rsidRPr="00472AB4">
              <w:rPr>
                <w:rFonts w:eastAsiaTheme="minorHAnsi"/>
                <w:sz w:val="18"/>
                <w:szCs w:val="18"/>
                <w:lang w:val="en-GB" w:eastAsia="en-US"/>
              </w:rPr>
              <w:t>Ticagrelor vs Clopidogrel</w:t>
            </w:r>
          </w:p>
        </w:tc>
        <w:tc>
          <w:tcPr>
            <w:tcW w:w="1869" w:type="pct"/>
          </w:tcPr>
          <w:p w14:paraId="5FCEB586" w14:textId="56143B44" w:rsidR="00BE7A45" w:rsidRPr="00472AB4" w:rsidRDefault="00BE7A45" w:rsidP="00A36D99">
            <w:pPr>
              <w:spacing w:before="0" w:after="0" w:line="240" w:lineRule="auto"/>
              <w:jc w:val="center"/>
              <w:rPr>
                <w:rFonts w:eastAsiaTheme="minorHAnsi"/>
                <w:sz w:val="18"/>
                <w:szCs w:val="18"/>
                <w:lang w:val="en-GB" w:eastAsia="en-US"/>
              </w:rPr>
            </w:pPr>
            <w:r w:rsidRPr="00472AB4">
              <w:rPr>
                <w:rFonts w:eastAsia="Times New Roman"/>
                <w:color w:val="000000"/>
                <w:sz w:val="18"/>
                <w:szCs w:val="18"/>
                <w:lang w:eastAsia="en-US"/>
              </w:rPr>
              <w:t>1.099 (0.971-1.243</w:t>
            </w:r>
            <w:r w:rsidRPr="00472AB4">
              <w:rPr>
                <w:rFonts w:eastAsiaTheme="minorHAnsi"/>
                <w:color w:val="000000"/>
                <w:sz w:val="18"/>
                <w:szCs w:val="18"/>
                <w:lang w:val="en-GB" w:eastAsia="en-US"/>
              </w:rPr>
              <w:t>)</w:t>
            </w:r>
          </w:p>
        </w:tc>
        <w:tc>
          <w:tcPr>
            <w:tcW w:w="856" w:type="pct"/>
          </w:tcPr>
          <w:p w14:paraId="1816C8B3" w14:textId="6132926B" w:rsidR="00BE7A45" w:rsidRPr="00472AB4" w:rsidRDefault="00BE7A45" w:rsidP="00A36D99">
            <w:pPr>
              <w:spacing w:before="0" w:after="0" w:line="240" w:lineRule="auto"/>
              <w:jc w:val="center"/>
              <w:rPr>
                <w:rFonts w:eastAsiaTheme="minorHAnsi"/>
                <w:sz w:val="18"/>
                <w:szCs w:val="18"/>
                <w:lang w:val="en-GB" w:eastAsia="en-US"/>
              </w:rPr>
            </w:pPr>
            <w:r w:rsidRPr="00472AB4">
              <w:rPr>
                <w:rFonts w:eastAsiaTheme="minorHAnsi"/>
                <w:color w:val="000000"/>
                <w:sz w:val="18"/>
                <w:szCs w:val="18"/>
                <w:lang w:val="en-GB" w:eastAsia="en-US"/>
              </w:rPr>
              <w:t>0.133</w:t>
            </w:r>
          </w:p>
        </w:tc>
      </w:tr>
      <w:tr w:rsidR="00BE7A45" w:rsidRPr="00472AB4" w14:paraId="6ADFEFB2" w14:textId="77777777" w:rsidTr="00A36D99">
        <w:tc>
          <w:tcPr>
            <w:tcW w:w="2275" w:type="pct"/>
            <w:tcBorders>
              <w:bottom w:val="single" w:sz="12" w:space="0" w:color="auto"/>
            </w:tcBorders>
          </w:tcPr>
          <w:p w14:paraId="48DF8890" w14:textId="7C38A606" w:rsidR="00BE7A45" w:rsidRPr="00472AB4" w:rsidRDefault="00BE7A45" w:rsidP="00A36D99">
            <w:pPr>
              <w:spacing w:before="0" w:after="0" w:line="240" w:lineRule="auto"/>
              <w:jc w:val="left"/>
              <w:rPr>
                <w:rFonts w:eastAsiaTheme="minorHAnsi"/>
                <w:sz w:val="18"/>
                <w:szCs w:val="18"/>
                <w:lang w:val="en-GB" w:eastAsia="en-US"/>
              </w:rPr>
            </w:pPr>
            <w:r w:rsidRPr="00472AB4">
              <w:rPr>
                <w:rFonts w:eastAsiaTheme="minorHAnsi"/>
                <w:sz w:val="18"/>
                <w:szCs w:val="18"/>
                <w:lang w:val="en-GB" w:eastAsia="en-US"/>
              </w:rPr>
              <w:t>Ticagrelor vs Prasugrel</w:t>
            </w:r>
          </w:p>
        </w:tc>
        <w:tc>
          <w:tcPr>
            <w:tcW w:w="1869" w:type="pct"/>
            <w:tcBorders>
              <w:bottom w:val="single" w:sz="12" w:space="0" w:color="auto"/>
            </w:tcBorders>
          </w:tcPr>
          <w:p w14:paraId="4286D554" w14:textId="6C27F03B" w:rsidR="00BE7A45" w:rsidRPr="00472AB4" w:rsidRDefault="00BE7A45" w:rsidP="00A36D99">
            <w:pPr>
              <w:spacing w:before="0" w:after="0" w:line="240" w:lineRule="auto"/>
              <w:jc w:val="center"/>
              <w:rPr>
                <w:rFonts w:eastAsiaTheme="minorHAnsi"/>
                <w:sz w:val="18"/>
                <w:szCs w:val="18"/>
                <w:lang w:val="en-GB" w:eastAsia="en-US"/>
              </w:rPr>
            </w:pPr>
            <w:r w:rsidRPr="00472AB4">
              <w:rPr>
                <w:rFonts w:eastAsia="Times New Roman"/>
                <w:color w:val="000000"/>
                <w:sz w:val="18"/>
                <w:szCs w:val="18"/>
                <w:lang w:eastAsia="en-US"/>
              </w:rPr>
              <w:t>1.258 (1.085-1.458</w:t>
            </w:r>
            <w:r w:rsidRPr="00472AB4">
              <w:rPr>
                <w:rFonts w:eastAsiaTheme="minorHAnsi"/>
                <w:sz w:val="18"/>
                <w:szCs w:val="18"/>
                <w:lang w:val="en-GB" w:eastAsia="en-US"/>
              </w:rPr>
              <w:t>)</w:t>
            </w:r>
          </w:p>
        </w:tc>
        <w:tc>
          <w:tcPr>
            <w:tcW w:w="856" w:type="pct"/>
            <w:tcBorders>
              <w:bottom w:val="single" w:sz="12" w:space="0" w:color="auto"/>
            </w:tcBorders>
          </w:tcPr>
          <w:p w14:paraId="49B2C943" w14:textId="5337EDB6" w:rsidR="00BE7A45" w:rsidRPr="00472AB4" w:rsidRDefault="00BE7A45" w:rsidP="00A36D99">
            <w:pPr>
              <w:spacing w:before="0" w:after="0" w:line="240" w:lineRule="auto"/>
              <w:jc w:val="center"/>
              <w:rPr>
                <w:rFonts w:eastAsiaTheme="minorHAnsi"/>
                <w:sz w:val="18"/>
                <w:szCs w:val="18"/>
                <w:lang w:val="en-GB" w:eastAsia="en-US"/>
              </w:rPr>
            </w:pPr>
            <w:r w:rsidRPr="00472AB4">
              <w:rPr>
                <w:rFonts w:eastAsiaTheme="minorHAnsi"/>
                <w:color w:val="000000"/>
                <w:sz w:val="18"/>
                <w:szCs w:val="18"/>
                <w:lang w:val="en-GB" w:eastAsia="en-US"/>
              </w:rPr>
              <w:t>0.002</w:t>
            </w:r>
          </w:p>
        </w:tc>
      </w:tr>
    </w:tbl>
    <w:p w14:paraId="2BFB7022" w14:textId="77777777" w:rsidR="005412F5" w:rsidRPr="00472AB4" w:rsidRDefault="005412F5" w:rsidP="007004EA">
      <w:pPr>
        <w:widowControl w:val="0"/>
        <w:autoSpaceDE w:val="0"/>
        <w:autoSpaceDN w:val="0"/>
        <w:adjustRightInd w:val="0"/>
        <w:rPr>
          <w:sz w:val="24"/>
          <w:szCs w:val="24"/>
        </w:rPr>
      </w:pPr>
    </w:p>
    <w:p w14:paraId="7868F9C5" w14:textId="36330138" w:rsidR="003238AD" w:rsidRPr="00472AB4" w:rsidRDefault="003238AD" w:rsidP="0008733B">
      <w:pPr>
        <w:rPr>
          <w:b/>
        </w:rPr>
      </w:pPr>
    </w:p>
    <w:p w14:paraId="548B1D45" w14:textId="77777777" w:rsidR="00EB10F0" w:rsidRPr="00472AB4" w:rsidRDefault="00EB10F0" w:rsidP="007004EA">
      <w:pPr>
        <w:widowControl w:val="0"/>
        <w:autoSpaceDE w:val="0"/>
        <w:autoSpaceDN w:val="0"/>
        <w:adjustRightInd w:val="0"/>
        <w:rPr>
          <w:sz w:val="24"/>
          <w:szCs w:val="24"/>
        </w:rPr>
      </w:pPr>
    </w:p>
    <w:p w14:paraId="1F83A6BF" w14:textId="77777777" w:rsidR="00EB10F0" w:rsidRPr="00472AB4" w:rsidRDefault="00EB10F0" w:rsidP="007004EA">
      <w:pPr>
        <w:widowControl w:val="0"/>
        <w:autoSpaceDE w:val="0"/>
        <w:autoSpaceDN w:val="0"/>
        <w:adjustRightInd w:val="0"/>
        <w:rPr>
          <w:sz w:val="24"/>
          <w:szCs w:val="24"/>
        </w:rPr>
      </w:pPr>
    </w:p>
    <w:p w14:paraId="6E4302EF" w14:textId="71F94DE5" w:rsidR="004000E8" w:rsidRPr="00FF0361" w:rsidRDefault="00EB10F0" w:rsidP="007004EA">
      <w:pPr>
        <w:widowControl w:val="0"/>
        <w:autoSpaceDE w:val="0"/>
        <w:autoSpaceDN w:val="0"/>
        <w:adjustRightInd w:val="0"/>
        <w:rPr>
          <w:sz w:val="24"/>
          <w:szCs w:val="24"/>
        </w:rPr>
      </w:pPr>
      <w:r w:rsidRPr="00472AB4">
        <w:rPr>
          <w:sz w:val="24"/>
          <w:szCs w:val="24"/>
        </w:rPr>
        <w:fldChar w:fldCharType="begin"/>
      </w:r>
      <w:r w:rsidRPr="00472AB4">
        <w:rPr>
          <w:sz w:val="24"/>
          <w:szCs w:val="24"/>
        </w:rPr>
        <w:instrText xml:space="preserve"> ADDIN EN.REFLIST </w:instrText>
      </w:r>
      <w:r w:rsidRPr="00472AB4">
        <w:rPr>
          <w:sz w:val="24"/>
          <w:szCs w:val="24"/>
        </w:rPr>
        <w:fldChar w:fldCharType="end"/>
      </w:r>
      <w:bookmarkStart w:id="0" w:name="_GoBack"/>
      <w:bookmarkEnd w:id="0"/>
    </w:p>
    <w:sectPr w:rsidR="004000E8" w:rsidRPr="00FF0361" w:rsidSect="00973938">
      <w:pgSz w:w="11900" w:h="16840"/>
      <w:pgMar w:top="1440" w:right="1800" w:bottom="1440" w:left="1800"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CABC5" w14:textId="77777777" w:rsidR="001054C6" w:rsidRDefault="001054C6" w:rsidP="009E3F58">
      <w:pPr>
        <w:spacing w:before="0" w:after="0" w:line="240" w:lineRule="auto"/>
      </w:pPr>
      <w:r>
        <w:separator/>
      </w:r>
    </w:p>
  </w:endnote>
  <w:endnote w:type="continuationSeparator" w:id="0">
    <w:p w14:paraId="29B8DB9C" w14:textId="77777777" w:rsidR="001054C6" w:rsidRDefault="001054C6" w:rsidP="009E3F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61A2A" w14:textId="77777777" w:rsidR="001054C6" w:rsidRDefault="001054C6" w:rsidP="009E3F58">
      <w:pPr>
        <w:spacing w:before="0" w:after="0" w:line="240" w:lineRule="auto"/>
      </w:pPr>
      <w:r>
        <w:separator/>
      </w:r>
    </w:p>
  </w:footnote>
  <w:footnote w:type="continuationSeparator" w:id="0">
    <w:p w14:paraId="2E949E90" w14:textId="77777777" w:rsidR="001054C6" w:rsidRDefault="001054C6" w:rsidP="009E3F58">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eart BMJ&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zvzrv9elsdxa9ezre5vfvfc2wxv5aa502vd&quot;&gt;My EndNote Library&lt;record-ids&gt;&lt;item&gt;69&lt;/item&gt;&lt;/record-ids&gt;&lt;/item&gt;&lt;/Libraries&gt;"/>
  </w:docVars>
  <w:rsids>
    <w:rsidRoot w:val="0035362B"/>
    <w:rsid w:val="000012B1"/>
    <w:rsid w:val="000031A8"/>
    <w:rsid w:val="00004CDB"/>
    <w:rsid w:val="00012AE5"/>
    <w:rsid w:val="00013564"/>
    <w:rsid w:val="0001475E"/>
    <w:rsid w:val="000165AC"/>
    <w:rsid w:val="00020D8C"/>
    <w:rsid w:val="00021341"/>
    <w:rsid w:val="00022EB3"/>
    <w:rsid w:val="000265EE"/>
    <w:rsid w:val="0002664E"/>
    <w:rsid w:val="00027C02"/>
    <w:rsid w:val="00031370"/>
    <w:rsid w:val="00032257"/>
    <w:rsid w:val="00036CC1"/>
    <w:rsid w:val="00036F05"/>
    <w:rsid w:val="00037904"/>
    <w:rsid w:val="0004060A"/>
    <w:rsid w:val="00043246"/>
    <w:rsid w:val="00044626"/>
    <w:rsid w:val="00046511"/>
    <w:rsid w:val="000501C4"/>
    <w:rsid w:val="00050ABD"/>
    <w:rsid w:val="000525DE"/>
    <w:rsid w:val="000536B5"/>
    <w:rsid w:val="000564FE"/>
    <w:rsid w:val="00057573"/>
    <w:rsid w:val="00061D13"/>
    <w:rsid w:val="00062A28"/>
    <w:rsid w:val="0006363B"/>
    <w:rsid w:val="000676CB"/>
    <w:rsid w:val="000726E4"/>
    <w:rsid w:val="00072A37"/>
    <w:rsid w:val="000803D4"/>
    <w:rsid w:val="00081978"/>
    <w:rsid w:val="00082B44"/>
    <w:rsid w:val="0008366C"/>
    <w:rsid w:val="00083A46"/>
    <w:rsid w:val="00083E82"/>
    <w:rsid w:val="00086A17"/>
    <w:rsid w:val="0008733B"/>
    <w:rsid w:val="00091F9C"/>
    <w:rsid w:val="00092664"/>
    <w:rsid w:val="0009454D"/>
    <w:rsid w:val="000945DC"/>
    <w:rsid w:val="00097F97"/>
    <w:rsid w:val="000A1543"/>
    <w:rsid w:val="000A1C89"/>
    <w:rsid w:val="000A2AAD"/>
    <w:rsid w:val="000A2D9D"/>
    <w:rsid w:val="000A3859"/>
    <w:rsid w:val="000A3AAA"/>
    <w:rsid w:val="000A4086"/>
    <w:rsid w:val="000A422B"/>
    <w:rsid w:val="000A6520"/>
    <w:rsid w:val="000A7E41"/>
    <w:rsid w:val="000B0DA6"/>
    <w:rsid w:val="000B4F87"/>
    <w:rsid w:val="000B56C1"/>
    <w:rsid w:val="000B61E8"/>
    <w:rsid w:val="000C32E9"/>
    <w:rsid w:val="000C4443"/>
    <w:rsid w:val="000D2512"/>
    <w:rsid w:val="000D3507"/>
    <w:rsid w:val="000D5477"/>
    <w:rsid w:val="000E309E"/>
    <w:rsid w:val="000E5AD4"/>
    <w:rsid w:val="000E7EC2"/>
    <w:rsid w:val="000F0D74"/>
    <w:rsid w:val="000F16DE"/>
    <w:rsid w:val="000F1C5A"/>
    <w:rsid w:val="000F46FA"/>
    <w:rsid w:val="00103394"/>
    <w:rsid w:val="001054C6"/>
    <w:rsid w:val="00105F9B"/>
    <w:rsid w:val="001067C2"/>
    <w:rsid w:val="0011166E"/>
    <w:rsid w:val="00112269"/>
    <w:rsid w:val="001128C7"/>
    <w:rsid w:val="001146EC"/>
    <w:rsid w:val="00114E33"/>
    <w:rsid w:val="001154FE"/>
    <w:rsid w:val="00116253"/>
    <w:rsid w:val="0011780C"/>
    <w:rsid w:val="0012023E"/>
    <w:rsid w:val="0012126C"/>
    <w:rsid w:val="00122596"/>
    <w:rsid w:val="00123E55"/>
    <w:rsid w:val="00132656"/>
    <w:rsid w:val="00132C77"/>
    <w:rsid w:val="00132D60"/>
    <w:rsid w:val="0013749A"/>
    <w:rsid w:val="001401D9"/>
    <w:rsid w:val="001411A7"/>
    <w:rsid w:val="00142450"/>
    <w:rsid w:val="0014317F"/>
    <w:rsid w:val="0014359E"/>
    <w:rsid w:val="0014370E"/>
    <w:rsid w:val="001437E5"/>
    <w:rsid w:val="00147036"/>
    <w:rsid w:val="00155855"/>
    <w:rsid w:val="001568A0"/>
    <w:rsid w:val="00157372"/>
    <w:rsid w:val="00157E37"/>
    <w:rsid w:val="001609FE"/>
    <w:rsid w:val="00162275"/>
    <w:rsid w:val="00163B6E"/>
    <w:rsid w:val="001643F2"/>
    <w:rsid w:val="00166340"/>
    <w:rsid w:val="00167B23"/>
    <w:rsid w:val="001706AB"/>
    <w:rsid w:val="00170AAA"/>
    <w:rsid w:val="00172BAB"/>
    <w:rsid w:val="00175DF3"/>
    <w:rsid w:val="00177C57"/>
    <w:rsid w:val="00184242"/>
    <w:rsid w:val="0018623F"/>
    <w:rsid w:val="0018731B"/>
    <w:rsid w:val="00187DB2"/>
    <w:rsid w:val="00187E4D"/>
    <w:rsid w:val="00191321"/>
    <w:rsid w:val="0019200E"/>
    <w:rsid w:val="00193E4A"/>
    <w:rsid w:val="00194D99"/>
    <w:rsid w:val="001A1083"/>
    <w:rsid w:val="001A117A"/>
    <w:rsid w:val="001A1F9F"/>
    <w:rsid w:val="001A4348"/>
    <w:rsid w:val="001A61A8"/>
    <w:rsid w:val="001A7445"/>
    <w:rsid w:val="001A7B10"/>
    <w:rsid w:val="001B0415"/>
    <w:rsid w:val="001B0B7E"/>
    <w:rsid w:val="001B5DB1"/>
    <w:rsid w:val="001B698E"/>
    <w:rsid w:val="001C08F4"/>
    <w:rsid w:val="001C1C7C"/>
    <w:rsid w:val="001C20C7"/>
    <w:rsid w:val="001C32F6"/>
    <w:rsid w:val="001C3CA0"/>
    <w:rsid w:val="001C4368"/>
    <w:rsid w:val="001C47B2"/>
    <w:rsid w:val="001C4CAB"/>
    <w:rsid w:val="001D0BE2"/>
    <w:rsid w:val="001D126C"/>
    <w:rsid w:val="001D1797"/>
    <w:rsid w:val="001D338B"/>
    <w:rsid w:val="001D4963"/>
    <w:rsid w:val="001E0582"/>
    <w:rsid w:val="001E2E28"/>
    <w:rsid w:val="001E3BC4"/>
    <w:rsid w:val="001E70B8"/>
    <w:rsid w:val="001E7E45"/>
    <w:rsid w:val="001F01D9"/>
    <w:rsid w:val="001F132A"/>
    <w:rsid w:val="001F2008"/>
    <w:rsid w:val="001F3EFB"/>
    <w:rsid w:val="001F7D2A"/>
    <w:rsid w:val="002012E9"/>
    <w:rsid w:val="00201367"/>
    <w:rsid w:val="00204F64"/>
    <w:rsid w:val="00210E04"/>
    <w:rsid w:val="00212298"/>
    <w:rsid w:val="00212EC5"/>
    <w:rsid w:val="00215144"/>
    <w:rsid w:val="00221D4F"/>
    <w:rsid w:val="00221FCB"/>
    <w:rsid w:val="0022206E"/>
    <w:rsid w:val="00222208"/>
    <w:rsid w:val="00223FDA"/>
    <w:rsid w:val="0022591A"/>
    <w:rsid w:val="002268BB"/>
    <w:rsid w:val="002309EF"/>
    <w:rsid w:val="002319B6"/>
    <w:rsid w:val="002342FA"/>
    <w:rsid w:val="0023479A"/>
    <w:rsid w:val="00235497"/>
    <w:rsid w:val="00237588"/>
    <w:rsid w:val="0024102E"/>
    <w:rsid w:val="0024156E"/>
    <w:rsid w:val="00241F5C"/>
    <w:rsid w:val="0024237E"/>
    <w:rsid w:val="00243601"/>
    <w:rsid w:val="00243AE2"/>
    <w:rsid w:val="00245944"/>
    <w:rsid w:val="0025155D"/>
    <w:rsid w:val="00251605"/>
    <w:rsid w:val="00253512"/>
    <w:rsid w:val="002604C7"/>
    <w:rsid w:val="002624E5"/>
    <w:rsid w:val="002642E1"/>
    <w:rsid w:val="002660C0"/>
    <w:rsid w:val="002667AE"/>
    <w:rsid w:val="0026773E"/>
    <w:rsid w:val="00267D57"/>
    <w:rsid w:val="00276F84"/>
    <w:rsid w:val="0028093D"/>
    <w:rsid w:val="002817E9"/>
    <w:rsid w:val="002828A6"/>
    <w:rsid w:val="00284675"/>
    <w:rsid w:val="0028498E"/>
    <w:rsid w:val="002856A1"/>
    <w:rsid w:val="00286278"/>
    <w:rsid w:val="002868DA"/>
    <w:rsid w:val="00287304"/>
    <w:rsid w:val="002909FC"/>
    <w:rsid w:val="002913BE"/>
    <w:rsid w:val="00291671"/>
    <w:rsid w:val="002928D1"/>
    <w:rsid w:val="00292EF8"/>
    <w:rsid w:val="002A07AE"/>
    <w:rsid w:val="002A4532"/>
    <w:rsid w:val="002A45A2"/>
    <w:rsid w:val="002A4777"/>
    <w:rsid w:val="002A4CC1"/>
    <w:rsid w:val="002A53BA"/>
    <w:rsid w:val="002A5B31"/>
    <w:rsid w:val="002B00BA"/>
    <w:rsid w:val="002B08D0"/>
    <w:rsid w:val="002B1364"/>
    <w:rsid w:val="002B19BA"/>
    <w:rsid w:val="002B29D9"/>
    <w:rsid w:val="002B45F1"/>
    <w:rsid w:val="002B5A54"/>
    <w:rsid w:val="002C14BA"/>
    <w:rsid w:val="002C1A8F"/>
    <w:rsid w:val="002C4F87"/>
    <w:rsid w:val="002C5776"/>
    <w:rsid w:val="002C5E61"/>
    <w:rsid w:val="002C6214"/>
    <w:rsid w:val="002C6690"/>
    <w:rsid w:val="002D027C"/>
    <w:rsid w:val="002D0D23"/>
    <w:rsid w:val="002D1C17"/>
    <w:rsid w:val="002D5FFF"/>
    <w:rsid w:val="002E0C11"/>
    <w:rsid w:val="002E4ED8"/>
    <w:rsid w:val="002E632A"/>
    <w:rsid w:val="002E6B2C"/>
    <w:rsid w:val="002E765A"/>
    <w:rsid w:val="002E7A78"/>
    <w:rsid w:val="002F27E1"/>
    <w:rsid w:val="002F57F2"/>
    <w:rsid w:val="002F7288"/>
    <w:rsid w:val="003006ED"/>
    <w:rsid w:val="00303319"/>
    <w:rsid w:val="00304AE4"/>
    <w:rsid w:val="00306304"/>
    <w:rsid w:val="00306B9D"/>
    <w:rsid w:val="00307319"/>
    <w:rsid w:val="003100A1"/>
    <w:rsid w:val="0031033D"/>
    <w:rsid w:val="00310676"/>
    <w:rsid w:val="0031173E"/>
    <w:rsid w:val="00312BFB"/>
    <w:rsid w:val="00316A32"/>
    <w:rsid w:val="00316FE7"/>
    <w:rsid w:val="00317376"/>
    <w:rsid w:val="00322006"/>
    <w:rsid w:val="003238AD"/>
    <w:rsid w:val="00330E53"/>
    <w:rsid w:val="00330E5A"/>
    <w:rsid w:val="00332956"/>
    <w:rsid w:val="00333CB8"/>
    <w:rsid w:val="00335018"/>
    <w:rsid w:val="0034158A"/>
    <w:rsid w:val="00343651"/>
    <w:rsid w:val="0035042B"/>
    <w:rsid w:val="00350849"/>
    <w:rsid w:val="003516C3"/>
    <w:rsid w:val="00351EDE"/>
    <w:rsid w:val="0035362B"/>
    <w:rsid w:val="0035380E"/>
    <w:rsid w:val="00354EBD"/>
    <w:rsid w:val="003600AD"/>
    <w:rsid w:val="00361A31"/>
    <w:rsid w:val="003632FD"/>
    <w:rsid w:val="00363624"/>
    <w:rsid w:val="003640A4"/>
    <w:rsid w:val="00366781"/>
    <w:rsid w:val="00367921"/>
    <w:rsid w:val="00370B2A"/>
    <w:rsid w:val="003716EE"/>
    <w:rsid w:val="00372B3C"/>
    <w:rsid w:val="003750D5"/>
    <w:rsid w:val="00375E02"/>
    <w:rsid w:val="00384AB2"/>
    <w:rsid w:val="00384C54"/>
    <w:rsid w:val="0038534C"/>
    <w:rsid w:val="003855D1"/>
    <w:rsid w:val="0038565A"/>
    <w:rsid w:val="00385E76"/>
    <w:rsid w:val="00385F94"/>
    <w:rsid w:val="00390C37"/>
    <w:rsid w:val="00390DE0"/>
    <w:rsid w:val="0039247C"/>
    <w:rsid w:val="00392892"/>
    <w:rsid w:val="003943F9"/>
    <w:rsid w:val="00397469"/>
    <w:rsid w:val="003A02F0"/>
    <w:rsid w:val="003A26D2"/>
    <w:rsid w:val="003A2A83"/>
    <w:rsid w:val="003A2EC6"/>
    <w:rsid w:val="003A34E9"/>
    <w:rsid w:val="003A3E08"/>
    <w:rsid w:val="003A6818"/>
    <w:rsid w:val="003A69DC"/>
    <w:rsid w:val="003A79BF"/>
    <w:rsid w:val="003A7A9F"/>
    <w:rsid w:val="003B06A7"/>
    <w:rsid w:val="003B1DFA"/>
    <w:rsid w:val="003B7618"/>
    <w:rsid w:val="003C227F"/>
    <w:rsid w:val="003C4C52"/>
    <w:rsid w:val="003D076C"/>
    <w:rsid w:val="003D0E2E"/>
    <w:rsid w:val="003D2204"/>
    <w:rsid w:val="003D3BE3"/>
    <w:rsid w:val="003E08F9"/>
    <w:rsid w:val="003E10F6"/>
    <w:rsid w:val="003E1E1D"/>
    <w:rsid w:val="003E20FD"/>
    <w:rsid w:val="003E2DB6"/>
    <w:rsid w:val="003E42B5"/>
    <w:rsid w:val="003E64D7"/>
    <w:rsid w:val="003E7CA3"/>
    <w:rsid w:val="003E7E90"/>
    <w:rsid w:val="003F4666"/>
    <w:rsid w:val="003F68CF"/>
    <w:rsid w:val="003F795F"/>
    <w:rsid w:val="004000E8"/>
    <w:rsid w:val="004006EA"/>
    <w:rsid w:val="0040078A"/>
    <w:rsid w:val="004011E2"/>
    <w:rsid w:val="0040236F"/>
    <w:rsid w:val="00403DBC"/>
    <w:rsid w:val="00410816"/>
    <w:rsid w:val="00424250"/>
    <w:rsid w:val="004242CC"/>
    <w:rsid w:val="004256B6"/>
    <w:rsid w:val="00426394"/>
    <w:rsid w:val="00426B52"/>
    <w:rsid w:val="00427827"/>
    <w:rsid w:val="00427FCE"/>
    <w:rsid w:val="00430134"/>
    <w:rsid w:val="00431A42"/>
    <w:rsid w:val="004321E6"/>
    <w:rsid w:val="00432F1B"/>
    <w:rsid w:val="00440434"/>
    <w:rsid w:val="0044185D"/>
    <w:rsid w:val="004419D3"/>
    <w:rsid w:val="004419F1"/>
    <w:rsid w:val="00444A86"/>
    <w:rsid w:val="00446B82"/>
    <w:rsid w:val="00451448"/>
    <w:rsid w:val="00453C0C"/>
    <w:rsid w:val="0045611F"/>
    <w:rsid w:val="00456B99"/>
    <w:rsid w:val="0045728A"/>
    <w:rsid w:val="004576E4"/>
    <w:rsid w:val="004579E8"/>
    <w:rsid w:val="00457DFD"/>
    <w:rsid w:val="004607F1"/>
    <w:rsid w:val="00463DD7"/>
    <w:rsid w:val="00464958"/>
    <w:rsid w:val="0046731F"/>
    <w:rsid w:val="0047033C"/>
    <w:rsid w:val="00470BDA"/>
    <w:rsid w:val="00471AE9"/>
    <w:rsid w:val="00472AB4"/>
    <w:rsid w:val="004741BC"/>
    <w:rsid w:val="00477ECC"/>
    <w:rsid w:val="00477EF7"/>
    <w:rsid w:val="00480052"/>
    <w:rsid w:val="0048190E"/>
    <w:rsid w:val="0048610A"/>
    <w:rsid w:val="00486345"/>
    <w:rsid w:val="004863CC"/>
    <w:rsid w:val="00487E5A"/>
    <w:rsid w:val="004912F4"/>
    <w:rsid w:val="00491B12"/>
    <w:rsid w:val="00496CE7"/>
    <w:rsid w:val="004A149C"/>
    <w:rsid w:val="004A2514"/>
    <w:rsid w:val="004A330D"/>
    <w:rsid w:val="004A53C7"/>
    <w:rsid w:val="004B0A75"/>
    <w:rsid w:val="004B0FD5"/>
    <w:rsid w:val="004B168F"/>
    <w:rsid w:val="004B2787"/>
    <w:rsid w:val="004B457A"/>
    <w:rsid w:val="004B5126"/>
    <w:rsid w:val="004B5232"/>
    <w:rsid w:val="004B5B9E"/>
    <w:rsid w:val="004C047A"/>
    <w:rsid w:val="004C12B8"/>
    <w:rsid w:val="004C30DD"/>
    <w:rsid w:val="004C483F"/>
    <w:rsid w:val="004D01E3"/>
    <w:rsid w:val="004D0C15"/>
    <w:rsid w:val="004D12F7"/>
    <w:rsid w:val="004D4918"/>
    <w:rsid w:val="004D5F37"/>
    <w:rsid w:val="004D66D7"/>
    <w:rsid w:val="004E29FF"/>
    <w:rsid w:val="004E3407"/>
    <w:rsid w:val="004E551D"/>
    <w:rsid w:val="004E599D"/>
    <w:rsid w:val="004F09F2"/>
    <w:rsid w:val="004F1AE2"/>
    <w:rsid w:val="004F6273"/>
    <w:rsid w:val="004F75ED"/>
    <w:rsid w:val="00501244"/>
    <w:rsid w:val="00501894"/>
    <w:rsid w:val="00505BB3"/>
    <w:rsid w:val="0051016D"/>
    <w:rsid w:val="00510CDC"/>
    <w:rsid w:val="00514021"/>
    <w:rsid w:val="005156E0"/>
    <w:rsid w:val="00515DD8"/>
    <w:rsid w:val="00517B49"/>
    <w:rsid w:val="005206FF"/>
    <w:rsid w:val="00522DD0"/>
    <w:rsid w:val="00523D2C"/>
    <w:rsid w:val="00525068"/>
    <w:rsid w:val="00531686"/>
    <w:rsid w:val="00532528"/>
    <w:rsid w:val="00534A49"/>
    <w:rsid w:val="00535E80"/>
    <w:rsid w:val="005362C8"/>
    <w:rsid w:val="00537387"/>
    <w:rsid w:val="0054062C"/>
    <w:rsid w:val="005412F5"/>
    <w:rsid w:val="00542328"/>
    <w:rsid w:val="005444CC"/>
    <w:rsid w:val="00545554"/>
    <w:rsid w:val="00545D30"/>
    <w:rsid w:val="00547C18"/>
    <w:rsid w:val="00551E19"/>
    <w:rsid w:val="005531DC"/>
    <w:rsid w:val="005546C2"/>
    <w:rsid w:val="00555511"/>
    <w:rsid w:val="0055551D"/>
    <w:rsid w:val="00556017"/>
    <w:rsid w:val="005578E1"/>
    <w:rsid w:val="005603F3"/>
    <w:rsid w:val="005608AD"/>
    <w:rsid w:val="0056363D"/>
    <w:rsid w:val="00563641"/>
    <w:rsid w:val="0056578A"/>
    <w:rsid w:val="0056622A"/>
    <w:rsid w:val="005673DA"/>
    <w:rsid w:val="00570582"/>
    <w:rsid w:val="00570873"/>
    <w:rsid w:val="00571080"/>
    <w:rsid w:val="00571505"/>
    <w:rsid w:val="00572594"/>
    <w:rsid w:val="005773B8"/>
    <w:rsid w:val="0058036B"/>
    <w:rsid w:val="00582DBF"/>
    <w:rsid w:val="0058393B"/>
    <w:rsid w:val="00584753"/>
    <w:rsid w:val="005949B0"/>
    <w:rsid w:val="005964FE"/>
    <w:rsid w:val="005A6EA4"/>
    <w:rsid w:val="005A74A8"/>
    <w:rsid w:val="005C09BD"/>
    <w:rsid w:val="005C16B2"/>
    <w:rsid w:val="005C5322"/>
    <w:rsid w:val="005C766D"/>
    <w:rsid w:val="005C7A45"/>
    <w:rsid w:val="005C7B1C"/>
    <w:rsid w:val="005D04CC"/>
    <w:rsid w:val="005D0FFF"/>
    <w:rsid w:val="005D2E62"/>
    <w:rsid w:val="005D380D"/>
    <w:rsid w:val="005D41CD"/>
    <w:rsid w:val="005D5EA6"/>
    <w:rsid w:val="005E0AEF"/>
    <w:rsid w:val="005E3988"/>
    <w:rsid w:val="005E4042"/>
    <w:rsid w:val="005E4776"/>
    <w:rsid w:val="005E6E70"/>
    <w:rsid w:val="005E7B18"/>
    <w:rsid w:val="005F058D"/>
    <w:rsid w:val="005F6E94"/>
    <w:rsid w:val="00600C73"/>
    <w:rsid w:val="0060111C"/>
    <w:rsid w:val="00602532"/>
    <w:rsid w:val="00606916"/>
    <w:rsid w:val="00607332"/>
    <w:rsid w:val="00607420"/>
    <w:rsid w:val="006105FE"/>
    <w:rsid w:val="00610D03"/>
    <w:rsid w:val="006112E6"/>
    <w:rsid w:val="0061185E"/>
    <w:rsid w:val="006126E6"/>
    <w:rsid w:val="00613AF1"/>
    <w:rsid w:val="00615A91"/>
    <w:rsid w:val="00616509"/>
    <w:rsid w:val="006166D2"/>
    <w:rsid w:val="006225D8"/>
    <w:rsid w:val="006232A8"/>
    <w:rsid w:val="0062391F"/>
    <w:rsid w:val="00624781"/>
    <w:rsid w:val="00624ED2"/>
    <w:rsid w:val="00625CFE"/>
    <w:rsid w:val="00627004"/>
    <w:rsid w:val="00631F2A"/>
    <w:rsid w:val="006327CC"/>
    <w:rsid w:val="006342C4"/>
    <w:rsid w:val="00635AF1"/>
    <w:rsid w:val="006375C8"/>
    <w:rsid w:val="00643056"/>
    <w:rsid w:val="00651F4A"/>
    <w:rsid w:val="00653B79"/>
    <w:rsid w:val="00654012"/>
    <w:rsid w:val="006578D2"/>
    <w:rsid w:val="00660C9C"/>
    <w:rsid w:val="0066114D"/>
    <w:rsid w:val="00661971"/>
    <w:rsid w:val="006635A0"/>
    <w:rsid w:val="00664CFD"/>
    <w:rsid w:val="006656C7"/>
    <w:rsid w:val="00665732"/>
    <w:rsid w:val="006657B1"/>
    <w:rsid w:val="006718E1"/>
    <w:rsid w:val="006718E3"/>
    <w:rsid w:val="00674EA9"/>
    <w:rsid w:val="00680036"/>
    <w:rsid w:val="00681292"/>
    <w:rsid w:val="00681DB4"/>
    <w:rsid w:val="006834CF"/>
    <w:rsid w:val="00684317"/>
    <w:rsid w:val="00684FA3"/>
    <w:rsid w:val="00687F6C"/>
    <w:rsid w:val="00690878"/>
    <w:rsid w:val="00690EFA"/>
    <w:rsid w:val="006919C5"/>
    <w:rsid w:val="00692300"/>
    <w:rsid w:val="00697C29"/>
    <w:rsid w:val="006A004F"/>
    <w:rsid w:val="006A0381"/>
    <w:rsid w:val="006A0F3A"/>
    <w:rsid w:val="006A3BB7"/>
    <w:rsid w:val="006A4B97"/>
    <w:rsid w:val="006A542C"/>
    <w:rsid w:val="006A7580"/>
    <w:rsid w:val="006A76F0"/>
    <w:rsid w:val="006B0C01"/>
    <w:rsid w:val="006B165E"/>
    <w:rsid w:val="006B3F1E"/>
    <w:rsid w:val="006B4D7E"/>
    <w:rsid w:val="006B5C07"/>
    <w:rsid w:val="006B6197"/>
    <w:rsid w:val="006B7B3D"/>
    <w:rsid w:val="006C1A2C"/>
    <w:rsid w:val="006C238F"/>
    <w:rsid w:val="006C4EB3"/>
    <w:rsid w:val="006C7669"/>
    <w:rsid w:val="006C78C1"/>
    <w:rsid w:val="006C7940"/>
    <w:rsid w:val="006D02E8"/>
    <w:rsid w:val="006D2B04"/>
    <w:rsid w:val="006D415C"/>
    <w:rsid w:val="006D4552"/>
    <w:rsid w:val="006D612B"/>
    <w:rsid w:val="006D6D5F"/>
    <w:rsid w:val="006E2359"/>
    <w:rsid w:val="006E4495"/>
    <w:rsid w:val="006E687A"/>
    <w:rsid w:val="006E7A8D"/>
    <w:rsid w:val="006F0F11"/>
    <w:rsid w:val="006F20FF"/>
    <w:rsid w:val="006F3699"/>
    <w:rsid w:val="006F398B"/>
    <w:rsid w:val="006F5D30"/>
    <w:rsid w:val="007004EA"/>
    <w:rsid w:val="00700D6E"/>
    <w:rsid w:val="00700F0A"/>
    <w:rsid w:val="007023E6"/>
    <w:rsid w:val="00702B95"/>
    <w:rsid w:val="00703116"/>
    <w:rsid w:val="00704972"/>
    <w:rsid w:val="00705464"/>
    <w:rsid w:val="00707603"/>
    <w:rsid w:val="007108E4"/>
    <w:rsid w:val="007117AC"/>
    <w:rsid w:val="00712068"/>
    <w:rsid w:val="00713777"/>
    <w:rsid w:val="007141A4"/>
    <w:rsid w:val="00715618"/>
    <w:rsid w:val="00716A8C"/>
    <w:rsid w:val="00716EA6"/>
    <w:rsid w:val="00721529"/>
    <w:rsid w:val="007225C4"/>
    <w:rsid w:val="00722D53"/>
    <w:rsid w:val="007250DB"/>
    <w:rsid w:val="00730AA3"/>
    <w:rsid w:val="0073111F"/>
    <w:rsid w:val="00735A9F"/>
    <w:rsid w:val="00735B71"/>
    <w:rsid w:val="00735C6D"/>
    <w:rsid w:val="00740174"/>
    <w:rsid w:val="00741432"/>
    <w:rsid w:val="00743E4D"/>
    <w:rsid w:val="00745458"/>
    <w:rsid w:val="00747BB3"/>
    <w:rsid w:val="00747C9B"/>
    <w:rsid w:val="00747D52"/>
    <w:rsid w:val="00751CFB"/>
    <w:rsid w:val="0075205E"/>
    <w:rsid w:val="0075418C"/>
    <w:rsid w:val="00760A7C"/>
    <w:rsid w:val="00760D18"/>
    <w:rsid w:val="007637B9"/>
    <w:rsid w:val="00764368"/>
    <w:rsid w:val="007647F3"/>
    <w:rsid w:val="00767ABC"/>
    <w:rsid w:val="00773A69"/>
    <w:rsid w:val="00774C87"/>
    <w:rsid w:val="0078016A"/>
    <w:rsid w:val="00780E6D"/>
    <w:rsid w:val="00781AD9"/>
    <w:rsid w:val="00782E11"/>
    <w:rsid w:val="00784F17"/>
    <w:rsid w:val="00786DCC"/>
    <w:rsid w:val="00787C00"/>
    <w:rsid w:val="0079222C"/>
    <w:rsid w:val="00792F09"/>
    <w:rsid w:val="00794938"/>
    <w:rsid w:val="00797729"/>
    <w:rsid w:val="00797AB5"/>
    <w:rsid w:val="007A2519"/>
    <w:rsid w:val="007A42E8"/>
    <w:rsid w:val="007A4A12"/>
    <w:rsid w:val="007A4E2D"/>
    <w:rsid w:val="007B5EBC"/>
    <w:rsid w:val="007B698F"/>
    <w:rsid w:val="007C06E0"/>
    <w:rsid w:val="007C2447"/>
    <w:rsid w:val="007C2E4D"/>
    <w:rsid w:val="007C353A"/>
    <w:rsid w:val="007C452B"/>
    <w:rsid w:val="007C56CF"/>
    <w:rsid w:val="007C5D78"/>
    <w:rsid w:val="007C7ED5"/>
    <w:rsid w:val="007D0536"/>
    <w:rsid w:val="007D4F90"/>
    <w:rsid w:val="007E346C"/>
    <w:rsid w:val="007E61BC"/>
    <w:rsid w:val="007E6F17"/>
    <w:rsid w:val="007F0530"/>
    <w:rsid w:val="007F1BCB"/>
    <w:rsid w:val="007F1FC1"/>
    <w:rsid w:val="0080313E"/>
    <w:rsid w:val="008050B0"/>
    <w:rsid w:val="008054FA"/>
    <w:rsid w:val="00806859"/>
    <w:rsid w:val="00810E09"/>
    <w:rsid w:val="00812D94"/>
    <w:rsid w:val="0081306E"/>
    <w:rsid w:val="00813638"/>
    <w:rsid w:val="00813C1B"/>
    <w:rsid w:val="00814494"/>
    <w:rsid w:val="008157D7"/>
    <w:rsid w:val="00816FE5"/>
    <w:rsid w:val="00822038"/>
    <w:rsid w:val="00824466"/>
    <w:rsid w:val="00830834"/>
    <w:rsid w:val="00830933"/>
    <w:rsid w:val="00833A57"/>
    <w:rsid w:val="00837425"/>
    <w:rsid w:val="00840712"/>
    <w:rsid w:val="0084246C"/>
    <w:rsid w:val="008429AF"/>
    <w:rsid w:val="00842FE6"/>
    <w:rsid w:val="00844F01"/>
    <w:rsid w:val="00847107"/>
    <w:rsid w:val="00850282"/>
    <w:rsid w:val="00855DBD"/>
    <w:rsid w:val="008573EA"/>
    <w:rsid w:val="0086044E"/>
    <w:rsid w:val="0086176D"/>
    <w:rsid w:val="00862CE8"/>
    <w:rsid w:val="00867C07"/>
    <w:rsid w:val="00867E87"/>
    <w:rsid w:val="008702DE"/>
    <w:rsid w:val="00871504"/>
    <w:rsid w:val="00871BAF"/>
    <w:rsid w:val="00872922"/>
    <w:rsid w:val="00872DA8"/>
    <w:rsid w:val="008759E6"/>
    <w:rsid w:val="00875F87"/>
    <w:rsid w:val="008776D8"/>
    <w:rsid w:val="008809B0"/>
    <w:rsid w:val="00883928"/>
    <w:rsid w:val="008844DD"/>
    <w:rsid w:val="00885664"/>
    <w:rsid w:val="0088597B"/>
    <w:rsid w:val="008867A3"/>
    <w:rsid w:val="0088696F"/>
    <w:rsid w:val="008905B4"/>
    <w:rsid w:val="008919EC"/>
    <w:rsid w:val="0089250F"/>
    <w:rsid w:val="008934A8"/>
    <w:rsid w:val="00893956"/>
    <w:rsid w:val="00893FD9"/>
    <w:rsid w:val="00894630"/>
    <w:rsid w:val="00896146"/>
    <w:rsid w:val="008A158C"/>
    <w:rsid w:val="008A2006"/>
    <w:rsid w:val="008A31F9"/>
    <w:rsid w:val="008A3445"/>
    <w:rsid w:val="008A58B1"/>
    <w:rsid w:val="008B0CA6"/>
    <w:rsid w:val="008B14E6"/>
    <w:rsid w:val="008B36DA"/>
    <w:rsid w:val="008B372F"/>
    <w:rsid w:val="008B5A54"/>
    <w:rsid w:val="008B65E2"/>
    <w:rsid w:val="008C0A09"/>
    <w:rsid w:val="008C24DF"/>
    <w:rsid w:val="008C2FE0"/>
    <w:rsid w:val="008C3272"/>
    <w:rsid w:val="008C47ED"/>
    <w:rsid w:val="008C4E3F"/>
    <w:rsid w:val="008C70D0"/>
    <w:rsid w:val="008C73E7"/>
    <w:rsid w:val="008D04C2"/>
    <w:rsid w:val="008D1529"/>
    <w:rsid w:val="008D368D"/>
    <w:rsid w:val="008D44AA"/>
    <w:rsid w:val="008D4C7E"/>
    <w:rsid w:val="008E0662"/>
    <w:rsid w:val="008E1935"/>
    <w:rsid w:val="008E1C70"/>
    <w:rsid w:val="008E367A"/>
    <w:rsid w:val="008E4A9F"/>
    <w:rsid w:val="008E6C30"/>
    <w:rsid w:val="008E6DEB"/>
    <w:rsid w:val="008F1F9F"/>
    <w:rsid w:val="008F2D54"/>
    <w:rsid w:val="008F3873"/>
    <w:rsid w:val="008F39C9"/>
    <w:rsid w:val="009031FD"/>
    <w:rsid w:val="0090324C"/>
    <w:rsid w:val="00903DEE"/>
    <w:rsid w:val="00904329"/>
    <w:rsid w:val="00905209"/>
    <w:rsid w:val="00906545"/>
    <w:rsid w:val="009123F5"/>
    <w:rsid w:val="00913B1E"/>
    <w:rsid w:val="009228A6"/>
    <w:rsid w:val="00922D45"/>
    <w:rsid w:val="0092595B"/>
    <w:rsid w:val="00925C71"/>
    <w:rsid w:val="009302CB"/>
    <w:rsid w:val="0093228B"/>
    <w:rsid w:val="00934DD4"/>
    <w:rsid w:val="0093512E"/>
    <w:rsid w:val="00935D40"/>
    <w:rsid w:val="0093709B"/>
    <w:rsid w:val="00947EE4"/>
    <w:rsid w:val="00950572"/>
    <w:rsid w:val="00952796"/>
    <w:rsid w:val="00952A61"/>
    <w:rsid w:val="00952E20"/>
    <w:rsid w:val="00953BE6"/>
    <w:rsid w:val="00954721"/>
    <w:rsid w:val="009558CE"/>
    <w:rsid w:val="00955CBD"/>
    <w:rsid w:val="00957D4D"/>
    <w:rsid w:val="00960DE7"/>
    <w:rsid w:val="0096346A"/>
    <w:rsid w:val="00964758"/>
    <w:rsid w:val="009647DA"/>
    <w:rsid w:val="00964910"/>
    <w:rsid w:val="00971BA1"/>
    <w:rsid w:val="0097217F"/>
    <w:rsid w:val="009735DE"/>
    <w:rsid w:val="00973938"/>
    <w:rsid w:val="00975503"/>
    <w:rsid w:val="0097592D"/>
    <w:rsid w:val="009775A5"/>
    <w:rsid w:val="009778D3"/>
    <w:rsid w:val="00981CD6"/>
    <w:rsid w:val="00982C97"/>
    <w:rsid w:val="00982E9B"/>
    <w:rsid w:val="00983382"/>
    <w:rsid w:val="00983789"/>
    <w:rsid w:val="00983B77"/>
    <w:rsid w:val="00984428"/>
    <w:rsid w:val="00984A8E"/>
    <w:rsid w:val="0098507C"/>
    <w:rsid w:val="009860ED"/>
    <w:rsid w:val="009909E5"/>
    <w:rsid w:val="00992C67"/>
    <w:rsid w:val="009934CF"/>
    <w:rsid w:val="0099409F"/>
    <w:rsid w:val="0099668E"/>
    <w:rsid w:val="009A0566"/>
    <w:rsid w:val="009A15F8"/>
    <w:rsid w:val="009A19FC"/>
    <w:rsid w:val="009A282C"/>
    <w:rsid w:val="009A48E8"/>
    <w:rsid w:val="009A5153"/>
    <w:rsid w:val="009A5C26"/>
    <w:rsid w:val="009B0655"/>
    <w:rsid w:val="009B15FB"/>
    <w:rsid w:val="009B3A26"/>
    <w:rsid w:val="009C11C9"/>
    <w:rsid w:val="009C49B5"/>
    <w:rsid w:val="009C6194"/>
    <w:rsid w:val="009C64A1"/>
    <w:rsid w:val="009D57B8"/>
    <w:rsid w:val="009D7028"/>
    <w:rsid w:val="009E0073"/>
    <w:rsid w:val="009E18E7"/>
    <w:rsid w:val="009E3815"/>
    <w:rsid w:val="009E3F58"/>
    <w:rsid w:val="009E4080"/>
    <w:rsid w:val="009E7C0B"/>
    <w:rsid w:val="009F4476"/>
    <w:rsid w:val="009F4C0D"/>
    <w:rsid w:val="009F526D"/>
    <w:rsid w:val="009F5B0B"/>
    <w:rsid w:val="009F6650"/>
    <w:rsid w:val="00A00F03"/>
    <w:rsid w:val="00A0213C"/>
    <w:rsid w:val="00A02589"/>
    <w:rsid w:val="00A02D47"/>
    <w:rsid w:val="00A03C69"/>
    <w:rsid w:val="00A05102"/>
    <w:rsid w:val="00A0556A"/>
    <w:rsid w:val="00A06547"/>
    <w:rsid w:val="00A071ED"/>
    <w:rsid w:val="00A11DCF"/>
    <w:rsid w:val="00A124D3"/>
    <w:rsid w:val="00A12C7C"/>
    <w:rsid w:val="00A14B1C"/>
    <w:rsid w:val="00A16348"/>
    <w:rsid w:val="00A172C3"/>
    <w:rsid w:val="00A20BD4"/>
    <w:rsid w:val="00A21ACD"/>
    <w:rsid w:val="00A24E25"/>
    <w:rsid w:val="00A24E34"/>
    <w:rsid w:val="00A25957"/>
    <w:rsid w:val="00A26043"/>
    <w:rsid w:val="00A27C11"/>
    <w:rsid w:val="00A3070B"/>
    <w:rsid w:val="00A30C0F"/>
    <w:rsid w:val="00A36D99"/>
    <w:rsid w:val="00A3722F"/>
    <w:rsid w:val="00A417FD"/>
    <w:rsid w:val="00A45276"/>
    <w:rsid w:val="00A500AF"/>
    <w:rsid w:val="00A515A4"/>
    <w:rsid w:val="00A5272F"/>
    <w:rsid w:val="00A54EDB"/>
    <w:rsid w:val="00A57086"/>
    <w:rsid w:val="00A5790C"/>
    <w:rsid w:val="00A6285E"/>
    <w:rsid w:val="00A64BE8"/>
    <w:rsid w:val="00A6559B"/>
    <w:rsid w:val="00A65C0B"/>
    <w:rsid w:val="00A70830"/>
    <w:rsid w:val="00A71644"/>
    <w:rsid w:val="00A74B3E"/>
    <w:rsid w:val="00A755ED"/>
    <w:rsid w:val="00A75B31"/>
    <w:rsid w:val="00A80D99"/>
    <w:rsid w:val="00A829B8"/>
    <w:rsid w:val="00A829C8"/>
    <w:rsid w:val="00A856AC"/>
    <w:rsid w:val="00A869D2"/>
    <w:rsid w:val="00A86B70"/>
    <w:rsid w:val="00A9130C"/>
    <w:rsid w:val="00A920FC"/>
    <w:rsid w:val="00A922F6"/>
    <w:rsid w:val="00A92974"/>
    <w:rsid w:val="00A94EA0"/>
    <w:rsid w:val="00A95C4A"/>
    <w:rsid w:val="00A95FA7"/>
    <w:rsid w:val="00AA56C0"/>
    <w:rsid w:val="00AB0668"/>
    <w:rsid w:val="00AB0782"/>
    <w:rsid w:val="00AB16A7"/>
    <w:rsid w:val="00AB32DD"/>
    <w:rsid w:val="00AB4E35"/>
    <w:rsid w:val="00AB5634"/>
    <w:rsid w:val="00AB6118"/>
    <w:rsid w:val="00AB79BD"/>
    <w:rsid w:val="00AC012E"/>
    <w:rsid w:val="00AC097F"/>
    <w:rsid w:val="00AC35CC"/>
    <w:rsid w:val="00AC5578"/>
    <w:rsid w:val="00AD06E1"/>
    <w:rsid w:val="00AD121C"/>
    <w:rsid w:val="00AD14D4"/>
    <w:rsid w:val="00AD2259"/>
    <w:rsid w:val="00AD4E00"/>
    <w:rsid w:val="00AE0433"/>
    <w:rsid w:val="00AE0DB9"/>
    <w:rsid w:val="00AE2951"/>
    <w:rsid w:val="00AE3670"/>
    <w:rsid w:val="00AE3DB6"/>
    <w:rsid w:val="00AE42D4"/>
    <w:rsid w:val="00AE5E00"/>
    <w:rsid w:val="00AE771D"/>
    <w:rsid w:val="00AF028A"/>
    <w:rsid w:val="00AF23BA"/>
    <w:rsid w:val="00AF2454"/>
    <w:rsid w:val="00AF28EB"/>
    <w:rsid w:val="00AF38E0"/>
    <w:rsid w:val="00AF3EF8"/>
    <w:rsid w:val="00AF4FC2"/>
    <w:rsid w:val="00AF6F1A"/>
    <w:rsid w:val="00AF7B27"/>
    <w:rsid w:val="00B00116"/>
    <w:rsid w:val="00B0125E"/>
    <w:rsid w:val="00B023A4"/>
    <w:rsid w:val="00B0555A"/>
    <w:rsid w:val="00B05FB0"/>
    <w:rsid w:val="00B07555"/>
    <w:rsid w:val="00B07D7D"/>
    <w:rsid w:val="00B10935"/>
    <w:rsid w:val="00B10D06"/>
    <w:rsid w:val="00B11465"/>
    <w:rsid w:val="00B13172"/>
    <w:rsid w:val="00B13EE3"/>
    <w:rsid w:val="00B14983"/>
    <w:rsid w:val="00B17EDC"/>
    <w:rsid w:val="00B211CF"/>
    <w:rsid w:val="00B21B44"/>
    <w:rsid w:val="00B225B5"/>
    <w:rsid w:val="00B22921"/>
    <w:rsid w:val="00B24622"/>
    <w:rsid w:val="00B26CDF"/>
    <w:rsid w:val="00B312B8"/>
    <w:rsid w:val="00B31D0D"/>
    <w:rsid w:val="00B31F74"/>
    <w:rsid w:val="00B36F1C"/>
    <w:rsid w:val="00B37909"/>
    <w:rsid w:val="00B37CC7"/>
    <w:rsid w:val="00B41CBF"/>
    <w:rsid w:val="00B44957"/>
    <w:rsid w:val="00B44F7E"/>
    <w:rsid w:val="00B454DF"/>
    <w:rsid w:val="00B5100F"/>
    <w:rsid w:val="00B52B60"/>
    <w:rsid w:val="00B53FD1"/>
    <w:rsid w:val="00B575D8"/>
    <w:rsid w:val="00B62DE1"/>
    <w:rsid w:val="00B6429A"/>
    <w:rsid w:val="00B6498D"/>
    <w:rsid w:val="00B704DC"/>
    <w:rsid w:val="00B75434"/>
    <w:rsid w:val="00B75B0E"/>
    <w:rsid w:val="00B80217"/>
    <w:rsid w:val="00B80355"/>
    <w:rsid w:val="00B808A2"/>
    <w:rsid w:val="00B81057"/>
    <w:rsid w:val="00B82A48"/>
    <w:rsid w:val="00B83E9F"/>
    <w:rsid w:val="00B84111"/>
    <w:rsid w:val="00B84E10"/>
    <w:rsid w:val="00B850E3"/>
    <w:rsid w:val="00B87AA5"/>
    <w:rsid w:val="00B91A01"/>
    <w:rsid w:val="00B97095"/>
    <w:rsid w:val="00B972E8"/>
    <w:rsid w:val="00B979D7"/>
    <w:rsid w:val="00BA0857"/>
    <w:rsid w:val="00BA15A5"/>
    <w:rsid w:val="00BA203D"/>
    <w:rsid w:val="00BA5052"/>
    <w:rsid w:val="00BA5A7F"/>
    <w:rsid w:val="00BA6CE7"/>
    <w:rsid w:val="00BA6F9F"/>
    <w:rsid w:val="00BB01BD"/>
    <w:rsid w:val="00BB09A7"/>
    <w:rsid w:val="00BB0C69"/>
    <w:rsid w:val="00BB2EE0"/>
    <w:rsid w:val="00BB303B"/>
    <w:rsid w:val="00BB388D"/>
    <w:rsid w:val="00BB3A93"/>
    <w:rsid w:val="00BB4D88"/>
    <w:rsid w:val="00BB4EF6"/>
    <w:rsid w:val="00BC0032"/>
    <w:rsid w:val="00BC1454"/>
    <w:rsid w:val="00BC1719"/>
    <w:rsid w:val="00BC6361"/>
    <w:rsid w:val="00BC68A6"/>
    <w:rsid w:val="00BD012A"/>
    <w:rsid w:val="00BD3D20"/>
    <w:rsid w:val="00BD4D33"/>
    <w:rsid w:val="00BD54A4"/>
    <w:rsid w:val="00BD5525"/>
    <w:rsid w:val="00BD58C2"/>
    <w:rsid w:val="00BD5D26"/>
    <w:rsid w:val="00BD66AE"/>
    <w:rsid w:val="00BE2F8D"/>
    <w:rsid w:val="00BE308E"/>
    <w:rsid w:val="00BE33A5"/>
    <w:rsid w:val="00BE6172"/>
    <w:rsid w:val="00BE6FD1"/>
    <w:rsid w:val="00BE7A45"/>
    <w:rsid w:val="00BF2D6E"/>
    <w:rsid w:val="00BF39BD"/>
    <w:rsid w:val="00BF54CC"/>
    <w:rsid w:val="00BF6C11"/>
    <w:rsid w:val="00C01A30"/>
    <w:rsid w:val="00C01C0C"/>
    <w:rsid w:val="00C03F2C"/>
    <w:rsid w:val="00C046C3"/>
    <w:rsid w:val="00C06A12"/>
    <w:rsid w:val="00C078FC"/>
    <w:rsid w:val="00C07DA8"/>
    <w:rsid w:val="00C1051F"/>
    <w:rsid w:val="00C11241"/>
    <w:rsid w:val="00C11AB6"/>
    <w:rsid w:val="00C120A4"/>
    <w:rsid w:val="00C2010A"/>
    <w:rsid w:val="00C238C9"/>
    <w:rsid w:val="00C24101"/>
    <w:rsid w:val="00C249CF"/>
    <w:rsid w:val="00C26F71"/>
    <w:rsid w:val="00C32EF1"/>
    <w:rsid w:val="00C339EA"/>
    <w:rsid w:val="00C35578"/>
    <w:rsid w:val="00C35658"/>
    <w:rsid w:val="00C37A02"/>
    <w:rsid w:val="00C441DE"/>
    <w:rsid w:val="00C502C0"/>
    <w:rsid w:val="00C52B64"/>
    <w:rsid w:val="00C530E6"/>
    <w:rsid w:val="00C54910"/>
    <w:rsid w:val="00C54EC6"/>
    <w:rsid w:val="00C5788F"/>
    <w:rsid w:val="00C603FD"/>
    <w:rsid w:val="00C605A1"/>
    <w:rsid w:val="00C6254B"/>
    <w:rsid w:val="00C62B08"/>
    <w:rsid w:val="00C64FA7"/>
    <w:rsid w:val="00C65941"/>
    <w:rsid w:val="00C65A4A"/>
    <w:rsid w:val="00C67B1B"/>
    <w:rsid w:val="00C70E73"/>
    <w:rsid w:val="00C728D3"/>
    <w:rsid w:val="00C7384B"/>
    <w:rsid w:val="00C74BAA"/>
    <w:rsid w:val="00C76FD8"/>
    <w:rsid w:val="00C773F3"/>
    <w:rsid w:val="00C8062E"/>
    <w:rsid w:val="00C81EB9"/>
    <w:rsid w:val="00C8228B"/>
    <w:rsid w:val="00C83560"/>
    <w:rsid w:val="00C85A7F"/>
    <w:rsid w:val="00C865C3"/>
    <w:rsid w:val="00C8775C"/>
    <w:rsid w:val="00C904A3"/>
    <w:rsid w:val="00C9181C"/>
    <w:rsid w:val="00C9612F"/>
    <w:rsid w:val="00C96D45"/>
    <w:rsid w:val="00CA0410"/>
    <w:rsid w:val="00CA1F26"/>
    <w:rsid w:val="00CA34C2"/>
    <w:rsid w:val="00CA37D9"/>
    <w:rsid w:val="00CA53DE"/>
    <w:rsid w:val="00CA6C40"/>
    <w:rsid w:val="00CB02FB"/>
    <w:rsid w:val="00CB2F80"/>
    <w:rsid w:val="00CB312F"/>
    <w:rsid w:val="00CB3F5F"/>
    <w:rsid w:val="00CB45BD"/>
    <w:rsid w:val="00CB6A87"/>
    <w:rsid w:val="00CB7C48"/>
    <w:rsid w:val="00CC039D"/>
    <w:rsid w:val="00CC0F66"/>
    <w:rsid w:val="00CC19FA"/>
    <w:rsid w:val="00CC4D19"/>
    <w:rsid w:val="00CC596B"/>
    <w:rsid w:val="00CC7C42"/>
    <w:rsid w:val="00CD6F8A"/>
    <w:rsid w:val="00CE0327"/>
    <w:rsid w:val="00CE0BB2"/>
    <w:rsid w:val="00CE3AF0"/>
    <w:rsid w:val="00CE50C6"/>
    <w:rsid w:val="00CE643B"/>
    <w:rsid w:val="00CE689D"/>
    <w:rsid w:val="00CE75C2"/>
    <w:rsid w:val="00CE7D0B"/>
    <w:rsid w:val="00CF1CD5"/>
    <w:rsid w:val="00CF34E6"/>
    <w:rsid w:val="00CF54A2"/>
    <w:rsid w:val="00D05584"/>
    <w:rsid w:val="00D05FB5"/>
    <w:rsid w:val="00D10DCC"/>
    <w:rsid w:val="00D150D9"/>
    <w:rsid w:val="00D15855"/>
    <w:rsid w:val="00D160FF"/>
    <w:rsid w:val="00D16EC8"/>
    <w:rsid w:val="00D2175F"/>
    <w:rsid w:val="00D21ED6"/>
    <w:rsid w:val="00D2222D"/>
    <w:rsid w:val="00D2436C"/>
    <w:rsid w:val="00D25F61"/>
    <w:rsid w:val="00D3329E"/>
    <w:rsid w:val="00D3524F"/>
    <w:rsid w:val="00D36D0B"/>
    <w:rsid w:val="00D37490"/>
    <w:rsid w:val="00D37F38"/>
    <w:rsid w:val="00D43F9C"/>
    <w:rsid w:val="00D44D75"/>
    <w:rsid w:val="00D4512C"/>
    <w:rsid w:val="00D46F0C"/>
    <w:rsid w:val="00D46F72"/>
    <w:rsid w:val="00D47351"/>
    <w:rsid w:val="00D51CE5"/>
    <w:rsid w:val="00D5280B"/>
    <w:rsid w:val="00D52E9C"/>
    <w:rsid w:val="00D532E7"/>
    <w:rsid w:val="00D55365"/>
    <w:rsid w:val="00D560DE"/>
    <w:rsid w:val="00D562A8"/>
    <w:rsid w:val="00D5643E"/>
    <w:rsid w:val="00D57246"/>
    <w:rsid w:val="00D60A29"/>
    <w:rsid w:val="00D64790"/>
    <w:rsid w:val="00D70AD9"/>
    <w:rsid w:val="00D71BAA"/>
    <w:rsid w:val="00D725E1"/>
    <w:rsid w:val="00D73B7D"/>
    <w:rsid w:val="00D74417"/>
    <w:rsid w:val="00D7472E"/>
    <w:rsid w:val="00D77029"/>
    <w:rsid w:val="00D774C0"/>
    <w:rsid w:val="00D77861"/>
    <w:rsid w:val="00D80399"/>
    <w:rsid w:val="00D80657"/>
    <w:rsid w:val="00D80974"/>
    <w:rsid w:val="00D80C06"/>
    <w:rsid w:val="00D81FAA"/>
    <w:rsid w:val="00D81FEF"/>
    <w:rsid w:val="00D83B22"/>
    <w:rsid w:val="00D848E2"/>
    <w:rsid w:val="00D84D8C"/>
    <w:rsid w:val="00D84DD4"/>
    <w:rsid w:val="00D8503E"/>
    <w:rsid w:val="00D8585C"/>
    <w:rsid w:val="00D86F0C"/>
    <w:rsid w:val="00D87EBE"/>
    <w:rsid w:val="00D91D1C"/>
    <w:rsid w:val="00D943E3"/>
    <w:rsid w:val="00D9549C"/>
    <w:rsid w:val="00D971CE"/>
    <w:rsid w:val="00DA04EE"/>
    <w:rsid w:val="00DA062B"/>
    <w:rsid w:val="00DA5C38"/>
    <w:rsid w:val="00DA6085"/>
    <w:rsid w:val="00DB3E14"/>
    <w:rsid w:val="00DB5446"/>
    <w:rsid w:val="00DB5C3D"/>
    <w:rsid w:val="00DB6164"/>
    <w:rsid w:val="00DB6FBA"/>
    <w:rsid w:val="00DB7F1D"/>
    <w:rsid w:val="00DC048C"/>
    <w:rsid w:val="00DC08EF"/>
    <w:rsid w:val="00DC2450"/>
    <w:rsid w:val="00DC5F85"/>
    <w:rsid w:val="00DD534C"/>
    <w:rsid w:val="00DD7D70"/>
    <w:rsid w:val="00DF09DC"/>
    <w:rsid w:val="00DF0A33"/>
    <w:rsid w:val="00DF302C"/>
    <w:rsid w:val="00DF426E"/>
    <w:rsid w:val="00DF4EE2"/>
    <w:rsid w:val="00DF5056"/>
    <w:rsid w:val="00DF6411"/>
    <w:rsid w:val="00DF7D40"/>
    <w:rsid w:val="00E00305"/>
    <w:rsid w:val="00E00E0F"/>
    <w:rsid w:val="00E01901"/>
    <w:rsid w:val="00E01ACF"/>
    <w:rsid w:val="00E03D10"/>
    <w:rsid w:val="00E04ED2"/>
    <w:rsid w:val="00E06011"/>
    <w:rsid w:val="00E06AF7"/>
    <w:rsid w:val="00E07AD7"/>
    <w:rsid w:val="00E10583"/>
    <w:rsid w:val="00E10631"/>
    <w:rsid w:val="00E12B42"/>
    <w:rsid w:val="00E12EE7"/>
    <w:rsid w:val="00E15F04"/>
    <w:rsid w:val="00E16B07"/>
    <w:rsid w:val="00E17EEE"/>
    <w:rsid w:val="00E21C0C"/>
    <w:rsid w:val="00E21E27"/>
    <w:rsid w:val="00E2203C"/>
    <w:rsid w:val="00E25E5E"/>
    <w:rsid w:val="00E25E99"/>
    <w:rsid w:val="00E26360"/>
    <w:rsid w:val="00E2675A"/>
    <w:rsid w:val="00E268C6"/>
    <w:rsid w:val="00E27849"/>
    <w:rsid w:val="00E27BF1"/>
    <w:rsid w:val="00E27DE4"/>
    <w:rsid w:val="00E30769"/>
    <w:rsid w:val="00E32B80"/>
    <w:rsid w:val="00E3522C"/>
    <w:rsid w:val="00E43F5A"/>
    <w:rsid w:val="00E441F8"/>
    <w:rsid w:val="00E47430"/>
    <w:rsid w:val="00E50B7D"/>
    <w:rsid w:val="00E55474"/>
    <w:rsid w:val="00E55E64"/>
    <w:rsid w:val="00E61836"/>
    <w:rsid w:val="00E62463"/>
    <w:rsid w:val="00E65248"/>
    <w:rsid w:val="00E656B7"/>
    <w:rsid w:val="00E65F4B"/>
    <w:rsid w:val="00E66080"/>
    <w:rsid w:val="00E66898"/>
    <w:rsid w:val="00E67656"/>
    <w:rsid w:val="00E67AC1"/>
    <w:rsid w:val="00E7090D"/>
    <w:rsid w:val="00E72C9B"/>
    <w:rsid w:val="00E72F5D"/>
    <w:rsid w:val="00E7362B"/>
    <w:rsid w:val="00E7478F"/>
    <w:rsid w:val="00E75E2B"/>
    <w:rsid w:val="00E763E9"/>
    <w:rsid w:val="00E76D94"/>
    <w:rsid w:val="00E774DD"/>
    <w:rsid w:val="00E77509"/>
    <w:rsid w:val="00E812DB"/>
    <w:rsid w:val="00E81BDD"/>
    <w:rsid w:val="00E825AD"/>
    <w:rsid w:val="00E82B93"/>
    <w:rsid w:val="00E84DEA"/>
    <w:rsid w:val="00E87A0A"/>
    <w:rsid w:val="00E92F28"/>
    <w:rsid w:val="00EA072B"/>
    <w:rsid w:val="00EA1E62"/>
    <w:rsid w:val="00EB10F0"/>
    <w:rsid w:val="00EB12BA"/>
    <w:rsid w:val="00EB2A91"/>
    <w:rsid w:val="00EB358B"/>
    <w:rsid w:val="00EB5853"/>
    <w:rsid w:val="00EB5C90"/>
    <w:rsid w:val="00EB7224"/>
    <w:rsid w:val="00EB7767"/>
    <w:rsid w:val="00EC1EA1"/>
    <w:rsid w:val="00EC1EC9"/>
    <w:rsid w:val="00EC31F6"/>
    <w:rsid w:val="00EC3F20"/>
    <w:rsid w:val="00EC4235"/>
    <w:rsid w:val="00EC453C"/>
    <w:rsid w:val="00EC51A3"/>
    <w:rsid w:val="00EC52C0"/>
    <w:rsid w:val="00ED0336"/>
    <w:rsid w:val="00ED4EEF"/>
    <w:rsid w:val="00EE206C"/>
    <w:rsid w:val="00EE2C28"/>
    <w:rsid w:val="00EE3C6D"/>
    <w:rsid w:val="00EE4BAB"/>
    <w:rsid w:val="00EE532D"/>
    <w:rsid w:val="00EE657F"/>
    <w:rsid w:val="00EE71FF"/>
    <w:rsid w:val="00EE7BC4"/>
    <w:rsid w:val="00EF029A"/>
    <w:rsid w:val="00EF34C2"/>
    <w:rsid w:val="00EF5C4D"/>
    <w:rsid w:val="00EF5DEC"/>
    <w:rsid w:val="00EF684B"/>
    <w:rsid w:val="00EF69E6"/>
    <w:rsid w:val="00EF7E53"/>
    <w:rsid w:val="00F011A1"/>
    <w:rsid w:val="00F05A4F"/>
    <w:rsid w:val="00F06036"/>
    <w:rsid w:val="00F06B58"/>
    <w:rsid w:val="00F10C33"/>
    <w:rsid w:val="00F114DC"/>
    <w:rsid w:val="00F11774"/>
    <w:rsid w:val="00F13FEF"/>
    <w:rsid w:val="00F149B4"/>
    <w:rsid w:val="00F15D06"/>
    <w:rsid w:val="00F166D1"/>
    <w:rsid w:val="00F17C5C"/>
    <w:rsid w:val="00F17EA4"/>
    <w:rsid w:val="00F205D3"/>
    <w:rsid w:val="00F233E0"/>
    <w:rsid w:val="00F23763"/>
    <w:rsid w:val="00F250DC"/>
    <w:rsid w:val="00F26505"/>
    <w:rsid w:val="00F31F84"/>
    <w:rsid w:val="00F3441D"/>
    <w:rsid w:val="00F35B07"/>
    <w:rsid w:val="00F41733"/>
    <w:rsid w:val="00F42809"/>
    <w:rsid w:val="00F439B8"/>
    <w:rsid w:val="00F460BF"/>
    <w:rsid w:val="00F5020E"/>
    <w:rsid w:val="00F50728"/>
    <w:rsid w:val="00F507EB"/>
    <w:rsid w:val="00F54DC5"/>
    <w:rsid w:val="00F54FB6"/>
    <w:rsid w:val="00F55920"/>
    <w:rsid w:val="00F61B30"/>
    <w:rsid w:val="00F628DF"/>
    <w:rsid w:val="00F638E2"/>
    <w:rsid w:val="00F643ED"/>
    <w:rsid w:val="00F678BE"/>
    <w:rsid w:val="00F67F06"/>
    <w:rsid w:val="00F70499"/>
    <w:rsid w:val="00F73AC0"/>
    <w:rsid w:val="00F73E8F"/>
    <w:rsid w:val="00F74381"/>
    <w:rsid w:val="00F7487B"/>
    <w:rsid w:val="00F75E97"/>
    <w:rsid w:val="00F76634"/>
    <w:rsid w:val="00F770EC"/>
    <w:rsid w:val="00F77128"/>
    <w:rsid w:val="00F8066E"/>
    <w:rsid w:val="00F81225"/>
    <w:rsid w:val="00F84AF7"/>
    <w:rsid w:val="00F85D77"/>
    <w:rsid w:val="00F86A7E"/>
    <w:rsid w:val="00F877E6"/>
    <w:rsid w:val="00F93CB5"/>
    <w:rsid w:val="00F95BCF"/>
    <w:rsid w:val="00F9630E"/>
    <w:rsid w:val="00FA02B2"/>
    <w:rsid w:val="00FA0915"/>
    <w:rsid w:val="00FA0DBD"/>
    <w:rsid w:val="00FA3FA3"/>
    <w:rsid w:val="00FA442E"/>
    <w:rsid w:val="00FA5219"/>
    <w:rsid w:val="00FB0CB6"/>
    <w:rsid w:val="00FB0F99"/>
    <w:rsid w:val="00FB3CB6"/>
    <w:rsid w:val="00FB40D1"/>
    <w:rsid w:val="00FB4952"/>
    <w:rsid w:val="00FB62B9"/>
    <w:rsid w:val="00FB68A4"/>
    <w:rsid w:val="00FB73E1"/>
    <w:rsid w:val="00FC09BE"/>
    <w:rsid w:val="00FC106D"/>
    <w:rsid w:val="00FC2750"/>
    <w:rsid w:val="00FC4BB3"/>
    <w:rsid w:val="00FC5FC6"/>
    <w:rsid w:val="00FC6383"/>
    <w:rsid w:val="00FC6A0F"/>
    <w:rsid w:val="00FD17EC"/>
    <w:rsid w:val="00FD435C"/>
    <w:rsid w:val="00FD7817"/>
    <w:rsid w:val="00FE2668"/>
    <w:rsid w:val="00FF0361"/>
    <w:rsid w:val="00FF068C"/>
    <w:rsid w:val="00FF2759"/>
    <w:rsid w:val="00FF647D"/>
    <w:rsid w:val="00FF73EB"/>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7309F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4CF"/>
    <w:pPr>
      <w:spacing w:before="240" w:after="120" w:line="360" w:lineRule="auto"/>
      <w:jc w:val="both"/>
    </w:pPr>
    <w:rPr>
      <w:rFonts w:eastAsia="Calibri"/>
      <w:sz w:val="22"/>
      <w:szCs w:val="22"/>
      <w:lang w:val="en-US" w:eastAsia="ja-JP"/>
    </w:rPr>
  </w:style>
  <w:style w:type="paragraph" w:styleId="Heading1">
    <w:name w:val="heading 1"/>
    <w:basedOn w:val="Normal"/>
    <w:next w:val="Normal"/>
    <w:link w:val="Heading1Char"/>
    <w:uiPriority w:val="9"/>
    <w:qFormat/>
    <w:rsid w:val="009934CF"/>
    <w:pPr>
      <w:keepNext/>
      <w:keepLines/>
      <w:spacing w:before="480" w:after="0"/>
      <w:outlineLvl w:val="0"/>
    </w:pPr>
    <w:rPr>
      <w:rFonts w:eastAsia="MS Gothic"/>
      <w:b/>
      <w:bCs/>
      <w:sz w:val="24"/>
      <w:szCs w:val="28"/>
    </w:rPr>
  </w:style>
  <w:style w:type="paragraph" w:styleId="Heading2">
    <w:name w:val="heading 2"/>
    <w:basedOn w:val="Normal"/>
    <w:next w:val="Normal"/>
    <w:link w:val="Heading2Char"/>
    <w:uiPriority w:val="9"/>
    <w:unhideWhenUsed/>
    <w:qFormat/>
    <w:rsid w:val="009934CF"/>
    <w:pPr>
      <w:keepNext/>
      <w:keepLines/>
      <w:spacing w:before="200" w:after="0"/>
      <w:outlineLvl w:val="1"/>
    </w:pPr>
    <w:rPr>
      <w:rFonts w:eastAsia="MS Gothic"/>
      <w:bCs/>
      <w:u w:val="single"/>
    </w:rPr>
  </w:style>
  <w:style w:type="paragraph" w:styleId="Heading3">
    <w:name w:val="heading 3"/>
    <w:basedOn w:val="Normal"/>
    <w:next w:val="Normal"/>
    <w:link w:val="Heading3Char"/>
    <w:uiPriority w:val="9"/>
    <w:unhideWhenUsed/>
    <w:qFormat/>
    <w:rsid w:val="009934CF"/>
    <w:pPr>
      <w:keepNext/>
      <w:keepLines/>
      <w:spacing w:before="200" w:after="0"/>
      <w:outlineLvl w:val="2"/>
    </w:pPr>
    <w:rPr>
      <w:rFonts w:eastAsia="MS Gothic"/>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rsid w:val="00AB5634"/>
    <w:pPr>
      <w:spacing w:after="0"/>
      <w:jc w:val="center"/>
    </w:pPr>
    <w:rPr>
      <w:sz w:val="24"/>
    </w:rPr>
  </w:style>
  <w:style w:type="paragraph" w:customStyle="1" w:styleId="EndNoteBibliography">
    <w:name w:val="EndNote Bibliography"/>
    <w:basedOn w:val="Normal"/>
    <w:rsid w:val="00AB5634"/>
    <w:pPr>
      <w:spacing w:line="240" w:lineRule="auto"/>
    </w:pPr>
    <w:rPr>
      <w:sz w:val="24"/>
    </w:rPr>
  </w:style>
  <w:style w:type="character" w:styleId="CommentReference">
    <w:name w:val="annotation reference"/>
    <w:uiPriority w:val="99"/>
    <w:semiHidden/>
    <w:unhideWhenUsed/>
    <w:rsid w:val="000012B1"/>
    <w:rPr>
      <w:sz w:val="18"/>
      <w:szCs w:val="18"/>
    </w:rPr>
  </w:style>
  <w:style w:type="paragraph" w:styleId="CommentText">
    <w:name w:val="annotation text"/>
    <w:basedOn w:val="Normal"/>
    <w:link w:val="CommentTextChar"/>
    <w:uiPriority w:val="99"/>
    <w:unhideWhenUsed/>
    <w:rsid w:val="000012B1"/>
  </w:style>
  <w:style w:type="character" w:customStyle="1" w:styleId="CommentTextChar">
    <w:name w:val="Comment Text Char"/>
    <w:basedOn w:val="DefaultParagraphFont"/>
    <w:link w:val="CommentText"/>
    <w:uiPriority w:val="99"/>
    <w:rsid w:val="000012B1"/>
  </w:style>
  <w:style w:type="paragraph" w:styleId="CommentSubject">
    <w:name w:val="annotation subject"/>
    <w:basedOn w:val="CommentText"/>
    <w:next w:val="CommentText"/>
    <w:link w:val="CommentSubjectChar"/>
    <w:uiPriority w:val="99"/>
    <w:semiHidden/>
    <w:unhideWhenUsed/>
    <w:rsid w:val="000012B1"/>
    <w:rPr>
      <w:b/>
      <w:bCs/>
      <w:sz w:val="20"/>
      <w:szCs w:val="20"/>
    </w:rPr>
  </w:style>
  <w:style w:type="character" w:customStyle="1" w:styleId="CommentSubjectChar">
    <w:name w:val="Comment Subject Char"/>
    <w:link w:val="CommentSubject"/>
    <w:uiPriority w:val="99"/>
    <w:semiHidden/>
    <w:rsid w:val="000012B1"/>
    <w:rPr>
      <w:b/>
      <w:bCs/>
      <w:sz w:val="20"/>
      <w:szCs w:val="20"/>
    </w:rPr>
  </w:style>
  <w:style w:type="paragraph" w:styleId="BalloonText">
    <w:name w:val="Balloon Text"/>
    <w:basedOn w:val="Normal"/>
    <w:link w:val="BalloonTextChar"/>
    <w:uiPriority w:val="99"/>
    <w:semiHidden/>
    <w:unhideWhenUsed/>
    <w:rsid w:val="000012B1"/>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0012B1"/>
    <w:rPr>
      <w:rFonts w:ascii="Lucida Grande" w:hAnsi="Lucida Grande" w:cs="Lucida Grande"/>
      <w:sz w:val="18"/>
      <w:szCs w:val="18"/>
    </w:rPr>
  </w:style>
  <w:style w:type="table" w:styleId="TableGrid">
    <w:name w:val="Table Grid"/>
    <w:basedOn w:val="TableNormal"/>
    <w:uiPriority w:val="59"/>
    <w:rsid w:val="00501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9934CF"/>
    <w:rPr>
      <w:rFonts w:eastAsia="MS Gothic"/>
      <w:b/>
      <w:bCs/>
      <w:szCs w:val="28"/>
    </w:rPr>
  </w:style>
  <w:style w:type="character" w:customStyle="1" w:styleId="Heading2Char">
    <w:name w:val="Heading 2 Char"/>
    <w:link w:val="Heading2"/>
    <w:uiPriority w:val="9"/>
    <w:rsid w:val="009934CF"/>
    <w:rPr>
      <w:rFonts w:eastAsia="MS Gothic"/>
      <w:bCs/>
      <w:sz w:val="22"/>
      <w:szCs w:val="22"/>
      <w:u w:val="single"/>
    </w:rPr>
  </w:style>
  <w:style w:type="character" w:customStyle="1" w:styleId="Heading3Char">
    <w:name w:val="Heading 3 Char"/>
    <w:link w:val="Heading3"/>
    <w:uiPriority w:val="9"/>
    <w:rsid w:val="009934CF"/>
    <w:rPr>
      <w:rFonts w:eastAsia="MS Gothic"/>
      <w:bCs/>
      <w:i/>
      <w:sz w:val="22"/>
      <w:szCs w:val="22"/>
    </w:rPr>
  </w:style>
  <w:style w:type="paragraph" w:styleId="FootnoteText">
    <w:name w:val="footnote text"/>
    <w:basedOn w:val="Normal"/>
    <w:link w:val="FootnoteTextChar"/>
    <w:uiPriority w:val="99"/>
    <w:semiHidden/>
    <w:unhideWhenUsed/>
    <w:rsid w:val="009E3F58"/>
    <w:pPr>
      <w:spacing w:before="0" w:after="0" w:line="240" w:lineRule="auto"/>
    </w:pPr>
    <w:rPr>
      <w:sz w:val="20"/>
      <w:szCs w:val="20"/>
    </w:rPr>
  </w:style>
  <w:style w:type="character" w:customStyle="1" w:styleId="FootnoteTextChar">
    <w:name w:val="Footnote Text Char"/>
    <w:link w:val="FootnoteText"/>
    <w:uiPriority w:val="99"/>
    <w:semiHidden/>
    <w:rsid w:val="009E3F58"/>
    <w:rPr>
      <w:rFonts w:eastAsia="Calibri"/>
      <w:sz w:val="20"/>
      <w:szCs w:val="20"/>
    </w:rPr>
  </w:style>
  <w:style w:type="character" w:styleId="FootnoteReference">
    <w:name w:val="footnote reference"/>
    <w:uiPriority w:val="99"/>
    <w:semiHidden/>
    <w:unhideWhenUsed/>
    <w:rsid w:val="009E3F58"/>
    <w:rPr>
      <w:vertAlign w:val="superscript"/>
    </w:rPr>
  </w:style>
  <w:style w:type="character" w:styleId="Hyperlink">
    <w:name w:val="Hyperlink"/>
    <w:uiPriority w:val="99"/>
    <w:unhideWhenUsed/>
    <w:rsid w:val="009E3F58"/>
    <w:rPr>
      <w:color w:val="0000FF"/>
      <w:u w:val="single"/>
    </w:rPr>
  </w:style>
  <w:style w:type="paragraph" w:styleId="NoSpacing">
    <w:name w:val="No Spacing"/>
    <w:uiPriority w:val="1"/>
    <w:qFormat/>
    <w:rsid w:val="003006ED"/>
    <w:pPr>
      <w:jc w:val="both"/>
    </w:pPr>
    <w:rPr>
      <w:rFonts w:eastAsia="Calibri"/>
      <w:sz w:val="22"/>
      <w:szCs w:val="22"/>
      <w:lang w:val="en-US" w:eastAsia="ja-JP"/>
    </w:rPr>
  </w:style>
  <w:style w:type="character" w:customStyle="1" w:styleId="apple-converted-space">
    <w:name w:val="apple-converted-space"/>
    <w:basedOn w:val="DefaultParagraphFont"/>
    <w:rsid w:val="00DF4EE2"/>
  </w:style>
  <w:style w:type="paragraph" w:styleId="NormalWeb">
    <w:name w:val="Normal (Web)"/>
    <w:basedOn w:val="Normal"/>
    <w:uiPriority w:val="99"/>
    <w:unhideWhenUsed/>
    <w:rsid w:val="008050B0"/>
    <w:pPr>
      <w:spacing w:before="100" w:beforeAutospacing="1" w:after="100" w:afterAutospacing="1" w:line="240" w:lineRule="auto"/>
      <w:jc w:val="left"/>
    </w:pPr>
    <w:rPr>
      <w:rFonts w:eastAsia="Times New Roman"/>
      <w:sz w:val="24"/>
      <w:szCs w:val="24"/>
      <w:lang w:val="en-GB" w:eastAsia="en-GB"/>
    </w:rPr>
  </w:style>
  <w:style w:type="character" w:styleId="FollowedHyperlink">
    <w:name w:val="FollowedHyperlink"/>
    <w:basedOn w:val="DefaultParagraphFont"/>
    <w:uiPriority w:val="99"/>
    <w:semiHidden/>
    <w:unhideWhenUsed/>
    <w:rsid w:val="002C5E61"/>
    <w:rPr>
      <w:color w:val="800080" w:themeColor="followedHyperlink"/>
      <w:u w:val="single"/>
    </w:rPr>
  </w:style>
  <w:style w:type="paragraph" w:styleId="Revision">
    <w:name w:val="Revision"/>
    <w:hidden/>
    <w:uiPriority w:val="99"/>
    <w:semiHidden/>
    <w:rsid w:val="00EB2A91"/>
    <w:rPr>
      <w:rFonts w:eastAsia="Calibri"/>
      <w:sz w:val="22"/>
      <w:szCs w:val="22"/>
      <w:lang w:val="en-US" w:eastAsia="ja-JP"/>
    </w:rPr>
  </w:style>
  <w:style w:type="character" w:customStyle="1" w:styleId="current-selection">
    <w:name w:val="current-selection"/>
    <w:basedOn w:val="DefaultParagraphFont"/>
    <w:rsid w:val="0001475E"/>
  </w:style>
  <w:style w:type="character" w:customStyle="1" w:styleId="a">
    <w:name w:val="_"/>
    <w:basedOn w:val="DefaultParagraphFont"/>
    <w:rsid w:val="0001475E"/>
  </w:style>
  <w:style w:type="paragraph" w:styleId="DocumentMap">
    <w:name w:val="Document Map"/>
    <w:basedOn w:val="Normal"/>
    <w:link w:val="DocumentMapChar"/>
    <w:uiPriority w:val="99"/>
    <w:semiHidden/>
    <w:unhideWhenUsed/>
    <w:rsid w:val="0018623F"/>
    <w:pPr>
      <w:spacing w:before="0"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8623F"/>
    <w:rPr>
      <w:rFonts w:ascii="Lucida Grande" w:eastAsia="Calibri" w:hAnsi="Lucida Grande" w:cs="Lucida Grande"/>
      <w:sz w:val="24"/>
      <w:szCs w:val="24"/>
      <w:lang w:val="en-US" w:eastAsia="ja-JP"/>
    </w:rPr>
  </w:style>
  <w:style w:type="paragraph" w:styleId="Header">
    <w:name w:val="header"/>
    <w:basedOn w:val="Normal"/>
    <w:link w:val="HeaderChar"/>
    <w:uiPriority w:val="99"/>
    <w:unhideWhenUsed/>
    <w:rsid w:val="007108E4"/>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7108E4"/>
    <w:rPr>
      <w:rFonts w:eastAsia="Calibri"/>
      <w:sz w:val="22"/>
      <w:szCs w:val="22"/>
      <w:lang w:val="en-US" w:eastAsia="ja-JP"/>
    </w:rPr>
  </w:style>
  <w:style w:type="paragraph" w:styleId="Footer">
    <w:name w:val="footer"/>
    <w:basedOn w:val="Normal"/>
    <w:link w:val="FooterChar"/>
    <w:uiPriority w:val="99"/>
    <w:unhideWhenUsed/>
    <w:rsid w:val="007108E4"/>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7108E4"/>
    <w:rPr>
      <w:rFonts w:eastAsia="Calibri"/>
      <w:sz w:val="22"/>
      <w:szCs w:val="22"/>
      <w:lang w:val="en-US" w:eastAsia="ja-JP"/>
    </w:rPr>
  </w:style>
  <w:style w:type="table" w:customStyle="1" w:styleId="TableGrid1">
    <w:name w:val="Table Grid1"/>
    <w:basedOn w:val="TableNormal"/>
    <w:next w:val="TableGrid"/>
    <w:uiPriority w:val="59"/>
    <w:rsid w:val="00A36D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36D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B388D"/>
    <w:pPr>
      <w:spacing w:before="0" w:after="0" w:line="240" w:lineRule="auto"/>
      <w:jc w:val="left"/>
    </w:pPr>
    <w:rPr>
      <w:rFonts w:ascii="Helvetica" w:eastAsia="MS Mincho" w:hAnsi="Helvetica"/>
      <w:sz w:val="29"/>
      <w:szCs w:val="29"/>
      <w:lang w:val="en-GB" w:eastAsia="en-GB"/>
    </w:rPr>
  </w:style>
  <w:style w:type="paragraph" w:customStyle="1" w:styleId="p2">
    <w:name w:val="p2"/>
    <w:basedOn w:val="Normal"/>
    <w:rsid w:val="00BB388D"/>
    <w:pPr>
      <w:spacing w:before="0" w:after="0" w:line="240" w:lineRule="auto"/>
      <w:jc w:val="left"/>
    </w:pPr>
    <w:rPr>
      <w:rFonts w:ascii="Helvetica" w:eastAsia="MS Mincho" w:hAnsi="Helvetica"/>
      <w:sz w:val="17"/>
      <w:szCs w:val="17"/>
      <w:lang w:val="en-GB" w:eastAsia="en-GB"/>
    </w:rPr>
  </w:style>
  <w:style w:type="paragraph" w:customStyle="1" w:styleId="p3">
    <w:name w:val="p3"/>
    <w:basedOn w:val="Normal"/>
    <w:rsid w:val="00BB388D"/>
    <w:pPr>
      <w:spacing w:before="0" w:after="0" w:line="240" w:lineRule="auto"/>
      <w:jc w:val="left"/>
    </w:pPr>
    <w:rPr>
      <w:rFonts w:ascii="Helvetica" w:eastAsia="MS Mincho" w:hAnsi="Helvetica"/>
      <w:sz w:val="15"/>
      <w:szCs w:val="15"/>
      <w:lang w:val="en-GB" w:eastAsia="en-GB"/>
    </w:rPr>
  </w:style>
  <w:style w:type="character" w:customStyle="1" w:styleId="s1">
    <w:name w:val="s1"/>
    <w:basedOn w:val="DefaultParagraphFont"/>
    <w:rsid w:val="00BB388D"/>
    <w:rPr>
      <w:color w:val="23A8DB"/>
    </w:rPr>
  </w:style>
  <w:style w:type="character" w:customStyle="1" w:styleId="s2">
    <w:name w:val="s2"/>
    <w:basedOn w:val="DefaultParagraphFont"/>
    <w:rsid w:val="00BB388D"/>
    <w:rPr>
      <w:rFonts w:ascii="Helvetica" w:hAnsi="Helvetica" w:hint="default"/>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2834">
      <w:bodyDiv w:val="1"/>
      <w:marLeft w:val="0"/>
      <w:marRight w:val="0"/>
      <w:marTop w:val="0"/>
      <w:marBottom w:val="0"/>
      <w:divBdr>
        <w:top w:val="none" w:sz="0" w:space="0" w:color="auto"/>
        <w:left w:val="none" w:sz="0" w:space="0" w:color="auto"/>
        <w:bottom w:val="none" w:sz="0" w:space="0" w:color="auto"/>
        <w:right w:val="none" w:sz="0" w:space="0" w:color="auto"/>
      </w:divBdr>
    </w:div>
    <w:div w:id="31226932">
      <w:bodyDiv w:val="1"/>
      <w:marLeft w:val="0"/>
      <w:marRight w:val="0"/>
      <w:marTop w:val="0"/>
      <w:marBottom w:val="0"/>
      <w:divBdr>
        <w:top w:val="none" w:sz="0" w:space="0" w:color="auto"/>
        <w:left w:val="none" w:sz="0" w:space="0" w:color="auto"/>
        <w:bottom w:val="none" w:sz="0" w:space="0" w:color="auto"/>
        <w:right w:val="none" w:sz="0" w:space="0" w:color="auto"/>
      </w:divBdr>
    </w:div>
    <w:div w:id="50271738">
      <w:bodyDiv w:val="1"/>
      <w:marLeft w:val="0"/>
      <w:marRight w:val="0"/>
      <w:marTop w:val="0"/>
      <w:marBottom w:val="0"/>
      <w:divBdr>
        <w:top w:val="none" w:sz="0" w:space="0" w:color="auto"/>
        <w:left w:val="none" w:sz="0" w:space="0" w:color="auto"/>
        <w:bottom w:val="none" w:sz="0" w:space="0" w:color="auto"/>
        <w:right w:val="none" w:sz="0" w:space="0" w:color="auto"/>
      </w:divBdr>
    </w:div>
    <w:div w:id="85931631">
      <w:bodyDiv w:val="1"/>
      <w:marLeft w:val="0"/>
      <w:marRight w:val="0"/>
      <w:marTop w:val="0"/>
      <w:marBottom w:val="0"/>
      <w:divBdr>
        <w:top w:val="none" w:sz="0" w:space="0" w:color="auto"/>
        <w:left w:val="none" w:sz="0" w:space="0" w:color="auto"/>
        <w:bottom w:val="none" w:sz="0" w:space="0" w:color="auto"/>
        <w:right w:val="none" w:sz="0" w:space="0" w:color="auto"/>
      </w:divBdr>
    </w:div>
    <w:div w:id="94639933">
      <w:bodyDiv w:val="1"/>
      <w:marLeft w:val="0"/>
      <w:marRight w:val="0"/>
      <w:marTop w:val="0"/>
      <w:marBottom w:val="0"/>
      <w:divBdr>
        <w:top w:val="none" w:sz="0" w:space="0" w:color="auto"/>
        <w:left w:val="none" w:sz="0" w:space="0" w:color="auto"/>
        <w:bottom w:val="none" w:sz="0" w:space="0" w:color="auto"/>
        <w:right w:val="none" w:sz="0" w:space="0" w:color="auto"/>
      </w:divBdr>
    </w:div>
    <w:div w:id="105000777">
      <w:bodyDiv w:val="1"/>
      <w:marLeft w:val="0"/>
      <w:marRight w:val="0"/>
      <w:marTop w:val="0"/>
      <w:marBottom w:val="0"/>
      <w:divBdr>
        <w:top w:val="none" w:sz="0" w:space="0" w:color="auto"/>
        <w:left w:val="none" w:sz="0" w:space="0" w:color="auto"/>
        <w:bottom w:val="none" w:sz="0" w:space="0" w:color="auto"/>
        <w:right w:val="none" w:sz="0" w:space="0" w:color="auto"/>
      </w:divBdr>
    </w:div>
    <w:div w:id="182011250">
      <w:bodyDiv w:val="1"/>
      <w:marLeft w:val="0"/>
      <w:marRight w:val="0"/>
      <w:marTop w:val="0"/>
      <w:marBottom w:val="0"/>
      <w:divBdr>
        <w:top w:val="none" w:sz="0" w:space="0" w:color="auto"/>
        <w:left w:val="none" w:sz="0" w:space="0" w:color="auto"/>
        <w:bottom w:val="none" w:sz="0" w:space="0" w:color="auto"/>
        <w:right w:val="none" w:sz="0" w:space="0" w:color="auto"/>
      </w:divBdr>
    </w:div>
    <w:div w:id="183908696">
      <w:bodyDiv w:val="1"/>
      <w:marLeft w:val="0"/>
      <w:marRight w:val="0"/>
      <w:marTop w:val="0"/>
      <w:marBottom w:val="0"/>
      <w:divBdr>
        <w:top w:val="none" w:sz="0" w:space="0" w:color="auto"/>
        <w:left w:val="none" w:sz="0" w:space="0" w:color="auto"/>
        <w:bottom w:val="none" w:sz="0" w:space="0" w:color="auto"/>
        <w:right w:val="none" w:sz="0" w:space="0" w:color="auto"/>
      </w:divBdr>
    </w:div>
    <w:div w:id="185406508">
      <w:bodyDiv w:val="1"/>
      <w:marLeft w:val="0"/>
      <w:marRight w:val="0"/>
      <w:marTop w:val="0"/>
      <w:marBottom w:val="0"/>
      <w:divBdr>
        <w:top w:val="none" w:sz="0" w:space="0" w:color="auto"/>
        <w:left w:val="none" w:sz="0" w:space="0" w:color="auto"/>
        <w:bottom w:val="none" w:sz="0" w:space="0" w:color="auto"/>
        <w:right w:val="none" w:sz="0" w:space="0" w:color="auto"/>
      </w:divBdr>
    </w:div>
    <w:div w:id="242371919">
      <w:bodyDiv w:val="1"/>
      <w:marLeft w:val="0"/>
      <w:marRight w:val="0"/>
      <w:marTop w:val="0"/>
      <w:marBottom w:val="0"/>
      <w:divBdr>
        <w:top w:val="none" w:sz="0" w:space="0" w:color="auto"/>
        <w:left w:val="none" w:sz="0" w:space="0" w:color="auto"/>
        <w:bottom w:val="none" w:sz="0" w:space="0" w:color="auto"/>
        <w:right w:val="none" w:sz="0" w:space="0" w:color="auto"/>
      </w:divBdr>
    </w:div>
    <w:div w:id="242834539">
      <w:bodyDiv w:val="1"/>
      <w:marLeft w:val="0"/>
      <w:marRight w:val="0"/>
      <w:marTop w:val="0"/>
      <w:marBottom w:val="0"/>
      <w:divBdr>
        <w:top w:val="none" w:sz="0" w:space="0" w:color="auto"/>
        <w:left w:val="none" w:sz="0" w:space="0" w:color="auto"/>
        <w:bottom w:val="none" w:sz="0" w:space="0" w:color="auto"/>
        <w:right w:val="none" w:sz="0" w:space="0" w:color="auto"/>
      </w:divBdr>
    </w:div>
    <w:div w:id="313149408">
      <w:bodyDiv w:val="1"/>
      <w:marLeft w:val="0"/>
      <w:marRight w:val="0"/>
      <w:marTop w:val="0"/>
      <w:marBottom w:val="0"/>
      <w:divBdr>
        <w:top w:val="none" w:sz="0" w:space="0" w:color="auto"/>
        <w:left w:val="none" w:sz="0" w:space="0" w:color="auto"/>
        <w:bottom w:val="none" w:sz="0" w:space="0" w:color="auto"/>
        <w:right w:val="none" w:sz="0" w:space="0" w:color="auto"/>
      </w:divBdr>
    </w:div>
    <w:div w:id="322126732">
      <w:bodyDiv w:val="1"/>
      <w:marLeft w:val="0"/>
      <w:marRight w:val="0"/>
      <w:marTop w:val="0"/>
      <w:marBottom w:val="0"/>
      <w:divBdr>
        <w:top w:val="none" w:sz="0" w:space="0" w:color="auto"/>
        <w:left w:val="none" w:sz="0" w:space="0" w:color="auto"/>
        <w:bottom w:val="none" w:sz="0" w:space="0" w:color="auto"/>
        <w:right w:val="none" w:sz="0" w:space="0" w:color="auto"/>
      </w:divBdr>
    </w:div>
    <w:div w:id="345063009">
      <w:bodyDiv w:val="1"/>
      <w:marLeft w:val="0"/>
      <w:marRight w:val="0"/>
      <w:marTop w:val="0"/>
      <w:marBottom w:val="0"/>
      <w:divBdr>
        <w:top w:val="none" w:sz="0" w:space="0" w:color="auto"/>
        <w:left w:val="none" w:sz="0" w:space="0" w:color="auto"/>
        <w:bottom w:val="none" w:sz="0" w:space="0" w:color="auto"/>
        <w:right w:val="none" w:sz="0" w:space="0" w:color="auto"/>
      </w:divBdr>
    </w:div>
    <w:div w:id="358746437">
      <w:bodyDiv w:val="1"/>
      <w:marLeft w:val="0"/>
      <w:marRight w:val="0"/>
      <w:marTop w:val="0"/>
      <w:marBottom w:val="0"/>
      <w:divBdr>
        <w:top w:val="none" w:sz="0" w:space="0" w:color="auto"/>
        <w:left w:val="none" w:sz="0" w:space="0" w:color="auto"/>
        <w:bottom w:val="none" w:sz="0" w:space="0" w:color="auto"/>
        <w:right w:val="none" w:sz="0" w:space="0" w:color="auto"/>
      </w:divBdr>
    </w:div>
    <w:div w:id="365721769">
      <w:bodyDiv w:val="1"/>
      <w:marLeft w:val="0"/>
      <w:marRight w:val="0"/>
      <w:marTop w:val="0"/>
      <w:marBottom w:val="0"/>
      <w:divBdr>
        <w:top w:val="none" w:sz="0" w:space="0" w:color="auto"/>
        <w:left w:val="none" w:sz="0" w:space="0" w:color="auto"/>
        <w:bottom w:val="none" w:sz="0" w:space="0" w:color="auto"/>
        <w:right w:val="none" w:sz="0" w:space="0" w:color="auto"/>
      </w:divBdr>
    </w:div>
    <w:div w:id="378936945">
      <w:bodyDiv w:val="1"/>
      <w:marLeft w:val="0"/>
      <w:marRight w:val="0"/>
      <w:marTop w:val="0"/>
      <w:marBottom w:val="0"/>
      <w:divBdr>
        <w:top w:val="none" w:sz="0" w:space="0" w:color="auto"/>
        <w:left w:val="none" w:sz="0" w:space="0" w:color="auto"/>
        <w:bottom w:val="none" w:sz="0" w:space="0" w:color="auto"/>
        <w:right w:val="none" w:sz="0" w:space="0" w:color="auto"/>
      </w:divBdr>
    </w:div>
    <w:div w:id="390079310">
      <w:bodyDiv w:val="1"/>
      <w:marLeft w:val="0"/>
      <w:marRight w:val="0"/>
      <w:marTop w:val="0"/>
      <w:marBottom w:val="0"/>
      <w:divBdr>
        <w:top w:val="none" w:sz="0" w:space="0" w:color="auto"/>
        <w:left w:val="none" w:sz="0" w:space="0" w:color="auto"/>
        <w:bottom w:val="none" w:sz="0" w:space="0" w:color="auto"/>
        <w:right w:val="none" w:sz="0" w:space="0" w:color="auto"/>
      </w:divBdr>
    </w:div>
    <w:div w:id="394353429">
      <w:bodyDiv w:val="1"/>
      <w:marLeft w:val="0"/>
      <w:marRight w:val="0"/>
      <w:marTop w:val="0"/>
      <w:marBottom w:val="0"/>
      <w:divBdr>
        <w:top w:val="none" w:sz="0" w:space="0" w:color="auto"/>
        <w:left w:val="none" w:sz="0" w:space="0" w:color="auto"/>
        <w:bottom w:val="none" w:sz="0" w:space="0" w:color="auto"/>
        <w:right w:val="none" w:sz="0" w:space="0" w:color="auto"/>
      </w:divBdr>
    </w:div>
    <w:div w:id="398943147">
      <w:bodyDiv w:val="1"/>
      <w:marLeft w:val="0"/>
      <w:marRight w:val="0"/>
      <w:marTop w:val="0"/>
      <w:marBottom w:val="0"/>
      <w:divBdr>
        <w:top w:val="none" w:sz="0" w:space="0" w:color="auto"/>
        <w:left w:val="none" w:sz="0" w:space="0" w:color="auto"/>
        <w:bottom w:val="none" w:sz="0" w:space="0" w:color="auto"/>
        <w:right w:val="none" w:sz="0" w:space="0" w:color="auto"/>
      </w:divBdr>
    </w:div>
    <w:div w:id="408115986">
      <w:bodyDiv w:val="1"/>
      <w:marLeft w:val="0"/>
      <w:marRight w:val="0"/>
      <w:marTop w:val="0"/>
      <w:marBottom w:val="0"/>
      <w:divBdr>
        <w:top w:val="none" w:sz="0" w:space="0" w:color="auto"/>
        <w:left w:val="none" w:sz="0" w:space="0" w:color="auto"/>
        <w:bottom w:val="none" w:sz="0" w:space="0" w:color="auto"/>
        <w:right w:val="none" w:sz="0" w:space="0" w:color="auto"/>
      </w:divBdr>
    </w:div>
    <w:div w:id="430122989">
      <w:bodyDiv w:val="1"/>
      <w:marLeft w:val="0"/>
      <w:marRight w:val="0"/>
      <w:marTop w:val="0"/>
      <w:marBottom w:val="0"/>
      <w:divBdr>
        <w:top w:val="none" w:sz="0" w:space="0" w:color="auto"/>
        <w:left w:val="none" w:sz="0" w:space="0" w:color="auto"/>
        <w:bottom w:val="none" w:sz="0" w:space="0" w:color="auto"/>
        <w:right w:val="none" w:sz="0" w:space="0" w:color="auto"/>
      </w:divBdr>
    </w:div>
    <w:div w:id="461387011">
      <w:bodyDiv w:val="1"/>
      <w:marLeft w:val="0"/>
      <w:marRight w:val="0"/>
      <w:marTop w:val="0"/>
      <w:marBottom w:val="0"/>
      <w:divBdr>
        <w:top w:val="none" w:sz="0" w:space="0" w:color="auto"/>
        <w:left w:val="none" w:sz="0" w:space="0" w:color="auto"/>
        <w:bottom w:val="none" w:sz="0" w:space="0" w:color="auto"/>
        <w:right w:val="none" w:sz="0" w:space="0" w:color="auto"/>
      </w:divBdr>
    </w:div>
    <w:div w:id="551036772">
      <w:bodyDiv w:val="1"/>
      <w:marLeft w:val="0"/>
      <w:marRight w:val="0"/>
      <w:marTop w:val="0"/>
      <w:marBottom w:val="0"/>
      <w:divBdr>
        <w:top w:val="none" w:sz="0" w:space="0" w:color="auto"/>
        <w:left w:val="none" w:sz="0" w:space="0" w:color="auto"/>
        <w:bottom w:val="none" w:sz="0" w:space="0" w:color="auto"/>
        <w:right w:val="none" w:sz="0" w:space="0" w:color="auto"/>
      </w:divBdr>
    </w:div>
    <w:div w:id="563835545">
      <w:bodyDiv w:val="1"/>
      <w:marLeft w:val="0"/>
      <w:marRight w:val="0"/>
      <w:marTop w:val="0"/>
      <w:marBottom w:val="0"/>
      <w:divBdr>
        <w:top w:val="none" w:sz="0" w:space="0" w:color="auto"/>
        <w:left w:val="none" w:sz="0" w:space="0" w:color="auto"/>
        <w:bottom w:val="none" w:sz="0" w:space="0" w:color="auto"/>
        <w:right w:val="none" w:sz="0" w:space="0" w:color="auto"/>
      </w:divBdr>
    </w:div>
    <w:div w:id="591814787">
      <w:bodyDiv w:val="1"/>
      <w:marLeft w:val="0"/>
      <w:marRight w:val="0"/>
      <w:marTop w:val="0"/>
      <w:marBottom w:val="0"/>
      <w:divBdr>
        <w:top w:val="none" w:sz="0" w:space="0" w:color="auto"/>
        <w:left w:val="none" w:sz="0" w:space="0" w:color="auto"/>
        <w:bottom w:val="none" w:sz="0" w:space="0" w:color="auto"/>
        <w:right w:val="none" w:sz="0" w:space="0" w:color="auto"/>
      </w:divBdr>
    </w:div>
    <w:div w:id="600379913">
      <w:bodyDiv w:val="1"/>
      <w:marLeft w:val="0"/>
      <w:marRight w:val="0"/>
      <w:marTop w:val="0"/>
      <w:marBottom w:val="0"/>
      <w:divBdr>
        <w:top w:val="none" w:sz="0" w:space="0" w:color="auto"/>
        <w:left w:val="none" w:sz="0" w:space="0" w:color="auto"/>
        <w:bottom w:val="none" w:sz="0" w:space="0" w:color="auto"/>
        <w:right w:val="none" w:sz="0" w:space="0" w:color="auto"/>
      </w:divBdr>
    </w:div>
    <w:div w:id="651062221">
      <w:bodyDiv w:val="1"/>
      <w:marLeft w:val="0"/>
      <w:marRight w:val="0"/>
      <w:marTop w:val="0"/>
      <w:marBottom w:val="0"/>
      <w:divBdr>
        <w:top w:val="none" w:sz="0" w:space="0" w:color="auto"/>
        <w:left w:val="none" w:sz="0" w:space="0" w:color="auto"/>
        <w:bottom w:val="none" w:sz="0" w:space="0" w:color="auto"/>
        <w:right w:val="none" w:sz="0" w:space="0" w:color="auto"/>
      </w:divBdr>
    </w:div>
    <w:div w:id="677581387">
      <w:bodyDiv w:val="1"/>
      <w:marLeft w:val="0"/>
      <w:marRight w:val="0"/>
      <w:marTop w:val="0"/>
      <w:marBottom w:val="0"/>
      <w:divBdr>
        <w:top w:val="none" w:sz="0" w:space="0" w:color="auto"/>
        <w:left w:val="none" w:sz="0" w:space="0" w:color="auto"/>
        <w:bottom w:val="none" w:sz="0" w:space="0" w:color="auto"/>
        <w:right w:val="none" w:sz="0" w:space="0" w:color="auto"/>
      </w:divBdr>
    </w:div>
    <w:div w:id="707336772">
      <w:bodyDiv w:val="1"/>
      <w:marLeft w:val="0"/>
      <w:marRight w:val="0"/>
      <w:marTop w:val="0"/>
      <w:marBottom w:val="0"/>
      <w:divBdr>
        <w:top w:val="none" w:sz="0" w:space="0" w:color="auto"/>
        <w:left w:val="none" w:sz="0" w:space="0" w:color="auto"/>
        <w:bottom w:val="none" w:sz="0" w:space="0" w:color="auto"/>
        <w:right w:val="none" w:sz="0" w:space="0" w:color="auto"/>
      </w:divBdr>
    </w:div>
    <w:div w:id="732435421">
      <w:bodyDiv w:val="1"/>
      <w:marLeft w:val="0"/>
      <w:marRight w:val="0"/>
      <w:marTop w:val="0"/>
      <w:marBottom w:val="0"/>
      <w:divBdr>
        <w:top w:val="none" w:sz="0" w:space="0" w:color="auto"/>
        <w:left w:val="none" w:sz="0" w:space="0" w:color="auto"/>
        <w:bottom w:val="none" w:sz="0" w:space="0" w:color="auto"/>
        <w:right w:val="none" w:sz="0" w:space="0" w:color="auto"/>
      </w:divBdr>
    </w:div>
    <w:div w:id="757139114">
      <w:bodyDiv w:val="1"/>
      <w:marLeft w:val="0"/>
      <w:marRight w:val="0"/>
      <w:marTop w:val="0"/>
      <w:marBottom w:val="0"/>
      <w:divBdr>
        <w:top w:val="none" w:sz="0" w:space="0" w:color="auto"/>
        <w:left w:val="none" w:sz="0" w:space="0" w:color="auto"/>
        <w:bottom w:val="none" w:sz="0" w:space="0" w:color="auto"/>
        <w:right w:val="none" w:sz="0" w:space="0" w:color="auto"/>
      </w:divBdr>
    </w:div>
    <w:div w:id="812213320">
      <w:bodyDiv w:val="1"/>
      <w:marLeft w:val="0"/>
      <w:marRight w:val="0"/>
      <w:marTop w:val="0"/>
      <w:marBottom w:val="0"/>
      <w:divBdr>
        <w:top w:val="none" w:sz="0" w:space="0" w:color="auto"/>
        <w:left w:val="none" w:sz="0" w:space="0" w:color="auto"/>
        <w:bottom w:val="none" w:sz="0" w:space="0" w:color="auto"/>
        <w:right w:val="none" w:sz="0" w:space="0" w:color="auto"/>
      </w:divBdr>
    </w:div>
    <w:div w:id="824860345">
      <w:bodyDiv w:val="1"/>
      <w:marLeft w:val="0"/>
      <w:marRight w:val="0"/>
      <w:marTop w:val="0"/>
      <w:marBottom w:val="0"/>
      <w:divBdr>
        <w:top w:val="none" w:sz="0" w:space="0" w:color="auto"/>
        <w:left w:val="none" w:sz="0" w:space="0" w:color="auto"/>
        <w:bottom w:val="none" w:sz="0" w:space="0" w:color="auto"/>
        <w:right w:val="none" w:sz="0" w:space="0" w:color="auto"/>
      </w:divBdr>
    </w:div>
    <w:div w:id="876506172">
      <w:bodyDiv w:val="1"/>
      <w:marLeft w:val="0"/>
      <w:marRight w:val="0"/>
      <w:marTop w:val="0"/>
      <w:marBottom w:val="0"/>
      <w:divBdr>
        <w:top w:val="none" w:sz="0" w:space="0" w:color="auto"/>
        <w:left w:val="none" w:sz="0" w:space="0" w:color="auto"/>
        <w:bottom w:val="none" w:sz="0" w:space="0" w:color="auto"/>
        <w:right w:val="none" w:sz="0" w:space="0" w:color="auto"/>
      </w:divBdr>
    </w:div>
    <w:div w:id="919559470">
      <w:bodyDiv w:val="1"/>
      <w:marLeft w:val="0"/>
      <w:marRight w:val="0"/>
      <w:marTop w:val="0"/>
      <w:marBottom w:val="0"/>
      <w:divBdr>
        <w:top w:val="none" w:sz="0" w:space="0" w:color="auto"/>
        <w:left w:val="none" w:sz="0" w:space="0" w:color="auto"/>
        <w:bottom w:val="none" w:sz="0" w:space="0" w:color="auto"/>
        <w:right w:val="none" w:sz="0" w:space="0" w:color="auto"/>
      </w:divBdr>
    </w:div>
    <w:div w:id="966352025">
      <w:bodyDiv w:val="1"/>
      <w:marLeft w:val="0"/>
      <w:marRight w:val="0"/>
      <w:marTop w:val="0"/>
      <w:marBottom w:val="0"/>
      <w:divBdr>
        <w:top w:val="none" w:sz="0" w:space="0" w:color="auto"/>
        <w:left w:val="none" w:sz="0" w:space="0" w:color="auto"/>
        <w:bottom w:val="none" w:sz="0" w:space="0" w:color="auto"/>
        <w:right w:val="none" w:sz="0" w:space="0" w:color="auto"/>
      </w:divBdr>
    </w:div>
    <w:div w:id="973366388">
      <w:bodyDiv w:val="1"/>
      <w:marLeft w:val="0"/>
      <w:marRight w:val="0"/>
      <w:marTop w:val="0"/>
      <w:marBottom w:val="0"/>
      <w:divBdr>
        <w:top w:val="none" w:sz="0" w:space="0" w:color="auto"/>
        <w:left w:val="none" w:sz="0" w:space="0" w:color="auto"/>
        <w:bottom w:val="none" w:sz="0" w:space="0" w:color="auto"/>
        <w:right w:val="none" w:sz="0" w:space="0" w:color="auto"/>
      </w:divBdr>
    </w:div>
    <w:div w:id="974021381">
      <w:bodyDiv w:val="1"/>
      <w:marLeft w:val="0"/>
      <w:marRight w:val="0"/>
      <w:marTop w:val="0"/>
      <w:marBottom w:val="0"/>
      <w:divBdr>
        <w:top w:val="none" w:sz="0" w:space="0" w:color="auto"/>
        <w:left w:val="none" w:sz="0" w:space="0" w:color="auto"/>
        <w:bottom w:val="none" w:sz="0" w:space="0" w:color="auto"/>
        <w:right w:val="none" w:sz="0" w:space="0" w:color="auto"/>
      </w:divBdr>
    </w:div>
    <w:div w:id="989405529">
      <w:bodyDiv w:val="1"/>
      <w:marLeft w:val="0"/>
      <w:marRight w:val="0"/>
      <w:marTop w:val="0"/>
      <w:marBottom w:val="0"/>
      <w:divBdr>
        <w:top w:val="none" w:sz="0" w:space="0" w:color="auto"/>
        <w:left w:val="none" w:sz="0" w:space="0" w:color="auto"/>
        <w:bottom w:val="none" w:sz="0" w:space="0" w:color="auto"/>
        <w:right w:val="none" w:sz="0" w:space="0" w:color="auto"/>
      </w:divBdr>
    </w:div>
    <w:div w:id="991060443">
      <w:bodyDiv w:val="1"/>
      <w:marLeft w:val="0"/>
      <w:marRight w:val="0"/>
      <w:marTop w:val="0"/>
      <w:marBottom w:val="0"/>
      <w:divBdr>
        <w:top w:val="none" w:sz="0" w:space="0" w:color="auto"/>
        <w:left w:val="none" w:sz="0" w:space="0" w:color="auto"/>
        <w:bottom w:val="none" w:sz="0" w:space="0" w:color="auto"/>
        <w:right w:val="none" w:sz="0" w:space="0" w:color="auto"/>
      </w:divBdr>
    </w:div>
    <w:div w:id="1006593765">
      <w:bodyDiv w:val="1"/>
      <w:marLeft w:val="0"/>
      <w:marRight w:val="0"/>
      <w:marTop w:val="0"/>
      <w:marBottom w:val="0"/>
      <w:divBdr>
        <w:top w:val="none" w:sz="0" w:space="0" w:color="auto"/>
        <w:left w:val="none" w:sz="0" w:space="0" w:color="auto"/>
        <w:bottom w:val="none" w:sz="0" w:space="0" w:color="auto"/>
        <w:right w:val="none" w:sz="0" w:space="0" w:color="auto"/>
      </w:divBdr>
    </w:div>
    <w:div w:id="1029069186">
      <w:bodyDiv w:val="1"/>
      <w:marLeft w:val="0"/>
      <w:marRight w:val="0"/>
      <w:marTop w:val="0"/>
      <w:marBottom w:val="0"/>
      <w:divBdr>
        <w:top w:val="none" w:sz="0" w:space="0" w:color="auto"/>
        <w:left w:val="none" w:sz="0" w:space="0" w:color="auto"/>
        <w:bottom w:val="none" w:sz="0" w:space="0" w:color="auto"/>
        <w:right w:val="none" w:sz="0" w:space="0" w:color="auto"/>
      </w:divBdr>
    </w:div>
    <w:div w:id="1063674805">
      <w:bodyDiv w:val="1"/>
      <w:marLeft w:val="0"/>
      <w:marRight w:val="0"/>
      <w:marTop w:val="0"/>
      <w:marBottom w:val="0"/>
      <w:divBdr>
        <w:top w:val="none" w:sz="0" w:space="0" w:color="auto"/>
        <w:left w:val="none" w:sz="0" w:space="0" w:color="auto"/>
        <w:bottom w:val="none" w:sz="0" w:space="0" w:color="auto"/>
        <w:right w:val="none" w:sz="0" w:space="0" w:color="auto"/>
      </w:divBdr>
    </w:div>
    <w:div w:id="1110048851">
      <w:bodyDiv w:val="1"/>
      <w:marLeft w:val="0"/>
      <w:marRight w:val="0"/>
      <w:marTop w:val="0"/>
      <w:marBottom w:val="0"/>
      <w:divBdr>
        <w:top w:val="none" w:sz="0" w:space="0" w:color="auto"/>
        <w:left w:val="none" w:sz="0" w:space="0" w:color="auto"/>
        <w:bottom w:val="none" w:sz="0" w:space="0" w:color="auto"/>
        <w:right w:val="none" w:sz="0" w:space="0" w:color="auto"/>
      </w:divBdr>
    </w:div>
    <w:div w:id="1271160829">
      <w:bodyDiv w:val="1"/>
      <w:marLeft w:val="0"/>
      <w:marRight w:val="0"/>
      <w:marTop w:val="0"/>
      <w:marBottom w:val="0"/>
      <w:divBdr>
        <w:top w:val="none" w:sz="0" w:space="0" w:color="auto"/>
        <w:left w:val="none" w:sz="0" w:space="0" w:color="auto"/>
        <w:bottom w:val="none" w:sz="0" w:space="0" w:color="auto"/>
        <w:right w:val="none" w:sz="0" w:space="0" w:color="auto"/>
      </w:divBdr>
    </w:div>
    <w:div w:id="1281106071">
      <w:bodyDiv w:val="1"/>
      <w:marLeft w:val="0"/>
      <w:marRight w:val="0"/>
      <w:marTop w:val="0"/>
      <w:marBottom w:val="0"/>
      <w:divBdr>
        <w:top w:val="none" w:sz="0" w:space="0" w:color="auto"/>
        <w:left w:val="none" w:sz="0" w:space="0" w:color="auto"/>
        <w:bottom w:val="none" w:sz="0" w:space="0" w:color="auto"/>
        <w:right w:val="none" w:sz="0" w:space="0" w:color="auto"/>
      </w:divBdr>
    </w:div>
    <w:div w:id="1282760664">
      <w:bodyDiv w:val="1"/>
      <w:marLeft w:val="0"/>
      <w:marRight w:val="0"/>
      <w:marTop w:val="0"/>
      <w:marBottom w:val="0"/>
      <w:divBdr>
        <w:top w:val="none" w:sz="0" w:space="0" w:color="auto"/>
        <w:left w:val="none" w:sz="0" w:space="0" w:color="auto"/>
        <w:bottom w:val="none" w:sz="0" w:space="0" w:color="auto"/>
        <w:right w:val="none" w:sz="0" w:space="0" w:color="auto"/>
      </w:divBdr>
    </w:div>
    <w:div w:id="1342661522">
      <w:bodyDiv w:val="1"/>
      <w:marLeft w:val="0"/>
      <w:marRight w:val="0"/>
      <w:marTop w:val="0"/>
      <w:marBottom w:val="0"/>
      <w:divBdr>
        <w:top w:val="none" w:sz="0" w:space="0" w:color="auto"/>
        <w:left w:val="none" w:sz="0" w:space="0" w:color="auto"/>
        <w:bottom w:val="none" w:sz="0" w:space="0" w:color="auto"/>
        <w:right w:val="none" w:sz="0" w:space="0" w:color="auto"/>
      </w:divBdr>
    </w:div>
    <w:div w:id="1357776379">
      <w:bodyDiv w:val="1"/>
      <w:marLeft w:val="0"/>
      <w:marRight w:val="0"/>
      <w:marTop w:val="0"/>
      <w:marBottom w:val="0"/>
      <w:divBdr>
        <w:top w:val="none" w:sz="0" w:space="0" w:color="auto"/>
        <w:left w:val="none" w:sz="0" w:space="0" w:color="auto"/>
        <w:bottom w:val="none" w:sz="0" w:space="0" w:color="auto"/>
        <w:right w:val="none" w:sz="0" w:space="0" w:color="auto"/>
      </w:divBdr>
      <w:divsChild>
        <w:div w:id="394477150">
          <w:marLeft w:val="0"/>
          <w:marRight w:val="0"/>
          <w:marTop w:val="0"/>
          <w:marBottom w:val="0"/>
          <w:divBdr>
            <w:top w:val="none" w:sz="0" w:space="0" w:color="auto"/>
            <w:left w:val="none" w:sz="0" w:space="0" w:color="auto"/>
            <w:bottom w:val="none" w:sz="0" w:space="0" w:color="auto"/>
            <w:right w:val="none" w:sz="0" w:space="0" w:color="auto"/>
          </w:divBdr>
        </w:div>
        <w:div w:id="1235159827">
          <w:marLeft w:val="0"/>
          <w:marRight w:val="0"/>
          <w:marTop w:val="0"/>
          <w:marBottom w:val="0"/>
          <w:divBdr>
            <w:top w:val="none" w:sz="0" w:space="0" w:color="auto"/>
            <w:left w:val="none" w:sz="0" w:space="0" w:color="auto"/>
            <w:bottom w:val="none" w:sz="0" w:space="0" w:color="auto"/>
            <w:right w:val="none" w:sz="0" w:space="0" w:color="auto"/>
          </w:divBdr>
        </w:div>
        <w:div w:id="1460369041">
          <w:marLeft w:val="0"/>
          <w:marRight w:val="0"/>
          <w:marTop w:val="0"/>
          <w:marBottom w:val="0"/>
          <w:divBdr>
            <w:top w:val="none" w:sz="0" w:space="0" w:color="auto"/>
            <w:left w:val="none" w:sz="0" w:space="0" w:color="auto"/>
            <w:bottom w:val="none" w:sz="0" w:space="0" w:color="auto"/>
            <w:right w:val="none" w:sz="0" w:space="0" w:color="auto"/>
          </w:divBdr>
        </w:div>
        <w:div w:id="1450973670">
          <w:marLeft w:val="0"/>
          <w:marRight w:val="0"/>
          <w:marTop w:val="0"/>
          <w:marBottom w:val="0"/>
          <w:divBdr>
            <w:top w:val="none" w:sz="0" w:space="0" w:color="auto"/>
            <w:left w:val="none" w:sz="0" w:space="0" w:color="auto"/>
            <w:bottom w:val="none" w:sz="0" w:space="0" w:color="auto"/>
            <w:right w:val="none" w:sz="0" w:space="0" w:color="auto"/>
          </w:divBdr>
        </w:div>
        <w:div w:id="494689995">
          <w:marLeft w:val="0"/>
          <w:marRight w:val="0"/>
          <w:marTop w:val="0"/>
          <w:marBottom w:val="0"/>
          <w:divBdr>
            <w:top w:val="none" w:sz="0" w:space="0" w:color="auto"/>
            <w:left w:val="none" w:sz="0" w:space="0" w:color="auto"/>
            <w:bottom w:val="none" w:sz="0" w:space="0" w:color="auto"/>
            <w:right w:val="none" w:sz="0" w:space="0" w:color="auto"/>
          </w:divBdr>
        </w:div>
        <w:div w:id="813180666">
          <w:marLeft w:val="0"/>
          <w:marRight w:val="0"/>
          <w:marTop w:val="0"/>
          <w:marBottom w:val="0"/>
          <w:divBdr>
            <w:top w:val="none" w:sz="0" w:space="0" w:color="auto"/>
            <w:left w:val="none" w:sz="0" w:space="0" w:color="auto"/>
            <w:bottom w:val="none" w:sz="0" w:space="0" w:color="auto"/>
            <w:right w:val="none" w:sz="0" w:space="0" w:color="auto"/>
          </w:divBdr>
        </w:div>
        <w:div w:id="1349483801">
          <w:marLeft w:val="0"/>
          <w:marRight w:val="0"/>
          <w:marTop w:val="0"/>
          <w:marBottom w:val="0"/>
          <w:divBdr>
            <w:top w:val="none" w:sz="0" w:space="0" w:color="auto"/>
            <w:left w:val="none" w:sz="0" w:space="0" w:color="auto"/>
            <w:bottom w:val="none" w:sz="0" w:space="0" w:color="auto"/>
            <w:right w:val="none" w:sz="0" w:space="0" w:color="auto"/>
          </w:divBdr>
        </w:div>
        <w:div w:id="1270552880">
          <w:marLeft w:val="0"/>
          <w:marRight w:val="0"/>
          <w:marTop w:val="0"/>
          <w:marBottom w:val="0"/>
          <w:divBdr>
            <w:top w:val="none" w:sz="0" w:space="0" w:color="auto"/>
            <w:left w:val="none" w:sz="0" w:space="0" w:color="auto"/>
            <w:bottom w:val="none" w:sz="0" w:space="0" w:color="auto"/>
            <w:right w:val="none" w:sz="0" w:space="0" w:color="auto"/>
          </w:divBdr>
        </w:div>
        <w:div w:id="1312834036">
          <w:marLeft w:val="0"/>
          <w:marRight w:val="0"/>
          <w:marTop w:val="0"/>
          <w:marBottom w:val="0"/>
          <w:divBdr>
            <w:top w:val="none" w:sz="0" w:space="0" w:color="auto"/>
            <w:left w:val="none" w:sz="0" w:space="0" w:color="auto"/>
            <w:bottom w:val="none" w:sz="0" w:space="0" w:color="auto"/>
            <w:right w:val="none" w:sz="0" w:space="0" w:color="auto"/>
          </w:divBdr>
        </w:div>
        <w:div w:id="1007758198">
          <w:marLeft w:val="0"/>
          <w:marRight w:val="0"/>
          <w:marTop w:val="0"/>
          <w:marBottom w:val="0"/>
          <w:divBdr>
            <w:top w:val="none" w:sz="0" w:space="0" w:color="auto"/>
            <w:left w:val="none" w:sz="0" w:space="0" w:color="auto"/>
            <w:bottom w:val="none" w:sz="0" w:space="0" w:color="auto"/>
            <w:right w:val="none" w:sz="0" w:space="0" w:color="auto"/>
          </w:divBdr>
        </w:div>
      </w:divsChild>
    </w:div>
    <w:div w:id="1378894490">
      <w:bodyDiv w:val="1"/>
      <w:marLeft w:val="0"/>
      <w:marRight w:val="0"/>
      <w:marTop w:val="0"/>
      <w:marBottom w:val="0"/>
      <w:divBdr>
        <w:top w:val="none" w:sz="0" w:space="0" w:color="auto"/>
        <w:left w:val="none" w:sz="0" w:space="0" w:color="auto"/>
        <w:bottom w:val="none" w:sz="0" w:space="0" w:color="auto"/>
        <w:right w:val="none" w:sz="0" w:space="0" w:color="auto"/>
      </w:divBdr>
    </w:div>
    <w:div w:id="1412391673">
      <w:bodyDiv w:val="1"/>
      <w:marLeft w:val="0"/>
      <w:marRight w:val="0"/>
      <w:marTop w:val="0"/>
      <w:marBottom w:val="0"/>
      <w:divBdr>
        <w:top w:val="none" w:sz="0" w:space="0" w:color="auto"/>
        <w:left w:val="none" w:sz="0" w:space="0" w:color="auto"/>
        <w:bottom w:val="none" w:sz="0" w:space="0" w:color="auto"/>
        <w:right w:val="none" w:sz="0" w:space="0" w:color="auto"/>
      </w:divBdr>
    </w:div>
    <w:div w:id="1424061735">
      <w:bodyDiv w:val="1"/>
      <w:marLeft w:val="0"/>
      <w:marRight w:val="0"/>
      <w:marTop w:val="0"/>
      <w:marBottom w:val="0"/>
      <w:divBdr>
        <w:top w:val="none" w:sz="0" w:space="0" w:color="auto"/>
        <w:left w:val="none" w:sz="0" w:space="0" w:color="auto"/>
        <w:bottom w:val="none" w:sz="0" w:space="0" w:color="auto"/>
        <w:right w:val="none" w:sz="0" w:space="0" w:color="auto"/>
      </w:divBdr>
    </w:div>
    <w:div w:id="1431848777">
      <w:bodyDiv w:val="1"/>
      <w:marLeft w:val="0"/>
      <w:marRight w:val="0"/>
      <w:marTop w:val="0"/>
      <w:marBottom w:val="0"/>
      <w:divBdr>
        <w:top w:val="none" w:sz="0" w:space="0" w:color="auto"/>
        <w:left w:val="none" w:sz="0" w:space="0" w:color="auto"/>
        <w:bottom w:val="none" w:sz="0" w:space="0" w:color="auto"/>
        <w:right w:val="none" w:sz="0" w:space="0" w:color="auto"/>
      </w:divBdr>
    </w:div>
    <w:div w:id="1462309903">
      <w:bodyDiv w:val="1"/>
      <w:marLeft w:val="0"/>
      <w:marRight w:val="0"/>
      <w:marTop w:val="0"/>
      <w:marBottom w:val="0"/>
      <w:divBdr>
        <w:top w:val="none" w:sz="0" w:space="0" w:color="auto"/>
        <w:left w:val="none" w:sz="0" w:space="0" w:color="auto"/>
        <w:bottom w:val="none" w:sz="0" w:space="0" w:color="auto"/>
        <w:right w:val="none" w:sz="0" w:space="0" w:color="auto"/>
      </w:divBdr>
    </w:div>
    <w:div w:id="1502349424">
      <w:bodyDiv w:val="1"/>
      <w:marLeft w:val="0"/>
      <w:marRight w:val="0"/>
      <w:marTop w:val="0"/>
      <w:marBottom w:val="0"/>
      <w:divBdr>
        <w:top w:val="none" w:sz="0" w:space="0" w:color="auto"/>
        <w:left w:val="none" w:sz="0" w:space="0" w:color="auto"/>
        <w:bottom w:val="none" w:sz="0" w:space="0" w:color="auto"/>
        <w:right w:val="none" w:sz="0" w:space="0" w:color="auto"/>
      </w:divBdr>
    </w:div>
    <w:div w:id="1512331582">
      <w:bodyDiv w:val="1"/>
      <w:marLeft w:val="0"/>
      <w:marRight w:val="0"/>
      <w:marTop w:val="0"/>
      <w:marBottom w:val="0"/>
      <w:divBdr>
        <w:top w:val="none" w:sz="0" w:space="0" w:color="auto"/>
        <w:left w:val="none" w:sz="0" w:space="0" w:color="auto"/>
        <w:bottom w:val="none" w:sz="0" w:space="0" w:color="auto"/>
        <w:right w:val="none" w:sz="0" w:space="0" w:color="auto"/>
      </w:divBdr>
    </w:div>
    <w:div w:id="1514304009">
      <w:bodyDiv w:val="1"/>
      <w:marLeft w:val="0"/>
      <w:marRight w:val="0"/>
      <w:marTop w:val="0"/>
      <w:marBottom w:val="0"/>
      <w:divBdr>
        <w:top w:val="none" w:sz="0" w:space="0" w:color="auto"/>
        <w:left w:val="none" w:sz="0" w:space="0" w:color="auto"/>
        <w:bottom w:val="none" w:sz="0" w:space="0" w:color="auto"/>
        <w:right w:val="none" w:sz="0" w:space="0" w:color="auto"/>
      </w:divBdr>
    </w:div>
    <w:div w:id="1533496881">
      <w:bodyDiv w:val="1"/>
      <w:marLeft w:val="0"/>
      <w:marRight w:val="0"/>
      <w:marTop w:val="0"/>
      <w:marBottom w:val="0"/>
      <w:divBdr>
        <w:top w:val="none" w:sz="0" w:space="0" w:color="auto"/>
        <w:left w:val="none" w:sz="0" w:space="0" w:color="auto"/>
        <w:bottom w:val="none" w:sz="0" w:space="0" w:color="auto"/>
        <w:right w:val="none" w:sz="0" w:space="0" w:color="auto"/>
      </w:divBdr>
    </w:div>
    <w:div w:id="1550989511">
      <w:bodyDiv w:val="1"/>
      <w:marLeft w:val="0"/>
      <w:marRight w:val="0"/>
      <w:marTop w:val="0"/>
      <w:marBottom w:val="0"/>
      <w:divBdr>
        <w:top w:val="none" w:sz="0" w:space="0" w:color="auto"/>
        <w:left w:val="none" w:sz="0" w:space="0" w:color="auto"/>
        <w:bottom w:val="none" w:sz="0" w:space="0" w:color="auto"/>
        <w:right w:val="none" w:sz="0" w:space="0" w:color="auto"/>
      </w:divBdr>
    </w:div>
    <w:div w:id="1575626430">
      <w:bodyDiv w:val="1"/>
      <w:marLeft w:val="0"/>
      <w:marRight w:val="0"/>
      <w:marTop w:val="0"/>
      <w:marBottom w:val="0"/>
      <w:divBdr>
        <w:top w:val="none" w:sz="0" w:space="0" w:color="auto"/>
        <w:left w:val="none" w:sz="0" w:space="0" w:color="auto"/>
        <w:bottom w:val="none" w:sz="0" w:space="0" w:color="auto"/>
        <w:right w:val="none" w:sz="0" w:space="0" w:color="auto"/>
      </w:divBdr>
    </w:div>
    <w:div w:id="1603369377">
      <w:bodyDiv w:val="1"/>
      <w:marLeft w:val="0"/>
      <w:marRight w:val="0"/>
      <w:marTop w:val="0"/>
      <w:marBottom w:val="0"/>
      <w:divBdr>
        <w:top w:val="none" w:sz="0" w:space="0" w:color="auto"/>
        <w:left w:val="none" w:sz="0" w:space="0" w:color="auto"/>
        <w:bottom w:val="none" w:sz="0" w:space="0" w:color="auto"/>
        <w:right w:val="none" w:sz="0" w:space="0" w:color="auto"/>
      </w:divBdr>
    </w:div>
    <w:div w:id="1611547070">
      <w:bodyDiv w:val="1"/>
      <w:marLeft w:val="0"/>
      <w:marRight w:val="0"/>
      <w:marTop w:val="0"/>
      <w:marBottom w:val="0"/>
      <w:divBdr>
        <w:top w:val="none" w:sz="0" w:space="0" w:color="auto"/>
        <w:left w:val="none" w:sz="0" w:space="0" w:color="auto"/>
        <w:bottom w:val="none" w:sz="0" w:space="0" w:color="auto"/>
        <w:right w:val="none" w:sz="0" w:space="0" w:color="auto"/>
      </w:divBdr>
    </w:div>
    <w:div w:id="1662854970">
      <w:bodyDiv w:val="1"/>
      <w:marLeft w:val="0"/>
      <w:marRight w:val="0"/>
      <w:marTop w:val="0"/>
      <w:marBottom w:val="0"/>
      <w:divBdr>
        <w:top w:val="none" w:sz="0" w:space="0" w:color="auto"/>
        <w:left w:val="none" w:sz="0" w:space="0" w:color="auto"/>
        <w:bottom w:val="none" w:sz="0" w:space="0" w:color="auto"/>
        <w:right w:val="none" w:sz="0" w:space="0" w:color="auto"/>
      </w:divBdr>
    </w:div>
    <w:div w:id="1683316111">
      <w:bodyDiv w:val="1"/>
      <w:marLeft w:val="0"/>
      <w:marRight w:val="0"/>
      <w:marTop w:val="0"/>
      <w:marBottom w:val="0"/>
      <w:divBdr>
        <w:top w:val="none" w:sz="0" w:space="0" w:color="auto"/>
        <w:left w:val="none" w:sz="0" w:space="0" w:color="auto"/>
        <w:bottom w:val="none" w:sz="0" w:space="0" w:color="auto"/>
        <w:right w:val="none" w:sz="0" w:space="0" w:color="auto"/>
      </w:divBdr>
      <w:divsChild>
        <w:div w:id="1590852544">
          <w:marLeft w:val="0"/>
          <w:marRight w:val="0"/>
          <w:marTop w:val="0"/>
          <w:marBottom w:val="0"/>
          <w:divBdr>
            <w:top w:val="none" w:sz="0" w:space="0" w:color="auto"/>
            <w:left w:val="none" w:sz="0" w:space="0" w:color="auto"/>
            <w:bottom w:val="none" w:sz="0" w:space="0" w:color="auto"/>
            <w:right w:val="none" w:sz="0" w:space="0" w:color="auto"/>
          </w:divBdr>
        </w:div>
        <w:div w:id="838890042">
          <w:marLeft w:val="0"/>
          <w:marRight w:val="0"/>
          <w:marTop w:val="0"/>
          <w:marBottom w:val="0"/>
          <w:divBdr>
            <w:top w:val="none" w:sz="0" w:space="0" w:color="auto"/>
            <w:left w:val="none" w:sz="0" w:space="0" w:color="auto"/>
            <w:bottom w:val="none" w:sz="0" w:space="0" w:color="auto"/>
            <w:right w:val="none" w:sz="0" w:space="0" w:color="auto"/>
          </w:divBdr>
        </w:div>
        <w:div w:id="1465468220">
          <w:marLeft w:val="0"/>
          <w:marRight w:val="0"/>
          <w:marTop w:val="0"/>
          <w:marBottom w:val="0"/>
          <w:divBdr>
            <w:top w:val="none" w:sz="0" w:space="0" w:color="auto"/>
            <w:left w:val="none" w:sz="0" w:space="0" w:color="auto"/>
            <w:bottom w:val="none" w:sz="0" w:space="0" w:color="auto"/>
            <w:right w:val="none" w:sz="0" w:space="0" w:color="auto"/>
          </w:divBdr>
        </w:div>
        <w:div w:id="614869664">
          <w:marLeft w:val="0"/>
          <w:marRight w:val="0"/>
          <w:marTop w:val="0"/>
          <w:marBottom w:val="0"/>
          <w:divBdr>
            <w:top w:val="none" w:sz="0" w:space="0" w:color="auto"/>
            <w:left w:val="none" w:sz="0" w:space="0" w:color="auto"/>
            <w:bottom w:val="none" w:sz="0" w:space="0" w:color="auto"/>
            <w:right w:val="none" w:sz="0" w:space="0" w:color="auto"/>
          </w:divBdr>
        </w:div>
        <w:div w:id="1662469077">
          <w:marLeft w:val="0"/>
          <w:marRight w:val="0"/>
          <w:marTop w:val="0"/>
          <w:marBottom w:val="0"/>
          <w:divBdr>
            <w:top w:val="none" w:sz="0" w:space="0" w:color="auto"/>
            <w:left w:val="none" w:sz="0" w:space="0" w:color="auto"/>
            <w:bottom w:val="none" w:sz="0" w:space="0" w:color="auto"/>
            <w:right w:val="none" w:sz="0" w:space="0" w:color="auto"/>
          </w:divBdr>
        </w:div>
        <w:div w:id="1469978805">
          <w:marLeft w:val="0"/>
          <w:marRight w:val="0"/>
          <w:marTop w:val="0"/>
          <w:marBottom w:val="0"/>
          <w:divBdr>
            <w:top w:val="none" w:sz="0" w:space="0" w:color="auto"/>
            <w:left w:val="none" w:sz="0" w:space="0" w:color="auto"/>
            <w:bottom w:val="none" w:sz="0" w:space="0" w:color="auto"/>
            <w:right w:val="none" w:sz="0" w:space="0" w:color="auto"/>
          </w:divBdr>
        </w:div>
      </w:divsChild>
    </w:div>
    <w:div w:id="1694838445">
      <w:bodyDiv w:val="1"/>
      <w:marLeft w:val="0"/>
      <w:marRight w:val="0"/>
      <w:marTop w:val="0"/>
      <w:marBottom w:val="0"/>
      <w:divBdr>
        <w:top w:val="none" w:sz="0" w:space="0" w:color="auto"/>
        <w:left w:val="none" w:sz="0" w:space="0" w:color="auto"/>
        <w:bottom w:val="none" w:sz="0" w:space="0" w:color="auto"/>
        <w:right w:val="none" w:sz="0" w:space="0" w:color="auto"/>
      </w:divBdr>
    </w:div>
    <w:div w:id="1703239668">
      <w:bodyDiv w:val="1"/>
      <w:marLeft w:val="0"/>
      <w:marRight w:val="0"/>
      <w:marTop w:val="0"/>
      <w:marBottom w:val="0"/>
      <w:divBdr>
        <w:top w:val="none" w:sz="0" w:space="0" w:color="auto"/>
        <w:left w:val="none" w:sz="0" w:space="0" w:color="auto"/>
        <w:bottom w:val="none" w:sz="0" w:space="0" w:color="auto"/>
        <w:right w:val="none" w:sz="0" w:space="0" w:color="auto"/>
      </w:divBdr>
    </w:div>
    <w:div w:id="1752387498">
      <w:bodyDiv w:val="1"/>
      <w:marLeft w:val="0"/>
      <w:marRight w:val="0"/>
      <w:marTop w:val="0"/>
      <w:marBottom w:val="0"/>
      <w:divBdr>
        <w:top w:val="none" w:sz="0" w:space="0" w:color="auto"/>
        <w:left w:val="none" w:sz="0" w:space="0" w:color="auto"/>
        <w:bottom w:val="none" w:sz="0" w:space="0" w:color="auto"/>
        <w:right w:val="none" w:sz="0" w:space="0" w:color="auto"/>
      </w:divBdr>
      <w:divsChild>
        <w:div w:id="1345480549">
          <w:marLeft w:val="0"/>
          <w:marRight w:val="0"/>
          <w:marTop w:val="0"/>
          <w:marBottom w:val="0"/>
          <w:divBdr>
            <w:top w:val="none" w:sz="0" w:space="0" w:color="auto"/>
            <w:left w:val="none" w:sz="0" w:space="0" w:color="auto"/>
            <w:bottom w:val="none" w:sz="0" w:space="0" w:color="auto"/>
            <w:right w:val="none" w:sz="0" w:space="0" w:color="auto"/>
          </w:divBdr>
        </w:div>
        <w:div w:id="952398786">
          <w:marLeft w:val="0"/>
          <w:marRight w:val="0"/>
          <w:marTop w:val="0"/>
          <w:marBottom w:val="0"/>
          <w:divBdr>
            <w:top w:val="none" w:sz="0" w:space="0" w:color="auto"/>
            <w:left w:val="none" w:sz="0" w:space="0" w:color="auto"/>
            <w:bottom w:val="none" w:sz="0" w:space="0" w:color="auto"/>
            <w:right w:val="none" w:sz="0" w:space="0" w:color="auto"/>
          </w:divBdr>
        </w:div>
        <w:div w:id="176046305">
          <w:marLeft w:val="0"/>
          <w:marRight w:val="0"/>
          <w:marTop w:val="0"/>
          <w:marBottom w:val="0"/>
          <w:divBdr>
            <w:top w:val="none" w:sz="0" w:space="0" w:color="auto"/>
            <w:left w:val="none" w:sz="0" w:space="0" w:color="auto"/>
            <w:bottom w:val="none" w:sz="0" w:space="0" w:color="auto"/>
            <w:right w:val="none" w:sz="0" w:space="0" w:color="auto"/>
          </w:divBdr>
        </w:div>
        <w:div w:id="353388929">
          <w:marLeft w:val="0"/>
          <w:marRight w:val="0"/>
          <w:marTop w:val="0"/>
          <w:marBottom w:val="0"/>
          <w:divBdr>
            <w:top w:val="none" w:sz="0" w:space="0" w:color="auto"/>
            <w:left w:val="none" w:sz="0" w:space="0" w:color="auto"/>
            <w:bottom w:val="none" w:sz="0" w:space="0" w:color="auto"/>
            <w:right w:val="none" w:sz="0" w:space="0" w:color="auto"/>
          </w:divBdr>
        </w:div>
      </w:divsChild>
    </w:div>
    <w:div w:id="1827744641">
      <w:bodyDiv w:val="1"/>
      <w:marLeft w:val="0"/>
      <w:marRight w:val="0"/>
      <w:marTop w:val="0"/>
      <w:marBottom w:val="0"/>
      <w:divBdr>
        <w:top w:val="none" w:sz="0" w:space="0" w:color="auto"/>
        <w:left w:val="none" w:sz="0" w:space="0" w:color="auto"/>
        <w:bottom w:val="none" w:sz="0" w:space="0" w:color="auto"/>
        <w:right w:val="none" w:sz="0" w:space="0" w:color="auto"/>
      </w:divBdr>
    </w:div>
    <w:div w:id="1852837580">
      <w:bodyDiv w:val="1"/>
      <w:marLeft w:val="0"/>
      <w:marRight w:val="0"/>
      <w:marTop w:val="0"/>
      <w:marBottom w:val="0"/>
      <w:divBdr>
        <w:top w:val="none" w:sz="0" w:space="0" w:color="auto"/>
        <w:left w:val="none" w:sz="0" w:space="0" w:color="auto"/>
        <w:bottom w:val="none" w:sz="0" w:space="0" w:color="auto"/>
        <w:right w:val="none" w:sz="0" w:space="0" w:color="auto"/>
      </w:divBdr>
    </w:div>
    <w:div w:id="1855261136">
      <w:bodyDiv w:val="1"/>
      <w:marLeft w:val="0"/>
      <w:marRight w:val="0"/>
      <w:marTop w:val="0"/>
      <w:marBottom w:val="0"/>
      <w:divBdr>
        <w:top w:val="none" w:sz="0" w:space="0" w:color="auto"/>
        <w:left w:val="none" w:sz="0" w:space="0" w:color="auto"/>
        <w:bottom w:val="none" w:sz="0" w:space="0" w:color="auto"/>
        <w:right w:val="none" w:sz="0" w:space="0" w:color="auto"/>
      </w:divBdr>
    </w:div>
    <w:div w:id="1878001721">
      <w:bodyDiv w:val="1"/>
      <w:marLeft w:val="0"/>
      <w:marRight w:val="0"/>
      <w:marTop w:val="0"/>
      <w:marBottom w:val="0"/>
      <w:divBdr>
        <w:top w:val="none" w:sz="0" w:space="0" w:color="auto"/>
        <w:left w:val="none" w:sz="0" w:space="0" w:color="auto"/>
        <w:bottom w:val="none" w:sz="0" w:space="0" w:color="auto"/>
        <w:right w:val="none" w:sz="0" w:space="0" w:color="auto"/>
      </w:divBdr>
    </w:div>
    <w:div w:id="1918131929">
      <w:bodyDiv w:val="1"/>
      <w:marLeft w:val="0"/>
      <w:marRight w:val="0"/>
      <w:marTop w:val="0"/>
      <w:marBottom w:val="0"/>
      <w:divBdr>
        <w:top w:val="none" w:sz="0" w:space="0" w:color="auto"/>
        <w:left w:val="none" w:sz="0" w:space="0" w:color="auto"/>
        <w:bottom w:val="none" w:sz="0" w:space="0" w:color="auto"/>
        <w:right w:val="none" w:sz="0" w:space="0" w:color="auto"/>
      </w:divBdr>
    </w:div>
    <w:div w:id="1932351421">
      <w:bodyDiv w:val="1"/>
      <w:marLeft w:val="0"/>
      <w:marRight w:val="0"/>
      <w:marTop w:val="0"/>
      <w:marBottom w:val="0"/>
      <w:divBdr>
        <w:top w:val="none" w:sz="0" w:space="0" w:color="auto"/>
        <w:left w:val="none" w:sz="0" w:space="0" w:color="auto"/>
        <w:bottom w:val="none" w:sz="0" w:space="0" w:color="auto"/>
        <w:right w:val="none" w:sz="0" w:space="0" w:color="auto"/>
      </w:divBdr>
    </w:div>
    <w:div w:id="1939749922">
      <w:bodyDiv w:val="1"/>
      <w:marLeft w:val="0"/>
      <w:marRight w:val="0"/>
      <w:marTop w:val="0"/>
      <w:marBottom w:val="0"/>
      <w:divBdr>
        <w:top w:val="none" w:sz="0" w:space="0" w:color="auto"/>
        <w:left w:val="none" w:sz="0" w:space="0" w:color="auto"/>
        <w:bottom w:val="none" w:sz="0" w:space="0" w:color="auto"/>
        <w:right w:val="none" w:sz="0" w:space="0" w:color="auto"/>
      </w:divBdr>
    </w:div>
    <w:div w:id="1962414423">
      <w:bodyDiv w:val="1"/>
      <w:marLeft w:val="0"/>
      <w:marRight w:val="0"/>
      <w:marTop w:val="0"/>
      <w:marBottom w:val="0"/>
      <w:divBdr>
        <w:top w:val="none" w:sz="0" w:space="0" w:color="auto"/>
        <w:left w:val="none" w:sz="0" w:space="0" w:color="auto"/>
        <w:bottom w:val="none" w:sz="0" w:space="0" w:color="auto"/>
        <w:right w:val="none" w:sz="0" w:space="0" w:color="auto"/>
      </w:divBdr>
    </w:div>
    <w:div w:id="1997101202">
      <w:bodyDiv w:val="1"/>
      <w:marLeft w:val="0"/>
      <w:marRight w:val="0"/>
      <w:marTop w:val="0"/>
      <w:marBottom w:val="0"/>
      <w:divBdr>
        <w:top w:val="none" w:sz="0" w:space="0" w:color="auto"/>
        <w:left w:val="none" w:sz="0" w:space="0" w:color="auto"/>
        <w:bottom w:val="none" w:sz="0" w:space="0" w:color="auto"/>
        <w:right w:val="none" w:sz="0" w:space="0" w:color="auto"/>
      </w:divBdr>
    </w:div>
    <w:div w:id="2006202318">
      <w:bodyDiv w:val="1"/>
      <w:marLeft w:val="0"/>
      <w:marRight w:val="0"/>
      <w:marTop w:val="0"/>
      <w:marBottom w:val="0"/>
      <w:divBdr>
        <w:top w:val="none" w:sz="0" w:space="0" w:color="auto"/>
        <w:left w:val="none" w:sz="0" w:space="0" w:color="auto"/>
        <w:bottom w:val="none" w:sz="0" w:space="0" w:color="auto"/>
        <w:right w:val="none" w:sz="0" w:space="0" w:color="auto"/>
      </w:divBdr>
    </w:div>
    <w:div w:id="2050183597">
      <w:bodyDiv w:val="1"/>
      <w:marLeft w:val="0"/>
      <w:marRight w:val="0"/>
      <w:marTop w:val="0"/>
      <w:marBottom w:val="0"/>
      <w:divBdr>
        <w:top w:val="none" w:sz="0" w:space="0" w:color="auto"/>
        <w:left w:val="none" w:sz="0" w:space="0" w:color="auto"/>
        <w:bottom w:val="none" w:sz="0" w:space="0" w:color="auto"/>
        <w:right w:val="none" w:sz="0" w:space="0" w:color="auto"/>
      </w:divBdr>
    </w:div>
    <w:div w:id="2055080745">
      <w:bodyDiv w:val="1"/>
      <w:marLeft w:val="0"/>
      <w:marRight w:val="0"/>
      <w:marTop w:val="0"/>
      <w:marBottom w:val="0"/>
      <w:divBdr>
        <w:top w:val="none" w:sz="0" w:space="0" w:color="auto"/>
        <w:left w:val="none" w:sz="0" w:space="0" w:color="auto"/>
        <w:bottom w:val="none" w:sz="0" w:space="0" w:color="auto"/>
        <w:right w:val="none" w:sz="0" w:space="0" w:color="auto"/>
      </w:divBdr>
    </w:div>
    <w:div w:id="2059474427">
      <w:bodyDiv w:val="1"/>
      <w:marLeft w:val="0"/>
      <w:marRight w:val="0"/>
      <w:marTop w:val="0"/>
      <w:marBottom w:val="0"/>
      <w:divBdr>
        <w:top w:val="none" w:sz="0" w:space="0" w:color="auto"/>
        <w:left w:val="none" w:sz="0" w:space="0" w:color="auto"/>
        <w:bottom w:val="none" w:sz="0" w:space="0" w:color="auto"/>
        <w:right w:val="none" w:sz="0" w:space="0" w:color="auto"/>
      </w:divBdr>
    </w:div>
    <w:div w:id="2126540598">
      <w:bodyDiv w:val="1"/>
      <w:marLeft w:val="0"/>
      <w:marRight w:val="0"/>
      <w:marTop w:val="0"/>
      <w:marBottom w:val="0"/>
      <w:divBdr>
        <w:top w:val="none" w:sz="0" w:space="0" w:color="auto"/>
        <w:left w:val="none" w:sz="0" w:space="0" w:color="auto"/>
        <w:bottom w:val="none" w:sz="0" w:space="0" w:color="auto"/>
        <w:right w:val="none" w:sz="0" w:space="0" w:color="auto"/>
      </w:divBdr>
    </w:div>
    <w:div w:id="2127461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mailto:mamasmamas1@yahoo.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dscape.com/viewarticle/8681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CF0A0-FDB4-404D-B068-92940D4B8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6488</Words>
  <Characters>36985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_</vt:lpstr>
    </vt:vector>
  </TitlesOfParts>
  <Company>UHS</Company>
  <LinksUpToDate>false</LinksUpToDate>
  <CharactersWithSpaces>43387</CharactersWithSpaces>
  <SharedDoc>false</SharedDoc>
  <HLinks>
    <vt:vector size="6" baseType="variant">
      <vt:variant>
        <vt:i4>7864387</vt:i4>
      </vt:variant>
      <vt:variant>
        <vt:i4>0</vt:i4>
      </vt:variant>
      <vt:variant>
        <vt:i4>0</vt:i4>
      </vt:variant>
      <vt:variant>
        <vt:i4>5</vt:i4>
      </vt:variant>
      <vt:variant>
        <vt:lpwstr>mailto:mamasmamas1@yahoo.co.uk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Ivan Olier</dc:creator>
  <cp:keywords/>
  <cp:lastModifiedBy>Muhammad Rashid</cp:lastModifiedBy>
  <cp:revision>2</cp:revision>
  <cp:lastPrinted>2016-03-17T13:16:00Z</cp:lastPrinted>
  <dcterms:created xsi:type="dcterms:W3CDTF">2017-12-22T11:54:00Z</dcterms:created>
  <dcterms:modified xsi:type="dcterms:W3CDTF">2017-12-22T11:54:00Z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iaolier@gmail.com@www.mendeley.com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WnCUserId">
    <vt:lpwstr>6521</vt:lpwstr>
  </property>
  <property fmtid="{D5CDD505-2E9C-101B-9397-08002B2CF9AE}" pid="26" name="WnCSubscriberId">
    <vt:lpwstr>5428</vt:lpwstr>
  </property>
  <property fmtid="{D5CDD505-2E9C-101B-9397-08002B2CF9AE}" pid="27" name="WnCOutputStyleId">
    <vt:lpwstr>3274</vt:lpwstr>
  </property>
  <property fmtid="{D5CDD505-2E9C-101B-9397-08002B2CF9AE}" pid="28" name="RWProductId">
    <vt:lpwstr>WnC</vt:lpwstr>
  </property>
  <property fmtid="{D5CDD505-2E9C-101B-9397-08002B2CF9AE}" pid="29" name="WnCUser">
    <vt:lpwstr>(null)_5428</vt:lpwstr>
  </property>
  <property fmtid="{D5CDD505-2E9C-101B-9397-08002B2CF9AE}" pid="30" name="WnC4Folder">
    <vt:lpwstr/>
  </property>
</Properties>
</file>