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ABFE3" w14:textId="77777777" w:rsidR="00094A9D" w:rsidRPr="00AF03FC" w:rsidRDefault="00DF495F" w:rsidP="00094A9D">
      <w:pPr>
        <w:spacing w:after="0" w:line="480" w:lineRule="auto"/>
        <w:rPr>
          <w:b/>
          <w:szCs w:val="24"/>
        </w:rPr>
      </w:pPr>
      <w:bookmarkStart w:id="0" w:name="_GoBack"/>
      <w:bookmarkEnd w:id="0"/>
      <w:r w:rsidRPr="00AF03FC">
        <w:rPr>
          <w:b/>
          <w:szCs w:val="24"/>
        </w:rPr>
        <w:t>Management of gout by UK rheumatologists: a British Society for Rheum</w:t>
      </w:r>
      <w:r w:rsidR="00094A9D" w:rsidRPr="00AF03FC">
        <w:rPr>
          <w:b/>
          <w:szCs w:val="24"/>
        </w:rPr>
        <w:t>atology national audit</w:t>
      </w:r>
    </w:p>
    <w:p w14:paraId="753C7C3C" w14:textId="77777777" w:rsidR="00094A9D" w:rsidRDefault="00094A9D" w:rsidP="00094A9D">
      <w:pPr>
        <w:spacing w:after="0" w:line="480" w:lineRule="auto"/>
        <w:rPr>
          <w:b/>
          <w:sz w:val="22"/>
        </w:rPr>
      </w:pPr>
    </w:p>
    <w:p w14:paraId="39ABE35F" w14:textId="2AF6CF7F" w:rsidR="00381BDA" w:rsidRDefault="00094A9D" w:rsidP="00094A9D">
      <w:pPr>
        <w:spacing w:after="0" w:line="480" w:lineRule="auto"/>
        <w:rPr>
          <w:b/>
          <w:sz w:val="22"/>
        </w:rPr>
      </w:pPr>
      <w:r>
        <w:rPr>
          <w:b/>
          <w:sz w:val="22"/>
        </w:rPr>
        <w:t xml:space="preserve">Authors: </w:t>
      </w:r>
      <w:r w:rsidRPr="00094A9D">
        <w:rPr>
          <w:sz w:val="22"/>
        </w:rPr>
        <w:t>Edward Roddy</w:t>
      </w:r>
      <w:r w:rsidR="00E540D1" w:rsidRPr="00E540D1">
        <w:rPr>
          <w:sz w:val="22"/>
          <w:vertAlign w:val="superscript"/>
        </w:rPr>
        <w:t>1,2</w:t>
      </w:r>
      <w:r w:rsidRPr="00094A9D">
        <w:rPr>
          <w:sz w:val="22"/>
        </w:rPr>
        <w:t>,</w:t>
      </w:r>
      <w:r>
        <w:rPr>
          <w:sz w:val="22"/>
        </w:rPr>
        <w:t xml:space="preserve"> </w:t>
      </w:r>
      <w:r w:rsidR="00E0454B">
        <w:rPr>
          <w:sz w:val="22"/>
        </w:rPr>
        <w:t>Jon Packham</w:t>
      </w:r>
      <w:r w:rsidR="00E540D1" w:rsidRPr="00E540D1">
        <w:rPr>
          <w:sz w:val="22"/>
          <w:vertAlign w:val="superscript"/>
        </w:rPr>
        <w:t>2</w:t>
      </w:r>
      <w:r w:rsidR="00D70B88">
        <w:rPr>
          <w:sz w:val="22"/>
          <w:vertAlign w:val="superscript"/>
        </w:rPr>
        <w:t>,3</w:t>
      </w:r>
      <w:r w:rsidR="00E0454B">
        <w:rPr>
          <w:sz w:val="22"/>
        </w:rPr>
        <w:t>, Karen Obrenovic</w:t>
      </w:r>
      <w:r w:rsidR="00703E32">
        <w:rPr>
          <w:sz w:val="22"/>
          <w:vertAlign w:val="superscript"/>
        </w:rPr>
        <w:t>4</w:t>
      </w:r>
      <w:r w:rsidR="00E0454B">
        <w:rPr>
          <w:sz w:val="22"/>
        </w:rPr>
        <w:t>, Ali Rivett</w:t>
      </w:r>
      <w:r w:rsidR="00703E32">
        <w:rPr>
          <w:sz w:val="22"/>
          <w:vertAlign w:val="superscript"/>
        </w:rPr>
        <w:t>5</w:t>
      </w:r>
      <w:r w:rsidR="00E0454B">
        <w:rPr>
          <w:sz w:val="22"/>
        </w:rPr>
        <w:t>, Jo</w:t>
      </w:r>
      <w:r w:rsidR="00381BDA">
        <w:rPr>
          <w:sz w:val="22"/>
        </w:rPr>
        <w:t>anna M</w:t>
      </w:r>
      <w:r w:rsidR="00E0454B">
        <w:rPr>
          <w:sz w:val="22"/>
        </w:rPr>
        <w:t xml:space="preserve"> Ledingham</w:t>
      </w:r>
      <w:r w:rsidR="00703E32">
        <w:rPr>
          <w:sz w:val="22"/>
          <w:vertAlign w:val="superscript"/>
        </w:rPr>
        <w:t>6</w:t>
      </w:r>
      <w:r>
        <w:rPr>
          <w:b/>
          <w:sz w:val="22"/>
        </w:rPr>
        <w:t xml:space="preserve"> </w:t>
      </w:r>
    </w:p>
    <w:p w14:paraId="054001AE" w14:textId="77777777" w:rsidR="00381BDA" w:rsidRDefault="00381BDA" w:rsidP="00094A9D">
      <w:pPr>
        <w:spacing w:after="0" w:line="480" w:lineRule="auto"/>
        <w:rPr>
          <w:b/>
          <w:sz w:val="22"/>
        </w:rPr>
      </w:pPr>
    </w:p>
    <w:p w14:paraId="24624468" w14:textId="5FB6A6EB" w:rsidR="00381BDA" w:rsidRPr="003E258E" w:rsidRDefault="00381BDA" w:rsidP="00094A9D">
      <w:pPr>
        <w:spacing w:after="0" w:line="480" w:lineRule="auto"/>
        <w:rPr>
          <w:sz w:val="22"/>
        </w:rPr>
      </w:pPr>
      <w:r w:rsidRPr="00E540D1">
        <w:rPr>
          <w:sz w:val="22"/>
          <w:vertAlign w:val="superscript"/>
        </w:rPr>
        <w:t>1</w:t>
      </w:r>
      <w:r w:rsidR="003C57B5">
        <w:rPr>
          <w:sz w:val="22"/>
        </w:rPr>
        <w:t xml:space="preserve"> Research I</w:t>
      </w:r>
      <w:r w:rsidRPr="003E258E">
        <w:rPr>
          <w:sz w:val="22"/>
        </w:rPr>
        <w:t>nstitute for Primary Care and Health Sciences</w:t>
      </w:r>
      <w:r w:rsidR="003E258E">
        <w:rPr>
          <w:sz w:val="22"/>
        </w:rPr>
        <w:t>, Keele University</w:t>
      </w:r>
      <w:r w:rsidR="00AF03FC">
        <w:rPr>
          <w:sz w:val="22"/>
        </w:rPr>
        <w:t>, UK</w:t>
      </w:r>
      <w:r w:rsidR="003E258E">
        <w:rPr>
          <w:sz w:val="22"/>
        </w:rPr>
        <w:t>.</w:t>
      </w:r>
    </w:p>
    <w:p w14:paraId="51023977" w14:textId="75DBF94D" w:rsidR="003E258E" w:rsidRPr="00607936" w:rsidRDefault="00381BDA" w:rsidP="00094A9D">
      <w:pPr>
        <w:spacing w:after="0" w:line="480" w:lineRule="auto"/>
        <w:rPr>
          <w:rFonts w:cs="Arial"/>
          <w:color w:val="000000"/>
          <w:sz w:val="22"/>
          <w:shd w:val="clear" w:color="auto" w:fill="FFFFFF"/>
        </w:rPr>
      </w:pPr>
      <w:r w:rsidRPr="00E540D1">
        <w:rPr>
          <w:sz w:val="22"/>
          <w:vertAlign w:val="superscript"/>
        </w:rPr>
        <w:t>2</w:t>
      </w:r>
      <w:r w:rsidR="00616D9D" w:rsidRPr="003E258E">
        <w:rPr>
          <w:sz w:val="22"/>
        </w:rPr>
        <w:t xml:space="preserve"> Haywood </w:t>
      </w:r>
      <w:r w:rsidR="00136CD8">
        <w:rPr>
          <w:sz w:val="22"/>
        </w:rPr>
        <w:t xml:space="preserve">Academic </w:t>
      </w:r>
      <w:r w:rsidR="003E258E" w:rsidRPr="003E258E">
        <w:rPr>
          <w:rFonts w:cs="Arial"/>
          <w:color w:val="000000"/>
          <w:sz w:val="22"/>
          <w:shd w:val="clear" w:color="auto" w:fill="FFFFFF"/>
        </w:rPr>
        <w:t xml:space="preserve">Rheumatology </w:t>
      </w:r>
      <w:r w:rsidR="003E258E" w:rsidRPr="00607936">
        <w:rPr>
          <w:rFonts w:cs="Arial"/>
          <w:color w:val="000000"/>
          <w:sz w:val="22"/>
          <w:shd w:val="clear" w:color="auto" w:fill="FFFFFF"/>
        </w:rPr>
        <w:t>Centre, Haywood Hospital, Stoke-on-Trent</w:t>
      </w:r>
      <w:r w:rsidR="00AF03FC" w:rsidRPr="00607936">
        <w:rPr>
          <w:rFonts w:cs="Arial"/>
          <w:color w:val="000000"/>
          <w:sz w:val="22"/>
          <w:shd w:val="clear" w:color="auto" w:fill="FFFFFF"/>
        </w:rPr>
        <w:t>, UK</w:t>
      </w:r>
      <w:r w:rsidR="003E258E" w:rsidRPr="00607936">
        <w:rPr>
          <w:rFonts w:cs="Arial"/>
          <w:color w:val="000000"/>
          <w:sz w:val="22"/>
          <w:shd w:val="clear" w:color="auto" w:fill="FFFFFF"/>
        </w:rPr>
        <w:t>.</w:t>
      </w:r>
    </w:p>
    <w:p w14:paraId="3C659033" w14:textId="274B1AFE" w:rsidR="00D70B88" w:rsidRPr="00D70B88" w:rsidRDefault="00D70B88" w:rsidP="00094A9D">
      <w:pPr>
        <w:spacing w:after="0" w:line="480" w:lineRule="auto"/>
        <w:rPr>
          <w:rFonts w:cs="Arial"/>
          <w:color w:val="000000"/>
          <w:sz w:val="22"/>
          <w:shd w:val="clear" w:color="auto" w:fill="FFFFFF"/>
        </w:rPr>
      </w:pPr>
      <w:r>
        <w:rPr>
          <w:rFonts w:cs="Arial"/>
          <w:color w:val="000000"/>
          <w:sz w:val="22"/>
          <w:shd w:val="clear" w:color="auto" w:fill="FFFFFF"/>
          <w:vertAlign w:val="superscript"/>
        </w:rPr>
        <w:t>3</w:t>
      </w:r>
      <w:r w:rsidR="00136CD8">
        <w:rPr>
          <w:rFonts w:cs="Arial"/>
          <w:color w:val="000000"/>
          <w:sz w:val="22"/>
          <w:shd w:val="clear" w:color="auto" w:fill="FFFFFF"/>
          <w:vertAlign w:val="superscript"/>
        </w:rPr>
        <w:t xml:space="preserve"> </w:t>
      </w:r>
      <w:r w:rsidR="00136CD8">
        <w:rPr>
          <w:rFonts w:cs="Arial"/>
          <w:color w:val="000000"/>
          <w:sz w:val="22"/>
          <w:shd w:val="clear" w:color="auto" w:fill="FFFFFF"/>
        </w:rPr>
        <w:t>Research Institute for</w:t>
      </w:r>
      <w:r>
        <w:rPr>
          <w:rFonts w:cs="Arial"/>
          <w:color w:val="000000"/>
          <w:sz w:val="22"/>
          <w:shd w:val="clear" w:color="auto" w:fill="FFFFFF"/>
        </w:rPr>
        <w:t xml:space="preserve"> Applied Clinical Science</w:t>
      </w:r>
      <w:r w:rsidR="00136CD8">
        <w:rPr>
          <w:rFonts w:cs="Arial"/>
          <w:color w:val="000000"/>
          <w:sz w:val="22"/>
          <w:shd w:val="clear" w:color="auto" w:fill="FFFFFF"/>
        </w:rPr>
        <w:t>s</w:t>
      </w:r>
      <w:r>
        <w:rPr>
          <w:rFonts w:cs="Arial"/>
          <w:color w:val="000000"/>
          <w:sz w:val="22"/>
          <w:shd w:val="clear" w:color="auto" w:fill="FFFFFF"/>
        </w:rPr>
        <w:t>, Keele University, UK</w:t>
      </w:r>
    </w:p>
    <w:p w14:paraId="4CC2ED04" w14:textId="140DB4E7" w:rsidR="003E258E" w:rsidRPr="00607936" w:rsidRDefault="00703E32" w:rsidP="00094A9D">
      <w:pPr>
        <w:spacing w:after="0" w:line="480" w:lineRule="auto"/>
        <w:rPr>
          <w:rFonts w:cs="Arial"/>
          <w:color w:val="000000"/>
          <w:sz w:val="22"/>
          <w:shd w:val="clear" w:color="auto" w:fill="FFFFFF"/>
        </w:rPr>
      </w:pPr>
      <w:r>
        <w:rPr>
          <w:rFonts w:cs="Arial"/>
          <w:color w:val="000000"/>
          <w:sz w:val="22"/>
          <w:shd w:val="clear" w:color="auto" w:fill="FFFFFF"/>
          <w:vertAlign w:val="superscript"/>
        </w:rPr>
        <w:t>4</w:t>
      </w:r>
      <w:r w:rsidR="00E540D1" w:rsidRPr="00607936">
        <w:rPr>
          <w:rFonts w:cs="Arial"/>
          <w:color w:val="000000"/>
          <w:sz w:val="22"/>
          <w:shd w:val="clear" w:color="auto" w:fill="FFFFFF"/>
          <w:vertAlign w:val="superscript"/>
        </w:rPr>
        <w:t xml:space="preserve"> </w:t>
      </w:r>
      <w:r w:rsidR="00116C86">
        <w:rPr>
          <w:rFonts w:cs="Arial"/>
          <w:color w:val="000000"/>
          <w:sz w:val="22"/>
          <w:shd w:val="clear" w:color="auto" w:fill="FFFFFF"/>
        </w:rPr>
        <w:t xml:space="preserve">Clinical Audit Department, </w:t>
      </w:r>
      <w:r w:rsidR="00607936" w:rsidRPr="00607936">
        <w:rPr>
          <w:rFonts w:cs="Arial"/>
          <w:color w:val="000000"/>
          <w:sz w:val="22"/>
          <w:shd w:val="clear" w:color="auto" w:fill="FFFFFF"/>
        </w:rPr>
        <w:t>Dudley Group of Hospitals NHS Foundation Trust, UK</w:t>
      </w:r>
    </w:p>
    <w:p w14:paraId="6FB2E3AC" w14:textId="29CD974E" w:rsidR="003E258E" w:rsidRPr="00AF03FC" w:rsidRDefault="00703E32" w:rsidP="00094A9D">
      <w:pPr>
        <w:spacing w:after="0" w:line="480" w:lineRule="auto"/>
        <w:rPr>
          <w:rFonts w:cs="Arial"/>
          <w:color w:val="000000"/>
          <w:sz w:val="22"/>
          <w:shd w:val="clear" w:color="auto" w:fill="FFFFFF"/>
        </w:rPr>
      </w:pPr>
      <w:r>
        <w:rPr>
          <w:rFonts w:cs="Arial"/>
          <w:color w:val="000000"/>
          <w:sz w:val="22"/>
          <w:shd w:val="clear" w:color="auto" w:fill="FFFFFF"/>
          <w:vertAlign w:val="superscript"/>
        </w:rPr>
        <w:t>5</w:t>
      </w:r>
      <w:r w:rsidR="00E540D1" w:rsidRPr="00607936">
        <w:rPr>
          <w:rFonts w:cs="Arial"/>
          <w:color w:val="000000"/>
          <w:sz w:val="22"/>
          <w:shd w:val="clear" w:color="auto" w:fill="FFFFFF"/>
        </w:rPr>
        <w:t xml:space="preserve"> British Society for Rheumatology</w:t>
      </w:r>
      <w:r w:rsidR="00AF03FC">
        <w:rPr>
          <w:rFonts w:cs="Arial"/>
          <w:color w:val="000000"/>
          <w:sz w:val="22"/>
          <w:shd w:val="clear" w:color="auto" w:fill="FFFFFF"/>
        </w:rPr>
        <w:t>, UK</w:t>
      </w:r>
    </w:p>
    <w:p w14:paraId="5B89DC3C" w14:textId="5915DB67" w:rsidR="003E258E" w:rsidRPr="00AF03FC" w:rsidRDefault="00703E32" w:rsidP="00094A9D">
      <w:pPr>
        <w:spacing w:after="0" w:line="480" w:lineRule="auto"/>
        <w:rPr>
          <w:rFonts w:cs="Arial"/>
          <w:color w:val="000000"/>
          <w:sz w:val="22"/>
          <w:shd w:val="clear" w:color="auto" w:fill="FFFFFF"/>
        </w:rPr>
      </w:pPr>
      <w:r>
        <w:rPr>
          <w:rFonts w:cs="Arial"/>
          <w:color w:val="000000"/>
          <w:sz w:val="22"/>
          <w:shd w:val="clear" w:color="auto" w:fill="FFFFFF"/>
          <w:vertAlign w:val="superscript"/>
        </w:rPr>
        <w:t>6</w:t>
      </w:r>
      <w:r w:rsidR="00AF03FC" w:rsidRPr="00AF03FC">
        <w:rPr>
          <w:rFonts w:cs="Arial"/>
          <w:color w:val="000000"/>
          <w:sz w:val="22"/>
          <w:shd w:val="clear" w:color="auto" w:fill="FFFFFF"/>
        </w:rPr>
        <w:t xml:space="preserve"> Rheumatology Department, Portsmouth Hospitals NHS Trust, Portsmouth</w:t>
      </w:r>
      <w:r w:rsidR="00AF03FC">
        <w:rPr>
          <w:rFonts w:cs="Arial"/>
          <w:color w:val="000000"/>
          <w:sz w:val="22"/>
          <w:shd w:val="clear" w:color="auto" w:fill="FFFFFF"/>
        </w:rPr>
        <w:t>, UK.</w:t>
      </w:r>
    </w:p>
    <w:p w14:paraId="7D4B977E" w14:textId="77777777" w:rsidR="003E258E" w:rsidRDefault="003E258E" w:rsidP="00094A9D">
      <w:pPr>
        <w:spacing w:after="0" w:line="480" w:lineRule="auto"/>
        <w:rPr>
          <w:rFonts w:cs="Arial"/>
          <w:color w:val="000000"/>
          <w:sz w:val="22"/>
          <w:shd w:val="clear" w:color="auto" w:fill="FFFFFF"/>
        </w:rPr>
      </w:pPr>
    </w:p>
    <w:p w14:paraId="57FFB329" w14:textId="07890570" w:rsidR="003E258E" w:rsidRDefault="003E258E" w:rsidP="00094A9D">
      <w:pPr>
        <w:spacing w:after="0" w:line="480" w:lineRule="auto"/>
        <w:rPr>
          <w:rFonts w:cs="Arial"/>
          <w:b/>
          <w:color w:val="000000"/>
          <w:sz w:val="22"/>
          <w:shd w:val="clear" w:color="auto" w:fill="FFFFFF"/>
        </w:rPr>
      </w:pPr>
      <w:r w:rsidRPr="003E258E">
        <w:rPr>
          <w:rFonts w:cs="Arial"/>
          <w:b/>
          <w:color w:val="000000"/>
          <w:sz w:val="22"/>
          <w:shd w:val="clear" w:color="auto" w:fill="FFFFFF"/>
        </w:rPr>
        <w:t>Corresponding author:</w:t>
      </w:r>
    </w:p>
    <w:p w14:paraId="2EA24F7D" w14:textId="0517F777" w:rsidR="003E258E" w:rsidRPr="00131A73" w:rsidRDefault="003E258E" w:rsidP="00094A9D">
      <w:pPr>
        <w:spacing w:after="0" w:line="480" w:lineRule="auto"/>
        <w:rPr>
          <w:rFonts w:cs="Arial"/>
          <w:color w:val="000000"/>
          <w:sz w:val="22"/>
          <w:shd w:val="clear" w:color="auto" w:fill="FFFFFF"/>
        </w:rPr>
      </w:pPr>
      <w:r w:rsidRPr="00131A73">
        <w:rPr>
          <w:rFonts w:cs="Arial"/>
          <w:color w:val="000000"/>
          <w:sz w:val="22"/>
          <w:shd w:val="clear" w:color="auto" w:fill="FFFFFF"/>
        </w:rPr>
        <w:t>Dr Edward Roddy</w:t>
      </w:r>
    </w:p>
    <w:p w14:paraId="23D031EC" w14:textId="2972D330" w:rsidR="003E258E" w:rsidRPr="00131A73" w:rsidRDefault="00A67D47" w:rsidP="00094A9D">
      <w:pPr>
        <w:spacing w:after="0" w:line="480" w:lineRule="auto"/>
        <w:rPr>
          <w:rFonts w:cs="Arial"/>
          <w:color w:val="000000"/>
          <w:sz w:val="22"/>
          <w:shd w:val="clear" w:color="auto" w:fill="FFFFFF"/>
        </w:rPr>
      </w:pPr>
      <w:r>
        <w:rPr>
          <w:rFonts w:cs="Arial"/>
          <w:color w:val="000000"/>
          <w:sz w:val="22"/>
          <w:shd w:val="clear" w:color="auto" w:fill="FFFFFF"/>
        </w:rPr>
        <w:t>Reader</w:t>
      </w:r>
      <w:r w:rsidR="003E258E" w:rsidRPr="00131A73">
        <w:rPr>
          <w:rFonts w:cs="Arial"/>
          <w:color w:val="000000"/>
          <w:sz w:val="22"/>
          <w:shd w:val="clear" w:color="auto" w:fill="FFFFFF"/>
        </w:rPr>
        <w:t xml:space="preserve"> in Rheumatology and Honorary Consultant Rheumatologist</w:t>
      </w:r>
    </w:p>
    <w:p w14:paraId="037D43B6" w14:textId="666FEB2F" w:rsidR="003E258E" w:rsidRDefault="003E258E" w:rsidP="00094A9D">
      <w:pPr>
        <w:spacing w:after="0" w:line="480" w:lineRule="auto"/>
        <w:rPr>
          <w:sz w:val="22"/>
        </w:rPr>
      </w:pPr>
      <w:r w:rsidRPr="00131A73">
        <w:rPr>
          <w:sz w:val="22"/>
        </w:rPr>
        <w:t>Research institute for Primary Care and Health Sciences, Keele University, Keele</w:t>
      </w:r>
      <w:r w:rsidR="003C57B5">
        <w:rPr>
          <w:sz w:val="22"/>
        </w:rPr>
        <w:t>,</w:t>
      </w:r>
      <w:r w:rsidRPr="00131A73">
        <w:rPr>
          <w:sz w:val="22"/>
        </w:rPr>
        <w:t xml:space="preserve"> Staffordshire, ST5 5BG, UK.</w:t>
      </w:r>
    </w:p>
    <w:p w14:paraId="6F121274" w14:textId="467B1676" w:rsidR="00131A73" w:rsidRDefault="00131A73" w:rsidP="00094A9D">
      <w:pPr>
        <w:spacing w:after="0" w:line="480" w:lineRule="auto"/>
        <w:rPr>
          <w:sz w:val="22"/>
        </w:rPr>
      </w:pPr>
      <w:r>
        <w:rPr>
          <w:sz w:val="22"/>
        </w:rPr>
        <w:t xml:space="preserve">e-mail: </w:t>
      </w:r>
      <w:hyperlink r:id="rId8" w:history="1">
        <w:r w:rsidRPr="00C30B8D">
          <w:rPr>
            <w:rStyle w:val="Hyperlink"/>
            <w:sz w:val="22"/>
          </w:rPr>
          <w:t>e.roddy@keele.ac.uk</w:t>
        </w:r>
      </w:hyperlink>
    </w:p>
    <w:p w14:paraId="235ADE8F" w14:textId="4684FB09" w:rsidR="00131A73" w:rsidRPr="0020638D" w:rsidRDefault="00131A73" w:rsidP="00094A9D">
      <w:pPr>
        <w:spacing w:after="0" w:line="480" w:lineRule="auto"/>
        <w:rPr>
          <w:sz w:val="22"/>
        </w:rPr>
      </w:pPr>
      <w:r>
        <w:rPr>
          <w:sz w:val="22"/>
        </w:rPr>
        <w:t>Tel:</w:t>
      </w:r>
      <w:r w:rsidR="0020638D" w:rsidRPr="0020638D">
        <w:rPr>
          <w:rFonts w:eastAsia="Times New Roman" w:cs="Calibri"/>
          <w:szCs w:val="24"/>
          <w:lang w:eastAsia="en-GB"/>
        </w:rPr>
        <w:t xml:space="preserve"> </w:t>
      </w:r>
      <w:r w:rsidR="0020638D" w:rsidRPr="0020638D">
        <w:rPr>
          <w:rFonts w:eastAsia="Times New Roman" w:cs="Calibri"/>
          <w:sz w:val="22"/>
          <w:lang w:eastAsia="en-GB"/>
        </w:rPr>
        <w:t>00 44 1782 734715</w:t>
      </w:r>
      <w:r w:rsidR="0020638D" w:rsidRPr="0020638D">
        <w:rPr>
          <w:rFonts w:eastAsia="Times New Roman" w:cs="Calibri"/>
          <w:sz w:val="22"/>
          <w:lang w:eastAsia="en-GB"/>
        </w:rPr>
        <w:tab/>
      </w:r>
    </w:p>
    <w:p w14:paraId="7B199384" w14:textId="6044DFC5" w:rsidR="00131A73" w:rsidRPr="0020638D" w:rsidRDefault="00131A73" w:rsidP="00094A9D">
      <w:pPr>
        <w:spacing w:after="0" w:line="480" w:lineRule="auto"/>
        <w:rPr>
          <w:sz w:val="22"/>
        </w:rPr>
      </w:pPr>
      <w:r w:rsidRPr="0020638D">
        <w:rPr>
          <w:sz w:val="22"/>
        </w:rPr>
        <w:t xml:space="preserve">Fax: </w:t>
      </w:r>
      <w:r w:rsidR="0020638D" w:rsidRPr="0020638D">
        <w:rPr>
          <w:rFonts w:eastAsia="Times New Roman" w:cs="Calibri"/>
          <w:sz w:val="22"/>
          <w:lang w:eastAsia="en-GB"/>
        </w:rPr>
        <w:t>00 44 1782 734719</w:t>
      </w:r>
    </w:p>
    <w:p w14:paraId="1E51B3A4" w14:textId="77777777" w:rsidR="0020638D" w:rsidRPr="0020638D" w:rsidRDefault="0020638D" w:rsidP="0020638D">
      <w:pPr>
        <w:spacing w:after="0" w:line="480" w:lineRule="auto"/>
        <w:rPr>
          <w:b/>
          <w:color w:val="000000" w:themeColor="text1"/>
          <w:sz w:val="22"/>
          <w:shd w:val="clear" w:color="auto" w:fill="FFFFFF"/>
        </w:rPr>
      </w:pPr>
    </w:p>
    <w:p w14:paraId="3F655E50" w14:textId="4C4539BE" w:rsidR="0020638D" w:rsidRDefault="0020638D" w:rsidP="0020638D">
      <w:pPr>
        <w:spacing w:after="0" w:line="480" w:lineRule="auto"/>
        <w:rPr>
          <w:color w:val="000000" w:themeColor="text1"/>
          <w:sz w:val="22"/>
          <w:shd w:val="clear" w:color="auto" w:fill="FFFFFF"/>
        </w:rPr>
      </w:pPr>
      <w:r w:rsidRPr="0020638D">
        <w:rPr>
          <w:b/>
          <w:color w:val="000000" w:themeColor="text1"/>
          <w:sz w:val="22"/>
          <w:shd w:val="clear" w:color="auto" w:fill="FFFFFF"/>
        </w:rPr>
        <w:t xml:space="preserve">Short running title: </w:t>
      </w:r>
      <w:r>
        <w:rPr>
          <w:color w:val="000000" w:themeColor="text1"/>
          <w:sz w:val="22"/>
          <w:shd w:val="clear" w:color="auto" w:fill="FFFFFF"/>
        </w:rPr>
        <w:t>BSR national gout audit</w:t>
      </w:r>
    </w:p>
    <w:p w14:paraId="16C4FCDA" w14:textId="77777777" w:rsidR="0020638D" w:rsidRDefault="0020638D">
      <w:pPr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  <w:shd w:val="clear" w:color="auto" w:fill="FFFFFF"/>
        </w:rPr>
        <w:br w:type="page"/>
      </w:r>
    </w:p>
    <w:p w14:paraId="3C8B6F9A" w14:textId="7CC07A7B" w:rsidR="0020638D" w:rsidRPr="0020638D" w:rsidRDefault="0020638D" w:rsidP="0020638D">
      <w:pPr>
        <w:spacing w:after="0" w:line="480" w:lineRule="auto"/>
        <w:rPr>
          <w:b/>
          <w:color w:val="000000" w:themeColor="text1"/>
          <w:sz w:val="22"/>
          <w:shd w:val="clear" w:color="auto" w:fill="FFFFFF"/>
        </w:rPr>
      </w:pPr>
      <w:r w:rsidRPr="0020638D">
        <w:rPr>
          <w:b/>
          <w:color w:val="000000" w:themeColor="text1"/>
          <w:sz w:val="22"/>
          <w:shd w:val="clear" w:color="auto" w:fill="FFFFFF"/>
        </w:rPr>
        <w:lastRenderedPageBreak/>
        <w:t>A</w:t>
      </w:r>
      <w:r w:rsidR="007349AD">
        <w:rPr>
          <w:b/>
          <w:color w:val="000000" w:themeColor="text1"/>
          <w:sz w:val="22"/>
          <w:shd w:val="clear" w:color="auto" w:fill="FFFFFF"/>
        </w:rPr>
        <w:t>bstract</w:t>
      </w:r>
    </w:p>
    <w:p w14:paraId="0555705C" w14:textId="77777777" w:rsidR="007534D1" w:rsidRDefault="007534D1" w:rsidP="00094A9D">
      <w:pPr>
        <w:spacing w:after="0" w:line="480" w:lineRule="auto"/>
        <w:rPr>
          <w:b/>
          <w:sz w:val="22"/>
        </w:rPr>
      </w:pPr>
    </w:p>
    <w:p w14:paraId="0AC472BA" w14:textId="085BEA51" w:rsidR="007534D1" w:rsidRPr="007534D1" w:rsidRDefault="007534D1" w:rsidP="00094A9D">
      <w:pPr>
        <w:spacing w:after="0" w:line="480" w:lineRule="auto"/>
        <w:rPr>
          <w:sz w:val="22"/>
        </w:rPr>
      </w:pPr>
      <w:r>
        <w:rPr>
          <w:b/>
          <w:sz w:val="22"/>
        </w:rPr>
        <w:t>Objectives:</w:t>
      </w:r>
      <w:r>
        <w:rPr>
          <w:sz w:val="22"/>
        </w:rPr>
        <w:t xml:space="preserve"> </w:t>
      </w:r>
      <w:r w:rsidR="00AF4242">
        <w:rPr>
          <w:rFonts w:cs="Arial"/>
          <w:sz w:val="22"/>
        </w:rPr>
        <w:t>T</w:t>
      </w:r>
      <w:r w:rsidR="00E950E2" w:rsidRPr="00BB524D">
        <w:rPr>
          <w:rFonts w:cs="Arial"/>
          <w:sz w:val="22"/>
        </w:rPr>
        <w:t>o assess the concordance of</w:t>
      </w:r>
      <w:r w:rsidR="00646B4D">
        <w:rPr>
          <w:rFonts w:cs="Arial"/>
          <w:sz w:val="22"/>
        </w:rPr>
        <w:t xml:space="preserve"> </w:t>
      </w:r>
      <w:r w:rsidR="00E950E2" w:rsidRPr="00BB524D">
        <w:rPr>
          <w:rFonts w:cs="Arial"/>
          <w:sz w:val="22"/>
        </w:rPr>
        <w:t xml:space="preserve">gout management by UK rheumatologists with evidence-based </w:t>
      </w:r>
      <w:r w:rsidR="00E950E2">
        <w:rPr>
          <w:rFonts w:cs="Arial"/>
          <w:sz w:val="22"/>
        </w:rPr>
        <w:t xml:space="preserve">best-practice </w:t>
      </w:r>
      <w:r w:rsidR="00E950E2" w:rsidRPr="00BB524D">
        <w:rPr>
          <w:rFonts w:cs="Arial"/>
          <w:sz w:val="22"/>
        </w:rPr>
        <w:t>recommendations</w:t>
      </w:r>
      <w:r w:rsidR="001B7434">
        <w:rPr>
          <w:rFonts w:cs="Arial"/>
          <w:sz w:val="22"/>
        </w:rPr>
        <w:t>.</w:t>
      </w:r>
    </w:p>
    <w:p w14:paraId="07FD12EF" w14:textId="35234FA3" w:rsidR="007534D1" w:rsidRDefault="007534D1" w:rsidP="00094A9D">
      <w:pPr>
        <w:spacing w:after="0" w:line="480" w:lineRule="auto"/>
        <w:rPr>
          <w:b/>
          <w:sz w:val="22"/>
        </w:rPr>
      </w:pPr>
      <w:r>
        <w:rPr>
          <w:b/>
          <w:sz w:val="22"/>
        </w:rPr>
        <w:t>Methods:</w:t>
      </w:r>
      <w:r w:rsidR="00E950E2">
        <w:rPr>
          <w:b/>
          <w:sz w:val="22"/>
        </w:rPr>
        <w:t xml:space="preserve"> </w:t>
      </w:r>
      <w:r w:rsidR="00553755">
        <w:rPr>
          <w:sz w:val="22"/>
        </w:rPr>
        <w:t>D</w:t>
      </w:r>
      <w:r w:rsidR="00186F7E">
        <w:rPr>
          <w:sz w:val="22"/>
        </w:rPr>
        <w:t xml:space="preserve">ata were </w:t>
      </w:r>
      <w:r w:rsidR="001B7434">
        <w:rPr>
          <w:sz w:val="22"/>
        </w:rPr>
        <w:t xml:space="preserve">collected on </w:t>
      </w:r>
      <w:r w:rsidR="00C90A1E">
        <w:rPr>
          <w:sz w:val="22"/>
        </w:rPr>
        <w:t>patients newly-</w:t>
      </w:r>
      <w:r w:rsidR="00186F7E">
        <w:rPr>
          <w:sz w:val="22"/>
        </w:rPr>
        <w:t xml:space="preserve">referred to </w:t>
      </w:r>
      <w:r w:rsidR="00186F7E" w:rsidRPr="00BB524D">
        <w:rPr>
          <w:rFonts w:cs="Arial"/>
          <w:sz w:val="22"/>
        </w:rPr>
        <w:t xml:space="preserve">UK rheumatology </w:t>
      </w:r>
      <w:r w:rsidR="008D0D0B">
        <w:rPr>
          <w:rFonts w:cs="Arial"/>
          <w:sz w:val="22"/>
        </w:rPr>
        <w:t>out</w:t>
      </w:r>
      <w:r w:rsidR="003C02BA">
        <w:rPr>
          <w:rFonts w:cs="Arial"/>
          <w:sz w:val="22"/>
        </w:rPr>
        <w:t>-</w:t>
      </w:r>
      <w:r w:rsidR="008D0D0B">
        <w:rPr>
          <w:rFonts w:cs="Arial"/>
          <w:sz w:val="22"/>
        </w:rPr>
        <w:t xml:space="preserve">patient </w:t>
      </w:r>
      <w:r w:rsidR="00553755">
        <w:rPr>
          <w:rFonts w:cs="Arial"/>
          <w:sz w:val="22"/>
        </w:rPr>
        <w:t>departments</w:t>
      </w:r>
      <w:r w:rsidR="008D0D0B">
        <w:rPr>
          <w:rFonts w:cs="Arial"/>
          <w:sz w:val="22"/>
        </w:rPr>
        <w:t xml:space="preserve"> </w:t>
      </w:r>
      <w:r w:rsidR="00186F7E" w:rsidRPr="00BB524D">
        <w:rPr>
          <w:rFonts w:cs="Arial"/>
          <w:sz w:val="22"/>
        </w:rPr>
        <w:t>over an eight-week period</w:t>
      </w:r>
      <w:r w:rsidR="003B7384">
        <w:rPr>
          <w:rFonts w:cs="Arial"/>
          <w:sz w:val="22"/>
        </w:rPr>
        <w:t xml:space="preserve">. Baseline data included </w:t>
      </w:r>
      <w:r w:rsidR="003B7384" w:rsidRPr="00BB524D">
        <w:rPr>
          <w:rFonts w:cs="Arial"/>
          <w:sz w:val="22"/>
        </w:rPr>
        <w:t>demographic</w:t>
      </w:r>
      <w:r w:rsidR="003B7384">
        <w:rPr>
          <w:rFonts w:cs="Arial"/>
          <w:sz w:val="22"/>
        </w:rPr>
        <w:t>s</w:t>
      </w:r>
      <w:r w:rsidR="003B7384" w:rsidRPr="00BB524D">
        <w:rPr>
          <w:rFonts w:cs="Arial"/>
          <w:sz w:val="22"/>
        </w:rPr>
        <w:t>, method of diagnosis, clinical features, comorbi</w:t>
      </w:r>
      <w:r w:rsidR="003B7384">
        <w:rPr>
          <w:rFonts w:cs="Arial"/>
          <w:sz w:val="22"/>
        </w:rPr>
        <w:t>dities, urate-lowering therapy</w:t>
      </w:r>
      <w:r w:rsidR="0031078D">
        <w:rPr>
          <w:rFonts w:cs="Arial"/>
          <w:sz w:val="22"/>
        </w:rPr>
        <w:t xml:space="preserve"> (ULT)</w:t>
      </w:r>
      <w:r w:rsidR="003B7384">
        <w:rPr>
          <w:rFonts w:cs="Arial"/>
          <w:sz w:val="22"/>
        </w:rPr>
        <w:t>, pr</w:t>
      </w:r>
      <w:r w:rsidR="003B7384" w:rsidRPr="00BB524D">
        <w:rPr>
          <w:rFonts w:cs="Arial"/>
          <w:sz w:val="22"/>
        </w:rPr>
        <w:t>ophyla</w:t>
      </w:r>
      <w:r w:rsidR="003B7384">
        <w:rPr>
          <w:rFonts w:cs="Arial"/>
          <w:sz w:val="22"/>
        </w:rPr>
        <w:t>xis</w:t>
      </w:r>
      <w:r w:rsidR="00EB1F3C">
        <w:rPr>
          <w:rFonts w:cs="Arial"/>
          <w:sz w:val="22"/>
        </w:rPr>
        <w:t xml:space="preserve"> and blood tests.</w:t>
      </w:r>
      <w:r w:rsidR="003B7384" w:rsidRPr="00BB524D">
        <w:rPr>
          <w:rFonts w:cs="Arial"/>
          <w:sz w:val="22"/>
        </w:rPr>
        <w:t xml:space="preserve"> </w:t>
      </w:r>
      <w:r w:rsidR="007349AD">
        <w:rPr>
          <w:rFonts w:cs="Arial"/>
          <w:sz w:val="22"/>
        </w:rPr>
        <w:t>Twelve months later</w:t>
      </w:r>
      <w:r w:rsidR="008D0D0B">
        <w:rPr>
          <w:rFonts w:cs="Arial"/>
          <w:sz w:val="22"/>
        </w:rPr>
        <w:t>,</w:t>
      </w:r>
      <w:r w:rsidR="00EB1F3C">
        <w:rPr>
          <w:rFonts w:cs="Arial"/>
          <w:sz w:val="22"/>
        </w:rPr>
        <w:t xml:space="preserve"> </w:t>
      </w:r>
      <w:r w:rsidR="003B7384" w:rsidRPr="00BB524D">
        <w:rPr>
          <w:rFonts w:cs="Arial"/>
          <w:sz w:val="22"/>
        </w:rPr>
        <w:t>the most recent serum uric acid level</w:t>
      </w:r>
      <w:r w:rsidR="00EB1F3C">
        <w:rPr>
          <w:rFonts w:cs="Arial"/>
          <w:sz w:val="22"/>
        </w:rPr>
        <w:t xml:space="preserve"> was </w:t>
      </w:r>
      <w:r w:rsidR="007349AD">
        <w:rPr>
          <w:rFonts w:cs="Arial"/>
          <w:sz w:val="22"/>
        </w:rPr>
        <w:t>collected</w:t>
      </w:r>
      <w:r w:rsidR="00EB1F3C">
        <w:rPr>
          <w:rFonts w:cs="Arial"/>
          <w:sz w:val="22"/>
        </w:rPr>
        <w:t xml:space="preserve">. </w:t>
      </w:r>
      <w:r w:rsidR="00B77A14">
        <w:rPr>
          <w:rFonts w:cs="Arial"/>
          <w:sz w:val="22"/>
        </w:rPr>
        <w:t>Management was compared to audit standards derived from the 2006 E</w:t>
      </w:r>
      <w:r w:rsidR="00CD4021">
        <w:rPr>
          <w:rFonts w:cs="Arial"/>
          <w:sz w:val="22"/>
        </w:rPr>
        <w:t xml:space="preserve">ULAR </w:t>
      </w:r>
      <w:r w:rsidR="00B77A14">
        <w:rPr>
          <w:rFonts w:cs="Arial"/>
          <w:sz w:val="22"/>
        </w:rPr>
        <w:t>recommendations</w:t>
      </w:r>
      <w:r w:rsidR="00B77A14" w:rsidRPr="00BB524D">
        <w:rPr>
          <w:rFonts w:cs="Arial"/>
          <w:sz w:val="22"/>
        </w:rPr>
        <w:t xml:space="preserve">, 2007 BSR/BHPR guideline and </w:t>
      </w:r>
      <w:r w:rsidR="00CD4021">
        <w:rPr>
          <w:rFonts w:cs="Arial"/>
          <w:sz w:val="22"/>
        </w:rPr>
        <w:t xml:space="preserve">the </w:t>
      </w:r>
      <w:r w:rsidR="00B77A14" w:rsidRPr="00BB524D">
        <w:rPr>
          <w:rFonts w:cs="Arial"/>
          <w:sz w:val="22"/>
        </w:rPr>
        <w:t xml:space="preserve">NICE </w:t>
      </w:r>
      <w:r w:rsidR="00CD4021">
        <w:rPr>
          <w:rFonts w:cs="Arial"/>
          <w:sz w:val="22"/>
        </w:rPr>
        <w:t>febuxostat technology appraisal.</w:t>
      </w:r>
    </w:p>
    <w:p w14:paraId="373DB47B" w14:textId="46A030B0" w:rsidR="00DB5E4F" w:rsidRPr="00B821A9" w:rsidRDefault="007534D1" w:rsidP="00094A9D">
      <w:pPr>
        <w:spacing w:after="0" w:line="480" w:lineRule="auto"/>
        <w:rPr>
          <w:sz w:val="22"/>
        </w:rPr>
      </w:pPr>
      <w:r>
        <w:rPr>
          <w:b/>
          <w:sz w:val="22"/>
        </w:rPr>
        <w:t>Results:</w:t>
      </w:r>
      <w:r w:rsidR="002E6AF0">
        <w:rPr>
          <w:b/>
          <w:sz w:val="22"/>
        </w:rPr>
        <w:t xml:space="preserve"> </w:t>
      </w:r>
      <w:r w:rsidR="002E6AF0" w:rsidRPr="00BB524D">
        <w:rPr>
          <w:rFonts w:cs="Arial"/>
          <w:sz w:val="22"/>
        </w:rPr>
        <w:t xml:space="preserve">Data were </w:t>
      </w:r>
      <w:r w:rsidR="002E6AF0">
        <w:rPr>
          <w:rFonts w:cs="Arial"/>
          <w:sz w:val="22"/>
        </w:rPr>
        <w:t xml:space="preserve">collected </w:t>
      </w:r>
      <w:r w:rsidR="003C02BA">
        <w:rPr>
          <w:rFonts w:cs="Arial"/>
          <w:sz w:val="22"/>
        </w:rPr>
        <w:t>for 434 patients from 91</w:t>
      </w:r>
      <w:r w:rsidR="002E6AF0" w:rsidRPr="00BB524D">
        <w:rPr>
          <w:rFonts w:cs="Arial"/>
          <w:sz w:val="22"/>
        </w:rPr>
        <w:t xml:space="preserve"> </w:t>
      </w:r>
      <w:r w:rsidR="00A67D47">
        <w:rPr>
          <w:rFonts w:cs="Arial"/>
          <w:sz w:val="22"/>
        </w:rPr>
        <w:t xml:space="preserve">rheumatology </w:t>
      </w:r>
      <w:r w:rsidR="006A5094">
        <w:rPr>
          <w:rFonts w:cs="Arial"/>
          <w:sz w:val="22"/>
        </w:rPr>
        <w:t xml:space="preserve">departments </w:t>
      </w:r>
      <w:r w:rsidR="002E6AF0">
        <w:rPr>
          <w:rFonts w:cs="Arial"/>
          <w:sz w:val="22"/>
        </w:rPr>
        <w:t>(m</w:t>
      </w:r>
      <w:r w:rsidR="002E6AF0" w:rsidRPr="00BB524D">
        <w:rPr>
          <w:rFonts w:cs="Arial"/>
          <w:sz w:val="22"/>
        </w:rPr>
        <w:t>ean age 59.8 years</w:t>
      </w:r>
      <w:r w:rsidR="002E6AF0">
        <w:rPr>
          <w:rFonts w:cs="Arial"/>
          <w:sz w:val="22"/>
        </w:rPr>
        <w:t>, 82% male</w:t>
      </w:r>
      <w:r w:rsidR="002E6AF0" w:rsidRPr="00BB524D">
        <w:rPr>
          <w:rFonts w:cs="Arial"/>
          <w:sz w:val="22"/>
        </w:rPr>
        <w:t xml:space="preserve">). </w:t>
      </w:r>
      <w:r w:rsidR="00B821A9">
        <w:rPr>
          <w:sz w:val="22"/>
        </w:rPr>
        <w:t>D</w:t>
      </w:r>
      <w:r w:rsidR="00DB5E4F">
        <w:rPr>
          <w:sz w:val="22"/>
        </w:rPr>
        <w:t>iagnos</w:t>
      </w:r>
      <w:r w:rsidR="00B821A9">
        <w:rPr>
          <w:sz w:val="22"/>
        </w:rPr>
        <w:t xml:space="preserve">is was </w:t>
      </w:r>
      <w:r w:rsidR="00DB5E4F">
        <w:rPr>
          <w:sz w:val="22"/>
        </w:rPr>
        <w:t>c</w:t>
      </w:r>
      <w:r w:rsidR="00B821A9">
        <w:rPr>
          <w:sz w:val="22"/>
        </w:rPr>
        <w:t>rystal-proven</w:t>
      </w:r>
      <w:r w:rsidR="00DB5E4F">
        <w:rPr>
          <w:sz w:val="22"/>
        </w:rPr>
        <w:t xml:space="preserve"> </w:t>
      </w:r>
      <w:r w:rsidR="003C02BA">
        <w:rPr>
          <w:sz w:val="22"/>
        </w:rPr>
        <w:t>in 13%</w:t>
      </w:r>
      <w:r w:rsidR="00DB5E4F">
        <w:rPr>
          <w:sz w:val="22"/>
        </w:rPr>
        <w:t xml:space="preserve">. </w:t>
      </w:r>
      <w:r w:rsidR="00DB5E4F">
        <w:rPr>
          <w:rFonts w:cs="Arial"/>
          <w:sz w:val="22"/>
        </w:rPr>
        <w:t xml:space="preserve"> </w:t>
      </w:r>
      <w:r w:rsidR="00DB5E4F">
        <w:rPr>
          <w:sz w:val="22"/>
        </w:rPr>
        <w:t>Of 106 taking a diuretic, this was reduced/</w:t>
      </w:r>
      <w:r w:rsidR="002E2EB7">
        <w:rPr>
          <w:sz w:val="22"/>
        </w:rPr>
        <w:t>stopped in 29%</w:t>
      </w:r>
      <w:r w:rsidR="00DB5E4F">
        <w:rPr>
          <w:sz w:val="22"/>
        </w:rPr>
        <w:t xml:space="preserve">. </w:t>
      </w:r>
      <w:r w:rsidR="00E01A06">
        <w:rPr>
          <w:sz w:val="22"/>
        </w:rPr>
        <w:t>ULT was continued/</w:t>
      </w:r>
      <w:r w:rsidR="002E2EB7">
        <w:rPr>
          <w:sz w:val="22"/>
        </w:rPr>
        <w:t xml:space="preserve">initiated in </w:t>
      </w:r>
      <w:r w:rsidR="00231ABD">
        <w:rPr>
          <w:sz w:val="22"/>
        </w:rPr>
        <w:t xml:space="preserve">76% of those with </w:t>
      </w:r>
      <w:r w:rsidR="00E01A06">
        <w:rPr>
          <w:rFonts w:cs="Arial"/>
          <w:sz w:val="22"/>
        </w:rPr>
        <w:t>≥</w:t>
      </w:r>
      <w:r w:rsidR="00E01A06">
        <w:rPr>
          <w:sz w:val="22"/>
        </w:rPr>
        <w:t>1</w:t>
      </w:r>
      <w:r w:rsidR="00DB5E4F">
        <w:rPr>
          <w:sz w:val="22"/>
        </w:rPr>
        <w:t xml:space="preserve"> indication for ULT</w:t>
      </w:r>
      <w:r w:rsidR="00231ABD">
        <w:rPr>
          <w:sz w:val="22"/>
        </w:rPr>
        <w:t xml:space="preserve">. </w:t>
      </w:r>
      <w:r w:rsidR="00DB5E4F">
        <w:rPr>
          <w:sz w:val="22"/>
        </w:rPr>
        <w:t xml:space="preserve"> </w:t>
      </w:r>
      <w:r w:rsidR="00857FC8">
        <w:rPr>
          <w:sz w:val="22"/>
        </w:rPr>
        <w:t>One hundred and fifty-</w:t>
      </w:r>
      <w:r w:rsidR="00215F72">
        <w:rPr>
          <w:sz w:val="22"/>
        </w:rPr>
        <w:t xml:space="preserve">eight patients started </w:t>
      </w:r>
      <w:r w:rsidR="00DB5E4F">
        <w:rPr>
          <w:sz w:val="22"/>
        </w:rPr>
        <w:t>allopurinol</w:t>
      </w:r>
      <w:r w:rsidR="00215F72">
        <w:rPr>
          <w:sz w:val="22"/>
        </w:rPr>
        <w:t>:</w:t>
      </w:r>
      <w:r w:rsidR="00DB5E4F">
        <w:rPr>
          <w:sz w:val="22"/>
        </w:rPr>
        <w:t xml:space="preserve"> the starting dose was </w:t>
      </w:r>
      <w:r w:rsidR="00215F72">
        <w:rPr>
          <w:sz w:val="22"/>
        </w:rPr>
        <w:t xml:space="preserve">most commonly </w:t>
      </w:r>
      <w:r w:rsidR="00DB5E4F">
        <w:rPr>
          <w:sz w:val="22"/>
        </w:rPr>
        <w:t>100mg</w:t>
      </w:r>
      <w:r w:rsidR="0031078D">
        <w:rPr>
          <w:sz w:val="22"/>
        </w:rPr>
        <w:t xml:space="preserve"> daily</w:t>
      </w:r>
      <w:r w:rsidR="00DB5E4F">
        <w:rPr>
          <w:sz w:val="22"/>
        </w:rPr>
        <w:t xml:space="preserve"> </w:t>
      </w:r>
      <w:r w:rsidR="002E2EB7">
        <w:rPr>
          <w:sz w:val="22"/>
        </w:rPr>
        <w:t>(82%</w:t>
      </w:r>
      <w:r w:rsidR="0031078D">
        <w:rPr>
          <w:sz w:val="22"/>
        </w:rPr>
        <w:t>), i</w:t>
      </w:r>
      <w:r w:rsidR="00DB5E4F">
        <w:rPr>
          <w:sz w:val="22"/>
        </w:rPr>
        <w:t>n those with eGFR&lt;60ml/min the highest starting dose was 100mg</w:t>
      </w:r>
      <w:r w:rsidR="0031078D">
        <w:rPr>
          <w:sz w:val="22"/>
        </w:rPr>
        <w:t xml:space="preserve"> daily</w:t>
      </w:r>
      <w:r w:rsidR="00DB5E4F">
        <w:rPr>
          <w:sz w:val="22"/>
        </w:rPr>
        <w:t>.</w:t>
      </w:r>
      <w:r w:rsidR="0031078D">
        <w:rPr>
          <w:sz w:val="22"/>
        </w:rPr>
        <w:t xml:space="preserve"> </w:t>
      </w:r>
      <w:r w:rsidR="00DB5E4F">
        <w:rPr>
          <w:sz w:val="22"/>
        </w:rPr>
        <w:t>Of 199 who started ULT, pr</w:t>
      </w:r>
      <w:r w:rsidR="00857FC8">
        <w:rPr>
          <w:sz w:val="22"/>
        </w:rPr>
        <w:t>oph</w:t>
      </w:r>
      <w:r w:rsidR="002E2EB7">
        <w:rPr>
          <w:sz w:val="22"/>
        </w:rPr>
        <w:t xml:space="preserve">ylaxis was co-prescribed for </w:t>
      </w:r>
      <w:r w:rsidR="00857FC8">
        <w:rPr>
          <w:sz w:val="22"/>
        </w:rPr>
        <w:t>94</w:t>
      </w:r>
      <w:r w:rsidR="002E2EB7">
        <w:rPr>
          <w:sz w:val="22"/>
        </w:rPr>
        <w:t>%</w:t>
      </w:r>
      <w:r w:rsidR="00DB5E4F">
        <w:rPr>
          <w:sz w:val="22"/>
        </w:rPr>
        <w:t>.</w:t>
      </w:r>
      <w:r w:rsidR="0031078D">
        <w:rPr>
          <w:sz w:val="22"/>
        </w:rPr>
        <w:t xml:space="preserve"> </w:t>
      </w:r>
      <w:r w:rsidR="00041125">
        <w:rPr>
          <w:sz w:val="22"/>
        </w:rPr>
        <w:t>Fifty patients started a</w:t>
      </w:r>
      <w:r w:rsidR="00B32D89">
        <w:rPr>
          <w:sz w:val="22"/>
        </w:rPr>
        <w:t xml:space="preserve"> uricosuric or febuxostat: </w:t>
      </w:r>
      <w:r w:rsidR="002E2EB7">
        <w:rPr>
          <w:sz w:val="22"/>
        </w:rPr>
        <w:t>84%</w:t>
      </w:r>
      <w:r w:rsidR="00DB5E4F">
        <w:rPr>
          <w:sz w:val="22"/>
        </w:rPr>
        <w:t xml:space="preserve"> had taken allopurinol previously.</w:t>
      </w:r>
      <w:r w:rsidR="00C94C1C">
        <w:rPr>
          <w:sz w:val="22"/>
        </w:rPr>
        <w:t xml:space="preserve"> </w:t>
      </w:r>
      <w:r w:rsidR="00DB5E4F">
        <w:rPr>
          <w:sz w:val="22"/>
        </w:rPr>
        <w:t>Of 44</w:t>
      </w:r>
      <w:r w:rsidR="002E2EB7">
        <w:rPr>
          <w:sz w:val="22"/>
        </w:rPr>
        <w:t xml:space="preserve"> commenced on febuxostat, 18%</w:t>
      </w:r>
      <w:r w:rsidR="00DB5E4F">
        <w:rPr>
          <w:sz w:val="22"/>
        </w:rPr>
        <w:t xml:space="preserve"> had a history of heart disease.</w:t>
      </w:r>
      <w:r w:rsidR="00C94C1C">
        <w:rPr>
          <w:sz w:val="22"/>
        </w:rPr>
        <w:t xml:space="preserve"> By 12 months, </w:t>
      </w:r>
      <w:r w:rsidR="00BA6A7C" w:rsidRPr="00BB524D">
        <w:rPr>
          <w:rFonts w:cs="Arial"/>
          <w:sz w:val="22"/>
        </w:rPr>
        <w:t>serum uric acid level</w:t>
      </w:r>
      <w:r w:rsidR="00B821A9">
        <w:rPr>
          <w:rFonts w:cs="Arial"/>
          <w:sz w:val="22"/>
        </w:rPr>
        <w:t>s</w:t>
      </w:r>
      <w:r w:rsidR="00BA6A7C" w:rsidRPr="00BB524D">
        <w:rPr>
          <w:rFonts w:cs="Arial"/>
          <w:sz w:val="22"/>
        </w:rPr>
        <w:t xml:space="preserve"> ≤360</w:t>
      </w:r>
      <w:r w:rsidR="00BA6A7C" w:rsidRPr="00BB524D">
        <w:rPr>
          <w:rFonts w:cs="Arial"/>
          <w:sz w:val="22"/>
        </w:rPr>
        <w:sym w:font="Symbol" w:char="F06D"/>
      </w:r>
      <w:r w:rsidR="00BA6A7C" w:rsidRPr="00BB524D">
        <w:rPr>
          <w:rFonts w:cs="Arial"/>
          <w:sz w:val="22"/>
        </w:rPr>
        <w:t>mol/L and &lt;300</w:t>
      </w:r>
      <w:r w:rsidR="00BA6A7C" w:rsidRPr="00BB524D">
        <w:rPr>
          <w:rFonts w:cs="Arial"/>
          <w:sz w:val="22"/>
        </w:rPr>
        <w:sym w:font="Symbol" w:char="F06D"/>
      </w:r>
      <w:r w:rsidR="00BA6A7C" w:rsidRPr="00BB524D">
        <w:rPr>
          <w:rFonts w:cs="Arial"/>
          <w:sz w:val="22"/>
        </w:rPr>
        <w:t xml:space="preserve">mol/L were achieved by </w:t>
      </w:r>
      <w:r w:rsidR="00BA6A7C">
        <w:rPr>
          <w:rFonts w:cs="Arial"/>
          <w:sz w:val="22"/>
        </w:rPr>
        <w:t>45%</w:t>
      </w:r>
      <w:r w:rsidR="00BA6A7C" w:rsidRPr="00BB524D">
        <w:rPr>
          <w:rFonts w:cs="Arial"/>
          <w:sz w:val="22"/>
        </w:rPr>
        <w:t xml:space="preserve"> and </w:t>
      </w:r>
      <w:r w:rsidR="00BA6A7C">
        <w:rPr>
          <w:rFonts w:cs="Arial"/>
          <w:sz w:val="22"/>
        </w:rPr>
        <w:t>25%</w:t>
      </w:r>
      <w:r w:rsidR="00BA6A7C" w:rsidRPr="00BB524D">
        <w:rPr>
          <w:rFonts w:cs="Arial"/>
          <w:sz w:val="22"/>
        </w:rPr>
        <w:t xml:space="preserve"> respectively</w:t>
      </w:r>
      <w:r w:rsidR="00BA6A7C">
        <w:rPr>
          <w:rFonts w:cs="Arial"/>
          <w:sz w:val="22"/>
        </w:rPr>
        <w:t>.</w:t>
      </w:r>
    </w:p>
    <w:p w14:paraId="5DA28E7E" w14:textId="4FD16317" w:rsidR="00DF3E41" w:rsidRDefault="007534D1" w:rsidP="00094A9D">
      <w:pPr>
        <w:spacing w:after="0" w:line="480" w:lineRule="auto"/>
        <w:rPr>
          <w:sz w:val="22"/>
        </w:rPr>
      </w:pPr>
      <w:r>
        <w:rPr>
          <w:b/>
          <w:sz w:val="22"/>
        </w:rPr>
        <w:t>Conclusion:</w:t>
      </w:r>
      <w:r w:rsidR="00E60199">
        <w:rPr>
          <w:b/>
          <w:sz w:val="22"/>
        </w:rPr>
        <w:t xml:space="preserve"> </w:t>
      </w:r>
      <w:r w:rsidR="001B7434" w:rsidRPr="00244A74">
        <w:rPr>
          <w:sz w:val="22"/>
        </w:rPr>
        <w:t>Gout m</w:t>
      </w:r>
      <w:r w:rsidR="00DF3E41">
        <w:rPr>
          <w:sz w:val="22"/>
        </w:rPr>
        <w:t>anagement by UK rheumatologists conco</w:t>
      </w:r>
      <w:r w:rsidR="00DF3E41" w:rsidRPr="00723D9E">
        <w:rPr>
          <w:sz w:val="22"/>
        </w:rPr>
        <w:t>rds well with</w:t>
      </w:r>
      <w:r w:rsidR="00DF3E41">
        <w:rPr>
          <w:sz w:val="22"/>
        </w:rPr>
        <w:t xml:space="preserve"> guidelines for most audit standards. However, fewer than half of patients achieved a target serum uric level </w:t>
      </w:r>
      <w:r w:rsidR="002606A9">
        <w:rPr>
          <w:sz w:val="22"/>
        </w:rPr>
        <w:t xml:space="preserve">over 12 months. Rheumatologists </w:t>
      </w:r>
      <w:r w:rsidR="008E64AE">
        <w:rPr>
          <w:sz w:val="22"/>
        </w:rPr>
        <w:t>should help</w:t>
      </w:r>
      <w:r w:rsidR="005B083E">
        <w:rPr>
          <w:sz w:val="22"/>
        </w:rPr>
        <w:t xml:space="preserve"> </w:t>
      </w:r>
      <w:r w:rsidR="008A7925">
        <w:rPr>
          <w:sz w:val="22"/>
        </w:rPr>
        <w:t xml:space="preserve">ensure that </w:t>
      </w:r>
      <w:r w:rsidR="008A7925">
        <w:rPr>
          <w:rFonts w:cs="Arial"/>
          <w:sz w:val="22"/>
        </w:rPr>
        <w:t xml:space="preserve">ULT is </w:t>
      </w:r>
      <w:r w:rsidR="00244A74">
        <w:rPr>
          <w:rFonts w:cs="Arial"/>
          <w:sz w:val="22"/>
        </w:rPr>
        <w:t>optimised</w:t>
      </w:r>
      <w:r w:rsidR="008A7925">
        <w:rPr>
          <w:rFonts w:cs="Arial"/>
          <w:sz w:val="22"/>
        </w:rPr>
        <w:t xml:space="preserve"> to achieve target serum uric acid levels </w:t>
      </w:r>
      <w:r w:rsidR="002E2EB7">
        <w:rPr>
          <w:rFonts w:cs="Arial"/>
          <w:sz w:val="22"/>
        </w:rPr>
        <w:t xml:space="preserve">to </w:t>
      </w:r>
      <w:r w:rsidR="008A7925">
        <w:rPr>
          <w:rFonts w:cs="Arial"/>
          <w:sz w:val="22"/>
        </w:rPr>
        <w:t>benefit</w:t>
      </w:r>
      <w:r w:rsidR="002E2EB7">
        <w:rPr>
          <w:rFonts w:cs="Arial"/>
          <w:sz w:val="22"/>
        </w:rPr>
        <w:t xml:space="preserve"> p</w:t>
      </w:r>
      <w:r w:rsidR="008A7925">
        <w:rPr>
          <w:rFonts w:cs="Arial"/>
          <w:sz w:val="22"/>
        </w:rPr>
        <w:t>atients.</w:t>
      </w:r>
    </w:p>
    <w:p w14:paraId="246C0B24" w14:textId="77777777" w:rsidR="00DF3E41" w:rsidRDefault="00DF3E41" w:rsidP="00094A9D">
      <w:pPr>
        <w:spacing w:after="0" w:line="480" w:lineRule="auto"/>
        <w:rPr>
          <w:sz w:val="22"/>
        </w:rPr>
      </w:pPr>
    </w:p>
    <w:p w14:paraId="14B38429" w14:textId="77777777" w:rsidR="008E10C8" w:rsidRDefault="008E10C8" w:rsidP="00094A9D">
      <w:pPr>
        <w:spacing w:after="0" w:line="480" w:lineRule="auto"/>
        <w:rPr>
          <w:b/>
          <w:sz w:val="22"/>
        </w:rPr>
      </w:pPr>
      <w:r>
        <w:rPr>
          <w:b/>
          <w:sz w:val="22"/>
        </w:rPr>
        <w:t>Key words:</w:t>
      </w:r>
    </w:p>
    <w:p w14:paraId="3F4A7D6A" w14:textId="587A8CCD" w:rsidR="00445E74" w:rsidRDefault="008E10C8" w:rsidP="00094A9D">
      <w:pPr>
        <w:spacing w:after="0" w:line="480" w:lineRule="auto"/>
        <w:rPr>
          <w:sz w:val="22"/>
        </w:rPr>
      </w:pPr>
      <w:r w:rsidRPr="008E10C8">
        <w:rPr>
          <w:sz w:val="22"/>
        </w:rPr>
        <w:t>Gout</w:t>
      </w:r>
      <w:r w:rsidRPr="008E10C8">
        <w:rPr>
          <w:sz w:val="22"/>
        </w:rPr>
        <w:tab/>
      </w:r>
      <w:r w:rsidRPr="008E10C8">
        <w:rPr>
          <w:sz w:val="22"/>
        </w:rPr>
        <w:tab/>
      </w:r>
      <w:r w:rsidRPr="008E10C8">
        <w:rPr>
          <w:sz w:val="22"/>
        </w:rPr>
        <w:tab/>
      </w:r>
      <w:r w:rsidRPr="008E10C8">
        <w:rPr>
          <w:sz w:val="22"/>
        </w:rPr>
        <w:tab/>
        <w:t>Management</w:t>
      </w:r>
      <w:r w:rsidR="00445E74">
        <w:rPr>
          <w:sz w:val="22"/>
        </w:rPr>
        <w:tab/>
      </w:r>
      <w:r w:rsidR="00445E74">
        <w:rPr>
          <w:sz w:val="22"/>
        </w:rPr>
        <w:tab/>
      </w:r>
      <w:r w:rsidR="00445E74">
        <w:rPr>
          <w:sz w:val="22"/>
        </w:rPr>
        <w:tab/>
      </w:r>
      <w:r w:rsidR="00445E74">
        <w:rPr>
          <w:sz w:val="22"/>
        </w:rPr>
        <w:tab/>
      </w:r>
      <w:r w:rsidRPr="008E10C8">
        <w:rPr>
          <w:sz w:val="22"/>
        </w:rPr>
        <w:t>Rheumatology</w:t>
      </w:r>
    </w:p>
    <w:p w14:paraId="3B8FFA68" w14:textId="70786D43" w:rsidR="00DF495F" w:rsidRPr="008E10C8" w:rsidRDefault="008E10C8" w:rsidP="00094A9D">
      <w:pPr>
        <w:spacing w:after="0" w:line="480" w:lineRule="auto"/>
        <w:rPr>
          <w:sz w:val="22"/>
        </w:rPr>
      </w:pPr>
      <w:r w:rsidRPr="008E10C8">
        <w:rPr>
          <w:sz w:val="22"/>
        </w:rPr>
        <w:t>Audit</w:t>
      </w:r>
      <w:r w:rsidR="00445E74">
        <w:rPr>
          <w:sz w:val="22"/>
        </w:rPr>
        <w:tab/>
      </w:r>
      <w:r w:rsidR="00445E74">
        <w:rPr>
          <w:sz w:val="22"/>
        </w:rPr>
        <w:tab/>
      </w:r>
      <w:r w:rsidR="00445E74">
        <w:rPr>
          <w:sz w:val="22"/>
        </w:rPr>
        <w:tab/>
      </w:r>
      <w:r w:rsidR="00445E74">
        <w:rPr>
          <w:sz w:val="22"/>
        </w:rPr>
        <w:tab/>
      </w:r>
      <w:r w:rsidRPr="008E10C8">
        <w:rPr>
          <w:sz w:val="22"/>
        </w:rPr>
        <w:t>Urate-lowering therapy</w:t>
      </w:r>
      <w:r w:rsidRPr="008E10C8">
        <w:rPr>
          <w:sz w:val="22"/>
        </w:rPr>
        <w:tab/>
      </w:r>
      <w:r w:rsidR="00445E74">
        <w:rPr>
          <w:sz w:val="22"/>
        </w:rPr>
        <w:tab/>
      </w:r>
      <w:r w:rsidRPr="008E10C8">
        <w:rPr>
          <w:sz w:val="22"/>
        </w:rPr>
        <w:t>Allopurinol</w:t>
      </w:r>
    </w:p>
    <w:p w14:paraId="773B8D0F" w14:textId="271A12C1" w:rsidR="006F4570" w:rsidRPr="00C94C1C" w:rsidRDefault="005D3C77" w:rsidP="00C94C1C">
      <w:pPr>
        <w:rPr>
          <w:rFonts w:cs="Arial"/>
          <w:b/>
          <w:sz w:val="22"/>
        </w:rPr>
      </w:pPr>
      <w:r w:rsidRPr="00BB524D">
        <w:rPr>
          <w:rFonts w:cs="Arial"/>
          <w:b/>
          <w:sz w:val="22"/>
        </w:rPr>
        <w:lastRenderedPageBreak/>
        <w:t>Introduction</w:t>
      </w:r>
    </w:p>
    <w:p w14:paraId="429F7FD8" w14:textId="19F5FB94" w:rsidR="005D3C77" w:rsidRPr="00BB524D" w:rsidRDefault="005D3C77" w:rsidP="005D3C77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Gout is the most prevalent inflammatory arthritis </w:t>
      </w:r>
      <w:r w:rsidR="005455C3">
        <w:rPr>
          <w:rFonts w:cs="Arial"/>
          <w:sz w:val="22"/>
        </w:rPr>
        <w:t>[1]</w:t>
      </w:r>
      <w:r w:rsidRPr="00BB524D">
        <w:rPr>
          <w:rFonts w:cs="Arial"/>
          <w:sz w:val="22"/>
        </w:rPr>
        <w:t xml:space="preserve">. However, despite </w:t>
      </w:r>
      <w:r w:rsidR="00071C67">
        <w:rPr>
          <w:rFonts w:cs="Arial"/>
          <w:sz w:val="22"/>
        </w:rPr>
        <w:t xml:space="preserve">well-understood </w:t>
      </w:r>
      <w:r w:rsidRPr="00BB524D">
        <w:rPr>
          <w:rFonts w:cs="Arial"/>
          <w:sz w:val="22"/>
        </w:rPr>
        <w:t>pathophysiology, read</w:t>
      </w:r>
      <w:r w:rsidR="00FF19E5">
        <w:rPr>
          <w:rFonts w:cs="Arial"/>
          <w:sz w:val="22"/>
        </w:rPr>
        <w:t>il</w:t>
      </w:r>
      <w:r w:rsidRPr="00BB524D">
        <w:rPr>
          <w:rFonts w:cs="Arial"/>
          <w:sz w:val="22"/>
        </w:rPr>
        <w:t>y availab</w:t>
      </w:r>
      <w:r w:rsidR="00FF19E5">
        <w:rPr>
          <w:rFonts w:cs="Arial"/>
          <w:sz w:val="22"/>
        </w:rPr>
        <w:t>le</w:t>
      </w:r>
      <w:r w:rsidRPr="00BB524D">
        <w:rPr>
          <w:rFonts w:cs="Arial"/>
          <w:sz w:val="22"/>
        </w:rPr>
        <w:t xml:space="preserve"> effective </w:t>
      </w:r>
      <w:r w:rsidR="00101A65">
        <w:rPr>
          <w:rFonts w:cs="Arial"/>
          <w:sz w:val="22"/>
        </w:rPr>
        <w:t>medications</w:t>
      </w:r>
      <w:r w:rsidRPr="00BB524D">
        <w:rPr>
          <w:rFonts w:cs="Arial"/>
          <w:sz w:val="22"/>
        </w:rPr>
        <w:t xml:space="preserve">, and achievable biochemical </w:t>
      </w:r>
      <w:r w:rsidR="00101A65">
        <w:rPr>
          <w:rFonts w:cs="Arial"/>
          <w:sz w:val="22"/>
        </w:rPr>
        <w:t xml:space="preserve">treatment </w:t>
      </w:r>
      <w:r w:rsidRPr="00BB524D">
        <w:rPr>
          <w:rFonts w:cs="Arial"/>
          <w:sz w:val="22"/>
        </w:rPr>
        <w:t xml:space="preserve">targets, treatment remains poor. </w:t>
      </w:r>
      <w:r w:rsidR="00CA320B">
        <w:rPr>
          <w:rFonts w:cs="Arial"/>
          <w:sz w:val="22"/>
        </w:rPr>
        <w:t>O</w:t>
      </w:r>
      <w:r w:rsidR="00C12C09" w:rsidRPr="00BB524D">
        <w:rPr>
          <w:rFonts w:cs="Arial"/>
          <w:sz w:val="22"/>
        </w:rPr>
        <w:t xml:space="preserve">nly one-third of patients with gout </w:t>
      </w:r>
      <w:r w:rsidR="00CA320B">
        <w:rPr>
          <w:rFonts w:cs="Arial"/>
          <w:sz w:val="22"/>
        </w:rPr>
        <w:t xml:space="preserve">in </w:t>
      </w:r>
      <w:r w:rsidR="00012DEC">
        <w:rPr>
          <w:rFonts w:cs="Arial"/>
          <w:sz w:val="22"/>
        </w:rPr>
        <w:t xml:space="preserve">UK </w:t>
      </w:r>
      <w:r w:rsidR="00CA320B">
        <w:rPr>
          <w:rFonts w:cs="Arial"/>
          <w:sz w:val="22"/>
        </w:rPr>
        <w:t>primary care receive</w:t>
      </w:r>
      <w:r w:rsidR="0038357E">
        <w:rPr>
          <w:rFonts w:cs="Arial"/>
          <w:sz w:val="22"/>
        </w:rPr>
        <w:t>d</w:t>
      </w:r>
      <w:r w:rsidR="00C12C09" w:rsidRPr="00BB524D">
        <w:rPr>
          <w:rFonts w:cs="Arial"/>
          <w:sz w:val="22"/>
        </w:rPr>
        <w:t xml:space="preserve"> </w:t>
      </w:r>
      <w:r w:rsidR="00A50D27">
        <w:rPr>
          <w:rFonts w:cs="Arial"/>
          <w:sz w:val="22"/>
        </w:rPr>
        <w:t>ULT</w:t>
      </w:r>
      <w:r w:rsidR="00C12C09" w:rsidRPr="00BB524D">
        <w:rPr>
          <w:rFonts w:cs="Arial"/>
          <w:sz w:val="22"/>
        </w:rPr>
        <w:t xml:space="preserve"> </w:t>
      </w:r>
      <w:r w:rsidR="003776E5">
        <w:rPr>
          <w:rFonts w:cs="Arial"/>
          <w:sz w:val="22"/>
        </w:rPr>
        <w:t xml:space="preserve">from </w:t>
      </w:r>
      <w:r w:rsidR="00C12C09" w:rsidRPr="00BB524D">
        <w:rPr>
          <w:rFonts w:cs="Arial"/>
          <w:sz w:val="22"/>
        </w:rPr>
        <w:t>1997</w:t>
      </w:r>
      <w:r w:rsidR="003776E5">
        <w:rPr>
          <w:rFonts w:cs="Arial"/>
          <w:sz w:val="22"/>
        </w:rPr>
        <w:t>-</w:t>
      </w:r>
      <w:r w:rsidR="00C12C09" w:rsidRPr="00BB524D">
        <w:rPr>
          <w:rFonts w:cs="Arial"/>
          <w:sz w:val="22"/>
        </w:rPr>
        <w:t>2012</w:t>
      </w:r>
      <w:r w:rsidR="00C118EF">
        <w:rPr>
          <w:rFonts w:cs="Arial"/>
          <w:sz w:val="22"/>
        </w:rPr>
        <w:t xml:space="preserve"> and only 38% of these achieve a </w:t>
      </w:r>
      <w:r w:rsidR="00EF1444">
        <w:rPr>
          <w:rFonts w:cs="Arial"/>
          <w:sz w:val="22"/>
        </w:rPr>
        <w:t>target serum uric acid (SUA) ≤360µmol/L</w:t>
      </w:r>
      <w:r w:rsidR="00C12C09" w:rsidRPr="00BB524D">
        <w:rPr>
          <w:rFonts w:cs="Arial"/>
          <w:sz w:val="22"/>
        </w:rPr>
        <w:t>, despite publication of UK and European management</w:t>
      </w:r>
      <w:r w:rsidR="00636B97">
        <w:rPr>
          <w:rFonts w:cs="Arial"/>
          <w:sz w:val="22"/>
        </w:rPr>
        <w:t xml:space="preserve"> guidelines during this period [</w:t>
      </w:r>
      <w:r w:rsidR="003B3A1A">
        <w:rPr>
          <w:rFonts w:cs="Arial"/>
          <w:sz w:val="22"/>
        </w:rPr>
        <w:t>1-</w:t>
      </w:r>
      <w:r w:rsidR="00636B97">
        <w:rPr>
          <w:rFonts w:cs="Arial"/>
          <w:sz w:val="22"/>
        </w:rPr>
        <w:t>6]</w:t>
      </w:r>
      <w:r w:rsidR="00C12C09" w:rsidRPr="00BB524D">
        <w:rPr>
          <w:rFonts w:cs="Arial"/>
          <w:sz w:val="22"/>
        </w:rPr>
        <w:t>.</w:t>
      </w:r>
      <w:r w:rsidR="00040E7E" w:rsidRPr="00BB524D">
        <w:rPr>
          <w:rFonts w:cs="Arial"/>
          <w:sz w:val="22"/>
        </w:rPr>
        <w:t xml:space="preserve"> </w:t>
      </w:r>
      <w:r w:rsidR="00A75430">
        <w:rPr>
          <w:rFonts w:cs="Arial"/>
          <w:sz w:val="22"/>
        </w:rPr>
        <w:t>P</w:t>
      </w:r>
      <w:r w:rsidR="00482027" w:rsidRPr="00BB524D">
        <w:rPr>
          <w:rFonts w:cs="Arial"/>
          <w:sz w:val="22"/>
        </w:rPr>
        <w:t>oor uptake occur</w:t>
      </w:r>
      <w:r w:rsidR="00012DEC">
        <w:rPr>
          <w:rFonts w:cs="Arial"/>
          <w:sz w:val="22"/>
        </w:rPr>
        <w:t>red</w:t>
      </w:r>
      <w:r w:rsidR="00482027" w:rsidRPr="00BB524D">
        <w:rPr>
          <w:rFonts w:cs="Arial"/>
          <w:sz w:val="22"/>
        </w:rPr>
        <w:t xml:space="preserve"> </w:t>
      </w:r>
      <w:r w:rsidR="00936A52">
        <w:rPr>
          <w:rFonts w:cs="Arial"/>
          <w:sz w:val="22"/>
        </w:rPr>
        <w:t>even though</w:t>
      </w:r>
      <w:r w:rsidR="00936A52" w:rsidRPr="00BB524D">
        <w:rPr>
          <w:rFonts w:cs="Arial"/>
          <w:sz w:val="22"/>
        </w:rPr>
        <w:t xml:space="preserve"> </w:t>
      </w:r>
      <w:r w:rsidR="00040E7E" w:rsidRPr="00BB524D">
        <w:rPr>
          <w:rFonts w:cs="Arial"/>
          <w:sz w:val="22"/>
        </w:rPr>
        <w:t>44% of patient</w:t>
      </w:r>
      <w:r w:rsidR="00960E3E" w:rsidRPr="00BB524D">
        <w:rPr>
          <w:rFonts w:cs="Arial"/>
          <w:sz w:val="22"/>
        </w:rPr>
        <w:t>s</w:t>
      </w:r>
      <w:r w:rsidR="00040E7E" w:rsidRPr="00BB524D">
        <w:rPr>
          <w:rFonts w:cs="Arial"/>
          <w:sz w:val="22"/>
        </w:rPr>
        <w:t xml:space="preserve"> fulfill</w:t>
      </w:r>
      <w:r w:rsidR="00122216">
        <w:rPr>
          <w:rFonts w:cs="Arial"/>
          <w:sz w:val="22"/>
        </w:rPr>
        <w:t>ed</w:t>
      </w:r>
      <w:r w:rsidR="00040E7E" w:rsidRPr="00BB524D">
        <w:rPr>
          <w:rFonts w:cs="Arial"/>
          <w:sz w:val="22"/>
        </w:rPr>
        <w:t xml:space="preserve"> </w:t>
      </w:r>
      <w:r w:rsidR="00A75430">
        <w:rPr>
          <w:rFonts w:cs="Arial"/>
          <w:sz w:val="22"/>
        </w:rPr>
        <w:t>criteria</w:t>
      </w:r>
      <w:r w:rsidR="00960E3E" w:rsidRPr="00BB524D">
        <w:rPr>
          <w:rFonts w:cs="Arial"/>
          <w:sz w:val="22"/>
        </w:rPr>
        <w:t xml:space="preserve"> for ULT</w:t>
      </w:r>
      <w:r w:rsidR="00C50504" w:rsidRPr="00BB524D">
        <w:rPr>
          <w:rFonts w:cs="Arial"/>
          <w:sz w:val="22"/>
        </w:rPr>
        <w:t xml:space="preserve"> one year after diagnosis</w:t>
      </w:r>
      <w:r w:rsidR="00543DE4">
        <w:rPr>
          <w:rFonts w:cs="Arial"/>
          <w:sz w:val="22"/>
        </w:rPr>
        <w:t xml:space="preserve"> and</w:t>
      </w:r>
      <w:r w:rsidR="00654969">
        <w:rPr>
          <w:rFonts w:cs="Arial"/>
          <w:sz w:val="22"/>
        </w:rPr>
        <w:t xml:space="preserve"> </w:t>
      </w:r>
      <w:r w:rsidR="00960E3E" w:rsidRPr="00BB524D">
        <w:rPr>
          <w:rFonts w:cs="Arial"/>
          <w:sz w:val="22"/>
        </w:rPr>
        <w:t>87% b</w:t>
      </w:r>
      <w:r w:rsidR="004B02C0">
        <w:rPr>
          <w:rFonts w:cs="Arial"/>
          <w:sz w:val="22"/>
        </w:rPr>
        <w:t>y five years [7]</w:t>
      </w:r>
      <w:r w:rsidR="00960E3E" w:rsidRPr="00BB524D">
        <w:rPr>
          <w:rFonts w:cs="Arial"/>
          <w:sz w:val="22"/>
        </w:rPr>
        <w:t>.</w:t>
      </w:r>
      <w:r w:rsidR="00040E7E" w:rsidRPr="00BB524D">
        <w:rPr>
          <w:rFonts w:cs="Arial"/>
          <w:sz w:val="22"/>
        </w:rPr>
        <w:t xml:space="preserve"> </w:t>
      </w:r>
      <w:r w:rsidR="0088619B">
        <w:rPr>
          <w:rFonts w:cs="Arial"/>
          <w:sz w:val="22"/>
        </w:rPr>
        <w:t xml:space="preserve"> </w:t>
      </w:r>
      <w:r w:rsidR="00EA3851">
        <w:rPr>
          <w:rFonts w:cs="Arial"/>
          <w:sz w:val="22"/>
        </w:rPr>
        <w:t xml:space="preserve">Yet </w:t>
      </w:r>
      <w:r w:rsidR="000E4156">
        <w:rPr>
          <w:rFonts w:cs="Arial"/>
          <w:sz w:val="22"/>
        </w:rPr>
        <w:t xml:space="preserve">in </w:t>
      </w:r>
      <w:r w:rsidR="00EA3851">
        <w:rPr>
          <w:rFonts w:cs="Arial"/>
          <w:sz w:val="22"/>
        </w:rPr>
        <w:t>a</w:t>
      </w:r>
      <w:r w:rsidR="0088619B">
        <w:rPr>
          <w:rFonts w:cs="Arial"/>
          <w:sz w:val="22"/>
        </w:rPr>
        <w:t xml:space="preserve"> recent proof-of-principle study</w:t>
      </w:r>
      <w:r w:rsidR="00EA3851">
        <w:rPr>
          <w:rFonts w:cs="Arial"/>
          <w:sz w:val="22"/>
        </w:rPr>
        <w:t>,</w:t>
      </w:r>
      <w:r w:rsidR="00A843E1">
        <w:rPr>
          <w:rFonts w:cs="Arial"/>
          <w:sz w:val="22"/>
        </w:rPr>
        <w:t xml:space="preserve"> 92% of patients </w:t>
      </w:r>
      <w:r w:rsidR="00EA3851">
        <w:rPr>
          <w:rFonts w:cs="Arial"/>
          <w:sz w:val="22"/>
        </w:rPr>
        <w:t xml:space="preserve">reached </w:t>
      </w:r>
      <w:r w:rsidR="00B3764F">
        <w:rPr>
          <w:rFonts w:cs="Arial"/>
          <w:sz w:val="22"/>
        </w:rPr>
        <w:t>th</w:t>
      </w:r>
      <w:r w:rsidR="00936A52">
        <w:rPr>
          <w:rFonts w:cs="Arial"/>
          <w:sz w:val="22"/>
        </w:rPr>
        <w:t>e</w:t>
      </w:r>
      <w:r w:rsidR="00B3764F">
        <w:rPr>
          <w:rFonts w:cs="Arial"/>
          <w:sz w:val="22"/>
        </w:rPr>
        <w:t xml:space="preserve"> target level </w:t>
      </w:r>
      <w:r w:rsidR="009B3851">
        <w:rPr>
          <w:rFonts w:cs="Arial"/>
          <w:sz w:val="22"/>
        </w:rPr>
        <w:t xml:space="preserve">following </w:t>
      </w:r>
      <w:r w:rsidR="00A8535B">
        <w:rPr>
          <w:rFonts w:cs="Arial"/>
          <w:sz w:val="22"/>
        </w:rPr>
        <w:t>nurse-</w:t>
      </w:r>
      <w:r w:rsidR="0088619B">
        <w:rPr>
          <w:rFonts w:cs="Arial"/>
          <w:sz w:val="22"/>
        </w:rPr>
        <w:t xml:space="preserve">led </w:t>
      </w:r>
      <w:r w:rsidR="003B3A1A">
        <w:rPr>
          <w:rFonts w:cs="Arial"/>
          <w:sz w:val="22"/>
        </w:rPr>
        <w:t>treatment</w:t>
      </w:r>
      <w:r w:rsidR="00EA3851">
        <w:rPr>
          <w:rFonts w:cs="Arial"/>
          <w:sz w:val="22"/>
        </w:rPr>
        <w:t xml:space="preserve"> showing that treatment-to-target is achievable [8]</w:t>
      </w:r>
      <w:r w:rsidR="00041522">
        <w:rPr>
          <w:rFonts w:cs="Arial"/>
          <w:sz w:val="22"/>
        </w:rPr>
        <w:t>.</w:t>
      </w:r>
    </w:p>
    <w:p w14:paraId="2A168C5F" w14:textId="0A306551" w:rsidR="00261844" w:rsidRPr="00BB524D" w:rsidRDefault="00EF1444" w:rsidP="00261844">
      <w:pPr>
        <w:spacing w:after="0" w:line="480" w:lineRule="auto"/>
        <w:ind w:firstLine="720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D91B6C">
        <w:rPr>
          <w:rFonts w:cs="Arial"/>
          <w:sz w:val="22"/>
        </w:rPr>
        <w:t>ess</w:t>
      </w:r>
      <w:r w:rsidR="00261844" w:rsidRPr="00BB524D">
        <w:rPr>
          <w:rFonts w:cs="Arial"/>
          <w:sz w:val="22"/>
        </w:rPr>
        <w:t xml:space="preserve"> is known about</w:t>
      </w:r>
      <w:r w:rsidR="00654969">
        <w:rPr>
          <w:rFonts w:cs="Arial"/>
          <w:sz w:val="22"/>
        </w:rPr>
        <w:t xml:space="preserve"> </w:t>
      </w:r>
      <w:r w:rsidR="00F912F4">
        <w:rPr>
          <w:rFonts w:cs="Arial"/>
          <w:sz w:val="22"/>
        </w:rPr>
        <w:t xml:space="preserve">gout </w:t>
      </w:r>
      <w:r w:rsidR="00261844" w:rsidRPr="00BB524D">
        <w:rPr>
          <w:rFonts w:cs="Arial"/>
          <w:sz w:val="22"/>
        </w:rPr>
        <w:t xml:space="preserve">management by rheumatologists. </w:t>
      </w:r>
      <w:r w:rsidR="00CB55C3" w:rsidRPr="00BB524D">
        <w:rPr>
          <w:rFonts w:cs="Arial"/>
          <w:sz w:val="22"/>
        </w:rPr>
        <w:t>A small</w:t>
      </w:r>
      <w:r w:rsidR="00A8535B">
        <w:rPr>
          <w:rFonts w:cs="Arial"/>
          <w:sz w:val="22"/>
        </w:rPr>
        <w:t xml:space="preserve"> number of studies </w:t>
      </w:r>
      <w:r w:rsidR="001E1DAA">
        <w:rPr>
          <w:rFonts w:cs="Arial"/>
          <w:sz w:val="22"/>
        </w:rPr>
        <w:t>from</w:t>
      </w:r>
      <w:r w:rsidR="00CB55C3" w:rsidRPr="00BB524D">
        <w:rPr>
          <w:rFonts w:cs="Arial"/>
          <w:sz w:val="22"/>
        </w:rPr>
        <w:t xml:space="preserve"> the USA</w:t>
      </w:r>
      <w:r w:rsidR="00064B53">
        <w:rPr>
          <w:rFonts w:cs="Arial"/>
          <w:sz w:val="22"/>
        </w:rPr>
        <w:t xml:space="preserve"> and Europe</w:t>
      </w:r>
      <w:r w:rsidR="006204DF" w:rsidRPr="00BB524D">
        <w:rPr>
          <w:rFonts w:cs="Arial"/>
          <w:sz w:val="22"/>
        </w:rPr>
        <w:t xml:space="preserve"> show</w:t>
      </w:r>
      <w:r w:rsidR="005136B4" w:rsidRPr="00BB524D">
        <w:rPr>
          <w:rFonts w:cs="Arial"/>
          <w:sz w:val="22"/>
        </w:rPr>
        <w:t xml:space="preserve"> </w:t>
      </w:r>
      <w:r w:rsidR="00FB0146" w:rsidRPr="00BB524D">
        <w:rPr>
          <w:rFonts w:cs="Arial"/>
          <w:sz w:val="22"/>
        </w:rPr>
        <w:t>that in rheumatology practice</w:t>
      </w:r>
      <w:r w:rsidR="000C040F" w:rsidRPr="00BB524D">
        <w:rPr>
          <w:rFonts w:cs="Arial"/>
          <w:sz w:val="22"/>
        </w:rPr>
        <w:t xml:space="preserve">, </w:t>
      </w:r>
      <w:r w:rsidR="00FB0146" w:rsidRPr="00BB524D">
        <w:rPr>
          <w:rFonts w:cs="Arial"/>
          <w:sz w:val="22"/>
        </w:rPr>
        <w:t>diagnosis</w:t>
      </w:r>
      <w:r w:rsidR="000C040F" w:rsidRPr="00BB524D">
        <w:rPr>
          <w:rFonts w:cs="Arial"/>
          <w:sz w:val="22"/>
        </w:rPr>
        <w:t xml:space="preserve"> is infrequently crystal-proven and</w:t>
      </w:r>
      <w:r w:rsidR="00FB0146" w:rsidRPr="00BB524D">
        <w:rPr>
          <w:rFonts w:cs="Arial"/>
          <w:sz w:val="22"/>
        </w:rPr>
        <w:t xml:space="preserve"> </w:t>
      </w:r>
      <w:r w:rsidR="008679AE" w:rsidRPr="00BB524D">
        <w:rPr>
          <w:rFonts w:cs="Arial"/>
          <w:sz w:val="22"/>
        </w:rPr>
        <w:t xml:space="preserve">initial </w:t>
      </w:r>
      <w:r w:rsidR="004220BC">
        <w:rPr>
          <w:rFonts w:cs="Arial"/>
          <w:sz w:val="22"/>
        </w:rPr>
        <w:t xml:space="preserve">allopurinol </w:t>
      </w:r>
      <w:r w:rsidR="008679AE" w:rsidRPr="00BB524D">
        <w:rPr>
          <w:rFonts w:cs="Arial"/>
          <w:sz w:val="22"/>
        </w:rPr>
        <w:t xml:space="preserve">dosing </w:t>
      </w:r>
      <w:r w:rsidR="004E71A2">
        <w:rPr>
          <w:rFonts w:cs="Arial"/>
          <w:sz w:val="22"/>
        </w:rPr>
        <w:t>is uncommonly</w:t>
      </w:r>
      <w:r w:rsidR="000C040F" w:rsidRPr="00BB524D">
        <w:rPr>
          <w:rFonts w:cs="Arial"/>
          <w:sz w:val="22"/>
        </w:rPr>
        <w:t xml:space="preserve"> renal function</w:t>
      </w:r>
      <w:r w:rsidR="004E71A2">
        <w:rPr>
          <w:rFonts w:cs="Arial"/>
          <w:sz w:val="22"/>
        </w:rPr>
        <w:t>-adjusted</w:t>
      </w:r>
      <w:r w:rsidR="000C040F" w:rsidRPr="00BB524D">
        <w:rPr>
          <w:rFonts w:cs="Arial"/>
          <w:sz w:val="22"/>
        </w:rPr>
        <w:t xml:space="preserve"> w</w:t>
      </w:r>
      <w:r w:rsidR="008679AE" w:rsidRPr="00BB524D">
        <w:rPr>
          <w:rFonts w:cs="Arial"/>
          <w:sz w:val="22"/>
        </w:rPr>
        <w:t xml:space="preserve">hereas </w:t>
      </w:r>
      <w:r w:rsidR="006204DF" w:rsidRPr="00BB524D">
        <w:rPr>
          <w:rFonts w:cs="Arial"/>
          <w:sz w:val="22"/>
        </w:rPr>
        <w:t>prophylactic colch</w:t>
      </w:r>
      <w:r w:rsidR="000C040F" w:rsidRPr="00BB524D">
        <w:rPr>
          <w:rFonts w:cs="Arial"/>
          <w:sz w:val="22"/>
        </w:rPr>
        <w:t>i</w:t>
      </w:r>
      <w:r w:rsidR="006204DF" w:rsidRPr="00BB524D">
        <w:rPr>
          <w:rFonts w:cs="Arial"/>
          <w:sz w:val="22"/>
        </w:rPr>
        <w:t xml:space="preserve">cine </w:t>
      </w:r>
      <w:r w:rsidR="003C52F0">
        <w:rPr>
          <w:rFonts w:cs="Arial"/>
          <w:sz w:val="22"/>
        </w:rPr>
        <w:t>is</w:t>
      </w:r>
      <w:r w:rsidR="006204DF" w:rsidRPr="00BB524D">
        <w:rPr>
          <w:rFonts w:cs="Arial"/>
          <w:sz w:val="22"/>
        </w:rPr>
        <w:t xml:space="preserve"> very commonly co-prescribed </w:t>
      </w:r>
      <w:r w:rsidR="00064B53">
        <w:rPr>
          <w:rFonts w:cs="Arial"/>
          <w:sz w:val="22"/>
        </w:rPr>
        <w:t>with</w:t>
      </w:r>
      <w:r w:rsidR="006204DF" w:rsidRPr="00BB524D">
        <w:rPr>
          <w:rFonts w:cs="Arial"/>
          <w:sz w:val="22"/>
        </w:rPr>
        <w:t xml:space="preserve"> </w:t>
      </w:r>
      <w:r w:rsidR="000C040F" w:rsidRPr="00BB524D">
        <w:rPr>
          <w:rFonts w:cs="Arial"/>
          <w:sz w:val="22"/>
        </w:rPr>
        <w:t>ULT</w:t>
      </w:r>
      <w:r w:rsidR="00E95312">
        <w:rPr>
          <w:rFonts w:cs="Arial"/>
          <w:sz w:val="22"/>
        </w:rPr>
        <w:t xml:space="preserve"> [9-11]</w:t>
      </w:r>
      <w:r w:rsidR="00FB0146" w:rsidRPr="00BB524D">
        <w:rPr>
          <w:rFonts w:cs="Arial"/>
          <w:sz w:val="22"/>
        </w:rPr>
        <w:t xml:space="preserve">. </w:t>
      </w:r>
      <w:r w:rsidR="00330580" w:rsidRPr="00BB524D">
        <w:rPr>
          <w:rFonts w:cs="Arial"/>
          <w:sz w:val="22"/>
        </w:rPr>
        <w:t xml:space="preserve">A target </w:t>
      </w:r>
      <w:r w:rsidR="003C52F0">
        <w:rPr>
          <w:rFonts w:cs="Arial"/>
          <w:sz w:val="22"/>
        </w:rPr>
        <w:t>SUA</w:t>
      </w:r>
      <w:r w:rsidR="00330580" w:rsidRPr="00BB524D">
        <w:rPr>
          <w:rFonts w:cs="Arial"/>
          <w:sz w:val="22"/>
        </w:rPr>
        <w:t xml:space="preserve"> level ≤360µmol/L was achieved </w:t>
      </w:r>
      <w:r w:rsidR="00B311B0" w:rsidRPr="00BB524D">
        <w:rPr>
          <w:rFonts w:cs="Arial"/>
          <w:sz w:val="22"/>
        </w:rPr>
        <w:t>in 78% of patients in a study from</w:t>
      </w:r>
      <w:r w:rsidR="00A8535B">
        <w:rPr>
          <w:rFonts w:cs="Arial"/>
          <w:sz w:val="22"/>
        </w:rPr>
        <w:t xml:space="preserve"> Ireland but in fewer</w:t>
      </w:r>
      <w:r w:rsidR="00330580" w:rsidRPr="00BB524D">
        <w:rPr>
          <w:rFonts w:cs="Arial"/>
          <w:sz w:val="22"/>
        </w:rPr>
        <w:t xml:space="preserve"> than half in </w:t>
      </w:r>
      <w:r w:rsidR="00FB0146" w:rsidRPr="00BB524D">
        <w:rPr>
          <w:rFonts w:cs="Arial"/>
          <w:sz w:val="22"/>
        </w:rPr>
        <w:t xml:space="preserve">Spain </w:t>
      </w:r>
      <w:r w:rsidR="00330580" w:rsidRPr="00BB524D">
        <w:rPr>
          <w:rFonts w:cs="Arial"/>
          <w:sz w:val="22"/>
        </w:rPr>
        <w:t>and the USA</w:t>
      </w:r>
      <w:r w:rsidR="007F5317">
        <w:rPr>
          <w:rFonts w:cs="Arial"/>
          <w:sz w:val="22"/>
        </w:rPr>
        <w:t xml:space="preserve"> </w:t>
      </w:r>
      <w:r w:rsidR="00E06901">
        <w:rPr>
          <w:rFonts w:cs="Arial"/>
          <w:sz w:val="22"/>
        </w:rPr>
        <w:t>[9,12,13]</w:t>
      </w:r>
      <w:r w:rsidR="00FB0146" w:rsidRPr="00BB524D">
        <w:rPr>
          <w:rFonts w:cs="Arial"/>
          <w:sz w:val="22"/>
        </w:rPr>
        <w:t>.</w:t>
      </w:r>
    </w:p>
    <w:p w14:paraId="3E13D368" w14:textId="0F698403" w:rsidR="00261844" w:rsidRPr="00BB524D" w:rsidRDefault="00261844" w:rsidP="00261844">
      <w:pPr>
        <w:spacing w:after="0" w:line="480" w:lineRule="auto"/>
        <w:ind w:firstLine="720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This national audit aimed to assess the concordance of </w:t>
      </w:r>
      <w:r w:rsidR="0074235A">
        <w:rPr>
          <w:rFonts w:cs="Arial"/>
          <w:sz w:val="22"/>
        </w:rPr>
        <w:t xml:space="preserve">out-patient </w:t>
      </w:r>
      <w:r w:rsidRPr="00BB524D">
        <w:rPr>
          <w:rFonts w:cs="Arial"/>
          <w:sz w:val="22"/>
        </w:rPr>
        <w:t>gout management by UK rheumatologists with evidence-based recommendations published by the British Society for Rheumatology (BSR) and European League Against Rheumatism (EULAR)</w:t>
      </w:r>
      <w:r w:rsidR="004636E5" w:rsidRPr="00BB524D">
        <w:rPr>
          <w:rFonts w:cs="Arial"/>
          <w:sz w:val="22"/>
        </w:rPr>
        <w:t xml:space="preserve"> and the National Institute for Health and Care Excellence (NICE) Febuxostat techn</w:t>
      </w:r>
      <w:r w:rsidR="005429D8">
        <w:rPr>
          <w:rFonts w:cs="Arial"/>
          <w:sz w:val="22"/>
        </w:rPr>
        <w:t>ology appraisal (TA 164) [5,6,14,15]</w:t>
      </w:r>
      <w:r w:rsidRPr="00BB524D">
        <w:rPr>
          <w:rFonts w:cs="Arial"/>
          <w:sz w:val="22"/>
        </w:rPr>
        <w:t>.</w:t>
      </w:r>
    </w:p>
    <w:p w14:paraId="19A224C9" w14:textId="77777777" w:rsidR="00261844" w:rsidRPr="00BB524D" w:rsidRDefault="00261844" w:rsidP="00261844">
      <w:pPr>
        <w:spacing w:after="0" w:line="480" w:lineRule="auto"/>
        <w:ind w:firstLine="720"/>
        <w:rPr>
          <w:rFonts w:cs="Arial"/>
          <w:sz w:val="22"/>
        </w:rPr>
      </w:pPr>
    </w:p>
    <w:p w14:paraId="7C69EAFD" w14:textId="77777777" w:rsidR="00261844" w:rsidRPr="00BB524D" w:rsidRDefault="00261844" w:rsidP="00261844">
      <w:pPr>
        <w:spacing w:after="0" w:line="480" w:lineRule="auto"/>
        <w:rPr>
          <w:rFonts w:cs="Arial"/>
          <w:b/>
          <w:sz w:val="22"/>
        </w:rPr>
      </w:pPr>
      <w:r w:rsidRPr="00BB524D">
        <w:rPr>
          <w:rFonts w:cs="Arial"/>
          <w:b/>
          <w:sz w:val="22"/>
        </w:rPr>
        <w:t>Methods</w:t>
      </w:r>
    </w:p>
    <w:p w14:paraId="0668E00E" w14:textId="77777777" w:rsidR="006F120E" w:rsidRPr="00BB524D" w:rsidRDefault="00083AD7" w:rsidP="00261844">
      <w:pPr>
        <w:spacing w:after="0" w:line="480" w:lineRule="auto"/>
        <w:rPr>
          <w:rFonts w:cs="Arial"/>
          <w:b/>
          <w:i/>
          <w:sz w:val="22"/>
        </w:rPr>
      </w:pPr>
      <w:r w:rsidRPr="00BB524D">
        <w:rPr>
          <w:rFonts w:cs="Arial"/>
          <w:b/>
          <w:i/>
          <w:sz w:val="22"/>
        </w:rPr>
        <w:t>D</w:t>
      </w:r>
      <w:r w:rsidR="006F120E" w:rsidRPr="00BB524D">
        <w:rPr>
          <w:rFonts w:cs="Arial"/>
          <w:b/>
          <w:i/>
          <w:sz w:val="22"/>
        </w:rPr>
        <w:t>esign</w:t>
      </w:r>
    </w:p>
    <w:p w14:paraId="00681B2F" w14:textId="7BE8D6FD" w:rsidR="006F120E" w:rsidRPr="00640F27" w:rsidRDefault="006F120E" w:rsidP="00261844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All UK rheumatology units were invited to participate in the audit. </w:t>
      </w:r>
      <w:r w:rsidR="00083AD7" w:rsidRPr="00BB524D">
        <w:rPr>
          <w:rFonts w:cs="Arial"/>
          <w:sz w:val="22"/>
        </w:rPr>
        <w:t>Data were collected prospectively on all p</w:t>
      </w:r>
      <w:r w:rsidRPr="00BB524D">
        <w:rPr>
          <w:rFonts w:cs="Arial"/>
          <w:sz w:val="22"/>
        </w:rPr>
        <w:t>atients with gout, newly-referred to rheumatology and seen in out-patient</w:t>
      </w:r>
      <w:r w:rsidR="00083AD7" w:rsidRPr="00BB524D">
        <w:rPr>
          <w:rFonts w:cs="Arial"/>
          <w:sz w:val="22"/>
        </w:rPr>
        <w:t xml:space="preserve"> clinic</w:t>
      </w:r>
      <w:r w:rsidRPr="00BB524D">
        <w:rPr>
          <w:rFonts w:cs="Arial"/>
          <w:sz w:val="22"/>
        </w:rPr>
        <w:t xml:space="preserve">s </w:t>
      </w:r>
      <w:r w:rsidR="00083AD7" w:rsidRPr="00BB524D">
        <w:rPr>
          <w:rFonts w:cs="Arial"/>
          <w:sz w:val="22"/>
        </w:rPr>
        <w:t>over an</w:t>
      </w:r>
      <w:r w:rsidRPr="00BB524D">
        <w:rPr>
          <w:rFonts w:cs="Arial"/>
          <w:sz w:val="22"/>
        </w:rPr>
        <w:t xml:space="preserve"> eight-week period between 06/05/2013 and 28</w:t>
      </w:r>
      <w:r w:rsidR="00083AD7" w:rsidRPr="00BB524D">
        <w:rPr>
          <w:rFonts w:cs="Arial"/>
          <w:sz w:val="22"/>
        </w:rPr>
        <w:t xml:space="preserve">/06/2013. </w:t>
      </w:r>
      <w:r w:rsidR="00900008" w:rsidRPr="00BB524D">
        <w:rPr>
          <w:rFonts w:cs="Arial"/>
          <w:sz w:val="22"/>
        </w:rPr>
        <w:t xml:space="preserve">Anonymised data were </w:t>
      </w:r>
      <w:r w:rsidR="00AD06BB">
        <w:rPr>
          <w:rFonts w:cs="Arial"/>
          <w:sz w:val="22"/>
        </w:rPr>
        <w:t xml:space="preserve">collected at the time of consultation and </w:t>
      </w:r>
      <w:r w:rsidR="00900008" w:rsidRPr="00BB524D">
        <w:rPr>
          <w:rFonts w:cs="Arial"/>
          <w:sz w:val="22"/>
        </w:rPr>
        <w:t xml:space="preserve">entered onto a web-based proforma </w:t>
      </w:r>
      <w:r w:rsidR="00900008" w:rsidRPr="00BB524D">
        <w:rPr>
          <w:rFonts w:cs="Arial"/>
          <w:sz w:val="22"/>
        </w:rPr>
        <w:lastRenderedPageBreak/>
        <w:t xml:space="preserve">housed on a secure server. </w:t>
      </w:r>
      <w:r w:rsidR="00EB0DCA">
        <w:rPr>
          <w:rFonts w:cs="Arial"/>
          <w:sz w:val="22"/>
        </w:rPr>
        <w:t>U</w:t>
      </w:r>
      <w:r w:rsidR="009F24D9" w:rsidRPr="00903167">
        <w:rPr>
          <w:rFonts w:cs="Arial"/>
          <w:color w:val="222222"/>
          <w:sz w:val="22"/>
          <w:shd w:val="clear" w:color="auto" w:fill="FFFFFF"/>
        </w:rPr>
        <w:t>nits were not compensated for participation but</w:t>
      </w:r>
      <w:r w:rsidR="009F24D9">
        <w:rPr>
          <w:rFonts w:cs="Arial"/>
          <w:color w:val="222222"/>
          <w:sz w:val="22"/>
          <w:shd w:val="clear" w:color="auto" w:fill="FFFFFF"/>
        </w:rPr>
        <w:t xml:space="preserve"> reminders were sent </w:t>
      </w:r>
      <w:r w:rsidR="009F24D9" w:rsidRPr="00903167">
        <w:rPr>
          <w:rFonts w:cs="Arial"/>
          <w:color w:val="222222"/>
          <w:sz w:val="22"/>
          <w:shd w:val="clear" w:color="auto" w:fill="FFFFFF"/>
        </w:rPr>
        <w:t>during the audit period to maximise participation</w:t>
      </w:r>
      <w:r w:rsidR="009F24D9">
        <w:rPr>
          <w:rFonts w:cs="Arial"/>
          <w:color w:val="222222"/>
          <w:sz w:val="22"/>
          <w:shd w:val="clear" w:color="auto" w:fill="FFFFFF"/>
        </w:rPr>
        <w:t>.</w:t>
      </w:r>
      <w:r w:rsidR="009F24D9" w:rsidRPr="00BB524D">
        <w:rPr>
          <w:rFonts w:cs="Arial"/>
          <w:sz w:val="22"/>
        </w:rPr>
        <w:t xml:space="preserve"> </w:t>
      </w:r>
      <w:r w:rsidR="00900008" w:rsidRPr="00BB524D">
        <w:rPr>
          <w:rFonts w:cs="Arial"/>
          <w:sz w:val="22"/>
        </w:rPr>
        <w:t xml:space="preserve">The audit was deemed not to require research ethics approval as per guidance from the NHS Health Research Authority </w:t>
      </w:r>
      <w:r w:rsidR="00050F3B">
        <w:rPr>
          <w:rFonts w:cs="Arial"/>
          <w:sz w:val="22"/>
        </w:rPr>
        <w:t>[16]</w:t>
      </w:r>
      <w:r w:rsidR="00900008" w:rsidRPr="00BB524D">
        <w:rPr>
          <w:rFonts w:cs="Arial"/>
          <w:sz w:val="22"/>
        </w:rPr>
        <w:t>.</w:t>
      </w:r>
      <w:r w:rsidR="00640F27">
        <w:rPr>
          <w:rFonts w:cs="Arial"/>
          <w:sz w:val="22"/>
        </w:rPr>
        <w:t xml:space="preserve"> The audit protocol was reviewed and approved by the BSR</w:t>
      </w:r>
      <w:r w:rsidR="00640F27" w:rsidRPr="00640F27">
        <w:rPr>
          <w:sz w:val="22"/>
        </w:rPr>
        <w:t xml:space="preserve"> S</w:t>
      </w:r>
      <w:r w:rsidR="00640F27">
        <w:rPr>
          <w:sz w:val="22"/>
        </w:rPr>
        <w:t xml:space="preserve">tandards, </w:t>
      </w:r>
      <w:r w:rsidR="00640F27" w:rsidRPr="00640F27">
        <w:rPr>
          <w:sz w:val="22"/>
        </w:rPr>
        <w:t>A</w:t>
      </w:r>
      <w:r w:rsidR="00640F27">
        <w:rPr>
          <w:sz w:val="22"/>
        </w:rPr>
        <w:t xml:space="preserve">udit and </w:t>
      </w:r>
      <w:r w:rsidR="00640F27" w:rsidRPr="00640F27">
        <w:rPr>
          <w:sz w:val="22"/>
        </w:rPr>
        <w:t>G</w:t>
      </w:r>
      <w:r w:rsidR="00640F27">
        <w:rPr>
          <w:sz w:val="22"/>
        </w:rPr>
        <w:t xml:space="preserve">uidelines </w:t>
      </w:r>
      <w:r w:rsidR="00640F27" w:rsidRPr="00640F27">
        <w:rPr>
          <w:sz w:val="22"/>
        </w:rPr>
        <w:t>W</w:t>
      </w:r>
      <w:r w:rsidR="00640F27">
        <w:rPr>
          <w:sz w:val="22"/>
        </w:rPr>
        <w:t>orking Group.</w:t>
      </w:r>
    </w:p>
    <w:p w14:paraId="34E77FFD" w14:textId="77777777" w:rsidR="00900008" w:rsidRPr="00BB524D" w:rsidRDefault="00900008" w:rsidP="00261844">
      <w:pPr>
        <w:spacing w:after="0" w:line="480" w:lineRule="auto"/>
        <w:rPr>
          <w:rFonts w:cs="Arial"/>
          <w:sz w:val="22"/>
        </w:rPr>
      </w:pPr>
    </w:p>
    <w:p w14:paraId="3025E34E" w14:textId="77777777" w:rsidR="00900008" w:rsidRPr="00BB524D" w:rsidRDefault="00900008" w:rsidP="00261844">
      <w:pPr>
        <w:spacing w:after="0" w:line="480" w:lineRule="auto"/>
        <w:rPr>
          <w:rFonts w:cs="Arial"/>
          <w:b/>
          <w:i/>
          <w:sz w:val="22"/>
        </w:rPr>
      </w:pPr>
      <w:r w:rsidRPr="00BB524D">
        <w:rPr>
          <w:rFonts w:cs="Arial"/>
          <w:b/>
          <w:i/>
          <w:sz w:val="22"/>
        </w:rPr>
        <w:t>Data collection</w:t>
      </w:r>
    </w:p>
    <w:p w14:paraId="388DF9C2" w14:textId="6E5FE070" w:rsidR="00314D29" w:rsidRPr="00BB524D" w:rsidRDefault="00227847" w:rsidP="00480310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The proforma requested information about demographic details (age, gender), method of diagnosis (clinical, radiographic, microscopy of aspirated synovial fluid/tophaceous material), clinical features (tophi, number of attacks in the preceding </w:t>
      </w:r>
      <w:r w:rsidR="0051413B">
        <w:rPr>
          <w:rFonts w:cs="Arial"/>
          <w:sz w:val="22"/>
        </w:rPr>
        <w:t>year</w:t>
      </w:r>
      <w:r w:rsidRPr="00BB524D">
        <w:rPr>
          <w:rFonts w:cs="Arial"/>
          <w:sz w:val="22"/>
        </w:rPr>
        <w:t>)</w:t>
      </w:r>
      <w:r w:rsidR="00CE2B8D" w:rsidRPr="00BB524D">
        <w:rPr>
          <w:rFonts w:cs="Arial"/>
          <w:sz w:val="22"/>
        </w:rPr>
        <w:t>, comorbidities, current and previous ULT, ULT initiated including starting dose, use of prophylactic drugs (non-steroidal inflammatory drugs (NSAID), colchicine, corticosteroids), diuretic use, blood tests (</w:t>
      </w:r>
      <w:r w:rsidR="008B6A13">
        <w:rPr>
          <w:rFonts w:cs="Arial"/>
          <w:sz w:val="22"/>
        </w:rPr>
        <w:t>SUA</w:t>
      </w:r>
      <w:r w:rsidR="0075464D" w:rsidRPr="00BB524D">
        <w:rPr>
          <w:rFonts w:cs="Arial"/>
          <w:sz w:val="22"/>
        </w:rPr>
        <w:t xml:space="preserve"> level</w:t>
      </w:r>
      <w:r w:rsidR="00CE2B8D" w:rsidRPr="00BB524D">
        <w:rPr>
          <w:rFonts w:cs="Arial"/>
          <w:sz w:val="22"/>
        </w:rPr>
        <w:t xml:space="preserve">, serum creatinine, estimated glomerular filtration rate (eGFR)), and follow-up plan. </w:t>
      </w:r>
      <w:r w:rsidR="00BA4FBE" w:rsidRPr="00BB524D">
        <w:rPr>
          <w:rFonts w:cs="Arial"/>
          <w:sz w:val="22"/>
        </w:rPr>
        <w:t>Follow-up data collected</w:t>
      </w:r>
      <w:r w:rsidR="0075464D" w:rsidRPr="00BB524D">
        <w:rPr>
          <w:rFonts w:cs="Arial"/>
          <w:sz w:val="22"/>
        </w:rPr>
        <w:t xml:space="preserve"> </w:t>
      </w:r>
      <w:r w:rsidR="00BA4FBE" w:rsidRPr="00BB524D">
        <w:rPr>
          <w:rFonts w:cs="Arial"/>
          <w:sz w:val="22"/>
        </w:rPr>
        <w:t xml:space="preserve">12 months </w:t>
      </w:r>
      <w:r w:rsidR="0075464D" w:rsidRPr="00BB524D">
        <w:rPr>
          <w:rFonts w:cs="Arial"/>
          <w:sz w:val="22"/>
        </w:rPr>
        <w:t xml:space="preserve">later </w:t>
      </w:r>
      <w:r w:rsidR="00BA4FBE" w:rsidRPr="00BB524D">
        <w:rPr>
          <w:rFonts w:cs="Arial"/>
          <w:sz w:val="22"/>
        </w:rPr>
        <w:t xml:space="preserve">included </w:t>
      </w:r>
      <w:r w:rsidR="0075464D" w:rsidRPr="00BB524D">
        <w:rPr>
          <w:rFonts w:cs="Arial"/>
          <w:sz w:val="22"/>
        </w:rPr>
        <w:t xml:space="preserve">the most recent </w:t>
      </w:r>
      <w:r w:rsidR="009F6CD8">
        <w:rPr>
          <w:rFonts w:cs="Arial"/>
          <w:sz w:val="22"/>
        </w:rPr>
        <w:t>SUA</w:t>
      </w:r>
      <w:r w:rsidR="0075464D" w:rsidRPr="00BB524D">
        <w:rPr>
          <w:rFonts w:cs="Arial"/>
          <w:sz w:val="22"/>
        </w:rPr>
        <w:t xml:space="preserve"> level (where available)</w:t>
      </w:r>
      <w:r w:rsidR="00FA5DD9" w:rsidRPr="00BB524D">
        <w:rPr>
          <w:rFonts w:cs="Arial"/>
          <w:sz w:val="22"/>
        </w:rPr>
        <w:t>.</w:t>
      </w:r>
    </w:p>
    <w:p w14:paraId="39B359D3" w14:textId="77777777" w:rsidR="00314D29" w:rsidRPr="00BB524D" w:rsidRDefault="00314D29" w:rsidP="00480310">
      <w:pPr>
        <w:spacing w:after="0" w:line="480" w:lineRule="auto"/>
        <w:rPr>
          <w:rFonts w:cs="Arial"/>
          <w:sz w:val="22"/>
        </w:rPr>
      </w:pPr>
    </w:p>
    <w:p w14:paraId="3089BF08" w14:textId="31A9DA46" w:rsidR="00900008" w:rsidRPr="00BB524D" w:rsidRDefault="00314D29" w:rsidP="00480310">
      <w:pPr>
        <w:spacing w:after="0" w:line="480" w:lineRule="auto"/>
        <w:rPr>
          <w:rFonts w:cs="Arial"/>
          <w:b/>
          <w:i/>
          <w:sz w:val="22"/>
        </w:rPr>
      </w:pPr>
      <w:r w:rsidRPr="00BB524D">
        <w:rPr>
          <w:rFonts w:cs="Arial"/>
          <w:b/>
          <w:i/>
          <w:sz w:val="22"/>
        </w:rPr>
        <w:t>Audit standards</w:t>
      </w:r>
    </w:p>
    <w:p w14:paraId="2F726568" w14:textId="4A323E0E" w:rsidR="00900008" w:rsidRPr="00BB524D" w:rsidRDefault="00480310" w:rsidP="00C03C45">
      <w:pPr>
        <w:autoSpaceDE w:val="0"/>
        <w:autoSpaceDN w:val="0"/>
        <w:adjustRightInd w:val="0"/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>Audit s</w:t>
      </w:r>
      <w:r w:rsidR="00314D29" w:rsidRPr="00BB524D">
        <w:rPr>
          <w:rFonts w:cs="Arial"/>
          <w:sz w:val="22"/>
        </w:rPr>
        <w:t xml:space="preserve">tandards </w:t>
      </w:r>
      <w:r w:rsidR="00D520FA" w:rsidRPr="00BB524D">
        <w:rPr>
          <w:rFonts w:cs="Arial"/>
          <w:sz w:val="22"/>
        </w:rPr>
        <w:t xml:space="preserve">(AS) </w:t>
      </w:r>
      <w:r w:rsidR="00314D29" w:rsidRPr="00BB524D">
        <w:rPr>
          <w:rFonts w:cs="Arial"/>
          <w:sz w:val="22"/>
        </w:rPr>
        <w:t xml:space="preserve">were determined </w:t>
      </w:r>
      <w:r w:rsidR="00314D29" w:rsidRPr="00BB524D">
        <w:rPr>
          <w:rFonts w:cs="Arial"/>
          <w:i/>
          <w:sz w:val="22"/>
        </w:rPr>
        <w:t>a priori</w:t>
      </w:r>
      <w:r w:rsidR="00314D29" w:rsidRPr="00BB524D">
        <w:rPr>
          <w:rFonts w:cs="Arial"/>
          <w:sz w:val="22"/>
        </w:rPr>
        <w:t xml:space="preserve"> based on the </w:t>
      </w:r>
      <w:r w:rsidR="00D520FA" w:rsidRPr="00BB524D">
        <w:rPr>
          <w:rFonts w:cs="Arial"/>
          <w:sz w:val="22"/>
        </w:rPr>
        <w:t xml:space="preserve">2006 EULAR recommendations for the diagnosis and management of gout, </w:t>
      </w:r>
      <w:r w:rsidR="00B33252" w:rsidRPr="00BB524D">
        <w:rPr>
          <w:rFonts w:cs="Arial"/>
          <w:sz w:val="22"/>
        </w:rPr>
        <w:t>2007 BSR guideline for the management of gout,</w:t>
      </w:r>
      <w:r w:rsidR="00A4280E" w:rsidRPr="00BB524D">
        <w:rPr>
          <w:rFonts w:cs="Arial"/>
          <w:sz w:val="22"/>
        </w:rPr>
        <w:t xml:space="preserve"> and </w:t>
      </w:r>
      <w:r w:rsidR="00B33252" w:rsidRPr="00BB524D">
        <w:rPr>
          <w:rFonts w:cs="Arial"/>
          <w:sz w:val="22"/>
        </w:rPr>
        <w:t>NICE</w:t>
      </w:r>
      <w:r w:rsidR="00A4280E" w:rsidRPr="00BB524D">
        <w:rPr>
          <w:rFonts w:cs="Arial"/>
          <w:sz w:val="22"/>
        </w:rPr>
        <w:t xml:space="preserve"> TA164</w:t>
      </w:r>
      <w:r w:rsidR="00050F3B">
        <w:rPr>
          <w:rFonts w:cs="Arial"/>
          <w:sz w:val="22"/>
        </w:rPr>
        <w:t xml:space="preserve"> [5,6,14,15]</w:t>
      </w:r>
      <w:r w:rsidR="00B33252" w:rsidRPr="00BB524D">
        <w:rPr>
          <w:rFonts w:cs="Arial"/>
          <w:sz w:val="22"/>
        </w:rPr>
        <w:t xml:space="preserve">. </w:t>
      </w:r>
      <w:r w:rsidR="007C5271" w:rsidRPr="00BB524D">
        <w:rPr>
          <w:rFonts w:cs="Arial"/>
          <w:color w:val="231F20"/>
          <w:sz w:val="22"/>
        </w:rPr>
        <w:t>Standards</w:t>
      </w:r>
      <w:r w:rsidR="00C03C45" w:rsidRPr="00BB524D">
        <w:rPr>
          <w:rFonts w:cs="Arial"/>
          <w:color w:val="231F20"/>
          <w:sz w:val="22"/>
        </w:rPr>
        <w:t xml:space="preserve"> pertained</w:t>
      </w:r>
      <w:r w:rsidRPr="00BB524D">
        <w:rPr>
          <w:rFonts w:cs="Arial"/>
          <w:color w:val="231F20"/>
          <w:sz w:val="22"/>
        </w:rPr>
        <w:t xml:space="preserve"> to diagnosis (AS1, AS2), d</w:t>
      </w:r>
      <w:r w:rsidR="00966BC5" w:rsidRPr="00BB524D">
        <w:rPr>
          <w:rFonts w:cs="Arial"/>
          <w:color w:val="231F20"/>
          <w:sz w:val="22"/>
        </w:rPr>
        <w:t>iuretic cessation (AS3</w:t>
      </w:r>
      <w:r w:rsidRPr="00BB524D">
        <w:rPr>
          <w:rFonts w:cs="Arial"/>
          <w:color w:val="231F20"/>
          <w:sz w:val="22"/>
        </w:rPr>
        <w:t xml:space="preserve">), </w:t>
      </w:r>
      <w:r w:rsidR="00966BC5" w:rsidRPr="00BB524D">
        <w:rPr>
          <w:rFonts w:cs="Arial"/>
          <w:color w:val="231F20"/>
          <w:sz w:val="22"/>
        </w:rPr>
        <w:t>indications for ULT (AS4</w:t>
      </w:r>
      <w:r w:rsidR="00703618" w:rsidRPr="00BB524D">
        <w:rPr>
          <w:rFonts w:cs="Arial"/>
          <w:color w:val="231F20"/>
          <w:sz w:val="22"/>
        </w:rPr>
        <w:t>)</w:t>
      </w:r>
      <w:r w:rsidRPr="00BB524D">
        <w:rPr>
          <w:rFonts w:cs="Arial"/>
          <w:color w:val="231F20"/>
          <w:sz w:val="22"/>
        </w:rPr>
        <w:t>, allopurinol starti</w:t>
      </w:r>
      <w:r w:rsidR="00703618" w:rsidRPr="00BB524D">
        <w:rPr>
          <w:rFonts w:cs="Arial"/>
          <w:color w:val="231F20"/>
          <w:sz w:val="22"/>
        </w:rPr>
        <w:t>ng dose (AS5, AS6), prophylaxis (AS7</w:t>
      </w:r>
      <w:r w:rsidRPr="00BB524D">
        <w:rPr>
          <w:rFonts w:cs="Arial"/>
          <w:color w:val="231F20"/>
          <w:sz w:val="22"/>
        </w:rPr>
        <w:t>), use of uricosuric drugs and febuxostat (AS</w:t>
      </w:r>
      <w:r w:rsidR="00703618" w:rsidRPr="00BB524D">
        <w:rPr>
          <w:rFonts w:cs="Arial"/>
          <w:color w:val="231F20"/>
          <w:sz w:val="22"/>
        </w:rPr>
        <w:t>8</w:t>
      </w:r>
      <w:r w:rsidRPr="00BB524D">
        <w:rPr>
          <w:rFonts w:cs="Arial"/>
          <w:color w:val="231F20"/>
          <w:sz w:val="22"/>
        </w:rPr>
        <w:t xml:space="preserve">), use </w:t>
      </w:r>
      <w:r w:rsidR="00C03C45" w:rsidRPr="00BB524D">
        <w:rPr>
          <w:rFonts w:cs="Arial"/>
          <w:color w:val="231F20"/>
          <w:sz w:val="22"/>
        </w:rPr>
        <w:t xml:space="preserve">of febuxostat </w:t>
      </w:r>
      <w:r w:rsidRPr="00BB524D">
        <w:rPr>
          <w:rFonts w:cs="Arial"/>
          <w:color w:val="231F20"/>
          <w:sz w:val="22"/>
        </w:rPr>
        <w:t xml:space="preserve">in patients </w:t>
      </w:r>
      <w:r w:rsidR="00703618" w:rsidRPr="00BB524D">
        <w:rPr>
          <w:rFonts w:cs="Arial"/>
          <w:color w:val="231F20"/>
          <w:sz w:val="22"/>
        </w:rPr>
        <w:t>with heart disease (AS9</w:t>
      </w:r>
      <w:r w:rsidRPr="00BB524D">
        <w:rPr>
          <w:rFonts w:cs="Arial"/>
          <w:color w:val="231F20"/>
          <w:sz w:val="22"/>
        </w:rPr>
        <w:t>)</w:t>
      </w:r>
      <w:r w:rsidR="00EF1D31" w:rsidRPr="00BB524D">
        <w:rPr>
          <w:rFonts w:cs="Arial"/>
          <w:color w:val="231F20"/>
          <w:sz w:val="22"/>
        </w:rPr>
        <w:t>,</w:t>
      </w:r>
      <w:r w:rsidRPr="00BB524D">
        <w:rPr>
          <w:rFonts w:cs="Arial"/>
          <w:color w:val="231F20"/>
          <w:sz w:val="22"/>
        </w:rPr>
        <w:t xml:space="preserve"> </w:t>
      </w:r>
      <w:r w:rsidR="009A223B" w:rsidRPr="00BB524D">
        <w:rPr>
          <w:rFonts w:cs="Arial"/>
          <w:color w:val="231F20"/>
          <w:sz w:val="22"/>
        </w:rPr>
        <w:t xml:space="preserve">and </w:t>
      </w:r>
      <w:r w:rsidR="00EF1D31" w:rsidRPr="00BB524D">
        <w:rPr>
          <w:rFonts w:cs="Arial"/>
          <w:color w:val="231F20"/>
          <w:sz w:val="22"/>
        </w:rPr>
        <w:t xml:space="preserve">whether </w:t>
      </w:r>
      <w:r w:rsidR="009A223B" w:rsidRPr="00BB524D">
        <w:rPr>
          <w:rFonts w:cs="Arial"/>
          <w:color w:val="231F20"/>
          <w:sz w:val="22"/>
        </w:rPr>
        <w:t xml:space="preserve">target </w:t>
      </w:r>
      <w:r w:rsidR="009F6CD8">
        <w:rPr>
          <w:rFonts w:cs="Arial"/>
          <w:color w:val="231F20"/>
          <w:sz w:val="22"/>
        </w:rPr>
        <w:t>SUA</w:t>
      </w:r>
      <w:r w:rsidR="009A223B" w:rsidRPr="00BB524D">
        <w:rPr>
          <w:rFonts w:cs="Arial"/>
          <w:color w:val="231F20"/>
          <w:sz w:val="22"/>
        </w:rPr>
        <w:t xml:space="preserve"> levels </w:t>
      </w:r>
      <w:r w:rsidR="00EF1D31" w:rsidRPr="00BB524D">
        <w:rPr>
          <w:rFonts w:cs="Arial"/>
          <w:color w:val="231F20"/>
          <w:sz w:val="22"/>
        </w:rPr>
        <w:t xml:space="preserve">were achieved </w:t>
      </w:r>
      <w:r w:rsidR="00703618" w:rsidRPr="00BB524D">
        <w:rPr>
          <w:rFonts w:cs="Arial"/>
          <w:color w:val="231F20"/>
          <w:sz w:val="22"/>
        </w:rPr>
        <w:t>(AS10</w:t>
      </w:r>
      <w:r w:rsidR="009A223B" w:rsidRPr="00BB524D">
        <w:rPr>
          <w:rFonts w:cs="Arial"/>
          <w:color w:val="231F20"/>
          <w:sz w:val="22"/>
        </w:rPr>
        <w:t xml:space="preserve">, </w:t>
      </w:r>
      <w:r w:rsidR="00703618" w:rsidRPr="00BB524D">
        <w:rPr>
          <w:rFonts w:cs="Arial"/>
          <w:color w:val="231F20"/>
          <w:sz w:val="22"/>
        </w:rPr>
        <w:t>AS</w:t>
      </w:r>
      <w:r w:rsidR="009A223B" w:rsidRPr="00BB524D">
        <w:rPr>
          <w:rFonts w:cs="Arial"/>
          <w:color w:val="231F20"/>
          <w:sz w:val="22"/>
        </w:rPr>
        <w:t>1</w:t>
      </w:r>
      <w:r w:rsidR="009F6CD8">
        <w:rPr>
          <w:rFonts w:cs="Arial"/>
          <w:color w:val="231F20"/>
          <w:sz w:val="22"/>
        </w:rPr>
        <w:t>1</w:t>
      </w:r>
      <w:r w:rsidR="009A223B" w:rsidRPr="00BB524D">
        <w:rPr>
          <w:rFonts w:cs="Arial"/>
          <w:color w:val="231F20"/>
          <w:sz w:val="22"/>
        </w:rPr>
        <w:t xml:space="preserve">) </w:t>
      </w:r>
      <w:r w:rsidR="00C03C45" w:rsidRPr="00BB524D">
        <w:rPr>
          <w:rFonts w:cs="Arial"/>
          <w:color w:val="231F20"/>
          <w:sz w:val="22"/>
        </w:rPr>
        <w:t>(</w:t>
      </w:r>
      <w:r w:rsidR="00C03C45" w:rsidRPr="00BB524D">
        <w:rPr>
          <w:rFonts w:cs="Arial"/>
          <w:b/>
          <w:color w:val="231F20"/>
          <w:sz w:val="22"/>
        </w:rPr>
        <w:t>table 1</w:t>
      </w:r>
      <w:r w:rsidR="00C03C45" w:rsidRPr="00BB524D">
        <w:rPr>
          <w:rFonts w:cs="Arial"/>
          <w:color w:val="231F20"/>
          <w:sz w:val="22"/>
        </w:rPr>
        <w:t>)</w:t>
      </w:r>
      <w:r w:rsidRPr="00BB524D">
        <w:rPr>
          <w:rFonts w:cs="Arial"/>
          <w:color w:val="231F20"/>
          <w:sz w:val="22"/>
        </w:rPr>
        <w:t>.</w:t>
      </w:r>
    </w:p>
    <w:p w14:paraId="2A8AA3C4" w14:textId="77777777" w:rsidR="007C5271" w:rsidRPr="00BB524D" w:rsidRDefault="007C5271" w:rsidP="007C5271">
      <w:pPr>
        <w:spacing w:line="480" w:lineRule="auto"/>
        <w:rPr>
          <w:rFonts w:cs="Arial"/>
          <w:b/>
          <w:i/>
          <w:sz w:val="22"/>
        </w:rPr>
      </w:pPr>
    </w:p>
    <w:p w14:paraId="037F679E" w14:textId="3CB944A1" w:rsidR="00914A1E" w:rsidRPr="00BB524D" w:rsidRDefault="00914A1E" w:rsidP="007C5271">
      <w:pPr>
        <w:spacing w:line="480" w:lineRule="auto"/>
        <w:rPr>
          <w:rFonts w:cs="Arial"/>
          <w:b/>
          <w:i/>
          <w:sz w:val="22"/>
        </w:rPr>
      </w:pPr>
      <w:r w:rsidRPr="00BB524D">
        <w:rPr>
          <w:rFonts w:cs="Arial"/>
          <w:b/>
          <w:i/>
          <w:sz w:val="22"/>
        </w:rPr>
        <w:t>Statistical analysis</w:t>
      </w:r>
    </w:p>
    <w:p w14:paraId="23B9506D" w14:textId="1C31D51E" w:rsidR="007C5271" w:rsidRPr="00BB524D" w:rsidRDefault="007A14EB" w:rsidP="007C5271">
      <w:pPr>
        <w:spacing w:line="480" w:lineRule="auto"/>
        <w:rPr>
          <w:rFonts w:cs="Arial"/>
          <w:color w:val="000000" w:themeColor="text1"/>
          <w:sz w:val="22"/>
        </w:rPr>
      </w:pPr>
      <w:r w:rsidRPr="00BB524D">
        <w:rPr>
          <w:rFonts w:cs="Arial"/>
          <w:sz w:val="22"/>
        </w:rPr>
        <w:t xml:space="preserve">Characteristics of the study sample were described using simple descriptive statistics: mean (standard deviation [SD]) or median (interquartile range, IQR) for continuous variables and </w:t>
      </w:r>
      <w:r w:rsidRPr="00BB524D">
        <w:rPr>
          <w:rFonts w:cs="Arial"/>
          <w:sz w:val="22"/>
        </w:rPr>
        <w:lastRenderedPageBreak/>
        <w:t>frequency (%) for categorical variables.</w:t>
      </w:r>
      <w:r w:rsidR="00BB524D" w:rsidRPr="00BB524D">
        <w:rPr>
          <w:rFonts w:cs="Arial"/>
          <w:sz w:val="22"/>
        </w:rPr>
        <w:t xml:space="preserve"> The concordance with each audit standard was assessed by calculating the </w:t>
      </w:r>
      <w:r w:rsidR="00040848">
        <w:rPr>
          <w:rFonts w:cs="Arial"/>
          <w:sz w:val="22"/>
        </w:rPr>
        <w:t>frequency (%)</w:t>
      </w:r>
      <w:r w:rsidR="00BB524D" w:rsidRPr="00BB524D">
        <w:rPr>
          <w:rFonts w:cs="Arial"/>
          <w:sz w:val="22"/>
        </w:rPr>
        <w:t xml:space="preserve"> of eligible patients fulfilling each </w:t>
      </w:r>
      <w:r w:rsidR="00040848">
        <w:rPr>
          <w:rFonts w:cs="Arial"/>
          <w:sz w:val="22"/>
        </w:rPr>
        <w:t xml:space="preserve">audit </w:t>
      </w:r>
      <w:r w:rsidR="00BB524D" w:rsidRPr="00BB524D">
        <w:rPr>
          <w:rFonts w:cs="Arial"/>
          <w:sz w:val="22"/>
        </w:rPr>
        <w:t>standard.</w:t>
      </w:r>
    </w:p>
    <w:p w14:paraId="041A092A" w14:textId="77777777" w:rsidR="00914A1E" w:rsidRPr="00BB524D" w:rsidRDefault="00914A1E" w:rsidP="00261844">
      <w:pPr>
        <w:spacing w:after="0" w:line="480" w:lineRule="auto"/>
        <w:rPr>
          <w:rFonts w:cs="Arial"/>
          <w:sz w:val="22"/>
        </w:rPr>
      </w:pPr>
    </w:p>
    <w:p w14:paraId="400D1D1E" w14:textId="27E0D6B7" w:rsidR="00200E01" w:rsidRPr="00BB524D" w:rsidRDefault="00914A1E" w:rsidP="00261844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b/>
          <w:sz w:val="22"/>
        </w:rPr>
        <w:t>Results</w:t>
      </w:r>
      <w:r w:rsidRPr="00BB524D">
        <w:rPr>
          <w:rFonts w:cs="Arial"/>
          <w:b/>
          <w:i/>
          <w:sz w:val="22"/>
        </w:rPr>
        <w:br/>
      </w:r>
      <w:r w:rsidR="00EE5A0A" w:rsidRPr="00BB524D">
        <w:rPr>
          <w:rFonts w:cs="Arial"/>
          <w:b/>
          <w:i/>
          <w:sz w:val="22"/>
        </w:rPr>
        <w:t>Baseline p</w:t>
      </w:r>
      <w:r w:rsidR="00200E01" w:rsidRPr="00BB524D">
        <w:rPr>
          <w:rFonts w:cs="Arial"/>
          <w:b/>
          <w:i/>
          <w:sz w:val="22"/>
        </w:rPr>
        <w:t>atient characteristics</w:t>
      </w:r>
    </w:p>
    <w:p w14:paraId="6C21A667" w14:textId="528EAEF0" w:rsidR="00914A1E" w:rsidRPr="00BB524D" w:rsidRDefault="00F103E4" w:rsidP="00261844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Data were entered for 434 patients from 91 rheumatology </w:t>
      </w:r>
      <w:r w:rsidR="0032783E">
        <w:rPr>
          <w:rFonts w:cs="Arial"/>
          <w:sz w:val="22"/>
        </w:rPr>
        <w:t>departments</w:t>
      </w:r>
      <w:r w:rsidR="00D70B88">
        <w:rPr>
          <w:rFonts w:cs="Arial"/>
          <w:sz w:val="22"/>
        </w:rPr>
        <w:t xml:space="preserve"> across the UK</w:t>
      </w:r>
      <w:r w:rsidR="00772502">
        <w:rPr>
          <w:rFonts w:cs="Arial"/>
          <w:sz w:val="22"/>
        </w:rPr>
        <w:t>, including teaching and district general hospitals</w:t>
      </w:r>
      <w:r w:rsidRPr="00BB524D">
        <w:rPr>
          <w:rFonts w:cs="Arial"/>
          <w:sz w:val="22"/>
        </w:rPr>
        <w:t xml:space="preserve">. Mean age was </w:t>
      </w:r>
      <w:r w:rsidR="007A14EB" w:rsidRPr="00BB524D">
        <w:rPr>
          <w:rFonts w:cs="Arial"/>
          <w:sz w:val="22"/>
        </w:rPr>
        <w:t>59.8 years (SD</w:t>
      </w:r>
      <w:r w:rsidRPr="00BB524D">
        <w:rPr>
          <w:rFonts w:cs="Arial"/>
          <w:sz w:val="22"/>
        </w:rPr>
        <w:t xml:space="preserve"> </w:t>
      </w:r>
      <w:r w:rsidR="00210A03" w:rsidRPr="00BB524D">
        <w:rPr>
          <w:rFonts w:cs="Arial"/>
          <w:sz w:val="22"/>
        </w:rPr>
        <w:t>15.1)</w:t>
      </w:r>
      <w:r w:rsidR="005A1464">
        <w:rPr>
          <w:rFonts w:cs="Arial"/>
          <w:sz w:val="22"/>
        </w:rPr>
        <w:t>; 356 (82%)</w:t>
      </w:r>
      <w:r w:rsidR="00210A03" w:rsidRPr="00BB524D">
        <w:rPr>
          <w:rFonts w:cs="Arial"/>
          <w:sz w:val="22"/>
        </w:rPr>
        <w:t xml:space="preserve"> were male. </w:t>
      </w:r>
      <w:r w:rsidR="00140416">
        <w:rPr>
          <w:rFonts w:cs="Arial"/>
          <w:sz w:val="22"/>
        </w:rPr>
        <w:t>H</w:t>
      </w:r>
      <w:r w:rsidR="00196493" w:rsidRPr="00BB524D">
        <w:rPr>
          <w:rFonts w:cs="Arial"/>
          <w:sz w:val="22"/>
        </w:rPr>
        <w:t xml:space="preserve">ypertension, renal disease, </w:t>
      </w:r>
      <w:r w:rsidR="00200E01" w:rsidRPr="00BB524D">
        <w:rPr>
          <w:rFonts w:cs="Arial"/>
          <w:sz w:val="22"/>
        </w:rPr>
        <w:t xml:space="preserve">hyperlipidaemia and heart disease </w:t>
      </w:r>
      <w:r w:rsidR="00140416">
        <w:rPr>
          <w:rFonts w:cs="Arial"/>
          <w:sz w:val="22"/>
        </w:rPr>
        <w:t xml:space="preserve">were common </w:t>
      </w:r>
      <w:r w:rsidR="00200E01" w:rsidRPr="00BB524D">
        <w:rPr>
          <w:rFonts w:cs="Arial"/>
          <w:sz w:val="22"/>
        </w:rPr>
        <w:t>(</w:t>
      </w:r>
      <w:r w:rsidR="00200E01" w:rsidRPr="00BB524D">
        <w:rPr>
          <w:rFonts w:cs="Arial"/>
          <w:b/>
          <w:sz w:val="22"/>
        </w:rPr>
        <w:t>table 2</w:t>
      </w:r>
      <w:r w:rsidR="00200E01" w:rsidRPr="00BB524D">
        <w:rPr>
          <w:rFonts w:cs="Arial"/>
          <w:sz w:val="22"/>
        </w:rPr>
        <w:t xml:space="preserve">). </w:t>
      </w:r>
      <w:r w:rsidR="00790371" w:rsidRPr="00BB524D">
        <w:rPr>
          <w:rFonts w:cs="Arial"/>
          <w:sz w:val="22"/>
        </w:rPr>
        <w:t>One hundred and thirty six patients (31%) were taking allopurinol</w:t>
      </w:r>
      <w:r w:rsidR="00D70B88">
        <w:rPr>
          <w:rFonts w:cs="Arial"/>
          <w:sz w:val="22"/>
        </w:rPr>
        <w:t xml:space="preserve"> at </w:t>
      </w:r>
      <w:r w:rsidR="00F17CE4">
        <w:rPr>
          <w:rFonts w:cs="Arial"/>
          <w:sz w:val="22"/>
        </w:rPr>
        <w:t>the time of their rheumatology appointment</w:t>
      </w:r>
      <w:r w:rsidR="00790371" w:rsidRPr="00BB524D">
        <w:rPr>
          <w:rFonts w:cs="Arial"/>
          <w:sz w:val="22"/>
        </w:rPr>
        <w:t xml:space="preserve">, </w:t>
      </w:r>
      <w:r w:rsidR="006D1557" w:rsidRPr="00BB524D">
        <w:rPr>
          <w:rFonts w:cs="Arial"/>
          <w:sz w:val="22"/>
        </w:rPr>
        <w:t xml:space="preserve">few </w:t>
      </w:r>
      <w:r w:rsidR="0084728C" w:rsidRPr="00BB524D">
        <w:rPr>
          <w:rFonts w:cs="Arial"/>
          <w:sz w:val="22"/>
        </w:rPr>
        <w:t>were</w:t>
      </w:r>
      <w:r w:rsidR="00A602A4" w:rsidRPr="00BB524D">
        <w:rPr>
          <w:rFonts w:cs="Arial"/>
          <w:sz w:val="22"/>
        </w:rPr>
        <w:t xml:space="preserve"> taking other </w:t>
      </w:r>
      <w:r w:rsidR="005A1464">
        <w:rPr>
          <w:rFonts w:cs="Arial"/>
          <w:sz w:val="22"/>
        </w:rPr>
        <w:t>ULTs</w:t>
      </w:r>
      <w:r w:rsidR="00A602A4" w:rsidRPr="00BB524D">
        <w:rPr>
          <w:rFonts w:cs="Arial"/>
          <w:sz w:val="22"/>
        </w:rPr>
        <w:t xml:space="preserve">. </w:t>
      </w:r>
      <w:r w:rsidR="00C076F7" w:rsidRPr="009C34AC">
        <w:rPr>
          <w:rFonts w:cs="Arial"/>
          <w:sz w:val="22"/>
        </w:rPr>
        <w:t>Diuretics were taken by 106 patients (24%).</w:t>
      </w:r>
      <w:r w:rsidR="00C076F7" w:rsidRPr="00BB524D">
        <w:rPr>
          <w:rFonts w:cs="Arial"/>
          <w:sz w:val="22"/>
        </w:rPr>
        <w:t xml:space="preserve"> </w:t>
      </w:r>
      <w:r w:rsidR="00810B3D" w:rsidRPr="00BB524D">
        <w:rPr>
          <w:rFonts w:cs="Arial"/>
          <w:sz w:val="22"/>
        </w:rPr>
        <w:t xml:space="preserve">Mean </w:t>
      </w:r>
      <w:r w:rsidR="005A1464">
        <w:rPr>
          <w:rFonts w:cs="Arial"/>
          <w:sz w:val="22"/>
        </w:rPr>
        <w:t>SUA</w:t>
      </w:r>
      <w:r w:rsidR="00810B3D" w:rsidRPr="00BB524D">
        <w:rPr>
          <w:rFonts w:cs="Arial"/>
          <w:sz w:val="22"/>
        </w:rPr>
        <w:t xml:space="preserve"> level was 496 (SD </w:t>
      </w:r>
      <w:r w:rsidR="00CD3EE8" w:rsidRPr="00BB524D">
        <w:rPr>
          <w:rFonts w:cs="Arial"/>
          <w:sz w:val="22"/>
        </w:rPr>
        <w:t xml:space="preserve">128). </w:t>
      </w:r>
      <w:r w:rsidR="0054786A">
        <w:rPr>
          <w:rFonts w:cs="Arial"/>
          <w:sz w:val="22"/>
        </w:rPr>
        <w:t xml:space="preserve">Baseline </w:t>
      </w:r>
      <w:r w:rsidR="005A1464">
        <w:rPr>
          <w:rFonts w:cs="Arial"/>
          <w:sz w:val="22"/>
        </w:rPr>
        <w:t>SUA</w:t>
      </w:r>
      <w:r w:rsidR="00E52911" w:rsidRPr="00BB524D">
        <w:rPr>
          <w:rFonts w:cs="Arial"/>
          <w:sz w:val="22"/>
        </w:rPr>
        <w:t xml:space="preserve"> level</w:t>
      </w:r>
      <w:r w:rsidR="00CD3EE8" w:rsidRPr="00BB524D">
        <w:rPr>
          <w:rFonts w:cs="Arial"/>
          <w:sz w:val="22"/>
        </w:rPr>
        <w:t xml:space="preserve"> was ≤360µmol/L in </w:t>
      </w:r>
      <w:r w:rsidR="00EE5A0A" w:rsidRPr="00BB524D">
        <w:rPr>
          <w:rFonts w:cs="Arial"/>
          <w:sz w:val="22"/>
        </w:rPr>
        <w:t>65 (15%) and &lt;300µmol/L in 36 (8%).</w:t>
      </w:r>
      <w:r w:rsidR="0084728C" w:rsidRPr="00BB524D">
        <w:rPr>
          <w:rFonts w:cs="Arial"/>
          <w:sz w:val="22"/>
        </w:rPr>
        <w:t xml:space="preserve"> Median number of </w:t>
      </w:r>
      <w:r w:rsidR="005B690D" w:rsidRPr="00BB524D">
        <w:rPr>
          <w:rFonts w:cs="Arial"/>
          <w:sz w:val="22"/>
        </w:rPr>
        <w:t xml:space="preserve">acute </w:t>
      </w:r>
      <w:r w:rsidR="0084728C" w:rsidRPr="00BB524D">
        <w:rPr>
          <w:rFonts w:cs="Arial"/>
          <w:sz w:val="22"/>
        </w:rPr>
        <w:t>attacks of gout in the preceding 12 mo</w:t>
      </w:r>
      <w:r w:rsidR="007A14EB" w:rsidRPr="00BB524D">
        <w:rPr>
          <w:rFonts w:cs="Arial"/>
          <w:sz w:val="22"/>
        </w:rPr>
        <w:t>nths was 3 (IQR</w:t>
      </w:r>
      <w:r w:rsidR="0084728C" w:rsidRPr="00BB524D">
        <w:rPr>
          <w:rFonts w:cs="Arial"/>
          <w:sz w:val="22"/>
        </w:rPr>
        <w:t xml:space="preserve"> 1, 5)</w:t>
      </w:r>
      <w:r w:rsidR="000364B4" w:rsidRPr="00BB524D">
        <w:rPr>
          <w:rFonts w:cs="Arial"/>
          <w:sz w:val="22"/>
        </w:rPr>
        <w:t>.</w:t>
      </w:r>
    </w:p>
    <w:p w14:paraId="41ECD51B" w14:textId="77777777" w:rsidR="000364B4" w:rsidRPr="00BB524D" w:rsidRDefault="000364B4" w:rsidP="00261844">
      <w:pPr>
        <w:spacing w:after="0" w:line="480" w:lineRule="auto"/>
        <w:rPr>
          <w:rFonts w:cs="Arial"/>
          <w:sz w:val="22"/>
        </w:rPr>
      </w:pPr>
    </w:p>
    <w:p w14:paraId="5135B4DC" w14:textId="5C278991" w:rsidR="00313234" w:rsidRPr="00BB524D" w:rsidRDefault="00313234" w:rsidP="00261844">
      <w:pPr>
        <w:spacing w:after="0" w:line="480" w:lineRule="auto"/>
        <w:rPr>
          <w:rFonts w:cs="Arial"/>
          <w:b/>
          <w:i/>
          <w:sz w:val="22"/>
        </w:rPr>
      </w:pPr>
      <w:r w:rsidRPr="00BB524D">
        <w:rPr>
          <w:rFonts w:cs="Arial"/>
          <w:b/>
          <w:i/>
          <w:sz w:val="22"/>
        </w:rPr>
        <w:t>Audit standards</w:t>
      </w:r>
      <w:r w:rsidR="00C749A0" w:rsidRPr="00BB524D">
        <w:rPr>
          <w:rFonts w:cs="Arial"/>
          <w:b/>
          <w:i/>
          <w:sz w:val="22"/>
        </w:rPr>
        <w:t xml:space="preserve"> - baseline</w:t>
      </w:r>
    </w:p>
    <w:p w14:paraId="79614123" w14:textId="5EA3DDC3" w:rsidR="000364B4" w:rsidRPr="00BB524D" w:rsidRDefault="006B08A7" w:rsidP="00261844">
      <w:pPr>
        <w:spacing w:after="0" w:line="480" w:lineRule="auto"/>
        <w:rPr>
          <w:rFonts w:cs="Arial"/>
          <w:i/>
          <w:sz w:val="22"/>
        </w:rPr>
      </w:pPr>
      <w:r w:rsidRPr="00BB524D">
        <w:rPr>
          <w:rFonts w:cs="Arial"/>
          <w:i/>
          <w:sz w:val="22"/>
        </w:rPr>
        <w:t>AS</w:t>
      </w:r>
      <w:r w:rsidR="000364B4" w:rsidRPr="00BB524D">
        <w:rPr>
          <w:rFonts w:cs="Arial"/>
          <w:i/>
          <w:sz w:val="22"/>
        </w:rPr>
        <w:t>1: Clinical diagnosis is acceptable</w:t>
      </w:r>
    </w:p>
    <w:p w14:paraId="4CBC0D11" w14:textId="63C79590" w:rsidR="000364B4" w:rsidRPr="00BB524D" w:rsidRDefault="006B08A7" w:rsidP="00261844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i/>
          <w:sz w:val="22"/>
        </w:rPr>
        <w:t>AS</w:t>
      </w:r>
      <w:r w:rsidR="000364B4" w:rsidRPr="00BB524D">
        <w:rPr>
          <w:rFonts w:cs="Arial"/>
          <w:i/>
          <w:sz w:val="22"/>
        </w:rPr>
        <w:t xml:space="preserve">2: </w:t>
      </w:r>
      <w:r w:rsidR="00927E4C" w:rsidRPr="00BB524D">
        <w:rPr>
          <w:rFonts w:cs="Arial"/>
          <w:i/>
          <w:sz w:val="22"/>
        </w:rPr>
        <w:t>Definitive diagnosis requires crystal examination</w:t>
      </w:r>
    </w:p>
    <w:p w14:paraId="53FD71DA" w14:textId="41241711" w:rsidR="006B08A7" w:rsidRPr="00BB524D" w:rsidRDefault="00927E4C" w:rsidP="00D92C6C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The diagnosis of gout was made on clinical grounds in </w:t>
      </w:r>
      <w:r w:rsidR="0005386D" w:rsidRPr="00BB524D">
        <w:rPr>
          <w:rFonts w:cs="Arial"/>
          <w:sz w:val="22"/>
        </w:rPr>
        <w:t xml:space="preserve">362 (83%). </w:t>
      </w:r>
      <w:r w:rsidR="00D92C6C" w:rsidRPr="00BB524D">
        <w:rPr>
          <w:rFonts w:cs="Arial"/>
          <w:sz w:val="22"/>
        </w:rPr>
        <w:t xml:space="preserve">One hundred and eight (25%) had clinically-evident tophi and 56 (13%) </w:t>
      </w:r>
      <w:r w:rsidR="00D7419F">
        <w:rPr>
          <w:rFonts w:cs="Arial"/>
          <w:sz w:val="22"/>
        </w:rPr>
        <w:t>had</w:t>
      </w:r>
      <w:r w:rsidR="00D92C6C" w:rsidRPr="00BB524D">
        <w:rPr>
          <w:rFonts w:cs="Arial"/>
          <w:sz w:val="22"/>
        </w:rPr>
        <w:t xml:space="preserve"> radiographic features of gout. </w:t>
      </w:r>
      <w:r w:rsidR="007C1F34">
        <w:rPr>
          <w:rFonts w:cs="Arial"/>
          <w:sz w:val="22"/>
        </w:rPr>
        <w:t>D</w:t>
      </w:r>
      <w:r w:rsidR="006B08A7" w:rsidRPr="00BB524D">
        <w:rPr>
          <w:rFonts w:cs="Arial"/>
          <w:sz w:val="22"/>
        </w:rPr>
        <w:t xml:space="preserve">iagnosis was based on microscopic identification of monosodium urate </w:t>
      </w:r>
      <w:r w:rsidR="00574093" w:rsidRPr="00BB524D">
        <w:rPr>
          <w:rFonts w:cs="Arial"/>
          <w:sz w:val="22"/>
        </w:rPr>
        <w:t xml:space="preserve">(MSU) </w:t>
      </w:r>
      <w:r w:rsidR="006B08A7" w:rsidRPr="00BB524D">
        <w:rPr>
          <w:rFonts w:cs="Arial"/>
          <w:sz w:val="22"/>
        </w:rPr>
        <w:t>crystals in 57 (13%).</w:t>
      </w:r>
    </w:p>
    <w:p w14:paraId="1958B99A" w14:textId="77777777" w:rsidR="006B08A7" w:rsidRPr="00BB524D" w:rsidRDefault="006B08A7" w:rsidP="00D92C6C">
      <w:pPr>
        <w:spacing w:after="0" w:line="480" w:lineRule="auto"/>
        <w:rPr>
          <w:rFonts w:cs="Arial"/>
          <w:sz w:val="22"/>
        </w:rPr>
      </w:pPr>
    </w:p>
    <w:p w14:paraId="31641D78" w14:textId="71EE3AC5" w:rsidR="00420BD8" w:rsidRPr="00BB524D" w:rsidRDefault="00420BD8" w:rsidP="00D92C6C">
      <w:pPr>
        <w:spacing w:after="0" w:line="480" w:lineRule="auto"/>
        <w:rPr>
          <w:rFonts w:cs="Arial"/>
          <w:i/>
          <w:sz w:val="22"/>
        </w:rPr>
      </w:pPr>
      <w:r w:rsidRPr="00BB524D">
        <w:rPr>
          <w:rFonts w:cs="Arial"/>
          <w:i/>
          <w:sz w:val="22"/>
        </w:rPr>
        <w:t>AS3:</w:t>
      </w:r>
      <w:r w:rsidR="00966BC5" w:rsidRPr="00BB524D">
        <w:rPr>
          <w:rFonts w:cs="Arial"/>
          <w:i/>
          <w:sz w:val="22"/>
        </w:rPr>
        <w:t xml:space="preserve"> In patients on diuretic therapy, this should be stopped or the dose reduced if possible</w:t>
      </w:r>
    </w:p>
    <w:p w14:paraId="68CB47F4" w14:textId="2095CD15" w:rsidR="00420BD8" w:rsidRPr="00BB524D" w:rsidRDefault="0052038D" w:rsidP="00D92C6C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Of </w:t>
      </w:r>
      <w:r w:rsidRPr="009C34AC">
        <w:rPr>
          <w:rFonts w:cs="Arial"/>
          <w:sz w:val="22"/>
        </w:rPr>
        <w:t xml:space="preserve">106 patients taking a diuretic, this was stopped or the dose reduced in </w:t>
      </w:r>
      <w:r w:rsidR="00BB4F19" w:rsidRPr="009C34AC">
        <w:rPr>
          <w:rFonts w:cs="Arial"/>
          <w:sz w:val="22"/>
        </w:rPr>
        <w:t>30 (28%</w:t>
      </w:r>
      <w:r w:rsidR="00BB4F19" w:rsidRPr="00DC0421">
        <w:rPr>
          <w:rFonts w:cs="Arial"/>
          <w:sz w:val="22"/>
        </w:rPr>
        <w:t>)</w:t>
      </w:r>
      <w:r w:rsidR="00BB4F19" w:rsidRPr="00BB524D">
        <w:rPr>
          <w:rFonts w:cs="Arial"/>
          <w:sz w:val="22"/>
        </w:rPr>
        <w:t xml:space="preserve">. There were 26 patients taking a diuretic who </w:t>
      </w:r>
      <w:r w:rsidR="00917B7A">
        <w:rPr>
          <w:rFonts w:cs="Arial"/>
          <w:sz w:val="22"/>
        </w:rPr>
        <w:t>did not have</w:t>
      </w:r>
      <w:r w:rsidR="00BB4F19" w:rsidRPr="00BB524D">
        <w:rPr>
          <w:rFonts w:cs="Arial"/>
          <w:sz w:val="22"/>
        </w:rPr>
        <w:t xml:space="preserve"> cardiac or renal failure. Of these, the diuretic was stopped or the dose reduced in </w:t>
      </w:r>
      <w:r w:rsidR="000E4C90" w:rsidRPr="00BB524D">
        <w:rPr>
          <w:rFonts w:cs="Arial"/>
          <w:sz w:val="22"/>
        </w:rPr>
        <w:t>15 (58%).</w:t>
      </w:r>
    </w:p>
    <w:p w14:paraId="5B519166" w14:textId="77777777" w:rsidR="00966BC5" w:rsidRPr="00BB524D" w:rsidRDefault="00966BC5" w:rsidP="00D92C6C">
      <w:pPr>
        <w:spacing w:after="0" w:line="480" w:lineRule="auto"/>
        <w:rPr>
          <w:rFonts w:cs="Arial"/>
          <w:sz w:val="22"/>
        </w:rPr>
      </w:pPr>
    </w:p>
    <w:p w14:paraId="6B8002BD" w14:textId="1E1BF3C9" w:rsidR="00860E04" w:rsidRPr="00BB524D" w:rsidRDefault="00420BD8" w:rsidP="00610374">
      <w:pPr>
        <w:spacing w:after="0" w:line="480" w:lineRule="auto"/>
        <w:rPr>
          <w:rFonts w:cs="Arial"/>
          <w:i/>
          <w:sz w:val="22"/>
        </w:rPr>
      </w:pPr>
      <w:r w:rsidRPr="00BB524D">
        <w:rPr>
          <w:rFonts w:cs="Arial"/>
          <w:i/>
          <w:sz w:val="22"/>
        </w:rPr>
        <w:lastRenderedPageBreak/>
        <w:t>AS4</w:t>
      </w:r>
      <w:r w:rsidR="006B08A7" w:rsidRPr="00BB524D">
        <w:rPr>
          <w:rFonts w:cs="Arial"/>
          <w:i/>
          <w:sz w:val="22"/>
        </w:rPr>
        <w:t>:</w:t>
      </w:r>
      <w:r w:rsidR="00610374" w:rsidRPr="00BB524D">
        <w:rPr>
          <w:rFonts w:cs="Arial"/>
          <w:i/>
          <w:sz w:val="22"/>
        </w:rPr>
        <w:t xml:space="preserve"> Indications for urate-lowering therapy are ≥2 attacks over 1 year, gouty tophi, radiographic damage, </w:t>
      </w:r>
      <w:r w:rsidR="00610374" w:rsidRPr="00BB524D">
        <w:rPr>
          <w:rFonts w:cs="Arial"/>
          <w:i/>
          <w:sz w:val="22"/>
          <w:lang w:val="es-MX"/>
        </w:rPr>
        <w:t>eGFR &lt; 80ml/min</w:t>
      </w:r>
      <w:r w:rsidR="00610374" w:rsidRPr="00BB524D">
        <w:rPr>
          <w:rFonts w:cs="Arial"/>
          <w:i/>
          <w:sz w:val="22"/>
        </w:rPr>
        <w:t>, uric acid renal calculi or continuing diuretic treatment</w:t>
      </w:r>
    </w:p>
    <w:p w14:paraId="2AEEED2C" w14:textId="7905FB9E" w:rsidR="00313234" w:rsidRPr="00BB524D" w:rsidRDefault="00860E04" w:rsidP="00610374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Of 382 patients </w:t>
      </w:r>
      <w:r w:rsidR="007C1F34">
        <w:rPr>
          <w:rFonts w:cs="Arial"/>
          <w:sz w:val="22"/>
        </w:rPr>
        <w:t>with</w:t>
      </w:r>
      <w:r w:rsidRPr="00BB524D">
        <w:rPr>
          <w:rFonts w:cs="Arial"/>
          <w:sz w:val="22"/>
        </w:rPr>
        <w:t xml:space="preserve"> at least one indication for </w:t>
      </w:r>
      <w:r w:rsidR="003B0D40" w:rsidRPr="00BB524D">
        <w:rPr>
          <w:rFonts w:cs="Arial"/>
          <w:sz w:val="22"/>
        </w:rPr>
        <w:t>ULT</w:t>
      </w:r>
      <w:r w:rsidRPr="00BB524D">
        <w:rPr>
          <w:rFonts w:cs="Arial"/>
          <w:sz w:val="22"/>
        </w:rPr>
        <w:t xml:space="preserve">, </w:t>
      </w:r>
      <w:r w:rsidR="00525477" w:rsidRPr="00BB524D">
        <w:rPr>
          <w:rFonts w:cs="Arial"/>
          <w:sz w:val="22"/>
        </w:rPr>
        <w:t>291 (76%) either continued or were commenced on ULT</w:t>
      </w:r>
      <w:r w:rsidR="003B0D40" w:rsidRPr="00BB524D">
        <w:rPr>
          <w:rFonts w:cs="Arial"/>
          <w:sz w:val="22"/>
        </w:rPr>
        <w:t>. For individual indications, the percentage</w:t>
      </w:r>
      <w:r w:rsidR="003C251A">
        <w:rPr>
          <w:rFonts w:cs="Arial"/>
          <w:sz w:val="22"/>
        </w:rPr>
        <w:t>s</w:t>
      </w:r>
      <w:r w:rsidR="003B0D40" w:rsidRPr="00BB524D">
        <w:rPr>
          <w:rFonts w:cs="Arial"/>
          <w:sz w:val="22"/>
        </w:rPr>
        <w:t xml:space="preserve"> continuing</w:t>
      </w:r>
      <w:r w:rsidR="00C355D1">
        <w:rPr>
          <w:rFonts w:cs="Arial"/>
          <w:sz w:val="22"/>
        </w:rPr>
        <w:t xml:space="preserve"> or commencing ULT </w:t>
      </w:r>
      <w:r w:rsidR="00FA2396">
        <w:rPr>
          <w:rFonts w:cs="Arial"/>
          <w:sz w:val="22"/>
        </w:rPr>
        <w:t xml:space="preserve">were: </w:t>
      </w:r>
      <w:r w:rsidR="00E40109">
        <w:rPr>
          <w:rFonts w:cs="Arial"/>
          <w:sz w:val="22"/>
        </w:rPr>
        <w:t xml:space="preserve">tophi 81% (87 out of 108), ≥2 attacks in the last year 79% (207/261), eGFR&lt;80ml/min </w:t>
      </w:r>
      <w:r w:rsidR="00761D44">
        <w:rPr>
          <w:rFonts w:cs="Arial"/>
          <w:sz w:val="22"/>
        </w:rPr>
        <w:t>74% (157/212), continuing diuretic use 71% (56/79), renal calculi 67% (8/12) and radiographic joint damage 66% (37/56)</w:t>
      </w:r>
      <w:r w:rsidR="003C0263" w:rsidRPr="00BB524D">
        <w:rPr>
          <w:rFonts w:cs="Arial"/>
          <w:sz w:val="22"/>
        </w:rPr>
        <w:t xml:space="preserve">. </w:t>
      </w:r>
    </w:p>
    <w:p w14:paraId="3C918C01" w14:textId="77777777" w:rsidR="00313234" w:rsidRPr="00BB524D" w:rsidRDefault="00313234" w:rsidP="00610374">
      <w:pPr>
        <w:spacing w:after="0" w:line="480" w:lineRule="auto"/>
        <w:rPr>
          <w:rFonts w:cs="Arial"/>
          <w:sz w:val="22"/>
        </w:rPr>
      </w:pPr>
    </w:p>
    <w:p w14:paraId="52B6D0E2" w14:textId="20B161AC" w:rsidR="00A33D4A" w:rsidRPr="00BB524D" w:rsidRDefault="00313234" w:rsidP="00A33D4A">
      <w:pPr>
        <w:spacing w:after="0" w:line="480" w:lineRule="auto"/>
        <w:rPr>
          <w:rFonts w:cs="Arial"/>
          <w:i/>
          <w:sz w:val="22"/>
        </w:rPr>
      </w:pPr>
      <w:r w:rsidRPr="00BB524D">
        <w:rPr>
          <w:rFonts w:cs="Arial"/>
          <w:i/>
          <w:sz w:val="22"/>
        </w:rPr>
        <w:t xml:space="preserve">AS5: </w:t>
      </w:r>
      <w:r w:rsidR="00A33D4A" w:rsidRPr="00BB524D">
        <w:rPr>
          <w:rFonts w:cs="Arial"/>
          <w:i/>
          <w:sz w:val="22"/>
        </w:rPr>
        <w:t>Allopurinol should be started at low dose (50-100mg daily)</w:t>
      </w:r>
    </w:p>
    <w:p w14:paraId="407CE184" w14:textId="483EF91C" w:rsidR="002E44D5" w:rsidRPr="00BB524D" w:rsidRDefault="0089130D" w:rsidP="00610374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One hundred and fifty-eight patients were commenced on allopurinol. </w:t>
      </w:r>
      <w:r w:rsidR="00D7371F">
        <w:rPr>
          <w:rFonts w:cs="Arial"/>
          <w:sz w:val="22"/>
        </w:rPr>
        <w:t>T</w:t>
      </w:r>
      <w:r w:rsidR="00005667" w:rsidRPr="00BB524D">
        <w:rPr>
          <w:rFonts w:cs="Arial"/>
          <w:sz w:val="22"/>
        </w:rPr>
        <w:t xml:space="preserve">he starting </w:t>
      </w:r>
      <w:r w:rsidR="003C251A">
        <w:rPr>
          <w:rFonts w:cs="Arial"/>
          <w:sz w:val="22"/>
        </w:rPr>
        <w:t xml:space="preserve">daily </w:t>
      </w:r>
      <w:r w:rsidR="00005667" w:rsidRPr="00BB524D">
        <w:rPr>
          <w:rFonts w:cs="Arial"/>
          <w:sz w:val="22"/>
        </w:rPr>
        <w:t xml:space="preserve">dose was 50mg in </w:t>
      </w:r>
      <w:r w:rsidRPr="00BB524D">
        <w:rPr>
          <w:rFonts w:cs="Arial"/>
          <w:sz w:val="22"/>
        </w:rPr>
        <w:t>ten (6%)</w:t>
      </w:r>
      <w:r w:rsidR="00005667" w:rsidRPr="00BB524D">
        <w:rPr>
          <w:rFonts w:cs="Arial"/>
          <w:sz w:val="22"/>
        </w:rPr>
        <w:t>, 100mg in 129 (82%)</w:t>
      </w:r>
      <w:r w:rsidR="00C34EB0">
        <w:rPr>
          <w:rFonts w:cs="Arial"/>
          <w:sz w:val="22"/>
        </w:rPr>
        <w:t>,</w:t>
      </w:r>
      <w:r w:rsidR="00005667" w:rsidRPr="00BB524D">
        <w:rPr>
          <w:rFonts w:cs="Arial"/>
          <w:sz w:val="22"/>
        </w:rPr>
        <w:t xml:space="preserve"> 300mg in 14 (9%)</w:t>
      </w:r>
      <w:r w:rsidR="00C34EB0">
        <w:rPr>
          <w:rFonts w:cs="Arial"/>
          <w:sz w:val="22"/>
        </w:rPr>
        <w:t>, and</w:t>
      </w:r>
      <w:r w:rsidR="003C251A">
        <w:rPr>
          <w:rFonts w:cs="Arial"/>
          <w:sz w:val="22"/>
        </w:rPr>
        <w:t xml:space="preserve"> </w:t>
      </w:r>
      <w:r w:rsidR="00BA4462" w:rsidRPr="00BB524D">
        <w:rPr>
          <w:rFonts w:cs="Arial"/>
          <w:sz w:val="22"/>
        </w:rPr>
        <w:t xml:space="preserve">unspecified </w:t>
      </w:r>
      <w:r w:rsidR="003C251A">
        <w:rPr>
          <w:rFonts w:cs="Arial"/>
          <w:sz w:val="22"/>
        </w:rPr>
        <w:t xml:space="preserve">in </w:t>
      </w:r>
      <w:r w:rsidR="002E44D5" w:rsidRPr="00BB524D">
        <w:rPr>
          <w:rFonts w:cs="Arial"/>
          <w:sz w:val="22"/>
        </w:rPr>
        <w:t>five (3%).</w:t>
      </w:r>
    </w:p>
    <w:p w14:paraId="7CA7C7F6" w14:textId="77777777" w:rsidR="00FA1C01" w:rsidRPr="00BB524D" w:rsidRDefault="00FA1C01">
      <w:pPr>
        <w:rPr>
          <w:rFonts w:cs="Arial"/>
          <w:sz w:val="22"/>
        </w:rPr>
      </w:pPr>
    </w:p>
    <w:p w14:paraId="11AACA89" w14:textId="77777777" w:rsidR="00FA1C01" w:rsidRPr="00BB524D" w:rsidRDefault="00FA1C01">
      <w:pPr>
        <w:rPr>
          <w:rFonts w:cs="Arial"/>
          <w:i/>
          <w:sz w:val="22"/>
        </w:rPr>
      </w:pPr>
      <w:r w:rsidRPr="00BB524D">
        <w:rPr>
          <w:rFonts w:cs="Arial"/>
          <w:i/>
          <w:sz w:val="22"/>
        </w:rPr>
        <w:t>AS6: Allopurinol should be started at lower doses in patients with renal impairment</w:t>
      </w:r>
    </w:p>
    <w:p w14:paraId="416145B0" w14:textId="5E5E3E72" w:rsidR="00643B3F" w:rsidRPr="00BB524D" w:rsidRDefault="00643B3F" w:rsidP="00E77A36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Of </w:t>
      </w:r>
      <w:r w:rsidR="00134863" w:rsidRPr="00134863">
        <w:rPr>
          <w:rFonts w:cs="Arial"/>
          <w:sz w:val="22"/>
        </w:rPr>
        <w:t>42</w:t>
      </w:r>
      <w:r w:rsidRPr="00BB524D">
        <w:rPr>
          <w:rFonts w:cs="Arial"/>
          <w:sz w:val="22"/>
        </w:rPr>
        <w:t xml:space="preserve"> patients with </w:t>
      </w:r>
      <w:r w:rsidR="0016139E">
        <w:rPr>
          <w:rFonts w:cs="Arial"/>
          <w:sz w:val="22"/>
        </w:rPr>
        <w:t>chronic kidney disease (</w:t>
      </w:r>
      <w:r w:rsidRPr="00BB524D">
        <w:rPr>
          <w:rFonts w:cs="Arial"/>
          <w:sz w:val="22"/>
        </w:rPr>
        <w:t>CKD</w:t>
      </w:r>
      <w:r w:rsidR="0016139E">
        <w:rPr>
          <w:rFonts w:cs="Arial"/>
          <w:sz w:val="22"/>
        </w:rPr>
        <w:t>)</w:t>
      </w:r>
      <w:r w:rsidRPr="00BB524D">
        <w:rPr>
          <w:rFonts w:cs="Arial"/>
          <w:sz w:val="22"/>
        </w:rPr>
        <w:t xml:space="preserve"> stages 3-5 (eGFR&lt;60ml/min) who started allopurinol, the starting </w:t>
      </w:r>
      <w:r w:rsidR="00D14F8C">
        <w:rPr>
          <w:rFonts w:cs="Arial"/>
          <w:sz w:val="22"/>
        </w:rPr>
        <w:t xml:space="preserve">daily </w:t>
      </w:r>
      <w:r w:rsidRPr="00BB524D">
        <w:rPr>
          <w:rFonts w:cs="Arial"/>
          <w:sz w:val="22"/>
        </w:rPr>
        <w:t>dose was 50mg in seven (17%)</w:t>
      </w:r>
      <w:r w:rsidR="00C34EB0">
        <w:rPr>
          <w:rFonts w:cs="Arial"/>
          <w:sz w:val="22"/>
        </w:rPr>
        <w:t>,</w:t>
      </w:r>
      <w:r w:rsidRPr="00BB524D">
        <w:rPr>
          <w:rFonts w:cs="Arial"/>
          <w:sz w:val="22"/>
        </w:rPr>
        <w:t xml:space="preserve"> 100mg in </w:t>
      </w:r>
      <w:r w:rsidR="00830D3A" w:rsidRPr="00BB524D">
        <w:rPr>
          <w:rFonts w:cs="Arial"/>
          <w:sz w:val="22"/>
        </w:rPr>
        <w:t>33 (79%)</w:t>
      </w:r>
      <w:r w:rsidR="00D14F8C">
        <w:rPr>
          <w:rFonts w:cs="Arial"/>
          <w:sz w:val="22"/>
        </w:rPr>
        <w:t xml:space="preserve"> </w:t>
      </w:r>
      <w:r w:rsidR="00FE0CCB">
        <w:rPr>
          <w:rFonts w:cs="Arial"/>
          <w:sz w:val="22"/>
        </w:rPr>
        <w:t>and</w:t>
      </w:r>
      <w:r w:rsidR="00830D3A" w:rsidRPr="00BB524D">
        <w:rPr>
          <w:rFonts w:cs="Arial"/>
          <w:sz w:val="22"/>
        </w:rPr>
        <w:t xml:space="preserve"> </w:t>
      </w:r>
      <w:r w:rsidR="00176F9C">
        <w:rPr>
          <w:rFonts w:cs="Arial"/>
          <w:sz w:val="22"/>
        </w:rPr>
        <w:t>unspecified in t</w:t>
      </w:r>
      <w:r w:rsidR="00830D3A" w:rsidRPr="00BB524D">
        <w:rPr>
          <w:rFonts w:cs="Arial"/>
          <w:sz w:val="22"/>
        </w:rPr>
        <w:t>wo</w:t>
      </w:r>
      <w:r w:rsidR="00FE0CCB">
        <w:rPr>
          <w:rFonts w:cs="Arial"/>
          <w:sz w:val="22"/>
        </w:rPr>
        <w:t xml:space="preserve"> (5%)</w:t>
      </w:r>
      <w:r w:rsidR="00830D3A" w:rsidRPr="00BB524D">
        <w:rPr>
          <w:rFonts w:cs="Arial"/>
          <w:sz w:val="22"/>
        </w:rPr>
        <w:t>.</w:t>
      </w:r>
    </w:p>
    <w:p w14:paraId="4E9DC4F7" w14:textId="6B8415D1" w:rsidR="003333ED" w:rsidRPr="00BB524D" w:rsidRDefault="00176F9C" w:rsidP="00830D3A">
      <w:pPr>
        <w:spacing w:after="0" w:line="480" w:lineRule="auto"/>
        <w:ind w:firstLine="720"/>
        <w:rPr>
          <w:rFonts w:cs="Arial"/>
          <w:sz w:val="22"/>
        </w:rPr>
      </w:pPr>
      <w:r>
        <w:rPr>
          <w:rFonts w:cs="Arial"/>
          <w:sz w:val="22"/>
        </w:rPr>
        <w:t>S</w:t>
      </w:r>
      <w:r w:rsidR="00E77A36" w:rsidRPr="00BB524D">
        <w:rPr>
          <w:rFonts w:cs="Arial"/>
          <w:sz w:val="22"/>
        </w:rPr>
        <w:t>ix patients with CKD stage</w:t>
      </w:r>
      <w:r w:rsidR="00643B3F" w:rsidRPr="00BB524D">
        <w:rPr>
          <w:rFonts w:cs="Arial"/>
          <w:sz w:val="22"/>
        </w:rPr>
        <w:t>s</w:t>
      </w:r>
      <w:r w:rsidR="00E77A36" w:rsidRPr="00BB524D">
        <w:rPr>
          <w:rFonts w:cs="Arial"/>
          <w:sz w:val="22"/>
        </w:rPr>
        <w:t xml:space="preserve"> 4 or 5 (eGFR&lt;30ml/min)</w:t>
      </w:r>
      <w:r w:rsidR="00D14F8C">
        <w:rPr>
          <w:rFonts w:cs="Arial"/>
          <w:sz w:val="22"/>
        </w:rPr>
        <w:t xml:space="preserve"> </w:t>
      </w:r>
      <w:r w:rsidR="00E77A36" w:rsidRPr="00BB524D">
        <w:rPr>
          <w:rFonts w:cs="Arial"/>
          <w:sz w:val="22"/>
        </w:rPr>
        <w:t xml:space="preserve">started allopurinol. Of these, </w:t>
      </w:r>
      <w:r w:rsidR="00CE3B67">
        <w:rPr>
          <w:rFonts w:cs="Arial"/>
          <w:sz w:val="22"/>
        </w:rPr>
        <w:t xml:space="preserve">the starting </w:t>
      </w:r>
      <w:r w:rsidR="00D14F8C">
        <w:rPr>
          <w:rFonts w:cs="Arial"/>
          <w:sz w:val="22"/>
        </w:rPr>
        <w:t xml:space="preserve">daily </w:t>
      </w:r>
      <w:r w:rsidR="00CE3B67">
        <w:rPr>
          <w:rFonts w:cs="Arial"/>
          <w:sz w:val="22"/>
        </w:rPr>
        <w:t xml:space="preserve">dose was 50mg in </w:t>
      </w:r>
      <w:r w:rsidR="00643B3F" w:rsidRPr="00BB524D">
        <w:rPr>
          <w:rFonts w:cs="Arial"/>
          <w:sz w:val="22"/>
        </w:rPr>
        <w:t xml:space="preserve">two (33%) </w:t>
      </w:r>
      <w:r w:rsidR="00CE3B67">
        <w:rPr>
          <w:rFonts w:cs="Arial"/>
          <w:sz w:val="22"/>
        </w:rPr>
        <w:t xml:space="preserve">100mg in </w:t>
      </w:r>
      <w:r w:rsidR="00643B3F" w:rsidRPr="00BB524D">
        <w:rPr>
          <w:rFonts w:cs="Arial"/>
          <w:sz w:val="22"/>
        </w:rPr>
        <w:t xml:space="preserve">three (50%) </w:t>
      </w:r>
      <w:r w:rsidR="00F909E9">
        <w:rPr>
          <w:rFonts w:cs="Arial"/>
          <w:sz w:val="22"/>
        </w:rPr>
        <w:t>and</w:t>
      </w:r>
      <w:r w:rsidR="002110D1">
        <w:rPr>
          <w:rFonts w:cs="Arial"/>
          <w:sz w:val="22"/>
        </w:rPr>
        <w:t xml:space="preserve"> unspecified in o</w:t>
      </w:r>
      <w:r w:rsidR="00643B3F" w:rsidRPr="00BB524D">
        <w:rPr>
          <w:rFonts w:cs="Arial"/>
          <w:sz w:val="22"/>
        </w:rPr>
        <w:t xml:space="preserve">ne </w:t>
      </w:r>
      <w:r w:rsidR="00F909E9">
        <w:rPr>
          <w:rFonts w:cs="Arial"/>
          <w:sz w:val="22"/>
        </w:rPr>
        <w:t>(17%)</w:t>
      </w:r>
      <w:r w:rsidR="00643B3F" w:rsidRPr="00BB524D">
        <w:rPr>
          <w:rFonts w:cs="Arial"/>
          <w:sz w:val="22"/>
        </w:rPr>
        <w:t>.</w:t>
      </w:r>
    </w:p>
    <w:p w14:paraId="52DA5D20" w14:textId="77777777" w:rsidR="003333ED" w:rsidRPr="00BB524D" w:rsidRDefault="003333ED" w:rsidP="003333ED">
      <w:pPr>
        <w:spacing w:after="0" w:line="480" w:lineRule="auto"/>
        <w:rPr>
          <w:rFonts w:cs="Arial"/>
          <w:sz w:val="22"/>
        </w:rPr>
      </w:pPr>
    </w:p>
    <w:p w14:paraId="0E66A7F9" w14:textId="007BA6C7" w:rsidR="003333ED" w:rsidRPr="00BB524D" w:rsidRDefault="00377F4C" w:rsidP="003333ED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i/>
          <w:sz w:val="22"/>
        </w:rPr>
        <w:t>AS7</w:t>
      </w:r>
      <w:r w:rsidR="003333ED" w:rsidRPr="00BB524D">
        <w:rPr>
          <w:rFonts w:cs="Arial"/>
          <w:i/>
          <w:sz w:val="22"/>
        </w:rPr>
        <w:t xml:space="preserve">: Colchicine or NSAID prophylaxis should be co-prescribed at ULT initiation </w:t>
      </w:r>
    </w:p>
    <w:p w14:paraId="04A0A7F9" w14:textId="2705F0BE" w:rsidR="00D421AA" w:rsidRPr="00BB524D" w:rsidRDefault="0046754E" w:rsidP="00CB7CDE">
      <w:pPr>
        <w:spacing w:after="0" w:line="480" w:lineRule="auto"/>
        <w:rPr>
          <w:rFonts w:cs="Arial"/>
          <w:i/>
          <w:sz w:val="22"/>
        </w:rPr>
      </w:pPr>
      <w:r w:rsidRPr="00BB524D">
        <w:rPr>
          <w:rFonts w:cs="Arial"/>
          <w:sz w:val="22"/>
        </w:rPr>
        <w:t>ULT was initiated in 199 patients</w:t>
      </w:r>
      <w:r w:rsidR="003333ED" w:rsidRPr="00BB524D">
        <w:rPr>
          <w:rFonts w:cs="Arial"/>
          <w:sz w:val="22"/>
        </w:rPr>
        <w:t xml:space="preserve">. Of these, </w:t>
      </w:r>
      <w:r w:rsidR="008B3C64" w:rsidRPr="00BB524D">
        <w:rPr>
          <w:rFonts w:cs="Arial"/>
          <w:sz w:val="22"/>
        </w:rPr>
        <w:t xml:space="preserve">187 (94%) were co-prescribed prophylaxis. </w:t>
      </w:r>
      <w:r w:rsidR="00247DC5">
        <w:rPr>
          <w:rFonts w:cs="Arial"/>
          <w:sz w:val="22"/>
        </w:rPr>
        <w:t>C</w:t>
      </w:r>
      <w:r w:rsidR="00933FF7" w:rsidRPr="00BB524D">
        <w:rPr>
          <w:rFonts w:cs="Arial"/>
          <w:sz w:val="22"/>
        </w:rPr>
        <w:t xml:space="preserve">olchicine </w:t>
      </w:r>
      <w:r w:rsidR="00247DC5">
        <w:rPr>
          <w:rFonts w:cs="Arial"/>
          <w:sz w:val="22"/>
        </w:rPr>
        <w:t xml:space="preserve">was most commonly used </w:t>
      </w:r>
      <w:r w:rsidR="00933FF7" w:rsidRPr="00BB524D">
        <w:rPr>
          <w:rFonts w:cs="Arial"/>
          <w:sz w:val="22"/>
        </w:rPr>
        <w:t>(122, 61%) followed by a NSAID (</w:t>
      </w:r>
      <w:r w:rsidR="003A2233" w:rsidRPr="00BB524D">
        <w:rPr>
          <w:rFonts w:cs="Arial"/>
          <w:sz w:val="22"/>
        </w:rPr>
        <w:t>53, 27%), oral corticosteroids (31, 16%) and intramuscular corticosteroids (13, 7%).</w:t>
      </w:r>
    </w:p>
    <w:p w14:paraId="40EB0519" w14:textId="77777777" w:rsidR="00D421AA" w:rsidRPr="00BB524D" w:rsidRDefault="00D421AA" w:rsidP="00CB7CDE">
      <w:pPr>
        <w:spacing w:after="0" w:line="480" w:lineRule="auto"/>
        <w:rPr>
          <w:rFonts w:cs="Arial"/>
          <w:i/>
          <w:sz w:val="22"/>
        </w:rPr>
      </w:pPr>
    </w:p>
    <w:p w14:paraId="2399DEBA" w14:textId="2258BA2D" w:rsidR="00CB7CDE" w:rsidRPr="00BB524D" w:rsidRDefault="00CB7CDE" w:rsidP="00CB7CDE">
      <w:pPr>
        <w:spacing w:after="0" w:line="480" w:lineRule="auto"/>
        <w:rPr>
          <w:rFonts w:cs="Arial"/>
          <w:i/>
          <w:sz w:val="22"/>
        </w:rPr>
      </w:pPr>
      <w:r w:rsidRPr="00BB524D">
        <w:rPr>
          <w:rFonts w:cs="Arial"/>
          <w:i/>
          <w:sz w:val="22"/>
        </w:rPr>
        <w:t>AS8: Following allopurinol intolerance or inefficacy, treat gout with sulphinpyrazone, benzbromarone, probenecid or febuxostat</w:t>
      </w:r>
    </w:p>
    <w:p w14:paraId="217D068D" w14:textId="3451FDF4" w:rsidR="0005610A" w:rsidRPr="00BB524D" w:rsidRDefault="00B8444D" w:rsidP="00CB7CDE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lastRenderedPageBreak/>
        <w:t>Sulphi</w:t>
      </w:r>
      <w:r w:rsidR="002E1FC6" w:rsidRPr="00BB524D">
        <w:rPr>
          <w:rFonts w:cs="Arial"/>
          <w:sz w:val="22"/>
        </w:rPr>
        <w:t>npyrazone</w:t>
      </w:r>
      <w:r w:rsidRPr="00BB524D">
        <w:rPr>
          <w:rFonts w:cs="Arial"/>
          <w:sz w:val="22"/>
        </w:rPr>
        <w:t xml:space="preserve"> w</w:t>
      </w:r>
      <w:r w:rsidR="002E1FC6" w:rsidRPr="00BB524D">
        <w:rPr>
          <w:rFonts w:cs="Arial"/>
          <w:sz w:val="22"/>
        </w:rPr>
        <w:t>as</w:t>
      </w:r>
      <w:r w:rsidRPr="00BB524D">
        <w:rPr>
          <w:rFonts w:cs="Arial"/>
          <w:sz w:val="22"/>
        </w:rPr>
        <w:t xml:space="preserve"> started in two</w:t>
      </w:r>
      <w:r w:rsidR="002E1FC6" w:rsidRPr="00BB524D">
        <w:rPr>
          <w:rFonts w:cs="Arial"/>
          <w:sz w:val="22"/>
        </w:rPr>
        <w:t xml:space="preserve"> patients</w:t>
      </w:r>
      <w:r w:rsidR="004A55CA">
        <w:rPr>
          <w:rFonts w:cs="Arial"/>
          <w:sz w:val="22"/>
        </w:rPr>
        <w:t>,</w:t>
      </w:r>
      <w:r w:rsidR="002E1FC6" w:rsidRPr="00BB524D">
        <w:rPr>
          <w:rFonts w:cs="Arial"/>
          <w:sz w:val="22"/>
        </w:rPr>
        <w:t xml:space="preserve"> </w:t>
      </w:r>
      <w:r w:rsidR="004A55CA">
        <w:rPr>
          <w:rFonts w:cs="Arial"/>
          <w:sz w:val="22"/>
        </w:rPr>
        <w:t>b</w:t>
      </w:r>
      <w:r w:rsidR="002E1FC6" w:rsidRPr="00BB524D">
        <w:rPr>
          <w:rFonts w:cs="Arial"/>
          <w:sz w:val="22"/>
        </w:rPr>
        <w:t xml:space="preserve">oth had </w:t>
      </w:r>
      <w:r w:rsidR="00D70B88" w:rsidRPr="00BB524D">
        <w:rPr>
          <w:rFonts w:cs="Arial"/>
          <w:sz w:val="22"/>
        </w:rPr>
        <w:t xml:space="preserve">previously </w:t>
      </w:r>
      <w:r w:rsidR="002E1FC6" w:rsidRPr="00BB524D">
        <w:rPr>
          <w:rFonts w:cs="Arial"/>
          <w:sz w:val="22"/>
        </w:rPr>
        <w:t xml:space="preserve">taken allopurinol. Of </w:t>
      </w:r>
      <w:r w:rsidRPr="00BB524D">
        <w:rPr>
          <w:rFonts w:cs="Arial"/>
          <w:sz w:val="22"/>
        </w:rPr>
        <w:t xml:space="preserve">four </w:t>
      </w:r>
      <w:r w:rsidR="002E1FC6" w:rsidRPr="00BB524D">
        <w:rPr>
          <w:rFonts w:cs="Arial"/>
          <w:sz w:val="22"/>
        </w:rPr>
        <w:t xml:space="preserve">patients started on benzbromarone, 3 (75%) had </w:t>
      </w:r>
      <w:r w:rsidR="00D70B88" w:rsidRPr="00BB524D">
        <w:rPr>
          <w:rFonts w:cs="Arial"/>
          <w:sz w:val="22"/>
        </w:rPr>
        <w:t xml:space="preserve">previously </w:t>
      </w:r>
      <w:r w:rsidR="002E1FC6" w:rsidRPr="00BB524D">
        <w:rPr>
          <w:rFonts w:cs="Arial"/>
          <w:sz w:val="22"/>
        </w:rPr>
        <w:t xml:space="preserve">taken allopurinol. Forty-four patients were commenced on febuxostat. Of these, </w:t>
      </w:r>
      <w:r w:rsidR="0005610A" w:rsidRPr="00BB524D">
        <w:rPr>
          <w:rFonts w:cs="Arial"/>
          <w:sz w:val="22"/>
        </w:rPr>
        <w:t xml:space="preserve">37 (84%) had </w:t>
      </w:r>
      <w:r w:rsidR="00D70B88" w:rsidRPr="00BB524D">
        <w:rPr>
          <w:rFonts w:cs="Arial"/>
          <w:sz w:val="22"/>
        </w:rPr>
        <w:t xml:space="preserve">previously </w:t>
      </w:r>
      <w:r w:rsidR="0005610A" w:rsidRPr="00BB524D">
        <w:rPr>
          <w:rFonts w:cs="Arial"/>
          <w:sz w:val="22"/>
        </w:rPr>
        <w:t>taken allopurinol. No</w:t>
      </w:r>
      <w:r w:rsidR="00F909E9">
        <w:rPr>
          <w:rFonts w:cs="Arial"/>
          <w:sz w:val="22"/>
        </w:rPr>
        <w:t>ne</w:t>
      </w:r>
      <w:r w:rsidR="0005610A" w:rsidRPr="00BB524D">
        <w:rPr>
          <w:rFonts w:cs="Arial"/>
          <w:sz w:val="22"/>
        </w:rPr>
        <w:t xml:space="preserve"> were commenced on probeneci</w:t>
      </w:r>
      <w:r w:rsidRPr="00BB524D">
        <w:rPr>
          <w:rFonts w:cs="Arial"/>
          <w:sz w:val="22"/>
        </w:rPr>
        <w:t>d</w:t>
      </w:r>
      <w:r w:rsidR="00D421AA" w:rsidRPr="00BB524D">
        <w:rPr>
          <w:rFonts w:cs="Arial"/>
          <w:sz w:val="22"/>
        </w:rPr>
        <w:t>.</w:t>
      </w:r>
    </w:p>
    <w:p w14:paraId="111EEFC3" w14:textId="77777777" w:rsidR="0005610A" w:rsidRPr="00BB524D" w:rsidRDefault="0005610A" w:rsidP="00F546D9">
      <w:pPr>
        <w:spacing w:after="0" w:line="480" w:lineRule="auto"/>
        <w:rPr>
          <w:rFonts w:cs="Arial"/>
          <w:sz w:val="22"/>
        </w:rPr>
      </w:pPr>
    </w:p>
    <w:p w14:paraId="17B6D250" w14:textId="77777777" w:rsidR="001372E5" w:rsidRPr="00BB524D" w:rsidRDefault="0005610A" w:rsidP="00F546D9">
      <w:pPr>
        <w:spacing w:after="0" w:line="480" w:lineRule="auto"/>
        <w:rPr>
          <w:rFonts w:cs="Arial"/>
          <w:i/>
          <w:sz w:val="22"/>
        </w:rPr>
      </w:pPr>
      <w:r w:rsidRPr="00BB524D">
        <w:rPr>
          <w:rFonts w:cs="Arial"/>
          <w:i/>
          <w:sz w:val="22"/>
        </w:rPr>
        <w:t xml:space="preserve">AS9: </w:t>
      </w:r>
      <w:r w:rsidR="00F546D9" w:rsidRPr="00BB524D">
        <w:rPr>
          <w:rFonts w:cs="Arial"/>
          <w:i/>
          <w:sz w:val="22"/>
        </w:rPr>
        <w:t>Febuxostat is not recommended for patients with ischaemic heart disease or congestive cardiac failure</w:t>
      </w:r>
    </w:p>
    <w:p w14:paraId="73D56D38" w14:textId="48884F35" w:rsidR="00C749A0" w:rsidRPr="00BB524D" w:rsidRDefault="001372E5" w:rsidP="00F546D9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Of 44 patients commenced on febuxostat, 8 (18%) had ischaemic heart disease </w:t>
      </w:r>
      <w:r w:rsidR="00682B61" w:rsidRPr="00BB524D">
        <w:rPr>
          <w:rFonts w:cs="Arial"/>
          <w:sz w:val="22"/>
        </w:rPr>
        <w:t>or congestive cardiac failure.</w:t>
      </w:r>
    </w:p>
    <w:p w14:paraId="734112D5" w14:textId="77777777" w:rsidR="00C749A0" w:rsidRPr="00BB524D" w:rsidRDefault="00C749A0" w:rsidP="00F546D9">
      <w:pPr>
        <w:spacing w:after="0" w:line="480" w:lineRule="auto"/>
        <w:rPr>
          <w:rFonts w:cs="Arial"/>
          <w:sz w:val="22"/>
        </w:rPr>
      </w:pPr>
    </w:p>
    <w:p w14:paraId="53F6AC54" w14:textId="3765CD4C" w:rsidR="00203361" w:rsidRPr="00BB524D" w:rsidRDefault="00203361" w:rsidP="00F546D9">
      <w:pPr>
        <w:spacing w:after="0" w:line="480" w:lineRule="auto"/>
        <w:rPr>
          <w:rFonts w:cs="Arial"/>
          <w:b/>
          <w:i/>
          <w:sz w:val="22"/>
        </w:rPr>
      </w:pPr>
      <w:r w:rsidRPr="00BB524D">
        <w:rPr>
          <w:rFonts w:cs="Arial"/>
          <w:b/>
          <w:i/>
          <w:sz w:val="22"/>
        </w:rPr>
        <w:t xml:space="preserve">Planned </w:t>
      </w:r>
      <w:r w:rsidR="00E55A1E" w:rsidRPr="00BB524D">
        <w:rPr>
          <w:rFonts w:cs="Arial"/>
          <w:b/>
          <w:i/>
          <w:sz w:val="22"/>
        </w:rPr>
        <w:t xml:space="preserve">clinic </w:t>
      </w:r>
      <w:r w:rsidRPr="00BB524D">
        <w:rPr>
          <w:rFonts w:cs="Arial"/>
          <w:b/>
          <w:i/>
          <w:sz w:val="22"/>
        </w:rPr>
        <w:t>follow-up</w:t>
      </w:r>
      <w:r w:rsidR="00E55A1E" w:rsidRPr="00BB524D">
        <w:rPr>
          <w:rFonts w:cs="Arial"/>
          <w:b/>
          <w:i/>
          <w:sz w:val="22"/>
        </w:rPr>
        <w:t xml:space="preserve"> appointment</w:t>
      </w:r>
    </w:p>
    <w:p w14:paraId="393DE34A" w14:textId="109753AF" w:rsidR="00203361" w:rsidRPr="00BB524D" w:rsidRDefault="00140416" w:rsidP="00F546D9">
      <w:pPr>
        <w:spacing w:after="0" w:line="480" w:lineRule="auto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7D6990" w:rsidRPr="00BB524D">
        <w:rPr>
          <w:rFonts w:cs="Arial"/>
          <w:sz w:val="22"/>
        </w:rPr>
        <w:t xml:space="preserve"> follow-up appointment </w:t>
      </w:r>
      <w:r w:rsidR="003E6A72" w:rsidRPr="00BB524D">
        <w:rPr>
          <w:rFonts w:cs="Arial"/>
          <w:sz w:val="22"/>
        </w:rPr>
        <w:t xml:space="preserve">in rheumatology was </w:t>
      </w:r>
      <w:r w:rsidR="00445C30">
        <w:rPr>
          <w:rFonts w:cs="Arial"/>
          <w:sz w:val="22"/>
        </w:rPr>
        <w:t>proposed</w:t>
      </w:r>
      <w:r w:rsidR="003E6A72" w:rsidRPr="00BB524D">
        <w:rPr>
          <w:rFonts w:cs="Arial"/>
          <w:sz w:val="22"/>
        </w:rPr>
        <w:t xml:space="preserve"> for </w:t>
      </w:r>
      <w:r w:rsidR="00000EFE" w:rsidRPr="00BB524D">
        <w:rPr>
          <w:rFonts w:cs="Arial"/>
          <w:sz w:val="22"/>
        </w:rPr>
        <w:t>316 patients (73</w:t>
      </w:r>
      <w:r w:rsidR="003E6A72" w:rsidRPr="00BB524D">
        <w:rPr>
          <w:rFonts w:cs="Arial"/>
          <w:sz w:val="22"/>
        </w:rPr>
        <w:t>%)</w:t>
      </w:r>
      <w:r w:rsidR="00000EFE" w:rsidRPr="00BB524D">
        <w:rPr>
          <w:rFonts w:cs="Arial"/>
          <w:sz w:val="22"/>
        </w:rPr>
        <w:t xml:space="preserve">. </w:t>
      </w:r>
      <w:r w:rsidR="003E6A72" w:rsidRPr="00BB524D">
        <w:rPr>
          <w:rFonts w:cs="Arial"/>
          <w:sz w:val="22"/>
        </w:rPr>
        <w:t xml:space="preserve"> </w:t>
      </w:r>
      <w:r w:rsidR="006A7504" w:rsidRPr="00BB524D">
        <w:rPr>
          <w:rFonts w:cs="Arial"/>
          <w:sz w:val="22"/>
        </w:rPr>
        <w:t xml:space="preserve">Ninety-two patients (21%) were discharged to primary care. Follow-up was left “open”, to be arranged according </w:t>
      </w:r>
      <w:r w:rsidR="005827FF" w:rsidRPr="00BB524D">
        <w:rPr>
          <w:rFonts w:cs="Arial"/>
          <w:sz w:val="22"/>
        </w:rPr>
        <w:t xml:space="preserve">to </w:t>
      </w:r>
      <w:r w:rsidR="006A7504" w:rsidRPr="00BB524D">
        <w:rPr>
          <w:rFonts w:cs="Arial"/>
          <w:sz w:val="22"/>
        </w:rPr>
        <w:t xml:space="preserve">the patient’s need, in 23 (5%). </w:t>
      </w:r>
    </w:p>
    <w:p w14:paraId="7E8F428D" w14:textId="77777777" w:rsidR="00203361" w:rsidRPr="00BB524D" w:rsidRDefault="00203361" w:rsidP="00F546D9">
      <w:pPr>
        <w:spacing w:after="0" w:line="480" w:lineRule="auto"/>
        <w:rPr>
          <w:rFonts w:cs="Arial"/>
          <w:sz w:val="22"/>
        </w:rPr>
      </w:pPr>
    </w:p>
    <w:p w14:paraId="6828456C" w14:textId="77777777" w:rsidR="00C749A0" w:rsidRPr="00BB524D" w:rsidRDefault="00C749A0" w:rsidP="00F546D9">
      <w:pPr>
        <w:spacing w:after="0" w:line="480" w:lineRule="auto"/>
        <w:rPr>
          <w:rFonts w:cs="Arial"/>
          <w:b/>
          <w:i/>
          <w:sz w:val="22"/>
        </w:rPr>
      </w:pPr>
      <w:r w:rsidRPr="00BB524D">
        <w:rPr>
          <w:rFonts w:cs="Arial"/>
          <w:b/>
          <w:i/>
          <w:sz w:val="22"/>
        </w:rPr>
        <w:t>12-month follow-up</w:t>
      </w:r>
    </w:p>
    <w:p w14:paraId="3C86C6FB" w14:textId="156B611A" w:rsidR="003F61CB" w:rsidRPr="00BB524D" w:rsidRDefault="00C749A0" w:rsidP="00F546D9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Twelve-month follow-up data were received for 219 patients (50%). </w:t>
      </w:r>
      <w:r w:rsidR="00806A3C">
        <w:rPr>
          <w:rFonts w:cs="Arial"/>
          <w:sz w:val="22"/>
        </w:rPr>
        <w:t>These p</w:t>
      </w:r>
      <w:r w:rsidR="004B41FC" w:rsidRPr="00BB524D">
        <w:rPr>
          <w:rFonts w:cs="Arial"/>
          <w:sz w:val="22"/>
        </w:rPr>
        <w:t xml:space="preserve">atients </w:t>
      </w:r>
      <w:r w:rsidR="00977EF1" w:rsidRPr="00BB524D">
        <w:rPr>
          <w:rFonts w:cs="Arial"/>
          <w:sz w:val="22"/>
        </w:rPr>
        <w:t>had tophi at baseline more frequently than those without follow-up data</w:t>
      </w:r>
      <w:r w:rsidR="00A4047F" w:rsidRPr="00BB524D">
        <w:rPr>
          <w:rFonts w:cs="Arial"/>
          <w:sz w:val="22"/>
        </w:rPr>
        <w:t xml:space="preserve"> (29% versus 21%) but did not differ by age, gender, </w:t>
      </w:r>
      <w:r w:rsidR="008927C6" w:rsidRPr="00BB524D">
        <w:rPr>
          <w:rFonts w:cs="Arial"/>
          <w:sz w:val="22"/>
        </w:rPr>
        <w:t>number of attacks in the 12 months preceding baseline</w:t>
      </w:r>
      <w:r w:rsidR="003F61CB" w:rsidRPr="00BB524D">
        <w:rPr>
          <w:rFonts w:cs="Arial"/>
          <w:sz w:val="22"/>
        </w:rPr>
        <w:t xml:space="preserve">, </w:t>
      </w:r>
      <w:r w:rsidR="00D45472">
        <w:rPr>
          <w:rFonts w:cs="Arial"/>
          <w:sz w:val="22"/>
        </w:rPr>
        <w:t xml:space="preserve">previous </w:t>
      </w:r>
      <w:r w:rsidR="003F61CB" w:rsidRPr="00BB524D">
        <w:rPr>
          <w:rFonts w:cs="Arial"/>
          <w:sz w:val="22"/>
        </w:rPr>
        <w:t>allopurinol</w:t>
      </w:r>
      <w:r w:rsidR="00894CDC">
        <w:rPr>
          <w:rFonts w:cs="Arial"/>
          <w:sz w:val="22"/>
        </w:rPr>
        <w:t xml:space="preserve"> use</w:t>
      </w:r>
      <w:r w:rsidR="003F61CB" w:rsidRPr="00BB524D">
        <w:rPr>
          <w:rFonts w:cs="Arial"/>
          <w:sz w:val="22"/>
        </w:rPr>
        <w:t xml:space="preserve">, </w:t>
      </w:r>
      <w:r w:rsidR="00697D19">
        <w:rPr>
          <w:rFonts w:cs="Arial"/>
          <w:sz w:val="22"/>
        </w:rPr>
        <w:t xml:space="preserve">or </w:t>
      </w:r>
      <w:r w:rsidR="003F61CB" w:rsidRPr="00BB524D">
        <w:rPr>
          <w:rFonts w:cs="Arial"/>
          <w:sz w:val="22"/>
        </w:rPr>
        <w:t xml:space="preserve">baseline </w:t>
      </w:r>
      <w:r w:rsidR="00894CDC">
        <w:rPr>
          <w:rFonts w:cs="Arial"/>
          <w:sz w:val="22"/>
        </w:rPr>
        <w:t>SUA</w:t>
      </w:r>
      <w:r w:rsidR="00697D19">
        <w:rPr>
          <w:rFonts w:cs="Arial"/>
          <w:sz w:val="22"/>
        </w:rPr>
        <w:t xml:space="preserve"> or</w:t>
      </w:r>
      <w:r w:rsidR="009A208C" w:rsidRPr="00BB524D">
        <w:rPr>
          <w:rFonts w:cs="Arial"/>
          <w:sz w:val="22"/>
        </w:rPr>
        <w:t xml:space="preserve"> </w:t>
      </w:r>
      <w:r w:rsidR="003F61CB" w:rsidRPr="00BB524D">
        <w:rPr>
          <w:rFonts w:cs="Arial"/>
          <w:sz w:val="22"/>
        </w:rPr>
        <w:t>renal function.</w:t>
      </w:r>
      <w:r w:rsidR="00D72CC8" w:rsidRPr="00BB524D">
        <w:rPr>
          <w:rFonts w:cs="Arial"/>
          <w:sz w:val="22"/>
        </w:rPr>
        <w:t xml:space="preserve"> </w:t>
      </w:r>
    </w:p>
    <w:p w14:paraId="3B039DBB" w14:textId="77777777" w:rsidR="003F61CB" w:rsidRPr="00BB524D" w:rsidRDefault="003F61CB" w:rsidP="00F546D9">
      <w:pPr>
        <w:spacing w:after="0" w:line="480" w:lineRule="auto"/>
        <w:rPr>
          <w:rFonts w:cs="Arial"/>
          <w:sz w:val="22"/>
        </w:rPr>
      </w:pPr>
    </w:p>
    <w:p w14:paraId="2E8B0B50" w14:textId="67479472" w:rsidR="009A208C" w:rsidRPr="00BB524D" w:rsidRDefault="009A208C" w:rsidP="009A208C">
      <w:pPr>
        <w:spacing w:after="0" w:line="480" w:lineRule="auto"/>
        <w:rPr>
          <w:rFonts w:cs="Arial"/>
          <w:b/>
          <w:i/>
          <w:sz w:val="22"/>
        </w:rPr>
      </w:pPr>
      <w:r w:rsidRPr="00BB524D">
        <w:rPr>
          <w:rFonts w:cs="Arial"/>
          <w:b/>
          <w:i/>
          <w:sz w:val="22"/>
        </w:rPr>
        <w:t>Audit standards – 12-month follow-up</w:t>
      </w:r>
    </w:p>
    <w:p w14:paraId="40F9DF6B" w14:textId="4B50B49C" w:rsidR="00E85DFF" w:rsidRPr="00BB524D" w:rsidRDefault="00C37237" w:rsidP="00F546D9">
      <w:pPr>
        <w:spacing w:after="0" w:line="480" w:lineRule="auto"/>
        <w:rPr>
          <w:rFonts w:cs="Arial"/>
          <w:i/>
          <w:sz w:val="22"/>
        </w:rPr>
      </w:pPr>
      <w:r w:rsidRPr="00BB524D">
        <w:rPr>
          <w:rFonts w:cs="Arial"/>
          <w:i/>
          <w:sz w:val="22"/>
        </w:rPr>
        <w:t xml:space="preserve">AS10: </w:t>
      </w:r>
      <w:r w:rsidR="00E85DFF" w:rsidRPr="00BB524D">
        <w:rPr>
          <w:rFonts w:cs="Arial"/>
          <w:i/>
          <w:sz w:val="22"/>
        </w:rPr>
        <w:t>Target serum ur</w:t>
      </w:r>
      <w:r w:rsidR="00A50D27">
        <w:rPr>
          <w:rFonts w:cs="Arial"/>
          <w:i/>
          <w:sz w:val="22"/>
        </w:rPr>
        <w:t>ic acid</w:t>
      </w:r>
      <w:r w:rsidR="00E85DFF" w:rsidRPr="00BB524D">
        <w:rPr>
          <w:rFonts w:cs="Arial"/>
          <w:i/>
          <w:sz w:val="22"/>
        </w:rPr>
        <w:t xml:space="preserve"> level is ≤360</w:t>
      </w:r>
      <w:r w:rsidR="00E85DFF" w:rsidRPr="00BB524D">
        <w:rPr>
          <w:rFonts w:cs="Arial"/>
          <w:i/>
          <w:sz w:val="22"/>
        </w:rPr>
        <w:sym w:font="Symbol" w:char="F06D"/>
      </w:r>
      <w:r w:rsidR="00E85DFF" w:rsidRPr="00BB524D">
        <w:rPr>
          <w:rFonts w:cs="Arial"/>
          <w:i/>
          <w:sz w:val="22"/>
        </w:rPr>
        <w:t>mol/L</w:t>
      </w:r>
    </w:p>
    <w:p w14:paraId="2EC94E84" w14:textId="59D3A885" w:rsidR="00E85DFF" w:rsidRPr="00BB524D" w:rsidRDefault="00A50D27" w:rsidP="00F546D9">
      <w:pPr>
        <w:spacing w:after="0" w:line="480" w:lineRule="auto"/>
        <w:rPr>
          <w:rFonts w:cs="Arial"/>
          <w:i/>
          <w:sz w:val="22"/>
        </w:rPr>
      </w:pPr>
      <w:r>
        <w:rPr>
          <w:rFonts w:cs="Arial"/>
          <w:i/>
          <w:sz w:val="22"/>
        </w:rPr>
        <w:t>AS11: Target serum uric acid</w:t>
      </w:r>
      <w:r w:rsidR="00E85DFF" w:rsidRPr="00BB524D">
        <w:rPr>
          <w:rFonts w:cs="Arial"/>
          <w:i/>
          <w:sz w:val="22"/>
        </w:rPr>
        <w:t xml:space="preserve"> level is &lt;300</w:t>
      </w:r>
      <w:r w:rsidR="00E85DFF" w:rsidRPr="00BB524D">
        <w:rPr>
          <w:rFonts w:cs="Arial"/>
          <w:i/>
          <w:sz w:val="22"/>
        </w:rPr>
        <w:sym w:font="Symbol" w:char="F06D"/>
      </w:r>
      <w:r w:rsidR="00E85DFF" w:rsidRPr="00BB524D">
        <w:rPr>
          <w:rFonts w:cs="Arial"/>
          <w:i/>
          <w:sz w:val="22"/>
        </w:rPr>
        <w:t>mol/L</w:t>
      </w:r>
    </w:p>
    <w:p w14:paraId="3DC87E2D" w14:textId="6ADA3B45" w:rsidR="009F12CF" w:rsidRPr="00BB524D" w:rsidRDefault="00E85DFF" w:rsidP="009F12CF">
      <w:pPr>
        <w:spacing w:after="0" w:line="480" w:lineRule="auto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Of 219 patients with 12-month follow-up data, </w:t>
      </w:r>
      <w:r w:rsidR="00133168" w:rsidRPr="00BB524D">
        <w:rPr>
          <w:rFonts w:cs="Arial"/>
          <w:sz w:val="22"/>
        </w:rPr>
        <w:t xml:space="preserve">a follow-up </w:t>
      </w:r>
      <w:r w:rsidR="00D45472">
        <w:rPr>
          <w:rFonts w:cs="Arial"/>
          <w:sz w:val="22"/>
        </w:rPr>
        <w:t>SUA</w:t>
      </w:r>
      <w:r w:rsidR="00024486">
        <w:rPr>
          <w:rFonts w:cs="Arial"/>
          <w:sz w:val="22"/>
        </w:rPr>
        <w:t xml:space="preserve"> level was available for 157 (72</w:t>
      </w:r>
      <w:r w:rsidR="00133168" w:rsidRPr="00BB524D">
        <w:rPr>
          <w:rFonts w:cs="Arial"/>
          <w:sz w:val="22"/>
        </w:rPr>
        <w:t>%)</w:t>
      </w:r>
      <w:r w:rsidR="00AB5898">
        <w:rPr>
          <w:rFonts w:cs="Arial"/>
          <w:sz w:val="22"/>
        </w:rPr>
        <w:t xml:space="preserve"> and</w:t>
      </w:r>
      <w:r w:rsidR="00B44BD7" w:rsidRPr="00BB524D">
        <w:rPr>
          <w:rFonts w:cs="Arial"/>
          <w:sz w:val="22"/>
        </w:rPr>
        <w:t xml:space="preserve"> not </w:t>
      </w:r>
      <w:r w:rsidR="00067B92">
        <w:rPr>
          <w:rFonts w:cs="Arial"/>
          <w:sz w:val="22"/>
        </w:rPr>
        <w:t>performed</w:t>
      </w:r>
      <w:r w:rsidR="001265F6">
        <w:rPr>
          <w:rFonts w:cs="Arial"/>
          <w:sz w:val="22"/>
        </w:rPr>
        <w:t xml:space="preserve"> in</w:t>
      </w:r>
      <w:r w:rsidR="00B44BD7" w:rsidRPr="00BB524D">
        <w:rPr>
          <w:rFonts w:cs="Arial"/>
          <w:sz w:val="22"/>
        </w:rPr>
        <w:t xml:space="preserve"> 40 (18%)</w:t>
      </w:r>
      <w:r w:rsidR="00AB5898">
        <w:rPr>
          <w:rFonts w:cs="Arial"/>
          <w:sz w:val="22"/>
        </w:rPr>
        <w:t xml:space="preserve">. </w:t>
      </w:r>
      <w:r w:rsidR="00413C91">
        <w:rPr>
          <w:rFonts w:cs="Arial"/>
          <w:sz w:val="22"/>
        </w:rPr>
        <w:t xml:space="preserve">Whether or not a follow-up </w:t>
      </w:r>
      <w:r w:rsidR="00D45472">
        <w:rPr>
          <w:rFonts w:cs="Arial"/>
          <w:sz w:val="22"/>
        </w:rPr>
        <w:t>SUA</w:t>
      </w:r>
      <w:r w:rsidR="00413C91">
        <w:rPr>
          <w:rFonts w:cs="Arial"/>
          <w:sz w:val="22"/>
        </w:rPr>
        <w:t xml:space="preserve"> had been checked was </w:t>
      </w:r>
      <w:r w:rsidR="00032707">
        <w:rPr>
          <w:rFonts w:cs="Arial"/>
          <w:sz w:val="22"/>
        </w:rPr>
        <w:t>un</w:t>
      </w:r>
      <w:r w:rsidR="00413C91">
        <w:rPr>
          <w:rFonts w:cs="Arial"/>
          <w:sz w:val="22"/>
        </w:rPr>
        <w:t>known in 22</w:t>
      </w:r>
      <w:r w:rsidR="00AB5898">
        <w:rPr>
          <w:rFonts w:cs="Arial"/>
          <w:sz w:val="22"/>
        </w:rPr>
        <w:t xml:space="preserve"> (10%)</w:t>
      </w:r>
      <w:r w:rsidR="00133168" w:rsidRPr="00BB524D">
        <w:rPr>
          <w:rFonts w:cs="Arial"/>
          <w:sz w:val="22"/>
        </w:rPr>
        <w:t xml:space="preserve">. Of the </w:t>
      </w:r>
      <w:r w:rsidR="00767827" w:rsidRPr="00BB524D">
        <w:rPr>
          <w:rFonts w:cs="Arial"/>
          <w:sz w:val="22"/>
        </w:rPr>
        <w:t xml:space="preserve">197 patients in whom </w:t>
      </w:r>
      <w:r w:rsidR="00044C76">
        <w:rPr>
          <w:rFonts w:cs="Arial"/>
          <w:sz w:val="22"/>
        </w:rPr>
        <w:t xml:space="preserve">it was known whether </w:t>
      </w:r>
      <w:r w:rsidR="00767827" w:rsidRPr="00BB524D">
        <w:rPr>
          <w:rFonts w:cs="Arial"/>
          <w:sz w:val="22"/>
        </w:rPr>
        <w:t xml:space="preserve">a follow-up </w:t>
      </w:r>
      <w:r w:rsidR="00D45472">
        <w:rPr>
          <w:rFonts w:cs="Arial"/>
          <w:sz w:val="22"/>
        </w:rPr>
        <w:lastRenderedPageBreak/>
        <w:t>SUA</w:t>
      </w:r>
      <w:r w:rsidR="00767827" w:rsidRPr="00BB524D">
        <w:rPr>
          <w:rFonts w:cs="Arial"/>
          <w:sz w:val="22"/>
        </w:rPr>
        <w:t xml:space="preserve"> level was </w:t>
      </w:r>
      <w:r w:rsidR="00044C76">
        <w:rPr>
          <w:rFonts w:cs="Arial"/>
          <w:sz w:val="22"/>
        </w:rPr>
        <w:t>performed</w:t>
      </w:r>
      <w:r w:rsidR="00767827" w:rsidRPr="00BB524D">
        <w:rPr>
          <w:rFonts w:cs="Arial"/>
          <w:sz w:val="22"/>
        </w:rPr>
        <w:t xml:space="preserve">, </w:t>
      </w:r>
      <w:r w:rsidR="00B010F3">
        <w:rPr>
          <w:rFonts w:cs="Arial"/>
          <w:sz w:val="22"/>
        </w:rPr>
        <w:t>target</w:t>
      </w:r>
      <w:r w:rsidR="009F12CF" w:rsidRPr="00BB524D">
        <w:rPr>
          <w:rFonts w:cs="Arial"/>
          <w:sz w:val="22"/>
        </w:rPr>
        <w:t xml:space="preserve"> </w:t>
      </w:r>
      <w:r w:rsidR="00D45472">
        <w:rPr>
          <w:rFonts w:cs="Arial"/>
          <w:sz w:val="22"/>
        </w:rPr>
        <w:t>SUA</w:t>
      </w:r>
      <w:r w:rsidR="009F12CF" w:rsidRPr="00BB524D">
        <w:rPr>
          <w:rFonts w:cs="Arial"/>
          <w:sz w:val="22"/>
        </w:rPr>
        <w:t xml:space="preserve"> level</w:t>
      </w:r>
      <w:r w:rsidR="00062A8D">
        <w:rPr>
          <w:rFonts w:cs="Arial"/>
          <w:sz w:val="22"/>
        </w:rPr>
        <w:t>s</w:t>
      </w:r>
      <w:r w:rsidR="009F12CF" w:rsidRPr="00BB524D">
        <w:rPr>
          <w:rFonts w:cs="Arial"/>
          <w:sz w:val="22"/>
        </w:rPr>
        <w:t xml:space="preserve"> of ≤360</w:t>
      </w:r>
      <w:r w:rsidR="009F12CF" w:rsidRPr="00BB524D">
        <w:rPr>
          <w:rFonts w:cs="Arial"/>
          <w:sz w:val="22"/>
        </w:rPr>
        <w:sym w:font="Symbol" w:char="F06D"/>
      </w:r>
      <w:r w:rsidR="009F12CF" w:rsidRPr="00BB524D">
        <w:rPr>
          <w:rFonts w:cs="Arial"/>
          <w:sz w:val="22"/>
        </w:rPr>
        <w:t xml:space="preserve">mol/L and </w:t>
      </w:r>
      <w:r w:rsidR="00B24D78" w:rsidRPr="00BB524D">
        <w:rPr>
          <w:rFonts w:cs="Arial"/>
          <w:sz w:val="22"/>
        </w:rPr>
        <w:t>&lt;300</w:t>
      </w:r>
      <w:r w:rsidR="00B24D78" w:rsidRPr="00BB524D">
        <w:rPr>
          <w:rFonts w:cs="Arial"/>
          <w:sz w:val="22"/>
        </w:rPr>
        <w:sym w:font="Symbol" w:char="F06D"/>
      </w:r>
      <w:r w:rsidR="00B24D78" w:rsidRPr="00BB524D">
        <w:rPr>
          <w:rFonts w:cs="Arial"/>
          <w:sz w:val="22"/>
        </w:rPr>
        <w:t xml:space="preserve">mol/L were achieved by </w:t>
      </w:r>
      <w:r w:rsidR="009F12CF" w:rsidRPr="00BB524D">
        <w:rPr>
          <w:rFonts w:cs="Arial"/>
          <w:sz w:val="22"/>
        </w:rPr>
        <w:t xml:space="preserve">89 (45%) </w:t>
      </w:r>
      <w:r w:rsidR="00B24D78" w:rsidRPr="00BB524D">
        <w:rPr>
          <w:rFonts w:cs="Arial"/>
          <w:sz w:val="22"/>
        </w:rPr>
        <w:t xml:space="preserve">and </w:t>
      </w:r>
      <w:r w:rsidR="009F12CF" w:rsidRPr="00BB524D">
        <w:rPr>
          <w:rFonts w:cs="Arial"/>
          <w:sz w:val="22"/>
        </w:rPr>
        <w:t>50 (25%)</w:t>
      </w:r>
      <w:r w:rsidR="00B24D78" w:rsidRPr="00BB524D">
        <w:rPr>
          <w:rFonts w:cs="Arial"/>
          <w:sz w:val="22"/>
        </w:rPr>
        <w:t xml:space="preserve"> respectively.</w:t>
      </w:r>
      <w:r w:rsidR="006D265F" w:rsidRPr="00BB524D">
        <w:rPr>
          <w:rFonts w:cs="Arial"/>
          <w:sz w:val="22"/>
        </w:rPr>
        <w:t xml:space="preserve"> </w:t>
      </w:r>
    </w:p>
    <w:p w14:paraId="26A9F596" w14:textId="6825D5BF" w:rsidR="009A208C" w:rsidRPr="00BB524D" w:rsidRDefault="009A208C" w:rsidP="00F546D9">
      <w:pPr>
        <w:spacing w:after="0" w:line="480" w:lineRule="auto"/>
        <w:rPr>
          <w:rFonts w:cs="Arial"/>
          <w:sz w:val="22"/>
        </w:rPr>
      </w:pPr>
    </w:p>
    <w:p w14:paraId="3FA75091" w14:textId="10CA98D4" w:rsidR="00831840" w:rsidRPr="00BB524D" w:rsidRDefault="00831840" w:rsidP="00F546D9">
      <w:pPr>
        <w:spacing w:after="0" w:line="480" w:lineRule="auto"/>
        <w:rPr>
          <w:rFonts w:cs="Arial"/>
          <w:b/>
          <w:sz w:val="22"/>
        </w:rPr>
      </w:pPr>
      <w:r w:rsidRPr="00BB524D">
        <w:rPr>
          <w:rFonts w:cs="Arial"/>
          <w:b/>
          <w:sz w:val="22"/>
        </w:rPr>
        <w:t>Discussion</w:t>
      </w:r>
    </w:p>
    <w:p w14:paraId="36301AEA" w14:textId="1B25125D" w:rsidR="00693622" w:rsidRPr="00BB524D" w:rsidRDefault="00712358" w:rsidP="00A22A41">
      <w:pPr>
        <w:spacing w:after="0" w:line="480" w:lineRule="auto"/>
        <w:rPr>
          <w:rFonts w:cs="Arial"/>
          <w:sz w:val="22"/>
        </w:rPr>
      </w:pPr>
      <w:r>
        <w:rPr>
          <w:rFonts w:cs="Arial"/>
          <w:sz w:val="22"/>
        </w:rPr>
        <w:t xml:space="preserve">In this </w:t>
      </w:r>
      <w:r w:rsidR="003112A3" w:rsidRPr="00BB524D">
        <w:rPr>
          <w:rFonts w:cs="Arial"/>
          <w:sz w:val="22"/>
        </w:rPr>
        <w:t xml:space="preserve">first national audit of </w:t>
      </w:r>
      <w:r>
        <w:rPr>
          <w:rFonts w:cs="Arial"/>
          <w:sz w:val="22"/>
        </w:rPr>
        <w:t xml:space="preserve">gout </w:t>
      </w:r>
      <w:r w:rsidR="003112A3" w:rsidRPr="00BB524D">
        <w:rPr>
          <w:rFonts w:cs="Arial"/>
          <w:sz w:val="22"/>
        </w:rPr>
        <w:t xml:space="preserve">management by </w:t>
      </w:r>
      <w:r>
        <w:rPr>
          <w:rFonts w:cs="Arial"/>
          <w:sz w:val="22"/>
        </w:rPr>
        <w:t xml:space="preserve">UK </w:t>
      </w:r>
      <w:r w:rsidR="003112A3" w:rsidRPr="00BB524D">
        <w:rPr>
          <w:rFonts w:cs="Arial"/>
          <w:sz w:val="22"/>
        </w:rPr>
        <w:t>rheumatologists</w:t>
      </w:r>
      <w:r>
        <w:rPr>
          <w:rFonts w:cs="Arial"/>
          <w:sz w:val="22"/>
        </w:rPr>
        <w:t xml:space="preserve">, </w:t>
      </w:r>
      <w:r w:rsidR="00B2161A">
        <w:rPr>
          <w:rFonts w:cs="Arial"/>
          <w:sz w:val="22"/>
        </w:rPr>
        <w:t xml:space="preserve">ULT </w:t>
      </w:r>
      <w:r>
        <w:rPr>
          <w:rFonts w:cs="Arial"/>
          <w:sz w:val="22"/>
        </w:rPr>
        <w:t>i</w:t>
      </w:r>
      <w:r w:rsidR="001B3417" w:rsidRPr="00BB524D">
        <w:rPr>
          <w:rFonts w:cs="Arial"/>
          <w:sz w:val="22"/>
        </w:rPr>
        <w:t xml:space="preserve">nitiation in patients with indications (AS4), allopurinol starting dose and </w:t>
      </w:r>
      <w:r w:rsidR="00BE7D4A">
        <w:rPr>
          <w:rFonts w:cs="Arial"/>
          <w:sz w:val="22"/>
        </w:rPr>
        <w:t>renal-</w:t>
      </w:r>
      <w:r w:rsidR="001B3417" w:rsidRPr="00BB524D">
        <w:rPr>
          <w:rFonts w:cs="Arial"/>
          <w:sz w:val="22"/>
        </w:rPr>
        <w:t>adjustment (AS5</w:t>
      </w:r>
      <w:r w:rsidR="00931A65" w:rsidRPr="00BB524D">
        <w:rPr>
          <w:rFonts w:cs="Arial"/>
          <w:sz w:val="22"/>
        </w:rPr>
        <w:t>, AS6</w:t>
      </w:r>
      <w:r w:rsidR="001B3417" w:rsidRPr="00BB524D">
        <w:rPr>
          <w:rFonts w:cs="Arial"/>
          <w:sz w:val="22"/>
        </w:rPr>
        <w:t>)</w:t>
      </w:r>
      <w:r w:rsidR="00931A65" w:rsidRPr="00BB524D">
        <w:rPr>
          <w:rFonts w:cs="Arial"/>
          <w:sz w:val="22"/>
        </w:rPr>
        <w:t xml:space="preserve">, use of prophylaxis when initiating ULT (AS7), </w:t>
      </w:r>
      <w:r w:rsidR="002221E9" w:rsidRPr="00BB524D">
        <w:rPr>
          <w:rFonts w:cs="Arial"/>
          <w:sz w:val="22"/>
        </w:rPr>
        <w:t xml:space="preserve">and </w:t>
      </w:r>
      <w:r w:rsidR="00BF59A6" w:rsidRPr="00BB524D">
        <w:rPr>
          <w:rFonts w:cs="Arial"/>
          <w:sz w:val="22"/>
        </w:rPr>
        <w:t>use of uricosuric</w:t>
      </w:r>
      <w:r w:rsidR="00657CE3">
        <w:rPr>
          <w:rFonts w:cs="Arial"/>
          <w:sz w:val="22"/>
        </w:rPr>
        <w:t>s</w:t>
      </w:r>
      <w:r w:rsidR="00277265" w:rsidRPr="00BB524D">
        <w:rPr>
          <w:rFonts w:cs="Arial"/>
          <w:sz w:val="22"/>
        </w:rPr>
        <w:t xml:space="preserve"> and febuxostat (AS8, AS9</w:t>
      </w:r>
      <w:r w:rsidR="00BF59A6" w:rsidRPr="00BB524D">
        <w:rPr>
          <w:rFonts w:cs="Arial"/>
          <w:sz w:val="22"/>
        </w:rPr>
        <w:t>)</w:t>
      </w:r>
      <w:r w:rsidR="005C69F1" w:rsidRPr="00BB524D">
        <w:rPr>
          <w:rFonts w:cs="Arial"/>
          <w:sz w:val="22"/>
        </w:rPr>
        <w:t xml:space="preserve"> concorded</w:t>
      </w:r>
      <w:r w:rsidR="00BF59A6" w:rsidRPr="00BB524D">
        <w:rPr>
          <w:rFonts w:cs="Arial"/>
          <w:sz w:val="22"/>
        </w:rPr>
        <w:t xml:space="preserve"> well with </w:t>
      </w:r>
      <w:r w:rsidR="00050F3B">
        <w:rPr>
          <w:rFonts w:cs="Arial"/>
          <w:sz w:val="22"/>
        </w:rPr>
        <w:t xml:space="preserve">guidelines [5,6,14,15]. </w:t>
      </w:r>
      <w:r w:rsidR="00BD6387" w:rsidRPr="00BB524D">
        <w:rPr>
          <w:rFonts w:cs="Arial"/>
          <w:sz w:val="22"/>
        </w:rPr>
        <w:t xml:space="preserve"> </w:t>
      </w:r>
      <w:r w:rsidR="00B2161A">
        <w:rPr>
          <w:rFonts w:cs="Arial"/>
          <w:sz w:val="22"/>
        </w:rPr>
        <w:t>Few</w:t>
      </w:r>
      <w:r w:rsidR="002221E9" w:rsidRPr="00BB524D">
        <w:rPr>
          <w:rFonts w:cs="Arial"/>
          <w:sz w:val="22"/>
        </w:rPr>
        <w:t xml:space="preserve"> patients were diagnosed </w:t>
      </w:r>
      <w:r w:rsidR="00BE7D4A">
        <w:rPr>
          <w:rFonts w:cs="Arial"/>
          <w:sz w:val="22"/>
        </w:rPr>
        <w:t>by</w:t>
      </w:r>
      <w:r w:rsidR="002221E9" w:rsidRPr="00BB524D">
        <w:rPr>
          <w:rFonts w:cs="Arial"/>
          <w:sz w:val="22"/>
        </w:rPr>
        <w:t xml:space="preserve"> MSU crystal identification (AS2). </w:t>
      </w:r>
      <w:r w:rsidR="00BD6387" w:rsidRPr="00BB524D">
        <w:rPr>
          <w:rFonts w:cs="Arial"/>
          <w:sz w:val="22"/>
        </w:rPr>
        <w:t>Cessation or reduction of diuretic</w:t>
      </w:r>
      <w:r w:rsidR="002762E7" w:rsidRPr="00BB524D">
        <w:rPr>
          <w:rFonts w:cs="Arial"/>
          <w:sz w:val="22"/>
        </w:rPr>
        <w:t xml:space="preserve">s </w:t>
      </w:r>
      <w:r w:rsidR="00EB6AFC" w:rsidRPr="00BB524D">
        <w:rPr>
          <w:rFonts w:cs="Arial"/>
          <w:sz w:val="22"/>
        </w:rPr>
        <w:t xml:space="preserve">(AS3) </w:t>
      </w:r>
      <w:r w:rsidR="002762E7" w:rsidRPr="00BB524D">
        <w:rPr>
          <w:rFonts w:cs="Arial"/>
          <w:sz w:val="22"/>
        </w:rPr>
        <w:t xml:space="preserve">was infrequently </w:t>
      </w:r>
      <w:r w:rsidR="00362211" w:rsidRPr="00BB524D">
        <w:rPr>
          <w:rFonts w:cs="Arial"/>
          <w:sz w:val="22"/>
        </w:rPr>
        <w:t xml:space="preserve">recommended, </w:t>
      </w:r>
      <w:r w:rsidR="002762E7" w:rsidRPr="00BB524D">
        <w:rPr>
          <w:rFonts w:cs="Arial"/>
          <w:sz w:val="22"/>
        </w:rPr>
        <w:t>even amongst patients without cardiac or renal failure</w:t>
      </w:r>
      <w:r w:rsidR="00D70F8B" w:rsidRPr="00BB524D">
        <w:rPr>
          <w:rFonts w:cs="Arial"/>
          <w:sz w:val="22"/>
        </w:rPr>
        <w:t xml:space="preserve">. </w:t>
      </w:r>
      <w:r w:rsidR="00526A42">
        <w:rPr>
          <w:rFonts w:cs="Arial"/>
          <w:sz w:val="22"/>
        </w:rPr>
        <w:t>Our</w:t>
      </w:r>
      <w:r w:rsidR="00D70F8B" w:rsidRPr="00BB524D">
        <w:rPr>
          <w:rFonts w:cs="Arial"/>
          <w:sz w:val="22"/>
        </w:rPr>
        <w:t xml:space="preserve"> most important finding</w:t>
      </w:r>
      <w:r w:rsidR="00EC6BB2" w:rsidRPr="00BB524D">
        <w:rPr>
          <w:rFonts w:cs="Arial"/>
          <w:sz w:val="22"/>
        </w:rPr>
        <w:t xml:space="preserve"> is that </w:t>
      </w:r>
      <w:r w:rsidR="0096693D" w:rsidRPr="00BB524D">
        <w:rPr>
          <w:rFonts w:cs="Arial"/>
          <w:sz w:val="22"/>
        </w:rPr>
        <w:t xml:space="preserve">target </w:t>
      </w:r>
      <w:r w:rsidR="00526A42">
        <w:rPr>
          <w:rFonts w:cs="Arial"/>
          <w:sz w:val="22"/>
        </w:rPr>
        <w:t>SUA</w:t>
      </w:r>
      <w:r w:rsidR="00D9061E">
        <w:rPr>
          <w:rFonts w:cs="Arial"/>
          <w:sz w:val="22"/>
        </w:rPr>
        <w:t xml:space="preserve"> </w:t>
      </w:r>
      <w:r w:rsidR="000303E2" w:rsidRPr="00BB524D">
        <w:rPr>
          <w:rFonts w:cs="Arial"/>
          <w:sz w:val="22"/>
        </w:rPr>
        <w:t>level</w:t>
      </w:r>
      <w:r w:rsidR="00936623">
        <w:rPr>
          <w:rFonts w:cs="Arial"/>
          <w:sz w:val="22"/>
        </w:rPr>
        <w:t>s</w:t>
      </w:r>
      <w:r w:rsidR="000303E2" w:rsidRPr="00BB524D">
        <w:rPr>
          <w:rFonts w:cs="Arial"/>
          <w:sz w:val="22"/>
        </w:rPr>
        <w:t xml:space="preserve"> </w:t>
      </w:r>
      <w:r w:rsidR="008B62B3">
        <w:rPr>
          <w:rFonts w:cs="Arial"/>
          <w:sz w:val="22"/>
        </w:rPr>
        <w:t>≤</w:t>
      </w:r>
      <w:r w:rsidR="0096693D" w:rsidRPr="00BB524D">
        <w:rPr>
          <w:rFonts w:cs="Arial"/>
          <w:sz w:val="22"/>
        </w:rPr>
        <w:t>360</w:t>
      </w:r>
      <w:r w:rsidR="0096693D" w:rsidRPr="00BB524D">
        <w:rPr>
          <w:rFonts w:cs="Arial"/>
          <w:sz w:val="22"/>
        </w:rPr>
        <w:sym w:font="Symbol" w:char="F06D"/>
      </w:r>
      <w:r w:rsidR="0096693D" w:rsidRPr="00BB524D">
        <w:rPr>
          <w:rFonts w:cs="Arial"/>
          <w:sz w:val="22"/>
        </w:rPr>
        <w:t>mol/L</w:t>
      </w:r>
      <w:r w:rsidR="000303E2" w:rsidRPr="00BB524D">
        <w:rPr>
          <w:rFonts w:cs="Arial"/>
          <w:sz w:val="22"/>
        </w:rPr>
        <w:t xml:space="preserve"> </w:t>
      </w:r>
      <w:r w:rsidR="00872799" w:rsidRPr="00BB524D">
        <w:rPr>
          <w:rFonts w:cs="Arial"/>
          <w:sz w:val="22"/>
        </w:rPr>
        <w:t xml:space="preserve">(AS10) </w:t>
      </w:r>
      <w:r w:rsidR="0096693D" w:rsidRPr="00BB524D">
        <w:rPr>
          <w:rFonts w:cs="Arial"/>
          <w:sz w:val="22"/>
        </w:rPr>
        <w:t xml:space="preserve">and </w:t>
      </w:r>
      <w:r w:rsidR="008B62B3">
        <w:rPr>
          <w:rFonts w:cs="Arial"/>
          <w:sz w:val="22"/>
        </w:rPr>
        <w:t>&lt;</w:t>
      </w:r>
      <w:r w:rsidR="0096693D" w:rsidRPr="00BB524D">
        <w:rPr>
          <w:rFonts w:cs="Arial"/>
          <w:sz w:val="22"/>
        </w:rPr>
        <w:t>300</w:t>
      </w:r>
      <w:r w:rsidR="0096693D" w:rsidRPr="00BB524D">
        <w:rPr>
          <w:rFonts w:cs="Arial"/>
          <w:sz w:val="22"/>
        </w:rPr>
        <w:sym w:font="Symbol" w:char="F06D"/>
      </w:r>
      <w:r w:rsidR="0096693D" w:rsidRPr="00BB524D">
        <w:rPr>
          <w:rFonts w:cs="Arial"/>
          <w:sz w:val="22"/>
        </w:rPr>
        <w:t>mol/L</w:t>
      </w:r>
      <w:r w:rsidR="00EB6AFC" w:rsidRPr="00BB524D">
        <w:rPr>
          <w:rFonts w:cs="Arial"/>
          <w:sz w:val="22"/>
        </w:rPr>
        <w:t xml:space="preserve"> (AS11)</w:t>
      </w:r>
      <w:r w:rsidR="00AD09A8">
        <w:rPr>
          <w:rFonts w:cs="Arial"/>
          <w:sz w:val="22"/>
        </w:rPr>
        <w:t xml:space="preserve"> were achieved by only 45% and 25% of patients respectively</w:t>
      </w:r>
      <w:r w:rsidR="00D72CC8" w:rsidRPr="00BB524D">
        <w:rPr>
          <w:rFonts w:cs="Arial"/>
          <w:sz w:val="22"/>
        </w:rPr>
        <w:t>.</w:t>
      </w:r>
      <w:r w:rsidR="001D7DA7">
        <w:rPr>
          <w:rFonts w:cs="Arial"/>
          <w:sz w:val="22"/>
        </w:rPr>
        <w:t xml:space="preserve"> </w:t>
      </w:r>
      <w:r w:rsidR="00B04F61">
        <w:rPr>
          <w:rFonts w:cs="Arial"/>
          <w:sz w:val="22"/>
        </w:rPr>
        <w:t>T</w:t>
      </w:r>
      <w:r w:rsidR="007B0DCC">
        <w:rPr>
          <w:rFonts w:cs="Arial"/>
          <w:sz w:val="22"/>
        </w:rPr>
        <w:t xml:space="preserve">his audit </w:t>
      </w:r>
      <w:r w:rsidR="006D256D">
        <w:rPr>
          <w:rFonts w:cs="Arial"/>
          <w:sz w:val="22"/>
        </w:rPr>
        <w:t xml:space="preserve">could not ascertain why target levels were infrequently reached </w:t>
      </w:r>
      <w:r w:rsidR="00E07809">
        <w:rPr>
          <w:rFonts w:cs="Arial"/>
          <w:sz w:val="22"/>
        </w:rPr>
        <w:t xml:space="preserve">but </w:t>
      </w:r>
      <w:r w:rsidR="00B04F61">
        <w:rPr>
          <w:rFonts w:cs="Arial"/>
          <w:sz w:val="22"/>
        </w:rPr>
        <w:t>reasons</w:t>
      </w:r>
      <w:r w:rsidR="006D256D">
        <w:rPr>
          <w:rFonts w:cs="Arial"/>
          <w:sz w:val="22"/>
        </w:rPr>
        <w:t xml:space="preserve"> </w:t>
      </w:r>
      <w:r w:rsidR="00E07809">
        <w:rPr>
          <w:rFonts w:cs="Arial"/>
          <w:sz w:val="22"/>
        </w:rPr>
        <w:t xml:space="preserve">could include </w:t>
      </w:r>
      <w:r w:rsidR="007B0DCC">
        <w:rPr>
          <w:rFonts w:cs="Arial"/>
          <w:sz w:val="22"/>
        </w:rPr>
        <w:t xml:space="preserve">patients </w:t>
      </w:r>
      <w:r w:rsidR="004E3EC5">
        <w:rPr>
          <w:rFonts w:cs="Arial"/>
          <w:sz w:val="22"/>
        </w:rPr>
        <w:t xml:space="preserve">being </w:t>
      </w:r>
      <w:r w:rsidR="00B04F61">
        <w:rPr>
          <w:rFonts w:cs="Arial"/>
          <w:sz w:val="22"/>
        </w:rPr>
        <w:t>discharged</w:t>
      </w:r>
      <w:r w:rsidR="007B0DCC">
        <w:rPr>
          <w:rFonts w:cs="Arial"/>
          <w:sz w:val="22"/>
        </w:rPr>
        <w:t>, rheumatologists not up-titrating ULT, poor adherence, patient non-attendance</w:t>
      </w:r>
      <w:r w:rsidR="004E3EC5">
        <w:rPr>
          <w:rFonts w:cs="Arial"/>
          <w:sz w:val="22"/>
        </w:rPr>
        <w:t xml:space="preserve"> for appointments or blood tests</w:t>
      </w:r>
      <w:r w:rsidR="007B0DCC">
        <w:rPr>
          <w:rFonts w:cs="Arial"/>
          <w:sz w:val="22"/>
        </w:rPr>
        <w:t xml:space="preserve">, or </w:t>
      </w:r>
      <w:r w:rsidR="008E470E">
        <w:rPr>
          <w:rFonts w:cs="Arial"/>
          <w:sz w:val="22"/>
        </w:rPr>
        <w:t>treatment</w:t>
      </w:r>
      <w:r w:rsidR="00606C9B">
        <w:rPr>
          <w:rFonts w:cs="Arial"/>
          <w:sz w:val="22"/>
        </w:rPr>
        <w:t xml:space="preserve"> </w:t>
      </w:r>
      <w:r w:rsidR="007B0DCC">
        <w:rPr>
          <w:rFonts w:cs="Arial"/>
          <w:sz w:val="22"/>
        </w:rPr>
        <w:t>side-effects</w:t>
      </w:r>
      <w:r w:rsidR="00606C9B">
        <w:rPr>
          <w:rFonts w:cs="Arial"/>
          <w:sz w:val="22"/>
        </w:rPr>
        <w:t>.</w:t>
      </w:r>
    </w:p>
    <w:p w14:paraId="07E5B07F" w14:textId="74129CC0" w:rsidR="00320CC5" w:rsidRPr="00BB524D" w:rsidRDefault="003A06D6" w:rsidP="00C07964">
      <w:pPr>
        <w:spacing w:after="0" w:line="480" w:lineRule="auto"/>
        <w:ind w:firstLine="720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Our finding that </w:t>
      </w:r>
      <w:r w:rsidR="00CB0495">
        <w:rPr>
          <w:rFonts w:cs="Arial"/>
          <w:sz w:val="22"/>
        </w:rPr>
        <w:t xml:space="preserve">gout </w:t>
      </w:r>
      <w:r w:rsidRPr="00BB524D">
        <w:rPr>
          <w:rFonts w:cs="Arial"/>
          <w:sz w:val="22"/>
        </w:rPr>
        <w:t xml:space="preserve">diagnosis was based upon crystal identification in only 13% </w:t>
      </w:r>
      <w:r w:rsidR="003A5D83" w:rsidRPr="00BB524D">
        <w:rPr>
          <w:rFonts w:cs="Arial"/>
          <w:sz w:val="22"/>
        </w:rPr>
        <w:t>of patients (AS2) i</w:t>
      </w:r>
      <w:r w:rsidRPr="00BB524D">
        <w:rPr>
          <w:rFonts w:cs="Arial"/>
          <w:sz w:val="22"/>
        </w:rPr>
        <w:t>s similar to studies undertak</w:t>
      </w:r>
      <w:r w:rsidR="00E02DD4" w:rsidRPr="00BB524D">
        <w:rPr>
          <w:rFonts w:cs="Arial"/>
          <w:sz w:val="22"/>
        </w:rPr>
        <w:t>en in Spain</w:t>
      </w:r>
      <w:r w:rsidR="00FB5DB9">
        <w:rPr>
          <w:rFonts w:cs="Arial"/>
          <w:sz w:val="22"/>
        </w:rPr>
        <w:t xml:space="preserve"> (26%)</w:t>
      </w:r>
      <w:r w:rsidR="00E02DD4" w:rsidRPr="00BB524D">
        <w:rPr>
          <w:rFonts w:cs="Arial"/>
          <w:sz w:val="22"/>
        </w:rPr>
        <w:t xml:space="preserve"> and France and Greece </w:t>
      </w:r>
      <w:r w:rsidR="00836A63">
        <w:rPr>
          <w:rFonts w:cs="Arial"/>
          <w:sz w:val="22"/>
        </w:rPr>
        <w:t>(6%)</w:t>
      </w:r>
      <w:r w:rsidR="00050F3B">
        <w:rPr>
          <w:rFonts w:cs="Arial"/>
          <w:sz w:val="22"/>
        </w:rPr>
        <w:t xml:space="preserve"> [9,11]</w:t>
      </w:r>
      <w:r w:rsidR="00E02DD4" w:rsidRPr="00BB524D">
        <w:rPr>
          <w:rFonts w:cs="Arial"/>
          <w:sz w:val="22"/>
        </w:rPr>
        <w:t xml:space="preserve">. </w:t>
      </w:r>
      <w:r w:rsidR="00F55033" w:rsidRPr="00BB524D">
        <w:rPr>
          <w:rFonts w:cs="Arial"/>
          <w:sz w:val="22"/>
        </w:rPr>
        <w:t>M</w:t>
      </w:r>
      <w:r w:rsidR="0036696A" w:rsidRPr="00BB524D">
        <w:rPr>
          <w:rFonts w:cs="Arial"/>
          <w:sz w:val="22"/>
        </w:rPr>
        <w:t xml:space="preserve">ost patients initiating allopurinol were </w:t>
      </w:r>
      <w:r w:rsidR="00D31F0E">
        <w:rPr>
          <w:rFonts w:cs="Arial"/>
          <w:sz w:val="22"/>
        </w:rPr>
        <w:t>dosed</w:t>
      </w:r>
      <w:r w:rsidR="0036696A" w:rsidRPr="00BB524D">
        <w:rPr>
          <w:rFonts w:cs="Arial"/>
          <w:sz w:val="22"/>
        </w:rPr>
        <w:t xml:space="preserve"> appropriate</w:t>
      </w:r>
      <w:r w:rsidR="00D31F0E">
        <w:rPr>
          <w:rFonts w:cs="Arial"/>
          <w:sz w:val="22"/>
        </w:rPr>
        <w:t>ly</w:t>
      </w:r>
      <w:r w:rsidR="0036696A" w:rsidRPr="00BB524D">
        <w:rPr>
          <w:rFonts w:cs="Arial"/>
          <w:sz w:val="22"/>
        </w:rPr>
        <w:t xml:space="preserve"> for renal function</w:t>
      </w:r>
      <w:r w:rsidR="00C5762C" w:rsidRPr="00BB524D">
        <w:rPr>
          <w:rFonts w:cs="Arial"/>
          <w:sz w:val="22"/>
        </w:rPr>
        <w:t xml:space="preserve"> </w:t>
      </w:r>
      <w:r w:rsidR="007834E1" w:rsidRPr="00BB524D">
        <w:rPr>
          <w:rFonts w:cs="Arial"/>
          <w:sz w:val="22"/>
        </w:rPr>
        <w:t xml:space="preserve">(AS5, AS6) </w:t>
      </w:r>
      <w:r w:rsidR="00F55033" w:rsidRPr="00BB524D">
        <w:rPr>
          <w:rFonts w:cs="Arial"/>
          <w:sz w:val="22"/>
        </w:rPr>
        <w:t>contrast</w:t>
      </w:r>
      <w:r w:rsidR="00CB0495">
        <w:rPr>
          <w:rFonts w:cs="Arial"/>
          <w:sz w:val="22"/>
        </w:rPr>
        <w:t>ing</w:t>
      </w:r>
      <w:r w:rsidR="00F55033" w:rsidRPr="00BB524D">
        <w:rPr>
          <w:rFonts w:cs="Arial"/>
          <w:sz w:val="22"/>
        </w:rPr>
        <w:t xml:space="preserve"> with</w:t>
      </w:r>
      <w:r w:rsidR="00C5762C" w:rsidRPr="00BB524D">
        <w:rPr>
          <w:rFonts w:cs="Arial"/>
          <w:sz w:val="22"/>
        </w:rPr>
        <w:t xml:space="preserve"> </w:t>
      </w:r>
      <w:r w:rsidR="003B28B0">
        <w:rPr>
          <w:rFonts w:cs="Arial"/>
          <w:sz w:val="22"/>
        </w:rPr>
        <w:t>Spain where</w:t>
      </w:r>
      <w:r w:rsidR="00A75CAD" w:rsidRPr="00BB524D">
        <w:rPr>
          <w:rFonts w:cs="Arial"/>
          <w:sz w:val="22"/>
        </w:rPr>
        <w:t xml:space="preserve"> 52% of patients </w:t>
      </w:r>
      <w:r w:rsidR="00315317">
        <w:rPr>
          <w:rFonts w:cs="Arial"/>
          <w:sz w:val="22"/>
        </w:rPr>
        <w:t>receiving</w:t>
      </w:r>
      <w:r w:rsidR="0079315F" w:rsidRPr="00BB524D">
        <w:rPr>
          <w:rFonts w:cs="Arial"/>
          <w:sz w:val="22"/>
        </w:rPr>
        <w:t xml:space="preserve"> allopurinol were initiated at low-dose (≤100mg daily)</w:t>
      </w:r>
      <w:r w:rsidR="00050F3B">
        <w:rPr>
          <w:rFonts w:cs="Arial"/>
          <w:sz w:val="22"/>
        </w:rPr>
        <w:t xml:space="preserve"> [9]</w:t>
      </w:r>
      <w:r w:rsidR="003B28B0">
        <w:rPr>
          <w:rFonts w:cs="Arial"/>
          <w:sz w:val="22"/>
        </w:rPr>
        <w:t xml:space="preserve"> and</w:t>
      </w:r>
      <w:r w:rsidR="00E37DF7" w:rsidRPr="00BB524D">
        <w:rPr>
          <w:rFonts w:cs="Arial"/>
          <w:sz w:val="22"/>
        </w:rPr>
        <w:t xml:space="preserve"> the USA </w:t>
      </w:r>
      <w:r w:rsidR="003B28B0">
        <w:rPr>
          <w:rFonts w:cs="Arial"/>
          <w:sz w:val="22"/>
        </w:rPr>
        <w:t>where</w:t>
      </w:r>
      <w:r w:rsidR="00E37DF7" w:rsidRPr="00BB524D">
        <w:rPr>
          <w:rFonts w:cs="Arial"/>
          <w:sz w:val="22"/>
        </w:rPr>
        <w:t xml:space="preserve"> </w:t>
      </w:r>
      <w:r w:rsidR="008B5D03" w:rsidRPr="00BB524D">
        <w:rPr>
          <w:rFonts w:cs="Arial"/>
          <w:sz w:val="22"/>
        </w:rPr>
        <w:t>92% of patients</w:t>
      </w:r>
      <w:r w:rsidR="00E37DF7" w:rsidRPr="00BB524D">
        <w:rPr>
          <w:rFonts w:cs="Arial"/>
          <w:sz w:val="22"/>
        </w:rPr>
        <w:t xml:space="preserve"> with moderate-sever</w:t>
      </w:r>
      <w:r w:rsidR="005176F4" w:rsidRPr="00BB524D">
        <w:rPr>
          <w:rFonts w:cs="Arial"/>
          <w:sz w:val="22"/>
        </w:rPr>
        <w:t>e</w:t>
      </w:r>
      <w:r w:rsidR="00E37DF7" w:rsidRPr="00BB524D">
        <w:rPr>
          <w:rFonts w:cs="Arial"/>
          <w:sz w:val="22"/>
        </w:rPr>
        <w:t xml:space="preserve"> kidney disease </w:t>
      </w:r>
      <w:r w:rsidR="002846E3">
        <w:rPr>
          <w:rFonts w:cs="Arial"/>
          <w:sz w:val="22"/>
        </w:rPr>
        <w:t>starting</w:t>
      </w:r>
      <w:r w:rsidR="00E37DF7" w:rsidRPr="00BB524D">
        <w:rPr>
          <w:rFonts w:cs="Arial"/>
          <w:sz w:val="22"/>
        </w:rPr>
        <w:t xml:space="preserve"> allopurinol commenced at </w:t>
      </w:r>
      <w:r w:rsidR="00050F3B">
        <w:rPr>
          <w:rFonts w:cs="Arial"/>
          <w:sz w:val="22"/>
        </w:rPr>
        <w:t xml:space="preserve">a dose </w:t>
      </w:r>
      <w:r w:rsidR="00315317">
        <w:rPr>
          <w:rFonts w:cs="Arial"/>
          <w:sz w:val="22"/>
        </w:rPr>
        <w:t>&gt;</w:t>
      </w:r>
      <w:r w:rsidR="00050F3B">
        <w:rPr>
          <w:rFonts w:cs="Arial"/>
          <w:sz w:val="22"/>
        </w:rPr>
        <w:t>50mg daily [11]</w:t>
      </w:r>
      <w:r w:rsidR="00693622" w:rsidRPr="00BB524D">
        <w:rPr>
          <w:rFonts w:cs="Arial"/>
          <w:sz w:val="22"/>
        </w:rPr>
        <w:t xml:space="preserve">. </w:t>
      </w:r>
      <w:r w:rsidR="00335137">
        <w:rPr>
          <w:rFonts w:cs="Arial"/>
          <w:sz w:val="22"/>
        </w:rPr>
        <w:t xml:space="preserve">However, </w:t>
      </w:r>
      <w:r w:rsidR="00611DD8">
        <w:rPr>
          <w:rFonts w:cs="Arial"/>
          <w:sz w:val="22"/>
        </w:rPr>
        <w:t>renal</w:t>
      </w:r>
      <w:r w:rsidR="00335137">
        <w:rPr>
          <w:rFonts w:cs="Arial"/>
          <w:sz w:val="22"/>
        </w:rPr>
        <w:t xml:space="preserve">-adjusted dosing often </w:t>
      </w:r>
      <w:r w:rsidR="00611DD8">
        <w:rPr>
          <w:rFonts w:cs="Arial"/>
          <w:sz w:val="22"/>
        </w:rPr>
        <w:t>fails</w:t>
      </w:r>
      <w:r w:rsidR="00335137">
        <w:rPr>
          <w:rFonts w:cs="Arial"/>
          <w:sz w:val="22"/>
        </w:rPr>
        <w:t xml:space="preserve"> to achieve target </w:t>
      </w:r>
      <w:r w:rsidR="003056CB">
        <w:rPr>
          <w:rFonts w:cs="Arial"/>
          <w:sz w:val="22"/>
        </w:rPr>
        <w:t>SUA</w:t>
      </w:r>
      <w:r w:rsidR="00335137">
        <w:rPr>
          <w:rFonts w:cs="Arial"/>
          <w:sz w:val="22"/>
        </w:rPr>
        <w:t xml:space="preserve"> level</w:t>
      </w:r>
      <w:r w:rsidR="00641D73">
        <w:rPr>
          <w:rFonts w:cs="Arial"/>
          <w:sz w:val="22"/>
        </w:rPr>
        <w:t>s</w:t>
      </w:r>
      <w:r w:rsidR="00335137">
        <w:rPr>
          <w:rFonts w:cs="Arial"/>
          <w:sz w:val="22"/>
        </w:rPr>
        <w:t xml:space="preserve"> a</w:t>
      </w:r>
      <w:r w:rsidR="007311C5">
        <w:rPr>
          <w:rFonts w:cs="Arial"/>
          <w:sz w:val="22"/>
        </w:rPr>
        <w:t>nd a</w:t>
      </w:r>
      <w:r w:rsidR="00335137">
        <w:rPr>
          <w:rFonts w:cs="Arial"/>
          <w:sz w:val="22"/>
        </w:rPr>
        <w:t xml:space="preserve"> recent randomised trial supports the effective</w:t>
      </w:r>
      <w:r w:rsidR="007311C5">
        <w:rPr>
          <w:rFonts w:cs="Arial"/>
          <w:sz w:val="22"/>
        </w:rPr>
        <w:t>ness and safety of higher doses</w:t>
      </w:r>
      <w:r w:rsidR="00C053DF">
        <w:rPr>
          <w:rFonts w:cs="Arial"/>
          <w:sz w:val="22"/>
        </w:rPr>
        <w:t xml:space="preserve"> [</w:t>
      </w:r>
      <w:r w:rsidR="00B55A84">
        <w:rPr>
          <w:rFonts w:cs="Arial"/>
          <w:sz w:val="22"/>
        </w:rPr>
        <w:t>17,</w:t>
      </w:r>
      <w:r w:rsidR="001E594F">
        <w:rPr>
          <w:rFonts w:cs="Arial"/>
          <w:sz w:val="22"/>
        </w:rPr>
        <w:t>18</w:t>
      </w:r>
      <w:r w:rsidR="00C053DF">
        <w:rPr>
          <w:rFonts w:cs="Arial"/>
          <w:sz w:val="22"/>
        </w:rPr>
        <w:t>]</w:t>
      </w:r>
      <w:r w:rsidR="007311C5">
        <w:rPr>
          <w:rFonts w:cs="Arial"/>
          <w:sz w:val="22"/>
        </w:rPr>
        <w:t xml:space="preserve">. </w:t>
      </w:r>
      <w:r w:rsidR="000364FA" w:rsidRPr="00BB524D">
        <w:rPr>
          <w:rFonts w:cs="Arial"/>
          <w:sz w:val="22"/>
        </w:rPr>
        <w:t>In our study, 94% of patients who commenced ULT were co-prescribed prophylaxis</w:t>
      </w:r>
      <w:r w:rsidR="00F55033" w:rsidRPr="00BB524D">
        <w:rPr>
          <w:rFonts w:cs="Arial"/>
          <w:sz w:val="22"/>
        </w:rPr>
        <w:t xml:space="preserve"> (AS7) similar to </w:t>
      </w:r>
      <w:r w:rsidR="003056CB">
        <w:rPr>
          <w:rFonts w:cs="Arial"/>
          <w:sz w:val="22"/>
        </w:rPr>
        <w:t xml:space="preserve">the </w:t>
      </w:r>
      <w:r w:rsidR="00F55033" w:rsidRPr="00BB524D">
        <w:rPr>
          <w:rFonts w:cs="Arial"/>
          <w:sz w:val="22"/>
        </w:rPr>
        <w:t>US</w:t>
      </w:r>
      <w:r w:rsidR="003056CB">
        <w:rPr>
          <w:rFonts w:cs="Arial"/>
          <w:sz w:val="22"/>
        </w:rPr>
        <w:t>A</w:t>
      </w:r>
      <w:r w:rsidR="00F55033" w:rsidRPr="00BB524D">
        <w:rPr>
          <w:rFonts w:cs="Arial"/>
          <w:sz w:val="22"/>
        </w:rPr>
        <w:t xml:space="preserve"> </w:t>
      </w:r>
      <w:r w:rsidR="003056CB">
        <w:rPr>
          <w:rFonts w:cs="Arial"/>
          <w:sz w:val="22"/>
        </w:rPr>
        <w:t xml:space="preserve">(90%) </w:t>
      </w:r>
      <w:r w:rsidR="00F55033" w:rsidRPr="00BB524D">
        <w:rPr>
          <w:rFonts w:cs="Arial"/>
          <w:sz w:val="22"/>
        </w:rPr>
        <w:t xml:space="preserve">and </w:t>
      </w:r>
      <w:r w:rsidR="00BC033B">
        <w:rPr>
          <w:rFonts w:cs="Arial"/>
          <w:sz w:val="22"/>
        </w:rPr>
        <w:t>France and Greece (</w:t>
      </w:r>
      <w:r w:rsidR="00F55033" w:rsidRPr="00BB524D">
        <w:rPr>
          <w:rFonts w:cs="Arial"/>
          <w:sz w:val="22"/>
        </w:rPr>
        <w:t>70%</w:t>
      </w:r>
      <w:r w:rsidR="00BC033B">
        <w:rPr>
          <w:rFonts w:cs="Arial"/>
          <w:sz w:val="22"/>
        </w:rPr>
        <w:t>)</w:t>
      </w:r>
      <w:r w:rsidR="00852BD5">
        <w:rPr>
          <w:rFonts w:cs="Arial"/>
          <w:sz w:val="22"/>
        </w:rPr>
        <w:t xml:space="preserve"> [10,11]</w:t>
      </w:r>
      <w:r w:rsidR="00187F45" w:rsidRPr="00BB524D">
        <w:rPr>
          <w:rFonts w:cs="Arial"/>
          <w:sz w:val="22"/>
        </w:rPr>
        <w:t>.</w:t>
      </w:r>
      <w:r w:rsidR="0079066A" w:rsidRPr="00BB524D">
        <w:rPr>
          <w:rFonts w:cs="Arial"/>
          <w:sz w:val="22"/>
        </w:rPr>
        <w:t xml:space="preserve"> The proportion w</w:t>
      </w:r>
      <w:r w:rsidR="00B633EB" w:rsidRPr="00BB524D">
        <w:rPr>
          <w:rFonts w:cs="Arial"/>
          <w:sz w:val="22"/>
        </w:rPr>
        <w:t xml:space="preserve">ho achieved a target </w:t>
      </w:r>
      <w:r w:rsidR="00BC033B">
        <w:rPr>
          <w:rFonts w:cs="Arial"/>
          <w:sz w:val="22"/>
        </w:rPr>
        <w:t>SUA</w:t>
      </w:r>
      <w:r w:rsidR="0079066A" w:rsidRPr="00BB524D">
        <w:rPr>
          <w:rFonts w:cs="Arial"/>
          <w:sz w:val="22"/>
        </w:rPr>
        <w:t>≤</w:t>
      </w:r>
      <w:r w:rsidR="00A97E90" w:rsidRPr="00BB524D">
        <w:rPr>
          <w:rFonts w:cs="Arial"/>
          <w:sz w:val="22"/>
        </w:rPr>
        <w:t xml:space="preserve">360µmol/L </w:t>
      </w:r>
      <w:r w:rsidR="00A74405" w:rsidRPr="00BB524D">
        <w:rPr>
          <w:rFonts w:cs="Arial"/>
          <w:sz w:val="22"/>
        </w:rPr>
        <w:t xml:space="preserve">was similar to studies from Spain (41%) and the USA (35%) but </w:t>
      </w:r>
      <w:r w:rsidR="00AB5DBC" w:rsidRPr="00BB524D">
        <w:rPr>
          <w:rFonts w:cs="Arial"/>
          <w:sz w:val="22"/>
        </w:rPr>
        <w:t xml:space="preserve">lower than </w:t>
      </w:r>
      <w:r w:rsidR="009111BD">
        <w:rPr>
          <w:rFonts w:cs="Arial"/>
          <w:sz w:val="22"/>
        </w:rPr>
        <w:t xml:space="preserve">a </w:t>
      </w:r>
      <w:r w:rsidR="00AB5DBC" w:rsidRPr="00BB524D">
        <w:rPr>
          <w:rFonts w:cs="Arial"/>
          <w:sz w:val="22"/>
        </w:rPr>
        <w:t>rheumatology</w:t>
      </w:r>
      <w:r w:rsidR="009111BD">
        <w:rPr>
          <w:rFonts w:cs="Arial"/>
          <w:sz w:val="22"/>
        </w:rPr>
        <w:t xml:space="preserve"> sub-specialty gout clinic</w:t>
      </w:r>
      <w:r w:rsidR="00852BD5">
        <w:rPr>
          <w:rFonts w:cs="Arial"/>
          <w:sz w:val="22"/>
        </w:rPr>
        <w:t xml:space="preserve"> </w:t>
      </w:r>
      <w:r w:rsidR="00F37F45">
        <w:rPr>
          <w:rFonts w:cs="Arial"/>
          <w:sz w:val="22"/>
        </w:rPr>
        <w:t xml:space="preserve">in Ireland </w:t>
      </w:r>
      <w:r w:rsidR="00852BD5">
        <w:rPr>
          <w:rFonts w:cs="Arial"/>
          <w:sz w:val="22"/>
        </w:rPr>
        <w:t>(78%) [9,12,13]</w:t>
      </w:r>
      <w:r w:rsidR="00AB5DBC" w:rsidRPr="00BB524D">
        <w:rPr>
          <w:rFonts w:cs="Arial"/>
          <w:sz w:val="22"/>
        </w:rPr>
        <w:t xml:space="preserve">. </w:t>
      </w:r>
      <w:r w:rsidR="00D7261D">
        <w:rPr>
          <w:rFonts w:cs="Arial"/>
          <w:sz w:val="22"/>
        </w:rPr>
        <w:t>C</w:t>
      </w:r>
      <w:r w:rsidR="00552997" w:rsidRPr="00BB524D">
        <w:rPr>
          <w:rFonts w:cs="Arial"/>
          <w:sz w:val="22"/>
        </w:rPr>
        <w:t xml:space="preserve">ompared to </w:t>
      </w:r>
      <w:r w:rsidR="003B2975" w:rsidRPr="00BB524D">
        <w:rPr>
          <w:rFonts w:cs="Arial"/>
          <w:sz w:val="22"/>
        </w:rPr>
        <w:t>audits of management</w:t>
      </w:r>
      <w:r w:rsidR="00552997" w:rsidRPr="00BB524D">
        <w:rPr>
          <w:rFonts w:cs="Arial"/>
          <w:sz w:val="22"/>
        </w:rPr>
        <w:t xml:space="preserve"> in </w:t>
      </w:r>
      <w:r w:rsidR="000F2DD4">
        <w:rPr>
          <w:rFonts w:cs="Arial"/>
          <w:sz w:val="22"/>
        </w:rPr>
        <w:lastRenderedPageBreak/>
        <w:t xml:space="preserve">UK </w:t>
      </w:r>
      <w:r w:rsidR="00552997" w:rsidRPr="00BB524D">
        <w:rPr>
          <w:rFonts w:cs="Arial"/>
          <w:sz w:val="22"/>
        </w:rPr>
        <w:t>primary care</w:t>
      </w:r>
      <w:r w:rsidR="00954607">
        <w:rPr>
          <w:rFonts w:cs="Arial"/>
          <w:sz w:val="22"/>
        </w:rPr>
        <w:t xml:space="preserve"> [3,4]</w:t>
      </w:r>
      <w:r w:rsidR="00552997" w:rsidRPr="00BB524D">
        <w:rPr>
          <w:rFonts w:cs="Arial"/>
          <w:sz w:val="22"/>
        </w:rPr>
        <w:t xml:space="preserve">, </w:t>
      </w:r>
      <w:r w:rsidR="0094622E" w:rsidRPr="00BB524D">
        <w:rPr>
          <w:rFonts w:cs="Arial"/>
          <w:sz w:val="22"/>
        </w:rPr>
        <w:t xml:space="preserve">rheumatologists more frequently </w:t>
      </w:r>
      <w:r w:rsidR="00800DC8" w:rsidRPr="00BB524D">
        <w:rPr>
          <w:rFonts w:cs="Arial"/>
          <w:sz w:val="22"/>
        </w:rPr>
        <w:t>initiated ULT when tophi were present (81% v</w:t>
      </w:r>
      <w:r w:rsidR="003B2975" w:rsidRPr="00BB524D">
        <w:rPr>
          <w:rFonts w:cs="Arial"/>
          <w:sz w:val="22"/>
        </w:rPr>
        <w:t>ersu</w:t>
      </w:r>
      <w:r w:rsidR="00800DC8" w:rsidRPr="00BB524D">
        <w:rPr>
          <w:rFonts w:cs="Arial"/>
          <w:sz w:val="22"/>
        </w:rPr>
        <w:t xml:space="preserve">s 20%), </w:t>
      </w:r>
      <w:r w:rsidR="003B2975" w:rsidRPr="00BB524D">
        <w:rPr>
          <w:rFonts w:cs="Arial"/>
          <w:sz w:val="22"/>
        </w:rPr>
        <w:t xml:space="preserve">started </w:t>
      </w:r>
      <w:r w:rsidR="006E4215">
        <w:rPr>
          <w:rFonts w:cs="Arial"/>
          <w:sz w:val="22"/>
        </w:rPr>
        <w:t xml:space="preserve">low-dose </w:t>
      </w:r>
      <w:r w:rsidR="003B2975" w:rsidRPr="00BB524D">
        <w:rPr>
          <w:rFonts w:cs="Arial"/>
          <w:sz w:val="22"/>
        </w:rPr>
        <w:t>allopurinol (88% versus 62%)</w:t>
      </w:r>
      <w:r w:rsidR="00183935" w:rsidRPr="00BB524D">
        <w:rPr>
          <w:rFonts w:cs="Arial"/>
          <w:sz w:val="22"/>
        </w:rPr>
        <w:t xml:space="preserve">, </w:t>
      </w:r>
      <w:r w:rsidR="00074B7E" w:rsidRPr="00BB524D">
        <w:rPr>
          <w:rFonts w:cs="Arial"/>
          <w:sz w:val="22"/>
        </w:rPr>
        <w:t xml:space="preserve">and </w:t>
      </w:r>
      <w:r w:rsidR="00183935" w:rsidRPr="00BB524D">
        <w:rPr>
          <w:rFonts w:cs="Arial"/>
          <w:sz w:val="22"/>
        </w:rPr>
        <w:t xml:space="preserve">co-prescribed prophylaxis </w:t>
      </w:r>
      <w:r w:rsidR="00125A66">
        <w:rPr>
          <w:rFonts w:cs="Arial"/>
          <w:sz w:val="22"/>
        </w:rPr>
        <w:t>with</w:t>
      </w:r>
      <w:r w:rsidR="00183935" w:rsidRPr="00BB524D">
        <w:rPr>
          <w:rFonts w:cs="Arial"/>
          <w:sz w:val="22"/>
        </w:rPr>
        <w:t xml:space="preserve"> ULT (94% versus 25%)</w:t>
      </w:r>
      <w:r w:rsidR="00074B7E" w:rsidRPr="00BB524D">
        <w:rPr>
          <w:rFonts w:cs="Arial"/>
          <w:sz w:val="22"/>
        </w:rPr>
        <w:t>, however,</w:t>
      </w:r>
      <w:r w:rsidR="00E00BCA" w:rsidRPr="00BB524D">
        <w:rPr>
          <w:rFonts w:cs="Arial"/>
          <w:sz w:val="22"/>
        </w:rPr>
        <w:t xml:space="preserve"> </w:t>
      </w:r>
      <w:r w:rsidR="00BF02DC">
        <w:rPr>
          <w:rFonts w:cs="Arial"/>
          <w:sz w:val="22"/>
        </w:rPr>
        <w:t>GPs more</w:t>
      </w:r>
      <w:r w:rsidR="00E00BCA" w:rsidRPr="00BB524D">
        <w:rPr>
          <w:rFonts w:cs="Arial"/>
          <w:sz w:val="22"/>
        </w:rPr>
        <w:t xml:space="preserve"> </w:t>
      </w:r>
      <w:r w:rsidR="00577199">
        <w:rPr>
          <w:rFonts w:cs="Arial"/>
          <w:sz w:val="22"/>
        </w:rPr>
        <w:t>commonly</w:t>
      </w:r>
      <w:r w:rsidR="00E00BCA" w:rsidRPr="00BB524D">
        <w:rPr>
          <w:rFonts w:cs="Arial"/>
          <w:sz w:val="22"/>
        </w:rPr>
        <w:t xml:space="preserve"> recommend</w:t>
      </w:r>
      <w:r w:rsidR="00577199">
        <w:rPr>
          <w:rFonts w:cs="Arial"/>
          <w:sz w:val="22"/>
        </w:rPr>
        <w:t>ed</w:t>
      </w:r>
      <w:r w:rsidR="00E00BCA" w:rsidRPr="00BB524D">
        <w:rPr>
          <w:rFonts w:cs="Arial"/>
          <w:sz w:val="22"/>
        </w:rPr>
        <w:t xml:space="preserve"> diuretic cessation</w:t>
      </w:r>
      <w:r w:rsidR="004B172B">
        <w:rPr>
          <w:rFonts w:cs="Arial"/>
          <w:sz w:val="22"/>
        </w:rPr>
        <w:t>/</w:t>
      </w:r>
      <w:r w:rsidR="00E00BCA" w:rsidRPr="00BB524D">
        <w:rPr>
          <w:rFonts w:cs="Arial"/>
          <w:sz w:val="22"/>
        </w:rPr>
        <w:t>reduction (28% versus 36%).</w:t>
      </w:r>
      <w:r w:rsidR="00183935" w:rsidRPr="00BB524D">
        <w:rPr>
          <w:rFonts w:cs="Arial"/>
          <w:sz w:val="22"/>
        </w:rPr>
        <w:t xml:space="preserve"> </w:t>
      </w:r>
      <w:r w:rsidR="00552997" w:rsidRPr="00BB524D">
        <w:rPr>
          <w:rFonts w:cs="Arial"/>
          <w:sz w:val="22"/>
        </w:rPr>
        <w:t xml:space="preserve">Most importantly, </w:t>
      </w:r>
      <w:r w:rsidR="004B45F9" w:rsidRPr="00BB524D">
        <w:rPr>
          <w:rFonts w:cs="Arial"/>
          <w:sz w:val="22"/>
        </w:rPr>
        <w:t xml:space="preserve">the proportion who achieved a target </w:t>
      </w:r>
      <w:r w:rsidR="00BC3BAA">
        <w:rPr>
          <w:rFonts w:cs="Arial"/>
          <w:sz w:val="22"/>
        </w:rPr>
        <w:t>SUA</w:t>
      </w:r>
      <w:r w:rsidR="004B45F9" w:rsidRPr="00BB524D">
        <w:rPr>
          <w:rFonts w:cs="Arial"/>
          <w:sz w:val="22"/>
        </w:rPr>
        <w:t xml:space="preserve"> level</w:t>
      </w:r>
      <w:r w:rsidR="004B172B">
        <w:rPr>
          <w:rFonts w:cs="Arial"/>
          <w:sz w:val="22"/>
        </w:rPr>
        <w:t xml:space="preserve"> </w:t>
      </w:r>
      <w:r w:rsidR="004B45F9" w:rsidRPr="00BB524D">
        <w:rPr>
          <w:rFonts w:cs="Arial"/>
          <w:sz w:val="22"/>
        </w:rPr>
        <w:t>≤360</w:t>
      </w:r>
      <w:r w:rsidR="004B45F9" w:rsidRPr="00BB524D">
        <w:rPr>
          <w:rFonts w:cs="Arial"/>
          <w:sz w:val="22"/>
        </w:rPr>
        <w:sym w:font="Symbol" w:char="F06D"/>
      </w:r>
      <w:r w:rsidR="004B45F9" w:rsidRPr="00BB524D">
        <w:rPr>
          <w:rFonts w:cs="Arial"/>
          <w:sz w:val="22"/>
        </w:rPr>
        <w:t xml:space="preserve">mol/L was only slightly higher than </w:t>
      </w:r>
      <w:r w:rsidR="008F0CF5">
        <w:rPr>
          <w:rFonts w:cs="Arial"/>
          <w:sz w:val="22"/>
        </w:rPr>
        <w:t>that achieved</w:t>
      </w:r>
      <w:r w:rsidR="000A7CC8" w:rsidRPr="00BB524D">
        <w:rPr>
          <w:rFonts w:cs="Arial"/>
          <w:sz w:val="22"/>
        </w:rPr>
        <w:t xml:space="preserve"> in </w:t>
      </w:r>
      <w:r w:rsidR="00A42510" w:rsidRPr="00BB524D">
        <w:rPr>
          <w:rFonts w:cs="Arial"/>
          <w:sz w:val="22"/>
        </w:rPr>
        <w:t>p</w:t>
      </w:r>
      <w:r w:rsidR="00954607">
        <w:rPr>
          <w:rFonts w:cs="Arial"/>
          <w:sz w:val="22"/>
        </w:rPr>
        <w:t xml:space="preserve">rimary care </w:t>
      </w:r>
      <w:r w:rsidR="008F0CF5">
        <w:rPr>
          <w:rFonts w:cs="Arial"/>
          <w:sz w:val="22"/>
        </w:rPr>
        <w:t>(</w:t>
      </w:r>
      <w:r w:rsidR="008F0CF5" w:rsidRPr="00BB524D">
        <w:rPr>
          <w:rFonts w:cs="Arial"/>
          <w:sz w:val="22"/>
        </w:rPr>
        <w:t>38% of</w:t>
      </w:r>
      <w:r w:rsidR="008F0CF5">
        <w:rPr>
          <w:rFonts w:cs="Arial"/>
          <w:sz w:val="22"/>
        </w:rPr>
        <w:t xml:space="preserve"> those treated with allopurinol) </w:t>
      </w:r>
      <w:r w:rsidR="00954607">
        <w:rPr>
          <w:rFonts w:cs="Arial"/>
          <w:sz w:val="22"/>
        </w:rPr>
        <w:t>[4]</w:t>
      </w:r>
      <w:r w:rsidR="00AA56B0" w:rsidRPr="00BB524D">
        <w:rPr>
          <w:rFonts w:cs="Arial"/>
          <w:sz w:val="22"/>
        </w:rPr>
        <w:t>.</w:t>
      </w:r>
      <w:r w:rsidR="00B87ADF">
        <w:rPr>
          <w:rFonts w:cs="Arial"/>
          <w:sz w:val="22"/>
        </w:rPr>
        <w:t xml:space="preserve"> </w:t>
      </w:r>
    </w:p>
    <w:p w14:paraId="5A9B390E" w14:textId="1836AC16" w:rsidR="00A22A41" w:rsidRPr="00BB524D" w:rsidRDefault="00A22A41" w:rsidP="00A42510">
      <w:pPr>
        <w:spacing w:after="0" w:line="480" w:lineRule="auto"/>
        <w:ind w:firstLine="720"/>
        <w:rPr>
          <w:rFonts w:cs="Arial"/>
          <w:sz w:val="22"/>
        </w:rPr>
      </w:pPr>
      <w:r w:rsidRPr="00BB524D">
        <w:rPr>
          <w:rFonts w:cs="Arial"/>
          <w:sz w:val="22"/>
        </w:rPr>
        <w:t xml:space="preserve"> </w:t>
      </w:r>
      <w:r w:rsidR="003458AA">
        <w:rPr>
          <w:rFonts w:cs="Arial"/>
          <w:sz w:val="22"/>
        </w:rPr>
        <w:t>S</w:t>
      </w:r>
      <w:r w:rsidRPr="00BB524D">
        <w:rPr>
          <w:rFonts w:cs="Arial"/>
          <w:sz w:val="22"/>
        </w:rPr>
        <w:t>trength</w:t>
      </w:r>
      <w:r w:rsidR="00DD6C1D" w:rsidRPr="00BB524D">
        <w:rPr>
          <w:rFonts w:cs="Arial"/>
          <w:sz w:val="22"/>
        </w:rPr>
        <w:t xml:space="preserve">s </w:t>
      </w:r>
      <w:r w:rsidR="003458AA">
        <w:rPr>
          <w:rFonts w:cs="Arial"/>
          <w:sz w:val="22"/>
        </w:rPr>
        <w:t>of this audit include</w:t>
      </w:r>
      <w:r w:rsidR="00DD6C1D" w:rsidRPr="00BB524D">
        <w:rPr>
          <w:rFonts w:cs="Arial"/>
          <w:sz w:val="22"/>
        </w:rPr>
        <w:t xml:space="preserve"> the national setting and </w:t>
      </w:r>
      <w:r w:rsidR="00FA645F">
        <w:rPr>
          <w:rFonts w:cs="Arial"/>
          <w:sz w:val="22"/>
        </w:rPr>
        <w:t>sample size</w:t>
      </w:r>
      <w:r w:rsidR="00AE32AD">
        <w:rPr>
          <w:rFonts w:cs="Arial"/>
          <w:sz w:val="22"/>
        </w:rPr>
        <w:t xml:space="preserve">. </w:t>
      </w:r>
      <w:r w:rsidR="00880E80">
        <w:rPr>
          <w:rFonts w:cs="Arial"/>
          <w:sz w:val="22"/>
        </w:rPr>
        <w:t>P</w:t>
      </w:r>
      <w:r w:rsidR="00DD6C1D" w:rsidRPr="00BB524D">
        <w:rPr>
          <w:rFonts w:cs="Arial"/>
          <w:sz w:val="22"/>
        </w:rPr>
        <w:t>atients</w:t>
      </w:r>
      <w:r w:rsidRPr="00BB524D">
        <w:rPr>
          <w:rFonts w:cs="Arial"/>
          <w:sz w:val="22"/>
        </w:rPr>
        <w:t xml:space="preserve"> </w:t>
      </w:r>
      <w:r w:rsidR="00880E80">
        <w:rPr>
          <w:rFonts w:cs="Arial"/>
          <w:sz w:val="22"/>
        </w:rPr>
        <w:t xml:space="preserve">were </w:t>
      </w:r>
      <w:r w:rsidR="00DD6C1D" w:rsidRPr="00BB524D">
        <w:rPr>
          <w:rFonts w:cs="Arial"/>
          <w:sz w:val="22"/>
        </w:rPr>
        <w:t>entered</w:t>
      </w:r>
      <w:r w:rsidRPr="00BB524D">
        <w:rPr>
          <w:rFonts w:cs="Arial"/>
          <w:sz w:val="22"/>
        </w:rPr>
        <w:t xml:space="preserve"> from </w:t>
      </w:r>
      <w:r w:rsidR="00FA645F">
        <w:rPr>
          <w:rFonts w:cs="Arial"/>
          <w:sz w:val="22"/>
        </w:rPr>
        <w:t>most</w:t>
      </w:r>
      <w:r w:rsidRPr="00BB524D">
        <w:rPr>
          <w:rFonts w:cs="Arial"/>
          <w:sz w:val="22"/>
        </w:rPr>
        <w:t xml:space="preserve"> </w:t>
      </w:r>
      <w:r w:rsidR="00FA645F">
        <w:rPr>
          <w:rFonts w:cs="Arial"/>
          <w:sz w:val="22"/>
        </w:rPr>
        <w:t xml:space="preserve">UK </w:t>
      </w:r>
      <w:r w:rsidRPr="00BB524D">
        <w:rPr>
          <w:rFonts w:cs="Arial"/>
          <w:sz w:val="22"/>
        </w:rPr>
        <w:t xml:space="preserve">rheumatology </w:t>
      </w:r>
      <w:r w:rsidR="00DD6C1D" w:rsidRPr="00BB524D">
        <w:rPr>
          <w:rFonts w:cs="Arial"/>
          <w:sz w:val="22"/>
        </w:rPr>
        <w:t xml:space="preserve">units. </w:t>
      </w:r>
      <w:r w:rsidR="00011EF1" w:rsidRPr="00BB524D">
        <w:rPr>
          <w:rFonts w:cs="Arial"/>
          <w:sz w:val="22"/>
        </w:rPr>
        <w:t xml:space="preserve">Data were entered at the time of consultation making </w:t>
      </w:r>
      <w:r w:rsidR="00986FAE">
        <w:rPr>
          <w:rFonts w:cs="Arial"/>
          <w:sz w:val="22"/>
        </w:rPr>
        <w:t xml:space="preserve">accurate recording </w:t>
      </w:r>
      <w:r w:rsidR="00011EF1" w:rsidRPr="00BB524D">
        <w:rPr>
          <w:rFonts w:cs="Arial"/>
          <w:sz w:val="22"/>
        </w:rPr>
        <w:t>likely</w:t>
      </w:r>
      <w:r w:rsidR="00963898" w:rsidRPr="00BB524D">
        <w:rPr>
          <w:rFonts w:cs="Arial"/>
          <w:sz w:val="22"/>
        </w:rPr>
        <w:t>. However, clinicians</w:t>
      </w:r>
      <w:r w:rsidR="00D9291D">
        <w:rPr>
          <w:rFonts w:cs="Arial"/>
          <w:sz w:val="22"/>
        </w:rPr>
        <w:t>’</w:t>
      </w:r>
      <w:r w:rsidR="00963898" w:rsidRPr="00BB524D">
        <w:rPr>
          <w:rFonts w:cs="Arial"/>
          <w:sz w:val="22"/>
        </w:rPr>
        <w:t xml:space="preserve"> aware</w:t>
      </w:r>
      <w:r w:rsidR="00D9291D">
        <w:rPr>
          <w:rFonts w:cs="Arial"/>
          <w:sz w:val="22"/>
        </w:rPr>
        <w:t>ness</w:t>
      </w:r>
      <w:r w:rsidR="00963898" w:rsidRPr="00BB524D">
        <w:rPr>
          <w:rFonts w:cs="Arial"/>
          <w:sz w:val="22"/>
        </w:rPr>
        <w:t xml:space="preserve"> </w:t>
      </w:r>
      <w:r w:rsidR="00D9291D">
        <w:rPr>
          <w:rFonts w:cs="Arial"/>
          <w:sz w:val="22"/>
        </w:rPr>
        <w:t>of</w:t>
      </w:r>
      <w:r w:rsidR="00963898" w:rsidRPr="00BB524D">
        <w:rPr>
          <w:rFonts w:cs="Arial"/>
          <w:sz w:val="22"/>
        </w:rPr>
        <w:t xml:space="preserve"> the audit</w:t>
      </w:r>
      <w:r w:rsidR="00740E9C" w:rsidRPr="00BB524D">
        <w:rPr>
          <w:rFonts w:cs="Arial"/>
          <w:sz w:val="22"/>
        </w:rPr>
        <w:t xml:space="preserve"> </w:t>
      </w:r>
      <w:r w:rsidR="00D9291D">
        <w:rPr>
          <w:rFonts w:cs="Arial"/>
          <w:sz w:val="22"/>
        </w:rPr>
        <w:t xml:space="preserve">could have </w:t>
      </w:r>
      <w:r w:rsidR="00740E9C" w:rsidRPr="00BB524D">
        <w:rPr>
          <w:rFonts w:cs="Arial"/>
          <w:sz w:val="22"/>
        </w:rPr>
        <w:t>influenced clinical behaviour</w:t>
      </w:r>
      <w:r w:rsidR="00D9291D">
        <w:rPr>
          <w:rFonts w:cs="Arial"/>
          <w:sz w:val="22"/>
        </w:rPr>
        <w:t xml:space="preserve">, potentially </w:t>
      </w:r>
      <w:r w:rsidR="00740E9C" w:rsidRPr="00BB524D">
        <w:rPr>
          <w:rFonts w:cs="Arial"/>
          <w:sz w:val="22"/>
        </w:rPr>
        <w:t>overestimat</w:t>
      </w:r>
      <w:r w:rsidR="00D9291D">
        <w:rPr>
          <w:rFonts w:cs="Arial"/>
          <w:sz w:val="22"/>
        </w:rPr>
        <w:t>ing</w:t>
      </w:r>
      <w:r w:rsidR="00740E9C" w:rsidRPr="00BB524D">
        <w:rPr>
          <w:rFonts w:cs="Arial"/>
          <w:sz w:val="22"/>
        </w:rPr>
        <w:t xml:space="preserve"> </w:t>
      </w:r>
      <w:r w:rsidR="00AE32AD">
        <w:rPr>
          <w:rFonts w:cs="Arial"/>
          <w:sz w:val="22"/>
        </w:rPr>
        <w:t xml:space="preserve">guideline </w:t>
      </w:r>
      <w:r w:rsidR="00740E9C" w:rsidRPr="00BB524D">
        <w:rPr>
          <w:rFonts w:cs="Arial"/>
          <w:sz w:val="22"/>
        </w:rPr>
        <w:t>concordance</w:t>
      </w:r>
      <w:r w:rsidR="004F629B" w:rsidRPr="00BB524D">
        <w:rPr>
          <w:rFonts w:cs="Arial"/>
          <w:sz w:val="22"/>
        </w:rPr>
        <w:t>.</w:t>
      </w:r>
      <w:r w:rsidR="00E214AF" w:rsidRPr="00BB524D">
        <w:rPr>
          <w:rFonts w:cs="Arial"/>
          <w:sz w:val="22"/>
        </w:rPr>
        <w:t xml:space="preserve"> </w:t>
      </w:r>
      <w:r w:rsidR="009F6679">
        <w:rPr>
          <w:rFonts w:cs="Arial"/>
          <w:sz w:val="22"/>
        </w:rPr>
        <w:t>C</w:t>
      </w:r>
      <w:r w:rsidR="003C5F03" w:rsidRPr="00BB524D">
        <w:rPr>
          <w:rFonts w:cs="Arial"/>
          <w:sz w:val="22"/>
        </w:rPr>
        <w:t xml:space="preserve">aveats </w:t>
      </w:r>
      <w:r w:rsidR="00E93A40">
        <w:rPr>
          <w:rFonts w:cs="Arial"/>
          <w:sz w:val="22"/>
        </w:rPr>
        <w:t>regarding</w:t>
      </w:r>
      <w:r w:rsidR="003C5F03" w:rsidRPr="00BB524D">
        <w:rPr>
          <w:rFonts w:cs="Arial"/>
          <w:sz w:val="22"/>
        </w:rPr>
        <w:t xml:space="preserve"> data collect</w:t>
      </w:r>
      <w:r w:rsidR="002976BB">
        <w:rPr>
          <w:rFonts w:cs="Arial"/>
          <w:sz w:val="22"/>
        </w:rPr>
        <w:t>ion</w:t>
      </w:r>
      <w:r w:rsidR="009F6679">
        <w:rPr>
          <w:rFonts w:cs="Arial"/>
          <w:sz w:val="22"/>
        </w:rPr>
        <w:t xml:space="preserve"> include not ascertaining </w:t>
      </w:r>
      <w:r w:rsidR="00730C0F">
        <w:rPr>
          <w:rFonts w:cs="Arial"/>
          <w:sz w:val="22"/>
        </w:rPr>
        <w:t xml:space="preserve">whether </w:t>
      </w:r>
      <w:r w:rsidR="002976BB">
        <w:rPr>
          <w:rFonts w:cs="Arial"/>
          <w:sz w:val="22"/>
        </w:rPr>
        <w:t>rheumatologists were</w:t>
      </w:r>
      <w:r w:rsidR="00730C0F">
        <w:rPr>
          <w:rFonts w:cs="Arial"/>
          <w:sz w:val="22"/>
        </w:rPr>
        <w:t xml:space="preserve"> trainees or fully-trained</w:t>
      </w:r>
      <w:r w:rsidR="004830D3">
        <w:rPr>
          <w:rFonts w:cs="Arial"/>
          <w:sz w:val="22"/>
        </w:rPr>
        <w:t xml:space="preserve"> or use of ultrasonography or dual-energy CT in diagnosis</w:t>
      </w:r>
      <w:r w:rsidR="00730C0F">
        <w:rPr>
          <w:rFonts w:cs="Arial"/>
          <w:sz w:val="22"/>
        </w:rPr>
        <w:t xml:space="preserve">. </w:t>
      </w:r>
      <w:r w:rsidR="006141A8" w:rsidRPr="00BB524D">
        <w:rPr>
          <w:rFonts w:cs="Arial"/>
          <w:sz w:val="22"/>
        </w:rPr>
        <w:t>P</w:t>
      </w:r>
      <w:r w:rsidR="003C5F03" w:rsidRPr="00BB524D">
        <w:rPr>
          <w:rFonts w:cs="Arial"/>
          <w:sz w:val="22"/>
        </w:rPr>
        <w:t>rovision of dietary and lifestyle advice</w:t>
      </w:r>
      <w:r w:rsidR="00926667" w:rsidRPr="00BB524D">
        <w:rPr>
          <w:rFonts w:cs="Arial"/>
          <w:sz w:val="22"/>
        </w:rPr>
        <w:t xml:space="preserve"> </w:t>
      </w:r>
      <w:r w:rsidR="00341509" w:rsidRPr="00BB524D">
        <w:rPr>
          <w:rFonts w:cs="Arial"/>
          <w:sz w:val="22"/>
        </w:rPr>
        <w:t>was</w:t>
      </w:r>
      <w:r w:rsidR="008848B9">
        <w:rPr>
          <w:rFonts w:cs="Arial"/>
          <w:sz w:val="22"/>
        </w:rPr>
        <w:t xml:space="preserve"> not assessed </w:t>
      </w:r>
      <w:r w:rsidR="009104B1" w:rsidRPr="00BB524D">
        <w:rPr>
          <w:rFonts w:cs="Arial"/>
          <w:sz w:val="22"/>
        </w:rPr>
        <w:t>because</w:t>
      </w:r>
      <w:r w:rsidR="007843AC" w:rsidRPr="00BB524D">
        <w:rPr>
          <w:rFonts w:cs="Arial"/>
          <w:sz w:val="22"/>
        </w:rPr>
        <w:t xml:space="preserve"> many rheumatology units</w:t>
      </w:r>
      <w:r w:rsidR="009104B1" w:rsidRPr="00BB524D">
        <w:rPr>
          <w:rFonts w:cs="Arial"/>
          <w:sz w:val="22"/>
        </w:rPr>
        <w:t xml:space="preserve"> do </w:t>
      </w:r>
      <w:r w:rsidR="007843AC" w:rsidRPr="00BB524D">
        <w:rPr>
          <w:rFonts w:cs="Arial"/>
          <w:sz w:val="22"/>
        </w:rPr>
        <w:t xml:space="preserve">not </w:t>
      </w:r>
      <w:r w:rsidR="00E347D6">
        <w:rPr>
          <w:rFonts w:cs="Arial"/>
          <w:sz w:val="22"/>
        </w:rPr>
        <w:t xml:space="preserve">routinely </w:t>
      </w:r>
      <w:r w:rsidR="007843AC" w:rsidRPr="00BB524D">
        <w:rPr>
          <w:rFonts w:cs="Arial"/>
          <w:sz w:val="22"/>
        </w:rPr>
        <w:t>quantify dietary intake and body mass index</w:t>
      </w:r>
      <w:r w:rsidR="00CA4CFD" w:rsidRPr="00BB524D">
        <w:rPr>
          <w:rFonts w:cs="Arial"/>
          <w:sz w:val="22"/>
        </w:rPr>
        <w:t xml:space="preserve"> </w:t>
      </w:r>
      <w:r w:rsidR="006141A8" w:rsidRPr="00BB524D">
        <w:rPr>
          <w:rFonts w:cs="Arial"/>
          <w:sz w:val="22"/>
        </w:rPr>
        <w:t xml:space="preserve">and </w:t>
      </w:r>
      <w:r w:rsidR="003A1386" w:rsidRPr="00BB524D">
        <w:rPr>
          <w:rFonts w:cs="Arial"/>
          <w:sz w:val="22"/>
        </w:rPr>
        <w:t xml:space="preserve">clear thresholds </w:t>
      </w:r>
      <w:r w:rsidR="00D6169C">
        <w:rPr>
          <w:rFonts w:cs="Arial"/>
          <w:sz w:val="22"/>
        </w:rPr>
        <w:t xml:space="preserve">for </w:t>
      </w:r>
      <w:r w:rsidR="0038727C">
        <w:rPr>
          <w:rFonts w:cs="Arial"/>
          <w:sz w:val="22"/>
        </w:rPr>
        <w:t>intervention</w:t>
      </w:r>
      <w:r w:rsidR="003A1386" w:rsidRPr="00BB524D">
        <w:rPr>
          <w:rFonts w:cs="Arial"/>
          <w:sz w:val="22"/>
        </w:rPr>
        <w:t xml:space="preserve"> </w:t>
      </w:r>
      <w:r w:rsidR="009104B1" w:rsidRPr="00BB524D">
        <w:rPr>
          <w:rFonts w:cs="Arial"/>
          <w:sz w:val="22"/>
        </w:rPr>
        <w:t>are lacking</w:t>
      </w:r>
      <w:r w:rsidR="005246EE">
        <w:rPr>
          <w:rFonts w:cs="Arial"/>
          <w:sz w:val="22"/>
        </w:rPr>
        <w:t xml:space="preserve"> [5,6,14]</w:t>
      </w:r>
      <w:r w:rsidR="003A1386" w:rsidRPr="00BB524D">
        <w:rPr>
          <w:rFonts w:cs="Arial"/>
          <w:sz w:val="22"/>
        </w:rPr>
        <w:t xml:space="preserve">, </w:t>
      </w:r>
      <w:r w:rsidR="00F2577C">
        <w:rPr>
          <w:rFonts w:cs="Arial"/>
          <w:sz w:val="22"/>
        </w:rPr>
        <w:t xml:space="preserve">preventing </w:t>
      </w:r>
      <w:r w:rsidR="00EB0438" w:rsidRPr="00BB524D">
        <w:rPr>
          <w:rFonts w:cs="Arial"/>
          <w:sz w:val="22"/>
        </w:rPr>
        <w:t>assess</w:t>
      </w:r>
      <w:r w:rsidR="00F2577C">
        <w:rPr>
          <w:rFonts w:cs="Arial"/>
          <w:sz w:val="22"/>
        </w:rPr>
        <w:t>ment of the appropriateness of</w:t>
      </w:r>
      <w:r w:rsidR="00EB0438" w:rsidRPr="00BB524D">
        <w:rPr>
          <w:rFonts w:cs="Arial"/>
          <w:sz w:val="22"/>
        </w:rPr>
        <w:t xml:space="preserve"> </w:t>
      </w:r>
      <w:r w:rsidR="004376DD">
        <w:rPr>
          <w:rFonts w:cs="Arial"/>
          <w:sz w:val="22"/>
        </w:rPr>
        <w:t>such</w:t>
      </w:r>
      <w:r w:rsidR="00EB0438" w:rsidRPr="00BB524D">
        <w:rPr>
          <w:rFonts w:cs="Arial"/>
          <w:sz w:val="22"/>
        </w:rPr>
        <w:t xml:space="preserve"> advice</w:t>
      </w:r>
      <w:r w:rsidR="00CA4CFD" w:rsidRPr="00BB524D">
        <w:rPr>
          <w:rFonts w:cs="Arial"/>
          <w:sz w:val="22"/>
        </w:rPr>
        <w:t>.</w:t>
      </w:r>
      <w:r w:rsidR="00EB0438" w:rsidRPr="00BB524D">
        <w:rPr>
          <w:rFonts w:cs="Arial"/>
          <w:sz w:val="22"/>
        </w:rPr>
        <w:t xml:space="preserve"> </w:t>
      </w:r>
      <w:r w:rsidR="0038727C">
        <w:rPr>
          <w:rFonts w:cs="Arial"/>
          <w:sz w:val="22"/>
        </w:rPr>
        <w:t>W</w:t>
      </w:r>
      <w:r w:rsidR="00CA4CFD" w:rsidRPr="00BB524D">
        <w:rPr>
          <w:rFonts w:cs="Arial"/>
          <w:sz w:val="22"/>
        </w:rPr>
        <w:t xml:space="preserve">e asked about renal calculi </w:t>
      </w:r>
      <w:r w:rsidR="004015C8" w:rsidRPr="00BB524D">
        <w:rPr>
          <w:rFonts w:cs="Arial"/>
          <w:sz w:val="22"/>
        </w:rPr>
        <w:t xml:space="preserve">and radiographic </w:t>
      </w:r>
      <w:r w:rsidR="00157425" w:rsidRPr="00BB524D">
        <w:rPr>
          <w:rFonts w:cs="Arial"/>
          <w:sz w:val="22"/>
        </w:rPr>
        <w:t>features of gout</w:t>
      </w:r>
      <w:r w:rsidR="004015C8" w:rsidRPr="00BB524D">
        <w:rPr>
          <w:rFonts w:cs="Arial"/>
          <w:sz w:val="22"/>
        </w:rPr>
        <w:t xml:space="preserve">, rather than specifying uric acid calculi and radiographic damage, </w:t>
      </w:r>
      <w:r w:rsidR="00157425" w:rsidRPr="00BB524D">
        <w:rPr>
          <w:rFonts w:cs="Arial"/>
          <w:sz w:val="22"/>
        </w:rPr>
        <w:t xml:space="preserve">potentially </w:t>
      </w:r>
      <w:r w:rsidR="00B60BD4" w:rsidRPr="00BB524D">
        <w:rPr>
          <w:rFonts w:cs="Arial"/>
          <w:sz w:val="22"/>
        </w:rPr>
        <w:t>under-</w:t>
      </w:r>
      <w:r w:rsidR="00157425" w:rsidRPr="00BB524D">
        <w:rPr>
          <w:rFonts w:cs="Arial"/>
          <w:sz w:val="22"/>
        </w:rPr>
        <w:t xml:space="preserve">estimating </w:t>
      </w:r>
      <w:r w:rsidR="00C93332">
        <w:rPr>
          <w:rFonts w:cs="Arial"/>
          <w:sz w:val="22"/>
        </w:rPr>
        <w:t>how many</w:t>
      </w:r>
      <w:r w:rsidR="00157425" w:rsidRPr="00BB524D">
        <w:rPr>
          <w:rFonts w:cs="Arial"/>
          <w:sz w:val="22"/>
        </w:rPr>
        <w:t xml:space="preserve"> people with these indications received ULT (AS4). </w:t>
      </w:r>
      <w:r w:rsidR="005B05F0" w:rsidRPr="00BB524D">
        <w:rPr>
          <w:rFonts w:cs="Arial"/>
          <w:sz w:val="22"/>
        </w:rPr>
        <w:t xml:space="preserve"> </w:t>
      </w:r>
      <w:r w:rsidR="00476D63">
        <w:rPr>
          <w:rFonts w:cs="Arial"/>
          <w:sz w:val="22"/>
        </w:rPr>
        <w:t>R</w:t>
      </w:r>
      <w:r w:rsidR="001F646D">
        <w:rPr>
          <w:rFonts w:cs="Arial"/>
          <w:sz w:val="22"/>
        </w:rPr>
        <w:t>enal calculi (67%) and radiographic damage (66</w:t>
      </w:r>
      <w:r w:rsidR="00157425" w:rsidRPr="00BB524D">
        <w:rPr>
          <w:rFonts w:cs="Arial"/>
          <w:sz w:val="22"/>
        </w:rPr>
        <w:t xml:space="preserve">%) were the indications </w:t>
      </w:r>
      <w:r w:rsidR="005B05F0" w:rsidRPr="00BB524D">
        <w:rPr>
          <w:rFonts w:cs="Arial"/>
          <w:sz w:val="22"/>
        </w:rPr>
        <w:t xml:space="preserve">with the lowest proportions receiving </w:t>
      </w:r>
      <w:r w:rsidR="00157425" w:rsidRPr="00BB524D">
        <w:rPr>
          <w:rFonts w:cs="Arial"/>
          <w:sz w:val="22"/>
        </w:rPr>
        <w:t>ULT</w:t>
      </w:r>
      <w:r w:rsidR="005B05F0" w:rsidRPr="00BB524D">
        <w:rPr>
          <w:rFonts w:cs="Arial"/>
          <w:sz w:val="22"/>
        </w:rPr>
        <w:t>.</w:t>
      </w:r>
      <w:r w:rsidR="0019611C" w:rsidRPr="00BB524D">
        <w:rPr>
          <w:rFonts w:cs="Arial"/>
          <w:sz w:val="22"/>
        </w:rPr>
        <w:t xml:space="preserve"> </w:t>
      </w:r>
      <w:r w:rsidR="001C3C4E">
        <w:rPr>
          <w:rFonts w:cs="Arial"/>
          <w:sz w:val="22"/>
        </w:rPr>
        <w:t>T</w:t>
      </w:r>
      <w:r w:rsidR="004F629B" w:rsidRPr="00BB524D">
        <w:rPr>
          <w:rFonts w:cs="Arial"/>
          <w:sz w:val="22"/>
        </w:rPr>
        <w:t xml:space="preserve">welve-month follow-up data were available for only half </w:t>
      </w:r>
      <w:r w:rsidR="00143853" w:rsidRPr="00BB524D">
        <w:rPr>
          <w:rFonts w:cs="Arial"/>
          <w:sz w:val="22"/>
        </w:rPr>
        <w:t xml:space="preserve">of </w:t>
      </w:r>
      <w:r w:rsidR="009C2A64">
        <w:rPr>
          <w:rFonts w:cs="Arial"/>
          <w:sz w:val="22"/>
        </w:rPr>
        <w:t>the</w:t>
      </w:r>
      <w:r w:rsidR="00143853" w:rsidRPr="00BB524D">
        <w:rPr>
          <w:rFonts w:cs="Arial"/>
          <w:sz w:val="22"/>
        </w:rPr>
        <w:t xml:space="preserve"> baseline</w:t>
      </w:r>
      <w:r w:rsidR="009C2A64">
        <w:rPr>
          <w:rFonts w:cs="Arial"/>
          <w:sz w:val="22"/>
        </w:rPr>
        <w:t xml:space="preserve"> sample</w:t>
      </w:r>
      <w:r w:rsidR="00143853" w:rsidRPr="00BB524D">
        <w:rPr>
          <w:rFonts w:cs="Arial"/>
          <w:sz w:val="22"/>
        </w:rPr>
        <w:t xml:space="preserve">, although </w:t>
      </w:r>
      <w:r w:rsidR="00C93332">
        <w:rPr>
          <w:rFonts w:cs="Arial"/>
          <w:sz w:val="22"/>
        </w:rPr>
        <w:t>these</w:t>
      </w:r>
      <w:r w:rsidR="00562A89" w:rsidRPr="00BB524D">
        <w:rPr>
          <w:rFonts w:cs="Arial"/>
          <w:sz w:val="22"/>
        </w:rPr>
        <w:t xml:space="preserve"> differ</w:t>
      </w:r>
      <w:r w:rsidR="00E00ACA">
        <w:rPr>
          <w:rFonts w:cs="Arial"/>
          <w:sz w:val="22"/>
        </w:rPr>
        <w:t>ed</w:t>
      </w:r>
      <w:r w:rsidR="00562A89" w:rsidRPr="00BB524D">
        <w:rPr>
          <w:rFonts w:cs="Arial"/>
          <w:sz w:val="22"/>
        </w:rPr>
        <w:t xml:space="preserve"> </w:t>
      </w:r>
      <w:r w:rsidR="0019611C" w:rsidRPr="00BB524D">
        <w:rPr>
          <w:rFonts w:cs="Arial"/>
          <w:sz w:val="22"/>
        </w:rPr>
        <w:t>from</w:t>
      </w:r>
      <w:r w:rsidR="00562A89" w:rsidRPr="00BB524D">
        <w:rPr>
          <w:rFonts w:cs="Arial"/>
          <w:sz w:val="22"/>
        </w:rPr>
        <w:t xml:space="preserve"> those </w:t>
      </w:r>
      <w:r w:rsidR="001C3C4E">
        <w:rPr>
          <w:rFonts w:cs="Arial"/>
          <w:sz w:val="22"/>
        </w:rPr>
        <w:t>lost-to-</w:t>
      </w:r>
      <w:r w:rsidR="00562A89" w:rsidRPr="00BB524D">
        <w:rPr>
          <w:rFonts w:cs="Arial"/>
          <w:sz w:val="22"/>
        </w:rPr>
        <w:t xml:space="preserve">follow-up </w:t>
      </w:r>
      <w:r w:rsidR="00E00ACA">
        <w:rPr>
          <w:rFonts w:cs="Arial"/>
          <w:sz w:val="22"/>
        </w:rPr>
        <w:t>only by having</w:t>
      </w:r>
      <w:r w:rsidR="0019611C" w:rsidRPr="00BB524D">
        <w:rPr>
          <w:rFonts w:cs="Arial"/>
          <w:sz w:val="22"/>
        </w:rPr>
        <w:t xml:space="preserve"> more frequent tophi. </w:t>
      </w:r>
    </w:p>
    <w:p w14:paraId="358C8808" w14:textId="7786F253" w:rsidR="009F7E7B" w:rsidRDefault="001D2F51" w:rsidP="00F546D9">
      <w:pPr>
        <w:spacing w:after="0" w:line="480" w:lineRule="auto"/>
        <w:rPr>
          <w:rFonts w:cs="Arial"/>
          <w:sz w:val="22"/>
        </w:rPr>
      </w:pPr>
      <w:r>
        <w:rPr>
          <w:rFonts w:cs="Arial"/>
          <w:sz w:val="22"/>
        </w:rPr>
        <w:tab/>
      </w:r>
      <w:r w:rsidR="009C2A64">
        <w:rPr>
          <w:rFonts w:cs="Arial"/>
          <w:sz w:val="22"/>
        </w:rPr>
        <w:t>F</w:t>
      </w:r>
      <w:r>
        <w:rPr>
          <w:rFonts w:cs="Arial"/>
          <w:sz w:val="22"/>
        </w:rPr>
        <w:t xml:space="preserve">requent suboptimal </w:t>
      </w:r>
      <w:r w:rsidR="00E93820">
        <w:rPr>
          <w:rFonts w:cs="Arial"/>
          <w:sz w:val="22"/>
        </w:rPr>
        <w:t xml:space="preserve">gout </w:t>
      </w:r>
      <w:r>
        <w:rPr>
          <w:rFonts w:cs="Arial"/>
          <w:sz w:val="22"/>
        </w:rPr>
        <w:t>management in UK primary care is</w:t>
      </w:r>
      <w:r w:rsidR="00CE461A">
        <w:rPr>
          <w:rFonts w:cs="Arial"/>
          <w:sz w:val="22"/>
        </w:rPr>
        <w:t xml:space="preserve"> replicated</w:t>
      </w:r>
      <w:r>
        <w:rPr>
          <w:rFonts w:cs="Arial"/>
          <w:sz w:val="22"/>
        </w:rPr>
        <w:t xml:space="preserve"> in rheumatology clini</w:t>
      </w:r>
      <w:r w:rsidR="008C3F3D">
        <w:rPr>
          <w:rFonts w:cs="Arial"/>
          <w:sz w:val="22"/>
        </w:rPr>
        <w:t>c</w:t>
      </w:r>
      <w:r>
        <w:rPr>
          <w:rFonts w:cs="Arial"/>
          <w:sz w:val="22"/>
        </w:rPr>
        <w:t xml:space="preserve">s. </w:t>
      </w:r>
      <w:r w:rsidR="00DF621A">
        <w:rPr>
          <w:rFonts w:cs="Arial"/>
          <w:sz w:val="22"/>
        </w:rPr>
        <w:t xml:space="preserve">Further research </w:t>
      </w:r>
      <w:r w:rsidR="009D4C06">
        <w:rPr>
          <w:rFonts w:cs="Arial"/>
          <w:sz w:val="22"/>
        </w:rPr>
        <w:t>should</w:t>
      </w:r>
      <w:r w:rsidR="00DF621A">
        <w:rPr>
          <w:rFonts w:cs="Arial"/>
          <w:sz w:val="22"/>
        </w:rPr>
        <w:t xml:space="preserve"> investigate reasons for suboptimal management in rheumatology and examine how best </w:t>
      </w:r>
      <w:r w:rsidR="009D4C06">
        <w:rPr>
          <w:rFonts w:cs="Arial"/>
          <w:sz w:val="22"/>
        </w:rPr>
        <w:t xml:space="preserve">to </w:t>
      </w:r>
      <w:r w:rsidR="00DF621A">
        <w:rPr>
          <w:rFonts w:cs="Arial"/>
          <w:sz w:val="22"/>
        </w:rPr>
        <w:t xml:space="preserve">configure </w:t>
      </w:r>
      <w:r w:rsidR="009D4C06">
        <w:rPr>
          <w:rFonts w:cs="Arial"/>
          <w:sz w:val="22"/>
        </w:rPr>
        <w:t xml:space="preserve">services </w:t>
      </w:r>
      <w:r w:rsidR="00DF621A">
        <w:rPr>
          <w:rFonts w:cs="Arial"/>
          <w:sz w:val="22"/>
        </w:rPr>
        <w:t xml:space="preserve">to facilitate optimum evidence-based ULT. </w:t>
      </w:r>
      <w:r w:rsidR="0023556F">
        <w:rPr>
          <w:rFonts w:cs="Arial"/>
          <w:sz w:val="22"/>
        </w:rPr>
        <w:t xml:space="preserve">Our experience is that follow-up of patients with gout </w:t>
      </w:r>
      <w:r w:rsidR="002C4069">
        <w:rPr>
          <w:rFonts w:cs="Arial"/>
          <w:sz w:val="22"/>
        </w:rPr>
        <w:t>in</w:t>
      </w:r>
      <w:r w:rsidR="0023556F">
        <w:rPr>
          <w:rFonts w:cs="Arial"/>
          <w:sz w:val="22"/>
        </w:rPr>
        <w:t xml:space="preserve"> rheumatolog</w:t>
      </w:r>
      <w:r w:rsidR="002C4069">
        <w:rPr>
          <w:rFonts w:cs="Arial"/>
          <w:sz w:val="22"/>
        </w:rPr>
        <w:t>y</w:t>
      </w:r>
      <w:r w:rsidR="0023556F">
        <w:rPr>
          <w:rFonts w:cs="Arial"/>
          <w:sz w:val="22"/>
        </w:rPr>
        <w:t xml:space="preserve"> is very variable, with </w:t>
      </w:r>
      <w:r w:rsidR="00740AB2">
        <w:rPr>
          <w:rFonts w:cs="Arial"/>
          <w:sz w:val="22"/>
        </w:rPr>
        <w:t>s</w:t>
      </w:r>
      <w:r w:rsidR="0023556F">
        <w:rPr>
          <w:rFonts w:cs="Arial"/>
          <w:sz w:val="22"/>
        </w:rPr>
        <w:t>ome rheumatologists anecdotally report</w:t>
      </w:r>
      <w:r w:rsidR="00740AB2">
        <w:rPr>
          <w:rFonts w:cs="Arial"/>
          <w:sz w:val="22"/>
        </w:rPr>
        <w:t>ing</w:t>
      </w:r>
      <w:r w:rsidR="0023556F">
        <w:rPr>
          <w:rFonts w:cs="Arial"/>
          <w:sz w:val="22"/>
        </w:rPr>
        <w:t xml:space="preserve"> </w:t>
      </w:r>
      <w:r w:rsidR="002C4069">
        <w:rPr>
          <w:rFonts w:cs="Arial"/>
          <w:sz w:val="22"/>
        </w:rPr>
        <w:t xml:space="preserve">local commissioning arrangements preventing </w:t>
      </w:r>
      <w:r w:rsidR="0023556F">
        <w:rPr>
          <w:rFonts w:cs="Arial"/>
          <w:sz w:val="22"/>
        </w:rPr>
        <w:t xml:space="preserve">follow-up </w:t>
      </w:r>
      <w:r w:rsidR="002C4069">
        <w:rPr>
          <w:rFonts w:cs="Arial"/>
          <w:sz w:val="22"/>
        </w:rPr>
        <w:t xml:space="preserve">of </w:t>
      </w:r>
      <w:r w:rsidR="0023556F">
        <w:rPr>
          <w:rFonts w:cs="Arial"/>
          <w:sz w:val="22"/>
        </w:rPr>
        <w:t xml:space="preserve">patients with gout. </w:t>
      </w:r>
      <w:r w:rsidR="00E14A7C">
        <w:rPr>
          <w:rFonts w:cs="Arial"/>
          <w:sz w:val="22"/>
        </w:rPr>
        <w:t>This suggests</w:t>
      </w:r>
      <w:r w:rsidR="0023556F">
        <w:rPr>
          <w:rFonts w:cs="Arial"/>
          <w:sz w:val="22"/>
        </w:rPr>
        <w:t xml:space="preserve"> that </w:t>
      </w:r>
      <w:r w:rsidR="00583013">
        <w:rPr>
          <w:rFonts w:cs="Arial"/>
          <w:sz w:val="22"/>
        </w:rPr>
        <w:t xml:space="preserve">our findings </w:t>
      </w:r>
      <w:r w:rsidR="00183987">
        <w:rPr>
          <w:rFonts w:cs="Arial"/>
          <w:sz w:val="22"/>
        </w:rPr>
        <w:t>reflect</w:t>
      </w:r>
      <w:r w:rsidR="0023556F">
        <w:rPr>
          <w:rFonts w:cs="Arial"/>
          <w:sz w:val="22"/>
        </w:rPr>
        <w:t xml:space="preserve"> suboptimal management in both rheumatology and primary care</w:t>
      </w:r>
      <w:r w:rsidR="00183987">
        <w:rPr>
          <w:rFonts w:cs="Arial"/>
          <w:sz w:val="22"/>
        </w:rPr>
        <w:t>,</w:t>
      </w:r>
      <w:r w:rsidR="0023556F">
        <w:rPr>
          <w:rFonts w:cs="Arial"/>
          <w:sz w:val="22"/>
        </w:rPr>
        <w:t xml:space="preserve"> </w:t>
      </w:r>
      <w:r w:rsidR="0023556F">
        <w:rPr>
          <w:rFonts w:cs="Arial"/>
          <w:sz w:val="22"/>
        </w:rPr>
        <w:lastRenderedPageBreak/>
        <w:t xml:space="preserve">indicating </w:t>
      </w:r>
      <w:r w:rsidR="00BC11F5">
        <w:rPr>
          <w:rFonts w:cs="Arial"/>
          <w:sz w:val="22"/>
        </w:rPr>
        <w:t>that</w:t>
      </w:r>
      <w:r w:rsidR="0023556F">
        <w:rPr>
          <w:rFonts w:cs="Arial"/>
          <w:sz w:val="22"/>
        </w:rPr>
        <w:t xml:space="preserve"> </w:t>
      </w:r>
      <w:r w:rsidR="00E425B4">
        <w:rPr>
          <w:rFonts w:cs="Arial"/>
          <w:sz w:val="22"/>
        </w:rPr>
        <w:t xml:space="preserve">rheumatologists </w:t>
      </w:r>
      <w:r w:rsidR="00BC11F5">
        <w:rPr>
          <w:rFonts w:cs="Arial"/>
          <w:sz w:val="22"/>
        </w:rPr>
        <w:t>should</w:t>
      </w:r>
      <w:r w:rsidR="00E425B4">
        <w:rPr>
          <w:rFonts w:cs="Arial"/>
          <w:sz w:val="22"/>
        </w:rPr>
        <w:t xml:space="preserve"> improve management in secondary care but also work with </w:t>
      </w:r>
      <w:r w:rsidR="007549A2">
        <w:rPr>
          <w:rFonts w:cs="Arial"/>
          <w:sz w:val="22"/>
        </w:rPr>
        <w:t xml:space="preserve">primary care </w:t>
      </w:r>
      <w:r w:rsidR="00E425B4">
        <w:rPr>
          <w:rFonts w:cs="Arial"/>
          <w:sz w:val="22"/>
        </w:rPr>
        <w:t>colleagues to develop better systems to treat gout across the health economy</w:t>
      </w:r>
      <w:r w:rsidR="0023556F">
        <w:rPr>
          <w:rFonts w:cs="Arial"/>
          <w:sz w:val="22"/>
        </w:rPr>
        <w:t xml:space="preserve">. </w:t>
      </w:r>
      <w:r w:rsidR="004B7AAC">
        <w:rPr>
          <w:rFonts w:cs="Arial"/>
          <w:sz w:val="22"/>
        </w:rPr>
        <w:t>S</w:t>
      </w:r>
      <w:r w:rsidR="00814A73">
        <w:rPr>
          <w:rFonts w:cs="Arial"/>
          <w:sz w:val="22"/>
        </w:rPr>
        <w:t xml:space="preserve">ubsequent audits </w:t>
      </w:r>
      <w:r w:rsidR="002E4926">
        <w:rPr>
          <w:rFonts w:cs="Arial"/>
          <w:sz w:val="22"/>
        </w:rPr>
        <w:t>should</w:t>
      </w:r>
      <w:r w:rsidR="00814A73">
        <w:rPr>
          <w:rFonts w:cs="Arial"/>
          <w:sz w:val="22"/>
        </w:rPr>
        <w:t xml:space="preserve"> compare against </w:t>
      </w:r>
      <w:r w:rsidR="00C722A9">
        <w:rPr>
          <w:rFonts w:cs="Arial"/>
          <w:sz w:val="22"/>
        </w:rPr>
        <w:t xml:space="preserve">recently </w:t>
      </w:r>
      <w:r w:rsidR="00814A73">
        <w:rPr>
          <w:rFonts w:cs="Arial"/>
          <w:sz w:val="22"/>
        </w:rPr>
        <w:t>updat</w:t>
      </w:r>
      <w:r w:rsidR="003C7227">
        <w:rPr>
          <w:rFonts w:cs="Arial"/>
          <w:sz w:val="22"/>
        </w:rPr>
        <w:t xml:space="preserve">ed </w:t>
      </w:r>
      <w:r w:rsidR="004B7AAC">
        <w:rPr>
          <w:rFonts w:cs="Arial"/>
          <w:sz w:val="22"/>
        </w:rPr>
        <w:t xml:space="preserve">EULAR and BSR </w:t>
      </w:r>
      <w:r w:rsidR="003C7227">
        <w:rPr>
          <w:rFonts w:cs="Arial"/>
          <w:sz w:val="22"/>
        </w:rPr>
        <w:t>recommendation</w:t>
      </w:r>
      <w:r w:rsidR="00C722A9">
        <w:rPr>
          <w:rFonts w:cs="Arial"/>
          <w:sz w:val="22"/>
        </w:rPr>
        <w:t>s</w:t>
      </w:r>
      <w:r w:rsidR="003C7227">
        <w:rPr>
          <w:rFonts w:cs="Arial"/>
          <w:sz w:val="22"/>
        </w:rPr>
        <w:t xml:space="preserve"> </w:t>
      </w:r>
      <w:r w:rsidR="00CE19DC">
        <w:rPr>
          <w:rFonts w:cs="Arial"/>
          <w:sz w:val="22"/>
        </w:rPr>
        <w:t>[</w:t>
      </w:r>
      <w:r w:rsidR="00B55A84">
        <w:rPr>
          <w:rFonts w:cs="Arial"/>
          <w:sz w:val="22"/>
        </w:rPr>
        <w:t>19,</w:t>
      </w:r>
      <w:r w:rsidR="00CE19DC">
        <w:rPr>
          <w:rFonts w:cs="Arial"/>
          <w:sz w:val="22"/>
        </w:rPr>
        <w:t>20</w:t>
      </w:r>
      <w:r w:rsidR="003C7227">
        <w:rPr>
          <w:rFonts w:cs="Arial"/>
          <w:sz w:val="22"/>
        </w:rPr>
        <w:t>]</w:t>
      </w:r>
      <w:r w:rsidR="00814A73">
        <w:rPr>
          <w:rFonts w:cs="Arial"/>
          <w:sz w:val="22"/>
        </w:rPr>
        <w:t xml:space="preserve">. </w:t>
      </w:r>
      <w:r w:rsidR="00C2778E">
        <w:rPr>
          <w:rFonts w:cs="Arial"/>
          <w:sz w:val="22"/>
        </w:rPr>
        <w:t xml:space="preserve">Our </w:t>
      </w:r>
      <w:r w:rsidR="00CE461A">
        <w:rPr>
          <w:rFonts w:cs="Arial"/>
          <w:sz w:val="22"/>
        </w:rPr>
        <w:t>findings</w:t>
      </w:r>
      <w:r w:rsidR="00DF621A">
        <w:rPr>
          <w:rFonts w:cs="Arial"/>
          <w:sz w:val="22"/>
        </w:rPr>
        <w:t xml:space="preserve"> and </w:t>
      </w:r>
      <w:r w:rsidR="00C722A9">
        <w:rPr>
          <w:rFonts w:cs="Arial"/>
          <w:sz w:val="22"/>
        </w:rPr>
        <w:t>the</w:t>
      </w:r>
      <w:r w:rsidR="004541AA">
        <w:rPr>
          <w:rFonts w:cs="Arial"/>
          <w:sz w:val="22"/>
        </w:rPr>
        <w:t>se</w:t>
      </w:r>
      <w:r w:rsidR="00DF621A">
        <w:rPr>
          <w:rFonts w:cs="Arial"/>
          <w:sz w:val="22"/>
        </w:rPr>
        <w:t xml:space="preserve"> </w:t>
      </w:r>
      <w:r w:rsidR="004541AA">
        <w:rPr>
          <w:rFonts w:cs="Arial"/>
          <w:sz w:val="22"/>
        </w:rPr>
        <w:t xml:space="preserve">new guidelines’ </w:t>
      </w:r>
      <w:r w:rsidR="00DF621A">
        <w:rPr>
          <w:rFonts w:cs="Arial"/>
          <w:sz w:val="22"/>
        </w:rPr>
        <w:t>recommendation</w:t>
      </w:r>
      <w:r w:rsidR="00C722A9">
        <w:rPr>
          <w:rFonts w:cs="Arial"/>
          <w:sz w:val="22"/>
        </w:rPr>
        <w:t xml:space="preserve"> </w:t>
      </w:r>
      <w:r w:rsidR="00950B73">
        <w:rPr>
          <w:rFonts w:cs="Arial"/>
          <w:sz w:val="22"/>
        </w:rPr>
        <w:t xml:space="preserve">that ULT should be offered to all patients with gout at </w:t>
      </w:r>
      <w:r w:rsidR="00D63A6E">
        <w:rPr>
          <w:rFonts w:cs="Arial"/>
          <w:sz w:val="22"/>
        </w:rPr>
        <w:t>first diagnosis</w:t>
      </w:r>
      <w:r w:rsidR="00C6421C">
        <w:rPr>
          <w:rFonts w:cs="Arial"/>
          <w:sz w:val="22"/>
        </w:rPr>
        <w:t xml:space="preserve"> </w:t>
      </w:r>
      <w:r w:rsidR="00CE461A">
        <w:rPr>
          <w:rFonts w:cs="Arial"/>
          <w:sz w:val="22"/>
        </w:rPr>
        <w:t xml:space="preserve">should serve as a “call-to-arms” to </w:t>
      </w:r>
      <w:r w:rsidR="00FF46A8">
        <w:rPr>
          <w:rFonts w:cs="Arial"/>
          <w:sz w:val="22"/>
        </w:rPr>
        <w:t xml:space="preserve">all </w:t>
      </w:r>
      <w:r w:rsidR="00CE461A">
        <w:rPr>
          <w:rFonts w:cs="Arial"/>
          <w:sz w:val="22"/>
        </w:rPr>
        <w:t>rheumatologists</w:t>
      </w:r>
      <w:r w:rsidR="009428EF">
        <w:rPr>
          <w:rFonts w:cs="Arial"/>
          <w:sz w:val="22"/>
        </w:rPr>
        <w:t xml:space="preserve"> to </w:t>
      </w:r>
      <w:r w:rsidR="00EC2601">
        <w:rPr>
          <w:rFonts w:cs="Arial"/>
          <w:sz w:val="22"/>
        </w:rPr>
        <w:t>take gout seriously and ensure that ULT is initiated</w:t>
      </w:r>
      <w:r w:rsidR="008A7925">
        <w:rPr>
          <w:rFonts w:cs="Arial"/>
          <w:sz w:val="22"/>
        </w:rPr>
        <w:t>,</w:t>
      </w:r>
      <w:r w:rsidR="00EC2601">
        <w:rPr>
          <w:rFonts w:cs="Arial"/>
          <w:sz w:val="22"/>
        </w:rPr>
        <w:t xml:space="preserve"> escalated </w:t>
      </w:r>
      <w:r w:rsidR="008A7925">
        <w:rPr>
          <w:rFonts w:cs="Arial"/>
          <w:sz w:val="22"/>
        </w:rPr>
        <w:t xml:space="preserve">and monitored </w:t>
      </w:r>
      <w:r w:rsidR="00EC2601">
        <w:rPr>
          <w:rFonts w:cs="Arial"/>
          <w:sz w:val="22"/>
        </w:rPr>
        <w:t xml:space="preserve">appropriately to achieve target </w:t>
      </w:r>
      <w:r w:rsidR="00FF46A8">
        <w:rPr>
          <w:rFonts w:cs="Arial"/>
          <w:sz w:val="22"/>
        </w:rPr>
        <w:t>SUA</w:t>
      </w:r>
      <w:r w:rsidR="00EC2601">
        <w:rPr>
          <w:rFonts w:cs="Arial"/>
          <w:sz w:val="22"/>
        </w:rPr>
        <w:t xml:space="preserve"> levels </w:t>
      </w:r>
      <w:r w:rsidR="00FF46A8">
        <w:rPr>
          <w:rFonts w:cs="Arial"/>
          <w:sz w:val="22"/>
        </w:rPr>
        <w:t>to</w:t>
      </w:r>
      <w:r w:rsidR="00EC2601">
        <w:rPr>
          <w:rFonts w:cs="Arial"/>
          <w:sz w:val="22"/>
        </w:rPr>
        <w:t xml:space="preserve"> benefit patients. </w:t>
      </w:r>
    </w:p>
    <w:p w14:paraId="49406FC2" w14:textId="77777777" w:rsidR="009F7E7B" w:rsidRDefault="009F7E7B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480C2F6E" w14:textId="77777777" w:rsidR="009F7E7B" w:rsidRPr="003B69C6" w:rsidRDefault="009F7E7B" w:rsidP="009F7E7B">
      <w:pPr>
        <w:spacing w:after="0" w:line="480" w:lineRule="auto"/>
        <w:rPr>
          <w:rFonts w:cs="Arial"/>
          <w:b/>
          <w:sz w:val="22"/>
        </w:rPr>
      </w:pPr>
      <w:r w:rsidRPr="003B69C6">
        <w:rPr>
          <w:rFonts w:cs="Arial"/>
          <w:b/>
          <w:sz w:val="22"/>
        </w:rPr>
        <w:lastRenderedPageBreak/>
        <w:t>KEY MESSAGES</w:t>
      </w:r>
    </w:p>
    <w:p w14:paraId="16847384" w14:textId="5591FB16" w:rsidR="009F7E7B" w:rsidRPr="003B69C6" w:rsidRDefault="003B69C6" w:rsidP="009F7E7B">
      <w:pPr>
        <w:pStyle w:val="ListParagraph"/>
        <w:numPr>
          <w:ilvl w:val="0"/>
          <w:numId w:val="8"/>
        </w:numPr>
        <w:spacing w:after="0" w:line="480" w:lineRule="auto"/>
        <w:ind w:left="567" w:hanging="567"/>
        <w:rPr>
          <w:rFonts w:cs="Arial"/>
          <w:sz w:val="22"/>
        </w:rPr>
      </w:pPr>
      <w:r>
        <w:rPr>
          <w:rFonts w:cs="Arial"/>
          <w:sz w:val="22"/>
        </w:rPr>
        <w:t>Most aspects of gout management concorded well with published guidelines.</w:t>
      </w:r>
    </w:p>
    <w:p w14:paraId="72505FA6" w14:textId="4147C750" w:rsidR="009F7E7B" w:rsidRPr="000804F3" w:rsidRDefault="003B69C6" w:rsidP="009F7E7B">
      <w:pPr>
        <w:pStyle w:val="ListParagraph"/>
        <w:numPr>
          <w:ilvl w:val="0"/>
          <w:numId w:val="8"/>
        </w:numPr>
        <w:spacing w:after="0" w:line="480" w:lineRule="auto"/>
        <w:ind w:left="567" w:hanging="567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cs="Arial"/>
          <w:sz w:val="22"/>
        </w:rPr>
        <w:t>Fewer than one-half of patients achieved the target serum uric acid level.</w:t>
      </w:r>
      <w:r w:rsidR="009F7E7B" w:rsidRPr="000804F3">
        <w:rPr>
          <w:rFonts w:asciiTheme="minorHAnsi" w:hAnsiTheme="minorHAnsi"/>
          <w:b/>
          <w:color w:val="000000" w:themeColor="text1"/>
          <w:szCs w:val="24"/>
        </w:rPr>
        <w:br w:type="page"/>
      </w:r>
    </w:p>
    <w:p w14:paraId="10725533" w14:textId="77777777" w:rsidR="009F7E7B" w:rsidRPr="009F7E7B" w:rsidRDefault="009F7E7B" w:rsidP="009F7E7B">
      <w:pPr>
        <w:spacing w:line="480" w:lineRule="auto"/>
        <w:rPr>
          <w:b/>
          <w:color w:val="000000" w:themeColor="text1"/>
          <w:sz w:val="22"/>
        </w:rPr>
      </w:pPr>
      <w:r w:rsidRPr="009F7E7B">
        <w:rPr>
          <w:b/>
          <w:color w:val="000000" w:themeColor="text1"/>
          <w:sz w:val="22"/>
        </w:rPr>
        <w:lastRenderedPageBreak/>
        <w:t>CONFLICT OF INTEREST STATEMENT</w:t>
      </w:r>
    </w:p>
    <w:p w14:paraId="0D3B3C9A" w14:textId="77777777" w:rsidR="009F7E7B" w:rsidRPr="009F7E7B" w:rsidRDefault="009F7E7B" w:rsidP="009F7E7B">
      <w:pPr>
        <w:spacing w:line="480" w:lineRule="auto"/>
        <w:rPr>
          <w:b/>
          <w:color w:val="000000" w:themeColor="text1"/>
          <w:sz w:val="22"/>
        </w:rPr>
      </w:pPr>
      <w:r w:rsidRPr="009F7E7B">
        <w:rPr>
          <w:rFonts w:eastAsia="Times New Roman" w:cs="Calibri"/>
          <w:sz w:val="22"/>
          <w:lang w:eastAsia="en-GB"/>
        </w:rPr>
        <w:t xml:space="preserve">All authors declare no competing interests. </w:t>
      </w:r>
    </w:p>
    <w:p w14:paraId="3490A6D4" w14:textId="77777777" w:rsidR="009F7E7B" w:rsidRPr="009F7E7B" w:rsidRDefault="009F7E7B" w:rsidP="009F7E7B">
      <w:pPr>
        <w:pStyle w:val="NormalWeb"/>
        <w:spacing w:before="0" w:beforeAutospacing="0" w:after="0" w:afterAutospacing="0" w:line="480" w:lineRule="auto"/>
        <w:textAlignment w:val="baseline"/>
        <w:rPr>
          <w:rFonts w:asciiTheme="minorHAnsi" w:hAnsiTheme="minorHAnsi" w:cs="Helvetica"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14:paraId="2C5CE66A" w14:textId="77777777" w:rsidR="009F7E7B" w:rsidRPr="009F7E7B" w:rsidRDefault="009F7E7B" w:rsidP="009F7E7B">
      <w:pPr>
        <w:spacing w:line="480" w:lineRule="auto"/>
        <w:rPr>
          <w:b/>
          <w:color w:val="000000" w:themeColor="text1"/>
          <w:sz w:val="22"/>
          <w:shd w:val="clear" w:color="auto" w:fill="FFFFFF"/>
        </w:rPr>
      </w:pPr>
      <w:r w:rsidRPr="009F7E7B">
        <w:rPr>
          <w:b/>
          <w:color w:val="000000" w:themeColor="text1"/>
          <w:sz w:val="22"/>
          <w:shd w:val="clear" w:color="auto" w:fill="FFFFFF"/>
        </w:rPr>
        <w:t>FUNDING STATEMENT</w:t>
      </w:r>
    </w:p>
    <w:p w14:paraId="03002A5B" w14:textId="789788C8" w:rsidR="009F7E7B" w:rsidRPr="009F7E7B" w:rsidRDefault="009F7E7B" w:rsidP="009F7E7B">
      <w:pPr>
        <w:spacing w:line="480" w:lineRule="auto"/>
        <w:rPr>
          <w:rFonts w:cs="Arial"/>
          <w:color w:val="000000" w:themeColor="text1"/>
          <w:sz w:val="22"/>
        </w:rPr>
      </w:pPr>
      <w:r w:rsidRPr="009F7E7B">
        <w:rPr>
          <w:rFonts w:cs="Arial"/>
          <w:color w:val="000000" w:themeColor="text1"/>
          <w:sz w:val="22"/>
        </w:rPr>
        <w:t>We have no funding to declare.</w:t>
      </w:r>
    </w:p>
    <w:p w14:paraId="76460E17" w14:textId="77777777" w:rsidR="009F7E7B" w:rsidRPr="009F7E7B" w:rsidRDefault="009F7E7B" w:rsidP="009F7E7B">
      <w:pPr>
        <w:spacing w:line="480" w:lineRule="auto"/>
        <w:rPr>
          <w:rFonts w:cs="Arial"/>
          <w:color w:val="000000" w:themeColor="text1"/>
          <w:sz w:val="22"/>
        </w:rPr>
      </w:pPr>
    </w:p>
    <w:p w14:paraId="68674761" w14:textId="5D2A55A3" w:rsidR="009F7E7B" w:rsidRPr="009F7E7B" w:rsidRDefault="009F7E7B" w:rsidP="009F7E7B">
      <w:pPr>
        <w:spacing w:line="480" w:lineRule="auto"/>
        <w:rPr>
          <w:rFonts w:cs="Arial"/>
          <w:b/>
          <w:color w:val="000000" w:themeColor="text1"/>
          <w:sz w:val="22"/>
        </w:rPr>
      </w:pPr>
      <w:r w:rsidRPr="009F7E7B">
        <w:rPr>
          <w:rFonts w:cs="Arial"/>
          <w:b/>
          <w:color w:val="000000" w:themeColor="text1"/>
          <w:sz w:val="22"/>
        </w:rPr>
        <w:t>ACKNOWLEDGEMENTS</w:t>
      </w:r>
    </w:p>
    <w:p w14:paraId="10F2D3EA" w14:textId="78FE79BA" w:rsidR="009F7E7B" w:rsidRPr="009F7E7B" w:rsidRDefault="009F7E7B" w:rsidP="009F7E7B">
      <w:pPr>
        <w:spacing w:line="480" w:lineRule="auto"/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We would like to thank the participating rheumatology d</w:t>
      </w:r>
      <w:r w:rsidR="008F4ECB">
        <w:rPr>
          <w:rFonts w:cs="Arial"/>
          <w:color w:val="000000" w:themeColor="text1"/>
          <w:sz w:val="22"/>
        </w:rPr>
        <w:t>epartments who contributed data, and the British Society for Rheumatology Standards, Audit and Guidelines Working Group for supporting the audit.</w:t>
      </w:r>
    </w:p>
    <w:p w14:paraId="527C99A3" w14:textId="6B4B77D1" w:rsidR="0005610A" w:rsidRPr="00BB524D" w:rsidRDefault="0005610A" w:rsidP="00F546D9">
      <w:pPr>
        <w:spacing w:after="0" w:line="480" w:lineRule="auto"/>
        <w:rPr>
          <w:rFonts w:cs="Arial"/>
          <w:b/>
          <w:i/>
          <w:sz w:val="22"/>
        </w:rPr>
      </w:pPr>
      <w:r w:rsidRPr="00BB524D">
        <w:rPr>
          <w:rFonts w:cs="Arial"/>
          <w:b/>
          <w:i/>
          <w:sz w:val="22"/>
        </w:rPr>
        <w:br w:type="page"/>
      </w:r>
    </w:p>
    <w:p w14:paraId="0A8CC73A" w14:textId="77777777" w:rsidR="00CB7CDE" w:rsidRPr="00CB7CDE" w:rsidRDefault="00CB7CDE" w:rsidP="00CB7CDE">
      <w:pPr>
        <w:spacing w:after="0" w:line="480" w:lineRule="auto"/>
        <w:rPr>
          <w:i/>
          <w:sz w:val="22"/>
        </w:rPr>
      </w:pPr>
    </w:p>
    <w:p w14:paraId="3BBA37EE" w14:textId="307206D6" w:rsidR="00900008" w:rsidRPr="006759A6" w:rsidRDefault="00900008" w:rsidP="00D92C6C">
      <w:pPr>
        <w:spacing w:after="0" w:line="480" w:lineRule="auto"/>
        <w:rPr>
          <w:rFonts w:cs="Arial"/>
          <w:b/>
          <w:sz w:val="22"/>
        </w:rPr>
      </w:pPr>
      <w:r w:rsidRPr="006759A6">
        <w:rPr>
          <w:rFonts w:cs="Arial"/>
          <w:b/>
          <w:sz w:val="22"/>
        </w:rPr>
        <w:t>References</w:t>
      </w:r>
    </w:p>
    <w:p w14:paraId="42BA5D73" w14:textId="77777777" w:rsidR="00CB0855" w:rsidRPr="00CB0855" w:rsidRDefault="006759A6" w:rsidP="00CB0855">
      <w:pPr>
        <w:pStyle w:val="ListParagraph"/>
        <w:numPr>
          <w:ilvl w:val="0"/>
          <w:numId w:val="9"/>
        </w:numPr>
        <w:spacing w:after="0" w:line="480" w:lineRule="auto"/>
        <w:ind w:left="426" w:hanging="426"/>
        <w:rPr>
          <w:rFonts w:cs="Arial"/>
          <w:sz w:val="22"/>
        </w:rPr>
      </w:pPr>
      <w:r w:rsidRPr="006759A6">
        <w:rPr>
          <w:rFonts w:eastAsia="MinionPro-Regular" w:cs="Arial"/>
          <w:sz w:val="22"/>
        </w:rPr>
        <w:t>Kuo CF, Grainge MJ, Mallen C, Zhang W, Doherty M. Rising burden of gout in the UK but continuing suboptimal management: a nat</w:t>
      </w:r>
      <w:r w:rsidR="005455C3">
        <w:rPr>
          <w:rFonts w:eastAsia="MinionPro-Regular" w:cs="Arial"/>
          <w:sz w:val="22"/>
        </w:rPr>
        <w:t>ionwide population study. Ann</w:t>
      </w:r>
      <w:r w:rsidRPr="006759A6">
        <w:rPr>
          <w:rFonts w:eastAsia="MinionPro-Regular" w:cs="Arial"/>
          <w:sz w:val="22"/>
        </w:rPr>
        <w:t xml:space="preserve"> Rheum Dis 2015;74:661-667.</w:t>
      </w:r>
    </w:p>
    <w:p w14:paraId="3835953F" w14:textId="19F2370B" w:rsidR="00C51843" w:rsidRDefault="00CB0855" w:rsidP="00C51843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CB0855">
        <w:rPr>
          <w:rFonts w:cs="Arial"/>
          <w:bCs/>
          <w:color w:val="000000"/>
          <w:sz w:val="22"/>
        </w:rPr>
        <w:t>Pal B</w:t>
      </w:r>
      <w:r w:rsidRPr="00CB0855">
        <w:rPr>
          <w:rFonts w:cs="Arial"/>
          <w:color w:val="000000"/>
          <w:sz w:val="22"/>
        </w:rPr>
        <w:t xml:space="preserve">, Foxall M, Dysart T, Carey F, Whittaker M. How is </w:t>
      </w:r>
      <w:r w:rsidRPr="00CB0855">
        <w:rPr>
          <w:rFonts w:cs="Arial"/>
          <w:bCs/>
          <w:color w:val="000000"/>
          <w:sz w:val="22"/>
        </w:rPr>
        <w:t xml:space="preserve">gout </w:t>
      </w:r>
      <w:r w:rsidRPr="00CB0855">
        <w:rPr>
          <w:rFonts w:cs="Arial"/>
          <w:color w:val="000000"/>
          <w:sz w:val="22"/>
        </w:rPr>
        <w:t>managed in primary care? A review of current practice and proposed guidelines.</w:t>
      </w:r>
      <w:r>
        <w:rPr>
          <w:rFonts w:cs="Arial"/>
          <w:color w:val="000000"/>
          <w:sz w:val="22"/>
        </w:rPr>
        <w:t xml:space="preserve"> </w:t>
      </w:r>
      <w:r w:rsidRPr="00CB0855">
        <w:rPr>
          <w:rStyle w:val="jrnl"/>
          <w:rFonts w:cs="Arial"/>
          <w:color w:val="000000"/>
          <w:sz w:val="22"/>
        </w:rPr>
        <w:t>Clin Rheumatol</w:t>
      </w:r>
      <w:r w:rsidRPr="00CB0855">
        <w:rPr>
          <w:rFonts w:cs="Arial"/>
          <w:color w:val="000000"/>
          <w:sz w:val="22"/>
        </w:rPr>
        <w:t xml:space="preserve"> 2000;19</w:t>
      </w:r>
      <w:r w:rsidR="00C51843">
        <w:rPr>
          <w:rFonts w:cs="Arial"/>
          <w:color w:val="000000"/>
          <w:sz w:val="22"/>
        </w:rPr>
        <w:t>:21-5.</w:t>
      </w:r>
    </w:p>
    <w:p w14:paraId="6C30607A" w14:textId="77777777" w:rsidR="00C51843" w:rsidRDefault="00C51843" w:rsidP="00C51843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C51843">
        <w:rPr>
          <w:rFonts w:cs="Arial"/>
          <w:color w:val="000000"/>
          <w:sz w:val="22"/>
        </w:rPr>
        <w:t xml:space="preserve">Roddy E, Zhang W, Doherty M. Concordance of the management of chronic gout in a UK primary-care population with the EULAR gout recommendations. </w:t>
      </w:r>
      <w:r w:rsidRPr="00C51843">
        <w:rPr>
          <w:rStyle w:val="jrnl"/>
          <w:rFonts w:cs="Arial"/>
          <w:color w:val="000000"/>
          <w:sz w:val="22"/>
        </w:rPr>
        <w:t>Ann Rheum Dis</w:t>
      </w:r>
      <w:r w:rsidRPr="00C51843">
        <w:rPr>
          <w:rFonts w:cs="Arial"/>
          <w:color w:val="000000"/>
          <w:sz w:val="22"/>
        </w:rPr>
        <w:t xml:space="preserve"> 2007;66:1311-5. </w:t>
      </w:r>
    </w:p>
    <w:p w14:paraId="69F94F50" w14:textId="77777777" w:rsidR="00773A6B" w:rsidRPr="00773A6B" w:rsidRDefault="00C51843" w:rsidP="00773A6B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C51843">
        <w:rPr>
          <w:rFonts w:eastAsia="Times New Roman" w:cs="Arial"/>
          <w:bCs/>
          <w:color w:val="000000"/>
          <w:kern w:val="36"/>
          <w:sz w:val="22"/>
          <w:lang w:eastAsia="en-GB"/>
        </w:rPr>
        <w:t>Cottrell E</w:t>
      </w:r>
      <w:r w:rsidR="002C0F9F">
        <w:rPr>
          <w:rFonts w:eastAsia="Times New Roman" w:cs="Arial"/>
          <w:bCs/>
          <w:color w:val="000000"/>
          <w:kern w:val="36"/>
          <w:sz w:val="22"/>
          <w:lang w:eastAsia="en-GB"/>
        </w:rPr>
        <w:t>, Crabtree</w:t>
      </w:r>
      <w:r w:rsidRPr="00C51843">
        <w:rPr>
          <w:rFonts w:eastAsia="Times New Roman" w:cs="Arial"/>
          <w:bCs/>
          <w:color w:val="000000"/>
          <w:kern w:val="36"/>
          <w:sz w:val="22"/>
          <w:lang w:eastAsia="en-GB"/>
        </w:rPr>
        <w:t xml:space="preserve"> </w:t>
      </w:r>
      <w:r w:rsidR="002C0F9F">
        <w:rPr>
          <w:rFonts w:eastAsia="Times New Roman" w:cs="Arial"/>
          <w:bCs/>
          <w:color w:val="000000"/>
          <w:kern w:val="36"/>
          <w:sz w:val="22"/>
          <w:lang w:eastAsia="en-GB"/>
        </w:rPr>
        <w:t>V, Edwards JJ, Roddy E</w:t>
      </w:r>
      <w:r w:rsidRPr="00C51843">
        <w:rPr>
          <w:rFonts w:eastAsia="Times New Roman" w:cs="Arial"/>
          <w:bCs/>
          <w:color w:val="000000"/>
          <w:kern w:val="36"/>
          <w:sz w:val="22"/>
          <w:lang w:eastAsia="en-GB"/>
        </w:rPr>
        <w:t>. Improvement in the management of gout is vital and overdue: an audit from a UK primary care medical practice.</w:t>
      </w:r>
      <w:r w:rsidRPr="00C51843">
        <w:rPr>
          <w:rFonts w:eastAsia="Times New Roman" w:cs="Arial"/>
          <w:color w:val="000000"/>
          <w:sz w:val="22"/>
          <w:lang w:eastAsia="en-GB"/>
        </w:rPr>
        <w:t xml:space="preserve"> BMC Family Practice 2013;14:</w:t>
      </w:r>
      <w:r w:rsidRPr="009218B8">
        <w:rPr>
          <w:rFonts w:eastAsia="Times New Roman" w:cs="Arial"/>
          <w:color w:val="000000"/>
          <w:sz w:val="22"/>
          <w:lang w:eastAsia="en-GB"/>
        </w:rPr>
        <w:t>170.</w:t>
      </w:r>
    </w:p>
    <w:p w14:paraId="1F2EC4B6" w14:textId="59642512" w:rsidR="00773A6B" w:rsidRPr="00773A6B" w:rsidRDefault="00773A6B" w:rsidP="00773A6B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773A6B">
        <w:rPr>
          <w:rFonts w:eastAsia="MinionPro-Regular" w:cs="Arial"/>
          <w:sz w:val="22"/>
        </w:rPr>
        <w:t>Jordan KM, Cameron JS, Snaith M et al. British Society for Rheumatology and British Health Professionals in Rheumatology guideline for the management of gout. Rheumatology (Oxford) 2007;46:1372-1374.</w:t>
      </w:r>
    </w:p>
    <w:p w14:paraId="6BB1CDBD" w14:textId="0A05980F" w:rsidR="00773A6B" w:rsidRPr="00847922" w:rsidRDefault="00636B97" w:rsidP="00773A6B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636B97">
        <w:rPr>
          <w:rFonts w:eastAsia="MinionPro-Regular" w:cs="Arial"/>
          <w:sz w:val="22"/>
        </w:rPr>
        <w:t>Zhang W, Doherty M, Bardin T et al. EULAR evidence based recommendations for gout. Part II: Management. Report of a task force of the EULAR Standing Committee for International Clinical Studies Including Therapeutics (ESCISIT). Ann Rheum Dis 2006; 65:1312-1324.</w:t>
      </w:r>
    </w:p>
    <w:p w14:paraId="1A953CAC" w14:textId="77777777" w:rsidR="00847922" w:rsidRDefault="009218B8" w:rsidP="00847922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9218B8">
        <w:rPr>
          <w:rFonts w:cs="Arial"/>
          <w:color w:val="000000"/>
          <w:sz w:val="22"/>
        </w:rPr>
        <w:t>Kuo CF, Grainge MJ,</w:t>
      </w:r>
      <w:r w:rsidRPr="009218B8">
        <w:rPr>
          <w:rStyle w:val="apple-converted-space"/>
          <w:rFonts w:cs="Arial"/>
          <w:color w:val="000000"/>
          <w:sz w:val="22"/>
        </w:rPr>
        <w:t> </w:t>
      </w:r>
      <w:r w:rsidRPr="009218B8">
        <w:rPr>
          <w:rFonts w:cs="Arial"/>
          <w:bCs/>
          <w:color w:val="000000"/>
          <w:sz w:val="22"/>
        </w:rPr>
        <w:t>Mallen C</w:t>
      </w:r>
      <w:r w:rsidRPr="009218B8">
        <w:rPr>
          <w:rFonts w:cs="Arial"/>
          <w:color w:val="000000"/>
          <w:sz w:val="22"/>
        </w:rPr>
        <w:t xml:space="preserve">, Zhang W, Doherty M. Eligibility for and prescription of urate-lowering treatment in patients with incident </w:t>
      </w:r>
      <w:r w:rsidRPr="009218B8">
        <w:rPr>
          <w:rFonts w:cs="Arial"/>
          <w:bCs/>
          <w:color w:val="000000"/>
          <w:sz w:val="22"/>
        </w:rPr>
        <w:t xml:space="preserve">gout </w:t>
      </w:r>
      <w:r w:rsidRPr="009218B8">
        <w:rPr>
          <w:rFonts w:cs="Arial"/>
          <w:color w:val="000000"/>
          <w:sz w:val="22"/>
        </w:rPr>
        <w:t xml:space="preserve">in England. </w:t>
      </w:r>
      <w:r w:rsidRPr="009218B8">
        <w:rPr>
          <w:rStyle w:val="jrnl"/>
          <w:rFonts w:cs="Arial"/>
          <w:color w:val="000000"/>
          <w:sz w:val="22"/>
        </w:rPr>
        <w:t>JAMA</w:t>
      </w:r>
      <w:r w:rsidRPr="009218B8">
        <w:rPr>
          <w:rFonts w:cs="Arial"/>
          <w:color w:val="000000"/>
          <w:sz w:val="22"/>
        </w:rPr>
        <w:t xml:space="preserve"> 2014;312:2684-6</w:t>
      </w:r>
    </w:p>
    <w:p w14:paraId="0196C97F" w14:textId="77777777" w:rsidR="00AF512F" w:rsidRPr="00AF512F" w:rsidRDefault="00847922" w:rsidP="00AF512F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847922">
        <w:rPr>
          <w:rFonts w:eastAsia="MinionPro-Regular" w:cs="Arial"/>
          <w:sz w:val="22"/>
        </w:rPr>
        <w:t>Rees F, Jenkins W, Doherty M. Patients with gout adhere to curative treatment if informed appropriately: proof-of-concept observational study. Ann Rheum Dis 2013;72:826-830.</w:t>
      </w:r>
    </w:p>
    <w:p w14:paraId="619EE690" w14:textId="77777777" w:rsidR="00926F48" w:rsidRDefault="00AF512F" w:rsidP="00926F48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AF512F">
        <w:rPr>
          <w:rFonts w:cs="Arial"/>
          <w:bCs/>
          <w:color w:val="000000"/>
          <w:sz w:val="22"/>
        </w:rPr>
        <w:lastRenderedPageBreak/>
        <w:t>Perez-Ruiz F</w:t>
      </w:r>
      <w:r w:rsidRPr="00AF512F">
        <w:rPr>
          <w:rFonts w:cs="Arial"/>
          <w:color w:val="000000"/>
          <w:sz w:val="22"/>
        </w:rPr>
        <w:t xml:space="preserve">, Carmona L, Yébenes MJ et al. An audit of the variability of diagnosis and management of </w:t>
      </w:r>
      <w:r w:rsidRPr="00AF512F">
        <w:rPr>
          <w:rFonts w:cs="Arial"/>
          <w:bCs/>
          <w:color w:val="000000"/>
          <w:sz w:val="22"/>
        </w:rPr>
        <w:t xml:space="preserve">gout </w:t>
      </w:r>
      <w:r w:rsidRPr="00AF512F">
        <w:rPr>
          <w:rFonts w:cs="Arial"/>
          <w:color w:val="000000"/>
          <w:sz w:val="22"/>
        </w:rPr>
        <w:t xml:space="preserve">in the rheumatology setting: the </w:t>
      </w:r>
      <w:r w:rsidRPr="00AF512F">
        <w:rPr>
          <w:rFonts w:cs="Arial"/>
          <w:bCs/>
          <w:color w:val="000000"/>
          <w:sz w:val="22"/>
        </w:rPr>
        <w:t xml:space="preserve">gout </w:t>
      </w:r>
      <w:r w:rsidRPr="00AF512F">
        <w:rPr>
          <w:rFonts w:cs="Arial"/>
          <w:color w:val="000000"/>
          <w:sz w:val="22"/>
        </w:rPr>
        <w:t xml:space="preserve">evaluation and management study. </w:t>
      </w:r>
      <w:r w:rsidRPr="00AF512F">
        <w:rPr>
          <w:rStyle w:val="jrnl"/>
          <w:rFonts w:cs="Arial"/>
          <w:color w:val="000000"/>
          <w:sz w:val="22"/>
        </w:rPr>
        <w:t>J Clin Rheumatol</w:t>
      </w:r>
      <w:r w:rsidRPr="00AF512F">
        <w:rPr>
          <w:rStyle w:val="apple-converted-space"/>
          <w:rFonts w:cs="Arial"/>
          <w:color w:val="000000"/>
          <w:sz w:val="22"/>
        </w:rPr>
        <w:t> </w:t>
      </w:r>
      <w:r w:rsidRPr="00AF512F">
        <w:rPr>
          <w:rFonts w:cs="Arial"/>
          <w:bCs/>
          <w:color w:val="000000"/>
          <w:sz w:val="22"/>
        </w:rPr>
        <w:t>2011</w:t>
      </w:r>
      <w:r w:rsidRPr="00AF512F">
        <w:rPr>
          <w:rFonts w:cs="Arial"/>
          <w:color w:val="000000"/>
          <w:sz w:val="22"/>
        </w:rPr>
        <w:t>;17:349-55</w:t>
      </w:r>
    </w:p>
    <w:p w14:paraId="12B5D564" w14:textId="688D33C6" w:rsidR="00E95312" w:rsidRDefault="00E95312" w:rsidP="00E95312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E95312">
        <w:rPr>
          <w:rFonts w:cs="Arial"/>
          <w:color w:val="000000"/>
          <w:sz w:val="22"/>
        </w:rPr>
        <w:t>Oderda GM,</w:t>
      </w:r>
      <w:r w:rsidRPr="00E95312">
        <w:rPr>
          <w:rStyle w:val="apple-converted-space"/>
          <w:rFonts w:cs="Arial"/>
          <w:color w:val="000000"/>
          <w:sz w:val="22"/>
        </w:rPr>
        <w:t> </w:t>
      </w:r>
      <w:r w:rsidRPr="00E95312">
        <w:rPr>
          <w:rFonts w:cs="Arial"/>
          <w:color w:val="000000"/>
          <w:sz w:val="22"/>
        </w:rPr>
        <w:t>Shiozawa A,</w:t>
      </w:r>
      <w:r w:rsidRPr="00E95312">
        <w:rPr>
          <w:rStyle w:val="apple-converted-space"/>
          <w:rFonts w:cs="Arial"/>
          <w:color w:val="000000"/>
          <w:sz w:val="22"/>
        </w:rPr>
        <w:t> </w:t>
      </w:r>
      <w:r w:rsidRPr="00E95312">
        <w:rPr>
          <w:rFonts w:cs="Arial"/>
          <w:color w:val="000000"/>
          <w:sz w:val="22"/>
        </w:rPr>
        <w:t>Walsh M et al. Physician adherence to ACR</w:t>
      </w:r>
      <w:r w:rsidRPr="00E95312">
        <w:rPr>
          <w:rStyle w:val="apple-converted-space"/>
          <w:rFonts w:cs="Arial"/>
          <w:color w:val="000000"/>
          <w:sz w:val="22"/>
        </w:rPr>
        <w:t> </w:t>
      </w:r>
      <w:r w:rsidRPr="00E95312">
        <w:rPr>
          <w:rStyle w:val="highlight"/>
          <w:rFonts w:cs="Arial"/>
          <w:color w:val="000000"/>
          <w:sz w:val="22"/>
        </w:rPr>
        <w:t>gout</w:t>
      </w:r>
      <w:r w:rsidRPr="00E95312">
        <w:rPr>
          <w:rStyle w:val="apple-converted-space"/>
          <w:rFonts w:cs="Arial"/>
          <w:color w:val="000000"/>
          <w:sz w:val="22"/>
        </w:rPr>
        <w:t> </w:t>
      </w:r>
      <w:r w:rsidRPr="00E95312">
        <w:rPr>
          <w:rFonts w:cs="Arial"/>
          <w:color w:val="000000"/>
          <w:sz w:val="22"/>
        </w:rPr>
        <w:t>treatment guidelines: perception versus practice.</w:t>
      </w:r>
      <w:r w:rsidRPr="00E95312">
        <w:rPr>
          <w:sz w:val="22"/>
        </w:rPr>
        <w:t xml:space="preserve"> </w:t>
      </w:r>
      <w:r>
        <w:rPr>
          <w:rFonts w:cs="Arial"/>
          <w:color w:val="000000"/>
          <w:sz w:val="22"/>
        </w:rPr>
        <w:t>Postgrad Med</w:t>
      </w:r>
      <w:r w:rsidRPr="00E95312">
        <w:rPr>
          <w:rStyle w:val="apple-converted-space"/>
          <w:rFonts w:cs="Arial"/>
          <w:color w:val="000000"/>
          <w:sz w:val="22"/>
        </w:rPr>
        <w:t> </w:t>
      </w:r>
      <w:r w:rsidRPr="00E95312">
        <w:rPr>
          <w:rStyle w:val="highlight"/>
          <w:rFonts w:cs="Arial"/>
          <w:color w:val="000000"/>
          <w:sz w:val="22"/>
        </w:rPr>
        <w:t>2014</w:t>
      </w:r>
      <w:r w:rsidRPr="00E95312">
        <w:rPr>
          <w:rFonts w:cs="Arial"/>
          <w:color w:val="000000"/>
          <w:sz w:val="22"/>
        </w:rPr>
        <w:t xml:space="preserve">;126:257-67. </w:t>
      </w:r>
    </w:p>
    <w:p w14:paraId="0556A6FC" w14:textId="6CB1D44B" w:rsidR="00E06901" w:rsidRDefault="00A214A7" w:rsidP="00E06901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926F48">
        <w:rPr>
          <w:rFonts w:cs="Arial"/>
          <w:bCs/>
          <w:color w:val="000000"/>
          <w:sz w:val="22"/>
        </w:rPr>
        <w:t>Richette P</w:t>
      </w:r>
      <w:r w:rsidRPr="00926F48">
        <w:rPr>
          <w:rFonts w:cs="Arial"/>
          <w:color w:val="000000"/>
          <w:sz w:val="22"/>
        </w:rPr>
        <w:t>, Flipo RN, Patrikos DK.</w:t>
      </w:r>
      <w:r w:rsidR="00926F48" w:rsidRPr="00926F48">
        <w:rPr>
          <w:rFonts w:cs="Arial"/>
          <w:color w:val="000000"/>
          <w:sz w:val="22"/>
        </w:rPr>
        <w:t xml:space="preserve"> </w:t>
      </w:r>
      <w:r w:rsidRPr="00926F48">
        <w:rPr>
          <w:rFonts w:cs="Arial"/>
          <w:color w:val="000000"/>
          <w:sz w:val="22"/>
        </w:rPr>
        <w:t xml:space="preserve">Characteristics and management of </w:t>
      </w:r>
      <w:r w:rsidRPr="00926F48">
        <w:rPr>
          <w:rFonts w:cs="Arial"/>
          <w:bCs/>
          <w:color w:val="000000"/>
          <w:sz w:val="22"/>
        </w:rPr>
        <w:t xml:space="preserve">gout </w:t>
      </w:r>
      <w:r w:rsidRPr="00926F48">
        <w:rPr>
          <w:rFonts w:cs="Arial"/>
          <w:color w:val="000000"/>
          <w:sz w:val="22"/>
        </w:rPr>
        <w:t>patients in Europe: data from a large cohort of patients.</w:t>
      </w:r>
      <w:r w:rsidR="00926F48" w:rsidRPr="00926F48">
        <w:rPr>
          <w:rFonts w:cs="Arial"/>
          <w:color w:val="000000"/>
          <w:sz w:val="22"/>
        </w:rPr>
        <w:t xml:space="preserve"> </w:t>
      </w:r>
      <w:r w:rsidRPr="00926F48">
        <w:rPr>
          <w:rStyle w:val="jrnl"/>
          <w:rFonts w:cs="Arial"/>
          <w:color w:val="000000"/>
          <w:sz w:val="22"/>
        </w:rPr>
        <w:t>Eur Rev Med Pharmacol Sci</w:t>
      </w:r>
      <w:r w:rsidRPr="00926F48">
        <w:rPr>
          <w:rStyle w:val="apple-converted-space"/>
          <w:rFonts w:cs="Arial"/>
          <w:color w:val="000000"/>
          <w:sz w:val="22"/>
        </w:rPr>
        <w:t> </w:t>
      </w:r>
      <w:r w:rsidRPr="00926F48">
        <w:rPr>
          <w:rFonts w:cs="Arial"/>
          <w:bCs/>
          <w:color w:val="000000"/>
          <w:sz w:val="22"/>
        </w:rPr>
        <w:t>2015</w:t>
      </w:r>
      <w:r w:rsidRPr="00926F48">
        <w:rPr>
          <w:rFonts w:cs="Arial"/>
          <w:color w:val="000000"/>
          <w:sz w:val="22"/>
        </w:rPr>
        <w:t>;19</w:t>
      </w:r>
      <w:r w:rsidR="00E95312">
        <w:rPr>
          <w:rFonts w:cs="Arial"/>
          <w:color w:val="000000"/>
          <w:sz w:val="22"/>
        </w:rPr>
        <w:t>:630</w:t>
      </w:r>
      <w:r w:rsidR="007F5317">
        <w:rPr>
          <w:rFonts w:cs="Arial"/>
          <w:color w:val="000000"/>
          <w:sz w:val="22"/>
        </w:rPr>
        <w:t>.</w:t>
      </w:r>
    </w:p>
    <w:p w14:paraId="332E6963" w14:textId="77777777" w:rsidR="007F5317" w:rsidRDefault="00E06901" w:rsidP="007F5317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E06901">
        <w:rPr>
          <w:rFonts w:cs="Arial"/>
          <w:color w:val="000000"/>
          <w:sz w:val="22"/>
        </w:rPr>
        <w:t xml:space="preserve">Pandya BJ, Riedel AA, Swindle JP et al. Relationship between physician specialty and allopurinol prescribing patterns: a study of patients with gout in managed care settings. </w:t>
      </w:r>
      <w:r w:rsidRPr="00E06901">
        <w:rPr>
          <w:rStyle w:val="jrnl"/>
          <w:rFonts w:cs="Arial"/>
          <w:color w:val="000000"/>
          <w:sz w:val="22"/>
        </w:rPr>
        <w:t xml:space="preserve">Curr Med Res </w:t>
      </w:r>
      <w:r w:rsidRPr="007F5317">
        <w:rPr>
          <w:rStyle w:val="jrnl"/>
          <w:rFonts w:cs="Arial"/>
          <w:color w:val="000000"/>
          <w:sz w:val="22"/>
        </w:rPr>
        <w:t>Opin 20</w:t>
      </w:r>
      <w:r w:rsidRPr="007F5317">
        <w:rPr>
          <w:rFonts w:cs="Arial"/>
          <w:color w:val="000000"/>
          <w:sz w:val="22"/>
        </w:rPr>
        <w:t>11;27:737-44.</w:t>
      </w:r>
    </w:p>
    <w:p w14:paraId="66AF92D9" w14:textId="3983B242" w:rsidR="00E95312" w:rsidRDefault="007F5317" w:rsidP="00EF68AB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Style w:val="apple-converted-space"/>
          <w:rFonts w:cs="Arial"/>
          <w:color w:val="000000"/>
          <w:sz w:val="22"/>
        </w:rPr>
      </w:pPr>
      <w:r w:rsidRPr="007F5317">
        <w:rPr>
          <w:rFonts w:cs="Arial"/>
          <w:bCs/>
          <w:color w:val="000000"/>
          <w:sz w:val="22"/>
        </w:rPr>
        <w:t>Conway R</w:t>
      </w:r>
      <w:r w:rsidRPr="007F5317">
        <w:rPr>
          <w:rFonts w:cs="Arial"/>
          <w:color w:val="000000"/>
          <w:sz w:val="22"/>
        </w:rPr>
        <w:t xml:space="preserve">, Coughlan RJ, Carey JJ. Adherence to uric acid treatment guidelines in a rheumatology clinic. </w:t>
      </w:r>
      <w:r w:rsidRPr="007F5317">
        <w:rPr>
          <w:rStyle w:val="jrnl"/>
          <w:rFonts w:cs="Arial"/>
          <w:color w:val="000000"/>
          <w:sz w:val="22"/>
        </w:rPr>
        <w:t>Clin Rheumatol</w:t>
      </w:r>
      <w:r w:rsidRPr="007F5317">
        <w:rPr>
          <w:rFonts w:cs="Arial"/>
          <w:color w:val="000000"/>
          <w:sz w:val="22"/>
        </w:rPr>
        <w:t xml:space="preserve"> 2012;31:1707-11.</w:t>
      </w:r>
    </w:p>
    <w:p w14:paraId="0C5A5E61" w14:textId="5C9D0DCE" w:rsidR="00EF68AB" w:rsidRPr="006965DB" w:rsidRDefault="00EF68AB" w:rsidP="00EF68AB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Fonts w:cs="Arial"/>
          <w:color w:val="000000"/>
          <w:sz w:val="22"/>
        </w:rPr>
      </w:pPr>
      <w:r w:rsidRPr="00A54C9D">
        <w:rPr>
          <w:sz w:val="22"/>
        </w:rPr>
        <w:t>Zhang W, Doherty M, Pascual E</w:t>
      </w:r>
      <w:r w:rsidR="006965DB">
        <w:rPr>
          <w:sz w:val="22"/>
        </w:rPr>
        <w:t xml:space="preserve"> </w:t>
      </w:r>
      <w:r>
        <w:rPr>
          <w:sz w:val="22"/>
        </w:rPr>
        <w:t xml:space="preserve">et al. </w:t>
      </w:r>
      <w:r w:rsidRPr="00A54C9D">
        <w:rPr>
          <w:sz w:val="22"/>
        </w:rPr>
        <w:t>EULAR evidence based recommendations for gout. Part I: Diagnosis. Report of a task force of the Standing Committee for International Clinical Studies Including Therapeutics (ESCISIT).</w:t>
      </w:r>
      <w:r>
        <w:rPr>
          <w:sz w:val="22"/>
        </w:rPr>
        <w:t xml:space="preserve"> </w:t>
      </w:r>
      <w:r w:rsidRPr="00A54C9D">
        <w:rPr>
          <w:i/>
          <w:sz w:val="22"/>
        </w:rPr>
        <w:t>Ann Rheum Dis</w:t>
      </w:r>
      <w:r w:rsidR="006965DB">
        <w:rPr>
          <w:sz w:val="22"/>
        </w:rPr>
        <w:t xml:space="preserve"> 2006;65</w:t>
      </w:r>
      <w:r w:rsidRPr="00A54C9D">
        <w:rPr>
          <w:sz w:val="22"/>
        </w:rPr>
        <w:t>:1301-11.</w:t>
      </w:r>
    </w:p>
    <w:p w14:paraId="676FC67D" w14:textId="3388E492" w:rsidR="006759A6" w:rsidRDefault="006965DB" w:rsidP="0013058C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sz w:val="22"/>
        </w:rPr>
      </w:pPr>
      <w:r w:rsidRPr="006965DB">
        <w:rPr>
          <w:rFonts w:eastAsia="Times New Roman" w:cs="Arial"/>
          <w:sz w:val="22"/>
          <w:lang w:eastAsia="en-GB"/>
        </w:rPr>
        <w:t xml:space="preserve">National Institute for Health and Care Excellence. TA164: Febuxostat for the management of hyperuricaemia in people with gout. </w:t>
      </w:r>
      <w:hyperlink r:id="rId9" w:history="1">
        <w:r w:rsidRPr="006965DB">
          <w:rPr>
            <w:rStyle w:val="Hyperlink"/>
            <w:rFonts w:eastAsia="Times New Roman" w:cs="Arial"/>
            <w:sz w:val="22"/>
            <w:lang w:eastAsia="en-GB"/>
          </w:rPr>
          <w:t>http://www.nice.org.uk/nicemedia/live/12101/42738/42738.pdf</w:t>
        </w:r>
      </w:hyperlink>
    </w:p>
    <w:p w14:paraId="684FB4F8" w14:textId="77777777" w:rsidR="00050F3B" w:rsidRDefault="008965B5" w:rsidP="00050F3B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sz w:val="22"/>
        </w:rPr>
      </w:pPr>
      <w:r w:rsidRPr="008965B5">
        <w:rPr>
          <w:rFonts w:eastAsia="Times New Roman" w:cs="Arial"/>
          <w:sz w:val="22"/>
          <w:lang w:eastAsia="en-GB"/>
        </w:rPr>
        <w:t xml:space="preserve">NHS Health Research Authority. Determine whether your study is research. </w:t>
      </w:r>
      <w:hyperlink r:id="rId10" w:history="1">
        <w:r w:rsidRPr="008965B5">
          <w:rPr>
            <w:rStyle w:val="Hyperlink"/>
            <w:sz w:val="22"/>
          </w:rPr>
          <w:t>http://www.hra.nhs.uk//research-community/before-you-apply/determine-whether-your-study-is-research/</w:t>
        </w:r>
      </w:hyperlink>
    </w:p>
    <w:p w14:paraId="28F45119" w14:textId="77777777" w:rsidR="001E594F" w:rsidRPr="001E594F" w:rsidRDefault="00C053DF" w:rsidP="001E594F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sz w:val="22"/>
        </w:rPr>
      </w:pPr>
      <w:r w:rsidRPr="00CE19DC">
        <w:rPr>
          <w:rFonts w:cs="Arial"/>
          <w:bCs/>
          <w:color w:val="000000"/>
          <w:sz w:val="22"/>
        </w:rPr>
        <w:t>Dalbeth N</w:t>
      </w:r>
      <w:r w:rsidRPr="00CE19DC">
        <w:rPr>
          <w:rFonts w:cs="Arial"/>
          <w:color w:val="000000"/>
          <w:sz w:val="22"/>
        </w:rPr>
        <w:t>, Kumar S,</w:t>
      </w:r>
      <w:r w:rsidRPr="00CE19DC">
        <w:rPr>
          <w:rStyle w:val="apple-converted-space"/>
          <w:rFonts w:cs="Arial"/>
          <w:color w:val="000000"/>
          <w:sz w:val="22"/>
        </w:rPr>
        <w:t> </w:t>
      </w:r>
      <w:r w:rsidRPr="00CE19DC">
        <w:rPr>
          <w:rFonts w:cs="Arial"/>
          <w:bCs/>
          <w:color w:val="000000"/>
          <w:sz w:val="22"/>
        </w:rPr>
        <w:t>Stamp L</w:t>
      </w:r>
      <w:r w:rsidRPr="00CE19DC">
        <w:rPr>
          <w:rFonts w:cs="Arial"/>
          <w:color w:val="000000"/>
          <w:sz w:val="22"/>
        </w:rPr>
        <w:t xml:space="preserve">, Gow P. Dose adjustment of allopurinol according to </w:t>
      </w:r>
      <w:r w:rsidRPr="00CE19DC">
        <w:rPr>
          <w:rFonts w:cs="Arial"/>
          <w:bCs/>
          <w:color w:val="000000"/>
          <w:sz w:val="22"/>
        </w:rPr>
        <w:t xml:space="preserve">creatinine clearance </w:t>
      </w:r>
      <w:r w:rsidRPr="00CE19DC">
        <w:rPr>
          <w:rFonts w:cs="Arial"/>
          <w:color w:val="000000"/>
          <w:sz w:val="22"/>
        </w:rPr>
        <w:t>does not provide adequate control of hyperuricemia in patients with gout.</w:t>
      </w:r>
      <w:r w:rsidR="00CE19DC" w:rsidRPr="00CE19DC">
        <w:rPr>
          <w:rFonts w:cs="Arial"/>
          <w:color w:val="000000"/>
          <w:sz w:val="22"/>
        </w:rPr>
        <w:t xml:space="preserve"> </w:t>
      </w:r>
      <w:r w:rsidRPr="00CE19DC">
        <w:rPr>
          <w:rStyle w:val="jrnl"/>
          <w:rFonts w:cs="Arial"/>
          <w:color w:val="000000"/>
          <w:sz w:val="22"/>
        </w:rPr>
        <w:t>J Rheumatol</w:t>
      </w:r>
      <w:r w:rsidRPr="00CE19DC">
        <w:rPr>
          <w:rFonts w:cs="Arial"/>
          <w:color w:val="000000"/>
          <w:sz w:val="22"/>
        </w:rPr>
        <w:t xml:space="preserve"> 2006;33:1646-50.</w:t>
      </w:r>
    </w:p>
    <w:p w14:paraId="25A72383" w14:textId="77777777" w:rsidR="00F926DA" w:rsidRPr="00F926DA" w:rsidRDefault="001E594F" w:rsidP="00F926DA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sz w:val="22"/>
        </w:rPr>
      </w:pPr>
      <w:r w:rsidRPr="001E594F">
        <w:rPr>
          <w:rFonts w:cs="Arial"/>
          <w:color w:val="000000"/>
          <w:sz w:val="22"/>
        </w:rPr>
        <w:t xml:space="preserve">Stamp LK, Chapman PT, Barclay ML et al. A randomised controlled trial of the efficacy and safety of allopurinol dose escalation to achieve target serum urate in people with </w:t>
      </w:r>
      <w:r w:rsidRPr="001E594F">
        <w:rPr>
          <w:rFonts w:cs="Arial"/>
          <w:color w:val="000000"/>
          <w:sz w:val="22"/>
        </w:rPr>
        <w:lastRenderedPageBreak/>
        <w:t xml:space="preserve">gout. </w:t>
      </w:r>
      <w:r w:rsidRPr="001E594F">
        <w:rPr>
          <w:rStyle w:val="jrnl"/>
          <w:rFonts w:cs="Arial"/>
          <w:color w:val="000000"/>
          <w:sz w:val="22"/>
        </w:rPr>
        <w:t>Ann Rheum Dis</w:t>
      </w:r>
      <w:r w:rsidRPr="001E594F">
        <w:rPr>
          <w:rFonts w:cs="Arial"/>
          <w:color w:val="000000"/>
          <w:sz w:val="22"/>
        </w:rPr>
        <w:t xml:space="preserve"> 2017 Mar 17. pii: annrheumdis-2016-210872. doi: 10.1136/annrheumdis-2016-210872. [Epub ahead of print]</w:t>
      </w:r>
    </w:p>
    <w:p w14:paraId="477F2027" w14:textId="77777777" w:rsidR="00F926DA" w:rsidRPr="00F926DA" w:rsidRDefault="005E2B03" w:rsidP="00F926DA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rStyle w:val="apple-converted-space"/>
          <w:sz w:val="22"/>
        </w:rPr>
      </w:pPr>
      <w:r w:rsidRPr="00F926DA">
        <w:rPr>
          <w:rFonts w:cs="Arial"/>
          <w:bCs/>
          <w:color w:val="000000"/>
          <w:sz w:val="22"/>
        </w:rPr>
        <w:t>Richette P</w:t>
      </w:r>
      <w:r w:rsidRPr="00F926DA">
        <w:rPr>
          <w:rFonts w:cs="Arial"/>
          <w:color w:val="000000"/>
          <w:sz w:val="22"/>
        </w:rPr>
        <w:t xml:space="preserve">, Doherty M, Pascual E et al. 2016 updated EULAR evidence-based recommendations for the management of </w:t>
      </w:r>
      <w:r w:rsidRPr="00F926DA">
        <w:rPr>
          <w:rFonts w:cs="Arial"/>
          <w:bCs/>
          <w:color w:val="000000"/>
          <w:sz w:val="22"/>
        </w:rPr>
        <w:t>gout</w:t>
      </w:r>
      <w:r w:rsidRPr="00F926DA">
        <w:rPr>
          <w:rFonts w:cs="Arial"/>
          <w:color w:val="000000"/>
          <w:sz w:val="22"/>
        </w:rPr>
        <w:t xml:space="preserve">. </w:t>
      </w:r>
      <w:r w:rsidRPr="00F926DA">
        <w:rPr>
          <w:rStyle w:val="jrnl"/>
          <w:rFonts w:cs="Arial"/>
          <w:color w:val="000000"/>
          <w:sz w:val="22"/>
        </w:rPr>
        <w:t>Ann Rheum Dis</w:t>
      </w:r>
      <w:r w:rsidRPr="00F926DA">
        <w:rPr>
          <w:rFonts w:cs="Arial"/>
          <w:color w:val="000000"/>
          <w:sz w:val="22"/>
        </w:rPr>
        <w:t xml:space="preserve"> 2017;76:29-42.</w:t>
      </w:r>
      <w:r w:rsidRPr="00F926DA">
        <w:rPr>
          <w:rStyle w:val="apple-converted-space"/>
          <w:rFonts w:cs="Arial"/>
          <w:color w:val="000000"/>
          <w:sz w:val="22"/>
        </w:rPr>
        <w:t> </w:t>
      </w:r>
    </w:p>
    <w:p w14:paraId="7E611630" w14:textId="730141BF" w:rsidR="00050F3B" w:rsidRPr="00F926DA" w:rsidRDefault="0013058C" w:rsidP="00F926DA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ind w:left="426" w:hanging="426"/>
        <w:rPr>
          <w:sz w:val="22"/>
        </w:rPr>
      </w:pPr>
      <w:r w:rsidRPr="00F926DA">
        <w:rPr>
          <w:rFonts w:cs="Arial"/>
          <w:bCs/>
          <w:color w:val="000000"/>
          <w:sz w:val="22"/>
        </w:rPr>
        <w:t>Hui M</w:t>
      </w:r>
      <w:r w:rsidRPr="00F926DA">
        <w:rPr>
          <w:rFonts w:cs="Arial"/>
          <w:color w:val="000000"/>
          <w:sz w:val="22"/>
        </w:rPr>
        <w:t xml:space="preserve">, Carr A, Cameron JS et al. </w:t>
      </w:r>
      <w:r w:rsidR="00094B1E" w:rsidRPr="00F926DA">
        <w:rPr>
          <w:rFonts w:cs="Arial"/>
          <w:color w:val="000000"/>
          <w:sz w:val="22"/>
        </w:rPr>
        <w:t xml:space="preserve">The British Society for Rheumatology Guideline for the Management of </w:t>
      </w:r>
      <w:r w:rsidR="00094B1E" w:rsidRPr="00F926DA">
        <w:rPr>
          <w:rFonts w:cs="Arial"/>
          <w:bCs/>
          <w:color w:val="000000"/>
          <w:sz w:val="22"/>
        </w:rPr>
        <w:t>Gout</w:t>
      </w:r>
      <w:r w:rsidR="00094B1E" w:rsidRPr="00F926DA">
        <w:rPr>
          <w:rFonts w:cs="Arial"/>
          <w:color w:val="000000"/>
          <w:sz w:val="22"/>
        </w:rPr>
        <w:t>.</w:t>
      </w:r>
      <w:r w:rsidRPr="00F926DA">
        <w:rPr>
          <w:rFonts w:cs="Arial"/>
          <w:color w:val="000000"/>
          <w:sz w:val="22"/>
        </w:rPr>
        <w:t xml:space="preserve"> </w:t>
      </w:r>
      <w:r w:rsidR="00094B1E" w:rsidRPr="00F926DA">
        <w:rPr>
          <w:rStyle w:val="jrnl"/>
          <w:rFonts w:cs="Arial"/>
          <w:color w:val="000000"/>
          <w:sz w:val="22"/>
        </w:rPr>
        <w:t>Rheumatology (Oxford)</w:t>
      </w:r>
      <w:r w:rsidR="00094B1E" w:rsidRPr="00F926DA">
        <w:rPr>
          <w:rFonts w:cs="Arial"/>
          <w:color w:val="000000"/>
          <w:sz w:val="22"/>
        </w:rPr>
        <w:t>. 2017 May 26. doi: 10.1093/rheumatology/kex156. [Epub ahead of print]</w:t>
      </w:r>
    </w:p>
    <w:p w14:paraId="146349B7" w14:textId="77777777" w:rsidR="00900008" w:rsidRPr="00F9373C" w:rsidRDefault="00EF1D31" w:rsidP="00D92C6C">
      <w:pPr>
        <w:spacing w:after="0" w:line="480" w:lineRule="auto"/>
        <w:rPr>
          <w:b/>
          <w:sz w:val="22"/>
        </w:rPr>
      </w:pPr>
      <w:r>
        <w:rPr>
          <w:sz w:val="22"/>
        </w:rPr>
        <w:br w:type="page"/>
      </w:r>
      <w:r w:rsidRPr="00F9373C">
        <w:rPr>
          <w:b/>
          <w:sz w:val="22"/>
        </w:rPr>
        <w:lastRenderedPageBreak/>
        <w:t>Table 1 Audit Standards</w:t>
      </w:r>
      <w:r w:rsidR="007A5417" w:rsidRPr="00F9373C">
        <w:rPr>
          <w:b/>
          <w:sz w:val="22"/>
        </w:rPr>
        <w:t xml:space="preserve"> (AS)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93"/>
      </w:tblGrid>
      <w:tr w:rsidR="007A5417" w:rsidRPr="0006677D" w14:paraId="7D227B93" w14:textId="77777777" w:rsidTr="0039054F">
        <w:trPr>
          <w:trHeight w:val="519"/>
        </w:trPr>
        <w:tc>
          <w:tcPr>
            <w:tcW w:w="7655" w:type="dxa"/>
            <w:shd w:val="clear" w:color="auto" w:fill="auto"/>
          </w:tcPr>
          <w:p w14:paraId="400F9BD1" w14:textId="77777777" w:rsidR="007A5417" w:rsidRPr="0006677D" w:rsidRDefault="007A5417" w:rsidP="0006677D">
            <w:pPr>
              <w:spacing w:line="480" w:lineRule="auto"/>
              <w:rPr>
                <w:rFonts w:cs="Arial"/>
                <w:b/>
                <w:sz w:val="22"/>
              </w:rPr>
            </w:pPr>
            <w:r w:rsidRPr="0006677D">
              <w:rPr>
                <w:rFonts w:cs="Arial"/>
                <w:b/>
                <w:sz w:val="22"/>
              </w:rPr>
              <w:t>Audit standard</w:t>
            </w:r>
            <w:r w:rsidR="0006677D" w:rsidRPr="0006677D">
              <w:rPr>
                <w:rFonts w:cs="Arial"/>
                <w:b/>
                <w:sz w:val="22"/>
              </w:rPr>
              <w:t xml:space="preserve"> (AS)</w:t>
            </w:r>
          </w:p>
        </w:tc>
        <w:tc>
          <w:tcPr>
            <w:tcW w:w="2693" w:type="dxa"/>
            <w:shd w:val="clear" w:color="auto" w:fill="auto"/>
          </w:tcPr>
          <w:p w14:paraId="31D96C74" w14:textId="77777777" w:rsidR="007A5417" w:rsidRPr="0006677D" w:rsidRDefault="007A5417" w:rsidP="0006677D">
            <w:pPr>
              <w:spacing w:line="480" w:lineRule="auto"/>
              <w:rPr>
                <w:rFonts w:cs="Arial"/>
                <w:b/>
                <w:sz w:val="22"/>
              </w:rPr>
            </w:pPr>
            <w:r w:rsidRPr="0006677D">
              <w:rPr>
                <w:rFonts w:cs="Arial"/>
                <w:b/>
                <w:sz w:val="22"/>
              </w:rPr>
              <w:t>Guideline</w:t>
            </w:r>
          </w:p>
        </w:tc>
      </w:tr>
      <w:tr w:rsidR="007A5417" w:rsidRPr="0006677D" w14:paraId="7BCB74F9" w14:textId="77777777" w:rsidTr="0039054F">
        <w:trPr>
          <w:trHeight w:val="519"/>
        </w:trPr>
        <w:tc>
          <w:tcPr>
            <w:tcW w:w="7655" w:type="dxa"/>
            <w:shd w:val="clear" w:color="auto" w:fill="auto"/>
          </w:tcPr>
          <w:p w14:paraId="2EEBA3A6" w14:textId="77777777" w:rsidR="007A5417" w:rsidRPr="0006677D" w:rsidRDefault="007A5417" w:rsidP="0006677D">
            <w:pPr>
              <w:spacing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AS1: Clinical diagnosis is acceptable</w:t>
            </w:r>
          </w:p>
        </w:tc>
        <w:tc>
          <w:tcPr>
            <w:tcW w:w="2693" w:type="dxa"/>
            <w:shd w:val="clear" w:color="auto" w:fill="auto"/>
          </w:tcPr>
          <w:p w14:paraId="20F1EADA" w14:textId="77777777" w:rsidR="007A5417" w:rsidRPr="0006677D" w:rsidRDefault="007A5417" w:rsidP="0006677D">
            <w:pPr>
              <w:spacing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EULAR</w:t>
            </w:r>
          </w:p>
        </w:tc>
      </w:tr>
      <w:tr w:rsidR="007A5417" w:rsidRPr="0006677D" w14:paraId="603C45C7" w14:textId="77777777" w:rsidTr="0039054F">
        <w:trPr>
          <w:trHeight w:val="519"/>
        </w:trPr>
        <w:tc>
          <w:tcPr>
            <w:tcW w:w="7655" w:type="dxa"/>
            <w:shd w:val="clear" w:color="auto" w:fill="auto"/>
          </w:tcPr>
          <w:p w14:paraId="4753751C" w14:textId="0DA85803" w:rsidR="007A5417" w:rsidRPr="0006677D" w:rsidRDefault="0006677D" w:rsidP="0006677D">
            <w:pPr>
              <w:spacing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 xml:space="preserve">AS2: </w:t>
            </w:r>
            <w:r w:rsidR="007A5417" w:rsidRPr="0006677D">
              <w:rPr>
                <w:rFonts w:cs="Arial"/>
                <w:sz w:val="22"/>
              </w:rPr>
              <w:t xml:space="preserve">Definitive diagnosis </w:t>
            </w:r>
            <w:r w:rsidR="00927E4C">
              <w:rPr>
                <w:rFonts w:cs="Arial"/>
                <w:sz w:val="22"/>
              </w:rPr>
              <w:t>requires crystal examination</w:t>
            </w:r>
          </w:p>
        </w:tc>
        <w:tc>
          <w:tcPr>
            <w:tcW w:w="2693" w:type="dxa"/>
            <w:shd w:val="clear" w:color="auto" w:fill="auto"/>
          </w:tcPr>
          <w:p w14:paraId="67C0885D" w14:textId="77777777" w:rsidR="007A5417" w:rsidRPr="0006677D" w:rsidRDefault="007A5417" w:rsidP="0006677D">
            <w:pPr>
              <w:spacing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EULAR</w:t>
            </w:r>
          </w:p>
        </w:tc>
      </w:tr>
      <w:tr w:rsidR="00966BC5" w:rsidRPr="0006677D" w14:paraId="4A2136D5" w14:textId="77777777" w:rsidTr="0039054F">
        <w:trPr>
          <w:trHeight w:val="519"/>
        </w:trPr>
        <w:tc>
          <w:tcPr>
            <w:tcW w:w="7655" w:type="dxa"/>
            <w:shd w:val="clear" w:color="auto" w:fill="auto"/>
          </w:tcPr>
          <w:p w14:paraId="19049AB3" w14:textId="06EC33C1" w:rsidR="00966BC5" w:rsidRPr="0006677D" w:rsidRDefault="00966BC5" w:rsidP="00966BC5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AS3: </w:t>
            </w:r>
            <w:r w:rsidRPr="0006677D">
              <w:rPr>
                <w:rFonts w:cs="Arial"/>
                <w:sz w:val="22"/>
              </w:rPr>
              <w:t>In patients on diuretic th</w:t>
            </w:r>
            <w:r>
              <w:rPr>
                <w:rFonts w:cs="Arial"/>
                <w:sz w:val="22"/>
              </w:rPr>
              <w:t xml:space="preserve">erapy, this should be stopped or the dose </w:t>
            </w:r>
            <w:r w:rsidRPr="0006677D">
              <w:rPr>
                <w:rFonts w:cs="Arial"/>
                <w:sz w:val="22"/>
              </w:rPr>
              <w:t>reduced if possible</w:t>
            </w:r>
          </w:p>
        </w:tc>
        <w:tc>
          <w:tcPr>
            <w:tcW w:w="2693" w:type="dxa"/>
            <w:shd w:val="clear" w:color="auto" w:fill="auto"/>
          </w:tcPr>
          <w:p w14:paraId="60AF8F81" w14:textId="59E710D9" w:rsidR="00966BC5" w:rsidRPr="0006677D" w:rsidRDefault="00966BC5" w:rsidP="00966BC5">
            <w:pPr>
              <w:spacing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EULAR</w:t>
            </w:r>
          </w:p>
        </w:tc>
      </w:tr>
      <w:tr w:rsidR="00966BC5" w:rsidRPr="0006677D" w14:paraId="6ED6F205" w14:textId="77777777" w:rsidTr="0039054F">
        <w:trPr>
          <w:trHeight w:val="3636"/>
        </w:trPr>
        <w:tc>
          <w:tcPr>
            <w:tcW w:w="7655" w:type="dxa"/>
            <w:shd w:val="clear" w:color="auto" w:fill="auto"/>
          </w:tcPr>
          <w:p w14:paraId="034DD603" w14:textId="02B23536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AS4: Indications for urate-</w:t>
            </w:r>
            <w:r w:rsidRPr="0006677D">
              <w:rPr>
                <w:rFonts w:cs="Arial"/>
                <w:sz w:val="22"/>
              </w:rPr>
              <w:t xml:space="preserve">lowering therapy are: </w:t>
            </w:r>
          </w:p>
          <w:p w14:paraId="5C17E816" w14:textId="77777777" w:rsidR="00966BC5" w:rsidRPr="0006677D" w:rsidRDefault="00966BC5" w:rsidP="00966BC5">
            <w:pPr>
              <w:numPr>
                <w:ilvl w:val="0"/>
                <w:numId w:val="3"/>
              </w:numPr>
              <w:spacing w:after="0" w:line="480" w:lineRule="auto"/>
              <w:ind w:left="714" w:hanging="357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≥ 2 attacks over 1 year</w:t>
            </w:r>
          </w:p>
          <w:p w14:paraId="1C2F7A46" w14:textId="77777777" w:rsidR="00966BC5" w:rsidRPr="0006677D" w:rsidRDefault="00966BC5" w:rsidP="00966BC5">
            <w:pPr>
              <w:numPr>
                <w:ilvl w:val="0"/>
                <w:numId w:val="3"/>
              </w:numPr>
              <w:spacing w:after="0" w:line="480" w:lineRule="auto"/>
              <w:ind w:left="714" w:hanging="357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Gouty tophi</w:t>
            </w:r>
          </w:p>
          <w:p w14:paraId="64729795" w14:textId="77777777" w:rsidR="00966BC5" w:rsidRPr="0006677D" w:rsidRDefault="00966BC5" w:rsidP="00966BC5">
            <w:pPr>
              <w:numPr>
                <w:ilvl w:val="0"/>
                <w:numId w:val="3"/>
              </w:numPr>
              <w:spacing w:after="0" w:line="480" w:lineRule="auto"/>
              <w:ind w:left="714" w:hanging="357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Radiographic damage</w:t>
            </w:r>
          </w:p>
          <w:p w14:paraId="1B2E2C43" w14:textId="77777777" w:rsidR="00966BC5" w:rsidRPr="0006677D" w:rsidRDefault="00966BC5" w:rsidP="00966BC5">
            <w:pPr>
              <w:numPr>
                <w:ilvl w:val="0"/>
                <w:numId w:val="3"/>
              </w:numPr>
              <w:spacing w:after="0" w:line="480" w:lineRule="auto"/>
              <w:ind w:left="714" w:hanging="357"/>
              <w:rPr>
                <w:rFonts w:cs="Arial"/>
                <w:sz w:val="22"/>
                <w:lang w:val="es-MX"/>
              </w:rPr>
            </w:pPr>
            <w:r w:rsidRPr="0006677D">
              <w:rPr>
                <w:rFonts w:cs="Arial"/>
                <w:sz w:val="22"/>
                <w:lang w:val="es-MX"/>
              </w:rPr>
              <w:t>eGFR &lt; 80ml/min</w:t>
            </w:r>
          </w:p>
          <w:p w14:paraId="5564C6DA" w14:textId="77777777" w:rsidR="00966BC5" w:rsidRPr="0006677D" w:rsidRDefault="00966BC5" w:rsidP="00966BC5">
            <w:pPr>
              <w:numPr>
                <w:ilvl w:val="0"/>
                <w:numId w:val="3"/>
              </w:numPr>
              <w:spacing w:after="0" w:line="480" w:lineRule="auto"/>
              <w:ind w:left="714" w:hanging="357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uric acid renal calculi</w:t>
            </w:r>
          </w:p>
          <w:p w14:paraId="162D8219" w14:textId="77777777" w:rsidR="00966BC5" w:rsidRPr="0006677D" w:rsidRDefault="00966BC5" w:rsidP="00966BC5">
            <w:pPr>
              <w:numPr>
                <w:ilvl w:val="0"/>
                <w:numId w:val="3"/>
              </w:numPr>
              <w:spacing w:after="0" w:line="480" w:lineRule="auto"/>
              <w:ind w:left="714" w:hanging="357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continuing diuretic treatment</w:t>
            </w:r>
          </w:p>
        </w:tc>
        <w:tc>
          <w:tcPr>
            <w:tcW w:w="2693" w:type="dxa"/>
            <w:shd w:val="clear" w:color="auto" w:fill="auto"/>
          </w:tcPr>
          <w:p w14:paraId="6AE4B7F2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</w:p>
          <w:p w14:paraId="6371A7F6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BSR</w:t>
            </w:r>
            <w:r>
              <w:rPr>
                <w:rFonts w:cs="Arial"/>
                <w:sz w:val="22"/>
              </w:rPr>
              <w:t>/BHPR</w:t>
            </w:r>
          </w:p>
          <w:p w14:paraId="1A457BAF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BSR/BHPR and </w:t>
            </w:r>
            <w:r w:rsidRPr="0006677D">
              <w:rPr>
                <w:rFonts w:cs="Arial"/>
                <w:sz w:val="22"/>
              </w:rPr>
              <w:t>EULAR</w:t>
            </w:r>
          </w:p>
          <w:p w14:paraId="76A6B0F4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EULAR</w:t>
            </w:r>
          </w:p>
          <w:p w14:paraId="73DF6C4F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BSR</w:t>
            </w:r>
            <w:r>
              <w:rPr>
                <w:rFonts w:cs="Arial"/>
                <w:sz w:val="22"/>
              </w:rPr>
              <w:t>/BHPR</w:t>
            </w:r>
          </w:p>
          <w:p w14:paraId="5D4B13A6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BSR</w:t>
            </w:r>
            <w:r>
              <w:rPr>
                <w:rFonts w:cs="Arial"/>
                <w:sz w:val="22"/>
              </w:rPr>
              <w:t>/BHPR</w:t>
            </w:r>
          </w:p>
          <w:p w14:paraId="243DB860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BSR</w:t>
            </w:r>
            <w:r>
              <w:rPr>
                <w:rFonts w:cs="Arial"/>
                <w:sz w:val="22"/>
              </w:rPr>
              <w:t>/BHPR</w:t>
            </w:r>
          </w:p>
        </w:tc>
      </w:tr>
      <w:tr w:rsidR="00966BC5" w:rsidRPr="0006677D" w14:paraId="43A4BB89" w14:textId="77777777" w:rsidTr="0039054F">
        <w:trPr>
          <w:trHeight w:val="1558"/>
        </w:trPr>
        <w:tc>
          <w:tcPr>
            <w:tcW w:w="7655" w:type="dxa"/>
            <w:shd w:val="clear" w:color="auto" w:fill="auto"/>
          </w:tcPr>
          <w:p w14:paraId="4BAB81DA" w14:textId="189F5C03" w:rsidR="00966BC5" w:rsidRPr="0006677D" w:rsidRDefault="00041342" w:rsidP="00966BC5">
            <w:pPr>
              <w:spacing w:after="0"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AS5</w:t>
            </w:r>
            <w:r w:rsidR="00966BC5">
              <w:rPr>
                <w:rFonts w:cs="Arial"/>
                <w:sz w:val="22"/>
              </w:rPr>
              <w:t xml:space="preserve">: </w:t>
            </w:r>
            <w:r w:rsidR="00966BC5" w:rsidRPr="0006677D">
              <w:rPr>
                <w:rFonts w:cs="Arial"/>
                <w:sz w:val="22"/>
              </w:rPr>
              <w:t>Allopurinol should be started at low dose:</w:t>
            </w:r>
          </w:p>
          <w:p w14:paraId="0DA169AE" w14:textId="77777777" w:rsidR="00966BC5" w:rsidRPr="0006677D" w:rsidRDefault="00966BC5" w:rsidP="00966BC5">
            <w:pPr>
              <w:numPr>
                <w:ilvl w:val="0"/>
                <w:numId w:val="5"/>
              </w:num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50-100mg daily</w:t>
            </w:r>
          </w:p>
          <w:p w14:paraId="045FF7C1" w14:textId="77777777" w:rsidR="00966BC5" w:rsidRPr="0006677D" w:rsidRDefault="00966BC5" w:rsidP="00966BC5">
            <w:pPr>
              <w:numPr>
                <w:ilvl w:val="0"/>
                <w:numId w:val="5"/>
              </w:num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100mg daily</w:t>
            </w:r>
          </w:p>
        </w:tc>
        <w:tc>
          <w:tcPr>
            <w:tcW w:w="2693" w:type="dxa"/>
            <w:shd w:val="clear" w:color="auto" w:fill="auto"/>
          </w:tcPr>
          <w:p w14:paraId="70B05BC9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</w:p>
          <w:p w14:paraId="38BE2275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BSR</w:t>
            </w:r>
            <w:r>
              <w:rPr>
                <w:rFonts w:cs="Arial"/>
                <w:sz w:val="22"/>
              </w:rPr>
              <w:t>/BHPR</w:t>
            </w:r>
          </w:p>
          <w:p w14:paraId="713CC6D5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EULAR</w:t>
            </w:r>
          </w:p>
        </w:tc>
      </w:tr>
      <w:tr w:rsidR="00966BC5" w:rsidRPr="0006677D" w14:paraId="763415FB" w14:textId="77777777" w:rsidTr="0039054F">
        <w:trPr>
          <w:trHeight w:val="845"/>
        </w:trPr>
        <w:tc>
          <w:tcPr>
            <w:tcW w:w="7655" w:type="dxa"/>
            <w:shd w:val="clear" w:color="auto" w:fill="auto"/>
          </w:tcPr>
          <w:p w14:paraId="21BB4ED0" w14:textId="01DDBEC2" w:rsidR="00966BC5" w:rsidRPr="0006677D" w:rsidRDefault="00041342" w:rsidP="00966BC5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AS6</w:t>
            </w:r>
            <w:r w:rsidR="00966BC5">
              <w:rPr>
                <w:rFonts w:cs="Arial"/>
                <w:sz w:val="22"/>
              </w:rPr>
              <w:t xml:space="preserve">: </w:t>
            </w:r>
            <w:r w:rsidR="00966BC5" w:rsidRPr="0006677D">
              <w:rPr>
                <w:rFonts w:cs="Arial"/>
                <w:sz w:val="22"/>
              </w:rPr>
              <w:t>Allopurinol should be started at lower doses in patients with renal impairment</w:t>
            </w:r>
          </w:p>
        </w:tc>
        <w:tc>
          <w:tcPr>
            <w:tcW w:w="2693" w:type="dxa"/>
            <w:shd w:val="clear" w:color="auto" w:fill="auto"/>
          </w:tcPr>
          <w:p w14:paraId="29CB4573" w14:textId="77777777" w:rsidR="00966BC5" w:rsidRPr="0006677D" w:rsidRDefault="00966BC5" w:rsidP="00966BC5">
            <w:pPr>
              <w:spacing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BSR</w:t>
            </w:r>
            <w:r>
              <w:rPr>
                <w:rFonts w:cs="Arial"/>
                <w:sz w:val="22"/>
              </w:rPr>
              <w:t>/BHPR</w:t>
            </w:r>
            <w:r w:rsidRPr="0006677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and </w:t>
            </w:r>
            <w:r w:rsidRPr="0006677D">
              <w:rPr>
                <w:rFonts w:cs="Arial"/>
                <w:sz w:val="22"/>
              </w:rPr>
              <w:t>EULAR</w:t>
            </w:r>
          </w:p>
        </w:tc>
      </w:tr>
      <w:tr w:rsidR="00966BC5" w:rsidRPr="0006677D" w14:paraId="4369DFAC" w14:textId="77777777" w:rsidTr="0039054F">
        <w:trPr>
          <w:trHeight w:val="833"/>
        </w:trPr>
        <w:tc>
          <w:tcPr>
            <w:tcW w:w="7655" w:type="dxa"/>
            <w:shd w:val="clear" w:color="auto" w:fill="auto"/>
          </w:tcPr>
          <w:p w14:paraId="473C29C8" w14:textId="1AD10342" w:rsidR="00966BC5" w:rsidRPr="0006677D" w:rsidRDefault="00041342" w:rsidP="00966BC5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AS7</w:t>
            </w:r>
            <w:r w:rsidR="00966BC5">
              <w:rPr>
                <w:rFonts w:cs="Arial"/>
                <w:sz w:val="22"/>
              </w:rPr>
              <w:t xml:space="preserve">: </w:t>
            </w:r>
            <w:r w:rsidR="003333ED">
              <w:rPr>
                <w:rFonts w:cs="Arial"/>
                <w:sz w:val="22"/>
              </w:rPr>
              <w:t xml:space="preserve">Colchicine or </w:t>
            </w:r>
            <w:r w:rsidR="00966BC5" w:rsidRPr="0006677D">
              <w:rPr>
                <w:rFonts w:cs="Arial"/>
                <w:sz w:val="22"/>
              </w:rPr>
              <w:t>NSAID prophylaxis should be co-prescribed at ULT initiation</w:t>
            </w:r>
          </w:p>
        </w:tc>
        <w:tc>
          <w:tcPr>
            <w:tcW w:w="2693" w:type="dxa"/>
            <w:shd w:val="clear" w:color="auto" w:fill="auto"/>
          </w:tcPr>
          <w:p w14:paraId="6A1BB133" w14:textId="77777777" w:rsidR="00966BC5" w:rsidRPr="0006677D" w:rsidRDefault="00966BC5" w:rsidP="00966BC5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BSR/BHPR</w:t>
            </w:r>
            <w:r w:rsidRPr="0006677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and </w:t>
            </w:r>
            <w:r w:rsidRPr="0006677D">
              <w:rPr>
                <w:rFonts w:cs="Arial"/>
                <w:sz w:val="22"/>
              </w:rPr>
              <w:t>EULAR</w:t>
            </w:r>
          </w:p>
        </w:tc>
      </w:tr>
      <w:tr w:rsidR="00966BC5" w:rsidRPr="0006677D" w14:paraId="251306CA" w14:textId="77777777" w:rsidTr="0039054F">
        <w:trPr>
          <w:trHeight w:val="2609"/>
        </w:trPr>
        <w:tc>
          <w:tcPr>
            <w:tcW w:w="7655" w:type="dxa"/>
            <w:shd w:val="clear" w:color="auto" w:fill="auto"/>
          </w:tcPr>
          <w:p w14:paraId="4FB6A3C6" w14:textId="68349C9E" w:rsidR="00966BC5" w:rsidRPr="0006677D" w:rsidRDefault="00041342" w:rsidP="00966BC5">
            <w:pPr>
              <w:spacing w:after="0"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AS8</w:t>
            </w:r>
            <w:r w:rsidR="00966BC5">
              <w:rPr>
                <w:rFonts w:cs="Arial"/>
                <w:sz w:val="22"/>
              </w:rPr>
              <w:t xml:space="preserve">: </w:t>
            </w:r>
            <w:r w:rsidR="00966BC5" w:rsidRPr="0006677D">
              <w:rPr>
                <w:rFonts w:cs="Arial"/>
                <w:sz w:val="22"/>
              </w:rPr>
              <w:t>Following allopurinol intolerance or inefficacy treat gout with:</w:t>
            </w:r>
          </w:p>
          <w:p w14:paraId="2CB5B80D" w14:textId="77777777" w:rsidR="00966BC5" w:rsidRPr="0006677D" w:rsidRDefault="00966BC5" w:rsidP="00966BC5">
            <w:pPr>
              <w:numPr>
                <w:ilvl w:val="0"/>
                <w:numId w:val="6"/>
              </w:num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Sulphinpyrazone</w:t>
            </w:r>
          </w:p>
          <w:p w14:paraId="52628B63" w14:textId="77777777" w:rsidR="00966BC5" w:rsidRPr="0006677D" w:rsidRDefault="00966BC5" w:rsidP="00966BC5">
            <w:pPr>
              <w:numPr>
                <w:ilvl w:val="0"/>
                <w:numId w:val="6"/>
              </w:num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Benzbromarone</w:t>
            </w:r>
          </w:p>
          <w:p w14:paraId="298A2571" w14:textId="77777777" w:rsidR="00966BC5" w:rsidRPr="0006677D" w:rsidRDefault="00966BC5" w:rsidP="00966BC5">
            <w:pPr>
              <w:numPr>
                <w:ilvl w:val="0"/>
                <w:numId w:val="6"/>
              </w:num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Probenecid</w:t>
            </w:r>
          </w:p>
          <w:p w14:paraId="33CB16AD" w14:textId="77777777" w:rsidR="00966BC5" w:rsidRPr="0006677D" w:rsidRDefault="00966BC5" w:rsidP="00966BC5">
            <w:pPr>
              <w:numPr>
                <w:ilvl w:val="0"/>
                <w:numId w:val="6"/>
              </w:num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Febuxostat</w:t>
            </w:r>
          </w:p>
        </w:tc>
        <w:tc>
          <w:tcPr>
            <w:tcW w:w="2693" w:type="dxa"/>
            <w:shd w:val="clear" w:color="auto" w:fill="auto"/>
          </w:tcPr>
          <w:p w14:paraId="1131AE49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</w:p>
          <w:p w14:paraId="39F7EC47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BSR</w:t>
            </w:r>
            <w:r>
              <w:rPr>
                <w:rFonts w:cs="Arial"/>
                <w:sz w:val="22"/>
              </w:rPr>
              <w:t>/BHPR</w:t>
            </w:r>
            <w:r w:rsidRPr="0006677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and </w:t>
            </w:r>
            <w:r w:rsidRPr="0006677D">
              <w:rPr>
                <w:rFonts w:cs="Arial"/>
                <w:sz w:val="22"/>
              </w:rPr>
              <w:t>EULAR</w:t>
            </w:r>
          </w:p>
          <w:p w14:paraId="77303DC0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BSR/BHPR</w:t>
            </w:r>
            <w:r w:rsidRPr="0006677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and </w:t>
            </w:r>
            <w:r w:rsidRPr="0006677D">
              <w:rPr>
                <w:rFonts w:cs="Arial"/>
                <w:sz w:val="22"/>
              </w:rPr>
              <w:t>EULAR</w:t>
            </w:r>
          </w:p>
          <w:p w14:paraId="10BDE66A" w14:textId="77777777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EULAR</w:t>
            </w:r>
          </w:p>
          <w:p w14:paraId="603D2721" w14:textId="1E591AA5" w:rsidR="00966BC5" w:rsidRPr="0006677D" w:rsidRDefault="00966BC5" w:rsidP="00966BC5">
            <w:pPr>
              <w:spacing w:after="0"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NICE</w:t>
            </w:r>
            <w:r w:rsidR="00A07878">
              <w:rPr>
                <w:rFonts w:cs="Arial"/>
                <w:sz w:val="22"/>
              </w:rPr>
              <w:t xml:space="preserve"> TA 164</w:t>
            </w:r>
          </w:p>
        </w:tc>
      </w:tr>
      <w:tr w:rsidR="00966BC5" w:rsidRPr="0006677D" w14:paraId="7F9C68ED" w14:textId="77777777" w:rsidTr="0039054F">
        <w:trPr>
          <w:trHeight w:val="845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65F83924" w14:textId="75CD388C" w:rsidR="00966BC5" w:rsidRPr="0006677D" w:rsidRDefault="00041342" w:rsidP="00966BC5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AS9</w:t>
            </w:r>
            <w:r w:rsidR="00966BC5">
              <w:rPr>
                <w:rFonts w:cs="Arial"/>
                <w:sz w:val="22"/>
              </w:rPr>
              <w:t xml:space="preserve">: </w:t>
            </w:r>
            <w:r w:rsidR="00966BC5" w:rsidRPr="0006677D">
              <w:rPr>
                <w:rFonts w:cs="Arial"/>
                <w:sz w:val="22"/>
              </w:rPr>
              <w:t>Febuxostat is not recommended for patients</w:t>
            </w:r>
            <w:r w:rsidR="00F546D9">
              <w:rPr>
                <w:rFonts w:cs="Arial"/>
                <w:sz w:val="22"/>
              </w:rPr>
              <w:t xml:space="preserve"> with ischaemic heart disease or </w:t>
            </w:r>
            <w:r w:rsidR="00966BC5" w:rsidRPr="0006677D">
              <w:rPr>
                <w:rFonts w:cs="Arial"/>
                <w:sz w:val="22"/>
              </w:rPr>
              <w:t>congestive cardiac failure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EB4F809" w14:textId="5B5FEB8E" w:rsidR="00966BC5" w:rsidRPr="0006677D" w:rsidRDefault="00966BC5" w:rsidP="00966BC5">
            <w:pPr>
              <w:spacing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NICE</w:t>
            </w:r>
            <w:r w:rsidR="00A07878">
              <w:rPr>
                <w:rFonts w:cs="Arial"/>
                <w:sz w:val="22"/>
              </w:rPr>
              <w:t xml:space="preserve"> TA 164</w:t>
            </w:r>
          </w:p>
        </w:tc>
      </w:tr>
      <w:tr w:rsidR="00A36967" w:rsidRPr="0006677D" w14:paraId="421BD9A4" w14:textId="77777777" w:rsidTr="0039054F">
        <w:trPr>
          <w:trHeight w:val="845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1842DB06" w14:textId="2E77A938" w:rsidR="00A36967" w:rsidRDefault="00A36967" w:rsidP="00A36967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</w:t>
            </w:r>
            <w:r w:rsidR="00A07878">
              <w:rPr>
                <w:rFonts w:cs="Arial"/>
                <w:sz w:val="22"/>
              </w:rPr>
              <w:t>10</w:t>
            </w:r>
            <w:r>
              <w:rPr>
                <w:rFonts w:cs="Arial"/>
                <w:sz w:val="22"/>
              </w:rPr>
              <w:t>: Target serum ur</w:t>
            </w:r>
            <w:r w:rsidR="00CD4C23">
              <w:rPr>
                <w:rFonts w:cs="Arial"/>
                <w:sz w:val="22"/>
              </w:rPr>
              <w:t>ic</w:t>
            </w:r>
            <w:r>
              <w:rPr>
                <w:rFonts w:cs="Arial"/>
                <w:sz w:val="22"/>
              </w:rPr>
              <w:t xml:space="preserve"> </w:t>
            </w:r>
            <w:r w:rsidR="00CD4C23">
              <w:rPr>
                <w:rFonts w:cs="Arial"/>
                <w:sz w:val="22"/>
              </w:rPr>
              <w:t xml:space="preserve">acid </w:t>
            </w:r>
            <w:r>
              <w:rPr>
                <w:rFonts w:cs="Arial"/>
                <w:sz w:val="22"/>
              </w:rPr>
              <w:t>level is ≤36</w:t>
            </w:r>
            <w:r w:rsidRPr="0006677D">
              <w:rPr>
                <w:rFonts w:cs="Arial"/>
                <w:sz w:val="22"/>
              </w:rPr>
              <w:t>0</w:t>
            </w:r>
            <w:r w:rsidRPr="0006677D">
              <w:rPr>
                <w:rFonts w:cs="Arial"/>
                <w:sz w:val="22"/>
              </w:rPr>
              <w:sym w:font="Symbol" w:char="F06D"/>
            </w:r>
            <w:r>
              <w:rPr>
                <w:rFonts w:cs="Arial"/>
                <w:sz w:val="22"/>
              </w:rPr>
              <w:t>mol/L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7D93039" w14:textId="790899A8" w:rsidR="00A36967" w:rsidRPr="0006677D" w:rsidRDefault="00A36967" w:rsidP="00A36967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EULAR</w:t>
            </w:r>
          </w:p>
        </w:tc>
      </w:tr>
      <w:tr w:rsidR="00A36967" w:rsidRPr="0006677D" w14:paraId="132B61D8" w14:textId="77777777" w:rsidTr="0039054F">
        <w:trPr>
          <w:trHeight w:val="845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519ECE62" w14:textId="1C70CD10" w:rsidR="00A36967" w:rsidRDefault="00A07878" w:rsidP="00A36967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AS11</w:t>
            </w:r>
            <w:r w:rsidR="00A36967">
              <w:rPr>
                <w:rFonts w:cs="Arial"/>
                <w:sz w:val="22"/>
              </w:rPr>
              <w:t>: Target serum ur</w:t>
            </w:r>
            <w:r w:rsidR="00CD4C23">
              <w:rPr>
                <w:rFonts w:cs="Arial"/>
                <w:sz w:val="22"/>
              </w:rPr>
              <w:t>ic acid</w:t>
            </w:r>
            <w:r w:rsidR="00A36967">
              <w:rPr>
                <w:rFonts w:cs="Arial"/>
                <w:sz w:val="22"/>
              </w:rPr>
              <w:t xml:space="preserve"> level is &lt;</w:t>
            </w:r>
            <w:r w:rsidR="00A36967" w:rsidRPr="0006677D">
              <w:rPr>
                <w:rFonts w:cs="Arial"/>
                <w:sz w:val="22"/>
              </w:rPr>
              <w:t>300</w:t>
            </w:r>
            <w:r w:rsidR="00A36967" w:rsidRPr="0006677D">
              <w:rPr>
                <w:rFonts w:cs="Arial"/>
                <w:sz w:val="22"/>
              </w:rPr>
              <w:sym w:font="Symbol" w:char="F06D"/>
            </w:r>
            <w:r w:rsidR="00A36967">
              <w:rPr>
                <w:rFonts w:cs="Arial"/>
                <w:sz w:val="22"/>
              </w:rPr>
              <w:t>mol/L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4607312" w14:textId="43E0CEED" w:rsidR="00A36967" w:rsidRPr="0006677D" w:rsidRDefault="00A36967" w:rsidP="00A36967">
            <w:pPr>
              <w:spacing w:line="480" w:lineRule="auto"/>
              <w:rPr>
                <w:rFonts w:cs="Arial"/>
                <w:sz w:val="22"/>
              </w:rPr>
            </w:pPr>
            <w:r w:rsidRPr="0006677D">
              <w:rPr>
                <w:rFonts w:cs="Arial"/>
                <w:sz w:val="22"/>
              </w:rPr>
              <w:t>BSR</w:t>
            </w:r>
            <w:r>
              <w:rPr>
                <w:rFonts w:cs="Arial"/>
                <w:sz w:val="22"/>
              </w:rPr>
              <w:t>/BHPR</w:t>
            </w:r>
          </w:p>
        </w:tc>
      </w:tr>
      <w:tr w:rsidR="00A36967" w:rsidRPr="0006677D" w14:paraId="725EB249" w14:textId="77777777" w:rsidTr="0039054F">
        <w:trPr>
          <w:trHeight w:val="845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724F73" w14:textId="0F6090B6" w:rsidR="00A36967" w:rsidRPr="0006677D" w:rsidRDefault="00A36967" w:rsidP="00703618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AS, Audit Standard; BHPR, British Health Professionals in Rheumatology; BSR, British Society for Rheumatology; eGFR, estimated glomerular filtration rate; EULAR, European League Against Rheumatism; NICE, National Institute for Health and C</w:t>
            </w:r>
            <w:r w:rsidR="00703618">
              <w:rPr>
                <w:rFonts w:cs="Arial"/>
                <w:sz w:val="22"/>
              </w:rPr>
              <w:t>are</w:t>
            </w:r>
            <w:r>
              <w:rPr>
                <w:rFonts w:cs="Arial"/>
                <w:sz w:val="22"/>
              </w:rPr>
              <w:t xml:space="preserve"> Excellence; NSAID, non-steroidal anti-inflammatory drug</w:t>
            </w:r>
            <w:r w:rsidR="00A07878">
              <w:rPr>
                <w:rFonts w:cs="Arial"/>
                <w:sz w:val="22"/>
              </w:rPr>
              <w:t>; TA, Technology appraisal</w:t>
            </w:r>
          </w:p>
        </w:tc>
      </w:tr>
    </w:tbl>
    <w:p w14:paraId="35EA8D9C" w14:textId="11E352D5" w:rsidR="00CC3204" w:rsidRDefault="00CC3204" w:rsidP="00EF1D31">
      <w:pPr>
        <w:rPr>
          <w:sz w:val="22"/>
        </w:rPr>
      </w:pPr>
    </w:p>
    <w:p w14:paraId="58ED743E" w14:textId="77777777" w:rsidR="00CC3204" w:rsidRDefault="00CC3204">
      <w:pPr>
        <w:rPr>
          <w:sz w:val="22"/>
        </w:rPr>
      </w:pPr>
      <w:r>
        <w:rPr>
          <w:sz w:val="22"/>
        </w:rPr>
        <w:br w:type="page"/>
      </w:r>
    </w:p>
    <w:p w14:paraId="75A9E5D7" w14:textId="7A9F04BC" w:rsidR="00EF1D31" w:rsidRDefault="00CC3204" w:rsidP="00EF1D31">
      <w:pPr>
        <w:rPr>
          <w:sz w:val="22"/>
        </w:rPr>
      </w:pPr>
      <w:r>
        <w:rPr>
          <w:sz w:val="22"/>
        </w:rPr>
        <w:lastRenderedPageBreak/>
        <w:t>Table 2</w:t>
      </w:r>
      <w:r>
        <w:rPr>
          <w:sz w:val="22"/>
        </w:rPr>
        <w:tab/>
        <w:t xml:space="preserve">Patient </w:t>
      </w:r>
      <w:r w:rsidR="00B654AB">
        <w:rPr>
          <w:sz w:val="22"/>
        </w:rPr>
        <w:t xml:space="preserve">baseline </w:t>
      </w:r>
      <w:r>
        <w:rPr>
          <w:sz w:val="22"/>
        </w:rPr>
        <w:t>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701"/>
      </w:tblGrid>
      <w:tr w:rsidR="00CC3204" w14:paraId="7C829479" w14:textId="77777777" w:rsidTr="00331D38"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203E1E" w14:textId="77777777" w:rsidR="00CC3204" w:rsidRPr="0055684B" w:rsidRDefault="00CC3204" w:rsidP="00E729FE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5FBEB67" w14:textId="58AC5FE9" w:rsidR="00CC3204" w:rsidRPr="0055684B" w:rsidRDefault="0035149F" w:rsidP="00E729F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5684B">
              <w:rPr>
                <w:b/>
                <w:sz w:val="20"/>
                <w:szCs w:val="20"/>
              </w:rPr>
              <w:t>n (%)</w:t>
            </w:r>
            <w:r w:rsidR="00E729FE" w:rsidRPr="0055684B">
              <w:rPr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35149F" w14:paraId="37E71F1A" w14:textId="77777777" w:rsidTr="00331D38">
        <w:tc>
          <w:tcPr>
            <w:tcW w:w="4786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3886DFCB" w14:textId="7AAF24CA" w:rsidR="0035149F" w:rsidRDefault="0035149F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Age, years; mean (SD) 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bottom"/>
          </w:tcPr>
          <w:p w14:paraId="29442FB6" w14:textId="2C2348A7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59.8 (15.1)</w:t>
            </w:r>
          </w:p>
        </w:tc>
      </w:tr>
      <w:tr w:rsidR="0035149F" w14:paraId="1F709CA8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8A0F4F3" w14:textId="55DC912D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 gender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1E1D337" w14:textId="017D063B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356 (82)</w:t>
            </w:r>
          </w:p>
        </w:tc>
      </w:tr>
      <w:tr w:rsidR="0035149F" w14:paraId="479C293D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E368AEF" w14:textId="4A08FCF1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D7CCB9D" w14:textId="1949FAF9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214 (49)</w:t>
            </w:r>
          </w:p>
        </w:tc>
      </w:tr>
      <w:tr w:rsidR="0035149F" w14:paraId="17040453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CE6F5E1" w14:textId="4B30A645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373A815" w14:textId="68CC840A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59 (14)</w:t>
            </w:r>
          </w:p>
        </w:tc>
      </w:tr>
      <w:tr w:rsidR="0035149F" w14:paraId="2C79F86E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0269DB3" w14:textId="34539B3C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Renal disease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47CA2B0" w14:textId="56502190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119 (27)</w:t>
            </w:r>
          </w:p>
        </w:tc>
      </w:tr>
      <w:tr w:rsidR="0035149F" w14:paraId="0139BC7B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E3C5A2B" w14:textId="22FB396F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Hyperlipidaemia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C5C0507" w14:textId="206E9A7D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115 (27)</w:t>
            </w:r>
          </w:p>
        </w:tc>
      </w:tr>
      <w:tr w:rsidR="0035149F" w14:paraId="119DB9CF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F00737B" w14:textId="75E682C9" w:rsidR="0035149F" w:rsidRDefault="00420BD8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Renal calculi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F5B0362" w14:textId="24D591DF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12 (3)</w:t>
            </w:r>
          </w:p>
        </w:tc>
      </w:tr>
      <w:tr w:rsidR="0035149F" w14:paraId="3047E78A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AEDE4FB" w14:textId="111513FC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Renal transplant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3766685" w14:textId="1C9CCEBA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5 (1)</w:t>
            </w:r>
          </w:p>
        </w:tc>
      </w:tr>
      <w:tr w:rsidR="0035149F" w14:paraId="4704596C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18A7033" w14:textId="2232203D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Ischaemic heart disease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FF30EA" w14:textId="6F49FB11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86 (20)</w:t>
            </w:r>
          </w:p>
        </w:tc>
      </w:tr>
      <w:tr w:rsidR="0035149F" w14:paraId="6E6D95FC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CE76AF7" w14:textId="6D386005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Cardiac failure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4FF3A55" w14:textId="01C077A5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34 (8)</w:t>
            </w:r>
          </w:p>
        </w:tc>
      </w:tr>
      <w:tr w:rsidR="0035149F" w14:paraId="2142F494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D1FCCD8" w14:textId="76DB5226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Current diuretic use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80274AD" w14:textId="44BC9AFD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34863">
              <w:rPr>
                <w:rFonts w:cs="Arial"/>
                <w:color w:val="000000"/>
                <w:sz w:val="20"/>
                <w:szCs w:val="20"/>
              </w:rPr>
              <w:t>106 (</w:t>
            </w:r>
            <w:r w:rsidRPr="0040312F">
              <w:rPr>
                <w:rFonts w:cs="Arial"/>
                <w:color w:val="000000"/>
                <w:sz w:val="20"/>
                <w:szCs w:val="20"/>
              </w:rPr>
              <w:t>24)</w:t>
            </w:r>
          </w:p>
        </w:tc>
      </w:tr>
      <w:tr w:rsidR="0035149F" w14:paraId="263EABCE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0ADA28A" w14:textId="00179D86" w:rsidR="0035149F" w:rsidRDefault="00CD4C23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Serum uric acid</w:t>
            </w:r>
            <w:r w:rsidR="0035149F">
              <w:rPr>
                <w:rFonts w:cs="Arial"/>
                <w:color w:val="000000"/>
                <w:sz w:val="20"/>
                <w:szCs w:val="20"/>
              </w:rPr>
              <w:t>, μmol/l; mean (SD)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0415AA1" w14:textId="20B25FAB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496 (128)</w:t>
            </w:r>
          </w:p>
        </w:tc>
      </w:tr>
      <w:tr w:rsidR="0035149F" w14:paraId="6E2E07D2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D51C518" w14:textId="5395B1DA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</w:t>
            </w:r>
            <w:r w:rsidR="000364B4">
              <w:rPr>
                <w:rFonts w:cs="Arial"/>
                <w:color w:val="000000"/>
                <w:sz w:val="20"/>
                <w:szCs w:val="20"/>
              </w:rPr>
              <w:t>r</w:t>
            </w:r>
            <w:r w:rsidR="00A50D27">
              <w:rPr>
                <w:rFonts w:cs="Arial"/>
                <w:color w:val="000000"/>
                <w:sz w:val="20"/>
                <w:szCs w:val="20"/>
              </w:rPr>
              <w:t>um uric acid</w:t>
            </w:r>
            <w:r w:rsidR="000364B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≤360μmol/l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502F997" w14:textId="65973CFE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65 (15)</w:t>
            </w:r>
          </w:p>
        </w:tc>
      </w:tr>
      <w:tr w:rsidR="0035149F" w14:paraId="6E08DB71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6EEE7B1" w14:textId="72DD4EA8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</w:t>
            </w:r>
            <w:r w:rsidR="000364B4">
              <w:rPr>
                <w:rFonts w:cs="Arial"/>
                <w:color w:val="000000"/>
                <w:sz w:val="20"/>
                <w:szCs w:val="20"/>
              </w:rPr>
              <w:t>r</w:t>
            </w:r>
            <w:r w:rsidR="00A50D27">
              <w:rPr>
                <w:rFonts w:cs="Arial"/>
                <w:color w:val="000000"/>
                <w:sz w:val="20"/>
                <w:szCs w:val="20"/>
              </w:rPr>
              <w:t>um uric acid</w:t>
            </w:r>
            <w:r w:rsidR="000364B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&lt;300μmol/l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63B5A6D" w14:textId="3EC894FF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36 (8)</w:t>
            </w:r>
          </w:p>
        </w:tc>
      </w:tr>
      <w:tr w:rsidR="0035149F" w14:paraId="73F5D24E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4D761B4" w14:textId="3008BF7F" w:rsidR="0035149F" w:rsidRDefault="0035149F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Serum creatinine, μmol/l; mean (SD)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5CC26B6" w14:textId="5AA74234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104 (45)</w:t>
            </w:r>
          </w:p>
        </w:tc>
      </w:tr>
      <w:tr w:rsidR="0035149F" w14:paraId="17D48E70" w14:textId="77777777" w:rsidTr="00331D38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891F166" w14:textId="24A90725" w:rsidR="0035149F" w:rsidRDefault="00B654AB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CKD stage≥3 (eGFR&lt;60ml/min)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1E6A1A8" w14:textId="696EF935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128 (30)</w:t>
            </w:r>
          </w:p>
        </w:tc>
      </w:tr>
      <w:tr w:rsidR="0035149F" w14:paraId="4A2F338C" w14:textId="77777777" w:rsidTr="0028788D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0692173" w14:textId="0383DDA1" w:rsidR="0035149F" w:rsidRDefault="0035149F" w:rsidP="00E729FE">
            <w:pPr>
              <w:spacing w:line="480" w:lineRule="auto"/>
              <w:rPr>
                <w:sz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Number of attack</w:t>
            </w:r>
            <w:r w:rsidR="00B654AB">
              <w:rPr>
                <w:rFonts w:cs="Arial"/>
                <w:color w:val="000000"/>
                <w:sz w:val="20"/>
                <w:szCs w:val="20"/>
              </w:rPr>
              <w:t>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last 12 months, median (IQR)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C350C8B" w14:textId="06A51426" w:rsidR="0035149F" w:rsidRPr="0040312F" w:rsidRDefault="0035149F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0312F">
              <w:rPr>
                <w:rFonts w:cs="Arial"/>
                <w:color w:val="000000"/>
                <w:sz w:val="20"/>
                <w:szCs w:val="20"/>
              </w:rPr>
              <w:t>3 (1,5)</w:t>
            </w:r>
          </w:p>
        </w:tc>
      </w:tr>
      <w:tr w:rsidR="00CC3204" w14:paraId="1A4858B2" w14:textId="77777777" w:rsidTr="0028788D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D94FDD" w14:textId="644848D0" w:rsidR="00CC3204" w:rsidRPr="00DE3B07" w:rsidRDefault="00956311" w:rsidP="00E729FE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u</w:t>
            </w:r>
            <w:r w:rsidR="00DE3B07" w:rsidRPr="00DE3B07">
              <w:rPr>
                <w:sz w:val="20"/>
                <w:szCs w:val="20"/>
              </w:rPr>
              <w:t>rate-lowering therapy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1ED98823" w14:textId="77777777" w:rsidR="00CC3204" w:rsidRPr="0040312F" w:rsidRDefault="00CC3204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DE3B07" w14:paraId="407A0281" w14:textId="77777777" w:rsidTr="00331D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7F081" w14:textId="77777777" w:rsidR="00DE3B07" w:rsidRPr="00DE3B07" w:rsidRDefault="00DE3B07" w:rsidP="00E729F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647F5E0F" w14:textId="200F5B41" w:rsidR="00DE3B07" w:rsidRPr="00DE3B07" w:rsidRDefault="0040312F" w:rsidP="00E729FE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Allopurinol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0548448A" w14:textId="03C9B415" w:rsidR="00DE3B07" w:rsidRPr="0040312F" w:rsidRDefault="00956311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(31)</w:t>
            </w:r>
          </w:p>
        </w:tc>
      </w:tr>
      <w:tr w:rsidR="00DE3B07" w14:paraId="5001A3F1" w14:textId="77777777" w:rsidTr="00331D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367DA" w14:textId="77777777" w:rsidR="00DE3B07" w:rsidRPr="00DE3B07" w:rsidRDefault="00DE3B07" w:rsidP="00E729F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23BED453" w14:textId="082C8EC7" w:rsidR="00DE3B07" w:rsidRPr="00DE3B07" w:rsidRDefault="0040312F" w:rsidP="00E729FE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Febuxostat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6AE4363D" w14:textId="4A7EDEAC" w:rsidR="00DE3B07" w:rsidRPr="0040312F" w:rsidRDefault="00970D94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(1)</w:t>
            </w:r>
          </w:p>
        </w:tc>
      </w:tr>
      <w:tr w:rsidR="00DE3B07" w14:paraId="07F4E6FD" w14:textId="77777777" w:rsidTr="00331D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5B348" w14:textId="77777777" w:rsidR="00DE3B07" w:rsidRPr="00DE3B07" w:rsidRDefault="00DE3B07" w:rsidP="00E729F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69FB3009" w14:textId="306E2AAE" w:rsidR="00DE3B07" w:rsidRPr="00DE3B07" w:rsidRDefault="0040312F" w:rsidP="00E729FE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Sulfinpyrazone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646EC127" w14:textId="794AED4F" w:rsidR="00DE3B07" w:rsidRPr="0040312F" w:rsidRDefault="00970D94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(1)</w:t>
            </w:r>
          </w:p>
        </w:tc>
      </w:tr>
      <w:tr w:rsidR="00DE3B07" w14:paraId="15B91787" w14:textId="77777777" w:rsidTr="00331D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C11D5" w14:textId="77777777" w:rsidR="00DE3B07" w:rsidRPr="00DE3B07" w:rsidRDefault="00DE3B07" w:rsidP="00E729F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594E2803" w14:textId="0D682C81" w:rsidR="00DE3B07" w:rsidRPr="00DE3B07" w:rsidRDefault="0040312F" w:rsidP="00E729FE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Probenecid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2661EC75" w14:textId="01BE36DA" w:rsidR="00DE3B07" w:rsidRPr="0040312F" w:rsidRDefault="00970D94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(1)</w:t>
            </w:r>
          </w:p>
        </w:tc>
      </w:tr>
      <w:tr w:rsidR="00DE3B07" w14:paraId="58E71104" w14:textId="77777777" w:rsidTr="001742E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E79B" w14:textId="77777777" w:rsidR="00DE3B07" w:rsidRPr="00DE3B07" w:rsidRDefault="00DE3B07" w:rsidP="00E729F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78C85368" w14:textId="70801BCA" w:rsidR="00DE3B07" w:rsidRPr="00DE3B07" w:rsidRDefault="0040312F" w:rsidP="00E729FE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Benzbromarone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3834B3EB" w14:textId="1A10634D" w:rsidR="00DE3B07" w:rsidRPr="0040312F" w:rsidRDefault="00970D94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B07" w14:paraId="5D7ED130" w14:textId="77777777" w:rsidTr="001742EC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BE0BF5" w14:textId="77777777" w:rsidR="00DE3B07" w:rsidRPr="00DE3B07" w:rsidRDefault="00DE3B07" w:rsidP="00E729F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14:paraId="3384ADB5" w14:textId="7DB706CB" w:rsidR="00DE3B07" w:rsidRPr="00DE3B07" w:rsidRDefault="0040312F" w:rsidP="00E729FE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urate-lowering therapy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08B7C6" w14:textId="72A75FBA" w:rsidR="00DE3B07" w:rsidRPr="0040312F" w:rsidRDefault="00970D94" w:rsidP="00E729F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70D9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289 (67)</w:t>
            </w:r>
          </w:p>
        </w:tc>
      </w:tr>
      <w:tr w:rsidR="001742EC" w14:paraId="58E790B8" w14:textId="77777777" w:rsidTr="00871478">
        <w:trPr>
          <w:trHeight w:val="686"/>
        </w:trPr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3B70D" w14:textId="77777777" w:rsidR="001742EC" w:rsidRPr="00331D38" w:rsidRDefault="001742EC" w:rsidP="001742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CKD, chronic kidney disease; eGFR, estimated glomerular filtration rate; IQR, inter-quartile range; SD, standard deviation</w:t>
            </w:r>
          </w:p>
          <w:p w14:paraId="5BE22C36" w14:textId="77777777" w:rsidR="001742EC" w:rsidRPr="00331D38" w:rsidRDefault="001742EC" w:rsidP="001742EC">
            <w:pPr>
              <w:jc w:val="both"/>
              <w:rPr>
                <w:sz w:val="20"/>
                <w:szCs w:val="20"/>
              </w:rPr>
            </w:pPr>
            <w:r w:rsidRPr="00331D38">
              <w:rPr>
                <w:sz w:val="20"/>
                <w:szCs w:val="20"/>
                <w:vertAlign w:val="superscript"/>
              </w:rPr>
              <w:t>a</w:t>
            </w:r>
            <w:r w:rsidRPr="00331D38">
              <w:rPr>
                <w:sz w:val="20"/>
                <w:szCs w:val="20"/>
              </w:rPr>
              <w:t xml:space="preserve"> data are n(%) unless otherwise stated</w:t>
            </w:r>
          </w:p>
          <w:p w14:paraId="6E694E23" w14:textId="77777777" w:rsidR="001742EC" w:rsidRPr="00970D94" w:rsidRDefault="001742EC" w:rsidP="00E729FE">
            <w:pPr>
              <w:spacing w:line="48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8915793" w14:textId="28144EC3" w:rsidR="00F41F92" w:rsidRDefault="00F41F92" w:rsidP="001742EC">
      <w:pPr>
        <w:rPr>
          <w:sz w:val="20"/>
          <w:szCs w:val="20"/>
        </w:rPr>
      </w:pPr>
    </w:p>
    <w:p w14:paraId="26DBD15B" w14:textId="1C3AE9B9" w:rsidR="003970C5" w:rsidRPr="00331D38" w:rsidRDefault="003970C5" w:rsidP="006B351D">
      <w:pPr>
        <w:rPr>
          <w:sz w:val="20"/>
          <w:szCs w:val="20"/>
        </w:rPr>
      </w:pPr>
    </w:p>
    <w:sectPr w:rsidR="003970C5" w:rsidRPr="00331D3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AFC3D" w14:textId="77777777" w:rsidR="00A34A40" w:rsidRDefault="00A34A40" w:rsidP="000E4C90">
      <w:pPr>
        <w:spacing w:after="0" w:line="240" w:lineRule="auto"/>
      </w:pPr>
      <w:r>
        <w:separator/>
      </w:r>
    </w:p>
  </w:endnote>
  <w:endnote w:type="continuationSeparator" w:id="0">
    <w:p w14:paraId="6BCD247C" w14:textId="77777777" w:rsidR="00A34A40" w:rsidRDefault="00A34A40" w:rsidP="000E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281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22D65" w14:textId="7AABBD00" w:rsidR="00654969" w:rsidRDefault="00654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7B61AB" w14:textId="77777777" w:rsidR="00654969" w:rsidRDefault="00654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757F6" w14:textId="77777777" w:rsidR="00A34A40" w:rsidRDefault="00A34A40" w:rsidP="000E4C90">
      <w:pPr>
        <w:spacing w:after="0" w:line="240" w:lineRule="auto"/>
      </w:pPr>
      <w:r>
        <w:separator/>
      </w:r>
    </w:p>
  </w:footnote>
  <w:footnote w:type="continuationSeparator" w:id="0">
    <w:p w14:paraId="1E103A0C" w14:textId="77777777" w:rsidR="00A34A40" w:rsidRDefault="00A34A40" w:rsidP="000E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7A9"/>
    <w:multiLevelType w:val="hybridMultilevel"/>
    <w:tmpl w:val="88E89DC0"/>
    <w:lvl w:ilvl="0" w:tplc="C9E4E15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D03"/>
    <w:multiLevelType w:val="hybridMultilevel"/>
    <w:tmpl w:val="ECCC0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5417"/>
    <w:multiLevelType w:val="hybridMultilevel"/>
    <w:tmpl w:val="F2A8C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1665"/>
    <w:multiLevelType w:val="hybridMultilevel"/>
    <w:tmpl w:val="85AA6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D19E5"/>
    <w:multiLevelType w:val="hybridMultilevel"/>
    <w:tmpl w:val="ECCC0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582F"/>
    <w:multiLevelType w:val="hybridMultilevel"/>
    <w:tmpl w:val="E24E5542"/>
    <w:lvl w:ilvl="0" w:tplc="EAB0E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5B89"/>
    <w:multiLevelType w:val="hybridMultilevel"/>
    <w:tmpl w:val="ECCC0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4CB3"/>
    <w:multiLevelType w:val="hybridMultilevel"/>
    <w:tmpl w:val="ECCC0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B6A04"/>
    <w:multiLevelType w:val="hybridMultilevel"/>
    <w:tmpl w:val="E8DE2C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A457E"/>
    <w:multiLevelType w:val="hybridMultilevel"/>
    <w:tmpl w:val="ECCC0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579F"/>
    <w:multiLevelType w:val="hybridMultilevel"/>
    <w:tmpl w:val="93046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E698C"/>
    <w:multiLevelType w:val="hybridMultilevel"/>
    <w:tmpl w:val="3F889C38"/>
    <w:lvl w:ilvl="0" w:tplc="EC366F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80541"/>
    <w:multiLevelType w:val="hybridMultilevel"/>
    <w:tmpl w:val="ECCC0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4652E"/>
    <w:multiLevelType w:val="hybridMultilevel"/>
    <w:tmpl w:val="A57C1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047FC1"/>
    <w:multiLevelType w:val="hybridMultilevel"/>
    <w:tmpl w:val="D536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D6C68"/>
    <w:multiLevelType w:val="hybridMultilevel"/>
    <w:tmpl w:val="ECCC0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4"/>
  </w:num>
  <w:num w:numId="9">
    <w:abstractNumId w:val="15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7"/>
    <w:rsid w:val="00000EFE"/>
    <w:rsid w:val="00005667"/>
    <w:rsid w:val="00011EF1"/>
    <w:rsid w:val="00012DEC"/>
    <w:rsid w:val="00013C68"/>
    <w:rsid w:val="000178F4"/>
    <w:rsid w:val="00022F25"/>
    <w:rsid w:val="00024486"/>
    <w:rsid w:val="00024D7C"/>
    <w:rsid w:val="000303E2"/>
    <w:rsid w:val="00032707"/>
    <w:rsid w:val="000364B4"/>
    <w:rsid w:val="000364FA"/>
    <w:rsid w:val="00040848"/>
    <w:rsid w:val="00040E7E"/>
    <w:rsid w:val="00041125"/>
    <w:rsid w:val="00041342"/>
    <w:rsid w:val="00041522"/>
    <w:rsid w:val="00044C76"/>
    <w:rsid w:val="00050F3B"/>
    <w:rsid w:val="0005386D"/>
    <w:rsid w:val="0005610A"/>
    <w:rsid w:val="00062A8D"/>
    <w:rsid w:val="00064410"/>
    <w:rsid w:val="00064B53"/>
    <w:rsid w:val="0006677D"/>
    <w:rsid w:val="00067B92"/>
    <w:rsid w:val="00070DC7"/>
    <w:rsid w:val="00071C67"/>
    <w:rsid w:val="00074B7E"/>
    <w:rsid w:val="00083AD7"/>
    <w:rsid w:val="00094A9D"/>
    <w:rsid w:val="00094B1E"/>
    <w:rsid w:val="000A7CC8"/>
    <w:rsid w:val="000C040F"/>
    <w:rsid w:val="000E1233"/>
    <w:rsid w:val="000E4156"/>
    <w:rsid w:val="000E4C90"/>
    <w:rsid w:val="000F2DD4"/>
    <w:rsid w:val="00101A65"/>
    <w:rsid w:val="00116C86"/>
    <w:rsid w:val="00122216"/>
    <w:rsid w:val="001259CF"/>
    <w:rsid w:val="00125A66"/>
    <w:rsid w:val="001265F6"/>
    <w:rsid w:val="0013058C"/>
    <w:rsid w:val="00131A73"/>
    <w:rsid w:val="00133168"/>
    <w:rsid w:val="00134863"/>
    <w:rsid w:val="00136CD8"/>
    <w:rsid w:val="001372E5"/>
    <w:rsid w:val="00140416"/>
    <w:rsid w:val="001406A4"/>
    <w:rsid w:val="00143853"/>
    <w:rsid w:val="001455B2"/>
    <w:rsid w:val="00157425"/>
    <w:rsid w:val="0016139E"/>
    <w:rsid w:val="001742EC"/>
    <w:rsid w:val="00176F9C"/>
    <w:rsid w:val="00183935"/>
    <w:rsid w:val="00183987"/>
    <w:rsid w:val="001861DA"/>
    <w:rsid w:val="00186F7E"/>
    <w:rsid w:val="00187F45"/>
    <w:rsid w:val="00193F67"/>
    <w:rsid w:val="0019611C"/>
    <w:rsid w:val="00196493"/>
    <w:rsid w:val="001A0F83"/>
    <w:rsid w:val="001B3417"/>
    <w:rsid w:val="001B7434"/>
    <w:rsid w:val="001C3C4E"/>
    <w:rsid w:val="001D2F51"/>
    <w:rsid w:val="001D7DA7"/>
    <w:rsid w:val="001E1DAA"/>
    <w:rsid w:val="001E594F"/>
    <w:rsid w:val="001F646D"/>
    <w:rsid w:val="00200E01"/>
    <w:rsid w:val="00203361"/>
    <w:rsid w:val="0020638D"/>
    <w:rsid w:val="00210A03"/>
    <w:rsid w:val="002110D1"/>
    <w:rsid w:val="00215F72"/>
    <w:rsid w:val="002221E9"/>
    <w:rsid w:val="0022255B"/>
    <w:rsid w:val="00227847"/>
    <w:rsid w:val="00231ABD"/>
    <w:rsid w:val="0023556F"/>
    <w:rsid w:val="00244A74"/>
    <w:rsid w:val="002471E8"/>
    <w:rsid w:val="00247DC5"/>
    <w:rsid w:val="002606A9"/>
    <w:rsid w:val="00261844"/>
    <w:rsid w:val="00267D12"/>
    <w:rsid w:val="002762E7"/>
    <w:rsid w:val="00277265"/>
    <w:rsid w:val="002772E9"/>
    <w:rsid w:val="00281381"/>
    <w:rsid w:val="00282865"/>
    <w:rsid w:val="002846E3"/>
    <w:rsid w:val="00286740"/>
    <w:rsid w:val="0028788D"/>
    <w:rsid w:val="002976BB"/>
    <w:rsid w:val="002A4DA8"/>
    <w:rsid w:val="002C0F9F"/>
    <w:rsid w:val="002C4069"/>
    <w:rsid w:val="002D5EB4"/>
    <w:rsid w:val="002E1FC6"/>
    <w:rsid w:val="002E2EB7"/>
    <w:rsid w:val="002E4148"/>
    <w:rsid w:val="002E44D5"/>
    <w:rsid w:val="002E4926"/>
    <w:rsid w:val="002E57E9"/>
    <w:rsid w:val="002E6AF0"/>
    <w:rsid w:val="003056CB"/>
    <w:rsid w:val="0031078D"/>
    <w:rsid w:val="003112A3"/>
    <w:rsid w:val="0031248D"/>
    <w:rsid w:val="00313234"/>
    <w:rsid w:val="00314D29"/>
    <w:rsid w:val="00315317"/>
    <w:rsid w:val="003166F6"/>
    <w:rsid w:val="00320CC5"/>
    <w:rsid w:val="0032783E"/>
    <w:rsid w:val="00330580"/>
    <w:rsid w:val="00331D38"/>
    <w:rsid w:val="003333ED"/>
    <w:rsid w:val="0033402E"/>
    <w:rsid w:val="00334479"/>
    <w:rsid w:val="00335137"/>
    <w:rsid w:val="00341509"/>
    <w:rsid w:val="00342C84"/>
    <w:rsid w:val="003458AA"/>
    <w:rsid w:val="00345A7C"/>
    <w:rsid w:val="0035149F"/>
    <w:rsid w:val="00357D67"/>
    <w:rsid w:val="00362211"/>
    <w:rsid w:val="0036696A"/>
    <w:rsid w:val="00367B3F"/>
    <w:rsid w:val="00373DB2"/>
    <w:rsid w:val="00375D04"/>
    <w:rsid w:val="003776E5"/>
    <w:rsid w:val="00377F4C"/>
    <w:rsid w:val="00381BDA"/>
    <w:rsid w:val="0038357E"/>
    <w:rsid w:val="0038727C"/>
    <w:rsid w:val="0039054F"/>
    <w:rsid w:val="003970C5"/>
    <w:rsid w:val="003A06D6"/>
    <w:rsid w:val="003A1386"/>
    <w:rsid w:val="003A2233"/>
    <w:rsid w:val="003A5D83"/>
    <w:rsid w:val="003B0D40"/>
    <w:rsid w:val="003B28B0"/>
    <w:rsid w:val="003B2975"/>
    <w:rsid w:val="003B3A1A"/>
    <w:rsid w:val="003B490D"/>
    <w:rsid w:val="003B69C6"/>
    <w:rsid w:val="003B7384"/>
    <w:rsid w:val="003C0263"/>
    <w:rsid w:val="003C02BA"/>
    <w:rsid w:val="003C251A"/>
    <w:rsid w:val="003C5010"/>
    <w:rsid w:val="003C52F0"/>
    <w:rsid w:val="003C57B5"/>
    <w:rsid w:val="003C5F03"/>
    <w:rsid w:val="003C7227"/>
    <w:rsid w:val="003E258E"/>
    <w:rsid w:val="003E6A72"/>
    <w:rsid w:val="003F61CB"/>
    <w:rsid w:val="004015C8"/>
    <w:rsid w:val="0040312F"/>
    <w:rsid w:val="00413C91"/>
    <w:rsid w:val="00420BD8"/>
    <w:rsid w:val="004220BC"/>
    <w:rsid w:val="004376DD"/>
    <w:rsid w:val="00445ACE"/>
    <w:rsid w:val="00445C30"/>
    <w:rsid w:val="00445E74"/>
    <w:rsid w:val="004541AA"/>
    <w:rsid w:val="004636E5"/>
    <w:rsid w:val="0046754E"/>
    <w:rsid w:val="00476D63"/>
    <w:rsid w:val="00480310"/>
    <w:rsid w:val="00482027"/>
    <w:rsid w:val="004830D3"/>
    <w:rsid w:val="00485ADE"/>
    <w:rsid w:val="004A55CA"/>
    <w:rsid w:val="004B02C0"/>
    <w:rsid w:val="004B172B"/>
    <w:rsid w:val="004B41FC"/>
    <w:rsid w:val="004B45F9"/>
    <w:rsid w:val="004B7AAC"/>
    <w:rsid w:val="004C1439"/>
    <w:rsid w:val="004D7526"/>
    <w:rsid w:val="004E3EC5"/>
    <w:rsid w:val="004E71A2"/>
    <w:rsid w:val="004F0D46"/>
    <w:rsid w:val="004F629B"/>
    <w:rsid w:val="00500EA1"/>
    <w:rsid w:val="005136B4"/>
    <w:rsid w:val="0051413B"/>
    <w:rsid w:val="005176F4"/>
    <w:rsid w:val="0052038D"/>
    <w:rsid w:val="005246EE"/>
    <w:rsid w:val="00525477"/>
    <w:rsid w:val="00526A42"/>
    <w:rsid w:val="0053213A"/>
    <w:rsid w:val="00537B88"/>
    <w:rsid w:val="005429D8"/>
    <w:rsid w:val="00543DE4"/>
    <w:rsid w:val="005455C3"/>
    <w:rsid w:val="0054786A"/>
    <w:rsid w:val="00547EF9"/>
    <w:rsid w:val="00552997"/>
    <w:rsid w:val="00553387"/>
    <w:rsid w:val="00553755"/>
    <w:rsid w:val="0055684B"/>
    <w:rsid w:val="00557B8B"/>
    <w:rsid w:val="005620E6"/>
    <w:rsid w:val="00562A89"/>
    <w:rsid w:val="00572B25"/>
    <w:rsid w:val="00574093"/>
    <w:rsid w:val="00577199"/>
    <w:rsid w:val="0058224E"/>
    <w:rsid w:val="005827FF"/>
    <w:rsid w:val="00583013"/>
    <w:rsid w:val="00590254"/>
    <w:rsid w:val="005905AC"/>
    <w:rsid w:val="005975A6"/>
    <w:rsid w:val="005A1464"/>
    <w:rsid w:val="005A7FAB"/>
    <w:rsid w:val="005B05F0"/>
    <w:rsid w:val="005B083E"/>
    <w:rsid w:val="005B690D"/>
    <w:rsid w:val="005C3440"/>
    <w:rsid w:val="005C3E63"/>
    <w:rsid w:val="005C69F1"/>
    <w:rsid w:val="005D310D"/>
    <w:rsid w:val="005D3C77"/>
    <w:rsid w:val="005E04DC"/>
    <w:rsid w:val="005E15CD"/>
    <w:rsid w:val="005E2B03"/>
    <w:rsid w:val="005F3ADF"/>
    <w:rsid w:val="00606C9B"/>
    <w:rsid w:val="00607936"/>
    <w:rsid w:val="00610374"/>
    <w:rsid w:val="00611DD8"/>
    <w:rsid w:val="006141A8"/>
    <w:rsid w:val="00616D9D"/>
    <w:rsid w:val="0061710C"/>
    <w:rsid w:val="006204DF"/>
    <w:rsid w:val="00636B97"/>
    <w:rsid w:val="00640F27"/>
    <w:rsid w:val="00641D73"/>
    <w:rsid w:val="00643B3F"/>
    <w:rsid w:val="00646B4D"/>
    <w:rsid w:val="00650761"/>
    <w:rsid w:val="00652C4D"/>
    <w:rsid w:val="006534FD"/>
    <w:rsid w:val="00654969"/>
    <w:rsid w:val="00657CE3"/>
    <w:rsid w:val="006617AB"/>
    <w:rsid w:val="006652DC"/>
    <w:rsid w:val="006759A6"/>
    <w:rsid w:val="00682B61"/>
    <w:rsid w:val="00687395"/>
    <w:rsid w:val="00691083"/>
    <w:rsid w:val="00693622"/>
    <w:rsid w:val="006965DB"/>
    <w:rsid w:val="00697D19"/>
    <w:rsid w:val="006A0588"/>
    <w:rsid w:val="006A115C"/>
    <w:rsid w:val="006A5094"/>
    <w:rsid w:val="006A7504"/>
    <w:rsid w:val="006B08A7"/>
    <w:rsid w:val="006B351D"/>
    <w:rsid w:val="006C00C2"/>
    <w:rsid w:val="006C3F74"/>
    <w:rsid w:val="006C62A7"/>
    <w:rsid w:val="006D1557"/>
    <w:rsid w:val="006D256D"/>
    <w:rsid w:val="006D265F"/>
    <w:rsid w:val="006E40D3"/>
    <w:rsid w:val="006E4215"/>
    <w:rsid w:val="006F120E"/>
    <w:rsid w:val="006F4570"/>
    <w:rsid w:val="00703618"/>
    <w:rsid w:val="00703E32"/>
    <w:rsid w:val="007044AF"/>
    <w:rsid w:val="00712358"/>
    <w:rsid w:val="00730902"/>
    <w:rsid w:val="00730C0F"/>
    <w:rsid w:val="007311C5"/>
    <w:rsid w:val="007349AD"/>
    <w:rsid w:val="0073601D"/>
    <w:rsid w:val="00740AB2"/>
    <w:rsid w:val="00740E9C"/>
    <w:rsid w:val="0074235A"/>
    <w:rsid w:val="007534D1"/>
    <w:rsid w:val="0075464D"/>
    <w:rsid w:val="007549A2"/>
    <w:rsid w:val="00761D44"/>
    <w:rsid w:val="00767827"/>
    <w:rsid w:val="00772502"/>
    <w:rsid w:val="00772FBE"/>
    <w:rsid w:val="00773A6B"/>
    <w:rsid w:val="007822FD"/>
    <w:rsid w:val="007834E1"/>
    <w:rsid w:val="007843AC"/>
    <w:rsid w:val="00787419"/>
    <w:rsid w:val="00790371"/>
    <w:rsid w:val="0079066A"/>
    <w:rsid w:val="00792858"/>
    <w:rsid w:val="0079315F"/>
    <w:rsid w:val="007A14EB"/>
    <w:rsid w:val="007A191F"/>
    <w:rsid w:val="007A5417"/>
    <w:rsid w:val="007B0DCC"/>
    <w:rsid w:val="007C1F34"/>
    <w:rsid w:val="007C5271"/>
    <w:rsid w:val="007D6990"/>
    <w:rsid w:val="007E32A5"/>
    <w:rsid w:val="007E482F"/>
    <w:rsid w:val="007E6ED3"/>
    <w:rsid w:val="007F42BD"/>
    <w:rsid w:val="007F5317"/>
    <w:rsid w:val="007F53FB"/>
    <w:rsid w:val="00800DC8"/>
    <w:rsid w:val="00804338"/>
    <w:rsid w:val="00806A3C"/>
    <w:rsid w:val="00810B3D"/>
    <w:rsid w:val="0081423E"/>
    <w:rsid w:val="00814A73"/>
    <w:rsid w:val="00824A37"/>
    <w:rsid w:val="008301C7"/>
    <w:rsid w:val="00830D3A"/>
    <w:rsid w:val="00831840"/>
    <w:rsid w:val="00836A63"/>
    <w:rsid w:val="008415BD"/>
    <w:rsid w:val="0084583A"/>
    <w:rsid w:val="00845BF0"/>
    <w:rsid w:val="0084728C"/>
    <w:rsid w:val="00847922"/>
    <w:rsid w:val="00852BD5"/>
    <w:rsid w:val="00857FC8"/>
    <w:rsid w:val="00860E04"/>
    <w:rsid w:val="008679AE"/>
    <w:rsid w:val="00871478"/>
    <w:rsid w:val="00872799"/>
    <w:rsid w:val="00880E80"/>
    <w:rsid w:val="008848B9"/>
    <w:rsid w:val="0088619B"/>
    <w:rsid w:val="00887ADF"/>
    <w:rsid w:val="0089130D"/>
    <w:rsid w:val="00891EAC"/>
    <w:rsid w:val="008927C6"/>
    <w:rsid w:val="00894CDC"/>
    <w:rsid w:val="008965B5"/>
    <w:rsid w:val="008A4263"/>
    <w:rsid w:val="008A7925"/>
    <w:rsid w:val="008B3C64"/>
    <w:rsid w:val="008B5D03"/>
    <w:rsid w:val="008B6085"/>
    <w:rsid w:val="008B62B3"/>
    <w:rsid w:val="008B6A13"/>
    <w:rsid w:val="008B7C6D"/>
    <w:rsid w:val="008C3F3D"/>
    <w:rsid w:val="008D0A76"/>
    <w:rsid w:val="008D0D0B"/>
    <w:rsid w:val="008E10C8"/>
    <w:rsid w:val="008E470E"/>
    <w:rsid w:val="008E64AE"/>
    <w:rsid w:val="008F0CF5"/>
    <w:rsid w:val="008F4ECB"/>
    <w:rsid w:val="008F6BC3"/>
    <w:rsid w:val="00900008"/>
    <w:rsid w:val="009029E7"/>
    <w:rsid w:val="0090624A"/>
    <w:rsid w:val="009104B1"/>
    <w:rsid w:val="009111BD"/>
    <w:rsid w:val="0091120A"/>
    <w:rsid w:val="009131E8"/>
    <w:rsid w:val="00914A1E"/>
    <w:rsid w:val="00917B7A"/>
    <w:rsid w:val="009218B8"/>
    <w:rsid w:val="00926667"/>
    <w:rsid w:val="00926F48"/>
    <w:rsid w:val="00927E4C"/>
    <w:rsid w:val="00931A65"/>
    <w:rsid w:val="00933FF7"/>
    <w:rsid w:val="00936623"/>
    <w:rsid w:val="009367A3"/>
    <w:rsid w:val="00936A52"/>
    <w:rsid w:val="009428EF"/>
    <w:rsid w:val="0094622E"/>
    <w:rsid w:val="0094750D"/>
    <w:rsid w:val="00950B73"/>
    <w:rsid w:val="00951E79"/>
    <w:rsid w:val="00954607"/>
    <w:rsid w:val="00956311"/>
    <w:rsid w:val="00956840"/>
    <w:rsid w:val="00960E3E"/>
    <w:rsid w:val="00963898"/>
    <w:rsid w:val="0096693D"/>
    <w:rsid w:val="00966BC5"/>
    <w:rsid w:val="00970D94"/>
    <w:rsid w:val="00977EF1"/>
    <w:rsid w:val="00986FAE"/>
    <w:rsid w:val="009945B5"/>
    <w:rsid w:val="009A208C"/>
    <w:rsid w:val="009A223B"/>
    <w:rsid w:val="009A2301"/>
    <w:rsid w:val="009A6398"/>
    <w:rsid w:val="009A7DE2"/>
    <w:rsid w:val="009B3851"/>
    <w:rsid w:val="009C2A64"/>
    <w:rsid w:val="009C34AC"/>
    <w:rsid w:val="009D4C06"/>
    <w:rsid w:val="009D4D5F"/>
    <w:rsid w:val="009E36B5"/>
    <w:rsid w:val="009F12CF"/>
    <w:rsid w:val="009F2095"/>
    <w:rsid w:val="009F24D9"/>
    <w:rsid w:val="009F6679"/>
    <w:rsid w:val="009F6CD8"/>
    <w:rsid w:val="009F7E7B"/>
    <w:rsid w:val="00A01719"/>
    <w:rsid w:val="00A07878"/>
    <w:rsid w:val="00A13779"/>
    <w:rsid w:val="00A17449"/>
    <w:rsid w:val="00A214A7"/>
    <w:rsid w:val="00A22A41"/>
    <w:rsid w:val="00A33D4A"/>
    <w:rsid w:val="00A34A40"/>
    <w:rsid w:val="00A36967"/>
    <w:rsid w:val="00A4047F"/>
    <w:rsid w:val="00A42510"/>
    <w:rsid w:val="00A4280E"/>
    <w:rsid w:val="00A44E78"/>
    <w:rsid w:val="00A50D27"/>
    <w:rsid w:val="00A602A4"/>
    <w:rsid w:val="00A67D47"/>
    <w:rsid w:val="00A73327"/>
    <w:rsid w:val="00A74405"/>
    <w:rsid w:val="00A75430"/>
    <w:rsid w:val="00A75CAD"/>
    <w:rsid w:val="00A843E1"/>
    <w:rsid w:val="00A8535B"/>
    <w:rsid w:val="00A858EC"/>
    <w:rsid w:val="00A9517A"/>
    <w:rsid w:val="00A97E90"/>
    <w:rsid w:val="00AA56B0"/>
    <w:rsid w:val="00AA663E"/>
    <w:rsid w:val="00AB1C47"/>
    <w:rsid w:val="00AB2196"/>
    <w:rsid w:val="00AB5898"/>
    <w:rsid w:val="00AB5DBC"/>
    <w:rsid w:val="00AD06BB"/>
    <w:rsid w:val="00AD09A8"/>
    <w:rsid w:val="00AE32AD"/>
    <w:rsid w:val="00AF03FC"/>
    <w:rsid w:val="00AF1304"/>
    <w:rsid w:val="00AF4242"/>
    <w:rsid w:val="00AF4B39"/>
    <w:rsid w:val="00AF512F"/>
    <w:rsid w:val="00B010F3"/>
    <w:rsid w:val="00B04F61"/>
    <w:rsid w:val="00B2161A"/>
    <w:rsid w:val="00B24D78"/>
    <w:rsid w:val="00B311B0"/>
    <w:rsid w:val="00B32D89"/>
    <w:rsid w:val="00B33252"/>
    <w:rsid w:val="00B3764F"/>
    <w:rsid w:val="00B44BD7"/>
    <w:rsid w:val="00B55A84"/>
    <w:rsid w:val="00B560E7"/>
    <w:rsid w:val="00B56F23"/>
    <w:rsid w:val="00B60BD4"/>
    <w:rsid w:val="00B633EB"/>
    <w:rsid w:val="00B654AB"/>
    <w:rsid w:val="00B77A14"/>
    <w:rsid w:val="00B821A9"/>
    <w:rsid w:val="00B8444D"/>
    <w:rsid w:val="00B87ADF"/>
    <w:rsid w:val="00B95C6B"/>
    <w:rsid w:val="00BA4462"/>
    <w:rsid w:val="00BA4FBE"/>
    <w:rsid w:val="00BA6A7C"/>
    <w:rsid w:val="00BB4F19"/>
    <w:rsid w:val="00BB524D"/>
    <w:rsid w:val="00BC033B"/>
    <w:rsid w:val="00BC11F5"/>
    <w:rsid w:val="00BC3BAA"/>
    <w:rsid w:val="00BD6387"/>
    <w:rsid w:val="00BE7630"/>
    <w:rsid w:val="00BE7D4A"/>
    <w:rsid w:val="00BF02DC"/>
    <w:rsid w:val="00BF2EC5"/>
    <w:rsid w:val="00BF474C"/>
    <w:rsid w:val="00BF59A6"/>
    <w:rsid w:val="00C03C45"/>
    <w:rsid w:val="00C0470C"/>
    <w:rsid w:val="00C053DF"/>
    <w:rsid w:val="00C076F7"/>
    <w:rsid w:val="00C07964"/>
    <w:rsid w:val="00C118EF"/>
    <w:rsid w:val="00C12C09"/>
    <w:rsid w:val="00C2778E"/>
    <w:rsid w:val="00C34EB0"/>
    <w:rsid w:val="00C355D1"/>
    <w:rsid w:val="00C37237"/>
    <w:rsid w:val="00C4265B"/>
    <w:rsid w:val="00C437E1"/>
    <w:rsid w:val="00C50504"/>
    <w:rsid w:val="00C51843"/>
    <w:rsid w:val="00C5762C"/>
    <w:rsid w:val="00C6421C"/>
    <w:rsid w:val="00C722A9"/>
    <w:rsid w:val="00C749A0"/>
    <w:rsid w:val="00C75EA8"/>
    <w:rsid w:val="00C90A1E"/>
    <w:rsid w:val="00C93332"/>
    <w:rsid w:val="00C94C1C"/>
    <w:rsid w:val="00CA320B"/>
    <w:rsid w:val="00CA4CFD"/>
    <w:rsid w:val="00CA4E88"/>
    <w:rsid w:val="00CB0283"/>
    <w:rsid w:val="00CB0495"/>
    <w:rsid w:val="00CB0855"/>
    <w:rsid w:val="00CB0CD9"/>
    <w:rsid w:val="00CB55C3"/>
    <w:rsid w:val="00CB714F"/>
    <w:rsid w:val="00CB7CDE"/>
    <w:rsid w:val="00CC3204"/>
    <w:rsid w:val="00CC5CCB"/>
    <w:rsid w:val="00CD3EE8"/>
    <w:rsid w:val="00CD4021"/>
    <w:rsid w:val="00CD4C23"/>
    <w:rsid w:val="00CE19DC"/>
    <w:rsid w:val="00CE2B8D"/>
    <w:rsid w:val="00CE3B67"/>
    <w:rsid w:val="00CE461A"/>
    <w:rsid w:val="00D14F8C"/>
    <w:rsid w:val="00D31F0E"/>
    <w:rsid w:val="00D421AA"/>
    <w:rsid w:val="00D45472"/>
    <w:rsid w:val="00D520FA"/>
    <w:rsid w:val="00D6169C"/>
    <w:rsid w:val="00D63A6E"/>
    <w:rsid w:val="00D70B88"/>
    <w:rsid w:val="00D70F8B"/>
    <w:rsid w:val="00D7261D"/>
    <w:rsid w:val="00D72CC8"/>
    <w:rsid w:val="00D7371F"/>
    <w:rsid w:val="00D7419F"/>
    <w:rsid w:val="00D8609B"/>
    <w:rsid w:val="00D9061E"/>
    <w:rsid w:val="00D91B6C"/>
    <w:rsid w:val="00D9291D"/>
    <w:rsid w:val="00D92C6C"/>
    <w:rsid w:val="00D9443D"/>
    <w:rsid w:val="00D95844"/>
    <w:rsid w:val="00DA48C8"/>
    <w:rsid w:val="00DB5E4F"/>
    <w:rsid w:val="00DC0421"/>
    <w:rsid w:val="00DD3911"/>
    <w:rsid w:val="00DD6C1D"/>
    <w:rsid w:val="00DE02B0"/>
    <w:rsid w:val="00DE08CA"/>
    <w:rsid w:val="00DE3B07"/>
    <w:rsid w:val="00DF3E41"/>
    <w:rsid w:val="00DF495F"/>
    <w:rsid w:val="00DF5D57"/>
    <w:rsid w:val="00DF621A"/>
    <w:rsid w:val="00E00ACA"/>
    <w:rsid w:val="00E00BCA"/>
    <w:rsid w:val="00E01A06"/>
    <w:rsid w:val="00E02DD4"/>
    <w:rsid w:val="00E0454B"/>
    <w:rsid w:val="00E06901"/>
    <w:rsid w:val="00E07809"/>
    <w:rsid w:val="00E14A7C"/>
    <w:rsid w:val="00E16F73"/>
    <w:rsid w:val="00E214AF"/>
    <w:rsid w:val="00E22A61"/>
    <w:rsid w:val="00E30FCA"/>
    <w:rsid w:val="00E3199B"/>
    <w:rsid w:val="00E347D6"/>
    <w:rsid w:val="00E37DF7"/>
    <w:rsid w:val="00E40109"/>
    <w:rsid w:val="00E425B4"/>
    <w:rsid w:val="00E5285D"/>
    <w:rsid w:val="00E52911"/>
    <w:rsid w:val="00E534F1"/>
    <w:rsid w:val="00E540D1"/>
    <w:rsid w:val="00E55A1E"/>
    <w:rsid w:val="00E60199"/>
    <w:rsid w:val="00E729FE"/>
    <w:rsid w:val="00E77A36"/>
    <w:rsid w:val="00E85DFF"/>
    <w:rsid w:val="00E86E77"/>
    <w:rsid w:val="00E93820"/>
    <w:rsid w:val="00E93A40"/>
    <w:rsid w:val="00E950E2"/>
    <w:rsid w:val="00E95312"/>
    <w:rsid w:val="00EA3851"/>
    <w:rsid w:val="00EA67B1"/>
    <w:rsid w:val="00EB0438"/>
    <w:rsid w:val="00EB0DCA"/>
    <w:rsid w:val="00EB1F3C"/>
    <w:rsid w:val="00EB6AFC"/>
    <w:rsid w:val="00EC2601"/>
    <w:rsid w:val="00EC6BB2"/>
    <w:rsid w:val="00ED11F7"/>
    <w:rsid w:val="00EE5A0A"/>
    <w:rsid w:val="00EE7B1A"/>
    <w:rsid w:val="00EF1444"/>
    <w:rsid w:val="00EF1CE9"/>
    <w:rsid w:val="00EF1D31"/>
    <w:rsid w:val="00EF28A7"/>
    <w:rsid w:val="00EF4CA9"/>
    <w:rsid w:val="00EF68AB"/>
    <w:rsid w:val="00F103E4"/>
    <w:rsid w:val="00F13DC1"/>
    <w:rsid w:val="00F17CE4"/>
    <w:rsid w:val="00F20342"/>
    <w:rsid w:val="00F2577C"/>
    <w:rsid w:val="00F347A3"/>
    <w:rsid w:val="00F36C2A"/>
    <w:rsid w:val="00F37F45"/>
    <w:rsid w:val="00F41F92"/>
    <w:rsid w:val="00F43033"/>
    <w:rsid w:val="00F546D9"/>
    <w:rsid w:val="00F55033"/>
    <w:rsid w:val="00F909E9"/>
    <w:rsid w:val="00F912F4"/>
    <w:rsid w:val="00F926DA"/>
    <w:rsid w:val="00F936B8"/>
    <w:rsid w:val="00F9373C"/>
    <w:rsid w:val="00FA1C01"/>
    <w:rsid w:val="00FA2396"/>
    <w:rsid w:val="00FA5DD9"/>
    <w:rsid w:val="00FA645F"/>
    <w:rsid w:val="00FB0146"/>
    <w:rsid w:val="00FB5DB9"/>
    <w:rsid w:val="00FE0CCB"/>
    <w:rsid w:val="00FF19E5"/>
    <w:rsid w:val="00FF46A8"/>
    <w:rsid w:val="00FF562E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8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E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C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90"/>
  </w:style>
  <w:style w:type="paragraph" w:styleId="Footer">
    <w:name w:val="footer"/>
    <w:basedOn w:val="Normal"/>
    <w:link w:val="FooterChar"/>
    <w:uiPriority w:val="99"/>
    <w:unhideWhenUsed/>
    <w:rsid w:val="000E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90"/>
  </w:style>
  <w:style w:type="character" w:styleId="Hyperlink">
    <w:name w:val="Hyperlink"/>
    <w:basedOn w:val="DefaultParagraphFont"/>
    <w:uiPriority w:val="99"/>
    <w:unhideWhenUsed/>
    <w:rsid w:val="00131A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7E7B"/>
  </w:style>
  <w:style w:type="paragraph" w:styleId="NormalWeb">
    <w:name w:val="Normal (Web)"/>
    <w:basedOn w:val="Normal"/>
    <w:uiPriority w:val="99"/>
    <w:unhideWhenUsed/>
    <w:rsid w:val="009F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itle1">
    <w:name w:val="Title1"/>
    <w:basedOn w:val="Normal"/>
    <w:rsid w:val="00CB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sc">
    <w:name w:val="desc"/>
    <w:basedOn w:val="Normal"/>
    <w:rsid w:val="00CB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tails">
    <w:name w:val="details"/>
    <w:basedOn w:val="Normal"/>
    <w:rsid w:val="00CB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jrnl">
    <w:name w:val="jrnl"/>
    <w:basedOn w:val="DefaultParagraphFont"/>
    <w:rsid w:val="00CB0855"/>
  </w:style>
  <w:style w:type="character" w:customStyle="1" w:styleId="Heading1Char">
    <w:name w:val="Heading 1 Char"/>
    <w:basedOn w:val="DefaultParagraphFont"/>
    <w:link w:val="Heading1"/>
    <w:uiPriority w:val="9"/>
    <w:rsid w:val="00926F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">
    <w:name w:val="highlight"/>
    <w:basedOn w:val="DefaultParagraphFont"/>
    <w:rsid w:val="00926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E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C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90"/>
  </w:style>
  <w:style w:type="paragraph" w:styleId="Footer">
    <w:name w:val="footer"/>
    <w:basedOn w:val="Normal"/>
    <w:link w:val="FooterChar"/>
    <w:uiPriority w:val="99"/>
    <w:unhideWhenUsed/>
    <w:rsid w:val="000E4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90"/>
  </w:style>
  <w:style w:type="character" w:styleId="Hyperlink">
    <w:name w:val="Hyperlink"/>
    <w:basedOn w:val="DefaultParagraphFont"/>
    <w:uiPriority w:val="99"/>
    <w:unhideWhenUsed/>
    <w:rsid w:val="00131A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7E7B"/>
  </w:style>
  <w:style w:type="paragraph" w:styleId="NormalWeb">
    <w:name w:val="Normal (Web)"/>
    <w:basedOn w:val="Normal"/>
    <w:uiPriority w:val="99"/>
    <w:unhideWhenUsed/>
    <w:rsid w:val="009F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itle1">
    <w:name w:val="Title1"/>
    <w:basedOn w:val="Normal"/>
    <w:rsid w:val="00CB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sc">
    <w:name w:val="desc"/>
    <w:basedOn w:val="Normal"/>
    <w:rsid w:val="00CB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tails">
    <w:name w:val="details"/>
    <w:basedOn w:val="Normal"/>
    <w:rsid w:val="00CB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jrnl">
    <w:name w:val="jrnl"/>
    <w:basedOn w:val="DefaultParagraphFont"/>
    <w:rsid w:val="00CB0855"/>
  </w:style>
  <w:style w:type="character" w:customStyle="1" w:styleId="Heading1Char">
    <w:name w:val="Heading 1 Char"/>
    <w:basedOn w:val="DefaultParagraphFont"/>
    <w:link w:val="Heading1"/>
    <w:uiPriority w:val="9"/>
    <w:rsid w:val="00926F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">
    <w:name w:val="highlight"/>
    <w:basedOn w:val="DefaultParagraphFont"/>
    <w:rsid w:val="0092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5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7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7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22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2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9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8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8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6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0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ddy@keele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ra.nhs.uk//research-community/before-you-apply/determine-whether-your-study-is-re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e.org.uk/nicemedia/live/12101/42738/4273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pra86</dc:creator>
  <cp:lastModifiedBy>Hannah</cp:lastModifiedBy>
  <cp:revision>2</cp:revision>
  <dcterms:created xsi:type="dcterms:W3CDTF">2018-01-24T11:26:00Z</dcterms:created>
  <dcterms:modified xsi:type="dcterms:W3CDTF">2018-01-24T11:26:00Z</dcterms:modified>
</cp:coreProperties>
</file>