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2A43B" w14:textId="77777777" w:rsidR="00CE7653" w:rsidRPr="004079BE" w:rsidRDefault="00CE7653" w:rsidP="00FB19B6">
      <w:pPr>
        <w:pStyle w:val="Heading2"/>
      </w:pPr>
      <w:r w:rsidRPr="004079BE">
        <w:t>Peer influence as a driver of technological innovation in the UK National Health Service: a qualitative study of clinicians’ experiences and attitudes</w:t>
      </w:r>
    </w:p>
    <w:p w14:paraId="5DE36BDC" w14:textId="77777777" w:rsidR="00CE7653" w:rsidRPr="004079BE" w:rsidRDefault="00CE7653" w:rsidP="00CE7653">
      <w:pPr>
        <w:pStyle w:val="Heading3"/>
      </w:pPr>
      <w:r w:rsidRPr="004079BE">
        <w:t>Corresponding author</w:t>
      </w:r>
    </w:p>
    <w:p w14:paraId="78ADBDA5" w14:textId="77777777" w:rsidR="00CE7653" w:rsidRPr="004079BE" w:rsidRDefault="00CE7653" w:rsidP="00CE7653">
      <w:r w:rsidRPr="004079BE">
        <w:t>Dr Claire Greszczuk (CG)</w:t>
      </w:r>
    </w:p>
    <w:p w14:paraId="3C516445" w14:textId="77777777" w:rsidR="00CE7653" w:rsidRPr="004079BE" w:rsidRDefault="00CE7653" w:rsidP="00CE7653">
      <w:r w:rsidRPr="004079BE">
        <w:t>Public Health Specialty Trainee</w:t>
      </w:r>
    </w:p>
    <w:p w14:paraId="19807253" w14:textId="4507086D" w:rsidR="00CE7653" w:rsidRPr="004079BE" w:rsidRDefault="00F26025" w:rsidP="00CE7653">
      <w:r w:rsidRPr="004079BE">
        <w:t>South London Health Protection Team, Public Health England, Skipton House, 80 London Road, London SE1 6LH</w:t>
      </w:r>
    </w:p>
    <w:p w14:paraId="6FAEAA06" w14:textId="77777777" w:rsidR="00CE7653" w:rsidRPr="004079BE" w:rsidRDefault="00CE7653" w:rsidP="00CE7653">
      <w:r w:rsidRPr="004079BE">
        <w:t>clairegreszczuk@gmail.com</w:t>
      </w:r>
    </w:p>
    <w:p w14:paraId="1ABD9A26" w14:textId="77777777" w:rsidR="00CE7653" w:rsidRPr="004079BE" w:rsidRDefault="00CE7653" w:rsidP="00CE7653">
      <w:pPr>
        <w:pStyle w:val="Heading3"/>
      </w:pPr>
      <w:r w:rsidRPr="004079BE">
        <w:t>Co-author details</w:t>
      </w:r>
    </w:p>
    <w:p w14:paraId="76CF61EB" w14:textId="77777777" w:rsidR="00CE7653" w:rsidRPr="004079BE" w:rsidRDefault="00CE7653" w:rsidP="00CE7653">
      <w:r w:rsidRPr="004079BE">
        <w:t xml:space="preserve">Dr </w:t>
      </w:r>
      <w:proofErr w:type="spellStart"/>
      <w:r w:rsidRPr="004079BE">
        <w:t>Faraz</w:t>
      </w:r>
      <w:proofErr w:type="spellEnd"/>
      <w:r w:rsidRPr="004079BE">
        <w:t xml:space="preserve"> Mughal (FM)</w:t>
      </w:r>
    </w:p>
    <w:p w14:paraId="0CEC6478" w14:textId="77777777" w:rsidR="00CE7653" w:rsidRPr="004079BE" w:rsidRDefault="00CE7653" w:rsidP="00CE7653">
      <w:r w:rsidRPr="004079BE">
        <w:t>Warwick Primary Care, University of Warwick, Coventry CV4 7AL, UK</w:t>
      </w:r>
    </w:p>
    <w:p w14:paraId="63D6F8E1" w14:textId="77777777" w:rsidR="00CE7653" w:rsidRPr="004079BE" w:rsidRDefault="00CE7653" w:rsidP="00CE7653"/>
    <w:p w14:paraId="4916ACCD" w14:textId="77777777" w:rsidR="00CE7653" w:rsidRPr="004079BE" w:rsidRDefault="00CE7653" w:rsidP="00CE7653">
      <w:r w:rsidRPr="004079BE">
        <w:t xml:space="preserve">Dr </w:t>
      </w:r>
      <w:proofErr w:type="spellStart"/>
      <w:r w:rsidRPr="004079BE">
        <w:t>Rammya</w:t>
      </w:r>
      <w:proofErr w:type="spellEnd"/>
      <w:r w:rsidRPr="004079BE">
        <w:t xml:space="preserve"> Mathew (RM)</w:t>
      </w:r>
    </w:p>
    <w:p w14:paraId="05EFFEE1" w14:textId="77777777" w:rsidR="00CE7653" w:rsidRPr="004079BE" w:rsidRDefault="00CE7653" w:rsidP="00CE7653">
      <w:r w:rsidRPr="004079BE">
        <w:t>Royal College of Physicians, Care Quality Improvement Department, 11 St Andrews Place, London NW1 4LE, UK</w:t>
      </w:r>
    </w:p>
    <w:p w14:paraId="6311BF60" w14:textId="77777777" w:rsidR="00CE7653" w:rsidRPr="004079BE" w:rsidRDefault="00CE7653" w:rsidP="00CE7653"/>
    <w:p w14:paraId="3AE7A436" w14:textId="77777777" w:rsidR="00CE7653" w:rsidRPr="004079BE" w:rsidRDefault="00CE7653" w:rsidP="00CE7653">
      <w:r w:rsidRPr="004079BE">
        <w:t>Dr Ahmed Rashid (AR)</w:t>
      </w:r>
    </w:p>
    <w:p w14:paraId="63937964" w14:textId="77777777" w:rsidR="00CE7653" w:rsidRPr="004079BE" w:rsidRDefault="00CE7653" w:rsidP="00CE7653">
      <w:r w:rsidRPr="004079BE">
        <w:t xml:space="preserve">UCL Medical School, Room GF/664, Royal Free Hospital, Hampstead, London NW3 2PR, UK. Email: </w:t>
      </w:r>
      <w:hyperlink r:id="rId8" w:history="1">
        <w:r w:rsidRPr="004079BE">
          <w:rPr>
            <w:rStyle w:val="Hyperlink"/>
          </w:rPr>
          <w:t>ahmed.rashid@ucl.ac.uk</w:t>
        </w:r>
      </w:hyperlink>
    </w:p>
    <w:p w14:paraId="2BA4E000" w14:textId="77777777" w:rsidR="00CE7653" w:rsidRPr="004079BE" w:rsidRDefault="00CE7653" w:rsidP="00CE7653"/>
    <w:p w14:paraId="6F321E56" w14:textId="37027925" w:rsidR="00CE7653" w:rsidRPr="004079BE" w:rsidRDefault="00CE7653" w:rsidP="00CE7653">
      <w:pPr>
        <w:pStyle w:val="Heading3"/>
        <w:sectPr w:rsidR="00CE7653" w:rsidRPr="004079BE" w:rsidSect="00951BB9">
          <w:footerReference w:type="even" r:id="rId9"/>
          <w:footerReference w:type="default" r:id="rId10"/>
          <w:pgSz w:w="11900" w:h="16840"/>
          <w:pgMar w:top="1440" w:right="1440" w:bottom="1440" w:left="1440" w:header="709" w:footer="709" w:gutter="0"/>
          <w:cols w:space="708"/>
        </w:sectPr>
      </w:pPr>
      <w:r w:rsidRPr="004079BE">
        <w:t xml:space="preserve">Word count: </w:t>
      </w:r>
      <w:r w:rsidR="0063624B" w:rsidRPr="004079BE">
        <w:t>3000</w:t>
      </w:r>
      <w:r w:rsidR="00001299" w:rsidRPr="004079BE">
        <w:t xml:space="preserve"> (excludes title page, abstract, table</w:t>
      </w:r>
      <w:r w:rsidR="004D461B" w:rsidRPr="004079BE">
        <w:t>s</w:t>
      </w:r>
      <w:r w:rsidR="00001299" w:rsidRPr="004079BE">
        <w:t>, figure and references)</w:t>
      </w:r>
    </w:p>
    <w:p w14:paraId="70C2CE3D" w14:textId="77777777" w:rsidR="00CE7653" w:rsidRPr="004079BE" w:rsidRDefault="00CE7653" w:rsidP="00CE7653">
      <w:pPr>
        <w:pStyle w:val="Heading1"/>
      </w:pPr>
      <w:r w:rsidRPr="004079BE">
        <w:lastRenderedPageBreak/>
        <w:t>ABSTRACT</w:t>
      </w:r>
    </w:p>
    <w:p w14:paraId="7C6EE3E1" w14:textId="77777777" w:rsidR="00CE7653" w:rsidRPr="004079BE" w:rsidRDefault="00CE7653" w:rsidP="00FB19B6">
      <w:pPr>
        <w:pStyle w:val="Heading2"/>
      </w:pPr>
      <w:r w:rsidRPr="004079BE">
        <w:t>Background</w:t>
      </w:r>
    </w:p>
    <w:p w14:paraId="45293A54" w14:textId="77777777" w:rsidR="00CE7653" w:rsidRPr="004079BE" w:rsidRDefault="00CE7653" w:rsidP="006E273E">
      <w:pPr>
        <w:spacing w:line="360" w:lineRule="auto"/>
        <w:rPr>
          <w:sz w:val="22"/>
          <w:szCs w:val="22"/>
        </w:rPr>
      </w:pPr>
      <w:r w:rsidRPr="004079BE">
        <w:tab/>
      </w:r>
      <w:r w:rsidRPr="004079BE">
        <w:rPr>
          <w:sz w:val="22"/>
          <w:szCs w:val="22"/>
        </w:rPr>
        <w:t>Accelerating innovation to improve quality is a key policy target for healthcare systems around the world. Effectively influencing individuals’ behaviour is crucial to the success of innovation initiatives.</w:t>
      </w:r>
    </w:p>
    <w:p w14:paraId="59AF91A4" w14:textId="77777777" w:rsidR="00CE7653" w:rsidRPr="004079BE" w:rsidRDefault="00CE7653" w:rsidP="006E273E">
      <w:pPr>
        <w:spacing w:line="360" w:lineRule="auto"/>
        <w:rPr>
          <w:sz w:val="22"/>
          <w:szCs w:val="22"/>
        </w:rPr>
      </w:pPr>
      <w:r w:rsidRPr="004079BE">
        <w:rPr>
          <w:sz w:val="22"/>
          <w:szCs w:val="22"/>
        </w:rPr>
        <w:tab/>
        <w:t>This study explores United Kingdom (UK) clinicians’ lived experiences of, and attitudes towards, clinical peers endorsing healthcare innovations.</w:t>
      </w:r>
    </w:p>
    <w:p w14:paraId="3F731459" w14:textId="77777777" w:rsidR="00CE7653" w:rsidRPr="004079BE" w:rsidRDefault="00CE7653" w:rsidP="00FB19B6">
      <w:pPr>
        <w:pStyle w:val="Heading2"/>
      </w:pPr>
      <w:r w:rsidRPr="004079BE">
        <w:t>Methods</w:t>
      </w:r>
    </w:p>
    <w:p w14:paraId="3CE07705" w14:textId="77777777" w:rsidR="00CE7653" w:rsidRPr="004079BE" w:rsidRDefault="00CE7653" w:rsidP="006E273E">
      <w:pPr>
        <w:spacing w:line="360" w:lineRule="auto"/>
        <w:rPr>
          <w:sz w:val="22"/>
          <w:szCs w:val="22"/>
        </w:rPr>
      </w:pPr>
      <w:r w:rsidRPr="004079BE">
        <w:tab/>
      </w:r>
      <w:r w:rsidRPr="004079BE">
        <w:rPr>
          <w:sz w:val="22"/>
          <w:szCs w:val="22"/>
        </w:rPr>
        <w:t>Qualitative interviews with UK-based clinicians in one of two groups: (i) clinicians working in ‘front-line’ service provision and (ii) clinicians in strategic leadership roles within health institutions. Participants were identified through purposive sampling, and participated in semi-structured telephone interviews. Thematic analysis was used to identify and analyse themes in the data.</w:t>
      </w:r>
    </w:p>
    <w:p w14:paraId="0A42C8BF" w14:textId="77777777" w:rsidR="00CE7653" w:rsidRPr="004079BE" w:rsidRDefault="00CE7653" w:rsidP="00CE7653"/>
    <w:p w14:paraId="3F1BF744" w14:textId="77777777" w:rsidR="00CE7653" w:rsidRPr="004079BE" w:rsidRDefault="00CE7653" w:rsidP="00FB19B6">
      <w:pPr>
        <w:pStyle w:val="Heading2"/>
      </w:pPr>
      <w:r w:rsidRPr="004079BE">
        <w:t>Results</w:t>
      </w:r>
    </w:p>
    <w:p w14:paraId="2EE9C82A" w14:textId="77777777" w:rsidR="00CE7653" w:rsidRPr="004079BE" w:rsidRDefault="00CE7653" w:rsidP="006E273E">
      <w:pPr>
        <w:spacing w:line="360" w:lineRule="auto"/>
        <w:rPr>
          <w:sz w:val="22"/>
          <w:szCs w:val="22"/>
        </w:rPr>
      </w:pPr>
      <w:r w:rsidRPr="004079BE">
        <w:tab/>
      </w:r>
      <w:r w:rsidRPr="004079BE">
        <w:rPr>
          <w:sz w:val="22"/>
          <w:szCs w:val="22"/>
        </w:rPr>
        <w:t>17 participants were recruited: eight clinicians from front-line UK healthcare settings and nine clinicians in leadership roles. Two major themes were identified from the interviews: power and trust. Participants recognised and valued peers’ powerful influence, exerted in-person via social networks and routine work-related activities. Peers were implicitly trusted, although often on condition of their credibility and deservingness of respect, supporting evidence, and absence of conflict of interest. While the groups shared similar views, they diverged on the subject of institutions, felt to be powerful by strategic leaders yet scarcely mentioned by front-line clinicians.</w:t>
      </w:r>
    </w:p>
    <w:p w14:paraId="59B0D2A4" w14:textId="77777777" w:rsidR="00CE7653" w:rsidRPr="004079BE" w:rsidRDefault="00CE7653" w:rsidP="00FB19B6">
      <w:pPr>
        <w:pStyle w:val="Heading2"/>
      </w:pPr>
      <w:r w:rsidRPr="004079BE">
        <w:t>Conclusions</w:t>
      </w:r>
    </w:p>
    <w:p w14:paraId="6F8DC02E" w14:textId="77777777" w:rsidR="00CE7653" w:rsidRPr="004079BE" w:rsidRDefault="00CE7653" w:rsidP="006E273E">
      <w:pPr>
        <w:spacing w:line="360" w:lineRule="auto"/>
        <w:rPr>
          <w:sz w:val="22"/>
          <w:szCs w:val="22"/>
        </w:rPr>
        <w:sectPr w:rsidR="00CE7653" w:rsidRPr="004079BE" w:rsidSect="00951BB9">
          <w:pgSz w:w="11900" w:h="16840"/>
          <w:pgMar w:top="1440" w:right="1440" w:bottom="1440" w:left="1440" w:header="709" w:footer="709" w:gutter="0"/>
          <w:cols w:space="708"/>
        </w:sectPr>
      </w:pPr>
      <w:r w:rsidRPr="004079BE">
        <w:tab/>
      </w:r>
      <w:r w:rsidRPr="004079BE">
        <w:rPr>
          <w:sz w:val="22"/>
          <w:szCs w:val="22"/>
        </w:rPr>
        <w:t>UK clinicians view peers as a powerful and trustworthy source to promote innovative technologies. Policies that aim to support this process should seek to control the wider conditions that nurture peer-to-peer influence. Further research into interpersonal influence in health settings may improve implementation of change initiatives.</w:t>
      </w:r>
    </w:p>
    <w:p w14:paraId="2C12A66A" w14:textId="29E87472" w:rsidR="00CE7653" w:rsidRPr="004079BE" w:rsidRDefault="00FB19B6" w:rsidP="00CE7653">
      <w:pPr>
        <w:pStyle w:val="Heading1"/>
        <w:spacing w:line="360" w:lineRule="auto"/>
      </w:pPr>
      <w:r w:rsidRPr="004079BE">
        <w:lastRenderedPageBreak/>
        <w:t>INTRODUCTION</w:t>
      </w:r>
    </w:p>
    <w:p w14:paraId="6286F42B" w14:textId="77777777" w:rsidR="00CE7653" w:rsidRPr="004079BE" w:rsidRDefault="00CE7653" w:rsidP="00FB19B6">
      <w:pPr>
        <w:pStyle w:val="Heading2"/>
      </w:pPr>
      <w:r w:rsidRPr="004079BE">
        <w:t>Background</w:t>
      </w:r>
    </w:p>
    <w:p w14:paraId="6E51F048" w14:textId="4D2BAAD1" w:rsidR="00CE7653" w:rsidRPr="004079BE" w:rsidRDefault="00CE7653" w:rsidP="00CE7653">
      <w:pPr>
        <w:spacing w:line="360" w:lineRule="auto"/>
        <w:rPr>
          <w:rFonts w:cs="Arial"/>
          <w:sz w:val="22"/>
          <w:szCs w:val="22"/>
        </w:rPr>
      </w:pPr>
      <w:r w:rsidRPr="004079BE">
        <w:rPr>
          <w:rFonts w:cs="Arial"/>
          <w:sz w:val="22"/>
          <w:szCs w:val="22"/>
        </w:rPr>
        <w:tab/>
        <w:t xml:space="preserve">Amid a climate of financial scarcity, changing public expectations, and emerging technologies, health systems </w:t>
      </w:r>
      <w:r w:rsidR="00127BAE" w:rsidRPr="004079BE">
        <w:rPr>
          <w:rFonts w:cs="Arial"/>
          <w:sz w:val="22"/>
          <w:szCs w:val="22"/>
        </w:rPr>
        <w:t>internationally</w:t>
      </w:r>
      <w:r w:rsidRPr="004079BE">
        <w:rPr>
          <w:rFonts w:cs="Arial"/>
          <w:sz w:val="22"/>
          <w:szCs w:val="22"/>
        </w:rPr>
        <w:t xml:space="preserve"> </w:t>
      </w:r>
      <w:r w:rsidR="00225D07" w:rsidRPr="004079BE">
        <w:rPr>
          <w:rFonts w:cs="Arial"/>
          <w:sz w:val="22"/>
          <w:szCs w:val="22"/>
        </w:rPr>
        <w:t>are focussed</w:t>
      </w:r>
      <w:r w:rsidRPr="004079BE">
        <w:rPr>
          <w:rFonts w:cs="Arial"/>
          <w:sz w:val="22"/>
          <w:szCs w:val="22"/>
        </w:rPr>
        <w:t xml:space="preserve"> on improving healthcare quality and cost efficiency</w:t>
      </w:r>
      <w:proofErr w:type="gramStart"/>
      <w:r w:rsidRPr="004079BE">
        <w:rPr>
          <w:rFonts w:cs="Arial"/>
          <w:sz w:val="22"/>
          <w:szCs w:val="22"/>
        </w:rPr>
        <w:t>.[</w:t>
      </w:r>
      <w:proofErr w:type="gramEnd"/>
      <w:r w:rsidRPr="004079BE">
        <w:rPr>
          <w:rFonts w:cs="Arial"/>
          <w:sz w:val="22"/>
          <w:szCs w:val="22"/>
        </w:rPr>
        <w:t>1] The United Kingdom (UK) Department of Health (DH) has included innovation as a key policy target, defining it as “</w:t>
      </w:r>
      <w:r w:rsidRPr="004079BE">
        <w:rPr>
          <w:rFonts w:cs="Arial"/>
          <w:i/>
          <w:sz w:val="22"/>
          <w:szCs w:val="22"/>
        </w:rPr>
        <w:t>an idea, service or product, new to the [National Health Service (NHS)] or applied in a way that is new to the NHS, which significantly improves the quality of health and care</w:t>
      </w:r>
      <w:r w:rsidRPr="004079BE">
        <w:rPr>
          <w:rFonts w:cs="Arial"/>
          <w:sz w:val="22"/>
          <w:szCs w:val="22"/>
        </w:rPr>
        <w:t xml:space="preserve">”.[2] </w:t>
      </w:r>
    </w:p>
    <w:p w14:paraId="587BF21E" w14:textId="3AEC75DC" w:rsidR="00CE7653" w:rsidRPr="004079BE" w:rsidRDefault="00CE7653" w:rsidP="00845038">
      <w:pPr>
        <w:spacing w:line="360" w:lineRule="auto"/>
        <w:ind w:firstLine="720"/>
        <w:rPr>
          <w:rFonts w:cs="Arial"/>
          <w:sz w:val="22"/>
          <w:szCs w:val="22"/>
        </w:rPr>
      </w:pPr>
      <w:r w:rsidRPr="004079BE">
        <w:rPr>
          <w:rFonts w:cs="Arial"/>
          <w:sz w:val="22"/>
          <w:szCs w:val="22"/>
        </w:rPr>
        <w:t>English institutions, including the National Institute for Health and Care Excellence (NICE)</w:t>
      </w:r>
      <w:proofErr w:type="gramStart"/>
      <w:r w:rsidRPr="004079BE">
        <w:rPr>
          <w:rFonts w:cs="Arial"/>
          <w:sz w:val="22"/>
          <w:szCs w:val="22"/>
        </w:rPr>
        <w:t>,[</w:t>
      </w:r>
      <w:proofErr w:type="gramEnd"/>
      <w:r w:rsidRPr="004079BE">
        <w:rPr>
          <w:rFonts w:cs="Arial"/>
          <w:sz w:val="22"/>
          <w:szCs w:val="22"/>
        </w:rPr>
        <w:t>3</w:t>
      </w:r>
      <w:r w:rsidR="00127BAE" w:rsidRPr="004079BE">
        <w:rPr>
          <w:rFonts w:cs="Arial"/>
          <w:sz w:val="22"/>
          <w:szCs w:val="22"/>
        </w:rPr>
        <w:t xml:space="preserve">] NHS England (NHSE)[4] and </w:t>
      </w:r>
      <w:r w:rsidRPr="004079BE">
        <w:rPr>
          <w:rFonts w:cs="Arial"/>
          <w:sz w:val="22"/>
          <w:szCs w:val="22"/>
        </w:rPr>
        <w:t>Academic Health Science Networks (AHSNs),[5] have devolved responsibility for system innovation in England, and employ senior clinicians as leaders of change. Despite their central position, t</w:t>
      </w:r>
      <w:r w:rsidR="00845038" w:rsidRPr="004079BE">
        <w:rPr>
          <w:rFonts w:cs="Arial"/>
          <w:sz w:val="22"/>
          <w:szCs w:val="22"/>
        </w:rPr>
        <w:t>hese agencies promote a ‘bottom-</w:t>
      </w:r>
      <w:r w:rsidRPr="004079BE">
        <w:rPr>
          <w:rFonts w:cs="Arial"/>
          <w:sz w:val="22"/>
          <w:szCs w:val="22"/>
        </w:rPr>
        <w:t>up’ approach to innovation, recognising system change requires engagement and action of individuals though local channels</w:t>
      </w:r>
      <w:proofErr w:type="gramStart"/>
      <w:r w:rsidRPr="004079BE">
        <w:rPr>
          <w:rFonts w:cs="Arial"/>
          <w:sz w:val="22"/>
          <w:szCs w:val="22"/>
        </w:rPr>
        <w:t>.[</w:t>
      </w:r>
      <w:proofErr w:type="gramEnd"/>
      <w:r w:rsidRPr="004079BE">
        <w:rPr>
          <w:rFonts w:cs="Arial"/>
          <w:sz w:val="22"/>
          <w:szCs w:val="22"/>
        </w:rPr>
        <w:t>6]</w:t>
      </w:r>
    </w:p>
    <w:p w14:paraId="26043B65" w14:textId="7AAA6CB7" w:rsidR="00CE7653" w:rsidRPr="004079BE" w:rsidRDefault="00CE7653" w:rsidP="00CE7653">
      <w:pPr>
        <w:spacing w:line="360" w:lineRule="auto"/>
        <w:rPr>
          <w:rFonts w:cs="Arial"/>
          <w:sz w:val="22"/>
          <w:szCs w:val="22"/>
        </w:rPr>
      </w:pPr>
      <w:r w:rsidRPr="004079BE">
        <w:rPr>
          <w:rFonts w:cs="Arial"/>
          <w:sz w:val="22"/>
          <w:szCs w:val="22"/>
        </w:rPr>
        <w:tab/>
        <w:t>Although the macro environment is important in health system innovation, adoption and dissemination are contingent on organisational and individual-level change</w:t>
      </w:r>
      <w:proofErr w:type="gramStart"/>
      <w:r w:rsidRPr="004079BE">
        <w:rPr>
          <w:rFonts w:cs="Arial"/>
          <w:sz w:val="22"/>
          <w:szCs w:val="22"/>
        </w:rPr>
        <w:t>.[</w:t>
      </w:r>
      <w:proofErr w:type="gramEnd"/>
      <w:r w:rsidRPr="004079BE">
        <w:rPr>
          <w:rFonts w:cs="Arial"/>
          <w:sz w:val="22"/>
          <w:szCs w:val="22"/>
        </w:rPr>
        <w:t>7] For individuals, interpersonal interaction is the fundamental driver of their innovation decision-making.[8] Interactions between clinicians occur in a variety of settings, including the workplace, conferences and educational events,[9, 10] and behaviours spread though social networks.[11] Conversations lead to exchange and construction of ideas, beliefs and feeling</w:t>
      </w:r>
      <w:r w:rsidR="00127BAE" w:rsidRPr="004079BE">
        <w:rPr>
          <w:rFonts w:cs="Arial"/>
          <w:sz w:val="22"/>
          <w:szCs w:val="22"/>
        </w:rPr>
        <w:t>s towards innovations</w:t>
      </w:r>
      <w:r w:rsidRPr="004079BE">
        <w:rPr>
          <w:rFonts w:cs="Arial"/>
          <w:sz w:val="22"/>
          <w:szCs w:val="22"/>
        </w:rPr>
        <w:t xml:space="preserve"> and subsequently adoption choices.[7] In the NHS, clinicians’ technology adoption decisions </w:t>
      </w:r>
      <w:r w:rsidR="00127BAE" w:rsidRPr="004079BE">
        <w:rPr>
          <w:rFonts w:cs="Arial"/>
          <w:sz w:val="22"/>
          <w:szCs w:val="22"/>
        </w:rPr>
        <w:t>depend</w:t>
      </w:r>
      <w:r w:rsidRPr="004079BE">
        <w:rPr>
          <w:rFonts w:cs="Arial"/>
          <w:sz w:val="22"/>
          <w:szCs w:val="22"/>
        </w:rPr>
        <w:t xml:space="preserve"> on subjective and value-laden notions about the product, termed ‘technology identities’, which are constructed and perpetuated through social interactions.[10]</w:t>
      </w:r>
    </w:p>
    <w:p w14:paraId="0B676B02" w14:textId="31AD3206" w:rsidR="00CE7653" w:rsidRPr="004079BE" w:rsidRDefault="00225D07" w:rsidP="00CE7653">
      <w:pPr>
        <w:spacing w:line="360" w:lineRule="auto"/>
        <w:ind w:firstLine="720"/>
        <w:rPr>
          <w:rFonts w:cs="Arial"/>
          <w:sz w:val="22"/>
          <w:szCs w:val="22"/>
        </w:rPr>
      </w:pPr>
      <w:r w:rsidRPr="004079BE">
        <w:rPr>
          <w:rFonts w:cs="Arial"/>
          <w:sz w:val="22"/>
          <w:szCs w:val="22"/>
        </w:rPr>
        <w:t>‘Opinion leaders’ (OL)</w:t>
      </w:r>
      <w:r w:rsidR="00CE7653" w:rsidRPr="004079BE">
        <w:rPr>
          <w:rFonts w:cs="Arial"/>
          <w:sz w:val="22"/>
          <w:szCs w:val="22"/>
        </w:rPr>
        <w:t xml:space="preserve"> are individuals particularly effective in influencing others’ attitudes or behaviour</w:t>
      </w:r>
      <w:proofErr w:type="gramStart"/>
      <w:r w:rsidR="00CE7653" w:rsidRPr="004079BE">
        <w:rPr>
          <w:rFonts w:cs="Arial"/>
          <w:sz w:val="22"/>
          <w:szCs w:val="22"/>
        </w:rPr>
        <w:t>.[</w:t>
      </w:r>
      <w:proofErr w:type="gramEnd"/>
      <w:r w:rsidR="00CE7653" w:rsidRPr="004079BE">
        <w:rPr>
          <w:rFonts w:cs="Arial"/>
          <w:sz w:val="22"/>
          <w:szCs w:val="22"/>
        </w:rPr>
        <w:t>8] Clinicians who share characteristics, clinical backgrounds and social networks, and those who display expertise and competence, are especially influential.[8, 12] Industry strategically use OL to increase adoption of their products, a practice shown to be effective in influencing doctors’ behaviour despite widespread criticism.[13, 14] Industry’s influence in today’s NHS includes extensive contact with clinicians and active contribution to construction of favourable technology identities.[10]</w:t>
      </w:r>
    </w:p>
    <w:p w14:paraId="1980F2FC" w14:textId="7CD58C59" w:rsidR="00CE7653" w:rsidRPr="004079BE" w:rsidRDefault="00CE7653" w:rsidP="00CE7653">
      <w:pPr>
        <w:spacing w:line="360" w:lineRule="auto"/>
        <w:ind w:firstLine="720"/>
        <w:rPr>
          <w:rFonts w:cs="Arial"/>
          <w:sz w:val="22"/>
          <w:szCs w:val="22"/>
        </w:rPr>
      </w:pPr>
      <w:r w:rsidRPr="004079BE">
        <w:rPr>
          <w:rFonts w:cs="Arial"/>
          <w:sz w:val="22"/>
          <w:szCs w:val="22"/>
        </w:rPr>
        <w:t>The place of interpersonal influence in driving innovation may be questioned in today’s evidence-based medicine (EBM) era</w:t>
      </w:r>
      <w:proofErr w:type="gramStart"/>
      <w:r w:rsidRPr="004079BE">
        <w:rPr>
          <w:rFonts w:cs="Arial"/>
          <w:sz w:val="22"/>
          <w:szCs w:val="22"/>
        </w:rPr>
        <w:t>.[</w:t>
      </w:r>
      <w:proofErr w:type="gramEnd"/>
      <w:r w:rsidRPr="004079BE">
        <w:rPr>
          <w:rFonts w:cs="Arial"/>
          <w:sz w:val="22"/>
          <w:szCs w:val="22"/>
        </w:rPr>
        <w:t xml:space="preserve">7] Indeed, individuals will only adopt a technology if they perceive it to have relative advantage over alternatives,[8] implying </w:t>
      </w:r>
      <w:r w:rsidRPr="004079BE">
        <w:rPr>
          <w:rFonts w:cs="Arial"/>
          <w:sz w:val="22"/>
          <w:szCs w:val="22"/>
        </w:rPr>
        <w:lastRenderedPageBreak/>
        <w:t>objective evidence of innovations’ effectiveness should be a powerful driver of change.[15] Early EBM proponents predicted a new age of research rationally translated into practice,[16] but this has not become a reality.[7] The innovat</w:t>
      </w:r>
      <w:r w:rsidR="00225D07" w:rsidRPr="004079BE">
        <w:rPr>
          <w:rFonts w:cs="Arial"/>
          <w:sz w:val="22"/>
          <w:szCs w:val="22"/>
        </w:rPr>
        <w:t>ion adoption process is complex,</w:t>
      </w:r>
      <w:r w:rsidRPr="004079BE">
        <w:rPr>
          <w:rFonts w:cs="Arial"/>
          <w:sz w:val="22"/>
          <w:szCs w:val="22"/>
        </w:rPr>
        <w:t xml:space="preserve"> and scientific evidence does not predict behaviour change.[17] In the NHS, much practice is non-evidenced, and much evidence never translates into practice.[18] To explain this evidence-practice gap, it is essential to note ‘relative advantage’ is not an objective technology attribute, but a subjective perception of potential adopters.[</w:t>
      </w:r>
      <w:r w:rsidR="00951BB9" w:rsidRPr="004079BE">
        <w:rPr>
          <w:rFonts w:cs="Arial"/>
          <w:sz w:val="22"/>
          <w:szCs w:val="22"/>
        </w:rPr>
        <w:t>8</w:t>
      </w:r>
      <w:r w:rsidRPr="004079BE">
        <w:rPr>
          <w:rFonts w:cs="Arial"/>
          <w:sz w:val="22"/>
          <w:szCs w:val="22"/>
        </w:rPr>
        <w:t>] Scientific evidence, often ambiguous, debated and contested, is just one of many factors that shape clinici</w:t>
      </w:r>
      <w:r w:rsidR="00225D07" w:rsidRPr="004079BE">
        <w:rPr>
          <w:rFonts w:cs="Arial"/>
          <w:sz w:val="22"/>
          <w:szCs w:val="22"/>
        </w:rPr>
        <w:t>ans’ beliefs about technologies</w:t>
      </w:r>
      <w:r w:rsidRPr="004079BE">
        <w:rPr>
          <w:rFonts w:cs="Arial"/>
          <w:sz w:val="22"/>
          <w:szCs w:val="22"/>
        </w:rPr>
        <w:t xml:space="preserve"> and subsequent adoption decisions.[7, 10]</w:t>
      </w:r>
    </w:p>
    <w:p w14:paraId="02F67D6D" w14:textId="77777777" w:rsidR="00CE7653" w:rsidRPr="004079BE" w:rsidRDefault="00CE7653" w:rsidP="00CE7653">
      <w:pPr>
        <w:spacing w:line="360" w:lineRule="auto"/>
        <w:rPr>
          <w:rFonts w:cs="Arial"/>
          <w:sz w:val="22"/>
          <w:szCs w:val="22"/>
        </w:rPr>
      </w:pPr>
      <w:r w:rsidRPr="004079BE">
        <w:rPr>
          <w:rFonts w:cs="Arial"/>
          <w:sz w:val="22"/>
          <w:szCs w:val="22"/>
        </w:rPr>
        <w:tab/>
        <w:t>UK health policy explicitly welcomes peer influence, promoting local clinical leadership of innovation</w:t>
      </w:r>
      <w:proofErr w:type="gramStart"/>
      <w:r w:rsidRPr="004079BE">
        <w:rPr>
          <w:rFonts w:cs="Arial"/>
          <w:sz w:val="22"/>
          <w:szCs w:val="22"/>
        </w:rPr>
        <w:t>.[</w:t>
      </w:r>
      <w:proofErr w:type="gramEnd"/>
      <w:r w:rsidRPr="004079BE">
        <w:rPr>
          <w:rFonts w:cs="Arial"/>
          <w:sz w:val="22"/>
          <w:szCs w:val="22"/>
        </w:rPr>
        <w:t xml:space="preserve">6] In contrast, the EBM tradition condemns practice based on non-systematic evidence,[15] such as personal anecdote and opinion. No studies have specifically explored clinician’s attitudes to peers influencing their decisions. </w:t>
      </w:r>
    </w:p>
    <w:p w14:paraId="453663D6" w14:textId="3AD3EE42" w:rsidR="00CE7653" w:rsidRPr="004079BE" w:rsidRDefault="00CE7653" w:rsidP="00CE7653">
      <w:pPr>
        <w:spacing w:line="360" w:lineRule="auto"/>
        <w:ind w:firstLine="720"/>
        <w:rPr>
          <w:rFonts w:cs="Arial"/>
          <w:sz w:val="22"/>
          <w:szCs w:val="22"/>
        </w:rPr>
      </w:pPr>
      <w:r w:rsidRPr="004079BE">
        <w:rPr>
          <w:rFonts w:cs="Arial"/>
          <w:sz w:val="22"/>
          <w:szCs w:val="22"/>
        </w:rPr>
        <w:t>Interpersonal influence is a key driver of clinicians’ behaviour</w:t>
      </w:r>
      <w:proofErr w:type="gramStart"/>
      <w:r w:rsidRPr="004079BE">
        <w:rPr>
          <w:rFonts w:cs="Arial"/>
          <w:sz w:val="22"/>
          <w:szCs w:val="22"/>
        </w:rPr>
        <w:t>,[</w:t>
      </w:r>
      <w:proofErr w:type="gramEnd"/>
      <w:r w:rsidRPr="004079BE">
        <w:rPr>
          <w:rFonts w:cs="Arial"/>
          <w:sz w:val="22"/>
          <w:szCs w:val="22"/>
        </w:rPr>
        <w:t>7, 8, 10] yet it remains unclear how NHS clinicians perceive peer endorsement of innovations. Given its importance in professional decision-making, and the policy context of accelerating innovation, this study sought to understand NHS clinicians’ lived experiences of, and attitudes towards, the endorsement of innovative technologies by clinical peers.</w:t>
      </w:r>
      <w:r w:rsidR="00845038" w:rsidRPr="004079BE">
        <w:rPr>
          <w:rFonts w:cs="Arial"/>
          <w:sz w:val="22"/>
          <w:szCs w:val="22"/>
        </w:rPr>
        <w:t xml:space="preserve"> For this study, ‘</w:t>
      </w:r>
      <w:r w:rsidR="00816846" w:rsidRPr="004079BE">
        <w:rPr>
          <w:rFonts w:cs="Arial"/>
          <w:sz w:val="22"/>
          <w:szCs w:val="22"/>
        </w:rPr>
        <w:t xml:space="preserve">clinical </w:t>
      </w:r>
      <w:r w:rsidR="00845038" w:rsidRPr="004079BE">
        <w:rPr>
          <w:rFonts w:cs="Arial"/>
          <w:sz w:val="22"/>
          <w:szCs w:val="22"/>
        </w:rPr>
        <w:t xml:space="preserve">peer’ was defined as </w:t>
      </w:r>
      <w:r w:rsidR="00FA47DE" w:rsidRPr="004079BE">
        <w:rPr>
          <w:rFonts w:cs="Arial"/>
          <w:sz w:val="22"/>
          <w:szCs w:val="22"/>
        </w:rPr>
        <w:t>a fellow clinician</w:t>
      </w:r>
      <w:r w:rsidR="00816846" w:rsidRPr="004079BE">
        <w:rPr>
          <w:rFonts w:cs="Arial"/>
          <w:sz w:val="22"/>
          <w:szCs w:val="22"/>
        </w:rPr>
        <w:t>.</w:t>
      </w:r>
      <w:r w:rsidR="00092FD1" w:rsidRPr="004079BE">
        <w:rPr>
          <w:rFonts w:cs="Arial"/>
          <w:sz w:val="22"/>
          <w:szCs w:val="22"/>
        </w:rPr>
        <w:t xml:space="preserve"> </w:t>
      </w:r>
    </w:p>
    <w:p w14:paraId="52A0ED26" w14:textId="77777777" w:rsidR="00CE7653" w:rsidRPr="004079BE" w:rsidRDefault="00CE7653" w:rsidP="00CE7653">
      <w:pPr>
        <w:pStyle w:val="Heading1"/>
      </w:pPr>
      <w:r w:rsidRPr="004079BE">
        <w:t>Methods</w:t>
      </w:r>
    </w:p>
    <w:p w14:paraId="02B6A493" w14:textId="77777777" w:rsidR="00CE7653" w:rsidRPr="004079BE" w:rsidRDefault="00CE7653" w:rsidP="00FB19B6">
      <w:pPr>
        <w:pStyle w:val="Heading2"/>
      </w:pPr>
      <w:r w:rsidRPr="004079BE">
        <w:t>Study design</w:t>
      </w:r>
    </w:p>
    <w:p w14:paraId="33D43FBE" w14:textId="3F69BA57" w:rsidR="00CE7653" w:rsidRPr="004079BE" w:rsidRDefault="00CE7653" w:rsidP="00CE7653">
      <w:pPr>
        <w:spacing w:line="360" w:lineRule="auto"/>
        <w:rPr>
          <w:rFonts w:cs="Arial"/>
          <w:sz w:val="22"/>
          <w:szCs w:val="22"/>
        </w:rPr>
      </w:pPr>
      <w:r w:rsidRPr="004079BE">
        <w:rPr>
          <w:rFonts w:cs="Arial"/>
          <w:b/>
          <w:sz w:val="22"/>
          <w:szCs w:val="22"/>
        </w:rPr>
        <w:tab/>
      </w:r>
      <w:r w:rsidRPr="004079BE">
        <w:rPr>
          <w:rFonts w:cs="Arial"/>
          <w:sz w:val="22"/>
          <w:szCs w:val="22"/>
        </w:rPr>
        <w:t>We performed a qualitative study using semi-structured interview</w:t>
      </w:r>
      <w:r w:rsidR="00292045" w:rsidRPr="004079BE">
        <w:rPr>
          <w:rFonts w:cs="Arial"/>
          <w:sz w:val="22"/>
          <w:szCs w:val="22"/>
        </w:rPr>
        <w:t>s</w:t>
      </w:r>
      <w:r w:rsidRPr="004079BE">
        <w:rPr>
          <w:rFonts w:cs="Arial"/>
          <w:sz w:val="22"/>
          <w:szCs w:val="22"/>
        </w:rPr>
        <w:t xml:space="preserve"> and thematic analysis to explore clinicians’ experiences of, and attitudes towards, peer clinicians endorsing innovative medical technologies. </w:t>
      </w:r>
    </w:p>
    <w:p w14:paraId="2522E970" w14:textId="1C20489A" w:rsidR="003E7F2B" w:rsidRPr="004079BE" w:rsidRDefault="003E7F2B" w:rsidP="00FB19B6">
      <w:pPr>
        <w:pStyle w:val="Heading2"/>
      </w:pPr>
      <w:r w:rsidRPr="004079BE">
        <w:t>Terminology</w:t>
      </w:r>
    </w:p>
    <w:p w14:paraId="47622B34" w14:textId="1F03C928" w:rsidR="003E7F2B" w:rsidRPr="004079BE" w:rsidRDefault="003A59D7" w:rsidP="003A59D7">
      <w:pPr>
        <w:spacing w:line="360" w:lineRule="auto"/>
        <w:ind w:firstLine="720"/>
        <w:rPr>
          <w:sz w:val="22"/>
          <w:szCs w:val="22"/>
        </w:rPr>
      </w:pPr>
      <w:r w:rsidRPr="004079BE">
        <w:rPr>
          <w:sz w:val="22"/>
          <w:szCs w:val="22"/>
        </w:rPr>
        <w:t xml:space="preserve">The terms ‘innovation’, ‘technology’, ‘peer’ and ‘industry’ </w:t>
      </w:r>
      <w:r w:rsidR="004D461B" w:rsidRPr="004079BE">
        <w:rPr>
          <w:sz w:val="22"/>
          <w:szCs w:val="22"/>
        </w:rPr>
        <w:t xml:space="preserve">were used </w:t>
      </w:r>
      <w:r w:rsidRPr="004079BE">
        <w:rPr>
          <w:sz w:val="22"/>
          <w:szCs w:val="22"/>
        </w:rPr>
        <w:t xml:space="preserve">frequently. Their definitions, summarised in Table 1, were agreed by the research team and transmitted to the participants during data collection. </w:t>
      </w:r>
    </w:p>
    <w:tbl>
      <w:tblPr>
        <w:tblStyle w:val="TableGrid"/>
        <w:tblW w:w="0" w:type="auto"/>
        <w:tblCellMar>
          <w:top w:w="57" w:type="dxa"/>
        </w:tblCellMar>
        <w:tblLook w:val="04A0" w:firstRow="1" w:lastRow="0" w:firstColumn="1" w:lastColumn="0" w:noHBand="0" w:noVBand="1"/>
      </w:tblPr>
      <w:tblGrid>
        <w:gridCol w:w="1526"/>
        <w:gridCol w:w="7710"/>
      </w:tblGrid>
      <w:tr w:rsidR="003A59D7" w:rsidRPr="004079BE" w14:paraId="1EB7BC91" w14:textId="77777777" w:rsidTr="009F29DD">
        <w:tc>
          <w:tcPr>
            <w:tcW w:w="9236" w:type="dxa"/>
            <w:gridSpan w:val="2"/>
            <w:tcBorders>
              <w:top w:val="nil"/>
              <w:left w:val="nil"/>
              <w:right w:val="nil"/>
            </w:tcBorders>
            <w:shd w:val="clear" w:color="auto" w:fill="D9D9D9" w:themeFill="background1" w:themeFillShade="D9"/>
          </w:tcPr>
          <w:p w14:paraId="1EBB9E61" w14:textId="089170F2" w:rsidR="003A59D7" w:rsidRPr="004079BE" w:rsidRDefault="003A59D7" w:rsidP="003A59D7">
            <w:pPr>
              <w:spacing w:line="360" w:lineRule="auto"/>
              <w:rPr>
                <w:b/>
                <w:sz w:val="22"/>
                <w:szCs w:val="22"/>
              </w:rPr>
            </w:pPr>
            <w:r w:rsidRPr="004079BE">
              <w:rPr>
                <w:b/>
                <w:sz w:val="22"/>
                <w:szCs w:val="22"/>
              </w:rPr>
              <w:t>Table 1: terminology</w:t>
            </w:r>
          </w:p>
        </w:tc>
      </w:tr>
      <w:tr w:rsidR="003A59D7" w:rsidRPr="004079BE" w14:paraId="1D921DD7" w14:textId="77777777" w:rsidTr="009F29DD">
        <w:trPr>
          <w:trHeight w:val="432"/>
        </w:trPr>
        <w:tc>
          <w:tcPr>
            <w:tcW w:w="1526" w:type="dxa"/>
            <w:tcBorders>
              <w:top w:val="single" w:sz="18" w:space="0" w:color="auto"/>
              <w:left w:val="nil"/>
              <w:right w:val="nil"/>
            </w:tcBorders>
          </w:tcPr>
          <w:p w14:paraId="6CD9694F" w14:textId="0F489424" w:rsidR="003A59D7" w:rsidRPr="004079BE" w:rsidRDefault="003A59D7" w:rsidP="003A59D7">
            <w:pPr>
              <w:spacing w:line="360" w:lineRule="auto"/>
              <w:rPr>
                <w:b/>
                <w:sz w:val="22"/>
                <w:szCs w:val="22"/>
              </w:rPr>
            </w:pPr>
            <w:r w:rsidRPr="004079BE">
              <w:rPr>
                <w:b/>
                <w:sz w:val="22"/>
                <w:szCs w:val="22"/>
              </w:rPr>
              <w:t>Innovation</w:t>
            </w:r>
          </w:p>
        </w:tc>
        <w:tc>
          <w:tcPr>
            <w:tcW w:w="7710" w:type="dxa"/>
            <w:tcBorders>
              <w:top w:val="single" w:sz="18" w:space="0" w:color="auto"/>
              <w:left w:val="nil"/>
              <w:right w:val="nil"/>
            </w:tcBorders>
          </w:tcPr>
          <w:p w14:paraId="09C9CB8A" w14:textId="311CD61F" w:rsidR="003A59D7" w:rsidRPr="004079BE" w:rsidRDefault="000D29D6" w:rsidP="000D29D6">
            <w:pPr>
              <w:spacing w:line="360" w:lineRule="auto"/>
              <w:rPr>
                <w:sz w:val="22"/>
                <w:szCs w:val="22"/>
              </w:rPr>
            </w:pPr>
            <w:r w:rsidRPr="004079BE">
              <w:rPr>
                <w:rFonts w:cs="Arial"/>
                <w:sz w:val="22"/>
                <w:szCs w:val="22"/>
              </w:rPr>
              <w:t xml:space="preserve">As defined by DH: </w:t>
            </w:r>
            <w:r w:rsidR="00B2517C" w:rsidRPr="004079BE">
              <w:rPr>
                <w:rFonts w:cs="Arial"/>
                <w:sz w:val="22"/>
                <w:szCs w:val="22"/>
              </w:rPr>
              <w:t>“</w:t>
            </w:r>
            <w:r w:rsidR="004D461B" w:rsidRPr="004079BE">
              <w:rPr>
                <w:rFonts w:cs="Arial"/>
                <w:i/>
                <w:sz w:val="22"/>
                <w:szCs w:val="22"/>
              </w:rPr>
              <w:t>a</w:t>
            </w:r>
            <w:r w:rsidR="00B2517C" w:rsidRPr="004079BE">
              <w:rPr>
                <w:rFonts w:cs="Arial"/>
                <w:i/>
                <w:sz w:val="22"/>
                <w:szCs w:val="22"/>
              </w:rPr>
              <w:t>n idea, service or product, new to the NHS or applied in a way that is new to the NHS, which significantly improves the quality of health and care wherever it is applied</w:t>
            </w:r>
            <w:r w:rsidR="004D461B" w:rsidRPr="004079BE">
              <w:rPr>
                <w:rFonts w:cs="Arial"/>
                <w:sz w:val="22"/>
                <w:szCs w:val="22"/>
              </w:rPr>
              <w:t>”</w:t>
            </w:r>
            <w:proofErr w:type="gramStart"/>
            <w:r w:rsidR="004D461B" w:rsidRPr="004079BE">
              <w:rPr>
                <w:rFonts w:cs="Arial"/>
                <w:sz w:val="22"/>
                <w:szCs w:val="22"/>
              </w:rPr>
              <w:t>.[</w:t>
            </w:r>
            <w:proofErr w:type="gramEnd"/>
            <w:r w:rsidR="004D461B" w:rsidRPr="004079BE">
              <w:rPr>
                <w:rFonts w:cs="Arial"/>
                <w:sz w:val="22"/>
                <w:szCs w:val="22"/>
              </w:rPr>
              <w:t>2]</w:t>
            </w:r>
          </w:p>
        </w:tc>
      </w:tr>
      <w:tr w:rsidR="003A59D7" w:rsidRPr="004079BE" w14:paraId="44922B2B" w14:textId="77777777" w:rsidTr="009F29DD">
        <w:trPr>
          <w:trHeight w:val="431"/>
        </w:trPr>
        <w:tc>
          <w:tcPr>
            <w:tcW w:w="1526" w:type="dxa"/>
            <w:tcBorders>
              <w:left w:val="nil"/>
              <w:right w:val="nil"/>
            </w:tcBorders>
          </w:tcPr>
          <w:p w14:paraId="71ABD1B4" w14:textId="6E67E864" w:rsidR="003A59D7" w:rsidRPr="004079BE" w:rsidRDefault="003A59D7" w:rsidP="003A59D7">
            <w:pPr>
              <w:spacing w:line="360" w:lineRule="auto"/>
              <w:rPr>
                <w:b/>
                <w:sz w:val="22"/>
                <w:szCs w:val="22"/>
              </w:rPr>
            </w:pPr>
            <w:r w:rsidRPr="004079BE">
              <w:rPr>
                <w:b/>
                <w:sz w:val="22"/>
                <w:szCs w:val="22"/>
              </w:rPr>
              <w:t>Technology</w:t>
            </w:r>
          </w:p>
        </w:tc>
        <w:tc>
          <w:tcPr>
            <w:tcW w:w="7710" w:type="dxa"/>
            <w:tcBorders>
              <w:left w:val="nil"/>
              <w:right w:val="nil"/>
            </w:tcBorders>
          </w:tcPr>
          <w:p w14:paraId="5A9FEE9F" w14:textId="2EA38AFB" w:rsidR="003A59D7" w:rsidRPr="004079BE" w:rsidRDefault="007A40F1" w:rsidP="007A40F1">
            <w:pPr>
              <w:spacing w:line="360" w:lineRule="auto"/>
              <w:rPr>
                <w:sz w:val="22"/>
                <w:szCs w:val="22"/>
              </w:rPr>
            </w:pPr>
            <w:r w:rsidRPr="004079BE">
              <w:rPr>
                <w:rFonts w:cs="Arial"/>
                <w:sz w:val="22"/>
                <w:szCs w:val="22"/>
              </w:rPr>
              <w:t>D</w:t>
            </w:r>
            <w:r w:rsidR="003D72EC" w:rsidRPr="004079BE">
              <w:rPr>
                <w:rFonts w:cs="Arial"/>
                <w:sz w:val="22"/>
                <w:szCs w:val="22"/>
              </w:rPr>
              <w:t>rug</w:t>
            </w:r>
            <w:r w:rsidR="000D29D6" w:rsidRPr="004079BE">
              <w:rPr>
                <w:rFonts w:cs="Arial"/>
                <w:sz w:val="22"/>
                <w:szCs w:val="22"/>
              </w:rPr>
              <w:t>s, devices and diagnostic tools</w:t>
            </w:r>
            <w:r w:rsidRPr="004079BE">
              <w:rPr>
                <w:rFonts w:cs="Arial"/>
                <w:sz w:val="22"/>
                <w:szCs w:val="22"/>
              </w:rPr>
              <w:t xml:space="preserve">; NICE considers these ‘technologies’ in </w:t>
            </w:r>
            <w:r w:rsidRPr="004079BE">
              <w:rPr>
                <w:rFonts w:cs="Arial"/>
                <w:sz w:val="22"/>
                <w:szCs w:val="22"/>
              </w:rPr>
              <w:lastRenderedPageBreak/>
              <w:t>its</w:t>
            </w:r>
            <w:r w:rsidR="000D29D6" w:rsidRPr="004079BE">
              <w:rPr>
                <w:rFonts w:cs="Arial"/>
                <w:sz w:val="22"/>
                <w:szCs w:val="22"/>
              </w:rPr>
              <w:t xml:space="preserve"> </w:t>
            </w:r>
            <w:r w:rsidRPr="004079BE">
              <w:rPr>
                <w:rFonts w:cs="Arial"/>
                <w:sz w:val="22"/>
                <w:szCs w:val="22"/>
              </w:rPr>
              <w:t>technology appraisal process</w:t>
            </w:r>
            <w:proofErr w:type="gramStart"/>
            <w:r w:rsidR="000D29D6" w:rsidRPr="004079BE">
              <w:rPr>
                <w:rFonts w:cs="Arial"/>
                <w:sz w:val="22"/>
                <w:szCs w:val="22"/>
              </w:rPr>
              <w:t>.[</w:t>
            </w:r>
            <w:proofErr w:type="gramEnd"/>
            <w:r w:rsidR="000D29D6" w:rsidRPr="004079BE">
              <w:rPr>
                <w:rFonts w:cs="Arial"/>
                <w:sz w:val="22"/>
                <w:szCs w:val="22"/>
              </w:rPr>
              <w:t>3]</w:t>
            </w:r>
          </w:p>
        </w:tc>
      </w:tr>
      <w:tr w:rsidR="003A59D7" w:rsidRPr="004079BE" w14:paraId="2488F9BF" w14:textId="77777777" w:rsidTr="009F29DD">
        <w:trPr>
          <w:trHeight w:val="431"/>
        </w:trPr>
        <w:tc>
          <w:tcPr>
            <w:tcW w:w="1526" w:type="dxa"/>
            <w:tcBorders>
              <w:left w:val="nil"/>
              <w:right w:val="nil"/>
            </w:tcBorders>
          </w:tcPr>
          <w:p w14:paraId="320F1BDF" w14:textId="234B30D4" w:rsidR="003A59D7" w:rsidRPr="004079BE" w:rsidRDefault="003A59D7" w:rsidP="003A59D7">
            <w:pPr>
              <w:spacing w:line="360" w:lineRule="auto"/>
              <w:rPr>
                <w:b/>
                <w:sz w:val="22"/>
                <w:szCs w:val="22"/>
              </w:rPr>
            </w:pPr>
            <w:r w:rsidRPr="004079BE">
              <w:rPr>
                <w:b/>
                <w:sz w:val="22"/>
                <w:szCs w:val="22"/>
              </w:rPr>
              <w:lastRenderedPageBreak/>
              <w:t>Peer</w:t>
            </w:r>
          </w:p>
        </w:tc>
        <w:tc>
          <w:tcPr>
            <w:tcW w:w="7710" w:type="dxa"/>
            <w:tcBorders>
              <w:left w:val="nil"/>
              <w:right w:val="nil"/>
            </w:tcBorders>
          </w:tcPr>
          <w:p w14:paraId="368EEF8E" w14:textId="2F57152B" w:rsidR="003A59D7" w:rsidRPr="004079BE" w:rsidRDefault="00816846" w:rsidP="00816846">
            <w:pPr>
              <w:spacing w:line="360" w:lineRule="auto"/>
              <w:rPr>
                <w:sz w:val="22"/>
                <w:szCs w:val="22"/>
              </w:rPr>
            </w:pPr>
            <w:r w:rsidRPr="004079BE">
              <w:rPr>
                <w:sz w:val="22"/>
                <w:szCs w:val="22"/>
              </w:rPr>
              <w:t xml:space="preserve">A fellow clinician. </w:t>
            </w:r>
            <w:r w:rsidR="007A40F1" w:rsidRPr="004079BE">
              <w:rPr>
                <w:sz w:val="22"/>
                <w:szCs w:val="22"/>
              </w:rPr>
              <w:t xml:space="preserve">This definition was </w:t>
            </w:r>
            <w:r w:rsidR="00E2269A" w:rsidRPr="004079BE">
              <w:rPr>
                <w:sz w:val="22"/>
                <w:szCs w:val="22"/>
              </w:rPr>
              <w:t xml:space="preserve">deliberately broad to enable </w:t>
            </w:r>
            <w:r w:rsidR="007A40F1" w:rsidRPr="004079BE">
              <w:rPr>
                <w:sz w:val="22"/>
                <w:szCs w:val="22"/>
              </w:rPr>
              <w:t xml:space="preserve">participants </w:t>
            </w:r>
            <w:r w:rsidR="00E2269A" w:rsidRPr="004079BE">
              <w:rPr>
                <w:sz w:val="22"/>
                <w:szCs w:val="22"/>
              </w:rPr>
              <w:t>to interpret</w:t>
            </w:r>
            <w:r w:rsidR="007A40F1" w:rsidRPr="004079BE">
              <w:rPr>
                <w:sz w:val="22"/>
                <w:szCs w:val="22"/>
              </w:rPr>
              <w:t xml:space="preserve"> the term </w:t>
            </w:r>
            <w:r w:rsidR="00E2269A" w:rsidRPr="004079BE">
              <w:rPr>
                <w:sz w:val="22"/>
                <w:szCs w:val="22"/>
              </w:rPr>
              <w:t xml:space="preserve">and respond </w:t>
            </w:r>
            <w:r w:rsidR="007A40F1" w:rsidRPr="004079BE">
              <w:rPr>
                <w:sz w:val="22"/>
                <w:szCs w:val="22"/>
              </w:rPr>
              <w:t xml:space="preserve">based on their personal experiences and </w:t>
            </w:r>
            <w:r w:rsidR="0063659A" w:rsidRPr="004079BE">
              <w:rPr>
                <w:sz w:val="22"/>
                <w:szCs w:val="22"/>
              </w:rPr>
              <w:t xml:space="preserve">perceptions of their own </w:t>
            </w:r>
            <w:r w:rsidR="007A40F1" w:rsidRPr="004079BE">
              <w:rPr>
                <w:sz w:val="22"/>
                <w:szCs w:val="22"/>
              </w:rPr>
              <w:t>peers.</w:t>
            </w:r>
          </w:p>
        </w:tc>
      </w:tr>
      <w:tr w:rsidR="003A59D7" w:rsidRPr="004079BE" w14:paraId="35AB4DB2" w14:textId="77777777" w:rsidTr="009F29DD">
        <w:trPr>
          <w:trHeight w:val="431"/>
        </w:trPr>
        <w:tc>
          <w:tcPr>
            <w:tcW w:w="1526" w:type="dxa"/>
            <w:tcBorders>
              <w:left w:val="nil"/>
              <w:bottom w:val="nil"/>
              <w:right w:val="nil"/>
            </w:tcBorders>
          </w:tcPr>
          <w:p w14:paraId="651130B2" w14:textId="169CE918" w:rsidR="003A59D7" w:rsidRPr="004079BE" w:rsidRDefault="003A59D7" w:rsidP="003A59D7">
            <w:pPr>
              <w:spacing w:line="360" w:lineRule="auto"/>
              <w:rPr>
                <w:b/>
                <w:sz w:val="22"/>
                <w:szCs w:val="22"/>
              </w:rPr>
            </w:pPr>
            <w:r w:rsidRPr="004079BE">
              <w:rPr>
                <w:b/>
                <w:sz w:val="22"/>
                <w:szCs w:val="22"/>
              </w:rPr>
              <w:t>Industry</w:t>
            </w:r>
          </w:p>
        </w:tc>
        <w:tc>
          <w:tcPr>
            <w:tcW w:w="7710" w:type="dxa"/>
            <w:tcBorders>
              <w:left w:val="nil"/>
              <w:bottom w:val="nil"/>
              <w:right w:val="nil"/>
            </w:tcBorders>
          </w:tcPr>
          <w:p w14:paraId="35E1E217" w14:textId="5788045F" w:rsidR="003A59D7" w:rsidRPr="004079BE" w:rsidRDefault="0088132C" w:rsidP="003A59D7">
            <w:pPr>
              <w:spacing w:line="360" w:lineRule="auto"/>
              <w:rPr>
                <w:sz w:val="22"/>
                <w:szCs w:val="22"/>
              </w:rPr>
            </w:pPr>
            <w:r w:rsidRPr="004079BE">
              <w:rPr>
                <w:sz w:val="22"/>
                <w:szCs w:val="22"/>
              </w:rPr>
              <w:t>Profit-ma</w:t>
            </w:r>
            <w:r w:rsidR="00594E48" w:rsidRPr="004079BE">
              <w:rPr>
                <w:sz w:val="22"/>
                <w:szCs w:val="22"/>
              </w:rPr>
              <w:t xml:space="preserve">king companies that manufacture </w:t>
            </w:r>
            <w:r w:rsidRPr="004079BE">
              <w:rPr>
                <w:sz w:val="22"/>
                <w:szCs w:val="22"/>
              </w:rPr>
              <w:t>and/ or supply health technologies.</w:t>
            </w:r>
          </w:p>
        </w:tc>
      </w:tr>
    </w:tbl>
    <w:p w14:paraId="033ECA50" w14:textId="77777777" w:rsidR="003A59D7" w:rsidRPr="004079BE" w:rsidRDefault="003A59D7" w:rsidP="003A59D7">
      <w:pPr>
        <w:spacing w:line="360" w:lineRule="auto"/>
        <w:rPr>
          <w:sz w:val="22"/>
          <w:szCs w:val="22"/>
        </w:rPr>
      </w:pPr>
    </w:p>
    <w:p w14:paraId="709E3989" w14:textId="77777777" w:rsidR="00CE7653" w:rsidRPr="004079BE" w:rsidRDefault="00CE7653" w:rsidP="00FB19B6">
      <w:pPr>
        <w:pStyle w:val="Heading2"/>
      </w:pPr>
      <w:r w:rsidRPr="004079BE">
        <w:t>Sampling</w:t>
      </w:r>
    </w:p>
    <w:p w14:paraId="011221A1" w14:textId="1979F658" w:rsidR="00CE7653" w:rsidRPr="004079BE" w:rsidRDefault="00BC7C62" w:rsidP="00CE7653">
      <w:pPr>
        <w:spacing w:line="360" w:lineRule="auto"/>
        <w:ind w:firstLine="360"/>
        <w:rPr>
          <w:rFonts w:cs="Arial"/>
          <w:sz w:val="22"/>
          <w:szCs w:val="22"/>
        </w:rPr>
      </w:pPr>
      <w:r w:rsidRPr="004079BE">
        <w:rPr>
          <w:rFonts w:cs="Arial"/>
          <w:sz w:val="22"/>
          <w:szCs w:val="22"/>
        </w:rPr>
        <w:t>CG and AR conducted p</w:t>
      </w:r>
      <w:r w:rsidR="003C243F" w:rsidRPr="004079BE">
        <w:rPr>
          <w:rFonts w:cs="Arial"/>
          <w:sz w:val="22"/>
          <w:szCs w:val="22"/>
        </w:rPr>
        <w:t xml:space="preserve">urposive sampling, using their </w:t>
      </w:r>
      <w:r w:rsidR="003C243F" w:rsidRPr="004079BE">
        <w:rPr>
          <w:rFonts w:cs="Arial"/>
          <w:color w:val="262626"/>
          <w:sz w:val="22"/>
          <w:szCs w:val="22"/>
          <w:lang w:val="en-US"/>
        </w:rPr>
        <w:t>clinical experience and knowledge of prominent</w:t>
      </w:r>
      <w:r w:rsidR="004C09A9" w:rsidRPr="004079BE">
        <w:rPr>
          <w:rFonts w:cs="Arial"/>
          <w:color w:val="262626"/>
          <w:sz w:val="22"/>
          <w:szCs w:val="22"/>
          <w:lang w:val="en-US"/>
        </w:rPr>
        <w:t xml:space="preserve"> </w:t>
      </w:r>
      <w:r w:rsidR="003C243F" w:rsidRPr="004079BE">
        <w:rPr>
          <w:rFonts w:cs="Arial"/>
          <w:color w:val="262626"/>
          <w:sz w:val="22"/>
          <w:szCs w:val="22"/>
          <w:lang w:val="en-US"/>
        </w:rPr>
        <w:t>NHS institution</w:t>
      </w:r>
      <w:r w:rsidR="008F0F61" w:rsidRPr="004079BE">
        <w:rPr>
          <w:rFonts w:cs="Arial"/>
          <w:color w:val="262626"/>
          <w:sz w:val="22"/>
          <w:szCs w:val="22"/>
          <w:lang w:val="en-US"/>
        </w:rPr>
        <w:t>s</w:t>
      </w:r>
      <w:r w:rsidR="003C243F" w:rsidRPr="004079BE">
        <w:rPr>
          <w:rFonts w:cs="Arial"/>
          <w:color w:val="262626"/>
          <w:sz w:val="22"/>
          <w:szCs w:val="22"/>
          <w:lang w:val="en-US"/>
        </w:rPr>
        <w:t xml:space="preserve"> to generate a list of potential participants from their professional networks</w:t>
      </w:r>
      <w:r w:rsidR="006106CD" w:rsidRPr="004079BE">
        <w:rPr>
          <w:rFonts w:cs="Arial"/>
          <w:color w:val="262626"/>
          <w:sz w:val="22"/>
          <w:szCs w:val="22"/>
          <w:lang w:val="en-US"/>
        </w:rPr>
        <w:t>. Participants were chosen</w:t>
      </w:r>
      <w:r w:rsidR="003C243F" w:rsidRPr="004079BE">
        <w:rPr>
          <w:rFonts w:cs="Arial"/>
          <w:sz w:val="22"/>
          <w:szCs w:val="22"/>
        </w:rPr>
        <w:t xml:space="preserve"> </w:t>
      </w:r>
      <w:r w:rsidR="006106CD" w:rsidRPr="004079BE">
        <w:rPr>
          <w:rFonts w:cs="Arial"/>
          <w:sz w:val="22"/>
          <w:szCs w:val="22"/>
        </w:rPr>
        <w:t xml:space="preserve">to represent </w:t>
      </w:r>
      <w:r w:rsidR="00CE7653" w:rsidRPr="004079BE">
        <w:rPr>
          <w:rFonts w:cs="Arial"/>
          <w:sz w:val="22"/>
          <w:szCs w:val="22"/>
        </w:rPr>
        <w:t>two distinct groups:</w:t>
      </w:r>
    </w:p>
    <w:p w14:paraId="2FA0BD7C" w14:textId="77777777" w:rsidR="00CE7653" w:rsidRPr="004079BE" w:rsidRDefault="00CE7653" w:rsidP="00CE7653">
      <w:pPr>
        <w:pStyle w:val="ListParagraph"/>
        <w:numPr>
          <w:ilvl w:val="0"/>
          <w:numId w:val="7"/>
        </w:numPr>
        <w:spacing w:line="360" w:lineRule="auto"/>
        <w:rPr>
          <w:rFonts w:cs="Arial"/>
          <w:sz w:val="22"/>
          <w:szCs w:val="22"/>
        </w:rPr>
      </w:pPr>
      <w:r w:rsidRPr="004079BE">
        <w:rPr>
          <w:rFonts w:cs="Arial"/>
          <w:sz w:val="22"/>
          <w:szCs w:val="22"/>
        </w:rPr>
        <w:t>‘Front-line’ clinicians who primarily work in service provision</w:t>
      </w:r>
    </w:p>
    <w:p w14:paraId="44920707" w14:textId="1D48095A" w:rsidR="00CE7653" w:rsidRPr="004079BE" w:rsidRDefault="00CE7653" w:rsidP="00CE7653">
      <w:pPr>
        <w:pStyle w:val="ListParagraph"/>
        <w:numPr>
          <w:ilvl w:val="0"/>
          <w:numId w:val="7"/>
        </w:numPr>
        <w:spacing w:line="360" w:lineRule="auto"/>
        <w:rPr>
          <w:rFonts w:cs="Arial"/>
          <w:sz w:val="22"/>
          <w:szCs w:val="22"/>
        </w:rPr>
      </w:pPr>
      <w:r w:rsidRPr="004079BE">
        <w:rPr>
          <w:rFonts w:cs="Arial"/>
          <w:sz w:val="22"/>
          <w:szCs w:val="22"/>
        </w:rPr>
        <w:t>‘Strategic leaders’ employed in leadership positions within institutions tasked with NHS innovation</w:t>
      </w:r>
      <w:r w:rsidR="008F0F61" w:rsidRPr="004079BE">
        <w:rPr>
          <w:rFonts w:cs="Arial"/>
          <w:sz w:val="22"/>
          <w:szCs w:val="22"/>
        </w:rPr>
        <w:t>.</w:t>
      </w:r>
    </w:p>
    <w:p w14:paraId="312479BD" w14:textId="0FFAD751" w:rsidR="00CE7653" w:rsidRPr="004079BE" w:rsidRDefault="00CE7653" w:rsidP="00CE7653">
      <w:pPr>
        <w:spacing w:line="360" w:lineRule="auto"/>
        <w:rPr>
          <w:rFonts w:cs="Arial"/>
          <w:sz w:val="22"/>
          <w:szCs w:val="22"/>
        </w:rPr>
      </w:pPr>
      <w:r w:rsidRPr="004079BE">
        <w:rPr>
          <w:rFonts w:cs="Arial"/>
          <w:sz w:val="22"/>
          <w:szCs w:val="22"/>
        </w:rPr>
        <w:t xml:space="preserve">Participants were sought from a range of clinical specialties </w:t>
      </w:r>
      <w:r w:rsidR="005F7C19" w:rsidRPr="004079BE">
        <w:rPr>
          <w:rFonts w:cs="Arial"/>
          <w:sz w:val="22"/>
          <w:szCs w:val="22"/>
        </w:rPr>
        <w:t xml:space="preserve">and NHS institutions </w:t>
      </w:r>
      <w:r w:rsidRPr="004079BE">
        <w:rPr>
          <w:rFonts w:cs="Arial"/>
          <w:sz w:val="22"/>
          <w:szCs w:val="22"/>
        </w:rPr>
        <w:t>to obtain a breadth of experiences and views</w:t>
      </w:r>
      <w:r w:rsidR="003C243F" w:rsidRPr="004079BE">
        <w:rPr>
          <w:rFonts w:cs="Arial"/>
          <w:sz w:val="22"/>
          <w:szCs w:val="22"/>
        </w:rPr>
        <w:t xml:space="preserve"> reflecting</w:t>
      </w:r>
      <w:r w:rsidR="003C243F" w:rsidRPr="004079BE">
        <w:rPr>
          <w:rFonts w:cs="Arial"/>
          <w:color w:val="262626"/>
          <w:sz w:val="22"/>
          <w:szCs w:val="22"/>
          <w:lang w:val="en-US"/>
        </w:rPr>
        <w:t xml:space="preserve"> </w:t>
      </w:r>
      <w:r w:rsidR="003E7F2B" w:rsidRPr="004079BE">
        <w:rPr>
          <w:rFonts w:cs="Arial"/>
          <w:color w:val="262626"/>
          <w:sz w:val="22"/>
          <w:szCs w:val="22"/>
          <w:lang w:val="en-US"/>
        </w:rPr>
        <w:t xml:space="preserve">the </w:t>
      </w:r>
      <w:r w:rsidR="003C243F" w:rsidRPr="004079BE">
        <w:rPr>
          <w:rFonts w:cs="Arial"/>
          <w:color w:val="262626"/>
          <w:sz w:val="22"/>
          <w:szCs w:val="22"/>
          <w:lang w:val="en-US"/>
        </w:rPr>
        <w:t>characteristics of UK clinicians</w:t>
      </w:r>
      <w:r w:rsidRPr="004079BE">
        <w:rPr>
          <w:rFonts w:cs="Arial"/>
          <w:sz w:val="22"/>
          <w:szCs w:val="22"/>
        </w:rPr>
        <w:t xml:space="preserve">. The strategic leaders were selected to provide insight into prominent English institutions, and may or may not have been actively practicing alongside their leadership role. The </w:t>
      </w:r>
      <w:r w:rsidR="00BC7C62" w:rsidRPr="004079BE">
        <w:rPr>
          <w:rFonts w:cs="Arial"/>
          <w:sz w:val="22"/>
          <w:szCs w:val="22"/>
        </w:rPr>
        <w:t>sample</w:t>
      </w:r>
      <w:r w:rsidRPr="004079BE">
        <w:rPr>
          <w:rFonts w:cs="Arial"/>
          <w:sz w:val="22"/>
          <w:szCs w:val="22"/>
        </w:rPr>
        <w:t xml:space="preserve"> was limited to mostly </w:t>
      </w:r>
      <w:r w:rsidR="003C243F" w:rsidRPr="004079BE">
        <w:rPr>
          <w:rFonts w:cs="Arial"/>
          <w:sz w:val="22"/>
          <w:szCs w:val="22"/>
        </w:rPr>
        <w:t>doctors</w:t>
      </w:r>
      <w:r w:rsidRPr="004079BE">
        <w:rPr>
          <w:rFonts w:cs="Arial"/>
          <w:sz w:val="22"/>
          <w:szCs w:val="22"/>
        </w:rPr>
        <w:t xml:space="preserve"> </w:t>
      </w:r>
      <w:r w:rsidR="00BC7C62" w:rsidRPr="004079BE">
        <w:rPr>
          <w:rFonts w:cs="Arial"/>
          <w:color w:val="262626"/>
          <w:sz w:val="22"/>
          <w:szCs w:val="22"/>
          <w:lang w:val="en-US"/>
        </w:rPr>
        <w:t xml:space="preserve">to </w:t>
      </w:r>
      <w:r w:rsidR="003C243F" w:rsidRPr="004079BE">
        <w:rPr>
          <w:rFonts w:cs="Arial"/>
          <w:color w:val="262626"/>
          <w:sz w:val="22"/>
          <w:szCs w:val="22"/>
          <w:lang w:val="en-US"/>
        </w:rPr>
        <w:t>provide a degree of consistency.</w:t>
      </w:r>
    </w:p>
    <w:p w14:paraId="5F5F0FE4" w14:textId="6798BDA5" w:rsidR="00CE7653" w:rsidRPr="004079BE" w:rsidRDefault="00CE7653" w:rsidP="00CE7653">
      <w:pPr>
        <w:spacing w:line="360" w:lineRule="auto"/>
        <w:ind w:firstLine="720"/>
        <w:rPr>
          <w:rFonts w:cs="Arial"/>
          <w:sz w:val="22"/>
          <w:szCs w:val="22"/>
        </w:rPr>
      </w:pPr>
      <w:r w:rsidRPr="004079BE">
        <w:rPr>
          <w:rFonts w:cs="Arial"/>
          <w:sz w:val="22"/>
          <w:szCs w:val="22"/>
        </w:rPr>
        <w:t>Invitations to participate in a confidential telephone interview were emailed</w:t>
      </w:r>
      <w:r w:rsidR="006427D0" w:rsidRPr="004079BE">
        <w:rPr>
          <w:rFonts w:cs="Arial"/>
          <w:sz w:val="22"/>
          <w:szCs w:val="22"/>
        </w:rPr>
        <w:t xml:space="preserve"> </w:t>
      </w:r>
      <w:r w:rsidR="006427D0" w:rsidRPr="004079BE">
        <w:rPr>
          <w:rFonts w:cs="Arial"/>
          <w:color w:val="262626"/>
          <w:sz w:val="22"/>
          <w:szCs w:val="22"/>
          <w:lang w:val="en-US"/>
        </w:rPr>
        <w:t>over several weeks</w:t>
      </w:r>
      <w:r w:rsidR="003C243F" w:rsidRPr="004079BE">
        <w:rPr>
          <w:rFonts w:cs="Arial"/>
          <w:color w:val="262626"/>
          <w:sz w:val="22"/>
          <w:szCs w:val="22"/>
          <w:lang w:val="en-US"/>
        </w:rPr>
        <w:t xml:space="preserve">; this </w:t>
      </w:r>
      <w:r w:rsidR="006427D0" w:rsidRPr="004079BE">
        <w:rPr>
          <w:rFonts w:cs="Arial"/>
          <w:color w:val="262626"/>
          <w:sz w:val="22"/>
          <w:szCs w:val="22"/>
          <w:lang w:val="en-US"/>
        </w:rPr>
        <w:t>allow</w:t>
      </w:r>
      <w:r w:rsidR="003C243F" w:rsidRPr="004079BE">
        <w:rPr>
          <w:rFonts w:cs="Arial"/>
          <w:color w:val="262626"/>
          <w:sz w:val="22"/>
          <w:szCs w:val="22"/>
          <w:lang w:val="en-US"/>
        </w:rPr>
        <w:t>ed</w:t>
      </w:r>
      <w:r w:rsidR="006427D0" w:rsidRPr="004079BE">
        <w:rPr>
          <w:rFonts w:cs="Arial"/>
          <w:color w:val="262626"/>
          <w:sz w:val="22"/>
          <w:szCs w:val="22"/>
          <w:lang w:val="en-US"/>
        </w:rPr>
        <w:t xml:space="preserve"> flexibility to ensure a range of specialties and institutions were represented in the final sample</w:t>
      </w:r>
      <w:r w:rsidR="003C243F" w:rsidRPr="004079BE">
        <w:rPr>
          <w:rFonts w:cs="Arial"/>
          <w:color w:val="262626"/>
          <w:sz w:val="22"/>
          <w:szCs w:val="22"/>
          <w:lang w:val="en-US"/>
        </w:rPr>
        <w:t>. Recruitment</w:t>
      </w:r>
      <w:r w:rsidRPr="004079BE">
        <w:rPr>
          <w:rFonts w:cs="Arial"/>
          <w:sz w:val="22"/>
          <w:szCs w:val="22"/>
        </w:rPr>
        <w:t xml:space="preserve"> continued until data saturation was reached.</w:t>
      </w:r>
    </w:p>
    <w:p w14:paraId="5CF17B90" w14:textId="77777777" w:rsidR="00CE7653" w:rsidRPr="004079BE" w:rsidRDefault="00CE7653" w:rsidP="00FB19B6">
      <w:pPr>
        <w:pStyle w:val="Heading2"/>
      </w:pPr>
      <w:r w:rsidRPr="004079BE">
        <w:t>Data collection and analysis</w:t>
      </w:r>
    </w:p>
    <w:p w14:paraId="371E2612" w14:textId="784D2229" w:rsidR="00CE7653" w:rsidRPr="004079BE" w:rsidRDefault="00CE7653" w:rsidP="006427D0">
      <w:pPr>
        <w:spacing w:line="360" w:lineRule="auto"/>
        <w:ind w:firstLine="720"/>
        <w:rPr>
          <w:rFonts w:cs="Arial"/>
          <w:color w:val="262626"/>
          <w:sz w:val="22"/>
          <w:szCs w:val="22"/>
          <w:lang w:val="en-US"/>
        </w:rPr>
      </w:pPr>
      <w:r w:rsidRPr="004079BE">
        <w:rPr>
          <w:rFonts w:cs="Arial"/>
          <w:sz w:val="22"/>
          <w:szCs w:val="22"/>
        </w:rPr>
        <w:t xml:space="preserve">Semi-structured telephone </w:t>
      </w:r>
      <w:r w:rsidR="004E17D4" w:rsidRPr="004079BE">
        <w:rPr>
          <w:rFonts w:cs="Arial"/>
          <w:sz w:val="22"/>
          <w:szCs w:val="22"/>
        </w:rPr>
        <w:t xml:space="preserve">interviews, using an interview </w:t>
      </w:r>
      <w:r w:rsidRPr="004079BE">
        <w:rPr>
          <w:rFonts w:cs="Arial"/>
          <w:sz w:val="22"/>
          <w:szCs w:val="22"/>
        </w:rPr>
        <w:t>guide (</w:t>
      </w:r>
      <w:r w:rsidR="00CC3566" w:rsidRPr="004079BE">
        <w:rPr>
          <w:rFonts w:cs="Arial"/>
          <w:sz w:val="22"/>
          <w:szCs w:val="22"/>
        </w:rPr>
        <w:t>see Appendix 1</w:t>
      </w:r>
      <w:r w:rsidRPr="004079BE">
        <w:rPr>
          <w:rFonts w:cs="Arial"/>
          <w:sz w:val="22"/>
          <w:szCs w:val="22"/>
        </w:rPr>
        <w:t>), were used to allow detailed and flexible exploration of participants’ perspectives</w:t>
      </w:r>
      <w:r w:rsidR="004C09A9" w:rsidRPr="004079BE">
        <w:rPr>
          <w:rFonts w:cs="Arial"/>
          <w:sz w:val="22"/>
          <w:szCs w:val="22"/>
        </w:rPr>
        <w:t xml:space="preserve">. Telephone interviews are a valid method and were </w:t>
      </w:r>
      <w:r w:rsidR="000B02A0" w:rsidRPr="004079BE">
        <w:rPr>
          <w:rFonts w:cs="Arial"/>
          <w:sz w:val="22"/>
          <w:szCs w:val="22"/>
        </w:rPr>
        <w:t>chosen</w:t>
      </w:r>
      <w:r w:rsidRPr="004079BE">
        <w:rPr>
          <w:rFonts w:cs="Arial"/>
          <w:sz w:val="22"/>
          <w:szCs w:val="22"/>
        </w:rPr>
        <w:t xml:space="preserve"> due to participants’ dispersed locations</w:t>
      </w:r>
      <w:r w:rsidR="00D0328C" w:rsidRPr="004079BE">
        <w:rPr>
          <w:rFonts w:cs="Arial"/>
          <w:sz w:val="22"/>
          <w:szCs w:val="22"/>
        </w:rPr>
        <w:t xml:space="preserve"> </w:t>
      </w:r>
      <w:r w:rsidR="00CF1166" w:rsidRPr="004079BE">
        <w:rPr>
          <w:rFonts w:cs="Arial"/>
          <w:sz w:val="22"/>
          <w:szCs w:val="22"/>
        </w:rPr>
        <w:t>and busy schedules</w:t>
      </w:r>
      <w:proofErr w:type="gramStart"/>
      <w:r w:rsidR="00CF1166" w:rsidRPr="004079BE">
        <w:rPr>
          <w:rFonts w:cs="Arial"/>
          <w:sz w:val="22"/>
          <w:szCs w:val="22"/>
        </w:rPr>
        <w:t>.[</w:t>
      </w:r>
      <w:proofErr w:type="gramEnd"/>
      <w:r w:rsidR="00CF1166" w:rsidRPr="004079BE">
        <w:rPr>
          <w:rFonts w:cs="Arial"/>
          <w:sz w:val="22"/>
          <w:szCs w:val="22"/>
        </w:rPr>
        <w:t xml:space="preserve">19] </w:t>
      </w:r>
      <w:r w:rsidRPr="004079BE">
        <w:rPr>
          <w:rFonts w:cs="Arial"/>
          <w:sz w:val="22"/>
          <w:szCs w:val="22"/>
        </w:rPr>
        <w:t>Interviews were conducted during October and November 2015 by two researchers (FM and RM). A definition of medical technology was provided to ensure participants did not misinterpret the term. Interviews were audio-recorded, then transcribed and anonymised. Interviews were transcribed and analysed iteratively</w:t>
      </w:r>
      <w:r w:rsidR="006427D0" w:rsidRPr="004079BE">
        <w:rPr>
          <w:rFonts w:cs="Arial"/>
          <w:sz w:val="22"/>
          <w:szCs w:val="22"/>
        </w:rPr>
        <w:t xml:space="preserve">. </w:t>
      </w:r>
      <w:r w:rsidR="006427D0" w:rsidRPr="004079BE">
        <w:rPr>
          <w:rFonts w:cs="Arial"/>
          <w:color w:val="262626"/>
          <w:sz w:val="22"/>
          <w:szCs w:val="22"/>
          <w:lang w:val="en-US"/>
        </w:rPr>
        <w:t xml:space="preserve">After 17 interviews, all four researchers felt data saturation had been reached because no new themes were </w:t>
      </w:r>
      <w:r w:rsidR="004E17D4" w:rsidRPr="004079BE">
        <w:rPr>
          <w:rFonts w:cs="Arial"/>
          <w:color w:val="262626"/>
          <w:sz w:val="22"/>
          <w:szCs w:val="22"/>
          <w:lang w:val="en-US"/>
        </w:rPr>
        <w:t>being identified</w:t>
      </w:r>
      <w:r w:rsidR="006427D0" w:rsidRPr="004079BE">
        <w:rPr>
          <w:rFonts w:cs="Arial"/>
          <w:color w:val="262626"/>
          <w:sz w:val="22"/>
          <w:szCs w:val="22"/>
          <w:lang w:val="en-US"/>
        </w:rPr>
        <w:t xml:space="preserve">. </w:t>
      </w:r>
    </w:p>
    <w:p w14:paraId="1AA74374" w14:textId="275849A1" w:rsidR="00CE7653" w:rsidRPr="004079BE" w:rsidRDefault="008F507C" w:rsidP="00CE7653">
      <w:pPr>
        <w:spacing w:line="360" w:lineRule="auto"/>
        <w:ind w:firstLine="720"/>
        <w:rPr>
          <w:rFonts w:cs="Arial"/>
          <w:sz w:val="22"/>
          <w:szCs w:val="22"/>
        </w:rPr>
      </w:pPr>
      <w:r w:rsidRPr="004079BE">
        <w:rPr>
          <w:rFonts w:cs="Arial"/>
          <w:sz w:val="22"/>
          <w:szCs w:val="22"/>
        </w:rPr>
        <w:t xml:space="preserve">CG, with input from the study team, conducted an inductive thematic analysis of the transcripts. </w:t>
      </w:r>
      <w:r w:rsidRPr="004079BE">
        <w:rPr>
          <w:sz w:val="22"/>
          <w:szCs w:val="22"/>
        </w:rPr>
        <w:t xml:space="preserve">Initial codes were generated representing all interesting features of the data. </w:t>
      </w:r>
      <w:r w:rsidRPr="004079BE">
        <w:rPr>
          <w:sz w:val="22"/>
          <w:szCs w:val="22"/>
        </w:rPr>
        <w:lastRenderedPageBreak/>
        <w:t>Related codes and accompanying extracts were collated into potential themes in Microsoft Word. Themes were subsequently reviewed</w:t>
      </w:r>
      <w:r w:rsidR="00A8359B" w:rsidRPr="004079BE">
        <w:rPr>
          <w:sz w:val="22"/>
          <w:szCs w:val="22"/>
        </w:rPr>
        <w:t>, discussed</w:t>
      </w:r>
      <w:r w:rsidRPr="004079BE">
        <w:rPr>
          <w:sz w:val="22"/>
          <w:szCs w:val="22"/>
        </w:rPr>
        <w:t xml:space="preserve"> and refined by the study team to generate the final themes and identify relationships between them</w:t>
      </w:r>
      <w:proofErr w:type="gramStart"/>
      <w:r w:rsidR="00CE7653" w:rsidRPr="004079BE">
        <w:rPr>
          <w:rFonts w:cs="Arial"/>
          <w:sz w:val="22"/>
          <w:szCs w:val="22"/>
        </w:rPr>
        <w:t>.[</w:t>
      </w:r>
      <w:proofErr w:type="gramEnd"/>
      <w:r w:rsidR="00CF1166" w:rsidRPr="004079BE">
        <w:rPr>
          <w:rFonts w:cs="Arial"/>
          <w:sz w:val="22"/>
          <w:szCs w:val="22"/>
        </w:rPr>
        <w:t>20</w:t>
      </w:r>
      <w:r w:rsidR="00CE7653" w:rsidRPr="004079BE">
        <w:rPr>
          <w:rFonts w:cs="Arial"/>
          <w:sz w:val="22"/>
          <w:szCs w:val="22"/>
        </w:rPr>
        <w:t>]</w:t>
      </w:r>
    </w:p>
    <w:p w14:paraId="1DD3747C" w14:textId="77777777" w:rsidR="00CE7653" w:rsidRPr="004079BE" w:rsidRDefault="00CE7653" w:rsidP="00CE7653">
      <w:pPr>
        <w:pStyle w:val="Heading1"/>
      </w:pPr>
      <w:r w:rsidRPr="004079BE">
        <w:t>Results</w:t>
      </w:r>
    </w:p>
    <w:p w14:paraId="54288D7D" w14:textId="77777777" w:rsidR="00CE7653" w:rsidRPr="004079BE" w:rsidRDefault="00CE7653" w:rsidP="00FB19B6">
      <w:pPr>
        <w:pStyle w:val="Heading2"/>
      </w:pPr>
      <w:r w:rsidRPr="004079BE">
        <w:t>Participants</w:t>
      </w:r>
    </w:p>
    <w:p w14:paraId="32C8E973" w14:textId="059165D6" w:rsidR="00CE7653" w:rsidRPr="004079BE" w:rsidRDefault="00CE7653" w:rsidP="00CE7653">
      <w:pPr>
        <w:spacing w:line="360" w:lineRule="auto"/>
        <w:ind w:firstLine="720"/>
        <w:rPr>
          <w:rFonts w:cs="Arial"/>
          <w:sz w:val="22"/>
          <w:szCs w:val="22"/>
        </w:rPr>
      </w:pPr>
      <w:r w:rsidRPr="004079BE">
        <w:rPr>
          <w:rFonts w:cs="Arial"/>
          <w:sz w:val="22"/>
          <w:szCs w:val="22"/>
        </w:rPr>
        <w:t xml:space="preserve">17 participants were recruited, each participating in one interview. </w:t>
      </w:r>
      <w:r w:rsidR="00F50507" w:rsidRPr="004079BE">
        <w:rPr>
          <w:rFonts w:cs="Arial"/>
          <w:color w:val="262626"/>
          <w:sz w:val="22"/>
          <w:szCs w:val="22"/>
          <w:lang w:val="en-US"/>
        </w:rPr>
        <w:t>On average interviews lasted 1</w:t>
      </w:r>
      <w:r w:rsidR="00CE5DA4" w:rsidRPr="004079BE">
        <w:rPr>
          <w:rFonts w:cs="Arial"/>
          <w:color w:val="262626"/>
          <w:sz w:val="22"/>
          <w:szCs w:val="22"/>
          <w:lang w:val="en-US"/>
        </w:rPr>
        <w:t>6</w:t>
      </w:r>
      <w:r w:rsidR="00F50507" w:rsidRPr="004079BE">
        <w:rPr>
          <w:rFonts w:cs="Arial"/>
          <w:color w:val="262626"/>
          <w:sz w:val="22"/>
          <w:szCs w:val="22"/>
          <w:lang w:val="en-US"/>
        </w:rPr>
        <w:t xml:space="preserve"> minutes, and the range was </w:t>
      </w:r>
      <w:r w:rsidR="006106CD" w:rsidRPr="004079BE">
        <w:rPr>
          <w:rFonts w:cs="Arial"/>
          <w:color w:val="262626"/>
          <w:sz w:val="22"/>
          <w:szCs w:val="22"/>
          <w:lang w:val="en-US"/>
        </w:rPr>
        <w:t>eight</w:t>
      </w:r>
      <w:r w:rsidR="00F50507" w:rsidRPr="004079BE">
        <w:rPr>
          <w:rFonts w:cs="Arial"/>
          <w:color w:val="262626"/>
          <w:sz w:val="22"/>
          <w:szCs w:val="22"/>
          <w:lang w:val="en-US"/>
        </w:rPr>
        <w:t xml:space="preserve"> to 34 minutes. </w:t>
      </w:r>
      <w:r w:rsidRPr="004079BE">
        <w:rPr>
          <w:rFonts w:cs="Arial"/>
          <w:sz w:val="22"/>
          <w:szCs w:val="22"/>
        </w:rPr>
        <w:t>Participant cha</w:t>
      </w:r>
      <w:r w:rsidR="003A59D7" w:rsidRPr="004079BE">
        <w:rPr>
          <w:rFonts w:cs="Arial"/>
          <w:sz w:val="22"/>
          <w:szCs w:val="22"/>
        </w:rPr>
        <w:t>racteristics are summarised in T</w:t>
      </w:r>
      <w:r w:rsidRPr="004079BE">
        <w:rPr>
          <w:rFonts w:cs="Arial"/>
          <w:sz w:val="22"/>
          <w:szCs w:val="22"/>
        </w:rPr>
        <w:t xml:space="preserve">able </w:t>
      </w:r>
      <w:r w:rsidR="003A59D7" w:rsidRPr="004079BE">
        <w:rPr>
          <w:rFonts w:cs="Arial"/>
          <w:sz w:val="22"/>
          <w:szCs w:val="22"/>
        </w:rPr>
        <w:t>2</w:t>
      </w:r>
      <w:r w:rsidRPr="004079BE">
        <w:rPr>
          <w:rFonts w:cs="Arial"/>
          <w:sz w:val="22"/>
          <w:szCs w:val="22"/>
        </w:rPr>
        <w:t>.</w:t>
      </w:r>
    </w:p>
    <w:tbl>
      <w:tblPr>
        <w:tblStyle w:val="TableGrid"/>
        <w:tblW w:w="8521" w:type="dxa"/>
        <w:tblLayout w:type="fixed"/>
        <w:tblCellMar>
          <w:top w:w="28" w:type="dxa"/>
          <w:bottom w:w="57" w:type="dxa"/>
        </w:tblCellMar>
        <w:tblLook w:val="04A0" w:firstRow="1" w:lastRow="0" w:firstColumn="1" w:lastColumn="0" w:noHBand="0" w:noVBand="1"/>
      </w:tblPr>
      <w:tblGrid>
        <w:gridCol w:w="1951"/>
        <w:gridCol w:w="2693"/>
        <w:gridCol w:w="142"/>
        <w:gridCol w:w="1418"/>
        <w:gridCol w:w="1417"/>
        <w:gridCol w:w="900"/>
      </w:tblGrid>
      <w:tr w:rsidR="00CE7653" w:rsidRPr="004079BE" w14:paraId="755BE36E" w14:textId="77777777" w:rsidTr="00951BB9">
        <w:trPr>
          <w:trHeight w:val="284"/>
        </w:trPr>
        <w:tc>
          <w:tcPr>
            <w:tcW w:w="8521" w:type="dxa"/>
            <w:gridSpan w:val="6"/>
            <w:tcBorders>
              <w:top w:val="nil"/>
              <w:left w:val="nil"/>
              <w:bottom w:val="single" w:sz="18" w:space="0" w:color="auto"/>
              <w:right w:val="nil"/>
            </w:tcBorders>
            <w:shd w:val="clear" w:color="auto" w:fill="D9D9D9" w:themeFill="background1" w:themeFillShade="D9"/>
          </w:tcPr>
          <w:p w14:paraId="60B0AFFA" w14:textId="50950776" w:rsidR="00CE7653" w:rsidRPr="004079BE" w:rsidRDefault="00CE7653" w:rsidP="003A59D7">
            <w:pPr>
              <w:rPr>
                <w:b/>
                <w:sz w:val="22"/>
                <w:szCs w:val="22"/>
              </w:rPr>
            </w:pPr>
            <w:r w:rsidRPr="004079BE">
              <w:rPr>
                <w:b/>
                <w:sz w:val="22"/>
                <w:szCs w:val="22"/>
              </w:rPr>
              <w:t xml:space="preserve">Table </w:t>
            </w:r>
            <w:r w:rsidR="003A59D7" w:rsidRPr="004079BE">
              <w:rPr>
                <w:b/>
                <w:sz w:val="22"/>
                <w:szCs w:val="22"/>
              </w:rPr>
              <w:t>2</w:t>
            </w:r>
            <w:r w:rsidRPr="004079BE">
              <w:rPr>
                <w:b/>
                <w:sz w:val="22"/>
                <w:szCs w:val="22"/>
              </w:rPr>
              <w:t>: Participant characteristics</w:t>
            </w:r>
          </w:p>
        </w:tc>
      </w:tr>
      <w:tr w:rsidR="00CE7653" w:rsidRPr="004079BE" w14:paraId="52F80A86" w14:textId="77777777" w:rsidTr="00951BB9">
        <w:tc>
          <w:tcPr>
            <w:tcW w:w="1951" w:type="dxa"/>
            <w:tcBorders>
              <w:top w:val="single" w:sz="18" w:space="0" w:color="auto"/>
              <w:left w:val="nil"/>
              <w:bottom w:val="nil"/>
              <w:right w:val="nil"/>
            </w:tcBorders>
          </w:tcPr>
          <w:p w14:paraId="6130FC74" w14:textId="77777777" w:rsidR="00CE7653" w:rsidRPr="004079BE" w:rsidRDefault="00CE7653" w:rsidP="00951BB9">
            <w:pPr>
              <w:rPr>
                <w:sz w:val="22"/>
                <w:szCs w:val="22"/>
              </w:rPr>
            </w:pPr>
            <w:r w:rsidRPr="004079BE">
              <w:rPr>
                <w:b/>
                <w:sz w:val="22"/>
                <w:szCs w:val="22"/>
              </w:rPr>
              <w:t>Category</w:t>
            </w:r>
          </w:p>
        </w:tc>
        <w:tc>
          <w:tcPr>
            <w:tcW w:w="2835" w:type="dxa"/>
            <w:gridSpan w:val="2"/>
            <w:tcBorders>
              <w:top w:val="single" w:sz="18" w:space="0" w:color="auto"/>
              <w:left w:val="nil"/>
              <w:bottom w:val="nil"/>
              <w:right w:val="nil"/>
            </w:tcBorders>
          </w:tcPr>
          <w:p w14:paraId="2F51D3F8" w14:textId="77777777" w:rsidR="00CE7653" w:rsidRPr="004079BE" w:rsidRDefault="00CE7653" w:rsidP="00951BB9">
            <w:pPr>
              <w:rPr>
                <w:sz w:val="22"/>
                <w:szCs w:val="22"/>
              </w:rPr>
            </w:pPr>
            <w:r w:rsidRPr="004079BE">
              <w:rPr>
                <w:b/>
                <w:sz w:val="22"/>
                <w:szCs w:val="22"/>
              </w:rPr>
              <w:t>Detail</w:t>
            </w:r>
          </w:p>
        </w:tc>
        <w:tc>
          <w:tcPr>
            <w:tcW w:w="1418" w:type="dxa"/>
            <w:tcBorders>
              <w:top w:val="single" w:sz="18" w:space="0" w:color="auto"/>
              <w:left w:val="nil"/>
              <w:bottom w:val="nil"/>
              <w:right w:val="nil"/>
            </w:tcBorders>
          </w:tcPr>
          <w:p w14:paraId="713DA529" w14:textId="77777777" w:rsidR="00CE7653" w:rsidRPr="004079BE" w:rsidRDefault="00CE7653" w:rsidP="00951BB9">
            <w:pPr>
              <w:jc w:val="center"/>
              <w:rPr>
                <w:sz w:val="22"/>
                <w:szCs w:val="22"/>
              </w:rPr>
            </w:pPr>
            <w:r w:rsidRPr="004079BE">
              <w:rPr>
                <w:b/>
                <w:sz w:val="22"/>
                <w:szCs w:val="22"/>
              </w:rPr>
              <w:t>Front-line</w:t>
            </w:r>
          </w:p>
        </w:tc>
        <w:tc>
          <w:tcPr>
            <w:tcW w:w="1417" w:type="dxa"/>
            <w:tcBorders>
              <w:top w:val="single" w:sz="18" w:space="0" w:color="auto"/>
              <w:left w:val="nil"/>
              <w:bottom w:val="nil"/>
              <w:right w:val="nil"/>
            </w:tcBorders>
          </w:tcPr>
          <w:p w14:paraId="64F60E74" w14:textId="77777777" w:rsidR="00CE7653" w:rsidRPr="004079BE" w:rsidRDefault="00CE7653" w:rsidP="00951BB9">
            <w:pPr>
              <w:jc w:val="center"/>
              <w:rPr>
                <w:sz w:val="22"/>
                <w:szCs w:val="22"/>
              </w:rPr>
            </w:pPr>
            <w:r w:rsidRPr="004079BE">
              <w:rPr>
                <w:b/>
                <w:sz w:val="22"/>
                <w:szCs w:val="22"/>
              </w:rPr>
              <w:t>Strategic leaders</w:t>
            </w:r>
          </w:p>
        </w:tc>
        <w:tc>
          <w:tcPr>
            <w:tcW w:w="900" w:type="dxa"/>
            <w:tcBorders>
              <w:top w:val="single" w:sz="18" w:space="0" w:color="auto"/>
              <w:left w:val="nil"/>
              <w:bottom w:val="nil"/>
              <w:right w:val="nil"/>
            </w:tcBorders>
          </w:tcPr>
          <w:p w14:paraId="4E955C05" w14:textId="77777777" w:rsidR="00CE7653" w:rsidRPr="004079BE" w:rsidRDefault="00CE7653" w:rsidP="00951BB9">
            <w:pPr>
              <w:jc w:val="center"/>
              <w:rPr>
                <w:b/>
                <w:sz w:val="22"/>
                <w:szCs w:val="22"/>
              </w:rPr>
            </w:pPr>
            <w:r w:rsidRPr="004079BE">
              <w:rPr>
                <w:b/>
                <w:sz w:val="22"/>
                <w:szCs w:val="22"/>
              </w:rPr>
              <w:t>Total</w:t>
            </w:r>
          </w:p>
        </w:tc>
      </w:tr>
      <w:tr w:rsidR="00CE7653" w:rsidRPr="004079BE" w14:paraId="5B30DFB1" w14:textId="77777777" w:rsidTr="00951BB9">
        <w:tc>
          <w:tcPr>
            <w:tcW w:w="1951" w:type="dxa"/>
            <w:tcBorders>
              <w:top w:val="single" w:sz="18" w:space="0" w:color="auto"/>
              <w:left w:val="nil"/>
              <w:bottom w:val="nil"/>
              <w:right w:val="nil"/>
            </w:tcBorders>
          </w:tcPr>
          <w:p w14:paraId="10B8A74D" w14:textId="77777777" w:rsidR="00CE7653" w:rsidRPr="004079BE" w:rsidRDefault="00CE7653" w:rsidP="00951BB9">
            <w:pPr>
              <w:rPr>
                <w:b/>
                <w:sz w:val="22"/>
                <w:szCs w:val="22"/>
              </w:rPr>
            </w:pPr>
            <w:r w:rsidRPr="004079BE">
              <w:rPr>
                <w:b/>
                <w:sz w:val="22"/>
                <w:szCs w:val="22"/>
              </w:rPr>
              <w:t>Number</w:t>
            </w:r>
          </w:p>
        </w:tc>
        <w:tc>
          <w:tcPr>
            <w:tcW w:w="2835" w:type="dxa"/>
            <w:gridSpan w:val="2"/>
            <w:tcBorders>
              <w:top w:val="single" w:sz="18" w:space="0" w:color="auto"/>
              <w:left w:val="nil"/>
              <w:bottom w:val="nil"/>
              <w:right w:val="nil"/>
            </w:tcBorders>
          </w:tcPr>
          <w:p w14:paraId="16F6E8AD" w14:textId="77777777" w:rsidR="00CE7653" w:rsidRPr="004079BE" w:rsidRDefault="00CE7653" w:rsidP="00951BB9">
            <w:pPr>
              <w:rPr>
                <w:sz w:val="22"/>
                <w:szCs w:val="22"/>
              </w:rPr>
            </w:pPr>
          </w:p>
        </w:tc>
        <w:tc>
          <w:tcPr>
            <w:tcW w:w="1418" w:type="dxa"/>
            <w:tcBorders>
              <w:top w:val="single" w:sz="18" w:space="0" w:color="auto"/>
              <w:left w:val="nil"/>
              <w:bottom w:val="nil"/>
              <w:right w:val="nil"/>
            </w:tcBorders>
          </w:tcPr>
          <w:p w14:paraId="1948F510" w14:textId="77777777" w:rsidR="00CE7653" w:rsidRPr="004079BE" w:rsidRDefault="00CE7653" w:rsidP="00951BB9">
            <w:pPr>
              <w:jc w:val="center"/>
              <w:rPr>
                <w:sz w:val="22"/>
                <w:szCs w:val="22"/>
              </w:rPr>
            </w:pPr>
            <w:r w:rsidRPr="004079BE">
              <w:rPr>
                <w:sz w:val="22"/>
                <w:szCs w:val="22"/>
              </w:rPr>
              <w:t>8</w:t>
            </w:r>
          </w:p>
        </w:tc>
        <w:tc>
          <w:tcPr>
            <w:tcW w:w="1417" w:type="dxa"/>
            <w:tcBorders>
              <w:top w:val="single" w:sz="18" w:space="0" w:color="auto"/>
              <w:left w:val="nil"/>
              <w:bottom w:val="nil"/>
              <w:right w:val="nil"/>
            </w:tcBorders>
          </w:tcPr>
          <w:p w14:paraId="1EEE33D7" w14:textId="77777777" w:rsidR="00CE7653" w:rsidRPr="004079BE" w:rsidRDefault="00CE7653" w:rsidP="00951BB9">
            <w:pPr>
              <w:jc w:val="center"/>
              <w:rPr>
                <w:sz w:val="22"/>
                <w:szCs w:val="22"/>
              </w:rPr>
            </w:pPr>
            <w:r w:rsidRPr="004079BE">
              <w:rPr>
                <w:sz w:val="22"/>
                <w:szCs w:val="22"/>
              </w:rPr>
              <w:t>9</w:t>
            </w:r>
          </w:p>
        </w:tc>
        <w:tc>
          <w:tcPr>
            <w:tcW w:w="900" w:type="dxa"/>
            <w:tcBorders>
              <w:top w:val="single" w:sz="18" w:space="0" w:color="auto"/>
              <w:left w:val="nil"/>
              <w:bottom w:val="nil"/>
              <w:right w:val="nil"/>
            </w:tcBorders>
          </w:tcPr>
          <w:p w14:paraId="33478E75" w14:textId="77777777" w:rsidR="00CE7653" w:rsidRPr="004079BE" w:rsidRDefault="00CE7653" w:rsidP="00951BB9">
            <w:pPr>
              <w:jc w:val="center"/>
              <w:rPr>
                <w:b/>
                <w:sz w:val="22"/>
                <w:szCs w:val="22"/>
              </w:rPr>
            </w:pPr>
            <w:r w:rsidRPr="004079BE">
              <w:rPr>
                <w:b/>
                <w:sz w:val="22"/>
                <w:szCs w:val="22"/>
              </w:rPr>
              <w:t>17</w:t>
            </w:r>
          </w:p>
        </w:tc>
      </w:tr>
      <w:tr w:rsidR="00CE7653" w:rsidRPr="004079BE" w14:paraId="5FCA6BF0" w14:textId="77777777" w:rsidTr="00951BB9">
        <w:trPr>
          <w:trHeight w:hRule="exact" w:val="170"/>
        </w:trPr>
        <w:tc>
          <w:tcPr>
            <w:tcW w:w="8521" w:type="dxa"/>
            <w:gridSpan w:val="6"/>
            <w:tcBorders>
              <w:top w:val="nil"/>
              <w:left w:val="nil"/>
              <w:bottom w:val="single" w:sz="4" w:space="0" w:color="auto"/>
              <w:right w:val="nil"/>
            </w:tcBorders>
          </w:tcPr>
          <w:p w14:paraId="7D02642F" w14:textId="77777777" w:rsidR="00CE7653" w:rsidRPr="004079BE" w:rsidRDefault="00CE7653" w:rsidP="00951BB9">
            <w:pPr>
              <w:tabs>
                <w:tab w:val="left" w:pos="1311"/>
              </w:tabs>
              <w:jc w:val="center"/>
              <w:rPr>
                <w:b/>
                <w:sz w:val="22"/>
                <w:szCs w:val="22"/>
              </w:rPr>
            </w:pPr>
          </w:p>
        </w:tc>
      </w:tr>
      <w:tr w:rsidR="00CE7653" w:rsidRPr="004079BE" w14:paraId="4F2E80B0" w14:textId="77777777" w:rsidTr="00951BB9">
        <w:tc>
          <w:tcPr>
            <w:tcW w:w="1951" w:type="dxa"/>
            <w:vMerge w:val="restart"/>
            <w:tcBorders>
              <w:top w:val="single" w:sz="4" w:space="0" w:color="auto"/>
              <w:left w:val="nil"/>
              <w:bottom w:val="single" w:sz="4" w:space="0" w:color="auto"/>
              <w:right w:val="nil"/>
            </w:tcBorders>
          </w:tcPr>
          <w:p w14:paraId="739BC29B" w14:textId="77777777" w:rsidR="00CE7653" w:rsidRPr="004079BE" w:rsidRDefault="00CE7653" w:rsidP="00951BB9">
            <w:pPr>
              <w:rPr>
                <w:b/>
                <w:sz w:val="22"/>
                <w:szCs w:val="22"/>
              </w:rPr>
            </w:pPr>
            <w:r w:rsidRPr="004079BE">
              <w:rPr>
                <w:b/>
                <w:sz w:val="22"/>
                <w:szCs w:val="22"/>
              </w:rPr>
              <w:t>Level</w:t>
            </w:r>
          </w:p>
        </w:tc>
        <w:tc>
          <w:tcPr>
            <w:tcW w:w="2693" w:type="dxa"/>
            <w:tcBorders>
              <w:top w:val="single" w:sz="4" w:space="0" w:color="auto"/>
              <w:left w:val="nil"/>
              <w:bottom w:val="single" w:sz="4" w:space="0" w:color="auto"/>
              <w:right w:val="nil"/>
            </w:tcBorders>
          </w:tcPr>
          <w:p w14:paraId="3985AE25" w14:textId="77777777" w:rsidR="00CE7653" w:rsidRPr="004079BE" w:rsidRDefault="00CE7653" w:rsidP="00951BB9">
            <w:pPr>
              <w:rPr>
                <w:sz w:val="22"/>
                <w:szCs w:val="22"/>
              </w:rPr>
            </w:pPr>
            <w:r w:rsidRPr="004079BE">
              <w:rPr>
                <w:sz w:val="22"/>
                <w:szCs w:val="22"/>
              </w:rPr>
              <w:t>Medical consultant</w:t>
            </w:r>
          </w:p>
        </w:tc>
        <w:tc>
          <w:tcPr>
            <w:tcW w:w="1560" w:type="dxa"/>
            <w:gridSpan w:val="2"/>
            <w:tcBorders>
              <w:top w:val="single" w:sz="4" w:space="0" w:color="auto"/>
              <w:left w:val="nil"/>
              <w:bottom w:val="single" w:sz="4" w:space="0" w:color="auto"/>
              <w:right w:val="nil"/>
            </w:tcBorders>
          </w:tcPr>
          <w:p w14:paraId="58768267" w14:textId="77777777" w:rsidR="00CE7653" w:rsidRPr="004079BE" w:rsidRDefault="00CE7653" w:rsidP="00951BB9">
            <w:pPr>
              <w:jc w:val="center"/>
              <w:rPr>
                <w:sz w:val="22"/>
                <w:szCs w:val="22"/>
              </w:rPr>
            </w:pPr>
            <w:r w:rsidRPr="004079BE">
              <w:rPr>
                <w:sz w:val="22"/>
                <w:szCs w:val="22"/>
              </w:rPr>
              <w:t>6</w:t>
            </w:r>
          </w:p>
        </w:tc>
        <w:tc>
          <w:tcPr>
            <w:tcW w:w="1417" w:type="dxa"/>
            <w:tcBorders>
              <w:top w:val="single" w:sz="4" w:space="0" w:color="auto"/>
              <w:left w:val="nil"/>
              <w:bottom w:val="single" w:sz="4" w:space="0" w:color="auto"/>
              <w:right w:val="nil"/>
            </w:tcBorders>
          </w:tcPr>
          <w:p w14:paraId="557595C3" w14:textId="77777777" w:rsidR="00CE7653" w:rsidRPr="004079BE" w:rsidRDefault="00CE7653" w:rsidP="00951BB9">
            <w:pPr>
              <w:jc w:val="center"/>
              <w:rPr>
                <w:sz w:val="22"/>
                <w:szCs w:val="22"/>
              </w:rPr>
            </w:pPr>
            <w:r w:rsidRPr="004079BE">
              <w:rPr>
                <w:sz w:val="22"/>
                <w:szCs w:val="22"/>
              </w:rPr>
              <w:t>8</w:t>
            </w:r>
          </w:p>
        </w:tc>
        <w:tc>
          <w:tcPr>
            <w:tcW w:w="900" w:type="dxa"/>
            <w:tcBorders>
              <w:top w:val="single" w:sz="4" w:space="0" w:color="auto"/>
              <w:left w:val="nil"/>
              <w:bottom w:val="single" w:sz="4" w:space="0" w:color="auto"/>
              <w:right w:val="nil"/>
            </w:tcBorders>
          </w:tcPr>
          <w:p w14:paraId="1AFF4CB5" w14:textId="77777777" w:rsidR="00CE7653" w:rsidRPr="004079BE" w:rsidRDefault="00CE7653" w:rsidP="00951BB9">
            <w:pPr>
              <w:jc w:val="center"/>
              <w:rPr>
                <w:b/>
                <w:sz w:val="22"/>
                <w:szCs w:val="22"/>
              </w:rPr>
            </w:pPr>
            <w:r w:rsidRPr="004079BE">
              <w:rPr>
                <w:b/>
                <w:sz w:val="22"/>
                <w:szCs w:val="22"/>
              </w:rPr>
              <w:t>14</w:t>
            </w:r>
          </w:p>
        </w:tc>
      </w:tr>
      <w:tr w:rsidR="00CE7653" w:rsidRPr="004079BE" w14:paraId="7545B8FE" w14:textId="77777777" w:rsidTr="00951BB9">
        <w:tc>
          <w:tcPr>
            <w:tcW w:w="1951" w:type="dxa"/>
            <w:vMerge/>
            <w:tcBorders>
              <w:top w:val="single" w:sz="4" w:space="0" w:color="auto"/>
              <w:left w:val="nil"/>
              <w:bottom w:val="single" w:sz="4" w:space="0" w:color="auto"/>
              <w:right w:val="nil"/>
            </w:tcBorders>
          </w:tcPr>
          <w:p w14:paraId="460BBDF9" w14:textId="77777777" w:rsidR="00CE7653" w:rsidRPr="004079BE" w:rsidRDefault="00CE7653" w:rsidP="00951BB9">
            <w:pPr>
              <w:rPr>
                <w:b/>
                <w:sz w:val="22"/>
                <w:szCs w:val="22"/>
              </w:rPr>
            </w:pPr>
          </w:p>
        </w:tc>
        <w:tc>
          <w:tcPr>
            <w:tcW w:w="2693" w:type="dxa"/>
            <w:tcBorders>
              <w:top w:val="single" w:sz="4" w:space="0" w:color="auto"/>
              <w:left w:val="nil"/>
              <w:bottom w:val="single" w:sz="4" w:space="0" w:color="auto"/>
              <w:right w:val="nil"/>
            </w:tcBorders>
          </w:tcPr>
          <w:p w14:paraId="4B83D1B9" w14:textId="77777777" w:rsidR="00CE7653" w:rsidRPr="004079BE" w:rsidRDefault="00CE7653" w:rsidP="00951BB9">
            <w:pPr>
              <w:rPr>
                <w:sz w:val="22"/>
                <w:szCs w:val="22"/>
              </w:rPr>
            </w:pPr>
            <w:r w:rsidRPr="004079BE">
              <w:rPr>
                <w:sz w:val="22"/>
                <w:szCs w:val="22"/>
              </w:rPr>
              <w:t>Senior specialist nurse</w:t>
            </w:r>
          </w:p>
        </w:tc>
        <w:tc>
          <w:tcPr>
            <w:tcW w:w="1560" w:type="dxa"/>
            <w:gridSpan w:val="2"/>
            <w:tcBorders>
              <w:top w:val="single" w:sz="4" w:space="0" w:color="auto"/>
              <w:left w:val="nil"/>
              <w:bottom w:val="single" w:sz="4" w:space="0" w:color="auto"/>
              <w:right w:val="nil"/>
            </w:tcBorders>
          </w:tcPr>
          <w:p w14:paraId="1B117F00" w14:textId="77777777" w:rsidR="00CE7653" w:rsidRPr="004079BE" w:rsidRDefault="00CE7653" w:rsidP="00951BB9">
            <w:pPr>
              <w:jc w:val="center"/>
              <w:rPr>
                <w:sz w:val="22"/>
                <w:szCs w:val="22"/>
              </w:rPr>
            </w:pPr>
            <w:r w:rsidRPr="004079BE">
              <w:rPr>
                <w:sz w:val="22"/>
                <w:szCs w:val="22"/>
              </w:rPr>
              <w:t>0</w:t>
            </w:r>
          </w:p>
        </w:tc>
        <w:tc>
          <w:tcPr>
            <w:tcW w:w="1417" w:type="dxa"/>
            <w:tcBorders>
              <w:top w:val="single" w:sz="4" w:space="0" w:color="auto"/>
              <w:left w:val="nil"/>
              <w:bottom w:val="single" w:sz="4" w:space="0" w:color="auto"/>
              <w:right w:val="nil"/>
            </w:tcBorders>
          </w:tcPr>
          <w:p w14:paraId="0941DFD8" w14:textId="77777777" w:rsidR="00CE7653" w:rsidRPr="004079BE" w:rsidRDefault="00CE7653" w:rsidP="00951BB9">
            <w:pPr>
              <w:jc w:val="center"/>
              <w:rPr>
                <w:sz w:val="22"/>
                <w:szCs w:val="22"/>
              </w:rPr>
            </w:pPr>
            <w:r w:rsidRPr="004079BE">
              <w:rPr>
                <w:sz w:val="22"/>
                <w:szCs w:val="22"/>
              </w:rPr>
              <w:t>1</w:t>
            </w:r>
          </w:p>
        </w:tc>
        <w:tc>
          <w:tcPr>
            <w:tcW w:w="900" w:type="dxa"/>
            <w:tcBorders>
              <w:top w:val="single" w:sz="4" w:space="0" w:color="auto"/>
              <w:left w:val="nil"/>
              <w:bottom w:val="single" w:sz="4" w:space="0" w:color="auto"/>
              <w:right w:val="nil"/>
            </w:tcBorders>
          </w:tcPr>
          <w:p w14:paraId="3F3527D4" w14:textId="77777777" w:rsidR="00CE7653" w:rsidRPr="004079BE" w:rsidRDefault="00CE7653" w:rsidP="00951BB9">
            <w:pPr>
              <w:jc w:val="center"/>
              <w:rPr>
                <w:b/>
                <w:sz w:val="22"/>
                <w:szCs w:val="22"/>
              </w:rPr>
            </w:pPr>
            <w:r w:rsidRPr="004079BE">
              <w:rPr>
                <w:b/>
                <w:sz w:val="22"/>
                <w:szCs w:val="22"/>
              </w:rPr>
              <w:t>1</w:t>
            </w:r>
          </w:p>
        </w:tc>
      </w:tr>
      <w:tr w:rsidR="00CE7653" w:rsidRPr="004079BE" w14:paraId="54D146CC" w14:textId="77777777" w:rsidTr="00951BB9">
        <w:tc>
          <w:tcPr>
            <w:tcW w:w="1951" w:type="dxa"/>
            <w:vMerge/>
            <w:tcBorders>
              <w:top w:val="single" w:sz="4" w:space="0" w:color="auto"/>
              <w:left w:val="nil"/>
              <w:bottom w:val="nil"/>
              <w:right w:val="nil"/>
            </w:tcBorders>
          </w:tcPr>
          <w:p w14:paraId="0ED6E555" w14:textId="77777777" w:rsidR="00CE7653" w:rsidRPr="004079BE" w:rsidRDefault="00CE7653" w:rsidP="00951BB9">
            <w:pPr>
              <w:rPr>
                <w:b/>
                <w:sz w:val="22"/>
                <w:szCs w:val="22"/>
              </w:rPr>
            </w:pPr>
          </w:p>
        </w:tc>
        <w:tc>
          <w:tcPr>
            <w:tcW w:w="2693" w:type="dxa"/>
            <w:tcBorders>
              <w:top w:val="single" w:sz="4" w:space="0" w:color="auto"/>
              <w:left w:val="nil"/>
              <w:bottom w:val="nil"/>
              <w:right w:val="nil"/>
            </w:tcBorders>
          </w:tcPr>
          <w:p w14:paraId="6528A77F" w14:textId="77777777" w:rsidR="00CE7653" w:rsidRPr="004079BE" w:rsidRDefault="00CE7653" w:rsidP="00951BB9">
            <w:pPr>
              <w:rPr>
                <w:sz w:val="22"/>
                <w:szCs w:val="22"/>
              </w:rPr>
            </w:pPr>
            <w:r w:rsidRPr="004079BE">
              <w:rPr>
                <w:sz w:val="22"/>
                <w:szCs w:val="22"/>
              </w:rPr>
              <w:t>Medical trainee</w:t>
            </w:r>
          </w:p>
        </w:tc>
        <w:tc>
          <w:tcPr>
            <w:tcW w:w="1560" w:type="dxa"/>
            <w:gridSpan w:val="2"/>
            <w:tcBorders>
              <w:top w:val="single" w:sz="4" w:space="0" w:color="auto"/>
              <w:left w:val="nil"/>
              <w:bottom w:val="nil"/>
              <w:right w:val="nil"/>
            </w:tcBorders>
          </w:tcPr>
          <w:p w14:paraId="63AEA720" w14:textId="77777777" w:rsidR="00CE7653" w:rsidRPr="004079BE" w:rsidRDefault="00CE7653" w:rsidP="00951BB9">
            <w:pPr>
              <w:jc w:val="center"/>
              <w:rPr>
                <w:sz w:val="22"/>
                <w:szCs w:val="22"/>
              </w:rPr>
            </w:pPr>
            <w:r w:rsidRPr="004079BE">
              <w:rPr>
                <w:sz w:val="22"/>
                <w:szCs w:val="22"/>
              </w:rPr>
              <w:t>2</w:t>
            </w:r>
          </w:p>
          <w:p w14:paraId="3E4E575C" w14:textId="77777777" w:rsidR="00CE7653" w:rsidRPr="004079BE" w:rsidRDefault="00CE7653" w:rsidP="00951BB9">
            <w:pPr>
              <w:jc w:val="center"/>
              <w:rPr>
                <w:i/>
                <w:sz w:val="22"/>
                <w:szCs w:val="22"/>
              </w:rPr>
            </w:pPr>
            <w:r w:rsidRPr="004079BE">
              <w:rPr>
                <w:i/>
                <w:sz w:val="22"/>
                <w:szCs w:val="22"/>
              </w:rPr>
              <w:t>GPST2 x1</w:t>
            </w:r>
          </w:p>
          <w:p w14:paraId="5E7A2B01" w14:textId="77777777" w:rsidR="00CE7653" w:rsidRPr="004079BE" w:rsidRDefault="00CE7653" w:rsidP="00951BB9">
            <w:pPr>
              <w:jc w:val="center"/>
              <w:rPr>
                <w:sz w:val="22"/>
                <w:szCs w:val="22"/>
              </w:rPr>
            </w:pPr>
            <w:r w:rsidRPr="004079BE">
              <w:rPr>
                <w:i/>
                <w:sz w:val="22"/>
                <w:szCs w:val="22"/>
              </w:rPr>
              <w:t>ST5 surg. x1</w:t>
            </w:r>
          </w:p>
        </w:tc>
        <w:tc>
          <w:tcPr>
            <w:tcW w:w="1417" w:type="dxa"/>
            <w:tcBorders>
              <w:top w:val="single" w:sz="4" w:space="0" w:color="auto"/>
              <w:left w:val="nil"/>
              <w:bottom w:val="nil"/>
              <w:right w:val="nil"/>
            </w:tcBorders>
          </w:tcPr>
          <w:p w14:paraId="0FD0A340" w14:textId="77777777" w:rsidR="00CE7653" w:rsidRPr="004079BE" w:rsidRDefault="00CE7653" w:rsidP="00951BB9">
            <w:pPr>
              <w:jc w:val="center"/>
              <w:rPr>
                <w:sz w:val="22"/>
                <w:szCs w:val="22"/>
              </w:rPr>
            </w:pPr>
            <w:r w:rsidRPr="004079BE">
              <w:rPr>
                <w:sz w:val="22"/>
                <w:szCs w:val="22"/>
              </w:rPr>
              <w:t>0</w:t>
            </w:r>
          </w:p>
        </w:tc>
        <w:tc>
          <w:tcPr>
            <w:tcW w:w="900" w:type="dxa"/>
            <w:tcBorders>
              <w:top w:val="single" w:sz="4" w:space="0" w:color="auto"/>
              <w:left w:val="nil"/>
              <w:bottom w:val="nil"/>
              <w:right w:val="nil"/>
            </w:tcBorders>
          </w:tcPr>
          <w:p w14:paraId="52139894" w14:textId="77777777" w:rsidR="00CE7653" w:rsidRPr="004079BE" w:rsidRDefault="00CE7653" w:rsidP="00951BB9">
            <w:pPr>
              <w:jc w:val="center"/>
              <w:rPr>
                <w:b/>
                <w:sz w:val="22"/>
                <w:szCs w:val="22"/>
              </w:rPr>
            </w:pPr>
            <w:r w:rsidRPr="004079BE">
              <w:rPr>
                <w:b/>
                <w:sz w:val="22"/>
                <w:szCs w:val="22"/>
              </w:rPr>
              <w:t>2</w:t>
            </w:r>
          </w:p>
        </w:tc>
      </w:tr>
      <w:tr w:rsidR="00CE7653" w:rsidRPr="004079BE" w14:paraId="4021A214" w14:textId="77777777" w:rsidTr="00951BB9">
        <w:trPr>
          <w:trHeight w:hRule="exact" w:val="170"/>
        </w:trPr>
        <w:tc>
          <w:tcPr>
            <w:tcW w:w="8521" w:type="dxa"/>
            <w:gridSpan w:val="6"/>
            <w:tcBorders>
              <w:top w:val="nil"/>
              <w:left w:val="nil"/>
              <w:bottom w:val="single" w:sz="4" w:space="0" w:color="auto"/>
              <w:right w:val="nil"/>
            </w:tcBorders>
          </w:tcPr>
          <w:p w14:paraId="7B95E290" w14:textId="77777777" w:rsidR="00CE7653" w:rsidRPr="004079BE" w:rsidRDefault="00CE7653" w:rsidP="00951BB9">
            <w:pPr>
              <w:rPr>
                <w:b/>
                <w:sz w:val="22"/>
                <w:szCs w:val="22"/>
              </w:rPr>
            </w:pPr>
          </w:p>
        </w:tc>
      </w:tr>
      <w:tr w:rsidR="00CE7653" w:rsidRPr="004079BE" w14:paraId="206DFC68" w14:textId="77777777" w:rsidTr="00951BB9">
        <w:tc>
          <w:tcPr>
            <w:tcW w:w="1951" w:type="dxa"/>
            <w:vMerge w:val="restart"/>
            <w:tcBorders>
              <w:top w:val="single" w:sz="4" w:space="0" w:color="auto"/>
              <w:left w:val="nil"/>
              <w:bottom w:val="nil"/>
              <w:right w:val="nil"/>
            </w:tcBorders>
          </w:tcPr>
          <w:p w14:paraId="6553A52B" w14:textId="77777777" w:rsidR="00CE7653" w:rsidRPr="004079BE" w:rsidRDefault="00CE7653" w:rsidP="00951BB9">
            <w:pPr>
              <w:rPr>
                <w:b/>
                <w:sz w:val="22"/>
                <w:szCs w:val="22"/>
              </w:rPr>
            </w:pPr>
            <w:r w:rsidRPr="004079BE">
              <w:rPr>
                <w:b/>
                <w:sz w:val="22"/>
                <w:szCs w:val="22"/>
              </w:rPr>
              <w:t>Speciality</w:t>
            </w:r>
          </w:p>
        </w:tc>
        <w:tc>
          <w:tcPr>
            <w:tcW w:w="2835" w:type="dxa"/>
            <w:gridSpan w:val="2"/>
            <w:tcBorders>
              <w:top w:val="single" w:sz="4" w:space="0" w:color="auto"/>
              <w:left w:val="nil"/>
              <w:bottom w:val="single" w:sz="4" w:space="0" w:color="auto"/>
              <w:right w:val="nil"/>
            </w:tcBorders>
          </w:tcPr>
          <w:p w14:paraId="54F43C89" w14:textId="77777777" w:rsidR="00CE7653" w:rsidRPr="004079BE" w:rsidRDefault="00CE7653" w:rsidP="00951BB9">
            <w:pPr>
              <w:rPr>
                <w:sz w:val="22"/>
                <w:szCs w:val="22"/>
              </w:rPr>
            </w:pPr>
            <w:r w:rsidRPr="004079BE">
              <w:rPr>
                <w:sz w:val="22"/>
                <w:szCs w:val="22"/>
              </w:rPr>
              <w:t>General practice</w:t>
            </w:r>
          </w:p>
        </w:tc>
        <w:tc>
          <w:tcPr>
            <w:tcW w:w="1418" w:type="dxa"/>
            <w:tcBorders>
              <w:top w:val="single" w:sz="4" w:space="0" w:color="auto"/>
              <w:left w:val="nil"/>
              <w:bottom w:val="single" w:sz="4" w:space="0" w:color="auto"/>
              <w:right w:val="nil"/>
            </w:tcBorders>
          </w:tcPr>
          <w:p w14:paraId="38C32C69" w14:textId="77777777" w:rsidR="00CE7653" w:rsidRPr="004079BE" w:rsidRDefault="00CE7653" w:rsidP="00951BB9">
            <w:pPr>
              <w:jc w:val="center"/>
              <w:rPr>
                <w:sz w:val="22"/>
                <w:szCs w:val="22"/>
              </w:rPr>
            </w:pPr>
            <w:r w:rsidRPr="004079BE">
              <w:rPr>
                <w:sz w:val="22"/>
                <w:szCs w:val="22"/>
              </w:rPr>
              <w:t>3</w:t>
            </w:r>
          </w:p>
        </w:tc>
        <w:tc>
          <w:tcPr>
            <w:tcW w:w="1417" w:type="dxa"/>
            <w:tcBorders>
              <w:top w:val="single" w:sz="4" w:space="0" w:color="auto"/>
              <w:left w:val="nil"/>
              <w:bottom w:val="single" w:sz="4" w:space="0" w:color="auto"/>
              <w:right w:val="nil"/>
            </w:tcBorders>
          </w:tcPr>
          <w:p w14:paraId="328B8D6A" w14:textId="77777777" w:rsidR="00CE7653" w:rsidRPr="004079BE" w:rsidRDefault="00CE7653" w:rsidP="00951BB9">
            <w:pPr>
              <w:jc w:val="center"/>
              <w:rPr>
                <w:sz w:val="22"/>
                <w:szCs w:val="22"/>
              </w:rPr>
            </w:pPr>
            <w:r w:rsidRPr="004079BE">
              <w:rPr>
                <w:sz w:val="22"/>
                <w:szCs w:val="22"/>
              </w:rPr>
              <w:t>2</w:t>
            </w:r>
          </w:p>
        </w:tc>
        <w:tc>
          <w:tcPr>
            <w:tcW w:w="900" w:type="dxa"/>
            <w:tcBorders>
              <w:top w:val="single" w:sz="4" w:space="0" w:color="auto"/>
              <w:left w:val="nil"/>
              <w:bottom w:val="single" w:sz="4" w:space="0" w:color="auto"/>
              <w:right w:val="nil"/>
            </w:tcBorders>
          </w:tcPr>
          <w:p w14:paraId="2EBCEA1C" w14:textId="77777777" w:rsidR="00CE7653" w:rsidRPr="004079BE" w:rsidRDefault="00CE7653" w:rsidP="00951BB9">
            <w:pPr>
              <w:jc w:val="center"/>
              <w:rPr>
                <w:b/>
                <w:sz w:val="22"/>
                <w:szCs w:val="22"/>
              </w:rPr>
            </w:pPr>
            <w:r w:rsidRPr="004079BE">
              <w:rPr>
                <w:b/>
                <w:sz w:val="22"/>
                <w:szCs w:val="22"/>
              </w:rPr>
              <w:t>5</w:t>
            </w:r>
          </w:p>
        </w:tc>
      </w:tr>
      <w:tr w:rsidR="00CE7653" w:rsidRPr="004079BE" w14:paraId="7177723D" w14:textId="77777777" w:rsidTr="00951BB9">
        <w:tc>
          <w:tcPr>
            <w:tcW w:w="1951" w:type="dxa"/>
            <w:vMerge/>
            <w:tcBorders>
              <w:top w:val="single" w:sz="4" w:space="0" w:color="auto"/>
              <w:left w:val="nil"/>
              <w:bottom w:val="nil"/>
              <w:right w:val="nil"/>
            </w:tcBorders>
          </w:tcPr>
          <w:p w14:paraId="3678D927" w14:textId="77777777" w:rsidR="00CE7653" w:rsidRPr="004079BE" w:rsidRDefault="00CE7653" w:rsidP="00951BB9">
            <w:pPr>
              <w:rPr>
                <w:b/>
                <w:sz w:val="22"/>
                <w:szCs w:val="22"/>
              </w:rPr>
            </w:pPr>
          </w:p>
        </w:tc>
        <w:tc>
          <w:tcPr>
            <w:tcW w:w="2835" w:type="dxa"/>
            <w:gridSpan w:val="2"/>
            <w:tcBorders>
              <w:top w:val="single" w:sz="4" w:space="0" w:color="auto"/>
              <w:left w:val="nil"/>
              <w:bottom w:val="nil"/>
              <w:right w:val="nil"/>
            </w:tcBorders>
          </w:tcPr>
          <w:p w14:paraId="552F8FEC" w14:textId="77777777" w:rsidR="00CE7653" w:rsidRPr="004079BE" w:rsidRDefault="00CE7653" w:rsidP="00951BB9">
            <w:pPr>
              <w:rPr>
                <w:sz w:val="22"/>
                <w:szCs w:val="22"/>
              </w:rPr>
            </w:pPr>
            <w:r w:rsidRPr="004079BE">
              <w:rPr>
                <w:sz w:val="22"/>
                <w:szCs w:val="22"/>
              </w:rPr>
              <w:t>Surgical</w:t>
            </w:r>
          </w:p>
        </w:tc>
        <w:tc>
          <w:tcPr>
            <w:tcW w:w="1418" w:type="dxa"/>
            <w:tcBorders>
              <w:top w:val="single" w:sz="4" w:space="0" w:color="auto"/>
              <w:left w:val="nil"/>
              <w:bottom w:val="nil"/>
              <w:right w:val="nil"/>
            </w:tcBorders>
          </w:tcPr>
          <w:p w14:paraId="1CB13A03" w14:textId="77777777" w:rsidR="00CE7653" w:rsidRPr="004079BE" w:rsidRDefault="00CE7653" w:rsidP="00951BB9">
            <w:pPr>
              <w:jc w:val="center"/>
              <w:rPr>
                <w:sz w:val="22"/>
                <w:szCs w:val="22"/>
              </w:rPr>
            </w:pPr>
            <w:r w:rsidRPr="004079BE">
              <w:rPr>
                <w:sz w:val="22"/>
                <w:szCs w:val="22"/>
              </w:rPr>
              <w:t>2</w:t>
            </w:r>
          </w:p>
        </w:tc>
        <w:tc>
          <w:tcPr>
            <w:tcW w:w="1417" w:type="dxa"/>
            <w:tcBorders>
              <w:top w:val="single" w:sz="4" w:space="0" w:color="auto"/>
              <w:left w:val="nil"/>
              <w:bottom w:val="nil"/>
              <w:right w:val="nil"/>
            </w:tcBorders>
          </w:tcPr>
          <w:p w14:paraId="560B406F" w14:textId="77777777" w:rsidR="00CE7653" w:rsidRPr="004079BE" w:rsidRDefault="00CE7653" w:rsidP="00951BB9">
            <w:pPr>
              <w:jc w:val="center"/>
              <w:rPr>
                <w:sz w:val="22"/>
                <w:szCs w:val="22"/>
              </w:rPr>
            </w:pPr>
            <w:r w:rsidRPr="004079BE">
              <w:rPr>
                <w:sz w:val="22"/>
                <w:szCs w:val="22"/>
              </w:rPr>
              <w:t>2</w:t>
            </w:r>
          </w:p>
        </w:tc>
        <w:tc>
          <w:tcPr>
            <w:tcW w:w="900" w:type="dxa"/>
            <w:tcBorders>
              <w:top w:val="single" w:sz="4" w:space="0" w:color="auto"/>
              <w:left w:val="nil"/>
              <w:bottom w:val="nil"/>
              <w:right w:val="nil"/>
            </w:tcBorders>
          </w:tcPr>
          <w:p w14:paraId="08B3B6C6" w14:textId="77777777" w:rsidR="00CE7653" w:rsidRPr="004079BE" w:rsidRDefault="00CE7653" w:rsidP="00951BB9">
            <w:pPr>
              <w:jc w:val="center"/>
              <w:rPr>
                <w:b/>
                <w:sz w:val="22"/>
                <w:szCs w:val="22"/>
              </w:rPr>
            </w:pPr>
            <w:r w:rsidRPr="004079BE">
              <w:rPr>
                <w:b/>
                <w:sz w:val="22"/>
                <w:szCs w:val="22"/>
              </w:rPr>
              <w:t>4</w:t>
            </w:r>
          </w:p>
        </w:tc>
      </w:tr>
      <w:tr w:rsidR="00CE7653" w:rsidRPr="004079BE" w14:paraId="40F7C7C2" w14:textId="77777777" w:rsidTr="00951BB9">
        <w:tc>
          <w:tcPr>
            <w:tcW w:w="1951" w:type="dxa"/>
            <w:tcBorders>
              <w:top w:val="nil"/>
              <w:left w:val="nil"/>
              <w:bottom w:val="nil"/>
              <w:right w:val="nil"/>
            </w:tcBorders>
          </w:tcPr>
          <w:p w14:paraId="0E6683BA" w14:textId="77777777" w:rsidR="00CE7653" w:rsidRPr="004079BE" w:rsidRDefault="00CE7653" w:rsidP="00951BB9">
            <w:pPr>
              <w:rPr>
                <w:b/>
                <w:sz w:val="22"/>
                <w:szCs w:val="22"/>
              </w:rPr>
            </w:pPr>
          </w:p>
        </w:tc>
        <w:tc>
          <w:tcPr>
            <w:tcW w:w="2835" w:type="dxa"/>
            <w:gridSpan w:val="2"/>
            <w:tcBorders>
              <w:top w:val="single" w:sz="4" w:space="0" w:color="auto"/>
              <w:left w:val="nil"/>
              <w:bottom w:val="nil"/>
              <w:right w:val="nil"/>
            </w:tcBorders>
          </w:tcPr>
          <w:p w14:paraId="0DD829E6" w14:textId="77777777" w:rsidR="00CE7653" w:rsidRPr="004079BE" w:rsidRDefault="00CE7653" w:rsidP="00951BB9">
            <w:pPr>
              <w:rPr>
                <w:sz w:val="22"/>
                <w:szCs w:val="22"/>
              </w:rPr>
            </w:pPr>
            <w:r w:rsidRPr="004079BE">
              <w:rPr>
                <w:sz w:val="22"/>
                <w:szCs w:val="22"/>
              </w:rPr>
              <w:t>Medical</w:t>
            </w:r>
          </w:p>
        </w:tc>
        <w:tc>
          <w:tcPr>
            <w:tcW w:w="1418" w:type="dxa"/>
            <w:tcBorders>
              <w:top w:val="single" w:sz="4" w:space="0" w:color="auto"/>
              <w:left w:val="nil"/>
              <w:bottom w:val="nil"/>
              <w:right w:val="nil"/>
            </w:tcBorders>
          </w:tcPr>
          <w:p w14:paraId="38CC204A" w14:textId="77777777" w:rsidR="00CE7653" w:rsidRPr="004079BE" w:rsidRDefault="00CE7653" w:rsidP="00951BB9">
            <w:pPr>
              <w:jc w:val="center"/>
              <w:rPr>
                <w:sz w:val="22"/>
                <w:szCs w:val="22"/>
              </w:rPr>
            </w:pPr>
            <w:r w:rsidRPr="004079BE">
              <w:rPr>
                <w:sz w:val="22"/>
                <w:szCs w:val="22"/>
              </w:rPr>
              <w:t>0</w:t>
            </w:r>
          </w:p>
        </w:tc>
        <w:tc>
          <w:tcPr>
            <w:tcW w:w="1417" w:type="dxa"/>
            <w:tcBorders>
              <w:top w:val="single" w:sz="4" w:space="0" w:color="auto"/>
              <w:left w:val="nil"/>
              <w:bottom w:val="nil"/>
              <w:right w:val="nil"/>
            </w:tcBorders>
          </w:tcPr>
          <w:p w14:paraId="09FF9885" w14:textId="77777777" w:rsidR="00CE7653" w:rsidRPr="004079BE" w:rsidRDefault="00CE7653" w:rsidP="00951BB9">
            <w:pPr>
              <w:jc w:val="center"/>
              <w:rPr>
                <w:sz w:val="22"/>
                <w:szCs w:val="22"/>
              </w:rPr>
            </w:pPr>
            <w:r w:rsidRPr="004079BE">
              <w:rPr>
                <w:sz w:val="22"/>
                <w:szCs w:val="22"/>
              </w:rPr>
              <w:t>3</w:t>
            </w:r>
          </w:p>
        </w:tc>
        <w:tc>
          <w:tcPr>
            <w:tcW w:w="900" w:type="dxa"/>
            <w:tcBorders>
              <w:top w:val="single" w:sz="4" w:space="0" w:color="auto"/>
              <w:left w:val="nil"/>
              <w:bottom w:val="nil"/>
              <w:right w:val="nil"/>
            </w:tcBorders>
          </w:tcPr>
          <w:p w14:paraId="2D8ACD6E" w14:textId="77777777" w:rsidR="00CE7653" w:rsidRPr="004079BE" w:rsidRDefault="00CE7653" w:rsidP="00951BB9">
            <w:pPr>
              <w:jc w:val="center"/>
              <w:rPr>
                <w:b/>
                <w:sz w:val="22"/>
                <w:szCs w:val="22"/>
              </w:rPr>
            </w:pPr>
            <w:r w:rsidRPr="004079BE">
              <w:rPr>
                <w:b/>
                <w:sz w:val="22"/>
                <w:szCs w:val="22"/>
              </w:rPr>
              <w:t>3</w:t>
            </w:r>
          </w:p>
        </w:tc>
      </w:tr>
      <w:tr w:rsidR="00CE7653" w:rsidRPr="004079BE" w14:paraId="7A3B8BF2" w14:textId="77777777" w:rsidTr="00951BB9">
        <w:tc>
          <w:tcPr>
            <w:tcW w:w="1951" w:type="dxa"/>
            <w:tcBorders>
              <w:top w:val="nil"/>
              <w:left w:val="nil"/>
              <w:bottom w:val="nil"/>
              <w:right w:val="nil"/>
            </w:tcBorders>
          </w:tcPr>
          <w:p w14:paraId="7CB72C4C" w14:textId="77777777" w:rsidR="00CE7653" w:rsidRPr="004079BE" w:rsidRDefault="00CE7653" w:rsidP="00951BB9">
            <w:pPr>
              <w:rPr>
                <w:b/>
                <w:sz w:val="22"/>
                <w:szCs w:val="22"/>
              </w:rPr>
            </w:pPr>
          </w:p>
        </w:tc>
        <w:tc>
          <w:tcPr>
            <w:tcW w:w="2835" w:type="dxa"/>
            <w:gridSpan w:val="2"/>
            <w:tcBorders>
              <w:top w:val="single" w:sz="4" w:space="0" w:color="auto"/>
              <w:left w:val="nil"/>
              <w:bottom w:val="nil"/>
              <w:right w:val="nil"/>
            </w:tcBorders>
          </w:tcPr>
          <w:p w14:paraId="1A2B631C" w14:textId="77777777" w:rsidR="00CE7653" w:rsidRPr="004079BE" w:rsidRDefault="00CE7653" w:rsidP="00951BB9">
            <w:pPr>
              <w:rPr>
                <w:sz w:val="22"/>
                <w:szCs w:val="22"/>
              </w:rPr>
            </w:pPr>
            <w:r w:rsidRPr="004079BE">
              <w:rPr>
                <w:sz w:val="22"/>
                <w:szCs w:val="22"/>
              </w:rPr>
              <w:t>Anaesthetics</w:t>
            </w:r>
          </w:p>
        </w:tc>
        <w:tc>
          <w:tcPr>
            <w:tcW w:w="1418" w:type="dxa"/>
            <w:tcBorders>
              <w:top w:val="single" w:sz="4" w:space="0" w:color="auto"/>
              <w:left w:val="nil"/>
              <w:bottom w:val="nil"/>
              <w:right w:val="nil"/>
            </w:tcBorders>
          </w:tcPr>
          <w:p w14:paraId="0D85FA9F" w14:textId="77777777" w:rsidR="00CE7653" w:rsidRPr="004079BE" w:rsidRDefault="00CE7653" w:rsidP="00951BB9">
            <w:pPr>
              <w:jc w:val="center"/>
              <w:rPr>
                <w:sz w:val="22"/>
                <w:szCs w:val="22"/>
              </w:rPr>
            </w:pPr>
            <w:r w:rsidRPr="004079BE">
              <w:rPr>
                <w:sz w:val="22"/>
                <w:szCs w:val="22"/>
              </w:rPr>
              <w:t>2</w:t>
            </w:r>
          </w:p>
        </w:tc>
        <w:tc>
          <w:tcPr>
            <w:tcW w:w="1417" w:type="dxa"/>
            <w:tcBorders>
              <w:top w:val="single" w:sz="4" w:space="0" w:color="auto"/>
              <w:left w:val="nil"/>
              <w:bottom w:val="nil"/>
              <w:right w:val="nil"/>
            </w:tcBorders>
          </w:tcPr>
          <w:p w14:paraId="67EC6A3E" w14:textId="77777777" w:rsidR="00CE7653" w:rsidRPr="004079BE" w:rsidRDefault="00CE7653" w:rsidP="00951BB9">
            <w:pPr>
              <w:jc w:val="center"/>
              <w:rPr>
                <w:sz w:val="22"/>
                <w:szCs w:val="22"/>
              </w:rPr>
            </w:pPr>
            <w:r w:rsidRPr="004079BE">
              <w:rPr>
                <w:sz w:val="22"/>
                <w:szCs w:val="22"/>
              </w:rPr>
              <w:t>1</w:t>
            </w:r>
          </w:p>
        </w:tc>
        <w:tc>
          <w:tcPr>
            <w:tcW w:w="900" w:type="dxa"/>
            <w:tcBorders>
              <w:top w:val="single" w:sz="4" w:space="0" w:color="auto"/>
              <w:left w:val="nil"/>
              <w:bottom w:val="nil"/>
              <w:right w:val="nil"/>
            </w:tcBorders>
          </w:tcPr>
          <w:p w14:paraId="73B4CD79" w14:textId="77777777" w:rsidR="00CE7653" w:rsidRPr="004079BE" w:rsidRDefault="00CE7653" w:rsidP="00951BB9">
            <w:pPr>
              <w:jc w:val="center"/>
              <w:rPr>
                <w:b/>
                <w:sz w:val="22"/>
                <w:szCs w:val="22"/>
              </w:rPr>
            </w:pPr>
            <w:r w:rsidRPr="004079BE">
              <w:rPr>
                <w:b/>
                <w:sz w:val="22"/>
                <w:szCs w:val="22"/>
              </w:rPr>
              <w:t>3</w:t>
            </w:r>
          </w:p>
        </w:tc>
      </w:tr>
      <w:tr w:rsidR="00CE7653" w:rsidRPr="004079BE" w14:paraId="1BBFAAEB" w14:textId="77777777" w:rsidTr="00951BB9">
        <w:tc>
          <w:tcPr>
            <w:tcW w:w="1951" w:type="dxa"/>
            <w:tcBorders>
              <w:top w:val="nil"/>
              <w:left w:val="nil"/>
              <w:bottom w:val="nil"/>
              <w:right w:val="nil"/>
            </w:tcBorders>
          </w:tcPr>
          <w:p w14:paraId="5974BFD1" w14:textId="77777777" w:rsidR="00CE7653" w:rsidRPr="004079BE" w:rsidRDefault="00CE7653" w:rsidP="00951BB9">
            <w:pPr>
              <w:rPr>
                <w:b/>
                <w:sz w:val="22"/>
                <w:szCs w:val="22"/>
              </w:rPr>
            </w:pPr>
          </w:p>
        </w:tc>
        <w:tc>
          <w:tcPr>
            <w:tcW w:w="2835" w:type="dxa"/>
            <w:gridSpan w:val="2"/>
            <w:tcBorders>
              <w:top w:val="single" w:sz="4" w:space="0" w:color="auto"/>
              <w:left w:val="nil"/>
              <w:bottom w:val="nil"/>
              <w:right w:val="nil"/>
            </w:tcBorders>
          </w:tcPr>
          <w:p w14:paraId="6EEFAD55" w14:textId="77777777" w:rsidR="00CE7653" w:rsidRPr="004079BE" w:rsidRDefault="00CE7653" w:rsidP="00951BB9">
            <w:pPr>
              <w:rPr>
                <w:sz w:val="22"/>
                <w:szCs w:val="22"/>
              </w:rPr>
            </w:pPr>
            <w:r w:rsidRPr="004079BE">
              <w:rPr>
                <w:sz w:val="22"/>
                <w:szCs w:val="22"/>
              </w:rPr>
              <w:t>Paediatrics</w:t>
            </w:r>
          </w:p>
        </w:tc>
        <w:tc>
          <w:tcPr>
            <w:tcW w:w="1418" w:type="dxa"/>
            <w:tcBorders>
              <w:top w:val="single" w:sz="4" w:space="0" w:color="auto"/>
              <w:left w:val="nil"/>
              <w:bottom w:val="nil"/>
              <w:right w:val="nil"/>
            </w:tcBorders>
          </w:tcPr>
          <w:p w14:paraId="7BD9921B" w14:textId="77777777" w:rsidR="00CE7653" w:rsidRPr="004079BE" w:rsidRDefault="00CE7653" w:rsidP="00951BB9">
            <w:pPr>
              <w:jc w:val="center"/>
              <w:rPr>
                <w:sz w:val="22"/>
                <w:szCs w:val="22"/>
              </w:rPr>
            </w:pPr>
            <w:r w:rsidRPr="004079BE">
              <w:rPr>
                <w:sz w:val="22"/>
                <w:szCs w:val="22"/>
              </w:rPr>
              <w:t>1</w:t>
            </w:r>
          </w:p>
        </w:tc>
        <w:tc>
          <w:tcPr>
            <w:tcW w:w="1417" w:type="dxa"/>
            <w:tcBorders>
              <w:top w:val="single" w:sz="4" w:space="0" w:color="auto"/>
              <w:left w:val="nil"/>
              <w:bottom w:val="nil"/>
              <w:right w:val="nil"/>
            </w:tcBorders>
          </w:tcPr>
          <w:p w14:paraId="64C71C4E" w14:textId="77777777" w:rsidR="00CE7653" w:rsidRPr="004079BE" w:rsidRDefault="00CE7653" w:rsidP="00951BB9">
            <w:pPr>
              <w:jc w:val="center"/>
              <w:rPr>
                <w:sz w:val="22"/>
                <w:szCs w:val="22"/>
              </w:rPr>
            </w:pPr>
            <w:r w:rsidRPr="004079BE">
              <w:rPr>
                <w:sz w:val="22"/>
                <w:szCs w:val="22"/>
              </w:rPr>
              <w:t>1</w:t>
            </w:r>
          </w:p>
        </w:tc>
        <w:tc>
          <w:tcPr>
            <w:tcW w:w="900" w:type="dxa"/>
            <w:tcBorders>
              <w:top w:val="single" w:sz="4" w:space="0" w:color="auto"/>
              <w:left w:val="nil"/>
              <w:bottom w:val="nil"/>
              <w:right w:val="nil"/>
            </w:tcBorders>
          </w:tcPr>
          <w:p w14:paraId="4595B7F9" w14:textId="77777777" w:rsidR="00CE7653" w:rsidRPr="004079BE" w:rsidRDefault="00CE7653" w:rsidP="00951BB9">
            <w:pPr>
              <w:jc w:val="center"/>
              <w:rPr>
                <w:b/>
                <w:sz w:val="22"/>
                <w:szCs w:val="22"/>
              </w:rPr>
            </w:pPr>
            <w:r w:rsidRPr="004079BE">
              <w:rPr>
                <w:b/>
                <w:sz w:val="22"/>
                <w:szCs w:val="22"/>
              </w:rPr>
              <w:t>2</w:t>
            </w:r>
          </w:p>
        </w:tc>
      </w:tr>
      <w:tr w:rsidR="00CE7653" w:rsidRPr="004079BE" w14:paraId="3AAB7759" w14:textId="77777777" w:rsidTr="00951BB9">
        <w:trPr>
          <w:trHeight w:hRule="exact" w:val="170"/>
        </w:trPr>
        <w:tc>
          <w:tcPr>
            <w:tcW w:w="8521" w:type="dxa"/>
            <w:gridSpan w:val="6"/>
            <w:tcBorders>
              <w:top w:val="nil"/>
              <w:left w:val="nil"/>
              <w:bottom w:val="single" w:sz="4" w:space="0" w:color="auto"/>
              <w:right w:val="nil"/>
            </w:tcBorders>
          </w:tcPr>
          <w:p w14:paraId="230CBC95" w14:textId="77777777" w:rsidR="00CE7653" w:rsidRPr="004079BE" w:rsidRDefault="00CE7653" w:rsidP="00951BB9">
            <w:pPr>
              <w:tabs>
                <w:tab w:val="left" w:pos="1182"/>
                <w:tab w:val="left" w:pos="1237"/>
              </w:tabs>
              <w:rPr>
                <w:b/>
                <w:sz w:val="22"/>
                <w:szCs w:val="22"/>
              </w:rPr>
            </w:pPr>
            <w:r w:rsidRPr="004079BE">
              <w:rPr>
                <w:b/>
                <w:sz w:val="22"/>
                <w:szCs w:val="22"/>
              </w:rPr>
              <w:tab/>
            </w:r>
            <w:r w:rsidRPr="004079BE">
              <w:rPr>
                <w:b/>
                <w:sz w:val="22"/>
                <w:szCs w:val="22"/>
              </w:rPr>
              <w:tab/>
            </w:r>
          </w:p>
        </w:tc>
      </w:tr>
      <w:tr w:rsidR="00CE7653" w:rsidRPr="004079BE" w14:paraId="63AD2C0E" w14:textId="77777777" w:rsidTr="00951BB9">
        <w:tc>
          <w:tcPr>
            <w:tcW w:w="1951" w:type="dxa"/>
            <w:vMerge w:val="restart"/>
            <w:tcBorders>
              <w:top w:val="single" w:sz="4" w:space="0" w:color="auto"/>
              <w:left w:val="nil"/>
              <w:bottom w:val="single" w:sz="4" w:space="0" w:color="auto"/>
              <w:right w:val="nil"/>
            </w:tcBorders>
          </w:tcPr>
          <w:p w14:paraId="5F0E554A" w14:textId="77777777" w:rsidR="00CE7653" w:rsidRPr="004079BE" w:rsidRDefault="00CE7653" w:rsidP="00951BB9">
            <w:pPr>
              <w:rPr>
                <w:b/>
                <w:sz w:val="22"/>
                <w:szCs w:val="22"/>
              </w:rPr>
            </w:pPr>
            <w:r w:rsidRPr="004079BE">
              <w:rPr>
                <w:b/>
                <w:sz w:val="22"/>
                <w:szCs w:val="22"/>
              </w:rPr>
              <w:t>NHS commissioning region</w:t>
            </w:r>
          </w:p>
        </w:tc>
        <w:tc>
          <w:tcPr>
            <w:tcW w:w="2835" w:type="dxa"/>
            <w:gridSpan w:val="2"/>
            <w:tcBorders>
              <w:top w:val="single" w:sz="4" w:space="0" w:color="auto"/>
              <w:left w:val="nil"/>
              <w:bottom w:val="single" w:sz="4" w:space="0" w:color="auto"/>
              <w:right w:val="nil"/>
            </w:tcBorders>
          </w:tcPr>
          <w:p w14:paraId="43EAEE6B" w14:textId="77777777" w:rsidR="00CE7653" w:rsidRPr="004079BE" w:rsidRDefault="00CE7653" w:rsidP="00951BB9">
            <w:pPr>
              <w:rPr>
                <w:sz w:val="22"/>
                <w:szCs w:val="22"/>
              </w:rPr>
            </w:pPr>
            <w:r w:rsidRPr="004079BE">
              <w:rPr>
                <w:sz w:val="22"/>
                <w:szCs w:val="22"/>
              </w:rPr>
              <w:t>London</w:t>
            </w:r>
          </w:p>
        </w:tc>
        <w:tc>
          <w:tcPr>
            <w:tcW w:w="1418" w:type="dxa"/>
            <w:tcBorders>
              <w:top w:val="single" w:sz="4" w:space="0" w:color="auto"/>
              <w:left w:val="nil"/>
              <w:bottom w:val="single" w:sz="4" w:space="0" w:color="auto"/>
              <w:right w:val="nil"/>
            </w:tcBorders>
          </w:tcPr>
          <w:p w14:paraId="26C96659" w14:textId="77777777" w:rsidR="00CE7653" w:rsidRPr="004079BE" w:rsidRDefault="00CE7653" w:rsidP="00951BB9">
            <w:pPr>
              <w:jc w:val="center"/>
              <w:rPr>
                <w:sz w:val="22"/>
                <w:szCs w:val="22"/>
              </w:rPr>
            </w:pPr>
            <w:r w:rsidRPr="004079BE">
              <w:rPr>
                <w:sz w:val="22"/>
                <w:szCs w:val="22"/>
              </w:rPr>
              <w:t>3</w:t>
            </w:r>
          </w:p>
        </w:tc>
        <w:tc>
          <w:tcPr>
            <w:tcW w:w="1417" w:type="dxa"/>
            <w:tcBorders>
              <w:top w:val="single" w:sz="4" w:space="0" w:color="auto"/>
              <w:left w:val="nil"/>
              <w:bottom w:val="single" w:sz="4" w:space="0" w:color="auto"/>
              <w:right w:val="nil"/>
            </w:tcBorders>
          </w:tcPr>
          <w:p w14:paraId="17683841" w14:textId="77777777" w:rsidR="00CE7653" w:rsidRPr="004079BE" w:rsidRDefault="00CE7653" w:rsidP="00951BB9">
            <w:pPr>
              <w:jc w:val="center"/>
              <w:rPr>
                <w:sz w:val="22"/>
                <w:szCs w:val="22"/>
              </w:rPr>
            </w:pPr>
            <w:r w:rsidRPr="004079BE">
              <w:rPr>
                <w:sz w:val="22"/>
                <w:szCs w:val="22"/>
              </w:rPr>
              <w:t>3</w:t>
            </w:r>
          </w:p>
        </w:tc>
        <w:tc>
          <w:tcPr>
            <w:tcW w:w="900" w:type="dxa"/>
            <w:tcBorders>
              <w:top w:val="single" w:sz="4" w:space="0" w:color="auto"/>
              <w:left w:val="nil"/>
              <w:bottom w:val="single" w:sz="4" w:space="0" w:color="auto"/>
              <w:right w:val="nil"/>
            </w:tcBorders>
          </w:tcPr>
          <w:p w14:paraId="1442D9E0" w14:textId="77777777" w:rsidR="00CE7653" w:rsidRPr="004079BE" w:rsidRDefault="00CE7653" w:rsidP="00951BB9">
            <w:pPr>
              <w:jc w:val="center"/>
              <w:rPr>
                <w:b/>
                <w:sz w:val="22"/>
                <w:szCs w:val="22"/>
              </w:rPr>
            </w:pPr>
            <w:r w:rsidRPr="004079BE">
              <w:rPr>
                <w:b/>
                <w:sz w:val="22"/>
                <w:szCs w:val="22"/>
              </w:rPr>
              <w:t>6</w:t>
            </w:r>
          </w:p>
        </w:tc>
      </w:tr>
      <w:tr w:rsidR="00CE7653" w:rsidRPr="004079BE" w14:paraId="07B01412" w14:textId="77777777" w:rsidTr="00951BB9">
        <w:tc>
          <w:tcPr>
            <w:tcW w:w="1951" w:type="dxa"/>
            <w:vMerge/>
            <w:tcBorders>
              <w:top w:val="single" w:sz="4" w:space="0" w:color="auto"/>
              <w:left w:val="nil"/>
              <w:bottom w:val="single" w:sz="4" w:space="0" w:color="auto"/>
              <w:right w:val="nil"/>
            </w:tcBorders>
          </w:tcPr>
          <w:p w14:paraId="05801272" w14:textId="77777777" w:rsidR="00CE7653" w:rsidRPr="004079BE" w:rsidRDefault="00CE7653" w:rsidP="00951BB9">
            <w:pPr>
              <w:rPr>
                <w:b/>
                <w:sz w:val="22"/>
                <w:szCs w:val="22"/>
              </w:rPr>
            </w:pPr>
          </w:p>
        </w:tc>
        <w:tc>
          <w:tcPr>
            <w:tcW w:w="2835" w:type="dxa"/>
            <w:gridSpan w:val="2"/>
            <w:tcBorders>
              <w:top w:val="single" w:sz="4" w:space="0" w:color="auto"/>
              <w:left w:val="nil"/>
              <w:bottom w:val="single" w:sz="4" w:space="0" w:color="auto"/>
              <w:right w:val="nil"/>
            </w:tcBorders>
          </w:tcPr>
          <w:p w14:paraId="1D504E79" w14:textId="77777777" w:rsidR="00CE7653" w:rsidRPr="004079BE" w:rsidRDefault="00CE7653" w:rsidP="00951BB9">
            <w:pPr>
              <w:rPr>
                <w:sz w:val="22"/>
                <w:szCs w:val="22"/>
              </w:rPr>
            </w:pPr>
            <w:r w:rsidRPr="004079BE">
              <w:rPr>
                <w:sz w:val="22"/>
                <w:szCs w:val="22"/>
              </w:rPr>
              <w:t>South</w:t>
            </w:r>
          </w:p>
        </w:tc>
        <w:tc>
          <w:tcPr>
            <w:tcW w:w="1418" w:type="dxa"/>
            <w:tcBorders>
              <w:top w:val="single" w:sz="4" w:space="0" w:color="auto"/>
              <w:left w:val="nil"/>
              <w:bottom w:val="single" w:sz="4" w:space="0" w:color="auto"/>
              <w:right w:val="nil"/>
            </w:tcBorders>
          </w:tcPr>
          <w:p w14:paraId="2CDF2E22" w14:textId="77777777" w:rsidR="00CE7653" w:rsidRPr="004079BE" w:rsidRDefault="00CE7653" w:rsidP="00951BB9">
            <w:pPr>
              <w:jc w:val="center"/>
              <w:rPr>
                <w:sz w:val="22"/>
                <w:szCs w:val="22"/>
              </w:rPr>
            </w:pPr>
            <w:r w:rsidRPr="004079BE">
              <w:rPr>
                <w:sz w:val="22"/>
                <w:szCs w:val="22"/>
              </w:rPr>
              <w:t>3</w:t>
            </w:r>
          </w:p>
        </w:tc>
        <w:tc>
          <w:tcPr>
            <w:tcW w:w="1417" w:type="dxa"/>
            <w:tcBorders>
              <w:top w:val="single" w:sz="4" w:space="0" w:color="auto"/>
              <w:left w:val="nil"/>
              <w:bottom w:val="single" w:sz="4" w:space="0" w:color="auto"/>
              <w:right w:val="nil"/>
            </w:tcBorders>
          </w:tcPr>
          <w:p w14:paraId="08F98E58" w14:textId="77777777" w:rsidR="00CE7653" w:rsidRPr="004079BE" w:rsidRDefault="00CE7653" w:rsidP="00951BB9">
            <w:pPr>
              <w:jc w:val="center"/>
              <w:rPr>
                <w:sz w:val="22"/>
                <w:szCs w:val="22"/>
              </w:rPr>
            </w:pPr>
            <w:r w:rsidRPr="004079BE">
              <w:rPr>
                <w:sz w:val="22"/>
                <w:szCs w:val="22"/>
              </w:rPr>
              <w:t>4</w:t>
            </w:r>
          </w:p>
        </w:tc>
        <w:tc>
          <w:tcPr>
            <w:tcW w:w="900" w:type="dxa"/>
            <w:tcBorders>
              <w:top w:val="single" w:sz="4" w:space="0" w:color="auto"/>
              <w:left w:val="nil"/>
              <w:bottom w:val="single" w:sz="4" w:space="0" w:color="auto"/>
              <w:right w:val="nil"/>
            </w:tcBorders>
          </w:tcPr>
          <w:p w14:paraId="68D67E16" w14:textId="77777777" w:rsidR="00CE7653" w:rsidRPr="004079BE" w:rsidRDefault="00CE7653" w:rsidP="00951BB9">
            <w:pPr>
              <w:jc w:val="center"/>
              <w:rPr>
                <w:b/>
                <w:sz w:val="22"/>
                <w:szCs w:val="22"/>
              </w:rPr>
            </w:pPr>
            <w:r w:rsidRPr="004079BE">
              <w:rPr>
                <w:b/>
                <w:sz w:val="22"/>
                <w:szCs w:val="22"/>
              </w:rPr>
              <w:t>7</w:t>
            </w:r>
          </w:p>
        </w:tc>
      </w:tr>
      <w:tr w:rsidR="00CE7653" w:rsidRPr="004079BE" w14:paraId="4BCE3310" w14:textId="77777777" w:rsidTr="00951BB9">
        <w:tc>
          <w:tcPr>
            <w:tcW w:w="1951" w:type="dxa"/>
            <w:vMerge/>
            <w:tcBorders>
              <w:top w:val="single" w:sz="4" w:space="0" w:color="auto"/>
              <w:left w:val="nil"/>
              <w:bottom w:val="nil"/>
              <w:right w:val="nil"/>
            </w:tcBorders>
          </w:tcPr>
          <w:p w14:paraId="08FEB69B" w14:textId="77777777" w:rsidR="00CE7653" w:rsidRPr="004079BE" w:rsidRDefault="00CE7653" w:rsidP="00951BB9">
            <w:pPr>
              <w:rPr>
                <w:b/>
                <w:sz w:val="22"/>
                <w:szCs w:val="22"/>
              </w:rPr>
            </w:pPr>
          </w:p>
        </w:tc>
        <w:tc>
          <w:tcPr>
            <w:tcW w:w="2835" w:type="dxa"/>
            <w:gridSpan w:val="2"/>
            <w:tcBorders>
              <w:top w:val="single" w:sz="4" w:space="0" w:color="auto"/>
              <w:left w:val="nil"/>
              <w:bottom w:val="nil"/>
              <w:right w:val="nil"/>
            </w:tcBorders>
          </w:tcPr>
          <w:p w14:paraId="2EB01766" w14:textId="77777777" w:rsidR="00CE7653" w:rsidRPr="004079BE" w:rsidRDefault="00CE7653" w:rsidP="00951BB9">
            <w:pPr>
              <w:rPr>
                <w:sz w:val="22"/>
                <w:szCs w:val="22"/>
              </w:rPr>
            </w:pPr>
            <w:r w:rsidRPr="004079BE">
              <w:rPr>
                <w:sz w:val="22"/>
                <w:szCs w:val="22"/>
              </w:rPr>
              <w:t>Midlands &amp; East</w:t>
            </w:r>
          </w:p>
        </w:tc>
        <w:tc>
          <w:tcPr>
            <w:tcW w:w="1418" w:type="dxa"/>
            <w:tcBorders>
              <w:top w:val="single" w:sz="4" w:space="0" w:color="auto"/>
              <w:left w:val="nil"/>
              <w:bottom w:val="nil"/>
              <w:right w:val="nil"/>
            </w:tcBorders>
          </w:tcPr>
          <w:p w14:paraId="347E7BA6" w14:textId="77777777" w:rsidR="00CE7653" w:rsidRPr="004079BE" w:rsidRDefault="00CE7653" w:rsidP="00951BB9">
            <w:pPr>
              <w:jc w:val="center"/>
              <w:rPr>
                <w:sz w:val="22"/>
                <w:szCs w:val="22"/>
              </w:rPr>
            </w:pPr>
            <w:r w:rsidRPr="004079BE">
              <w:rPr>
                <w:sz w:val="22"/>
                <w:szCs w:val="22"/>
              </w:rPr>
              <w:t>2</w:t>
            </w:r>
          </w:p>
        </w:tc>
        <w:tc>
          <w:tcPr>
            <w:tcW w:w="1417" w:type="dxa"/>
            <w:tcBorders>
              <w:top w:val="single" w:sz="4" w:space="0" w:color="auto"/>
              <w:left w:val="nil"/>
              <w:bottom w:val="nil"/>
              <w:right w:val="nil"/>
            </w:tcBorders>
          </w:tcPr>
          <w:p w14:paraId="735A4FBD" w14:textId="77777777" w:rsidR="00CE7653" w:rsidRPr="004079BE" w:rsidRDefault="00CE7653" w:rsidP="00951BB9">
            <w:pPr>
              <w:jc w:val="center"/>
              <w:rPr>
                <w:sz w:val="22"/>
                <w:szCs w:val="22"/>
              </w:rPr>
            </w:pPr>
            <w:r w:rsidRPr="004079BE">
              <w:rPr>
                <w:sz w:val="22"/>
                <w:szCs w:val="22"/>
              </w:rPr>
              <w:t>2</w:t>
            </w:r>
          </w:p>
        </w:tc>
        <w:tc>
          <w:tcPr>
            <w:tcW w:w="900" w:type="dxa"/>
            <w:tcBorders>
              <w:top w:val="single" w:sz="4" w:space="0" w:color="auto"/>
              <w:left w:val="nil"/>
              <w:bottom w:val="nil"/>
              <w:right w:val="nil"/>
            </w:tcBorders>
          </w:tcPr>
          <w:p w14:paraId="6AB20DF4" w14:textId="77777777" w:rsidR="00CE7653" w:rsidRPr="004079BE" w:rsidRDefault="00CE7653" w:rsidP="00951BB9">
            <w:pPr>
              <w:jc w:val="center"/>
              <w:rPr>
                <w:b/>
                <w:sz w:val="22"/>
                <w:szCs w:val="22"/>
              </w:rPr>
            </w:pPr>
            <w:r w:rsidRPr="004079BE">
              <w:rPr>
                <w:b/>
                <w:sz w:val="22"/>
                <w:szCs w:val="22"/>
              </w:rPr>
              <w:t>4</w:t>
            </w:r>
          </w:p>
        </w:tc>
      </w:tr>
      <w:tr w:rsidR="00CE7653" w:rsidRPr="004079BE" w14:paraId="03DB40B6" w14:textId="77777777" w:rsidTr="00951BB9">
        <w:trPr>
          <w:trHeight w:hRule="exact" w:val="170"/>
        </w:trPr>
        <w:tc>
          <w:tcPr>
            <w:tcW w:w="8521" w:type="dxa"/>
            <w:gridSpan w:val="6"/>
            <w:tcBorders>
              <w:top w:val="nil"/>
              <w:left w:val="nil"/>
              <w:bottom w:val="single" w:sz="2" w:space="0" w:color="auto"/>
              <w:right w:val="nil"/>
            </w:tcBorders>
          </w:tcPr>
          <w:p w14:paraId="4089DC75" w14:textId="77777777" w:rsidR="00CE7653" w:rsidRPr="004079BE" w:rsidRDefault="00CE7653" w:rsidP="00951BB9">
            <w:pPr>
              <w:tabs>
                <w:tab w:val="left" w:pos="1108"/>
                <w:tab w:val="left" w:pos="1649"/>
              </w:tabs>
              <w:rPr>
                <w:b/>
                <w:sz w:val="22"/>
                <w:szCs w:val="22"/>
              </w:rPr>
            </w:pPr>
            <w:r w:rsidRPr="004079BE">
              <w:rPr>
                <w:b/>
                <w:sz w:val="22"/>
                <w:szCs w:val="22"/>
              </w:rPr>
              <w:tab/>
            </w:r>
            <w:r w:rsidRPr="004079BE">
              <w:rPr>
                <w:b/>
                <w:sz w:val="22"/>
                <w:szCs w:val="22"/>
              </w:rPr>
              <w:tab/>
            </w:r>
          </w:p>
        </w:tc>
      </w:tr>
      <w:tr w:rsidR="00CE7653" w:rsidRPr="004079BE" w14:paraId="0EDC92BB" w14:textId="77777777" w:rsidTr="00951BB9">
        <w:tc>
          <w:tcPr>
            <w:tcW w:w="1951" w:type="dxa"/>
            <w:vMerge w:val="restart"/>
            <w:tcBorders>
              <w:top w:val="single" w:sz="2" w:space="0" w:color="auto"/>
              <w:left w:val="nil"/>
              <w:right w:val="nil"/>
            </w:tcBorders>
          </w:tcPr>
          <w:p w14:paraId="0D4E2F2E" w14:textId="77777777" w:rsidR="00CE7653" w:rsidRPr="004079BE" w:rsidRDefault="00CE7653" w:rsidP="00951BB9">
            <w:pPr>
              <w:rPr>
                <w:b/>
                <w:sz w:val="22"/>
                <w:szCs w:val="22"/>
              </w:rPr>
            </w:pPr>
            <w:r w:rsidRPr="004079BE">
              <w:rPr>
                <w:b/>
                <w:sz w:val="22"/>
                <w:szCs w:val="22"/>
              </w:rPr>
              <w:t>Type of institution*</w:t>
            </w:r>
          </w:p>
        </w:tc>
        <w:tc>
          <w:tcPr>
            <w:tcW w:w="2835" w:type="dxa"/>
            <w:gridSpan w:val="2"/>
            <w:tcBorders>
              <w:top w:val="single" w:sz="2" w:space="0" w:color="auto"/>
              <w:left w:val="nil"/>
              <w:bottom w:val="single" w:sz="2" w:space="0" w:color="auto"/>
              <w:right w:val="nil"/>
            </w:tcBorders>
          </w:tcPr>
          <w:p w14:paraId="0B74BFDF" w14:textId="77777777" w:rsidR="00CE7653" w:rsidRPr="004079BE" w:rsidRDefault="00CE7653" w:rsidP="00951BB9">
            <w:pPr>
              <w:rPr>
                <w:sz w:val="22"/>
                <w:szCs w:val="22"/>
              </w:rPr>
            </w:pPr>
            <w:r w:rsidRPr="004079BE">
              <w:rPr>
                <w:sz w:val="22"/>
                <w:szCs w:val="22"/>
              </w:rPr>
              <w:t>NHS arms-length body</w:t>
            </w:r>
          </w:p>
        </w:tc>
        <w:tc>
          <w:tcPr>
            <w:tcW w:w="1418" w:type="dxa"/>
            <w:tcBorders>
              <w:top w:val="single" w:sz="2" w:space="0" w:color="auto"/>
              <w:left w:val="nil"/>
              <w:bottom w:val="single" w:sz="2" w:space="0" w:color="auto"/>
              <w:right w:val="nil"/>
            </w:tcBorders>
          </w:tcPr>
          <w:p w14:paraId="18F17E6B" w14:textId="77777777" w:rsidR="00CE7653" w:rsidRPr="004079BE" w:rsidRDefault="00CE7653" w:rsidP="00951BB9">
            <w:pPr>
              <w:jc w:val="center"/>
              <w:rPr>
                <w:sz w:val="22"/>
                <w:szCs w:val="22"/>
              </w:rPr>
            </w:pPr>
            <w:r w:rsidRPr="004079BE">
              <w:rPr>
                <w:sz w:val="22"/>
                <w:szCs w:val="22"/>
              </w:rPr>
              <w:t>-</w:t>
            </w:r>
          </w:p>
        </w:tc>
        <w:tc>
          <w:tcPr>
            <w:tcW w:w="1417" w:type="dxa"/>
            <w:tcBorders>
              <w:top w:val="single" w:sz="2" w:space="0" w:color="auto"/>
              <w:left w:val="nil"/>
              <w:bottom w:val="single" w:sz="2" w:space="0" w:color="auto"/>
              <w:right w:val="nil"/>
            </w:tcBorders>
          </w:tcPr>
          <w:p w14:paraId="038B8F63" w14:textId="77777777" w:rsidR="00CE7653" w:rsidRPr="004079BE" w:rsidRDefault="00CE7653" w:rsidP="00951BB9">
            <w:pPr>
              <w:jc w:val="center"/>
              <w:rPr>
                <w:sz w:val="22"/>
                <w:szCs w:val="22"/>
              </w:rPr>
            </w:pPr>
            <w:r w:rsidRPr="004079BE">
              <w:rPr>
                <w:sz w:val="22"/>
                <w:szCs w:val="22"/>
              </w:rPr>
              <w:t>5</w:t>
            </w:r>
          </w:p>
        </w:tc>
        <w:tc>
          <w:tcPr>
            <w:tcW w:w="900" w:type="dxa"/>
            <w:tcBorders>
              <w:top w:val="single" w:sz="2" w:space="0" w:color="auto"/>
              <w:left w:val="nil"/>
              <w:bottom w:val="single" w:sz="2" w:space="0" w:color="auto"/>
              <w:right w:val="nil"/>
            </w:tcBorders>
          </w:tcPr>
          <w:p w14:paraId="1C088B81" w14:textId="77777777" w:rsidR="00CE7653" w:rsidRPr="004079BE" w:rsidRDefault="00CE7653" w:rsidP="00951BB9">
            <w:pPr>
              <w:jc w:val="center"/>
              <w:rPr>
                <w:sz w:val="22"/>
                <w:szCs w:val="22"/>
              </w:rPr>
            </w:pPr>
            <w:r w:rsidRPr="004079BE">
              <w:rPr>
                <w:b/>
                <w:sz w:val="22"/>
                <w:szCs w:val="22"/>
              </w:rPr>
              <w:t>5</w:t>
            </w:r>
          </w:p>
        </w:tc>
      </w:tr>
      <w:tr w:rsidR="00CE7653" w:rsidRPr="004079BE" w14:paraId="05D8159C" w14:textId="77777777" w:rsidTr="00951BB9">
        <w:tc>
          <w:tcPr>
            <w:tcW w:w="1951" w:type="dxa"/>
            <w:vMerge/>
            <w:tcBorders>
              <w:left w:val="nil"/>
              <w:right w:val="nil"/>
            </w:tcBorders>
          </w:tcPr>
          <w:p w14:paraId="3EF5D29F" w14:textId="77777777" w:rsidR="00CE7653" w:rsidRPr="004079BE" w:rsidRDefault="00CE7653" w:rsidP="00951BB9">
            <w:pPr>
              <w:rPr>
                <w:sz w:val="22"/>
                <w:szCs w:val="22"/>
              </w:rPr>
            </w:pPr>
          </w:p>
        </w:tc>
        <w:tc>
          <w:tcPr>
            <w:tcW w:w="2835" w:type="dxa"/>
            <w:gridSpan w:val="2"/>
            <w:tcBorders>
              <w:top w:val="single" w:sz="2" w:space="0" w:color="auto"/>
              <w:left w:val="nil"/>
              <w:bottom w:val="single" w:sz="2" w:space="0" w:color="auto"/>
              <w:right w:val="nil"/>
            </w:tcBorders>
          </w:tcPr>
          <w:p w14:paraId="779DEA8F" w14:textId="77777777" w:rsidR="00CE7653" w:rsidRPr="004079BE" w:rsidRDefault="00CE7653" w:rsidP="00951BB9">
            <w:pPr>
              <w:rPr>
                <w:sz w:val="22"/>
                <w:szCs w:val="22"/>
              </w:rPr>
            </w:pPr>
            <w:r w:rsidRPr="004079BE">
              <w:rPr>
                <w:sz w:val="22"/>
                <w:szCs w:val="22"/>
              </w:rPr>
              <w:t>Medical royal college</w:t>
            </w:r>
          </w:p>
        </w:tc>
        <w:tc>
          <w:tcPr>
            <w:tcW w:w="1418" w:type="dxa"/>
            <w:tcBorders>
              <w:top w:val="single" w:sz="2" w:space="0" w:color="auto"/>
              <w:left w:val="nil"/>
              <w:bottom w:val="single" w:sz="2" w:space="0" w:color="auto"/>
              <w:right w:val="nil"/>
            </w:tcBorders>
          </w:tcPr>
          <w:p w14:paraId="003C7720" w14:textId="77777777" w:rsidR="00CE7653" w:rsidRPr="004079BE" w:rsidRDefault="00CE7653" w:rsidP="00951BB9">
            <w:pPr>
              <w:jc w:val="center"/>
              <w:rPr>
                <w:sz w:val="22"/>
                <w:szCs w:val="22"/>
              </w:rPr>
            </w:pPr>
            <w:r w:rsidRPr="004079BE">
              <w:rPr>
                <w:sz w:val="22"/>
                <w:szCs w:val="22"/>
              </w:rPr>
              <w:t>-</w:t>
            </w:r>
          </w:p>
        </w:tc>
        <w:tc>
          <w:tcPr>
            <w:tcW w:w="1417" w:type="dxa"/>
            <w:tcBorders>
              <w:top w:val="single" w:sz="2" w:space="0" w:color="auto"/>
              <w:left w:val="nil"/>
              <w:bottom w:val="single" w:sz="2" w:space="0" w:color="auto"/>
              <w:right w:val="nil"/>
            </w:tcBorders>
          </w:tcPr>
          <w:p w14:paraId="2AB2ADD0" w14:textId="77777777" w:rsidR="00CE7653" w:rsidRPr="004079BE" w:rsidRDefault="00CE7653" w:rsidP="00951BB9">
            <w:pPr>
              <w:jc w:val="center"/>
              <w:rPr>
                <w:sz w:val="22"/>
                <w:szCs w:val="22"/>
              </w:rPr>
            </w:pPr>
            <w:r w:rsidRPr="004079BE">
              <w:rPr>
                <w:sz w:val="22"/>
                <w:szCs w:val="22"/>
              </w:rPr>
              <w:t>3</w:t>
            </w:r>
          </w:p>
        </w:tc>
        <w:tc>
          <w:tcPr>
            <w:tcW w:w="900" w:type="dxa"/>
            <w:tcBorders>
              <w:top w:val="single" w:sz="2" w:space="0" w:color="auto"/>
              <w:left w:val="nil"/>
              <w:bottom w:val="single" w:sz="2" w:space="0" w:color="auto"/>
              <w:right w:val="nil"/>
            </w:tcBorders>
          </w:tcPr>
          <w:p w14:paraId="23C2DE55" w14:textId="77777777" w:rsidR="00CE7653" w:rsidRPr="004079BE" w:rsidRDefault="00CE7653" w:rsidP="00951BB9">
            <w:pPr>
              <w:jc w:val="center"/>
              <w:rPr>
                <w:sz w:val="22"/>
                <w:szCs w:val="22"/>
              </w:rPr>
            </w:pPr>
            <w:r w:rsidRPr="004079BE">
              <w:rPr>
                <w:b/>
                <w:sz w:val="22"/>
                <w:szCs w:val="22"/>
              </w:rPr>
              <w:t>3</w:t>
            </w:r>
          </w:p>
        </w:tc>
      </w:tr>
      <w:tr w:rsidR="00CE7653" w:rsidRPr="004079BE" w14:paraId="228EA597" w14:textId="77777777" w:rsidTr="00951BB9">
        <w:tc>
          <w:tcPr>
            <w:tcW w:w="1951" w:type="dxa"/>
            <w:vMerge/>
            <w:tcBorders>
              <w:left w:val="nil"/>
              <w:right w:val="nil"/>
            </w:tcBorders>
          </w:tcPr>
          <w:p w14:paraId="4DC1B406" w14:textId="77777777" w:rsidR="00CE7653" w:rsidRPr="004079BE" w:rsidRDefault="00CE7653" w:rsidP="00951BB9">
            <w:pPr>
              <w:rPr>
                <w:sz w:val="22"/>
                <w:szCs w:val="22"/>
              </w:rPr>
            </w:pPr>
          </w:p>
        </w:tc>
        <w:tc>
          <w:tcPr>
            <w:tcW w:w="2835" w:type="dxa"/>
            <w:gridSpan w:val="2"/>
            <w:tcBorders>
              <w:top w:val="single" w:sz="2" w:space="0" w:color="auto"/>
              <w:left w:val="nil"/>
              <w:bottom w:val="single" w:sz="2" w:space="0" w:color="auto"/>
              <w:right w:val="nil"/>
            </w:tcBorders>
          </w:tcPr>
          <w:p w14:paraId="1B24266B" w14:textId="77777777" w:rsidR="00CE7653" w:rsidRPr="004079BE" w:rsidRDefault="00CE7653" w:rsidP="00951BB9">
            <w:pPr>
              <w:rPr>
                <w:sz w:val="22"/>
                <w:szCs w:val="22"/>
              </w:rPr>
            </w:pPr>
            <w:r w:rsidRPr="004079BE">
              <w:rPr>
                <w:sz w:val="22"/>
                <w:szCs w:val="22"/>
              </w:rPr>
              <w:t>AHSN</w:t>
            </w:r>
          </w:p>
        </w:tc>
        <w:tc>
          <w:tcPr>
            <w:tcW w:w="1418" w:type="dxa"/>
            <w:tcBorders>
              <w:top w:val="single" w:sz="2" w:space="0" w:color="auto"/>
              <w:left w:val="nil"/>
              <w:bottom w:val="single" w:sz="2" w:space="0" w:color="auto"/>
              <w:right w:val="nil"/>
            </w:tcBorders>
          </w:tcPr>
          <w:p w14:paraId="54E2A159" w14:textId="77777777" w:rsidR="00CE7653" w:rsidRPr="004079BE" w:rsidRDefault="00CE7653" w:rsidP="00951BB9">
            <w:pPr>
              <w:jc w:val="center"/>
              <w:rPr>
                <w:sz w:val="22"/>
                <w:szCs w:val="22"/>
              </w:rPr>
            </w:pPr>
            <w:r w:rsidRPr="004079BE">
              <w:rPr>
                <w:sz w:val="22"/>
                <w:szCs w:val="22"/>
              </w:rPr>
              <w:t>-</w:t>
            </w:r>
          </w:p>
        </w:tc>
        <w:tc>
          <w:tcPr>
            <w:tcW w:w="1417" w:type="dxa"/>
            <w:tcBorders>
              <w:top w:val="single" w:sz="2" w:space="0" w:color="auto"/>
              <w:left w:val="nil"/>
              <w:bottom w:val="single" w:sz="2" w:space="0" w:color="auto"/>
              <w:right w:val="nil"/>
            </w:tcBorders>
          </w:tcPr>
          <w:p w14:paraId="1554C24E" w14:textId="77777777" w:rsidR="00CE7653" w:rsidRPr="004079BE" w:rsidRDefault="00CE7653" w:rsidP="00951BB9">
            <w:pPr>
              <w:jc w:val="center"/>
              <w:rPr>
                <w:sz w:val="22"/>
                <w:szCs w:val="22"/>
              </w:rPr>
            </w:pPr>
            <w:r w:rsidRPr="004079BE">
              <w:rPr>
                <w:sz w:val="22"/>
                <w:szCs w:val="22"/>
              </w:rPr>
              <w:t>2</w:t>
            </w:r>
          </w:p>
        </w:tc>
        <w:tc>
          <w:tcPr>
            <w:tcW w:w="900" w:type="dxa"/>
            <w:tcBorders>
              <w:top w:val="single" w:sz="2" w:space="0" w:color="auto"/>
              <w:left w:val="nil"/>
              <w:bottom w:val="single" w:sz="2" w:space="0" w:color="auto"/>
              <w:right w:val="nil"/>
            </w:tcBorders>
          </w:tcPr>
          <w:p w14:paraId="6FAEDE2F" w14:textId="77777777" w:rsidR="00CE7653" w:rsidRPr="004079BE" w:rsidRDefault="00CE7653" w:rsidP="00951BB9">
            <w:pPr>
              <w:jc w:val="center"/>
              <w:rPr>
                <w:sz w:val="22"/>
                <w:szCs w:val="22"/>
              </w:rPr>
            </w:pPr>
            <w:r w:rsidRPr="004079BE">
              <w:rPr>
                <w:b/>
                <w:sz w:val="22"/>
                <w:szCs w:val="22"/>
              </w:rPr>
              <w:t>2</w:t>
            </w:r>
          </w:p>
        </w:tc>
      </w:tr>
      <w:tr w:rsidR="00CE7653" w:rsidRPr="004079BE" w14:paraId="717032FD" w14:textId="77777777" w:rsidTr="00951BB9">
        <w:tc>
          <w:tcPr>
            <w:tcW w:w="1951" w:type="dxa"/>
            <w:vMerge/>
            <w:tcBorders>
              <w:left w:val="nil"/>
              <w:right w:val="nil"/>
            </w:tcBorders>
          </w:tcPr>
          <w:p w14:paraId="557356B7" w14:textId="77777777" w:rsidR="00CE7653" w:rsidRPr="004079BE" w:rsidRDefault="00CE7653" w:rsidP="00951BB9">
            <w:pPr>
              <w:rPr>
                <w:sz w:val="22"/>
                <w:szCs w:val="22"/>
              </w:rPr>
            </w:pPr>
          </w:p>
        </w:tc>
        <w:tc>
          <w:tcPr>
            <w:tcW w:w="2835" w:type="dxa"/>
            <w:gridSpan w:val="2"/>
            <w:tcBorders>
              <w:top w:val="single" w:sz="2" w:space="0" w:color="auto"/>
              <w:left w:val="nil"/>
              <w:bottom w:val="single" w:sz="2" w:space="0" w:color="auto"/>
              <w:right w:val="nil"/>
            </w:tcBorders>
          </w:tcPr>
          <w:p w14:paraId="44D2818C" w14:textId="77777777" w:rsidR="00CE7653" w:rsidRPr="004079BE" w:rsidRDefault="00CE7653" w:rsidP="00951BB9">
            <w:pPr>
              <w:rPr>
                <w:sz w:val="22"/>
                <w:szCs w:val="22"/>
              </w:rPr>
            </w:pPr>
            <w:r w:rsidRPr="004079BE">
              <w:rPr>
                <w:sz w:val="22"/>
                <w:szCs w:val="22"/>
              </w:rPr>
              <w:t>Think tank</w:t>
            </w:r>
          </w:p>
        </w:tc>
        <w:tc>
          <w:tcPr>
            <w:tcW w:w="1418" w:type="dxa"/>
            <w:tcBorders>
              <w:top w:val="single" w:sz="2" w:space="0" w:color="auto"/>
              <w:left w:val="nil"/>
              <w:bottom w:val="single" w:sz="2" w:space="0" w:color="auto"/>
              <w:right w:val="nil"/>
            </w:tcBorders>
          </w:tcPr>
          <w:p w14:paraId="5AC0B43F" w14:textId="77777777" w:rsidR="00CE7653" w:rsidRPr="004079BE" w:rsidRDefault="00CE7653" w:rsidP="00951BB9">
            <w:pPr>
              <w:jc w:val="center"/>
              <w:rPr>
                <w:sz w:val="22"/>
                <w:szCs w:val="22"/>
              </w:rPr>
            </w:pPr>
            <w:r w:rsidRPr="004079BE">
              <w:rPr>
                <w:sz w:val="22"/>
                <w:szCs w:val="22"/>
              </w:rPr>
              <w:t>-</w:t>
            </w:r>
          </w:p>
        </w:tc>
        <w:tc>
          <w:tcPr>
            <w:tcW w:w="1417" w:type="dxa"/>
            <w:tcBorders>
              <w:top w:val="single" w:sz="2" w:space="0" w:color="auto"/>
              <w:left w:val="nil"/>
              <w:bottom w:val="single" w:sz="2" w:space="0" w:color="auto"/>
              <w:right w:val="nil"/>
            </w:tcBorders>
          </w:tcPr>
          <w:p w14:paraId="2DCFAD4E" w14:textId="77777777" w:rsidR="00CE7653" w:rsidRPr="004079BE" w:rsidRDefault="00CE7653" w:rsidP="00951BB9">
            <w:pPr>
              <w:jc w:val="center"/>
              <w:rPr>
                <w:sz w:val="22"/>
                <w:szCs w:val="22"/>
              </w:rPr>
            </w:pPr>
            <w:r w:rsidRPr="004079BE">
              <w:rPr>
                <w:sz w:val="22"/>
                <w:szCs w:val="22"/>
              </w:rPr>
              <w:t>1</w:t>
            </w:r>
          </w:p>
        </w:tc>
        <w:tc>
          <w:tcPr>
            <w:tcW w:w="900" w:type="dxa"/>
            <w:tcBorders>
              <w:top w:val="single" w:sz="2" w:space="0" w:color="auto"/>
              <w:left w:val="nil"/>
              <w:bottom w:val="single" w:sz="2" w:space="0" w:color="auto"/>
              <w:right w:val="nil"/>
            </w:tcBorders>
          </w:tcPr>
          <w:p w14:paraId="133849B4" w14:textId="77777777" w:rsidR="00CE7653" w:rsidRPr="004079BE" w:rsidRDefault="00CE7653" w:rsidP="00951BB9">
            <w:pPr>
              <w:jc w:val="center"/>
              <w:rPr>
                <w:sz w:val="22"/>
                <w:szCs w:val="22"/>
              </w:rPr>
            </w:pPr>
            <w:r w:rsidRPr="004079BE">
              <w:rPr>
                <w:b/>
                <w:sz w:val="22"/>
                <w:szCs w:val="22"/>
              </w:rPr>
              <w:t>1</w:t>
            </w:r>
          </w:p>
        </w:tc>
      </w:tr>
      <w:tr w:rsidR="00CE7653" w:rsidRPr="004079BE" w14:paraId="78C6B0D0" w14:textId="77777777" w:rsidTr="00951BB9">
        <w:tc>
          <w:tcPr>
            <w:tcW w:w="1951" w:type="dxa"/>
            <w:vMerge/>
            <w:tcBorders>
              <w:left w:val="nil"/>
              <w:bottom w:val="single" w:sz="2" w:space="0" w:color="auto"/>
              <w:right w:val="nil"/>
            </w:tcBorders>
          </w:tcPr>
          <w:p w14:paraId="78610161" w14:textId="77777777" w:rsidR="00CE7653" w:rsidRPr="004079BE" w:rsidRDefault="00CE7653" w:rsidP="00951BB9">
            <w:pPr>
              <w:rPr>
                <w:sz w:val="22"/>
                <w:szCs w:val="22"/>
              </w:rPr>
            </w:pPr>
          </w:p>
        </w:tc>
        <w:tc>
          <w:tcPr>
            <w:tcW w:w="2835" w:type="dxa"/>
            <w:gridSpan w:val="2"/>
            <w:tcBorders>
              <w:top w:val="single" w:sz="2" w:space="0" w:color="auto"/>
              <w:left w:val="nil"/>
              <w:bottom w:val="single" w:sz="2" w:space="0" w:color="auto"/>
              <w:right w:val="nil"/>
            </w:tcBorders>
          </w:tcPr>
          <w:p w14:paraId="3C7ECE9D" w14:textId="77777777" w:rsidR="00CE7653" w:rsidRPr="004079BE" w:rsidRDefault="00CE7653" w:rsidP="00951BB9">
            <w:pPr>
              <w:rPr>
                <w:sz w:val="22"/>
                <w:szCs w:val="22"/>
              </w:rPr>
            </w:pPr>
            <w:r w:rsidRPr="004079BE">
              <w:rPr>
                <w:sz w:val="22"/>
                <w:szCs w:val="22"/>
              </w:rPr>
              <w:t>Clinical commissioning group</w:t>
            </w:r>
          </w:p>
        </w:tc>
        <w:tc>
          <w:tcPr>
            <w:tcW w:w="1418" w:type="dxa"/>
            <w:tcBorders>
              <w:top w:val="single" w:sz="2" w:space="0" w:color="auto"/>
              <w:left w:val="nil"/>
              <w:bottom w:val="single" w:sz="2" w:space="0" w:color="auto"/>
              <w:right w:val="nil"/>
            </w:tcBorders>
          </w:tcPr>
          <w:p w14:paraId="67C937EC" w14:textId="77777777" w:rsidR="00CE7653" w:rsidRPr="004079BE" w:rsidRDefault="00CE7653" w:rsidP="00951BB9">
            <w:pPr>
              <w:jc w:val="center"/>
              <w:rPr>
                <w:sz w:val="22"/>
                <w:szCs w:val="22"/>
              </w:rPr>
            </w:pPr>
            <w:r w:rsidRPr="004079BE">
              <w:rPr>
                <w:sz w:val="22"/>
                <w:szCs w:val="22"/>
              </w:rPr>
              <w:t>-</w:t>
            </w:r>
          </w:p>
        </w:tc>
        <w:tc>
          <w:tcPr>
            <w:tcW w:w="1417" w:type="dxa"/>
            <w:tcBorders>
              <w:top w:val="single" w:sz="2" w:space="0" w:color="auto"/>
              <w:left w:val="nil"/>
              <w:bottom w:val="single" w:sz="2" w:space="0" w:color="auto"/>
              <w:right w:val="nil"/>
            </w:tcBorders>
          </w:tcPr>
          <w:p w14:paraId="2D733F3D" w14:textId="77777777" w:rsidR="00CE7653" w:rsidRPr="004079BE" w:rsidRDefault="00CE7653" w:rsidP="00951BB9">
            <w:pPr>
              <w:jc w:val="center"/>
              <w:rPr>
                <w:sz w:val="22"/>
                <w:szCs w:val="22"/>
              </w:rPr>
            </w:pPr>
            <w:r w:rsidRPr="004079BE">
              <w:rPr>
                <w:sz w:val="22"/>
                <w:szCs w:val="22"/>
              </w:rPr>
              <w:t>1</w:t>
            </w:r>
          </w:p>
        </w:tc>
        <w:tc>
          <w:tcPr>
            <w:tcW w:w="900" w:type="dxa"/>
            <w:tcBorders>
              <w:top w:val="single" w:sz="2" w:space="0" w:color="auto"/>
              <w:left w:val="nil"/>
              <w:bottom w:val="single" w:sz="2" w:space="0" w:color="auto"/>
              <w:right w:val="nil"/>
            </w:tcBorders>
          </w:tcPr>
          <w:p w14:paraId="394DCD38" w14:textId="77777777" w:rsidR="00CE7653" w:rsidRPr="004079BE" w:rsidRDefault="00CE7653" w:rsidP="00951BB9">
            <w:pPr>
              <w:jc w:val="center"/>
              <w:rPr>
                <w:sz w:val="22"/>
                <w:szCs w:val="22"/>
              </w:rPr>
            </w:pPr>
            <w:r w:rsidRPr="004079BE">
              <w:rPr>
                <w:b/>
                <w:sz w:val="22"/>
                <w:szCs w:val="22"/>
              </w:rPr>
              <w:t>1</w:t>
            </w:r>
          </w:p>
        </w:tc>
      </w:tr>
      <w:tr w:rsidR="00CE7653" w:rsidRPr="004079BE" w14:paraId="58C7EB25" w14:textId="77777777" w:rsidTr="00951BB9">
        <w:tc>
          <w:tcPr>
            <w:tcW w:w="8521" w:type="dxa"/>
            <w:gridSpan w:val="6"/>
            <w:tcBorders>
              <w:top w:val="single" w:sz="2" w:space="0" w:color="auto"/>
              <w:left w:val="nil"/>
              <w:bottom w:val="nil"/>
              <w:right w:val="nil"/>
            </w:tcBorders>
          </w:tcPr>
          <w:p w14:paraId="797A02BC" w14:textId="77777777" w:rsidR="00CE7653" w:rsidRPr="004079BE" w:rsidRDefault="00CE7653" w:rsidP="00951BB9">
            <w:pPr>
              <w:rPr>
                <w:sz w:val="22"/>
                <w:szCs w:val="22"/>
              </w:rPr>
            </w:pPr>
            <w:r w:rsidRPr="004079BE">
              <w:rPr>
                <w:sz w:val="22"/>
                <w:szCs w:val="22"/>
              </w:rPr>
              <w:t>*Some participants held more than one position</w:t>
            </w:r>
          </w:p>
        </w:tc>
      </w:tr>
    </w:tbl>
    <w:p w14:paraId="0894C63B" w14:textId="77777777" w:rsidR="00CE7653" w:rsidRPr="004079BE" w:rsidRDefault="00CE7653" w:rsidP="00CE7653">
      <w:pPr>
        <w:spacing w:line="360" w:lineRule="auto"/>
        <w:rPr>
          <w:rFonts w:cs="Arial"/>
          <w:sz w:val="22"/>
          <w:szCs w:val="22"/>
        </w:rPr>
      </w:pPr>
    </w:p>
    <w:p w14:paraId="4E858C77" w14:textId="77777777" w:rsidR="00CE7653" w:rsidRPr="004079BE" w:rsidRDefault="00CE7653" w:rsidP="00FB19B6">
      <w:pPr>
        <w:pStyle w:val="Heading2"/>
      </w:pPr>
      <w:r w:rsidRPr="004079BE">
        <w:lastRenderedPageBreak/>
        <w:t>Themes</w:t>
      </w:r>
    </w:p>
    <w:p w14:paraId="746A928F" w14:textId="77777777" w:rsidR="00CE7653" w:rsidRPr="004079BE" w:rsidRDefault="00CE7653" w:rsidP="00CE7653">
      <w:pPr>
        <w:spacing w:line="360" w:lineRule="auto"/>
        <w:ind w:firstLine="720"/>
        <w:rPr>
          <w:rFonts w:cs="Arial"/>
          <w:i/>
          <w:sz w:val="22"/>
          <w:szCs w:val="22"/>
        </w:rPr>
      </w:pPr>
      <w:r w:rsidRPr="004079BE">
        <w:rPr>
          <w:rFonts w:cs="Arial"/>
          <w:sz w:val="22"/>
          <w:szCs w:val="22"/>
        </w:rPr>
        <w:t xml:space="preserve">Two major themes were identified: power and trust. Participants recognised and explained peers’ powerful influence on behaviour, and identified channels through which it is exerted. Peers were described as trustworthy, although often on condition of their credibility, a supporting evidence-base and absence of conflict of interest (COI). Most themes were equally distributed between front-line and strategic leader groups, with one exception, the role of institutions, which arose predominantly amongst strategic leaders. The themes are considered in turn below. Participants are referred to as [front-line xx] or [strategic leader xx], where ‘xx’ relates to a unique participant code. </w:t>
      </w:r>
    </w:p>
    <w:p w14:paraId="37857647" w14:textId="77777777" w:rsidR="00CE7653" w:rsidRPr="004079BE" w:rsidRDefault="00CE7653" w:rsidP="00FB19B6">
      <w:pPr>
        <w:pStyle w:val="Heading2"/>
      </w:pPr>
      <w:r w:rsidRPr="004079BE">
        <w:t>Power</w:t>
      </w:r>
    </w:p>
    <w:p w14:paraId="1617653A" w14:textId="77777777" w:rsidR="00CE7653" w:rsidRPr="004079BE" w:rsidRDefault="00CE7653" w:rsidP="00CE7653">
      <w:pPr>
        <w:spacing w:line="360" w:lineRule="auto"/>
        <w:rPr>
          <w:rFonts w:cs="Arial"/>
          <w:sz w:val="22"/>
          <w:szCs w:val="22"/>
        </w:rPr>
      </w:pPr>
      <w:r w:rsidRPr="004079BE">
        <w:rPr>
          <w:rFonts w:cs="Arial"/>
          <w:sz w:val="22"/>
          <w:szCs w:val="22"/>
        </w:rPr>
        <w:tab/>
        <w:t>All participants described peers’ powerful influence and offered explanations for why and how it occurs.</w:t>
      </w:r>
    </w:p>
    <w:p w14:paraId="1A9316F9" w14:textId="77777777" w:rsidR="00CE7653" w:rsidRPr="004079BE" w:rsidRDefault="00CE7653" w:rsidP="00CE7653">
      <w:pPr>
        <w:pStyle w:val="Heading3"/>
      </w:pPr>
      <w:r w:rsidRPr="004079BE">
        <w:t>Recognised power</w:t>
      </w:r>
    </w:p>
    <w:p w14:paraId="17E50B14" w14:textId="485002D1" w:rsidR="00CE7653" w:rsidRPr="004079BE" w:rsidRDefault="00AB48CA" w:rsidP="00CE7653">
      <w:pPr>
        <w:spacing w:line="360" w:lineRule="auto"/>
        <w:rPr>
          <w:rFonts w:cs="Arial"/>
          <w:sz w:val="22"/>
          <w:szCs w:val="22"/>
        </w:rPr>
      </w:pPr>
      <w:r w:rsidRPr="004079BE">
        <w:rPr>
          <w:rFonts w:cs="Arial"/>
          <w:sz w:val="22"/>
          <w:szCs w:val="22"/>
        </w:rPr>
        <w:tab/>
        <w:t>All participants expressly</w:t>
      </w:r>
      <w:r w:rsidR="00CE7653" w:rsidRPr="004079BE">
        <w:rPr>
          <w:rFonts w:cs="Arial"/>
          <w:sz w:val="22"/>
          <w:szCs w:val="22"/>
        </w:rPr>
        <w:t xml:space="preserve"> recognised their behaviour is influenced by clinical peers. Several believed peer endorsement is an absolute necessity for adoption:</w:t>
      </w:r>
    </w:p>
    <w:p w14:paraId="48E6AFB8" w14:textId="77777777" w:rsidR="00CE7653" w:rsidRPr="004079BE" w:rsidRDefault="00CE7653" w:rsidP="00CE7653">
      <w:pPr>
        <w:spacing w:line="360" w:lineRule="auto"/>
        <w:rPr>
          <w:rFonts w:cs="Arial"/>
          <w:sz w:val="22"/>
          <w:szCs w:val="22"/>
        </w:rPr>
      </w:pPr>
    </w:p>
    <w:p w14:paraId="54EFFB30" w14:textId="77777777" w:rsidR="00CE7653" w:rsidRPr="004079BE" w:rsidRDefault="00CE7653" w:rsidP="00CE7653">
      <w:pPr>
        <w:spacing w:line="360" w:lineRule="auto"/>
        <w:ind w:left="720"/>
        <w:rPr>
          <w:rFonts w:cs="Arial"/>
          <w:i/>
          <w:sz w:val="22"/>
          <w:szCs w:val="22"/>
        </w:rPr>
      </w:pPr>
      <w:r w:rsidRPr="004079BE">
        <w:rPr>
          <w:rFonts w:cs="Arial"/>
          <w:i/>
          <w:sz w:val="22"/>
          <w:szCs w:val="22"/>
        </w:rPr>
        <w:t>[Strategic leader B2] “I’m not sure I can think of examples where peer endorsement and support has not been a factor.”</w:t>
      </w:r>
    </w:p>
    <w:p w14:paraId="15843602" w14:textId="77777777" w:rsidR="00CE7653" w:rsidRPr="004079BE" w:rsidRDefault="00CE7653" w:rsidP="00CE7653">
      <w:pPr>
        <w:spacing w:line="360" w:lineRule="auto"/>
        <w:rPr>
          <w:rFonts w:cs="Arial"/>
          <w:sz w:val="22"/>
          <w:szCs w:val="22"/>
        </w:rPr>
      </w:pPr>
    </w:p>
    <w:p w14:paraId="0C18AED7" w14:textId="77777777" w:rsidR="00CE7653" w:rsidRPr="004079BE" w:rsidRDefault="00CE7653" w:rsidP="00CE7653">
      <w:pPr>
        <w:spacing w:line="360" w:lineRule="auto"/>
        <w:rPr>
          <w:rFonts w:cs="Arial"/>
          <w:sz w:val="22"/>
          <w:szCs w:val="22"/>
        </w:rPr>
      </w:pPr>
      <w:r w:rsidRPr="004079BE">
        <w:rPr>
          <w:rFonts w:cs="Arial"/>
          <w:sz w:val="22"/>
          <w:szCs w:val="22"/>
        </w:rPr>
        <w:t xml:space="preserve">Three participants noted peers may use their influence to stifle rather than foster innovation, and several others commented on potential for harm if clinicians promote ineffective or non-cost effective technologies. In contrast, a small number added peers are not </w:t>
      </w:r>
      <w:r w:rsidRPr="004079BE">
        <w:rPr>
          <w:rFonts w:cs="Arial"/>
          <w:i/>
          <w:sz w:val="22"/>
          <w:szCs w:val="22"/>
        </w:rPr>
        <w:t xml:space="preserve">necessarily </w:t>
      </w:r>
      <w:r w:rsidRPr="004079BE">
        <w:rPr>
          <w:rFonts w:cs="Arial"/>
          <w:sz w:val="22"/>
          <w:szCs w:val="22"/>
        </w:rPr>
        <w:t>influential:</w:t>
      </w:r>
    </w:p>
    <w:p w14:paraId="29F825DB" w14:textId="77777777" w:rsidR="00CE7653" w:rsidRPr="004079BE" w:rsidRDefault="00CE7653" w:rsidP="00CE7653">
      <w:pPr>
        <w:spacing w:line="360" w:lineRule="auto"/>
        <w:rPr>
          <w:rFonts w:cs="Arial"/>
          <w:sz w:val="22"/>
          <w:szCs w:val="22"/>
        </w:rPr>
      </w:pPr>
    </w:p>
    <w:p w14:paraId="2FD0FB6E" w14:textId="77777777" w:rsidR="00CE7653" w:rsidRPr="004079BE" w:rsidRDefault="00CE7653" w:rsidP="00CE7653">
      <w:pPr>
        <w:spacing w:line="360" w:lineRule="auto"/>
        <w:ind w:left="720"/>
        <w:rPr>
          <w:rFonts w:cs="Arial"/>
          <w:i/>
          <w:sz w:val="22"/>
          <w:szCs w:val="22"/>
        </w:rPr>
      </w:pPr>
      <w:r w:rsidRPr="004079BE">
        <w:rPr>
          <w:rFonts w:cs="Arial"/>
          <w:i/>
          <w:sz w:val="22"/>
          <w:szCs w:val="22"/>
        </w:rPr>
        <w:t>[Front-line A1] “I have seen TV Doctors speak [at conferences]. I often think, “Why are they invited?” (...) They don’t have anything meaningful to say.”</w:t>
      </w:r>
    </w:p>
    <w:p w14:paraId="7F4A7FA0" w14:textId="77777777" w:rsidR="00CE7653" w:rsidRPr="004079BE" w:rsidRDefault="00CE7653" w:rsidP="00CE7653">
      <w:pPr>
        <w:spacing w:line="360" w:lineRule="auto"/>
        <w:ind w:left="720"/>
        <w:rPr>
          <w:rFonts w:cs="Arial"/>
          <w:i/>
          <w:sz w:val="22"/>
          <w:szCs w:val="22"/>
        </w:rPr>
      </w:pPr>
    </w:p>
    <w:p w14:paraId="680F2711" w14:textId="77777777" w:rsidR="00CE7653" w:rsidRPr="004079BE" w:rsidRDefault="00CE7653" w:rsidP="00CE7653">
      <w:pPr>
        <w:pStyle w:val="Heading3"/>
      </w:pPr>
      <w:r w:rsidRPr="004079BE">
        <w:t>Explaining peers’ power</w:t>
      </w:r>
    </w:p>
    <w:p w14:paraId="285AA074" w14:textId="77777777" w:rsidR="00CE7653" w:rsidRPr="004079BE" w:rsidRDefault="00CE7653" w:rsidP="00CE7653">
      <w:pPr>
        <w:pStyle w:val="Heading4"/>
      </w:pPr>
      <w:r w:rsidRPr="004079BE">
        <w:t>Professional value</w:t>
      </w:r>
    </w:p>
    <w:p w14:paraId="37CA3D7C" w14:textId="77777777" w:rsidR="00CE7653" w:rsidRPr="004079BE" w:rsidRDefault="00CE7653" w:rsidP="00CE7653">
      <w:pPr>
        <w:spacing w:line="360" w:lineRule="auto"/>
        <w:rPr>
          <w:rFonts w:cs="Arial"/>
          <w:sz w:val="22"/>
          <w:szCs w:val="22"/>
        </w:rPr>
      </w:pPr>
      <w:r w:rsidRPr="004079BE">
        <w:tab/>
      </w:r>
      <w:r w:rsidRPr="004079BE">
        <w:rPr>
          <w:rFonts w:cs="Arial"/>
          <w:sz w:val="22"/>
          <w:szCs w:val="22"/>
        </w:rPr>
        <w:t>Most participants explained peers are influential because the clinical community values professionalism and perceives clinicians to understand clinical need:</w:t>
      </w:r>
    </w:p>
    <w:p w14:paraId="64A5927D" w14:textId="77777777" w:rsidR="00CE7653" w:rsidRPr="004079BE" w:rsidRDefault="00CE7653" w:rsidP="00CE7653">
      <w:pPr>
        <w:spacing w:line="360" w:lineRule="auto"/>
        <w:rPr>
          <w:rFonts w:cs="Arial"/>
          <w:sz w:val="22"/>
          <w:szCs w:val="22"/>
        </w:rPr>
      </w:pPr>
    </w:p>
    <w:p w14:paraId="3EF1BA73" w14:textId="77777777" w:rsidR="00CE7653" w:rsidRPr="004079BE" w:rsidRDefault="00CE7653" w:rsidP="00CE7653">
      <w:pPr>
        <w:spacing w:line="360" w:lineRule="auto"/>
        <w:ind w:left="720"/>
        <w:rPr>
          <w:rFonts w:cs="Arial"/>
          <w:i/>
          <w:sz w:val="22"/>
          <w:szCs w:val="22"/>
        </w:rPr>
      </w:pPr>
      <w:r w:rsidRPr="004079BE">
        <w:rPr>
          <w:rFonts w:cs="Arial"/>
          <w:i/>
          <w:sz w:val="22"/>
          <w:szCs w:val="22"/>
        </w:rPr>
        <w:t>[Front-line A6] “</w:t>
      </w:r>
      <w:proofErr w:type="gramStart"/>
      <w:r w:rsidRPr="004079BE">
        <w:rPr>
          <w:rFonts w:cs="Arial"/>
          <w:i/>
          <w:sz w:val="22"/>
          <w:szCs w:val="22"/>
        </w:rPr>
        <w:t>if</w:t>
      </w:r>
      <w:proofErr w:type="gramEnd"/>
      <w:r w:rsidRPr="004079BE">
        <w:rPr>
          <w:rFonts w:cs="Arial"/>
          <w:i/>
          <w:sz w:val="22"/>
          <w:szCs w:val="22"/>
        </w:rPr>
        <w:t xml:space="preserve"> not clinical professionals then who? Would you rather hear it from a clinician or someone who has developed the device? I would, for one, hear it from a clinician.”</w:t>
      </w:r>
    </w:p>
    <w:p w14:paraId="5A8A9CFA" w14:textId="77777777" w:rsidR="00CE7653" w:rsidRPr="004079BE" w:rsidRDefault="00CE7653" w:rsidP="00CE7653">
      <w:pPr>
        <w:pStyle w:val="Heading4"/>
      </w:pPr>
      <w:r w:rsidRPr="004079BE">
        <w:lastRenderedPageBreak/>
        <w:t>Interpersonal contact</w:t>
      </w:r>
    </w:p>
    <w:p w14:paraId="12B4FC70" w14:textId="77777777" w:rsidR="00CE7653" w:rsidRPr="004079BE" w:rsidRDefault="00CE7653" w:rsidP="00CE7653">
      <w:pPr>
        <w:spacing w:line="360" w:lineRule="auto"/>
        <w:ind w:firstLine="720"/>
        <w:rPr>
          <w:rFonts w:cs="Arial"/>
          <w:sz w:val="22"/>
          <w:szCs w:val="22"/>
        </w:rPr>
      </w:pPr>
      <w:r w:rsidRPr="004079BE">
        <w:rPr>
          <w:rFonts w:cs="Arial"/>
          <w:sz w:val="22"/>
          <w:szCs w:val="22"/>
        </w:rPr>
        <w:t xml:space="preserve">Almost all felt the face-to-face element of peer influence rendered it more impactful than other communication modes: </w:t>
      </w:r>
    </w:p>
    <w:p w14:paraId="44451174" w14:textId="77777777" w:rsidR="00CE7653" w:rsidRPr="004079BE" w:rsidRDefault="00CE7653" w:rsidP="00CE7653">
      <w:pPr>
        <w:spacing w:line="360" w:lineRule="auto"/>
        <w:rPr>
          <w:rFonts w:cs="Arial"/>
          <w:sz w:val="22"/>
          <w:szCs w:val="22"/>
        </w:rPr>
      </w:pPr>
    </w:p>
    <w:p w14:paraId="28BB74E5" w14:textId="77777777" w:rsidR="00CE7653" w:rsidRPr="004079BE" w:rsidRDefault="00CE7653" w:rsidP="00CE7653">
      <w:pPr>
        <w:spacing w:line="360" w:lineRule="auto"/>
        <w:ind w:left="720"/>
        <w:rPr>
          <w:rFonts w:cs="Arial"/>
          <w:i/>
          <w:sz w:val="22"/>
          <w:szCs w:val="22"/>
        </w:rPr>
      </w:pPr>
      <w:r w:rsidRPr="004079BE">
        <w:rPr>
          <w:rFonts w:cs="Arial"/>
          <w:i/>
          <w:sz w:val="22"/>
          <w:szCs w:val="22"/>
        </w:rPr>
        <w:t>[Strategic leader B9] “</w:t>
      </w:r>
      <w:proofErr w:type="gramStart"/>
      <w:r w:rsidRPr="004079BE">
        <w:rPr>
          <w:rFonts w:cs="Arial"/>
          <w:i/>
          <w:sz w:val="22"/>
          <w:szCs w:val="22"/>
        </w:rPr>
        <w:t>if</w:t>
      </w:r>
      <w:proofErr w:type="gramEnd"/>
      <w:r w:rsidRPr="004079BE">
        <w:rPr>
          <w:rFonts w:cs="Arial"/>
          <w:i/>
          <w:sz w:val="22"/>
          <w:szCs w:val="22"/>
        </w:rPr>
        <w:t xml:space="preserve"> you are looking to change practice there is nothing like face-to-face. (…) for me, face-to-face communication remains the most powerful.”</w:t>
      </w:r>
    </w:p>
    <w:p w14:paraId="3A80424B" w14:textId="77777777" w:rsidR="00CE7653" w:rsidRPr="004079BE" w:rsidRDefault="00CE7653" w:rsidP="00CE7653">
      <w:pPr>
        <w:spacing w:line="360" w:lineRule="auto"/>
        <w:rPr>
          <w:rFonts w:cs="Arial"/>
          <w:sz w:val="22"/>
          <w:szCs w:val="22"/>
        </w:rPr>
      </w:pPr>
    </w:p>
    <w:p w14:paraId="657C0D90" w14:textId="77777777" w:rsidR="00CE7653" w:rsidRPr="004079BE" w:rsidRDefault="00CE7653" w:rsidP="00CE7653">
      <w:pPr>
        <w:spacing w:line="360" w:lineRule="auto"/>
        <w:rPr>
          <w:rFonts w:cs="Arial"/>
          <w:sz w:val="22"/>
          <w:szCs w:val="22"/>
        </w:rPr>
      </w:pPr>
      <w:r w:rsidRPr="004079BE">
        <w:rPr>
          <w:rFonts w:cs="Arial"/>
          <w:sz w:val="22"/>
          <w:szCs w:val="22"/>
        </w:rPr>
        <w:t>Two participants noted interpersonal interactions also offer an efficient means of information exchange in a time-pressured environment.</w:t>
      </w:r>
    </w:p>
    <w:p w14:paraId="632130BE" w14:textId="77777777" w:rsidR="00CE7653" w:rsidRPr="004079BE" w:rsidRDefault="00CE7653" w:rsidP="00CE7653">
      <w:pPr>
        <w:pStyle w:val="Heading3"/>
      </w:pPr>
      <w:r w:rsidRPr="004079BE">
        <w:t>Channels of influence</w:t>
      </w:r>
    </w:p>
    <w:p w14:paraId="0B57C44A" w14:textId="77777777" w:rsidR="00CE7653" w:rsidRPr="004079BE" w:rsidRDefault="00CE7653" w:rsidP="00CE7653">
      <w:pPr>
        <w:pStyle w:val="Heading4"/>
      </w:pPr>
      <w:r w:rsidRPr="004079BE">
        <w:t>Spread through social networks</w:t>
      </w:r>
    </w:p>
    <w:p w14:paraId="41120780" w14:textId="77777777" w:rsidR="00CE7653" w:rsidRPr="004079BE" w:rsidRDefault="00CE7653" w:rsidP="00CE7653">
      <w:pPr>
        <w:spacing w:line="360" w:lineRule="auto"/>
        <w:rPr>
          <w:rFonts w:cs="Arial"/>
          <w:sz w:val="22"/>
          <w:szCs w:val="22"/>
        </w:rPr>
      </w:pPr>
      <w:r w:rsidRPr="004079BE">
        <w:rPr>
          <w:rFonts w:cs="Arial"/>
          <w:sz w:val="22"/>
          <w:szCs w:val="22"/>
        </w:rPr>
        <w:tab/>
        <w:t>Many participants expressed a sense of peer influence spreading powerfully through speciality-specific social networks, with endorsements communicated word-of-mouth at meetings and among colleagues:</w:t>
      </w:r>
    </w:p>
    <w:p w14:paraId="6BB69150" w14:textId="77777777" w:rsidR="00CE7653" w:rsidRPr="004079BE" w:rsidRDefault="00CE7653" w:rsidP="00CE7653">
      <w:pPr>
        <w:spacing w:line="360" w:lineRule="auto"/>
        <w:rPr>
          <w:rFonts w:cs="Arial"/>
          <w:sz w:val="22"/>
          <w:szCs w:val="22"/>
        </w:rPr>
      </w:pPr>
    </w:p>
    <w:p w14:paraId="55F1A5C5" w14:textId="77777777" w:rsidR="00CE7653" w:rsidRPr="004079BE" w:rsidRDefault="00CE7653" w:rsidP="00CE7653">
      <w:pPr>
        <w:spacing w:line="360" w:lineRule="auto"/>
        <w:ind w:left="720"/>
        <w:rPr>
          <w:rFonts w:cs="Arial"/>
          <w:i/>
          <w:sz w:val="22"/>
          <w:szCs w:val="22"/>
        </w:rPr>
      </w:pPr>
      <w:r w:rsidRPr="004079BE">
        <w:rPr>
          <w:rFonts w:cs="Arial"/>
          <w:i/>
          <w:sz w:val="22"/>
          <w:szCs w:val="22"/>
        </w:rPr>
        <w:t>[Front-line A3] “[The laryngeal mask airway] was endorsed within a very few years from China to New Zealand, by every anaesthetic community in every country.”</w:t>
      </w:r>
    </w:p>
    <w:p w14:paraId="32714C36" w14:textId="77777777" w:rsidR="00CE7653" w:rsidRPr="004079BE" w:rsidRDefault="00CE7653" w:rsidP="00CE7653">
      <w:pPr>
        <w:pStyle w:val="Heading4"/>
      </w:pPr>
      <w:r w:rsidRPr="004079BE">
        <w:t>Regular and routine contact</w:t>
      </w:r>
    </w:p>
    <w:p w14:paraId="3F857EB2" w14:textId="77777777" w:rsidR="00CE7653" w:rsidRPr="004079BE" w:rsidRDefault="00CE7653" w:rsidP="00CE7653">
      <w:pPr>
        <w:spacing w:line="360" w:lineRule="auto"/>
        <w:ind w:firstLine="720"/>
        <w:rPr>
          <w:rFonts w:cs="Arial"/>
          <w:sz w:val="22"/>
          <w:szCs w:val="22"/>
        </w:rPr>
      </w:pPr>
      <w:r w:rsidRPr="004079BE">
        <w:rPr>
          <w:rFonts w:cs="Arial"/>
          <w:sz w:val="22"/>
          <w:szCs w:val="22"/>
        </w:rPr>
        <w:t xml:space="preserve">Routine encounters, in the course of day-to-day work and professional development activities, were identified as another pervasive and powerful source of peer influence: </w:t>
      </w:r>
    </w:p>
    <w:p w14:paraId="7F5A4CA6" w14:textId="77777777" w:rsidR="00CE7653" w:rsidRPr="004079BE" w:rsidRDefault="00CE7653" w:rsidP="00CE7653">
      <w:pPr>
        <w:spacing w:line="360" w:lineRule="auto"/>
        <w:ind w:firstLine="720"/>
        <w:rPr>
          <w:rFonts w:cs="Arial"/>
          <w:sz w:val="22"/>
          <w:szCs w:val="22"/>
        </w:rPr>
      </w:pPr>
    </w:p>
    <w:p w14:paraId="463B8247" w14:textId="77777777" w:rsidR="00CE7653" w:rsidRPr="004079BE" w:rsidRDefault="00CE7653" w:rsidP="00CE7653">
      <w:pPr>
        <w:spacing w:line="360" w:lineRule="auto"/>
        <w:ind w:left="720"/>
        <w:rPr>
          <w:rFonts w:cs="Arial"/>
          <w:i/>
          <w:sz w:val="22"/>
          <w:szCs w:val="22"/>
        </w:rPr>
      </w:pPr>
      <w:r w:rsidRPr="004079BE">
        <w:rPr>
          <w:rFonts w:cs="Arial"/>
          <w:i/>
          <w:sz w:val="22"/>
          <w:szCs w:val="22"/>
        </w:rPr>
        <w:t>[Front-line A2] “My practice has been led by a consultant-led GP education evening, where the ENT consultant (…) presented the data and said, “This is the product I recommend”.”</w:t>
      </w:r>
    </w:p>
    <w:p w14:paraId="7401AEF0" w14:textId="77777777" w:rsidR="00CE7653" w:rsidRPr="004079BE" w:rsidRDefault="00CE7653" w:rsidP="00CE7653">
      <w:pPr>
        <w:pStyle w:val="Heading4"/>
      </w:pPr>
      <w:r w:rsidRPr="004079BE">
        <w:t>A role for institutions</w:t>
      </w:r>
    </w:p>
    <w:p w14:paraId="7FA12286" w14:textId="77777777" w:rsidR="00CE7653" w:rsidRPr="004079BE" w:rsidRDefault="00CE7653" w:rsidP="00CE7653">
      <w:pPr>
        <w:spacing w:line="360" w:lineRule="auto"/>
        <w:rPr>
          <w:rFonts w:cs="Arial"/>
          <w:sz w:val="22"/>
          <w:szCs w:val="22"/>
        </w:rPr>
      </w:pPr>
      <w:r w:rsidRPr="004079BE">
        <w:rPr>
          <w:rFonts w:cs="Arial"/>
          <w:sz w:val="22"/>
          <w:szCs w:val="22"/>
        </w:rPr>
        <w:tab/>
        <w:t>Most strategic leader participants demonstrated faith in institutions’ role in facilitating peer endorsement of innovations:</w:t>
      </w:r>
    </w:p>
    <w:p w14:paraId="63B659E6" w14:textId="77777777" w:rsidR="00CE7653" w:rsidRPr="004079BE" w:rsidRDefault="00CE7653" w:rsidP="00CE7653">
      <w:pPr>
        <w:spacing w:line="360" w:lineRule="auto"/>
        <w:rPr>
          <w:rFonts w:cs="Arial"/>
          <w:sz w:val="22"/>
          <w:szCs w:val="22"/>
        </w:rPr>
      </w:pPr>
    </w:p>
    <w:p w14:paraId="65A3CA0F" w14:textId="77777777" w:rsidR="00CE7653" w:rsidRPr="004079BE" w:rsidRDefault="00CE7653" w:rsidP="00CE7653">
      <w:pPr>
        <w:spacing w:line="360" w:lineRule="auto"/>
        <w:ind w:left="720"/>
        <w:rPr>
          <w:rFonts w:cs="Arial"/>
          <w:i/>
          <w:sz w:val="22"/>
          <w:szCs w:val="22"/>
        </w:rPr>
      </w:pPr>
      <w:r w:rsidRPr="004079BE">
        <w:rPr>
          <w:rFonts w:cs="Arial"/>
          <w:i/>
          <w:sz w:val="22"/>
          <w:szCs w:val="22"/>
        </w:rPr>
        <w:t>[Strategic leader B3] “I suspect the only other route is through the innovation portals of AHSNs. That’s the other organisation that should be coordinating local level endorsement, and clinicians should be doing so through their AHSN.”</w:t>
      </w:r>
    </w:p>
    <w:p w14:paraId="578B84CE" w14:textId="77777777" w:rsidR="00CE7653" w:rsidRPr="004079BE" w:rsidRDefault="00CE7653" w:rsidP="00CE7653">
      <w:pPr>
        <w:spacing w:line="360" w:lineRule="auto"/>
        <w:rPr>
          <w:rFonts w:cs="Arial"/>
          <w:sz w:val="22"/>
          <w:szCs w:val="22"/>
        </w:rPr>
      </w:pPr>
    </w:p>
    <w:p w14:paraId="1E72A722" w14:textId="78D7BE55" w:rsidR="00CE7653" w:rsidRPr="004079BE" w:rsidRDefault="00CE7653" w:rsidP="00CE7653">
      <w:pPr>
        <w:spacing w:line="360" w:lineRule="auto"/>
        <w:rPr>
          <w:rFonts w:cs="Arial"/>
          <w:sz w:val="22"/>
          <w:szCs w:val="22"/>
        </w:rPr>
      </w:pPr>
      <w:r w:rsidRPr="004079BE">
        <w:rPr>
          <w:rFonts w:cs="Arial"/>
          <w:sz w:val="22"/>
          <w:szCs w:val="22"/>
        </w:rPr>
        <w:t>In</w:t>
      </w:r>
      <w:r w:rsidR="007A447A" w:rsidRPr="004079BE">
        <w:rPr>
          <w:rFonts w:cs="Arial"/>
          <w:sz w:val="22"/>
          <w:szCs w:val="22"/>
        </w:rPr>
        <w:t xml:space="preserve"> sharp contrast, only one front-</w:t>
      </w:r>
      <w:r w:rsidRPr="004079BE">
        <w:rPr>
          <w:rFonts w:cs="Arial"/>
          <w:sz w:val="22"/>
          <w:szCs w:val="22"/>
        </w:rPr>
        <w:t>line doctor mentioned an institution: a noteworthy discrepancy between the groups.</w:t>
      </w:r>
    </w:p>
    <w:p w14:paraId="2F828417" w14:textId="77777777" w:rsidR="00CE7653" w:rsidRPr="004079BE" w:rsidRDefault="00CE7653" w:rsidP="00FB19B6">
      <w:pPr>
        <w:pStyle w:val="Heading2"/>
      </w:pPr>
      <w:r w:rsidRPr="004079BE">
        <w:lastRenderedPageBreak/>
        <w:t>Trust</w:t>
      </w:r>
    </w:p>
    <w:p w14:paraId="3D123DCC" w14:textId="77777777" w:rsidR="00CE7653" w:rsidRPr="004079BE" w:rsidRDefault="00CE7653" w:rsidP="00CE7653">
      <w:pPr>
        <w:spacing w:line="360" w:lineRule="auto"/>
        <w:rPr>
          <w:rFonts w:cs="Arial"/>
          <w:sz w:val="22"/>
          <w:szCs w:val="22"/>
        </w:rPr>
      </w:pPr>
      <w:r w:rsidRPr="004079BE">
        <w:rPr>
          <w:rFonts w:cs="Arial"/>
          <w:sz w:val="22"/>
          <w:szCs w:val="22"/>
        </w:rPr>
        <w:tab/>
        <w:t>Trust was central to all participants’ accounts of peer influence. Peers were deemed trustworthy on condition of credibility and deservingness of respect, a supporting evidence-base, and no COI.</w:t>
      </w:r>
    </w:p>
    <w:p w14:paraId="7FD993F9" w14:textId="77777777" w:rsidR="00CE7653" w:rsidRPr="004079BE" w:rsidRDefault="00CE7653" w:rsidP="00CE7653">
      <w:pPr>
        <w:pStyle w:val="Heading3"/>
      </w:pPr>
      <w:r w:rsidRPr="004079BE">
        <w:t>Credibility and respect</w:t>
      </w:r>
    </w:p>
    <w:p w14:paraId="590EA1A1" w14:textId="77777777" w:rsidR="00CE7653" w:rsidRPr="004079BE" w:rsidRDefault="00CE7653" w:rsidP="00CE7653">
      <w:pPr>
        <w:spacing w:line="360" w:lineRule="auto"/>
        <w:rPr>
          <w:rFonts w:cs="Arial"/>
          <w:sz w:val="22"/>
          <w:szCs w:val="22"/>
        </w:rPr>
      </w:pPr>
      <w:r w:rsidRPr="004079BE">
        <w:rPr>
          <w:rFonts w:cs="Arial"/>
          <w:sz w:val="22"/>
          <w:szCs w:val="22"/>
        </w:rPr>
        <w:tab/>
        <w:t>Most participants implied peers are a more trustworthy source of information than non-clinicians due to their clinical credentials:</w:t>
      </w:r>
    </w:p>
    <w:p w14:paraId="215B862A" w14:textId="77777777" w:rsidR="00CE7653" w:rsidRPr="004079BE" w:rsidRDefault="00CE7653" w:rsidP="00CE7653">
      <w:pPr>
        <w:spacing w:line="360" w:lineRule="auto"/>
        <w:rPr>
          <w:rFonts w:cs="Arial"/>
          <w:sz w:val="22"/>
          <w:szCs w:val="22"/>
        </w:rPr>
      </w:pPr>
    </w:p>
    <w:p w14:paraId="4F36C995" w14:textId="77777777" w:rsidR="00CE7653" w:rsidRPr="004079BE" w:rsidRDefault="00CE7653" w:rsidP="00CE7653">
      <w:pPr>
        <w:spacing w:line="360" w:lineRule="auto"/>
        <w:ind w:left="720"/>
        <w:rPr>
          <w:rFonts w:cs="Arial"/>
          <w:i/>
          <w:sz w:val="22"/>
          <w:szCs w:val="22"/>
        </w:rPr>
      </w:pPr>
      <w:r w:rsidRPr="004079BE">
        <w:rPr>
          <w:rFonts w:cs="Arial"/>
          <w:i/>
          <w:sz w:val="22"/>
          <w:szCs w:val="22"/>
        </w:rPr>
        <w:t>[Front-line A2] “</w:t>
      </w:r>
      <w:proofErr w:type="gramStart"/>
      <w:r w:rsidRPr="004079BE">
        <w:rPr>
          <w:rFonts w:cs="Arial"/>
          <w:i/>
          <w:sz w:val="22"/>
          <w:szCs w:val="22"/>
        </w:rPr>
        <w:t>as</w:t>
      </w:r>
      <w:proofErr w:type="gramEnd"/>
      <w:r w:rsidRPr="004079BE">
        <w:rPr>
          <w:rFonts w:cs="Arial"/>
          <w:i/>
          <w:sz w:val="22"/>
          <w:szCs w:val="22"/>
        </w:rPr>
        <w:t xml:space="preserve"> a GP, most of the clinical updates I attend are led by clinicians (...) I perceive that to be more trustworthy than a non-clinical person doing it.”</w:t>
      </w:r>
    </w:p>
    <w:p w14:paraId="03E0282F" w14:textId="77777777" w:rsidR="00CE7653" w:rsidRPr="004079BE" w:rsidRDefault="00CE7653" w:rsidP="00CE7653">
      <w:pPr>
        <w:spacing w:line="360" w:lineRule="auto"/>
        <w:rPr>
          <w:rFonts w:cs="Arial"/>
          <w:sz w:val="22"/>
          <w:szCs w:val="22"/>
        </w:rPr>
      </w:pPr>
    </w:p>
    <w:p w14:paraId="49723863" w14:textId="77777777" w:rsidR="00CE7653" w:rsidRPr="004079BE" w:rsidRDefault="00CE7653" w:rsidP="00CE7653">
      <w:pPr>
        <w:spacing w:line="360" w:lineRule="auto"/>
        <w:rPr>
          <w:rFonts w:cs="Arial"/>
          <w:sz w:val="22"/>
          <w:szCs w:val="22"/>
        </w:rPr>
      </w:pPr>
      <w:r w:rsidRPr="004079BE">
        <w:rPr>
          <w:rFonts w:cs="Arial"/>
          <w:sz w:val="22"/>
          <w:szCs w:val="22"/>
        </w:rPr>
        <w:t>‘Local’ or ‘known’ peers were viewed as particularly credible, as were prominent figures with authority or prestige. Some described different ‘criteria’ for credibility between specialties:</w:t>
      </w:r>
    </w:p>
    <w:p w14:paraId="3DEA1956" w14:textId="77777777" w:rsidR="00CE7653" w:rsidRPr="004079BE" w:rsidRDefault="00CE7653" w:rsidP="00CE7653">
      <w:pPr>
        <w:spacing w:line="360" w:lineRule="auto"/>
        <w:rPr>
          <w:rFonts w:cs="Arial"/>
          <w:sz w:val="22"/>
          <w:szCs w:val="22"/>
        </w:rPr>
      </w:pPr>
    </w:p>
    <w:p w14:paraId="58DADD3F" w14:textId="77777777" w:rsidR="00CE7653" w:rsidRPr="004079BE" w:rsidRDefault="00CE7653" w:rsidP="00CE7653">
      <w:pPr>
        <w:spacing w:line="360" w:lineRule="auto"/>
        <w:ind w:left="720"/>
        <w:rPr>
          <w:rFonts w:cs="Arial"/>
          <w:i/>
          <w:sz w:val="22"/>
          <w:szCs w:val="22"/>
        </w:rPr>
      </w:pPr>
      <w:r w:rsidRPr="004079BE">
        <w:rPr>
          <w:rFonts w:cs="Arial"/>
          <w:i/>
          <w:sz w:val="22"/>
          <w:szCs w:val="22"/>
        </w:rPr>
        <w:t>[Strategic leader B1] “To be credible as a physician, it is often about the titles after your name and your academic weight in publication. (…) If you want to get a surgical innovation into the market, you get someone who is the guy, when you have your gallbladder [out]</w:t>
      </w:r>
      <w:r w:rsidRPr="004079BE">
        <w:rPr>
          <w:rFonts w:cs="Arial"/>
          <w:i/>
          <w:color w:val="FF0000"/>
          <w:sz w:val="22"/>
          <w:szCs w:val="22"/>
        </w:rPr>
        <w:t xml:space="preserve"> </w:t>
      </w:r>
      <w:r w:rsidRPr="004079BE">
        <w:rPr>
          <w:rFonts w:cs="Arial"/>
          <w:i/>
          <w:sz w:val="22"/>
          <w:szCs w:val="22"/>
        </w:rPr>
        <w:t>you would go and see.”</w:t>
      </w:r>
    </w:p>
    <w:p w14:paraId="5F668E08" w14:textId="77777777" w:rsidR="00CE7653" w:rsidRPr="004079BE" w:rsidRDefault="00CE7653" w:rsidP="00CE7653">
      <w:pPr>
        <w:spacing w:line="360" w:lineRule="auto"/>
        <w:rPr>
          <w:rFonts w:cs="Arial"/>
          <w:sz w:val="22"/>
          <w:szCs w:val="22"/>
        </w:rPr>
      </w:pPr>
    </w:p>
    <w:p w14:paraId="7C63A211" w14:textId="77777777" w:rsidR="00CE7653" w:rsidRPr="004079BE" w:rsidRDefault="00CE7653" w:rsidP="00CE7653">
      <w:pPr>
        <w:spacing w:line="360" w:lineRule="auto"/>
        <w:rPr>
          <w:rFonts w:cs="Arial"/>
          <w:i/>
          <w:sz w:val="22"/>
          <w:szCs w:val="22"/>
        </w:rPr>
      </w:pPr>
      <w:r w:rsidRPr="004079BE">
        <w:rPr>
          <w:rFonts w:cs="Arial"/>
          <w:sz w:val="22"/>
          <w:szCs w:val="22"/>
        </w:rPr>
        <w:t xml:space="preserve">One participant recognised the likelihood of cognitive bias in favour of an innovation if it were endorsed by a well-known figure, and several others acknowledged they were more likely to trust a skilful orator. </w:t>
      </w:r>
    </w:p>
    <w:p w14:paraId="154D6C3A" w14:textId="77777777" w:rsidR="00CE7653" w:rsidRPr="004079BE" w:rsidRDefault="00CE7653" w:rsidP="00CE7653">
      <w:pPr>
        <w:pStyle w:val="Heading3"/>
      </w:pPr>
      <w:r w:rsidRPr="004079BE">
        <w:t>Evidence-base</w:t>
      </w:r>
    </w:p>
    <w:p w14:paraId="563D9EE6" w14:textId="77777777" w:rsidR="00CE7653" w:rsidRPr="004079BE" w:rsidRDefault="00CE7653" w:rsidP="00CE7653">
      <w:pPr>
        <w:spacing w:line="360" w:lineRule="auto"/>
        <w:rPr>
          <w:rFonts w:cs="Arial"/>
          <w:sz w:val="22"/>
          <w:szCs w:val="22"/>
        </w:rPr>
      </w:pPr>
      <w:r w:rsidRPr="004079BE">
        <w:rPr>
          <w:rFonts w:cs="Arial"/>
          <w:sz w:val="22"/>
          <w:szCs w:val="22"/>
        </w:rPr>
        <w:tab/>
        <w:t>All participants believed endorsement should ideally be evidence-based, but views concerning the weight of science in relation to peer influence varied. Several felt an evidence-base is an absolute necessity to trust a clinician endorsing a novel technology, and disapproved of peers endorsing without robust evidence:</w:t>
      </w:r>
    </w:p>
    <w:p w14:paraId="1505AF61" w14:textId="77777777" w:rsidR="00CE7653" w:rsidRPr="004079BE" w:rsidRDefault="00CE7653" w:rsidP="00CE7653">
      <w:pPr>
        <w:spacing w:line="360" w:lineRule="auto"/>
        <w:rPr>
          <w:rFonts w:cs="Arial"/>
          <w:sz w:val="22"/>
          <w:szCs w:val="22"/>
        </w:rPr>
      </w:pPr>
    </w:p>
    <w:p w14:paraId="1625DD34" w14:textId="77777777" w:rsidR="00CE7653" w:rsidRPr="004079BE" w:rsidRDefault="00CE7653" w:rsidP="00CE7653">
      <w:pPr>
        <w:spacing w:line="360" w:lineRule="auto"/>
        <w:ind w:left="720"/>
        <w:rPr>
          <w:rFonts w:cs="Arial"/>
          <w:i/>
          <w:sz w:val="22"/>
          <w:szCs w:val="22"/>
        </w:rPr>
      </w:pPr>
      <w:r w:rsidRPr="004079BE">
        <w:rPr>
          <w:rFonts w:cs="Arial"/>
          <w:i/>
          <w:sz w:val="22"/>
          <w:szCs w:val="22"/>
        </w:rPr>
        <w:t>[Strategic leader B8] “There is no point in a clinician standing up and saying “I think this is bloody marvellous”. It has got to stand up robust evaluation.”</w:t>
      </w:r>
    </w:p>
    <w:p w14:paraId="45A3D9E0" w14:textId="77777777" w:rsidR="00CE7653" w:rsidRPr="004079BE" w:rsidRDefault="00CE7653" w:rsidP="00CE7653">
      <w:pPr>
        <w:spacing w:line="360" w:lineRule="auto"/>
        <w:rPr>
          <w:rFonts w:cs="Arial"/>
          <w:sz w:val="22"/>
          <w:szCs w:val="22"/>
        </w:rPr>
      </w:pPr>
    </w:p>
    <w:p w14:paraId="39EA32E1" w14:textId="77777777" w:rsidR="00CE7653" w:rsidRPr="004079BE" w:rsidRDefault="00CE7653" w:rsidP="00CE7653">
      <w:pPr>
        <w:spacing w:line="360" w:lineRule="auto"/>
        <w:rPr>
          <w:rFonts w:cs="Arial"/>
          <w:sz w:val="22"/>
          <w:szCs w:val="22"/>
        </w:rPr>
      </w:pPr>
      <w:r w:rsidRPr="004079BE">
        <w:rPr>
          <w:rFonts w:cs="Arial"/>
          <w:sz w:val="22"/>
          <w:szCs w:val="22"/>
        </w:rPr>
        <w:t>Four participants highlighted how useful peer opinion can be when the evidence-base is limited, and over half the group believed peer influence, including opinion and anecdote, can be more powerful than evidence for influencing adoption:</w:t>
      </w:r>
    </w:p>
    <w:p w14:paraId="68AEA6AC" w14:textId="77777777" w:rsidR="00CE7653" w:rsidRPr="004079BE" w:rsidRDefault="00CE7653" w:rsidP="00CE7653">
      <w:pPr>
        <w:spacing w:line="360" w:lineRule="auto"/>
        <w:rPr>
          <w:rFonts w:cs="Arial"/>
          <w:sz w:val="22"/>
          <w:szCs w:val="22"/>
        </w:rPr>
      </w:pPr>
    </w:p>
    <w:p w14:paraId="0F3CF286" w14:textId="77777777" w:rsidR="00CE7653" w:rsidRPr="004079BE" w:rsidRDefault="00CE7653" w:rsidP="00CE7653">
      <w:pPr>
        <w:spacing w:line="360" w:lineRule="auto"/>
        <w:ind w:left="720"/>
        <w:rPr>
          <w:rFonts w:cs="Arial"/>
          <w:i/>
          <w:sz w:val="22"/>
          <w:szCs w:val="22"/>
        </w:rPr>
      </w:pPr>
      <w:r w:rsidRPr="004079BE" w:rsidDel="0079522C">
        <w:rPr>
          <w:rFonts w:cs="Arial"/>
          <w:i/>
          <w:sz w:val="22"/>
          <w:szCs w:val="22"/>
        </w:rPr>
        <w:lastRenderedPageBreak/>
        <w:t xml:space="preserve"> </w:t>
      </w:r>
      <w:r w:rsidRPr="004079BE">
        <w:rPr>
          <w:rFonts w:cs="Arial"/>
          <w:i/>
          <w:sz w:val="22"/>
          <w:szCs w:val="22"/>
        </w:rPr>
        <w:t>[Strategic leader B1] “</w:t>
      </w:r>
      <w:proofErr w:type="gramStart"/>
      <w:r w:rsidRPr="004079BE">
        <w:rPr>
          <w:rFonts w:cs="Arial"/>
          <w:i/>
          <w:sz w:val="22"/>
          <w:szCs w:val="22"/>
        </w:rPr>
        <w:t>the</w:t>
      </w:r>
      <w:proofErr w:type="gramEnd"/>
      <w:r w:rsidRPr="004079BE">
        <w:rPr>
          <w:rFonts w:cs="Arial"/>
          <w:i/>
          <w:sz w:val="22"/>
          <w:szCs w:val="22"/>
        </w:rPr>
        <w:t xml:space="preserve"> profession is far more influenced by anecdote and our friends talking enthusiastically about a new piece of kit than a large multi-centred trial.”</w:t>
      </w:r>
    </w:p>
    <w:p w14:paraId="3030B095" w14:textId="77777777" w:rsidR="00CE7653" w:rsidRPr="004079BE" w:rsidRDefault="00CE7653" w:rsidP="00CE7653">
      <w:pPr>
        <w:pStyle w:val="Heading3"/>
      </w:pPr>
      <w:r w:rsidRPr="004079BE">
        <w:t>Conflict of interest</w:t>
      </w:r>
    </w:p>
    <w:p w14:paraId="56F31CEB" w14:textId="77777777" w:rsidR="00CE7653" w:rsidRPr="004079BE" w:rsidRDefault="00CE7653" w:rsidP="00CE7653">
      <w:pPr>
        <w:spacing w:line="360" w:lineRule="auto"/>
        <w:rPr>
          <w:rFonts w:cs="Arial"/>
          <w:sz w:val="22"/>
          <w:szCs w:val="22"/>
        </w:rPr>
      </w:pPr>
      <w:r w:rsidRPr="004079BE">
        <w:rPr>
          <w:rFonts w:cs="Arial"/>
          <w:sz w:val="22"/>
          <w:szCs w:val="22"/>
        </w:rPr>
        <w:tab/>
        <w:t xml:space="preserve">All but one participant raised the issue of </w:t>
      </w:r>
      <w:proofErr w:type="gramStart"/>
      <w:r w:rsidRPr="004079BE">
        <w:rPr>
          <w:rFonts w:cs="Arial"/>
          <w:sz w:val="22"/>
          <w:szCs w:val="22"/>
        </w:rPr>
        <w:t>COI,</w:t>
      </w:r>
      <w:proofErr w:type="gramEnd"/>
      <w:r w:rsidRPr="004079BE">
        <w:rPr>
          <w:rFonts w:cs="Arial"/>
          <w:sz w:val="22"/>
          <w:szCs w:val="22"/>
        </w:rPr>
        <w:t xml:space="preserve"> most implying their trust in a peer would be damaged if COI were present or transparency lacking. In addition, most expressed mistrust of industry and disapproval of company-employed clinicians:</w:t>
      </w:r>
    </w:p>
    <w:p w14:paraId="47A94693" w14:textId="77777777" w:rsidR="00CE7653" w:rsidRPr="004079BE" w:rsidRDefault="00CE7653" w:rsidP="00CE7653">
      <w:pPr>
        <w:spacing w:line="360" w:lineRule="auto"/>
        <w:rPr>
          <w:rFonts w:cs="Arial"/>
          <w:sz w:val="22"/>
          <w:szCs w:val="22"/>
        </w:rPr>
      </w:pPr>
    </w:p>
    <w:p w14:paraId="44056220" w14:textId="77777777" w:rsidR="00CE7653" w:rsidRPr="004079BE" w:rsidRDefault="00CE7653" w:rsidP="00CE7653">
      <w:pPr>
        <w:spacing w:line="360" w:lineRule="auto"/>
        <w:ind w:left="720"/>
        <w:rPr>
          <w:rFonts w:cs="Arial"/>
          <w:i/>
          <w:sz w:val="22"/>
          <w:szCs w:val="22"/>
        </w:rPr>
      </w:pPr>
      <w:r w:rsidRPr="004079BE">
        <w:rPr>
          <w:rFonts w:cs="Arial"/>
          <w:i/>
          <w:sz w:val="22"/>
          <w:szCs w:val="22"/>
        </w:rPr>
        <w:t>[Front-line A8] “</w:t>
      </w:r>
      <w:proofErr w:type="gramStart"/>
      <w:r w:rsidRPr="004079BE">
        <w:rPr>
          <w:rFonts w:cs="Arial"/>
          <w:i/>
          <w:sz w:val="22"/>
          <w:szCs w:val="22"/>
        </w:rPr>
        <w:t>improving</w:t>
      </w:r>
      <w:proofErr w:type="gramEnd"/>
      <w:r w:rsidRPr="004079BE">
        <w:rPr>
          <w:rFonts w:cs="Arial"/>
          <w:i/>
          <w:sz w:val="22"/>
          <w:szCs w:val="22"/>
        </w:rPr>
        <w:t xml:space="preserve"> the health of the nation (…) is not [industry’s] primary interest. Their primary interest is selling a product.”</w:t>
      </w:r>
    </w:p>
    <w:p w14:paraId="1D922E9C" w14:textId="77777777" w:rsidR="00CE7653" w:rsidRPr="004079BE" w:rsidRDefault="00CE7653" w:rsidP="00CE7653">
      <w:pPr>
        <w:spacing w:line="360" w:lineRule="auto"/>
        <w:rPr>
          <w:rFonts w:cs="Arial"/>
          <w:sz w:val="22"/>
          <w:szCs w:val="22"/>
        </w:rPr>
      </w:pPr>
    </w:p>
    <w:p w14:paraId="0C12C701" w14:textId="77777777" w:rsidR="00CE7653" w:rsidRPr="004079BE" w:rsidRDefault="00CE7653" w:rsidP="00CE7653">
      <w:pPr>
        <w:spacing w:line="360" w:lineRule="auto"/>
        <w:rPr>
          <w:rFonts w:cs="Arial"/>
          <w:sz w:val="22"/>
          <w:szCs w:val="22"/>
        </w:rPr>
      </w:pPr>
      <w:r w:rsidRPr="004079BE">
        <w:rPr>
          <w:rFonts w:cs="Arial"/>
          <w:sz w:val="22"/>
          <w:szCs w:val="22"/>
        </w:rPr>
        <w:t>In contrast, four participants felt COI is not necessarily a reason to mistrust a clinician endorsing a technology, especially where they have been involved in its evaluation:</w:t>
      </w:r>
    </w:p>
    <w:p w14:paraId="47692AE8" w14:textId="77777777" w:rsidR="00CE7653" w:rsidRPr="004079BE" w:rsidRDefault="00CE7653" w:rsidP="00CE7653">
      <w:pPr>
        <w:spacing w:line="360" w:lineRule="auto"/>
        <w:rPr>
          <w:rFonts w:cs="Arial"/>
          <w:sz w:val="22"/>
          <w:szCs w:val="22"/>
        </w:rPr>
      </w:pPr>
    </w:p>
    <w:p w14:paraId="289FF34E" w14:textId="77777777" w:rsidR="00CE7653" w:rsidRPr="004079BE" w:rsidRDefault="00CE7653" w:rsidP="00CE7653">
      <w:pPr>
        <w:spacing w:line="360" w:lineRule="auto"/>
        <w:ind w:left="720"/>
        <w:rPr>
          <w:rFonts w:cs="Arial"/>
          <w:i/>
          <w:sz w:val="22"/>
          <w:szCs w:val="22"/>
        </w:rPr>
      </w:pPr>
      <w:r w:rsidRPr="004079BE">
        <w:rPr>
          <w:rFonts w:cs="Arial"/>
          <w:i/>
          <w:sz w:val="22"/>
          <w:szCs w:val="22"/>
        </w:rPr>
        <w:t>[Strategic leader B2] “I think [COI] is grossly overplayed. Then you end up with the opposite, you have people with no conflict of interest but haven’t got a clue what they’re talking about.”</w:t>
      </w:r>
    </w:p>
    <w:p w14:paraId="1B45B5D4" w14:textId="77777777" w:rsidR="00CE7653" w:rsidRPr="004079BE" w:rsidRDefault="00CE7653" w:rsidP="00CE7653">
      <w:pPr>
        <w:spacing w:line="360" w:lineRule="auto"/>
        <w:ind w:firstLine="720"/>
        <w:rPr>
          <w:rFonts w:cs="Arial"/>
          <w:sz w:val="22"/>
          <w:szCs w:val="22"/>
        </w:rPr>
      </w:pPr>
    </w:p>
    <w:p w14:paraId="5C5D4C39" w14:textId="77777777" w:rsidR="00CE7653" w:rsidRPr="004079BE" w:rsidRDefault="00CE7653" w:rsidP="00CE7653">
      <w:pPr>
        <w:spacing w:line="360" w:lineRule="auto"/>
        <w:ind w:firstLine="720"/>
        <w:rPr>
          <w:rFonts w:cs="Arial"/>
          <w:sz w:val="22"/>
          <w:szCs w:val="22"/>
        </w:rPr>
      </w:pPr>
      <w:r w:rsidRPr="004079BE">
        <w:rPr>
          <w:rFonts w:cs="Arial"/>
          <w:sz w:val="22"/>
          <w:szCs w:val="22"/>
        </w:rPr>
        <w:t>Figure one is a thematic map, displaying the themes and subthemes describe above.</w:t>
      </w:r>
    </w:p>
    <w:p w14:paraId="0242081E" w14:textId="77777777" w:rsidR="00CE7653" w:rsidRPr="004079BE" w:rsidRDefault="00CE7653" w:rsidP="00CE7653">
      <w:pPr>
        <w:spacing w:line="360" w:lineRule="auto"/>
        <w:rPr>
          <w:rFonts w:cs="Arial"/>
          <w:sz w:val="22"/>
          <w:szCs w:val="22"/>
        </w:rPr>
      </w:pPr>
      <w:r w:rsidRPr="004079BE">
        <w:rPr>
          <w:rFonts w:cs="Arial"/>
          <w:i/>
          <w:sz w:val="22"/>
          <w:szCs w:val="22"/>
        </w:rPr>
        <w:t>[Insert Fig one here]</w:t>
      </w:r>
    </w:p>
    <w:p w14:paraId="3A3E1F78" w14:textId="77777777" w:rsidR="00CE7653" w:rsidRPr="004079BE" w:rsidRDefault="00CE7653" w:rsidP="00CE7653">
      <w:pPr>
        <w:pStyle w:val="Heading1"/>
      </w:pPr>
      <w:r w:rsidRPr="004079BE">
        <w:t>Discussion</w:t>
      </w:r>
    </w:p>
    <w:p w14:paraId="7C4A1DC0" w14:textId="77777777" w:rsidR="00CE7653" w:rsidRPr="004079BE" w:rsidRDefault="00CE7653" w:rsidP="00CE7653">
      <w:pPr>
        <w:spacing w:line="360" w:lineRule="auto"/>
        <w:ind w:firstLine="720"/>
        <w:rPr>
          <w:rFonts w:cs="Arial"/>
          <w:sz w:val="22"/>
          <w:szCs w:val="22"/>
        </w:rPr>
      </w:pPr>
      <w:r w:rsidRPr="004079BE">
        <w:rPr>
          <w:rFonts w:cs="Arial"/>
          <w:sz w:val="22"/>
          <w:szCs w:val="22"/>
        </w:rPr>
        <w:t xml:space="preserve">This study found clinical peers are considered a powerful and trustworthy influence on adoption behaviour, although trust is often conditional on perceived credibility, evidence-base, and absence of COI. Peer endorsement is encountered regularly and valued as an appropriate and useful influence. Front-line and strategic leader clinicians shared strikingly similar views, diverging only on the role of institutions, with strategic leaders placing greater emphasis on institutions’ power. Inconsistencies and contradictions throughout the data highlight the complexity of individuals’ decision-making processes. </w:t>
      </w:r>
    </w:p>
    <w:p w14:paraId="426459D1" w14:textId="020D5B9D" w:rsidR="00CE7653" w:rsidRPr="004079BE" w:rsidRDefault="00CE7653" w:rsidP="00CE7653">
      <w:pPr>
        <w:spacing w:line="360" w:lineRule="auto"/>
        <w:rPr>
          <w:rFonts w:cs="Arial"/>
          <w:sz w:val="22"/>
          <w:szCs w:val="22"/>
        </w:rPr>
      </w:pPr>
      <w:r w:rsidRPr="004079BE">
        <w:rPr>
          <w:rFonts w:cs="Arial"/>
          <w:sz w:val="22"/>
          <w:szCs w:val="22"/>
        </w:rPr>
        <w:tab/>
        <w:t>All participants recognised peer endorsement has a powerful influence, spreading through social networks and face-to-face interactions, and occurring regularly during daily work and professional development. Although this acknowledgement contrasts with psychological literature describing how people typically underestimate the impact of others’ influence on their own behaviour</w:t>
      </w:r>
      <w:proofErr w:type="gramStart"/>
      <w:r w:rsidRPr="004079BE">
        <w:rPr>
          <w:rFonts w:cs="Arial"/>
          <w:sz w:val="22"/>
          <w:szCs w:val="22"/>
        </w:rPr>
        <w:t>,[</w:t>
      </w:r>
      <w:proofErr w:type="gramEnd"/>
      <w:r w:rsidRPr="004079BE">
        <w:rPr>
          <w:rFonts w:cs="Arial"/>
          <w:sz w:val="22"/>
          <w:szCs w:val="22"/>
        </w:rPr>
        <w:t>2</w:t>
      </w:r>
      <w:r w:rsidR="00CF1166" w:rsidRPr="004079BE">
        <w:rPr>
          <w:rFonts w:cs="Arial"/>
          <w:sz w:val="22"/>
          <w:szCs w:val="22"/>
        </w:rPr>
        <w:t>1</w:t>
      </w:r>
      <w:r w:rsidRPr="004079BE">
        <w:rPr>
          <w:rFonts w:cs="Arial"/>
          <w:sz w:val="22"/>
          <w:szCs w:val="22"/>
        </w:rPr>
        <w:t>] UK general practitioners have previously been shown to cite specialist recommendation as an important determinant of their prescribing choices.[2</w:t>
      </w:r>
      <w:r w:rsidR="00CF1166" w:rsidRPr="004079BE">
        <w:rPr>
          <w:rFonts w:cs="Arial"/>
          <w:sz w:val="22"/>
          <w:szCs w:val="22"/>
        </w:rPr>
        <w:t>2</w:t>
      </w:r>
      <w:r w:rsidRPr="004079BE">
        <w:rPr>
          <w:rFonts w:cs="Arial"/>
          <w:sz w:val="22"/>
          <w:szCs w:val="22"/>
        </w:rPr>
        <w:t xml:space="preserve">] The active promotion of peer-to-peer learning in UK medical practice may </w:t>
      </w:r>
      <w:r w:rsidRPr="004079BE">
        <w:rPr>
          <w:rFonts w:cs="Arial"/>
          <w:sz w:val="22"/>
          <w:szCs w:val="22"/>
        </w:rPr>
        <w:lastRenderedPageBreak/>
        <w:t xml:space="preserve">explain </w:t>
      </w:r>
      <w:r w:rsidR="008D50EA" w:rsidRPr="004079BE">
        <w:rPr>
          <w:rFonts w:cs="Arial"/>
          <w:sz w:val="22"/>
          <w:szCs w:val="22"/>
        </w:rPr>
        <w:t>why</w:t>
      </w:r>
      <w:r w:rsidRPr="004079BE">
        <w:rPr>
          <w:rFonts w:cs="Arial"/>
          <w:sz w:val="22"/>
          <w:szCs w:val="22"/>
        </w:rPr>
        <w:t xml:space="preserve"> participants</w:t>
      </w:r>
      <w:r w:rsidR="008820A0" w:rsidRPr="004079BE">
        <w:rPr>
          <w:rFonts w:cs="Arial"/>
          <w:sz w:val="22"/>
          <w:szCs w:val="22"/>
        </w:rPr>
        <w:t xml:space="preserve"> so clearly</w:t>
      </w:r>
      <w:r w:rsidRPr="004079BE">
        <w:rPr>
          <w:rFonts w:cs="Arial"/>
          <w:sz w:val="22"/>
          <w:szCs w:val="22"/>
        </w:rPr>
        <w:t xml:space="preserve"> recognised </w:t>
      </w:r>
      <w:r w:rsidR="008820A0" w:rsidRPr="004079BE">
        <w:rPr>
          <w:rFonts w:cs="Arial"/>
          <w:sz w:val="22"/>
          <w:szCs w:val="22"/>
        </w:rPr>
        <w:t xml:space="preserve">peer influence </w:t>
      </w:r>
      <w:r w:rsidR="008D50EA" w:rsidRPr="004079BE">
        <w:rPr>
          <w:rFonts w:cs="Arial"/>
          <w:sz w:val="22"/>
          <w:szCs w:val="22"/>
        </w:rPr>
        <w:t xml:space="preserve">and </w:t>
      </w:r>
      <w:r w:rsidR="008820A0" w:rsidRPr="004079BE">
        <w:rPr>
          <w:rFonts w:cs="Arial"/>
          <w:sz w:val="22"/>
          <w:szCs w:val="22"/>
        </w:rPr>
        <w:t xml:space="preserve">commonly </w:t>
      </w:r>
      <w:r w:rsidR="008D50EA" w:rsidRPr="004079BE">
        <w:rPr>
          <w:rFonts w:cs="Arial"/>
          <w:sz w:val="22"/>
          <w:szCs w:val="22"/>
        </w:rPr>
        <w:t>experience it</w:t>
      </w:r>
      <w:r w:rsidRPr="004079BE">
        <w:rPr>
          <w:rFonts w:cs="Arial"/>
          <w:sz w:val="22"/>
          <w:szCs w:val="22"/>
        </w:rPr>
        <w:t>.[2</w:t>
      </w:r>
      <w:r w:rsidR="00CF1166" w:rsidRPr="004079BE">
        <w:rPr>
          <w:rFonts w:cs="Arial"/>
          <w:sz w:val="22"/>
          <w:szCs w:val="22"/>
        </w:rPr>
        <w:t>3</w:t>
      </w:r>
      <w:r w:rsidRPr="004079BE">
        <w:rPr>
          <w:rFonts w:cs="Arial"/>
          <w:sz w:val="22"/>
          <w:szCs w:val="22"/>
        </w:rPr>
        <w:t>]</w:t>
      </w:r>
    </w:p>
    <w:p w14:paraId="1ED68590" w14:textId="225962DA" w:rsidR="00CE7653" w:rsidRPr="004079BE" w:rsidRDefault="00816C62" w:rsidP="00CE7653">
      <w:pPr>
        <w:spacing w:line="360" w:lineRule="auto"/>
        <w:ind w:firstLine="720"/>
        <w:rPr>
          <w:rFonts w:cs="Arial"/>
          <w:sz w:val="22"/>
          <w:szCs w:val="22"/>
        </w:rPr>
      </w:pPr>
      <w:r w:rsidRPr="004079BE">
        <w:rPr>
          <w:rFonts w:cs="Arial"/>
          <w:sz w:val="22"/>
          <w:szCs w:val="22"/>
        </w:rPr>
        <w:t>Interpersonal interaction</w:t>
      </w:r>
      <w:r w:rsidR="00CE7653" w:rsidRPr="004079BE">
        <w:rPr>
          <w:rFonts w:cs="Arial"/>
          <w:sz w:val="22"/>
          <w:szCs w:val="22"/>
        </w:rPr>
        <w:t xml:space="preserve"> with peers w</w:t>
      </w:r>
      <w:r w:rsidRPr="004079BE">
        <w:rPr>
          <w:rFonts w:cs="Arial"/>
          <w:sz w:val="22"/>
          <w:szCs w:val="22"/>
        </w:rPr>
        <w:t>as</w:t>
      </w:r>
      <w:r w:rsidR="00CE7653" w:rsidRPr="004079BE">
        <w:rPr>
          <w:rFonts w:cs="Arial"/>
          <w:sz w:val="22"/>
          <w:szCs w:val="22"/>
        </w:rPr>
        <w:t xml:space="preserve"> </w:t>
      </w:r>
      <w:r w:rsidR="008976B6" w:rsidRPr="004079BE">
        <w:rPr>
          <w:rFonts w:cs="Arial"/>
          <w:sz w:val="22"/>
          <w:szCs w:val="22"/>
        </w:rPr>
        <w:t>considered</w:t>
      </w:r>
      <w:r w:rsidR="00CE7653" w:rsidRPr="004079BE">
        <w:rPr>
          <w:rFonts w:cs="Arial"/>
          <w:sz w:val="22"/>
          <w:szCs w:val="22"/>
        </w:rPr>
        <w:t xml:space="preserve"> more powerful than distant, impersonal communication, aligning with classical innovation adoption models, which state interpersonal influence is the fundamental driver of adoption, especially for complex innovations</w:t>
      </w:r>
      <w:proofErr w:type="gramStart"/>
      <w:r w:rsidR="00CE7653" w:rsidRPr="004079BE">
        <w:rPr>
          <w:rFonts w:cs="Arial"/>
          <w:sz w:val="22"/>
          <w:szCs w:val="22"/>
        </w:rPr>
        <w:t>.[</w:t>
      </w:r>
      <w:proofErr w:type="gramEnd"/>
      <w:r w:rsidR="00CE7653" w:rsidRPr="004079BE">
        <w:rPr>
          <w:rFonts w:cs="Arial"/>
          <w:sz w:val="22"/>
          <w:szCs w:val="22"/>
        </w:rPr>
        <w:t>8] Additionally, participants cited overwhelming NHS time-pressures, an acknowledged barrier to innovation,[2</w:t>
      </w:r>
      <w:r w:rsidR="00CF1166" w:rsidRPr="004079BE">
        <w:rPr>
          <w:rFonts w:cs="Arial"/>
          <w:sz w:val="22"/>
          <w:szCs w:val="22"/>
        </w:rPr>
        <w:t>4</w:t>
      </w:r>
      <w:r w:rsidR="00CE7653" w:rsidRPr="004079BE">
        <w:rPr>
          <w:rFonts w:cs="Arial"/>
          <w:sz w:val="22"/>
          <w:szCs w:val="22"/>
        </w:rPr>
        <w:t>] as further explanation for the powerful impact of interpersonal contact, whereby peer-to-peer recommendations represent an efficient and trusted information source.</w:t>
      </w:r>
    </w:p>
    <w:p w14:paraId="26CEA89A" w14:textId="3907ECF4" w:rsidR="00CE7653" w:rsidRPr="004079BE" w:rsidRDefault="00CE7653" w:rsidP="00CE7653">
      <w:pPr>
        <w:spacing w:line="360" w:lineRule="auto"/>
        <w:ind w:firstLine="720"/>
        <w:rPr>
          <w:sz w:val="22"/>
          <w:szCs w:val="22"/>
        </w:rPr>
      </w:pPr>
      <w:r w:rsidRPr="004079BE">
        <w:rPr>
          <w:sz w:val="22"/>
          <w:szCs w:val="22"/>
        </w:rPr>
        <w:t xml:space="preserve">On trust, while peers were typically viewed as trustworthy individuals, this often depended on their perceived credibility, resembling previous work on </w:t>
      </w:r>
      <w:r w:rsidR="003F414B" w:rsidRPr="004079BE">
        <w:rPr>
          <w:sz w:val="22"/>
          <w:szCs w:val="22"/>
        </w:rPr>
        <w:t>OL</w:t>
      </w:r>
      <w:r w:rsidRPr="004079BE">
        <w:rPr>
          <w:sz w:val="22"/>
          <w:szCs w:val="22"/>
        </w:rPr>
        <w:t xml:space="preserve"> in the NHS, which recognised two distinct groups of influential leader: ‘peer-like’ and ‘expert’</w:t>
      </w:r>
      <w:proofErr w:type="gramStart"/>
      <w:r w:rsidRPr="004079BE">
        <w:rPr>
          <w:sz w:val="22"/>
          <w:szCs w:val="22"/>
        </w:rPr>
        <w:t>.[</w:t>
      </w:r>
      <w:proofErr w:type="gramEnd"/>
      <w:r w:rsidRPr="004079BE">
        <w:rPr>
          <w:sz w:val="22"/>
          <w:szCs w:val="22"/>
        </w:rPr>
        <w:t>2</w:t>
      </w:r>
      <w:r w:rsidR="00CF1166" w:rsidRPr="004079BE">
        <w:rPr>
          <w:sz w:val="22"/>
          <w:szCs w:val="22"/>
        </w:rPr>
        <w:t>5</w:t>
      </w:r>
      <w:r w:rsidRPr="004079BE">
        <w:rPr>
          <w:sz w:val="22"/>
          <w:szCs w:val="22"/>
        </w:rPr>
        <w:t xml:space="preserve">] Participants implied credibility </w:t>
      </w:r>
      <w:r w:rsidR="003F414B" w:rsidRPr="004079BE">
        <w:rPr>
          <w:sz w:val="22"/>
          <w:szCs w:val="22"/>
        </w:rPr>
        <w:t>‘</w:t>
      </w:r>
      <w:r w:rsidRPr="004079BE">
        <w:rPr>
          <w:sz w:val="22"/>
          <w:szCs w:val="22"/>
        </w:rPr>
        <w:t>criteria</w:t>
      </w:r>
      <w:r w:rsidR="003F414B" w:rsidRPr="004079BE">
        <w:rPr>
          <w:sz w:val="22"/>
          <w:szCs w:val="22"/>
        </w:rPr>
        <w:t>’</w:t>
      </w:r>
      <w:r w:rsidRPr="004079BE">
        <w:rPr>
          <w:sz w:val="22"/>
          <w:szCs w:val="22"/>
        </w:rPr>
        <w:t xml:space="preserve"> vary between specialties, </w:t>
      </w:r>
      <w:r w:rsidR="00756452" w:rsidRPr="004079BE">
        <w:rPr>
          <w:sz w:val="22"/>
          <w:szCs w:val="22"/>
        </w:rPr>
        <w:t>consistent</w:t>
      </w:r>
      <w:r w:rsidRPr="004079BE">
        <w:rPr>
          <w:sz w:val="22"/>
          <w:szCs w:val="22"/>
        </w:rPr>
        <w:t xml:space="preserve"> with research suggesting opinion</w:t>
      </w:r>
      <w:r w:rsidR="006D021E" w:rsidRPr="004079BE">
        <w:rPr>
          <w:sz w:val="22"/>
          <w:szCs w:val="22"/>
        </w:rPr>
        <w:t xml:space="preserve"> leadership </w:t>
      </w:r>
      <w:r w:rsidR="003F414B" w:rsidRPr="004079BE">
        <w:rPr>
          <w:sz w:val="22"/>
          <w:szCs w:val="22"/>
        </w:rPr>
        <w:t>depends</w:t>
      </w:r>
      <w:r w:rsidRPr="004079BE">
        <w:rPr>
          <w:sz w:val="22"/>
          <w:szCs w:val="22"/>
        </w:rPr>
        <w:t xml:space="preserve"> on the audience and stage of innovation</w:t>
      </w:r>
      <w:r w:rsidR="006D021E" w:rsidRPr="004079BE">
        <w:rPr>
          <w:sz w:val="22"/>
          <w:szCs w:val="22"/>
        </w:rPr>
        <w:t xml:space="preserve">: </w:t>
      </w:r>
      <w:r w:rsidR="003F414B" w:rsidRPr="004079BE">
        <w:rPr>
          <w:sz w:val="22"/>
          <w:szCs w:val="22"/>
        </w:rPr>
        <w:t xml:space="preserve">prestigious or </w:t>
      </w:r>
      <w:r w:rsidRPr="004079BE">
        <w:rPr>
          <w:sz w:val="22"/>
          <w:szCs w:val="22"/>
        </w:rPr>
        <w:t>specialised clinicians may be influential</w:t>
      </w:r>
      <w:r w:rsidR="003F414B" w:rsidRPr="004079BE">
        <w:rPr>
          <w:sz w:val="22"/>
          <w:szCs w:val="22"/>
        </w:rPr>
        <w:t xml:space="preserve"> at an early stage of invention whereas local</w:t>
      </w:r>
      <w:r w:rsidRPr="004079BE">
        <w:rPr>
          <w:sz w:val="22"/>
          <w:szCs w:val="22"/>
        </w:rPr>
        <w:t xml:space="preserve"> and trusted peers represent a powerful influence for front-line implementation.[2</w:t>
      </w:r>
      <w:r w:rsidR="00CF1166" w:rsidRPr="004079BE">
        <w:rPr>
          <w:sz w:val="22"/>
          <w:szCs w:val="22"/>
        </w:rPr>
        <w:t>5</w:t>
      </w:r>
      <w:r w:rsidRPr="004079BE">
        <w:rPr>
          <w:sz w:val="22"/>
          <w:szCs w:val="22"/>
        </w:rPr>
        <w:t>]</w:t>
      </w:r>
    </w:p>
    <w:p w14:paraId="6126D3C4" w14:textId="4C80C7BF" w:rsidR="00CE7653" w:rsidRPr="004079BE" w:rsidRDefault="0079582D" w:rsidP="00CE7653">
      <w:pPr>
        <w:spacing w:line="360" w:lineRule="auto"/>
        <w:ind w:firstLine="720"/>
        <w:rPr>
          <w:rFonts w:cs="Arial"/>
          <w:sz w:val="22"/>
          <w:szCs w:val="22"/>
        </w:rPr>
      </w:pPr>
      <w:r w:rsidRPr="004079BE">
        <w:rPr>
          <w:rFonts w:cs="Arial"/>
          <w:sz w:val="22"/>
          <w:szCs w:val="22"/>
        </w:rPr>
        <w:t>R</w:t>
      </w:r>
      <w:r w:rsidR="00CE7653" w:rsidRPr="004079BE">
        <w:rPr>
          <w:rFonts w:cs="Arial"/>
          <w:sz w:val="22"/>
          <w:szCs w:val="22"/>
        </w:rPr>
        <w:t>obust supporting evidence was anot</w:t>
      </w:r>
      <w:r w:rsidRPr="004079BE">
        <w:rPr>
          <w:rFonts w:cs="Arial"/>
          <w:sz w:val="22"/>
          <w:szCs w:val="22"/>
        </w:rPr>
        <w:t>he</w:t>
      </w:r>
      <w:r w:rsidR="00B863F3" w:rsidRPr="004079BE">
        <w:rPr>
          <w:rFonts w:cs="Arial"/>
          <w:sz w:val="22"/>
          <w:szCs w:val="22"/>
        </w:rPr>
        <w:t>r prominent proviso for trust. T</w:t>
      </w:r>
      <w:r w:rsidR="00CE7653" w:rsidRPr="004079BE">
        <w:rPr>
          <w:rFonts w:cs="Arial"/>
          <w:sz w:val="22"/>
          <w:szCs w:val="22"/>
        </w:rPr>
        <w:t>he prevailing EBM paradigm</w:t>
      </w:r>
      <w:r w:rsidR="00FB35EA" w:rsidRPr="004079BE">
        <w:rPr>
          <w:rFonts w:cs="Arial"/>
          <w:sz w:val="22"/>
          <w:szCs w:val="22"/>
        </w:rPr>
        <w:t>,</w:t>
      </w:r>
      <w:r w:rsidR="00CE7653" w:rsidRPr="004079BE">
        <w:rPr>
          <w:rFonts w:cs="Arial"/>
          <w:sz w:val="22"/>
          <w:szCs w:val="22"/>
        </w:rPr>
        <w:t xml:space="preserve"> which prioritises scientific knowledge and trains clinicians to practice accordingly</w:t>
      </w:r>
      <w:r w:rsidR="0050214B" w:rsidRPr="004079BE">
        <w:rPr>
          <w:rFonts w:cs="Arial"/>
          <w:sz w:val="22"/>
          <w:szCs w:val="22"/>
        </w:rPr>
        <w:t xml:space="preserve"> may explain this</w:t>
      </w:r>
      <w:proofErr w:type="gramStart"/>
      <w:r w:rsidR="0050214B" w:rsidRPr="004079BE">
        <w:rPr>
          <w:rFonts w:cs="Arial"/>
          <w:sz w:val="22"/>
          <w:szCs w:val="22"/>
        </w:rPr>
        <w:t>.</w:t>
      </w:r>
      <w:r w:rsidR="00CE7653" w:rsidRPr="004079BE">
        <w:rPr>
          <w:rFonts w:cs="Arial"/>
          <w:sz w:val="22"/>
          <w:szCs w:val="22"/>
        </w:rPr>
        <w:t>[</w:t>
      </w:r>
      <w:proofErr w:type="gramEnd"/>
      <w:r w:rsidR="00CE7653" w:rsidRPr="004079BE">
        <w:rPr>
          <w:rFonts w:cs="Arial"/>
          <w:sz w:val="22"/>
          <w:szCs w:val="22"/>
        </w:rPr>
        <w:t xml:space="preserve">15, 16] While clinicians have been shown to use evidence inconsistently and subjectively to construct and perpetuate beliefs about technologies,[7, 10] the findings imply consideration and interpretation of evidence is nonetheless a valued pillar of clinical decision-making. That said, many participants acknowledged interpersonal influence can outweigh research evidence, </w:t>
      </w:r>
      <w:r w:rsidR="00E00C0C" w:rsidRPr="004079BE">
        <w:rPr>
          <w:rFonts w:cs="Arial"/>
          <w:sz w:val="22"/>
          <w:szCs w:val="22"/>
        </w:rPr>
        <w:t>consistent with</w:t>
      </w:r>
      <w:r w:rsidR="00CE7653" w:rsidRPr="004079BE">
        <w:rPr>
          <w:rFonts w:cs="Arial"/>
          <w:sz w:val="22"/>
          <w:szCs w:val="22"/>
        </w:rPr>
        <w:t xml:space="preserve"> the </w:t>
      </w:r>
      <w:r w:rsidR="00830FC4" w:rsidRPr="004079BE">
        <w:rPr>
          <w:rFonts w:cs="Arial"/>
          <w:sz w:val="22"/>
          <w:szCs w:val="22"/>
        </w:rPr>
        <w:t>evidence-practice gap</w:t>
      </w:r>
      <w:r w:rsidR="00B863F3" w:rsidRPr="004079BE">
        <w:rPr>
          <w:rFonts w:cs="Arial"/>
          <w:sz w:val="22"/>
          <w:szCs w:val="22"/>
        </w:rPr>
        <w:t xml:space="preserve"> seen in the NHS</w:t>
      </w:r>
      <w:proofErr w:type="gramStart"/>
      <w:r w:rsidR="00CE7653" w:rsidRPr="004079BE">
        <w:rPr>
          <w:rFonts w:cs="Arial"/>
          <w:sz w:val="22"/>
          <w:szCs w:val="22"/>
        </w:rPr>
        <w:t>.[</w:t>
      </w:r>
      <w:proofErr w:type="gramEnd"/>
      <w:r w:rsidR="00CE7653" w:rsidRPr="004079BE">
        <w:rPr>
          <w:rFonts w:cs="Arial"/>
          <w:sz w:val="22"/>
          <w:szCs w:val="22"/>
        </w:rPr>
        <w:t xml:space="preserve">7, 17] </w:t>
      </w:r>
    </w:p>
    <w:p w14:paraId="2996EC68" w14:textId="6A181F64" w:rsidR="00CE7653" w:rsidRPr="004079BE" w:rsidRDefault="00CE7653" w:rsidP="00CE7653">
      <w:pPr>
        <w:spacing w:line="360" w:lineRule="auto"/>
        <w:ind w:firstLine="720"/>
        <w:rPr>
          <w:rFonts w:cs="Arial"/>
          <w:sz w:val="22"/>
          <w:szCs w:val="22"/>
        </w:rPr>
      </w:pPr>
      <w:r w:rsidRPr="004079BE">
        <w:rPr>
          <w:rFonts w:cs="Arial"/>
          <w:sz w:val="22"/>
          <w:szCs w:val="22"/>
        </w:rPr>
        <w:t>COI was another major barrier to trust. Mistrust of industry and scepticism towards peers with COI was notable, aligning with the backdrop of widespread cynicism towards industry</w:t>
      </w:r>
      <w:proofErr w:type="gramStart"/>
      <w:r w:rsidRPr="004079BE">
        <w:rPr>
          <w:rFonts w:cs="Arial"/>
          <w:sz w:val="22"/>
          <w:szCs w:val="22"/>
        </w:rPr>
        <w:t>,[</w:t>
      </w:r>
      <w:proofErr w:type="gramEnd"/>
      <w:r w:rsidRPr="004079BE">
        <w:rPr>
          <w:rFonts w:cs="Arial"/>
          <w:sz w:val="22"/>
          <w:szCs w:val="22"/>
        </w:rPr>
        <w:t xml:space="preserve">13] and extensive marketing targeted at NHS </w:t>
      </w:r>
      <w:r w:rsidR="00086E4A" w:rsidRPr="004079BE">
        <w:rPr>
          <w:rFonts w:cs="Arial"/>
          <w:sz w:val="22"/>
          <w:szCs w:val="22"/>
        </w:rPr>
        <w:t>clinicians</w:t>
      </w:r>
      <w:r w:rsidRPr="004079BE">
        <w:rPr>
          <w:rFonts w:cs="Arial"/>
          <w:sz w:val="22"/>
          <w:szCs w:val="22"/>
        </w:rPr>
        <w:t xml:space="preserve">.[10] A small minority felt COI is expected and acceptable however, arguing it is uncommon to find a credible OL </w:t>
      </w:r>
      <w:r w:rsidRPr="004079BE">
        <w:rPr>
          <w:rFonts w:cs="Arial"/>
          <w:i/>
          <w:sz w:val="22"/>
          <w:szCs w:val="22"/>
        </w:rPr>
        <w:t xml:space="preserve">without </w:t>
      </w:r>
      <w:r w:rsidRPr="004079BE">
        <w:rPr>
          <w:rFonts w:cs="Arial"/>
          <w:sz w:val="22"/>
          <w:szCs w:val="22"/>
        </w:rPr>
        <w:t xml:space="preserve">COI, indicating a nuanced picture exists in which </w:t>
      </w:r>
      <w:r w:rsidR="00B00E68" w:rsidRPr="004079BE">
        <w:rPr>
          <w:rFonts w:cs="Arial"/>
          <w:sz w:val="22"/>
          <w:szCs w:val="22"/>
        </w:rPr>
        <w:t>p</w:t>
      </w:r>
      <w:r w:rsidRPr="004079BE">
        <w:rPr>
          <w:rFonts w:cs="Arial"/>
          <w:sz w:val="22"/>
          <w:szCs w:val="22"/>
        </w:rPr>
        <w:t xml:space="preserve">erception of trustworthiness may </w:t>
      </w:r>
      <w:r w:rsidR="00B00E68" w:rsidRPr="004079BE">
        <w:rPr>
          <w:rFonts w:cs="Arial"/>
          <w:sz w:val="22"/>
          <w:szCs w:val="22"/>
        </w:rPr>
        <w:t>be more powerful</w:t>
      </w:r>
      <w:r w:rsidRPr="004079BE">
        <w:rPr>
          <w:rFonts w:cs="Arial"/>
          <w:sz w:val="22"/>
          <w:szCs w:val="22"/>
        </w:rPr>
        <w:t xml:space="preserve"> than objective truths.</w:t>
      </w:r>
    </w:p>
    <w:p w14:paraId="1DF82255" w14:textId="4D751566" w:rsidR="00CE7653" w:rsidRPr="004079BE" w:rsidRDefault="00CE7653" w:rsidP="00CE7653">
      <w:pPr>
        <w:spacing w:line="360" w:lineRule="auto"/>
        <w:ind w:firstLine="720"/>
        <w:rPr>
          <w:sz w:val="22"/>
          <w:szCs w:val="22"/>
        </w:rPr>
      </w:pPr>
      <w:r w:rsidRPr="004079BE">
        <w:rPr>
          <w:sz w:val="22"/>
          <w:szCs w:val="22"/>
        </w:rPr>
        <w:t>The single noteworthy divergence between the front-line and strategic leader clinicians was on institutions as powerful facilitators of peer endorsement. While the strategic leaders may have simply been displaying greater awareness of institutions and their roles, it nonetheless suggests institutions hold a distinct lack of relevance for front-line clinicians. UK doctors have previously been found to place little importance on formal organisational position or authority of OL, favouring those with clinical or academic credibility</w:t>
      </w:r>
      <w:proofErr w:type="gramStart"/>
      <w:r w:rsidRPr="004079BE">
        <w:rPr>
          <w:sz w:val="22"/>
          <w:szCs w:val="22"/>
        </w:rPr>
        <w:t>.[</w:t>
      </w:r>
      <w:proofErr w:type="gramEnd"/>
      <w:r w:rsidRPr="004079BE">
        <w:rPr>
          <w:sz w:val="22"/>
          <w:szCs w:val="22"/>
        </w:rPr>
        <w:t>2</w:t>
      </w:r>
      <w:r w:rsidR="00CF1166" w:rsidRPr="004079BE">
        <w:rPr>
          <w:sz w:val="22"/>
          <w:szCs w:val="22"/>
        </w:rPr>
        <w:t>5</w:t>
      </w:r>
      <w:r w:rsidRPr="004079BE">
        <w:rPr>
          <w:sz w:val="22"/>
          <w:szCs w:val="22"/>
        </w:rPr>
        <w:t xml:space="preserve">] This view may be deep-rooted in medical professionalism, in which clinical nous is prized and doctors </w:t>
      </w:r>
      <w:r w:rsidR="005A63DB" w:rsidRPr="004079BE">
        <w:rPr>
          <w:sz w:val="22"/>
          <w:szCs w:val="22"/>
        </w:rPr>
        <w:lastRenderedPageBreak/>
        <w:t>feel</w:t>
      </w:r>
      <w:r w:rsidRPr="004079BE">
        <w:rPr>
          <w:sz w:val="22"/>
          <w:szCs w:val="22"/>
        </w:rPr>
        <w:t xml:space="preserve"> their practice </w:t>
      </w:r>
      <w:r w:rsidR="005A63DB" w:rsidRPr="004079BE">
        <w:rPr>
          <w:sz w:val="22"/>
          <w:szCs w:val="22"/>
        </w:rPr>
        <w:t>is</w:t>
      </w:r>
      <w:r w:rsidRPr="004079BE">
        <w:rPr>
          <w:sz w:val="22"/>
          <w:szCs w:val="22"/>
        </w:rPr>
        <w:t xml:space="preserve"> hampered by health system politics and culture.[2</w:t>
      </w:r>
      <w:r w:rsidR="00CF1166" w:rsidRPr="004079BE">
        <w:rPr>
          <w:sz w:val="22"/>
          <w:szCs w:val="22"/>
        </w:rPr>
        <w:t>6</w:t>
      </w:r>
      <w:r w:rsidRPr="004079BE">
        <w:rPr>
          <w:sz w:val="22"/>
          <w:szCs w:val="22"/>
        </w:rPr>
        <w:t>, 2</w:t>
      </w:r>
      <w:r w:rsidR="00CF1166" w:rsidRPr="004079BE">
        <w:rPr>
          <w:sz w:val="22"/>
          <w:szCs w:val="22"/>
        </w:rPr>
        <w:t>7</w:t>
      </w:r>
      <w:r w:rsidRPr="004079BE">
        <w:rPr>
          <w:sz w:val="22"/>
          <w:szCs w:val="22"/>
        </w:rPr>
        <w:t xml:space="preserve">] </w:t>
      </w:r>
      <w:r w:rsidRPr="004079BE">
        <w:rPr>
          <w:rFonts w:cs="Arial"/>
          <w:sz w:val="22"/>
          <w:szCs w:val="22"/>
        </w:rPr>
        <w:t>Furthermore, while institutions may facilitate innovation by controlling the contextual and organisational environment,[2</w:t>
      </w:r>
      <w:r w:rsidR="00CF1166" w:rsidRPr="004079BE">
        <w:rPr>
          <w:rFonts w:cs="Arial"/>
          <w:sz w:val="22"/>
          <w:szCs w:val="22"/>
        </w:rPr>
        <w:t>8</w:t>
      </w:r>
      <w:r w:rsidRPr="004079BE">
        <w:rPr>
          <w:rFonts w:cs="Arial"/>
          <w:sz w:val="22"/>
          <w:szCs w:val="22"/>
        </w:rPr>
        <w:t>] they are weak in affecting complex social processes at an individual level.[7, 2</w:t>
      </w:r>
      <w:r w:rsidR="00CF1166" w:rsidRPr="004079BE">
        <w:rPr>
          <w:rFonts w:cs="Arial"/>
          <w:sz w:val="22"/>
          <w:szCs w:val="22"/>
        </w:rPr>
        <w:t>9</w:t>
      </w:r>
      <w:r w:rsidRPr="004079BE">
        <w:rPr>
          <w:rFonts w:cs="Arial"/>
          <w:sz w:val="22"/>
          <w:szCs w:val="22"/>
        </w:rPr>
        <w:t>]. Considering the current policy focus on locally-led innovation</w:t>
      </w:r>
      <w:proofErr w:type="gramStart"/>
      <w:r w:rsidRPr="004079BE">
        <w:rPr>
          <w:rFonts w:cs="Arial"/>
          <w:sz w:val="22"/>
          <w:szCs w:val="22"/>
        </w:rPr>
        <w:t>,[</w:t>
      </w:r>
      <w:proofErr w:type="gramEnd"/>
      <w:r w:rsidRPr="004079BE">
        <w:rPr>
          <w:rFonts w:cs="Arial"/>
          <w:sz w:val="22"/>
          <w:szCs w:val="22"/>
        </w:rPr>
        <w:t xml:space="preserve">6] the strategic leaders may have overestimated institutions’ power to influence peer-led change. </w:t>
      </w:r>
    </w:p>
    <w:p w14:paraId="5349D478" w14:textId="4990E600" w:rsidR="00CE7653" w:rsidRPr="004079BE" w:rsidRDefault="00CE7653" w:rsidP="00CE7653">
      <w:pPr>
        <w:spacing w:line="360" w:lineRule="auto"/>
        <w:rPr>
          <w:rFonts w:cs="Arial"/>
          <w:sz w:val="22"/>
          <w:szCs w:val="22"/>
        </w:rPr>
      </w:pPr>
      <w:r w:rsidRPr="004079BE">
        <w:rPr>
          <w:rFonts w:cs="Arial"/>
          <w:sz w:val="22"/>
          <w:szCs w:val="22"/>
        </w:rPr>
        <w:tab/>
        <w:t>Participants clearly approved of peer influence, recognising the importance of involving expert stakeholders in organisational change</w:t>
      </w:r>
      <w:proofErr w:type="gramStart"/>
      <w:r w:rsidRPr="004079BE">
        <w:rPr>
          <w:rFonts w:cs="Arial"/>
          <w:sz w:val="22"/>
          <w:szCs w:val="22"/>
        </w:rPr>
        <w:t>,[</w:t>
      </w:r>
      <w:proofErr w:type="gramEnd"/>
      <w:r w:rsidR="00CF1166" w:rsidRPr="004079BE">
        <w:rPr>
          <w:rFonts w:cs="Arial"/>
          <w:sz w:val="22"/>
          <w:szCs w:val="22"/>
        </w:rPr>
        <w:t>30</w:t>
      </w:r>
      <w:r w:rsidRPr="004079BE">
        <w:rPr>
          <w:rFonts w:cs="Arial"/>
          <w:sz w:val="22"/>
          <w:szCs w:val="22"/>
        </w:rPr>
        <w:t xml:space="preserve">] and </w:t>
      </w:r>
      <w:r w:rsidR="005A63DB" w:rsidRPr="004079BE">
        <w:rPr>
          <w:rFonts w:cs="Arial"/>
          <w:sz w:val="22"/>
          <w:szCs w:val="22"/>
        </w:rPr>
        <w:t xml:space="preserve">valuing </w:t>
      </w:r>
      <w:r w:rsidRPr="004079BE">
        <w:rPr>
          <w:rFonts w:cs="Arial"/>
          <w:sz w:val="22"/>
          <w:szCs w:val="22"/>
        </w:rPr>
        <w:t>the autonomy and expertise reserved for, and increasingly defended by, the medical profession.[2</w:t>
      </w:r>
      <w:r w:rsidR="00CF1166" w:rsidRPr="004079BE">
        <w:rPr>
          <w:rFonts w:cs="Arial"/>
          <w:sz w:val="22"/>
          <w:szCs w:val="22"/>
        </w:rPr>
        <w:t>6</w:t>
      </w:r>
      <w:r w:rsidRPr="004079BE">
        <w:rPr>
          <w:rFonts w:cs="Arial"/>
          <w:sz w:val="22"/>
          <w:szCs w:val="22"/>
        </w:rPr>
        <w:t>, 2</w:t>
      </w:r>
      <w:r w:rsidR="00CF1166" w:rsidRPr="004079BE">
        <w:rPr>
          <w:rFonts w:cs="Arial"/>
          <w:sz w:val="22"/>
          <w:szCs w:val="22"/>
        </w:rPr>
        <w:t>7</w:t>
      </w:r>
      <w:r w:rsidRPr="004079BE">
        <w:rPr>
          <w:rFonts w:cs="Arial"/>
          <w:sz w:val="22"/>
          <w:szCs w:val="22"/>
        </w:rPr>
        <w:t>]</w:t>
      </w:r>
    </w:p>
    <w:p w14:paraId="5268E545" w14:textId="562354F9" w:rsidR="00CE7653" w:rsidRPr="004079BE" w:rsidRDefault="00CE7653" w:rsidP="00CE7653">
      <w:pPr>
        <w:spacing w:line="360" w:lineRule="auto"/>
        <w:rPr>
          <w:rFonts w:cs="Arial"/>
          <w:sz w:val="22"/>
          <w:szCs w:val="22"/>
        </w:rPr>
      </w:pPr>
      <w:r w:rsidRPr="004079BE">
        <w:rPr>
          <w:rFonts w:cs="Arial"/>
          <w:sz w:val="22"/>
          <w:szCs w:val="22"/>
        </w:rPr>
        <w:tab/>
        <w:t xml:space="preserve">In contrast, unfavourable attitudes towards peer endorsement were also evident. The participants’ disapproval of peers using anecdotal evidence </w:t>
      </w:r>
      <w:r w:rsidR="005A6391" w:rsidRPr="004079BE">
        <w:rPr>
          <w:rFonts w:cs="Arial"/>
          <w:sz w:val="22"/>
          <w:szCs w:val="22"/>
        </w:rPr>
        <w:t>highlighted</w:t>
      </w:r>
      <w:r w:rsidRPr="004079BE">
        <w:rPr>
          <w:rFonts w:cs="Arial"/>
          <w:sz w:val="22"/>
          <w:szCs w:val="22"/>
        </w:rPr>
        <w:t xml:space="preserve"> how the EBM paradigm has permeated clinicians’ value system</w:t>
      </w:r>
      <w:proofErr w:type="gramStart"/>
      <w:r w:rsidRPr="004079BE">
        <w:rPr>
          <w:rFonts w:cs="Arial"/>
          <w:sz w:val="22"/>
          <w:szCs w:val="22"/>
        </w:rPr>
        <w:t>.[</w:t>
      </w:r>
      <w:proofErr w:type="gramEnd"/>
      <w:r w:rsidRPr="004079BE">
        <w:rPr>
          <w:rFonts w:cs="Arial"/>
          <w:sz w:val="22"/>
          <w:szCs w:val="22"/>
        </w:rPr>
        <w:t>15, 16, 2</w:t>
      </w:r>
      <w:r w:rsidR="00CF1166" w:rsidRPr="004079BE">
        <w:rPr>
          <w:rFonts w:cs="Arial"/>
          <w:sz w:val="22"/>
          <w:szCs w:val="22"/>
        </w:rPr>
        <w:t>4</w:t>
      </w:r>
      <w:r w:rsidRPr="004079BE">
        <w:rPr>
          <w:rFonts w:cs="Arial"/>
          <w:sz w:val="22"/>
          <w:szCs w:val="22"/>
        </w:rPr>
        <w:t>] Regarding COI, negative attitudes towards sales and marketing were expressed with great consistency and clarity, illuminating mistrust of industry among the medical community.[13] Several participants acknowledged peer influence could be detrimental if it caused inefficient NHS resource allocation.[1, 6]</w:t>
      </w:r>
    </w:p>
    <w:p w14:paraId="1D307491" w14:textId="77777777" w:rsidR="00CE7653" w:rsidRPr="004079BE" w:rsidRDefault="00CE7653" w:rsidP="00FB19B6">
      <w:pPr>
        <w:pStyle w:val="Heading2"/>
      </w:pPr>
      <w:r w:rsidRPr="004079BE">
        <w:t>Study strengths and limitations</w:t>
      </w:r>
    </w:p>
    <w:p w14:paraId="66F492C0" w14:textId="77777777" w:rsidR="00CE7653" w:rsidRPr="004079BE" w:rsidRDefault="00CE7653" w:rsidP="00CE7653">
      <w:pPr>
        <w:pStyle w:val="Heading3"/>
      </w:pPr>
      <w:r w:rsidRPr="004079BE">
        <w:t>Strengths</w:t>
      </w:r>
    </w:p>
    <w:p w14:paraId="4FAEB2CE" w14:textId="16D76A5A" w:rsidR="00CE7653" w:rsidRPr="004079BE" w:rsidRDefault="00CE7653" w:rsidP="00CE7653">
      <w:pPr>
        <w:spacing w:line="360" w:lineRule="auto"/>
        <w:ind w:firstLine="720"/>
        <w:rPr>
          <w:rFonts w:cs="Arial"/>
          <w:sz w:val="22"/>
          <w:szCs w:val="22"/>
        </w:rPr>
      </w:pPr>
      <w:r w:rsidRPr="004079BE">
        <w:rPr>
          <w:rFonts w:cs="Arial"/>
          <w:sz w:val="22"/>
          <w:szCs w:val="22"/>
        </w:rPr>
        <w:t>The diverse range of participants in this study provide</w:t>
      </w:r>
      <w:r w:rsidR="002F7E41" w:rsidRPr="004079BE">
        <w:rPr>
          <w:rFonts w:cs="Arial"/>
          <w:sz w:val="22"/>
          <w:szCs w:val="22"/>
        </w:rPr>
        <w:t>d</w:t>
      </w:r>
      <w:r w:rsidRPr="004079BE">
        <w:rPr>
          <w:rFonts w:cs="Arial"/>
          <w:sz w:val="22"/>
          <w:szCs w:val="22"/>
        </w:rPr>
        <w:t xml:space="preserve"> a variety of opinions from across the medical profession. The qualitative design suited exploration of complex social processes, and the use of robust methodology ensured a high quality dataset and analysis were achieved.</w:t>
      </w:r>
    </w:p>
    <w:p w14:paraId="7C0E679E" w14:textId="77777777" w:rsidR="00CE7653" w:rsidRPr="004079BE" w:rsidRDefault="00CE7653" w:rsidP="00CE7653">
      <w:pPr>
        <w:pStyle w:val="Heading3"/>
      </w:pPr>
      <w:r w:rsidRPr="004079BE">
        <w:t>Limitations</w:t>
      </w:r>
    </w:p>
    <w:p w14:paraId="4FAA0FFC" w14:textId="2B248D76" w:rsidR="00CE7653" w:rsidRPr="004079BE" w:rsidRDefault="008B4144" w:rsidP="00CE7653">
      <w:pPr>
        <w:spacing w:line="360" w:lineRule="auto"/>
        <w:ind w:firstLine="720"/>
        <w:rPr>
          <w:rFonts w:cs="Arial"/>
          <w:sz w:val="22"/>
          <w:szCs w:val="22"/>
        </w:rPr>
      </w:pPr>
      <w:r w:rsidRPr="004079BE">
        <w:rPr>
          <w:rFonts w:cs="Arial"/>
          <w:sz w:val="22"/>
          <w:szCs w:val="22"/>
        </w:rPr>
        <w:t xml:space="preserve">The research team exclusively </w:t>
      </w:r>
      <w:r w:rsidR="00CE7653" w:rsidRPr="004079BE">
        <w:rPr>
          <w:rFonts w:cs="Arial"/>
          <w:sz w:val="22"/>
          <w:szCs w:val="22"/>
        </w:rPr>
        <w:t xml:space="preserve">comprised clinicians and may have had a more detailed theoretical basis if it included social scientists. However, this </w:t>
      </w:r>
      <w:r w:rsidR="00787656" w:rsidRPr="004079BE">
        <w:rPr>
          <w:rFonts w:cs="Arial"/>
          <w:sz w:val="22"/>
          <w:szCs w:val="22"/>
        </w:rPr>
        <w:t>meant the study adopted</w:t>
      </w:r>
      <w:r w:rsidR="00CE7653" w:rsidRPr="004079BE">
        <w:rPr>
          <w:rFonts w:cs="Arial"/>
          <w:sz w:val="22"/>
          <w:szCs w:val="22"/>
        </w:rPr>
        <w:t xml:space="preserve"> a ‘real-world’ focus. </w:t>
      </w:r>
      <w:r w:rsidR="00CE7653" w:rsidRPr="004079BE">
        <w:rPr>
          <w:sz w:val="22"/>
          <w:szCs w:val="22"/>
        </w:rPr>
        <w:t xml:space="preserve">As the research team come from </w:t>
      </w:r>
      <w:r w:rsidR="006E4CF8" w:rsidRPr="004079BE">
        <w:rPr>
          <w:sz w:val="22"/>
          <w:szCs w:val="22"/>
        </w:rPr>
        <w:t xml:space="preserve">NHS </w:t>
      </w:r>
      <w:r w:rsidR="00CE7653" w:rsidRPr="004079BE">
        <w:rPr>
          <w:sz w:val="22"/>
          <w:szCs w:val="22"/>
        </w:rPr>
        <w:t>clinical backgrounds this may have influenced their perspectives in recognising themes</w:t>
      </w:r>
      <w:r w:rsidR="006E4CF8" w:rsidRPr="004079BE">
        <w:rPr>
          <w:sz w:val="22"/>
          <w:szCs w:val="22"/>
        </w:rPr>
        <w:t xml:space="preserve">. Furthermore, participants did not review and comment on the final themes due to resource limitations. </w:t>
      </w:r>
      <w:r w:rsidR="00CE7653" w:rsidRPr="004079BE">
        <w:rPr>
          <w:sz w:val="22"/>
          <w:szCs w:val="22"/>
        </w:rPr>
        <w:t>However, the team members independently review</w:t>
      </w:r>
      <w:r w:rsidR="006E4CF8" w:rsidRPr="004079BE">
        <w:rPr>
          <w:sz w:val="22"/>
          <w:szCs w:val="22"/>
        </w:rPr>
        <w:t>ed</w:t>
      </w:r>
      <w:r w:rsidR="00CE7653" w:rsidRPr="004079BE">
        <w:rPr>
          <w:sz w:val="22"/>
          <w:szCs w:val="22"/>
        </w:rPr>
        <w:t xml:space="preserve"> the data</w:t>
      </w:r>
      <w:r w:rsidR="006E4CF8" w:rsidRPr="004079BE">
        <w:rPr>
          <w:sz w:val="22"/>
          <w:szCs w:val="22"/>
        </w:rPr>
        <w:t xml:space="preserve">, </w:t>
      </w:r>
      <w:r w:rsidR="00CE7653" w:rsidRPr="004079BE">
        <w:rPr>
          <w:sz w:val="22"/>
          <w:szCs w:val="22"/>
        </w:rPr>
        <w:t>discuss</w:t>
      </w:r>
      <w:r w:rsidR="006E4CF8" w:rsidRPr="004079BE">
        <w:rPr>
          <w:sz w:val="22"/>
          <w:szCs w:val="22"/>
        </w:rPr>
        <w:t>ed</w:t>
      </w:r>
      <w:r w:rsidR="00CE7653" w:rsidRPr="004079BE">
        <w:rPr>
          <w:sz w:val="22"/>
          <w:szCs w:val="22"/>
        </w:rPr>
        <w:t xml:space="preserve"> areas of disagreement</w:t>
      </w:r>
      <w:r w:rsidR="006E4CF8" w:rsidRPr="004079BE">
        <w:rPr>
          <w:sz w:val="22"/>
          <w:szCs w:val="22"/>
        </w:rPr>
        <w:t xml:space="preserve"> and came to a consensus on the final themes to mitigate these issues</w:t>
      </w:r>
      <w:r w:rsidR="00CE7653" w:rsidRPr="004079BE">
        <w:rPr>
          <w:sz w:val="22"/>
          <w:szCs w:val="22"/>
        </w:rPr>
        <w:t>.</w:t>
      </w:r>
      <w:r w:rsidR="006E4CF8" w:rsidRPr="004079BE">
        <w:rPr>
          <w:sz w:val="22"/>
          <w:szCs w:val="22"/>
        </w:rPr>
        <w:t xml:space="preserve"> </w:t>
      </w:r>
      <w:r w:rsidR="00CE7653" w:rsidRPr="004079BE">
        <w:rPr>
          <w:rFonts w:cs="Arial"/>
          <w:sz w:val="22"/>
          <w:szCs w:val="22"/>
        </w:rPr>
        <w:t>Th</w:t>
      </w:r>
      <w:r w:rsidR="00934932" w:rsidRPr="004079BE">
        <w:rPr>
          <w:rFonts w:cs="Arial"/>
          <w:sz w:val="22"/>
          <w:szCs w:val="22"/>
        </w:rPr>
        <w:t>e</w:t>
      </w:r>
      <w:r w:rsidR="00CE7653" w:rsidRPr="004079BE">
        <w:rPr>
          <w:rFonts w:cs="Arial"/>
          <w:sz w:val="22"/>
          <w:szCs w:val="22"/>
        </w:rPr>
        <w:t xml:space="preserve"> study examined practices within three NHS England regions</w:t>
      </w:r>
      <w:r w:rsidR="00934ACC" w:rsidRPr="004079BE">
        <w:rPr>
          <w:rFonts w:cs="Arial"/>
          <w:sz w:val="22"/>
          <w:szCs w:val="22"/>
        </w:rPr>
        <w:t>. W</w:t>
      </w:r>
      <w:r w:rsidR="00CE7653" w:rsidRPr="004079BE">
        <w:rPr>
          <w:rFonts w:cs="Arial"/>
          <w:sz w:val="22"/>
          <w:szCs w:val="22"/>
        </w:rPr>
        <w:t xml:space="preserve">hile the findings </w:t>
      </w:r>
      <w:r w:rsidR="00934ACC" w:rsidRPr="004079BE">
        <w:rPr>
          <w:rFonts w:cs="Arial"/>
          <w:sz w:val="22"/>
          <w:szCs w:val="22"/>
        </w:rPr>
        <w:t>provide valuable insights from a small number of clinicians, they may not represent</w:t>
      </w:r>
      <w:r w:rsidR="00CE7653" w:rsidRPr="004079BE">
        <w:rPr>
          <w:rFonts w:cs="Arial"/>
          <w:sz w:val="22"/>
          <w:szCs w:val="22"/>
        </w:rPr>
        <w:t xml:space="preserve"> </w:t>
      </w:r>
      <w:r w:rsidR="00934ACC" w:rsidRPr="004079BE">
        <w:rPr>
          <w:rFonts w:cs="Arial"/>
          <w:sz w:val="22"/>
          <w:szCs w:val="22"/>
        </w:rPr>
        <w:t xml:space="preserve">the rest of </w:t>
      </w:r>
      <w:r w:rsidR="00CE7653" w:rsidRPr="004079BE">
        <w:rPr>
          <w:rFonts w:cs="Arial"/>
          <w:sz w:val="22"/>
          <w:szCs w:val="22"/>
        </w:rPr>
        <w:t>England</w:t>
      </w:r>
      <w:r w:rsidR="00934ACC" w:rsidRPr="004079BE">
        <w:rPr>
          <w:rFonts w:cs="Arial"/>
          <w:sz w:val="22"/>
          <w:szCs w:val="22"/>
        </w:rPr>
        <w:t xml:space="preserve"> or </w:t>
      </w:r>
      <w:r w:rsidR="00CE7653" w:rsidRPr="004079BE">
        <w:rPr>
          <w:rFonts w:cs="Arial"/>
          <w:sz w:val="22"/>
          <w:szCs w:val="22"/>
        </w:rPr>
        <w:t xml:space="preserve">other health systems around the world. </w:t>
      </w:r>
    </w:p>
    <w:p w14:paraId="4A340C7D" w14:textId="77777777" w:rsidR="00CE7653" w:rsidRPr="004079BE" w:rsidRDefault="00CE7653" w:rsidP="00FB19B6">
      <w:pPr>
        <w:pStyle w:val="Heading2"/>
      </w:pPr>
      <w:r w:rsidRPr="004079BE">
        <w:lastRenderedPageBreak/>
        <w:t>What this study adds</w:t>
      </w:r>
    </w:p>
    <w:p w14:paraId="49CFFE5D" w14:textId="77777777" w:rsidR="00CE7653" w:rsidRPr="004079BE" w:rsidRDefault="00CE7653" w:rsidP="00CE7653">
      <w:pPr>
        <w:spacing w:line="360" w:lineRule="auto"/>
        <w:rPr>
          <w:rFonts w:cs="Arial"/>
          <w:sz w:val="22"/>
          <w:szCs w:val="22"/>
        </w:rPr>
      </w:pPr>
      <w:r w:rsidRPr="004079BE">
        <w:rPr>
          <w:rFonts w:cs="Arial"/>
          <w:sz w:val="22"/>
          <w:szCs w:val="22"/>
        </w:rPr>
        <w:tab/>
        <w:t>This study adds a novel insight into NHS clinicians’ experiences and views of peer influence, and a unique comparison between front-line and strategic leader clinicians, two distinct groups, both instrumental in the success of NHS innovation ambitions.</w:t>
      </w:r>
    </w:p>
    <w:p w14:paraId="4B5DFF4A" w14:textId="77777777" w:rsidR="00CE7653" w:rsidRPr="004079BE" w:rsidRDefault="00CE7653" w:rsidP="00FB19B6">
      <w:pPr>
        <w:pStyle w:val="Heading2"/>
      </w:pPr>
      <w:r w:rsidRPr="004079BE">
        <w:t>Implications for policy</w:t>
      </w:r>
    </w:p>
    <w:p w14:paraId="70179AFD" w14:textId="2224F653" w:rsidR="00CE7653" w:rsidRPr="004079BE" w:rsidRDefault="00CE7653" w:rsidP="00CE7653">
      <w:pPr>
        <w:spacing w:line="360" w:lineRule="auto"/>
        <w:ind w:firstLine="720"/>
        <w:rPr>
          <w:rFonts w:cs="Arial"/>
          <w:sz w:val="22"/>
          <w:szCs w:val="22"/>
        </w:rPr>
      </w:pPr>
      <w:r w:rsidRPr="004079BE">
        <w:rPr>
          <w:rFonts w:cs="Arial"/>
          <w:sz w:val="22"/>
          <w:szCs w:val="22"/>
        </w:rPr>
        <w:t xml:space="preserve">Our findings </w:t>
      </w:r>
      <w:r w:rsidR="00AC5FD1" w:rsidRPr="004079BE">
        <w:rPr>
          <w:rFonts w:cs="Arial"/>
          <w:sz w:val="22"/>
          <w:szCs w:val="22"/>
        </w:rPr>
        <w:t>suggest</w:t>
      </w:r>
      <w:r w:rsidRPr="004079BE">
        <w:rPr>
          <w:rFonts w:cs="Arial"/>
          <w:sz w:val="22"/>
          <w:szCs w:val="22"/>
        </w:rPr>
        <w:t xml:space="preserve"> policies</w:t>
      </w:r>
      <w:r w:rsidR="00215504" w:rsidRPr="004079BE">
        <w:rPr>
          <w:rFonts w:cs="Arial"/>
          <w:sz w:val="22"/>
          <w:szCs w:val="22"/>
        </w:rPr>
        <w:t xml:space="preserve"> to drive NHS innovation </w:t>
      </w:r>
      <w:r w:rsidRPr="004079BE">
        <w:rPr>
          <w:rFonts w:cs="Arial"/>
          <w:sz w:val="22"/>
          <w:szCs w:val="22"/>
        </w:rPr>
        <w:t xml:space="preserve">should </w:t>
      </w:r>
      <w:r w:rsidR="00BA6950" w:rsidRPr="004079BE">
        <w:rPr>
          <w:rFonts w:cs="Arial"/>
          <w:sz w:val="22"/>
          <w:szCs w:val="22"/>
        </w:rPr>
        <w:t xml:space="preserve">support professional networking opportunities in order to foster </w:t>
      </w:r>
      <w:r w:rsidR="00215504" w:rsidRPr="004079BE">
        <w:rPr>
          <w:rFonts w:cs="Arial"/>
          <w:sz w:val="22"/>
          <w:szCs w:val="22"/>
        </w:rPr>
        <w:t>peer-to-</w:t>
      </w:r>
      <w:r w:rsidRPr="004079BE">
        <w:rPr>
          <w:rFonts w:cs="Arial"/>
          <w:sz w:val="22"/>
          <w:szCs w:val="22"/>
        </w:rPr>
        <w:t>peer learning</w:t>
      </w:r>
      <w:r w:rsidR="00BA6950" w:rsidRPr="004079BE">
        <w:rPr>
          <w:rFonts w:cs="Arial"/>
          <w:sz w:val="22"/>
          <w:szCs w:val="22"/>
        </w:rPr>
        <w:t>, recognising central</w:t>
      </w:r>
      <w:r w:rsidRPr="004079BE">
        <w:rPr>
          <w:rFonts w:cs="Arial"/>
          <w:sz w:val="22"/>
          <w:szCs w:val="22"/>
        </w:rPr>
        <w:t xml:space="preserve"> institutions are poorly equipped to directly manipulate </w:t>
      </w:r>
      <w:r w:rsidR="00BA6950" w:rsidRPr="004079BE">
        <w:rPr>
          <w:rFonts w:cs="Arial"/>
          <w:sz w:val="22"/>
          <w:szCs w:val="22"/>
        </w:rPr>
        <w:t>individuals’</w:t>
      </w:r>
      <w:r w:rsidRPr="004079BE">
        <w:rPr>
          <w:rFonts w:cs="Arial"/>
          <w:sz w:val="22"/>
          <w:szCs w:val="22"/>
        </w:rPr>
        <w:t xml:space="preserve"> behaviours. </w:t>
      </w:r>
      <w:r w:rsidR="00BA6950" w:rsidRPr="004079BE">
        <w:rPr>
          <w:rFonts w:cs="Arial"/>
          <w:sz w:val="22"/>
          <w:szCs w:val="22"/>
        </w:rPr>
        <w:t xml:space="preserve">Policy-makers may also develop and uphold </w:t>
      </w:r>
      <w:r w:rsidRPr="004079BE">
        <w:rPr>
          <w:rFonts w:cs="Arial"/>
          <w:sz w:val="22"/>
          <w:szCs w:val="22"/>
        </w:rPr>
        <w:t xml:space="preserve">professional and ethical frameworks that </w:t>
      </w:r>
      <w:r w:rsidR="00BA6950" w:rsidRPr="004079BE">
        <w:rPr>
          <w:rFonts w:cs="Arial"/>
          <w:sz w:val="22"/>
          <w:szCs w:val="22"/>
        </w:rPr>
        <w:t xml:space="preserve">regulate innovation through </w:t>
      </w:r>
      <w:r w:rsidRPr="004079BE">
        <w:rPr>
          <w:rFonts w:cs="Arial"/>
          <w:sz w:val="22"/>
          <w:szCs w:val="22"/>
        </w:rPr>
        <w:t>set</w:t>
      </w:r>
      <w:r w:rsidR="00BA6950" w:rsidRPr="004079BE">
        <w:rPr>
          <w:rFonts w:cs="Arial"/>
          <w:sz w:val="22"/>
          <w:szCs w:val="22"/>
        </w:rPr>
        <w:t>ting</w:t>
      </w:r>
      <w:r w:rsidRPr="004079BE">
        <w:rPr>
          <w:rFonts w:cs="Arial"/>
          <w:sz w:val="22"/>
          <w:szCs w:val="22"/>
        </w:rPr>
        <w:t xml:space="preserve"> the boundaries within which clinicians, organisations and industry operate. </w:t>
      </w:r>
    </w:p>
    <w:p w14:paraId="54A1C555" w14:textId="77777777" w:rsidR="00CE7653" w:rsidRPr="004079BE" w:rsidRDefault="00CE7653" w:rsidP="00FB19B6">
      <w:pPr>
        <w:pStyle w:val="Heading2"/>
      </w:pPr>
      <w:r w:rsidRPr="004079BE">
        <w:t>Implications for research</w:t>
      </w:r>
    </w:p>
    <w:p w14:paraId="5D1C3D98" w14:textId="0B21ABF9" w:rsidR="00CE7653" w:rsidRPr="004079BE" w:rsidRDefault="00CE7653" w:rsidP="00CE7653">
      <w:pPr>
        <w:spacing w:line="360" w:lineRule="auto"/>
        <w:rPr>
          <w:rFonts w:cs="Arial"/>
          <w:sz w:val="22"/>
          <w:szCs w:val="22"/>
          <w:lang w:val="en-US"/>
        </w:rPr>
      </w:pPr>
      <w:r w:rsidRPr="004079BE">
        <w:rPr>
          <w:rFonts w:cs="Arial"/>
          <w:sz w:val="22"/>
          <w:szCs w:val="22"/>
        </w:rPr>
        <w:tab/>
        <w:t xml:space="preserve">This study offers </w:t>
      </w:r>
      <w:r w:rsidR="00961EEC" w:rsidRPr="004079BE">
        <w:rPr>
          <w:rFonts w:cs="Arial"/>
          <w:sz w:val="22"/>
          <w:szCs w:val="22"/>
        </w:rPr>
        <w:t>br</w:t>
      </w:r>
      <w:r w:rsidR="00432A1C" w:rsidRPr="004079BE">
        <w:rPr>
          <w:rFonts w:cs="Arial"/>
          <w:sz w:val="22"/>
          <w:szCs w:val="22"/>
        </w:rPr>
        <w:t>oad, multi-specialty insights; fu</w:t>
      </w:r>
      <w:r w:rsidRPr="004079BE">
        <w:rPr>
          <w:rFonts w:cs="Arial"/>
          <w:sz w:val="22"/>
          <w:szCs w:val="22"/>
        </w:rPr>
        <w:t xml:space="preserve">ture research </w:t>
      </w:r>
      <w:r w:rsidR="00961EEC" w:rsidRPr="004079BE">
        <w:rPr>
          <w:rFonts w:cs="Arial"/>
          <w:sz w:val="22"/>
          <w:szCs w:val="22"/>
        </w:rPr>
        <w:t xml:space="preserve">may </w:t>
      </w:r>
      <w:r w:rsidR="00432A1C" w:rsidRPr="004079BE">
        <w:rPr>
          <w:rFonts w:cs="Arial"/>
          <w:sz w:val="22"/>
          <w:szCs w:val="22"/>
        </w:rPr>
        <w:t xml:space="preserve">more deeply </w:t>
      </w:r>
      <w:r w:rsidRPr="004079BE">
        <w:rPr>
          <w:rFonts w:cs="Arial"/>
          <w:sz w:val="22"/>
          <w:szCs w:val="22"/>
        </w:rPr>
        <w:t xml:space="preserve">explore peer influence within individual </w:t>
      </w:r>
      <w:r w:rsidR="00961EEC" w:rsidRPr="004079BE">
        <w:rPr>
          <w:rFonts w:cs="Arial"/>
          <w:sz w:val="22"/>
          <w:szCs w:val="22"/>
        </w:rPr>
        <w:t>specialties</w:t>
      </w:r>
      <w:r w:rsidR="00432A1C" w:rsidRPr="004079BE">
        <w:rPr>
          <w:rFonts w:cs="Arial"/>
          <w:sz w:val="22"/>
          <w:szCs w:val="22"/>
        </w:rPr>
        <w:t>. L</w:t>
      </w:r>
      <w:r w:rsidR="003D6043" w:rsidRPr="004079BE">
        <w:rPr>
          <w:rFonts w:cs="Arial"/>
          <w:sz w:val="22"/>
          <w:szCs w:val="22"/>
        </w:rPr>
        <w:t>arger studies may investigate how peer influence can be encouraged and harnessed to support system-wide change</w:t>
      </w:r>
      <w:r w:rsidR="00432A1C" w:rsidRPr="004079BE">
        <w:rPr>
          <w:rFonts w:cs="Arial"/>
          <w:sz w:val="22"/>
          <w:szCs w:val="22"/>
        </w:rPr>
        <w:t xml:space="preserve">, and what benefits, </w:t>
      </w:r>
      <w:r w:rsidR="003D6043" w:rsidRPr="004079BE">
        <w:rPr>
          <w:rFonts w:cs="Arial"/>
          <w:sz w:val="22"/>
          <w:szCs w:val="22"/>
        </w:rPr>
        <w:t xml:space="preserve">risks and ethical implications </w:t>
      </w:r>
      <w:r w:rsidR="00432A1C" w:rsidRPr="004079BE">
        <w:rPr>
          <w:rFonts w:cs="Arial"/>
          <w:sz w:val="22"/>
          <w:szCs w:val="22"/>
        </w:rPr>
        <w:t>this presents</w:t>
      </w:r>
      <w:r w:rsidR="003D6043" w:rsidRPr="004079BE">
        <w:rPr>
          <w:rFonts w:cs="Arial"/>
          <w:sz w:val="22"/>
          <w:szCs w:val="22"/>
        </w:rPr>
        <w:t>.</w:t>
      </w:r>
    </w:p>
    <w:p w14:paraId="1F73E9C1" w14:textId="77777777" w:rsidR="00CE7653" w:rsidRPr="004079BE" w:rsidRDefault="00CE7653" w:rsidP="00CE7653">
      <w:pPr>
        <w:pStyle w:val="Heading1"/>
      </w:pPr>
      <w:r w:rsidRPr="004079BE">
        <w:t>Acknowledgments</w:t>
      </w:r>
    </w:p>
    <w:p w14:paraId="3CDB5C6B" w14:textId="77777777" w:rsidR="00CE7653" w:rsidRPr="004079BE" w:rsidRDefault="00CE7653" w:rsidP="008E1243">
      <w:pPr>
        <w:spacing w:line="360" w:lineRule="auto"/>
        <w:rPr>
          <w:sz w:val="22"/>
          <w:szCs w:val="22"/>
        </w:rPr>
      </w:pPr>
      <w:r w:rsidRPr="004079BE">
        <w:rPr>
          <w:sz w:val="22"/>
          <w:szCs w:val="22"/>
        </w:rPr>
        <w:t xml:space="preserve">We thank M Choudhury who assisted with applying for ethical approval, and E </w:t>
      </w:r>
      <w:proofErr w:type="spellStart"/>
      <w:r w:rsidRPr="004079BE">
        <w:rPr>
          <w:sz w:val="22"/>
          <w:szCs w:val="22"/>
        </w:rPr>
        <w:t>Protopapa</w:t>
      </w:r>
      <w:proofErr w:type="spellEnd"/>
      <w:r w:rsidRPr="004079BE">
        <w:rPr>
          <w:sz w:val="22"/>
          <w:szCs w:val="22"/>
        </w:rPr>
        <w:t xml:space="preserve">, who provided guidance on data analysis. We also thank all participants for their time and commitment to our study. </w:t>
      </w:r>
    </w:p>
    <w:p w14:paraId="46753D67" w14:textId="77777777" w:rsidR="00CE7653" w:rsidRPr="004079BE" w:rsidRDefault="00CE7653" w:rsidP="00CE7653">
      <w:pPr>
        <w:pStyle w:val="Heading1"/>
      </w:pPr>
      <w:r w:rsidRPr="004079BE">
        <w:t>Contributors</w:t>
      </w:r>
    </w:p>
    <w:p w14:paraId="1AC16BAA" w14:textId="77777777" w:rsidR="00CE7653" w:rsidRPr="004079BE" w:rsidRDefault="00CE7653" w:rsidP="008E1243">
      <w:pPr>
        <w:spacing w:line="360" w:lineRule="auto"/>
        <w:rPr>
          <w:rFonts w:ascii="MetaProNormal" w:hAnsi="MetaProNormal" w:hint="eastAsia"/>
          <w:sz w:val="22"/>
          <w:szCs w:val="22"/>
        </w:rPr>
      </w:pPr>
      <w:r w:rsidRPr="004079BE">
        <w:rPr>
          <w:sz w:val="22"/>
          <w:szCs w:val="22"/>
        </w:rPr>
        <w:t>CG and AR were responsible for study concept and design, sampling and participant recruitment. RM and FM were responsible for data acquisition. CG led the data analysis, with contribution from all authors. CG led drafting of the manuscript, with contribution from all authors. All authors contributed to critical revision of the manuscript.</w:t>
      </w:r>
    </w:p>
    <w:p w14:paraId="094C2B08" w14:textId="77777777" w:rsidR="00CE7653" w:rsidRPr="004079BE" w:rsidRDefault="00CE7653" w:rsidP="00CE7653">
      <w:pPr>
        <w:pStyle w:val="Heading1"/>
      </w:pPr>
      <w:r w:rsidRPr="004079BE">
        <w:t>Funding</w:t>
      </w:r>
    </w:p>
    <w:p w14:paraId="4A1B9651" w14:textId="77777777" w:rsidR="00CE7653" w:rsidRPr="004079BE" w:rsidRDefault="00CE7653" w:rsidP="008E1243">
      <w:pPr>
        <w:spacing w:line="360" w:lineRule="auto"/>
        <w:rPr>
          <w:sz w:val="22"/>
          <w:szCs w:val="22"/>
        </w:rPr>
      </w:pPr>
      <w:r w:rsidRPr="004079BE">
        <w:rPr>
          <w:sz w:val="22"/>
          <w:szCs w:val="22"/>
        </w:rPr>
        <w:t>The study received no external funding.</w:t>
      </w:r>
    </w:p>
    <w:p w14:paraId="1F62750C" w14:textId="77777777" w:rsidR="00CE7653" w:rsidRPr="004079BE" w:rsidRDefault="00CE7653" w:rsidP="00CE7653">
      <w:pPr>
        <w:pStyle w:val="Heading1"/>
      </w:pPr>
      <w:r w:rsidRPr="004079BE">
        <w:t>Competing interests</w:t>
      </w:r>
    </w:p>
    <w:p w14:paraId="1F311C1D" w14:textId="77777777" w:rsidR="00CE7653" w:rsidRPr="004079BE" w:rsidRDefault="00CE7653" w:rsidP="008E1243">
      <w:pPr>
        <w:spacing w:line="360" w:lineRule="auto"/>
        <w:rPr>
          <w:sz w:val="22"/>
          <w:szCs w:val="22"/>
        </w:rPr>
      </w:pPr>
      <w:r w:rsidRPr="004079BE">
        <w:rPr>
          <w:sz w:val="22"/>
          <w:szCs w:val="22"/>
        </w:rPr>
        <w:t>None declared.</w:t>
      </w:r>
    </w:p>
    <w:p w14:paraId="3A103457" w14:textId="77777777" w:rsidR="00CE7653" w:rsidRPr="004079BE" w:rsidRDefault="00CE7653" w:rsidP="00CE7653">
      <w:pPr>
        <w:pStyle w:val="Heading1"/>
      </w:pPr>
      <w:r w:rsidRPr="004079BE">
        <w:lastRenderedPageBreak/>
        <w:t>Ethical approval</w:t>
      </w:r>
    </w:p>
    <w:p w14:paraId="1AB4C31A" w14:textId="77777777" w:rsidR="00CE7653" w:rsidRPr="004079BE" w:rsidRDefault="00CE7653" w:rsidP="008E1243">
      <w:pPr>
        <w:spacing w:line="360" w:lineRule="auto"/>
        <w:rPr>
          <w:sz w:val="22"/>
          <w:szCs w:val="22"/>
        </w:rPr>
      </w:pPr>
      <w:r w:rsidRPr="004079BE">
        <w:rPr>
          <w:sz w:val="22"/>
          <w:szCs w:val="22"/>
        </w:rPr>
        <w:t xml:space="preserve">The study was approved by </w:t>
      </w:r>
      <w:r w:rsidRPr="004079BE">
        <w:rPr>
          <w:sz w:val="22"/>
          <w:szCs w:val="22"/>
          <w:lang w:val="en-US" w:eastAsia="ja-JP"/>
        </w:rPr>
        <w:t>The University of Sheffield School of Health and Related Research (</w:t>
      </w:r>
      <w:proofErr w:type="spellStart"/>
      <w:r w:rsidRPr="004079BE">
        <w:rPr>
          <w:sz w:val="22"/>
          <w:szCs w:val="22"/>
          <w:lang w:val="en-US" w:eastAsia="ja-JP"/>
        </w:rPr>
        <w:t>ScHARR</w:t>
      </w:r>
      <w:proofErr w:type="spellEnd"/>
      <w:r w:rsidRPr="004079BE">
        <w:rPr>
          <w:sz w:val="22"/>
          <w:szCs w:val="22"/>
          <w:lang w:val="en-US" w:eastAsia="ja-JP"/>
        </w:rPr>
        <w:t xml:space="preserve">) Research Ethics Committee (ref: NICE008) and </w:t>
      </w:r>
      <w:proofErr w:type="gramStart"/>
      <w:r w:rsidRPr="004079BE">
        <w:rPr>
          <w:sz w:val="22"/>
          <w:szCs w:val="22"/>
          <w:lang w:val="en-US" w:eastAsia="ja-JP"/>
        </w:rPr>
        <w:t>informed consent was given verbally by all participants</w:t>
      </w:r>
      <w:proofErr w:type="gramEnd"/>
      <w:r w:rsidRPr="004079BE">
        <w:rPr>
          <w:sz w:val="22"/>
          <w:szCs w:val="22"/>
          <w:lang w:val="en-US" w:eastAsia="ja-JP"/>
        </w:rPr>
        <w:t>.</w:t>
      </w:r>
    </w:p>
    <w:p w14:paraId="23AD7997" w14:textId="77777777" w:rsidR="00CE7653" w:rsidRPr="004079BE" w:rsidRDefault="00CE7653" w:rsidP="00CE7653">
      <w:pPr>
        <w:pStyle w:val="Heading1"/>
      </w:pPr>
      <w:r w:rsidRPr="004079BE">
        <w:t>Reference list</w:t>
      </w:r>
    </w:p>
    <w:p w14:paraId="511E51B9" w14:textId="77777777" w:rsidR="00CE7653" w:rsidRPr="004079BE" w:rsidRDefault="00CE7653" w:rsidP="00CE7653">
      <w:pPr>
        <w:pStyle w:val="ListParagraph"/>
        <w:numPr>
          <w:ilvl w:val="0"/>
          <w:numId w:val="8"/>
        </w:numPr>
        <w:spacing w:line="360" w:lineRule="auto"/>
        <w:rPr>
          <w:rFonts w:cs="Arial"/>
          <w:sz w:val="22"/>
          <w:szCs w:val="22"/>
        </w:rPr>
      </w:pPr>
      <w:r w:rsidRPr="004079BE">
        <w:rPr>
          <w:rFonts w:cs="Arial"/>
          <w:sz w:val="22"/>
          <w:szCs w:val="22"/>
        </w:rPr>
        <w:t>Great Britain, Department of Health. 2016. Annual Report and Accounts 2015-16. Stationary Office, London. Available from: https://www.gov.uk/government/uploads/system/uploads/attachment_data/file/539602/DH_Annual_Report_Web.pdf</w:t>
      </w:r>
    </w:p>
    <w:p w14:paraId="13320512" w14:textId="77777777" w:rsidR="00CE7653" w:rsidRPr="004079BE" w:rsidRDefault="00CE7653" w:rsidP="00CE7653">
      <w:pPr>
        <w:pStyle w:val="ListParagraph"/>
        <w:numPr>
          <w:ilvl w:val="0"/>
          <w:numId w:val="8"/>
        </w:numPr>
        <w:spacing w:line="360" w:lineRule="auto"/>
        <w:rPr>
          <w:rFonts w:cs="Arial"/>
          <w:sz w:val="22"/>
          <w:szCs w:val="22"/>
        </w:rPr>
      </w:pPr>
      <w:r w:rsidRPr="004079BE">
        <w:rPr>
          <w:rFonts w:cs="Arial"/>
          <w:sz w:val="22"/>
          <w:szCs w:val="22"/>
        </w:rPr>
        <w:t>Great Britain, Department of Health. 2011a. Innovation, health and wealth: Accelerating adoption and diffusion in the NHS. Stationary Office, London. Available from: http://webarchive.nationalarchives.gov.uk/20130107105354/http:/www.dh.gov.uk/prod_consum_dh/groups/dh_digitalassets/documents/digitalasset/dh_134597.pdf</w:t>
      </w:r>
    </w:p>
    <w:p w14:paraId="00F9355F" w14:textId="77777777" w:rsidR="00CE7653" w:rsidRPr="004079BE" w:rsidRDefault="00CE7653" w:rsidP="00CE7653">
      <w:pPr>
        <w:pStyle w:val="ListParagraph"/>
        <w:numPr>
          <w:ilvl w:val="0"/>
          <w:numId w:val="8"/>
        </w:numPr>
        <w:spacing w:line="360" w:lineRule="auto"/>
        <w:rPr>
          <w:rFonts w:cs="Arial"/>
          <w:sz w:val="22"/>
          <w:szCs w:val="22"/>
        </w:rPr>
      </w:pPr>
      <w:r w:rsidRPr="004079BE">
        <w:rPr>
          <w:rFonts w:cs="Arial"/>
          <w:sz w:val="22"/>
          <w:szCs w:val="22"/>
        </w:rPr>
        <w:t xml:space="preserve">The National Institute of Health and Care Excellence (NICE). </w:t>
      </w:r>
      <w:proofErr w:type="spellStart"/>
      <w:r w:rsidRPr="004079BE">
        <w:rPr>
          <w:rFonts w:cs="Arial"/>
          <w:sz w:val="22"/>
          <w:szCs w:val="22"/>
        </w:rPr>
        <w:t>N.d.</w:t>
      </w:r>
      <w:proofErr w:type="spellEnd"/>
      <w:r w:rsidRPr="004079BE">
        <w:rPr>
          <w:rFonts w:cs="Arial"/>
          <w:sz w:val="22"/>
          <w:szCs w:val="22"/>
        </w:rPr>
        <w:t xml:space="preserve"> NICE: What we do. [Online</w:t>
      </w:r>
      <w:r w:rsidRPr="004079BE">
        <w:rPr>
          <w:rFonts w:cs="Arial"/>
          <w:i/>
          <w:sz w:val="22"/>
          <w:szCs w:val="22"/>
        </w:rPr>
        <w:t>.</w:t>
      </w:r>
      <w:r w:rsidRPr="004079BE">
        <w:rPr>
          <w:rFonts w:cs="Arial"/>
          <w:sz w:val="22"/>
          <w:szCs w:val="22"/>
        </w:rPr>
        <w:t>] Available from: https://www.nice.org.uk/about/what-we-do</w:t>
      </w:r>
    </w:p>
    <w:p w14:paraId="738128F8" w14:textId="77777777" w:rsidR="00CE7653" w:rsidRPr="004079BE" w:rsidRDefault="00CE7653" w:rsidP="00CE7653">
      <w:pPr>
        <w:pStyle w:val="ListParagraph"/>
        <w:numPr>
          <w:ilvl w:val="0"/>
          <w:numId w:val="8"/>
        </w:numPr>
        <w:spacing w:line="360" w:lineRule="auto"/>
        <w:rPr>
          <w:rFonts w:cs="Arial"/>
          <w:sz w:val="22"/>
          <w:szCs w:val="22"/>
        </w:rPr>
      </w:pPr>
      <w:r w:rsidRPr="004079BE">
        <w:rPr>
          <w:rFonts w:cs="Arial"/>
          <w:sz w:val="22"/>
          <w:szCs w:val="22"/>
        </w:rPr>
        <w:t>NHS England. 2016. Annual Report 2015/16. Stationary Office, London. Available from: https://www.england.nhs.uk/wp-content/uploads/2016/07/nhse-annual-rep-201516.pdf</w:t>
      </w:r>
    </w:p>
    <w:p w14:paraId="3D0D996C" w14:textId="77777777" w:rsidR="00CE7653" w:rsidRPr="004079BE" w:rsidRDefault="00CE7653" w:rsidP="00CE7653">
      <w:pPr>
        <w:pStyle w:val="ListParagraph"/>
        <w:numPr>
          <w:ilvl w:val="0"/>
          <w:numId w:val="8"/>
        </w:numPr>
        <w:spacing w:line="360" w:lineRule="auto"/>
        <w:rPr>
          <w:rFonts w:cs="Arial"/>
          <w:sz w:val="22"/>
          <w:szCs w:val="22"/>
        </w:rPr>
      </w:pPr>
      <w:r w:rsidRPr="004079BE">
        <w:rPr>
          <w:rFonts w:cs="Arial"/>
          <w:color w:val="262626"/>
          <w:sz w:val="22"/>
          <w:szCs w:val="22"/>
          <w:lang w:val="en-US"/>
        </w:rPr>
        <w:t xml:space="preserve">NHS England. </w:t>
      </w:r>
      <w:proofErr w:type="spellStart"/>
      <w:r w:rsidRPr="004079BE">
        <w:rPr>
          <w:rFonts w:cs="Arial"/>
          <w:color w:val="262626"/>
          <w:sz w:val="22"/>
          <w:szCs w:val="22"/>
          <w:lang w:val="en-US"/>
        </w:rPr>
        <w:t>N.d.</w:t>
      </w:r>
      <w:proofErr w:type="spellEnd"/>
      <w:r w:rsidRPr="004079BE">
        <w:rPr>
          <w:rFonts w:cs="Arial"/>
          <w:color w:val="262626"/>
          <w:sz w:val="22"/>
          <w:szCs w:val="22"/>
          <w:lang w:val="en-US"/>
        </w:rPr>
        <w:t xml:space="preserve"> Our work: Partnerships and relationships: Academic Health Science Networks. [online] Available from: https://www.england.nhs.uk/ourwork/part-rel/ahsn/</w:t>
      </w:r>
    </w:p>
    <w:p w14:paraId="4DC395D5" w14:textId="77777777" w:rsidR="00CE7653" w:rsidRPr="004079BE" w:rsidRDefault="00CE7653" w:rsidP="00CE7653">
      <w:pPr>
        <w:pStyle w:val="ListParagraph"/>
        <w:numPr>
          <w:ilvl w:val="0"/>
          <w:numId w:val="8"/>
        </w:numPr>
        <w:spacing w:line="360" w:lineRule="auto"/>
        <w:rPr>
          <w:rFonts w:cs="Arial"/>
          <w:sz w:val="22"/>
          <w:szCs w:val="22"/>
        </w:rPr>
      </w:pPr>
      <w:r w:rsidRPr="004079BE">
        <w:rPr>
          <w:rFonts w:cs="Arial"/>
          <w:sz w:val="22"/>
          <w:szCs w:val="22"/>
        </w:rPr>
        <w:t>Great Britain, Department of Health. 2014. Examining new options and opportunities for providers of NHS care: The Dalton Review. Available from: https://www.gov.uk/government/uploads/system/uploads/attachment_data/file/384126/Dalton_Review.pdf</w:t>
      </w:r>
    </w:p>
    <w:p w14:paraId="6357DECC" w14:textId="77777777" w:rsidR="00CE7653" w:rsidRPr="004079BE" w:rsidRDefault="00CE7653" w:rsidP="00CE7653">
      <w:pPr>
        <w:pStyle w:val="ListParagraph"/>
        <w:numPr>
          <w:ilvl w:val="0"/>
          <w:numId w:val="8"/>
        </w:numPr>
        <w:spacing w:line="360" w:lineRule="auto"/>
        <w:rPr>
          <w:rFonts w:cs="Arial"/>
          <w:i/>
          <w:sz w:val="22"/>
          <w:szCs w:val="22"/>
        </w:rPr>
      </w:pPr>
      <w:proofErr w:type="spellStart"/>
      <w:r w:rsidRPr="004079BE">
        <w:rPr>
          <w:rFonts w:cs="Arial"/>
          <w:sz w:val="22"/>
          <w:szCs w:val="22"/>
        </w:rPr>
        <w:t>Greenhalgh</w:t>
      </w:r>
      <w:proofErr w:type="spellEnd"/>
      <w:r w:rsidRPr="004079BE">
        <w:rPr>
          <w:rFonts w:cs="Arial"/>
          <w:sz w:val="22"/>
          <w:szCs w:val="22"/>
        </w:rPr>
        <w:t xml:space="preserve"> T, Robert G, Bate P, </w:t>
      </w:r>
      <w:proofErr w:type="spellStart"/>
      <w:r w:rsidRPr="004079BE">
        <w:rPr>
          <w:rFonts w:cs="Arial"/>
          <w:sz w:val="22"/>
          <w:szCs w:val="22"/>
        </w:rPr>
        <w:t>Kyriakidou</w:t>
      </w:r>
      <w:proofErr w:type="spellEnd"/>
      <w:r w:rsidRPr="004079BE">
        <w:rPr>
          <w:rFonts w:cs="Arial"/>
          <w:sz w:val="22"/>
          <w:szCs w:val="22"/>
        </w:rPr>
        <w:t xml:space="preserve"> O, Macfarlane F, Peacock R. 2004. How to spread good ideas. A systematic review of the literature on diffusion, dissemination and sustainability of innovations in health service delivery and organisation. </w:t>
      </w:r>
      <w:r w:rsidRPr="004079BE">
        <w:rPr>
          <w:rFonts w:cs="Arial"/>
          <w:i/>
          <w:sz w:val="22"/>
          <w:szCs w:val="22"/>
        </w:rPr>
        <w:t>Report for the National Co-ordinating Centre for NHS Service Delivery and Organisation R &amp; D (NCCSDO)</w:t>
      </w:r>
    </w:p>
    <w:p w14:paraId="3D0B30D2" w14:textId="77777777" w:rsidR="00CE7653" w:rsidRPr="004079BE" w:rsidRDefault="00CE7653" w:rsidP="00CE7653">
      <w:pPr>
        <w:pStyle w:val="ListParagraph"/>
        <w:numPr>
          <w:ilvl w:val="0"/>
          <w:numId w:val="8"/>
        </w:numPr>
        <w:spacing w:line="360" w:lineRule="auto"/>
        <w:rPr>
          <w:rFonts w:cs="Arial"/>
          <w:i/>
          <w:sz w:val="22"/>
          <w:szCs w:val="22"/>
        </w:rPr>
      </w:pPr>
      <w:r w:rsidRPr="004079BE">
        <w:rPr>
          <w:rFonts w:cs="Arial"/>
          <w:sz w:val="22"/>
          <w:szCs w:val="22"/>
        </w:rPr>
        <w:t>Rogers EM. 1995. Diffusion of innovations.</w:t>
      </w:r>
      <w:r w:rsidRPr="004079BE">
        <w:rPr>
          <w:rFonts w:cs="Arial"/>
          <w:i/>
          <w:sz w:val="22"/>
          <w:szCs w:val="22"/>
        </w:rPr>
        <w:t xml:space="preserve"> New York: Free Press</w:t>
      </w:r>
    </w:p>
    <w:p w14:paraId="715CB3AA" w14:textId="77777777" w:rsidR="00CE7653" w:rsidRPr="004079BE" w:rsidRDefault="00CE7653" w:rsidP="00CE7653">
      <w:pPr>
        <w:pStyle w:val="ListParagraph"/>
        <w:numPr>
          <w:ilvl w:val="0"/>
          <w:numId w:val="8"/>
        </w:numPr>
        <w:spacing w:line="360" w:lineRule="auto"/>
        <w:rPr>
          <w:rFonts w:cs="Arial"/>
          <w:sz w:val="22"/>
          <w:szCs w:val="22"/>
        </w:rPr>
      </w:pPr>
      <w:proofErr w:type="spellStart"/>
      <w:r w:rsidRPr="004079BE">
        <w:rPr>
          <w:rFonts w:cs="Arial"/>
          <w:sz w:val="22"/>
          <w:szCs w:val="22"/>
        </w:rPr>
        <w:t>Flodgren</w:t>
      </w:r>
      <w:proofErr w:type="spellEnd"/>
      <w:r w:rsidRPr="004079BE">
        <w:rPr>
          <w:rFonts w:cs="Arial"/>
          <w:sz w:val="22"/>
          <w:szCs w:val="22"/>
        </w:rPr>
        <w:t xml:space="preserve"> G, </w:t>
      </w:r>
      <w:proofErr w:type="spellStart"/>
      <w:r w:rsidRPr="004079BE">
        <w:rPr>
          <w:rFonts w:cs="Arial"/>
          <w:sz w:val="22"/>
          <w:szCs w:val="22"/>
        </w:rPr>
        <w:t>Permelli</w:t>
      </w:r>
      <w:proofErr w:type="spellEnd"/>
      <w:r w:rsidRPr="004079BE">
        <w:rPr>
          <w:rFonts w:cs="Arial"/>
          <w:sz w:val="22"/>
          <w:szCs w:val="22"/>
        </w:rPr>
        <w:t xml:space="preserve"> E, </w:t>
      </w:r>
      <w:proofErr w:type="spellStart"/>
      <w:r w:rsidRPr="004079BE">
        <w:rPr>
          <w:rFonts w:cs="Arial"/>
          <w:sz w:val="22"/>
          <w:szCs w:val="22"/>
        </w:rPr>
        <w:t>Doumit</w:t>
      </w:r>
      <w:proofErr w:type="spellEnd"/>
      <w:r w:rsidRPr="004079BE">
        <w:rPr>
          <w:rFonts w:cs="Arial"/>
          <w:sz w:val="22"/>
          <w:szCs w:val="22"/>
        </w:rPr>
        <w:t xml:space="preserve"> G, </w:t>
      </w:r>
      <w:proofErr w:type="spellStart"/>
      <w:r w:rsidRPr="004079BE">
        <w:rPr>
          <w:rFonts w:cs="Arial"/>
          <w:sz w:val="22"/>
          <w:szCs w:val="22"/>
        </w:rPr>
        <w:t>Gattellari</w:t>
      </w:r>
      <w:proofErr w:type="spellEnd"/>
      <w:r w:rsidRPr="004079BE">
        <w:rPr>
          <w:rFonts w:cs="Arial"/>
          <w:sz w:val="22"/>
          <w:szCs w:val="22"/>
        </w:rPr>
        <w:t xml:space="preserve"> M, O’Brian MA, </w:t>
      </w:r>
      <w:proofErr w:type="spellStart"/>
      <w:r w:rsidRPr="004079BE">
        <w:rPr>
          <w:rFonts w:cs="Arial"/>
          <w:sz w:val="22"/>
          <w:szCs w:val="22"/>
        </w:rPr>
        <w:t>Grimshaw</w:t>
      </w:r>
      <w:proofErr w:type="spellEnd"/>
      <w:r w:rsidRPr="004079BE">
        <w:rPr>
          <w:rFonts w:cs="Arial"/>
          <w:sz w:val="22"/>
          <w:szCs w:val="22"/>
        </w:rPr>
        <w:t xml:space="preserve"> J, Eccles MP. 2011. Local opinion leaders: effects on professional practice and health care outcomes. </w:t>
      </w:r>
      <w:r w:rsidRPr="004079BE">
        <w:rPr>
          <w:rFonts w:cs="Arial"/>
          <w:i/>
          <w:sz w:val="22"/>
          <w:szCs w:val="22"/>
        </w:rPr>
        <w:t>Cochrane Database of Systematic Reviews</w:t>
      </w:r>
      <w:r w:rsidRPr="004079BE">
        <w:rPr>
          <w:rFonts w:cs="Arial"/>
          <w:sz w:val="22"/>
          <w:szCs w:val="22"/>
        </w:rPr>
        <w:t xml:space="preserve"> 2011, Issue 8. Art. No.: CD000125</w:t>
      </w:r>
    </w:p>
    <w:p w14:paraId="0C6576A0" w14:textId="77777777" w:rsidR="00CE7653" w:rsidRPr="004079BE" w:rsidRDefault="00CE7653" w:rsidP="00CE7653">
      <w:pPr>
        <w:pStyle w:val="ListParagraph"/>
        <w:numPr>
          <w:ilvl w:val="0"/>
          <w:numId w:val="8"/>
        </w:numPr>
        <w:spacing w:line="360" w:lineRule="auto"/>
        <w:rPr>
          <w:rFonts w:cs="Arial"/>
          <w:i/>
          <w:sz w:val="22"/>
          <w:szCs w:val="22"/>
        </w:rPr>
      </w:pPr>
      <w:r w:rsidRPr="004079BE">
        <w:rPr>
          <w:rFonts w:cs="Arial"/>
          <w:sz w:val="22"/>
          <w:szCs w:val="22"/>
        </w:rPr>
        <w:lastRenderedPageBreak/>
        <w:t xml:space="preserve">Tomlin Z, Peirce S, </w:t>
      </w:r>
      <w:proofErr w:type="spellStart"/>
      <w:r w:rsidRPr="004079BE">
        <w:rPr>
          <w:rFonts w:cs="Arial"/>
          <w:sz w:val="22"/>
          <w:szCs w:val="22"/>
        </w:rPr>
        <w:t>Elwyn</w:t>
      </w:r>
      <w:proofErr w:type="spellEnd"/>
      <w:r w:rsidRPr="004079BE">
        <w:rPr>
          <w:rFonts w:cs="Arial"/>
          <w:sz w:val="22"/>
          <w:szCs w:val="22"/>
        </w:rPr>
        <w:t xml:space="preserve"> G, Faulkner A. 2012. The adoption space of early-emerging technologies: evaluation, innovation, gatekeeping (PATH). Final report. </w:t>
      </w:r>
      <w:r w:rsidRPr="004079BE">
        <w:rPr>
          <w:rFonts w:cs="Arial"/>
          <w:i/>
          <w:sz w:val="22"/>
          <w:szCs w:val="22"/>
        </w:rPr>
        <w:t>NIHR Service Delivery and Organisation programme</w:t>
      </w:r>
    </w:p>
    <w:p w14:paraId="2B8480F6" w14:textId="77777777" w:rsidR="00CE7653" w:rsidRPr="004079BE" w:rsidRDefault="00CE7653" w:rsidP="00CE7653">
      <w:pPr>
        <w:pStyle w:val="ListParagraph"/>
        <w:numPr>
          <w:ilvl w:val="0"/>
          <w:numId w:val="8"/>
        </w:numPr>
        <w:spacing w:line="360" w:lineRule="auto"/>
        <w:rPr>
          <w:rFonts w:cs="Arial"/>
          <w:sz w:val="22"/>
          <w:szCs w:val="22"/>
        </w:rPr>
      </w:pPr>
      <w:r w:rsidRPr="004079BE">
        <w:rPr>
          <w:rFonts w:cs="Arial"/>
          <w:sz w:val="22"/>
          <w:szCs w:val="22"/>
        </w:rPr>
        <w:t xml:space="preserve">West E, Barron DN, </w:t>
      </w:r>
      <w:proofErr w:type="spellStart"/>
      <w:r w:rsidRPr="004079BE">
        <w:rPr>
          <w:rFonts w:cs="Arial"/>
          <w:sz w:val="22"/>
          <w:szCs w:val="22"/>
        </w:rPr>
        <w:t>Dowsett</w:t>
      </w:r>
      <w:proofErr w:type="spellEnd"/>
      <w:r w:rsidRPr="004079BE">
        <w:rPr>
          <w:rFonts w:cs="Arial"/>
          <w:sz w:val="22"/>
          <w:szCs w:val="22"/>
        </w:rPr>
        <w:t xml:space="preserve"> J, Newton JN. 1999. Hierarchies and cliques in the social networks of health care professionals: implications for the design of dissemination strategies. </w:t>
      </w:r>
      <w:r w:rsidRPr="004079BE">
        <w:rPr>
          <w:rFonts w:cs="Arial"/>
          <w:i/>
          <w:sz w:val="22"/>
          <w:szCs w:val="22"/>
        </w:rPr>
        <w:t>Social Science &amp; Medicine</w:t>
      </w:r>
      <w:r w:rsidRPr="004079BE">
        <w:rPr>
          <w:rFonts w:cs="Arial"/>
          <w:sz w:val="22"/>
          <w:szCs w:val="22"/>
        </w:rPr>
        <w:t xml:space="preserve"> 48: 633-46</w:t>
      </w:r>
    </w:p>
    <w:p w14:paraId="155436FC" w14:textId="77777777" w:rsidR="00CE7653" w:rsidRPr="004079BE" w:rsidRDefault="00CE7653" w:rsidP="00CE7653">
      <w:pPr>
        <w:pStyle w:val="ListParagraph"/>
        <w:numPr>
          <w:ilvl w:val="0"/>
          <w:numId w:val="8"/>
        </w:numPr>
        <w:spacing w:line="360" w:lineRule="auto"/>
        <w:rPr>
          <w:rFonts w:cs="Arial"/>
          <w:sz w:val="22"/>
          <w:szCs w:val="22"/>
        </w:rPr>
      </w:pPr>
      <w:r w:rsidRPr="004079BE">
        <w:rPr>
          <w:rFonts w:cs="Arial"/>
          <w:sz w:val="22"/>
          <w:szCs w:val="22"/>
        </w:rPr>
        <w:t xml:space="preserve">Adler PS, Riley P, Kwon S-W, Signer J, Lee B and </w:t>
      </w:r>
      <w:proofErr w:type="spellStart"/>
      <w:r w:rsidRPr="004079BE">
        <w:rPr>
          <w:rFonts w:cs="Arial"/>
          <w:sz w:val="22"/>
          <w:szCs w:val="22"/>
        </w:rPr>
        <w:t>Satrasala</w:t>
      </w:r>
      <w:proofErr w:type="spellEnd"/>
      <w:r w:rsidRPr="004079BE">
        <w:rPr>
          <w:rFonts w:cs="Arial"/>
          <w:sz w:val="22"/>
          <w:szCs w:val="22"/>
        </w:rPr>
        <w:t xml:space="preserve"> R. 2003. Performance Improvement Capability: Keys to Accelerating Performance Improvement in Hospitals. </w:t>
      </w:r>
      <w:r w:rsidRPr="004079BE">
        <w:rPr>
          <w:rFonts w:cs="Arial"/>
          <w:i/>
          <w:sz w:val="22"/>
          <w:szCs w:val="22"/>
        </w:rPr>
        <w:t>California Management Review</w:t>
      </w:r>
      <w:r w:rsidRPr="004079BE">
        <w:rPr>
          <w:rFonts w:cs="Arial"/>
          <w:sz w:val="22"/>
          <w:szCs w:val="22"/>
        </w:rPr>
        <w:t xml:space="preserve"> 45 (2) 12-33</w:t>
      </w:r>
    </w:p>
    <w:p w14:paraId="5ACE1E50" w14:textId="77777777" w:rsidR="00CE7653" w:rsidRPr="004079BE" w:rsidRDefault="00CE7653" w:rsidP="00CE7653">
      <w:pPr>
        <w:pStyle w:val="ListParagraph"/>
        <w:numPr>
          <w:ilvl w:val="0"/>
          <w:numId w:val="8"/>
        </w:numPr>
        <w:spacing w:line="360" w:lineRule="auto"/>
        <w:rPr>
          <w:rFonts w:cs="Arial"/>
          <w:sz w:val="22"/>
          <w:szCs w:val="22"/>
        </w:rPr>
      </w:pPr>
      <w:r w:rsidRPr="004079BE">
        <w:rPr>
          <w:rFonts w:cs="Arial"/>
          <w:sz w:val="22"/>
          <w:szCs w:val="22"/>
        </w:rPr>
        <w:t xml:space="preserve">Blumenthal D. 2004. Doctors and drug companies. </w:t>
      </w:r>
      <w:r w:rsidRPr="004079BE">
        <w:rPr>
          <w:rFonts w:cs="Arial"/>
          <w:i/>
          <w:sz w:val="22"/>
          <w:szCs w:val="22"/>
        </w:rPr>
        <w:t>NEJM</w:t>
      </w:r>
      <w:r w:rsidRPr="004079BE">
        <w:rPr>
          <w:rFonts w:cs="Arial"/>
          <w:sz w:val="22"/>
          <w:szCs w:val="22"/>
        </w:rPr>
        <w:t xml:space="preserve"> 351:1885–1890</w:t>
      </w:r>
    </w:p>
    <w:p w14:paraId="306DC8D1" w14:textId="77777777" w:rsidR="00CE7653" w:rsidRPr="004079BE" w:rsidRDefault="00CE7653" w:rsidP="00CE7653">
      <w:pPr>
        <w:pStyle w:val="ListParagraph"/>
        <w:numPr>
          <w:ilvl w:val="0"/>
          <w:numId w:val="8"/>
        </w:numPr>
        <w:spacing w:line="360" w:lineRule="auto"/>
        <w:rPr>
          <w:rFonts w:cs="Arial"/>
          <w:sz w:val="22"/>
          <w:szCs w:val="22"/>
        </w:rPr>
      </w:pPr>
      <w:r w:rsidRPr="004079BE">
        <w:rPr>
          <w:rFonts w:cs="Arial"/>
          <w:sz w:val="22"/>
          <w:szCs w:val="22"/>
        </w:rPr>
        <w:t>Brennan T et al. 2006. Health Industry Practices That Create Conflicts of Interest:</w:t>
      </w:r>
    </w:p>
    <w:p w14:paraId="7EBDC706" w14:textId="77777777" w:rsidR="00CE7653" w:rsidRPr="004079BE" w:rsidRDefault="00CE7653" w:rsidP="00CE7653">
      <w:pPr>
        <w:pStyle w:val="ListParagraph"/>
        <w:spacing w:line="360" w:lineRule="auto"/>
        <w:rPr>
          <w:rFonts w:cs="Arial"/>
          <w:color w:val="262626"/>
          <w:sz w:val="22"/>
          <w:szCs w:val="22"/>
          <w:lang w:val="en-US"/>
        </w:rPr>
      </w:pPr>
      <w:proofErr w:type="gramStart"/>
      <w:r w:rsidRPr="004079BE">
        <w:rPr>
          <w:rFonts w:cs="Arial"/>
          <w:sz w:val="22"/>
          <w:szCs w:val="22"/>
        </w:rPr>
        <w:t xml:space="preserve">A Policy Proposal for Academic Medical </w:t>
      </w:r>
      <w:proofErr w:type="spellStart"/>
      <w:r w:rsidRPr="004079BE">
        <w:rPr>
          <w:rFonts w:cs="Arial"/>
          <w:sz w:val="22"/>
          <w:szCs w:val="22"/>
        </w:rPr>
        <w:t>Centers</w:t>
      </w:r>
      <w:proofErr w:type="spellEnd"/>
      <w:r w:rsidRPr="004079BE">
        <w:rPr>
          <w:rFonts w:cs="Arial"/>
          <w:sz w:val="22"/>
          <w:szCs w:val="22"/>
        </w:rPr>
        <w:t>.</w:t>
      </w:r>
      <w:proofErr w:type="gramEnd"/>
      <w:r w:rsidRPr="004079BE">
        <w:rPr>
          <w:rFonts w:cs="Arial"/>
          <w:sz w:val="22"/>
          <w:szCs w:val="22"/>
        </w:rPr>
        <w:t xml:space="preserve"> </w:t>
      </w:r>
      <w:r w:rsidRPr="004079BE">
        <w:rPr>
          <w:rFonts w:cs="Arial"/>
          <w:i/>
          <w:sz w:val="22"/>
          <w:szCs w:val="22"/>
        </w:rPr>
        <w:t xml:space="preserve">JAMA </w:t>
      </w:r>
      <w:r w:rsidRPr="004079BE">
        <w:rPr>
          <w:rFonts w:cs="Arial"/>
          <w:color w:val="262626"/>
          <w:sz w:val="22"/>
          <w:szCs w:val="22"/>
          <w:lang w:val="en-US"/>
        </w:rPr>
        <w:t>295(4):429-433 doi:10.1001/jama.295.4.429</w:t>
      </w:r>
    </w:p>
    <w:p w14:paraId="51892DDC" w14:textId="77777777" w:rsidR="00CE7653" w:rsidRPr="004079BE" w:rsidRDefault="00CE7653" w:rsidP="00CE7653">
      <w:pPr>
        <w:pStyle w:val="ListParagraph"/>
        <w:numPr>
          <w:ilvl w:val="0"/>
          <w:numId w:val="8"/>
        </w:numPr>
        <w:spacing w:line="360" w:lineRule="auto"/>
        <w:rPr>
          <w:rFonts w:cs="Arial"/>
          <w:sz w:val="22"/>
          <w:szCs w:val="22"/>
        </w:rPr>
      </w:pPr>
      <w:proofErr w:type="spellStart"/>
      <w:r w:rsidRPr="004079BE">
        <w:rPr>
          <w:rFonts w:cs="Arial"/>
          <w:sz w:val="22"/>
          <w:szCs w:val="22"/>
        </w:rPr>
        <w:t>Guyatt</w:t>
      </w:r>
      <w:proofErr w:type="spellEnd"/>
      <w:r w:rsidRPr="004079BE">
        <w:rPr>
          <w:rFonts w:cs="Arial"/>
          <w:sz w:val="22"/>
          <w:szCs w:val="22"/>
        </w:rPr>
        <w:t xml:space="preserve"> G et al. 1992. Evidence based medicine: a new approach to teaching the practice of medicine. </w:t>
      </w:r>
      <w:r w:rsidRPr="004079BE">
        <w:rPr>
          <w:rFonts w:cs="Arial"/>
          <w:i/>
          <w:sz w:val="22"/>
          <w:szCs w:val="22"/>
        </w:rPr>
        <w:t>JAMA</w:t>
      </w:r>
      <w:r w:rsidRPr="004079BE">
        <w:rPr>
          <w:rFonts w:cs="Arial"/>
          <w:sz w:val="22"/>
          <w:szCs w:val="22"/>
        </w:rPr>
        <w:t xml:space="preserve"> 268 (17)2420-2425 doi:10.1001/jama.1992.03490170092032</w:t>
      </w:r>
    </w:p>
    <w:p w14:paraId="16B1345B" w14:textId="77777777" w:rsidR="00CE7653" w:rsidRPr="004079BE" w:rsidRDefault="00CE7653" w:rsidP="00CE7653">
      <w:pPr>
        <w:pStyle w:val="ListParagraph"/>
        <w:numPr>
          <w:ilvl w:val="0"/>
          <w:numId w:val="8"/>
        </w:numPr>
        <w:spacing w:line="360" w:lineRule="auto"/>
        <w:rPr>
          <w:rFonts w:cs="Arial"/>
          <w:sz w:val="22"/>
          <w:szCs w:val="22"/>
        </w:rPr>
      </w:pPr>
      <w:proofErr w:type="spellStart"/>
      <w:r w:rsidRPr="004079BE">
        <w:rPr>
          <w:rFonts w:cs="Arial"/>
          <w:sz w:val="22"/>
          <w:szCs w:val="22"/>
        </w:rPr>
        <w:t>Guyatt</w:t>
      </w:r>
      <w:proofErr w:type="spellEnd"/>
      <w:r w:rsidRPr="004079BE">
        <w:rPr>
          <w:rFonts w:cs="Arial"/>
          <w:sz w:val="22"/>
          <w:szCs w:val="22"/>
        </w:rPr>
        <w:t xml:space="preserve"> et al. 2000. Users' Guides to the Medical Literature XXV. Evidence-Based Medicine: Principles for Applying the Users' Guides to Patient Care. </w:t>
      </w:r>
      <w:r w:rsidRPr="004079BE">
        <w:rPr>
          <w:rFonts w:cs="Arial"/>
          <w:i/>
          <w:sz w:val="22"/>
          <w:szCs w:val="22"/>
        </w:rPr>
        <w:t>JAMA</w:t>
      </w:r>
      <w:r w:rsidRPr="004079BE">
        <w:rPr>
          <w:rFonts w:cs="Arial"/>
          <w:sz w:val="22"/>
          <w:szCs w:val="22"/>
        </w:rPr>
        <w:t xml:space="preserve"> 284(10):1290-1296 doi:10.1001/jama.284.10.1290</w:t>
      </w:r>
    </w:p>
    <w:p w14:paraId="27323BF6" w14:textId="77777777" w:rsidR="00CE7653" w:rsidRPr="004079BE" w:rsidRDefault="00CE7653" w:rsidP="00CE7653">
      <w:pPr>
        <w:pStyle w:val="ListParagraph"/>
        <w:numPr>
          <w:ilvl w:val="0"/>
          <w:numId w:val="8"/>
        </w:numPr>
        <w:spacing w:line="360" w:lineRule="auto"/>
        <w:rPr>
          <w:rFonts w:cs="Arial"/>
          <w:sz w:val="22"/>
          <w:szCs w:val="22"/>
        </w:rPr>
      </w:pPr>
      <w:proofErr w:type="spellStart"/>
      <w:r w:rsidRPr="004079BE">
        <w:rPr>
          <w:rFonts w:cs="Arial"/>
          <w:sz w:val="22"/>
          <w:szCs w:val="22"/>
        </w:rPr>
        <w:t>Grol</w:t>
      </w:r>
      <w:proofErr w:type="spellEnd"/>
      <w:r w:rsidRPr="004079BE">
        <w:rPr>
          <w:rFonts w:cs="Arial"/>
          <w:sz w:val="22"/>
          <w:szCs w:val="22"/>
        </w:rPr>
        <w:t xml:space="preserve"> R. 2001. Improving the quality of medical care. Building bridges among professional pride, payer profit, and patient satisfaction. </w:t>
      </w:r>
      <w:r w:rsidRPr="004079BE">
        <w:rPr>
          <w:rFonts w:cs="Arial"/>
          <w:i/>
          <w:sz w:val="22"/>
          <w:szCs w:val="22"/>
        </w:rPr>
        <w:t>Journal of the American Medical Association</w:t>
      </w:r>
      <w:r w:rsidRPr="004079BE">
        <w:rPr>
          <w:rFonts w:cs="Arial"/>
          <w:sz w:val="22"/>
          <w:szCs w:val="22"/>
        </w:rPr>
        <w:t xml:space="preserve"> 286: 2578-85</w:t>
      </w:r>
    </w:p>
    <w:p w14:paraId="4D3308FC" w14:textId="0E0F2AAD" w:rsidR="00CE7653" w:rsidRPr="004079BE" w:rsidRDefault="00CE7653" w:rsidP="00CE7653">
      <w:pPr>
        <w:pStyle w:val="ListParagraph"/>
        <w:numPr>
          <w:ilvl w:val="0"/>
          <w:numId w:val="8"/>
        </w:numPr>
        <w:spacing w:line="360" w:lineRule="auto"/>
        <w:rPr>
          <w:rFonts w:cs="Arial"/>
          <w:color w:val="262626"/>
          <w:sz w:val="22"/>
          <w:szCs w:val="22"/>
          <w:lang w:val="en-US"/>
        </w:rPr>
      </w:pPr>
      <w:r w:rsidRPr="004079BE">
        <w:rPr>
          <w:rFonts w:cs="Arial"/>
          <w:color w:val="262626"/>
          <w:sz w:val="22"/>
          <w:szCs w:val="22"/>
          <w:lang w:val="en-US"/>
        </w:rPr>
        <w:t xml:space="preserve">NHS England, Public Health England and NHS Right Care. 2015. NHS Atlas of variation in healthcare. Available from: </w:t>
      </w:r>
      <w:r w:rsidR="00890AB4" w:rsidRPr="004079BE">
        <w:rPr>
          <w:rFonts w:cs="Arial"/>
          <w:color w:val="262626"/>
          <w:sz w:val="22"/>
          <w:szCs w:val="22"/>
          <w:lang w:val="en-US"/>
        </w:rPr>
        <w:t>http://www.rightcare.nhs.uk/index.php/atlas/nhs-atlas-of-variation-in-healthcare-2015/</w:t>
      </w:r>
    </w:p>
    <w:p w14:paraId="103EF0DE" w14:textId="79F235B6" w:rsidR="00890AB4" w:rsidRPr="004079BE" w:rsidRDefault="00890AB4" w:rsidP="00CE7653">
      <w:pPr>
        <w:pStyle w:val="ListParagraph"/>
        <w:numPr>
          <w:ilvl w:val="0"/>
          <w:numId w:val="8"/>
        </w:numPr>
        <w:spacing w:line="360" w:lineRule="auto"/>
        <w:rPr>
          <w:rFonts w:cs="Arial"/>
          <w:color w:val="262626"/>
          <w:sz w:val="22"/>
          <w:szCs w:val="22"/>
          <w:lang w:val="en-US"/>
        </w:rPr>
      </w:pPr>
      <w:r w:rsidRPr="004079BE">
        <w:rPr>
          <w:rFonts w:cs="Arial"/>
          <w:color w:val="262626"/>
          <w:sz w:val="22"/>
          <w:szCs w:val="22"/>
          <w:lang w:val="en-US"/>
        </w:rPr>
        <w:t xml:space="preserve">Green J, </w:t>
      </w:r>
      <w:proofErr w:type="spellStart"/>
      <w:r w:rsidRPr="004079BE">
        <w:rPr>
          <w:rFonts w:cs="Arial"/>
          <w:color w:val="262626"/>
          <w:sz w:val="22"/>
          <w:szCs w:val="22"/>
          <w:lang w:val="en-US"/>
        </w:rPr>
        <w:t>Thorogood</w:t>
      </w:r>
      <w:proofErr w:type="spellEnd"/>
      <w:r w:rsidRPr="004079BE">
        <w:rPr>
          <w:rFonts w:cs="Arial"/>
          <w:color w:val="262626"/>
          <w:sz w:val="22"/>
          <w:szCs w:val="22"/>
          <w:lang w:val="en-US"/>
        </w:rPr>
        <w:t xml:space="preserve"> N. 2014. Qualitative methods for health research. </w:t>
      </w:r>
      <w:r w:rsidRPr="004079BE">
        <w:rPr>
          <w:rFonts w:cs="Arial"/>
          <w:i/>
          <w:color w:val="262626"/>
          <w:sz w:val="22"/>
          <w:szCs w:val="22"/>
          <w:lang w:val="en-US"/>
        </w:rPr>
        <w:t>London: SAGE Publications</w:t>
      </w:r>
    </w:p>
    <w:p w14:paraId="39EC835D" w14:textId="77777777" w:rsidR="00CE7653" w:rsidRPr="004079BE" w:rsidRDefault="00CE7653" w:rsidP="00CE7653">
      <w:pPr>
        <w:pStyle w:val="ListParagraph"/>
        <w:numPr>
          <w:ilvl w:val="0"/>
          <w:numId w:val="8"/>
        </w:numPr>
        <w:spacing w:line="360" w:lineRule="auto"/>
        <w:rPr>
          <w:rFonts w:cs="Arial"/>
          <w:color w:val="262626"/>
          <w:sz w:val="22"/>
          <w:szCs w:val="22"/>
          <w:lang w:val="en-US"/>
        </w:rPr>
      </w:pPr>
      <w:r w:rsidRPr="004079BE">
        <w:rPr>
          <w:rFonts w:cs="Arial"/>
          <w:color w:val="262626"/>
          <w:sz w:val="22"/>
          <w:szCs w:val="22"/>
          <w:lang w:val="en-US"/>
        </w:rPr>
        <w:t xml:space="preserve">Braun V, Clarke V. 2006. Using thematic analysis in psychology. </w:t>
      </w:r>
      <w:r w:rsidRPr="004079BE">
        <w:rPr>
          <w:rFonts w:cs="Arial"/>
          <w:i/>
          <w:color w:val="262626"/>
          <w:sz w:val="22"/>
          <w:szCs w:val="22"/>
          <w:lang w:val="en-US"/>
        </w:rPr>
        <w:t>Qualitative Research in Psychology</w:t>
      </w:r>
      <w:r w:rsidRPr="004079BE">
        <w:rPr>
          <w:rFonts w:cs="Arial"/>
          <w:color w:val="262626"/>
          <w:sz w:val="22"/>
          <w:szCs w:val="22"/>
          <w:lang w:val="en-US"/>
        </w:rPr>
        <w:t xml:space="preserve"> 2006; 3: 77 – 101</w:t>
      </w:r>
    </w:p>
    <w:p w14:paraId="41785C21" w14:textId="77777777" w:rsidR="00CE7653" w:rsidRPr="004079BE" w:rsidRDefault="00CE7653" w:rsidP="00CE7653">
      <w:pPr>
        <w:pStyle w:val="ListParagraph"/>
        <w:numPr>
          <w:ilvl w:val="0"/>
          <w:numId w:val="8"/>
        </w:numPr>
        <w:spacing w:line="360" w:lineRule="auto"/>
        <w:rPr>
          <w:rFonts w:cs="Arial"/>
          <w:color w:val="262626"/>
          <w:sz w:val="22"/>
          <w:szCs w:val="22"/>
          <w:lang w:val="en-US"/>
        </w:rPr>
      </w:pPr>
      <w:r w:rsidRPr="004079BE">
        <w:rPr>
          <w:rFonts w:cs="Arial"/>
          <w:color w:val="262626"/>
          <w:sz w:val="22"/>
          <w:szCs w:val="22"/>
          <w:lang w:val="en-US"/>
        </w:rPr>
        <w:t xml:space="preserve">Nolan J, Shultz PW, </w:t>
      </w:r>
      <w:proofErr w:type="spellStart"/>
      <w:r w:rsidRPr="004079BE">
        <w:rPr>
          <w:rFonts w:cs="Arial"/>
          <w:color w:val="262626"/>
          <w:sz w:val="22"/>
          <w:szCs w:val="22"/>
          <w:lang w:val="en-US"/>
        </w:rPr>
        <w:t>Cialdini</w:t>
      </w:r>
      <w:proofErr w:type="spellEnd"/>
      <w:r w:rsidRPr="004079BE">
        <w:rPr>
          <w:rFonts w:cs="Arial"/>
          <w:color w:val="262626"/>
          <w:sz w:val="22"/>
          <w:szCs w:val="22"/>
          <w:lang w:val="en-US"/>
        </w:rPr>
        <w:t xml:space="preserve"> RB, Goldstein NJ, </w:t>
      </w:r>
      <w:proofErr w:type="spellStart"/>
      <w:r w:rsidRPr="004079BE">
        <w:rPr>
          <w:rFonts w:cs="Arial"/>
          <w:color w:val="262626"/>
          <w:sz w:val="22"/>
          <w:szCs w:val="22"/>
          <w:lang w:val="en-US"/>
        </w:rPr>
        <w:t>Griskevicius</w:t>
      </w:r>
      <w:proofErr w:type="spellEnd"/>
      <w:r w:rsidRPr="004079BE">
        <w:rPr>
          <w:rFonts w:cs="Arial"/>
          <w:color w:val="262626"/>
          <w:sz w:val="22"/>
          <w:szCs w:val="22"/>
          <w:lang w:val="en-US"/>
        </w:rPr>
        <w:t xml:space="preserve"> V. 2008. Normative social influence is </w:t>
      </w:r>
      <w:proofErr w:type="spellStart"/>
      <w:r w:rsidRPr="004079BE">
        <w:rPr>
          <w:rFonts w:cs="Arial"/>
          <w:color w:val="262626"/>
          <w:sz w:val="22"/>
          <w:szCs w:val="22"/>
          <w:lang w:val="en-US"/>
        </w:rPr>
        <w:t>underdetected</w:t>
      </w:r>
      <w:proofErr w:type="spellEnd"/>
      <w:r w:rsidRPr="004079BE">
        <w:rPr>
          <w:rFonts w:cs="Arial"/>
          <w:color w:val="262626"/>
          <w:sz w:val="22"/>
          <w:szCs w:val="22"/>
          <w:lang w:val="en-US"/>
        </w:rPr>
        <w:t xml:space="preserve">. </w:t>
      </w:r>
      <w:r w:rsidRPr="004079BE">
        <w:rPr>
          <w:rFonts w:cs="Arial"/>
          <w:i/>
          <w:color w:val="262626"/>
          <w:sz w:val="22"/>
          <w:szCs w:val="22"/>
          <w:lang w:val="en-US"/>
        </w:rPr>
        <w:t>Pers. Soc. Psychol. Bull</w:t>
      </w:r>
      <w:r w:rsidRPr="004079BE">
        <w:rPr>
          <w:rFonts w:cs="Arial"/>
          <w:color w:val="262626"/>
          <w:sz w:val="22"/>
          <w:szCs w:val="22"/>
          <w:lang w:val="en-US"/>
        </w:rPr>
        <w:t xml:space="preserve"> Vol. 34 no. 7 913-923</w:t>
      </w:r>
    </w:p>
    <w:p w14:paraId="4173338E" w14:textId="77777777" w:rsidR="00CE7653" w:rsidRPr="004079BE" w:rsidRDefault="00CE7653" w:rsidP="00CE7653">
      <w:pPr>
        <w:pStyle w:val="ListParagraph"/>
        <w:numPr>
          <w:ilvl w:val="0"/>
          <w:numId w:val="8"/>
        </w:numPr>
        <w:spacing w:line="360" w:lineRule="auto"/>
        <w:rPr>
          <w:rFonts w:cs="Arial"/>
          <w:color w:val="262626"/>
          <w:sz w:val="22"/>
          <w:szCs w:val="22"/>
          <w:lang w:val="en-US"/>
        </w:rPr>
      </w:pPr>
      <w:r w:rsidRPr="004079BE">
        <w:rPr>
          <w:rFonts w:cs="Arial"/>
          <w:color w:val="262626"/>
          <w:sz w:val="22"/>
          <w:szCs w:val="22"/>
          <w:lang w:val="en-US"/>
        </w:rPr>
        <w:t xml:space="preserve">Prosser H, Almond S, </w:t>
      </w:r>
      <w:proofErr w:type="spellStart"/>
      <w:r w:rsidRPr="004079BE">
        <w:rPr>
          <w:rFonts w:cs="Arial"/>
          <w:color w:val="262626"/>
          <w:sz w:val="22"/>
          <w:szCs w:val="22"/>
          <w:lang w:val="en-US"/>
        </w:rPr>
        <w:t>Walley</w:t>
      </w:r>
      <w:proofErr w:type="spellEnd"/>
      <w:r w:rsidRPr="004079BE">
        <w:rPr>
          <w:rFonts w:cs="Arial"/>
          <w:color w:val="262626"/>
          <w:sz w:val="22"/>
          <w:szCs w:val="22"/>
          <w:lang w:val="en-US"/>
        </w:rPr>
        <w:t xml:space="preserve"> T. 2003. Influences on GPs’ decision to prescribe new drugs—the importance of who says what. </w:t>
      </w:r>
      <w:r w:rsidRPr="004079BE">
        <w:rPr>
          <w:rFonts w:cs="Arial"/>
          <w:i/>
          <w:color w:val="262626"/>
          <w:sz w:val="22"/>
          <w:szCs w:val="22"/>
          <w:lang w:val="en-US"/>
        </w:rPr>
        <w:t>Family Practice</w:t>
      </w:r>
      <w:r w:rsidRPr="004079BE">
        <w:rPr>
          <w:rFonts w:cs="Arial"/>
          <w:color w:val="262626"/>
          <w:sz w:val="22"/>
          <w:szCs w:val="22"/>
          <w:lang w:val="en-US"/>
        </w:rPr>
        <w:t xml:space="preserve"> 20 (1): 61-68 doi:10.1093/</w:t>
      </w:r>
      <w:proofErr w:type="spellStart"/>
      <w:r w:rsidRPr="004079BE">
        <w:rPr>
          <w:rFonts w:cs="Arial"/>
          <w:color w:val="262626"/>
          <w:sz w:val="22"/>
          <w:szCs w:val="22"/>
          <w:lang w:val="en-US"/>
        </w:rPr>
        <w:t>fampra</w:t>
      </w:r>
      <w:proofErr w:type="spellEnd"/>
      <w:r w:rsidRPr="004079BE">
        <w:rPr>
          <w:rFonts w:cs="Arial"/>
          <w:color w:val="262626"/>
          <w:sz w:val="22"/>
          <w:szCs w:val="22"/>
          <w:lang w:val="en-US"/>
        </w:rPr>
        <w:t>/20.1.61</w:t>
      </w:r>
    </w:p>
    <w:p w14:paraId="7B8DB90E" w14:textId="77777777" w:rsidR="00CE7653" w:rsidRPr="004079BE" w:rsidRDefault="00CE7653" w:rsidP="00CE7653">
      <w:pPr>
        <w:pStyle w:val="ListParagraph"/>
        <w:numPr>
          <w:ilvl w:val="0"/>
          <w:numId w:val="8"/>
        </w:numPr>
        <w:spacing w:line="360" w:lineRule="auto"/>
        <w:rPr>
          <w:rFonts w:cs="Arial"/>
          <w:color w:val="262626"/>
          <w:sz w:val="22"/>
          <w:szCs w:val="22"/>
          <w:lang w:val="en-US"/>
        </w:rPr>
      </w:pPr>
      <w:r w:rsidRPr="004079BE">
        <w:rPr>
          <w:rFonts w:cs="Arial"/>
          <w:color w:val="262626"/>
          <w:sz w:val="22"/>
          <w:szCs w:val="22"/>
          <w:lang w:val="en-US"/>
        </w:rPr>
        <w:t>General Medical Council. 2014. Good Medical Practice. [Online.] Available from: http://www.gmc-uk.org/static/documents/content/GMP_.pdf</w:t>
      </w:r>
    </w:p>
    <w:p w14:paraId="07015290" w14:textId="77777777" w:rsidR="00CE7653" w:rsidRPr="004079BE" w:rsidRDefault="00CE7653" w:rsidP="00CE7653">
      <w:pPr>
        <w:pStyle w:val="ListParagraph"/>
        <w:numPr>
          <w:ilvl w:val="0"/>
          <w:numId w:val="8"/>
        </w:numPr>
        <w:spacing w:line="360" w:lineRule="auto"/>
        <w:rPr>
          <w:rFonts w:cs="Arial"/>
          <w:color w:val="262626"/>
          <w:sz w:val="22"/>
          <w:szCs w:val="22"/>
          <w:lang w:val="en-US"/>
        </w:rPr>
      </w:pPr>
      <w:proofErr w:type="spellStart"/>
      <w:r w:rsidRPr="004079BE">
        <w:rPr>
          <w:rFonts w:cs="Arial"/>
          <w:color w:val="262626"/>
          <w:sz w:val="22"/>
          <w:szCs w:val="22"/>
          <w:lang w:val="en-US"/>
        </w:rPr>
        <w:lastRenderedPageBreak/>
        <w:t>Greenhalgh</w:t>
      </w:r>
      <w:proofErr w:type="spellEnd"/>
      <w:r w:rsidRPr="004079BE">
        <w:rPr>
          <w:rFonts w:cs="Arial"/>
          <w:color w:val="262626"/>
          <w:sz w:val="22"/>
          <w:szCs w:val="22"/>
          <w:lang w:val="en-US"/>
        </w:rPr>
        <w:t xml:space="preserve"> T, </w:t>
      </w:r>
      <w:proofErr w:type="spellStart"/>
      <w:r w:rsidRPr="004079BE">
        <w:rPr>
          <w:rFonts w:cs="Arial"/>
          <w:color w:val="262626"/>
          <w:sz w:val="22"/>
          <w:szCs w:val="22"/>
          <w:lang w:val="en-US"/>
        </w:rPr>
        <w:t>Howick</w:t>
      </w:r>
      <w:proofErr w:type="spellEnd"/>
      <w:r w:rsidRPr="004079BE">
        <w:rPr>
          <w:rFonts w:cs="Arial"/>
          <w:color w:val="262626"/>
          <w:sz w:val="22"/>
          <w:szCs w:val="22"/>
          <w:lang w:val="en-US"/>
        </w:rPr>
        <w:t xml:space="preserve"> J, </w:t>
      </w:r>
      <w:proofErr w:type="spellStart"/>
      <w:r w:rsidRPr="004079BE">
        <w:rPr>
          <w:rFonts w:cs="Arial"/>
          <w:color w:val="262626"/>
          <w:sz w:val="22"/>
          <w:szCs w:val="22"/>
          <w:lang w:val="en-US"/>
        </w:rPr>
        <w:t>Maskrey</w:t>
      </w:r>
      <w:proofErr w:type="spellEnd"/>
      <w:r w:rsidRPr="004079BE">
        <w:rPr>
          <w:rFonts w:cs="Arial"/>
          <w:color w:val="262626"/>
          <w:sz w:val="22"/>
          <w:szCs w:val="22"/>
          <w:lang w:val="en-US"/>
        </w:rPr>
        <w:t xml:space="preserve"> N. 2014. Evidence-based medicine: a movement in crisis? </w:t>
      </w:r>
      <w:r w:rsidRPr="004079BE">
        <w:rPr>
          <w:rFonts w:cs="Arial"/>
          <w:i/>
          <w:color w:val="262626"/>
          <w:sz w:val="22"/>
          <w:szCs w:val="22"/>
          <w:lang w:val="en-US"/>
        </w:rPr>
        <w:t>BMJ</w:t>
      </w:r>
      <w:r w:rsidRPr="004079BE">
        <w:rPr>
          <w:rFonts w:cs="Arial"/>
          <w:color w:val="262626"/>
          <w:sz w:val="22"/>
          <w:szCs w:val="22"/>
          <w:lang w:val="en-US"/>
        </w:rPr>
        <w:t xml:space="preserve"> 348:g3725</w:t>
      </w:r>
    </w:p>
    <w:p w14:paraId="58C9172F" w14:textId="77777777" w:rsidR="00CE7653" w:rsidRPr="004079BE" w:rsidRDefault="00CE7653" w:rsidP="00CE7653">
      <w:pPr>
        <w:pStyle w:val="ListParagraph"/>
        <w:numPr>
          <w:ilvl w:val="0"/>
          <w:numId w:val="8"/>
        </w:numPr>
        <w:spacing w:line="360" w:lineRule="auto"/>
        <w:rPr>
          <w:rFonts w:cs="Arial"/>
          <w:sz w:val="22"/>
          <w:szCs w:val="22"/>
        </w:rPr>
      </w:pPr>
      <w:proofErr w:type="spellStart"/>
      <w:r w:rsidRPr="004079BE">
        <w:rPr>
          <w:rFonts w:cs="Arial"/>
          <w:sz w:val="22"/>
          <w:szCs w:val="22"/>
        </w:rPr>
        <w:t>Locock</w:t>
      </w:r>
      <w:proofErr w:type="spellEnd"/>
      <w:r w:rsidRPr="004079BE">
        <w:rPr>
          <w:rFonts w:cs="Arial"/>
          <w:sz w:val="22"/>
          <w:szCs w:val="22"/>
        </w:rPr>
        <w:t xml:space="preserve"> L, Dopson S, Chambers D, and </w:t>
      </w:r>
      <w:proofErr w:type="spellStart"/>
      <w:r w:rsidRPr="004079BE">
        <w:rPr>
          <w:rFonts w:cs="Arial"/>
          <w:sz w:val="22"/>
          <w:szCs w:val="22"/>
        </w:rPr>
        <w:t>Gabbay</w:t>
      </w:r>
      <w:proofErr w:type="spellEnd"/>
      <w:r w:rsidRPr="004079BE">
        <w:rPr>
          <w:rFonts w:cs="Arial"/>
          <w:sz w:val="22"/>
          <w:szCs w:val="22"/>
        </w:rPr>
        <w:t xml:space="preserve"> J. 2001. Understanding the role of opinion leaders in improving clinical effectiveness. </w:t>
      </w:r>
      <w:r w:rsidRPr="004079BE">
        <w:rPr>
          <w:rFonts w:cs="Arial"/>
          <w:i/>
          <w:sz w:val="22"/>
          <w:szCs w:val="22"/>
        </w:rPr>
        <w:t>Social Science &amp; Medicine</w:t>
      </w:r>
      <w:r w:rsidRPr="004079BE">
        <w:rPr>
          <w:rFonts w:cs="Arial"/>
          <w:sz w:val="22"/>
          <w:szCs w:val="22"/>
        </w:rPr>
        <w:t xml:space="preserve"> 53: 745-57</w:t>
      </w:r>
    </w:p>
    <w:p w14:paraId="358B3ABF" w14:textId="77777777" w:rsidR="00CE7653" w:rsidRPr="004079BE" w:rsidRDefault="00CE7653" w:rsidP="00CE7653">
      <w:pPr>
        <w:pStyle w:val="ListParagraph"/>
        <w:numPr>
          <w:ilvl w:val="0"/>
          <w:numId w:val="8"/>
        </w:numPr>
        <w:spacing w:line="360" w:lineRule="auto"/>
        <w:rPr>
          <w:rFonts w:cs="Arial"/>
          <w:sz w:val="22"/>
          <w:szCs w:val="22"/>
        </w:rPr>
      </w:pPr>
      <w:r w:rsidRPr="004079BE">
        <w:rPr>
          <w:rFonts w:cs="Arial"/>
          <w:sz w:val="22"/>
          <w:szCs w:val="22"/>
        </w:rPr>
        <w:t xml:space="preserve">Working Party of the Royal College of Physicians. 2005. Doctors in society. Medical professionalism in a changing world. </w:t>
      </w:r>
      <w:r w:rsidRPr="004079BE">
        <w:rPr>
          <w:rFonts w:cs="Arial"/>
          <w:i/>
          <w:sz w:val="22"/>
          <w:szCs w:val="22"/>
        </w:rPr>
        <w:t>Clin Med (</w:t>
      </w:r>
      <w:proofErr w:type="spellStart"/>
      <w:r w:rsidRPr="004079BE">
        <w:rPr>
          <w:rFonts w:cs="Arial"/>
          <w:i/>
          <w:sz w:val="22"/>
          <w:szCs w:val="22"/>
        </w:rPr>
        <w:t>Lond</w:t>
      </w:r>
      <w:proofErr w:type="spellEnd"/>
      <w:r w:rsidRPr="004079BE">
        <w:rPr>
          <w:rFonts w:cs="Arial"/>
          <w:i/>
          <w:sz w:val="22"/>
          <w:szCs w:val="22"/>
        </w:rPr>
        <w:t xml:space="preserve">) </w:t>
      </w:r>
      <w:r w:rsidRPr="004079BE">
        <w:rPr>
          <w:rFonts w:cs="Arial"/>
          <w:sz w:val="22"/>
          <w:szCs w:val="22"/>
        </w:rPr>
        <w:t xml:space="preserve">2005 Nov-Dec;5(6 </w:t>
      </w:r>
      <w:proofErr w:type="spellStart"/>
      <w:r w:rsidRPr="004079BE">
        <w:rPr>
          <w:rFonts w:cs="Arial"/>
          <w:sz w:val="22"/>
          <w:szCs w:val="22"/>
        </w:rPr>
        <w:t>Suppl</w:t>
      </w:r>
      <w:proofErr w:type="spellEnd"/>
      <w:r w:rsidRPr="004079BE">
        <w:rPr>
          <w:rFonts w:cs="Arial"/>
          <w:sz w:val="22"/>
          <w:szCs w:val="22"/>
        </w:rPr>
        <w:t xml:space="preserve"> 1):S5-40</w:t>
      </w:r>
    </w:p>
    <w:p w14:paraId="39596E9B" w14:textId="77777777" w:rsidR="00CE7653" w:rsidRPr="004079BE" w:rsidRDefault="00CE7653" w:rsidP="00CE7653">
      <w:pPr>
        <w:pStyle w:val="ListParagraph"/>
        <w:numPr>
          <w:ilvl w:val="0"/>
          <w:numId w:val="8"/>
        </w:numPr>
        <w:spacing w:line="360" w:lineRule="auto"/>
        <w:rPr>
          <w:rFonts w:cs="Arial"/>
          <w:sz w:val="22"/>
          <w:szCs w:val="22"/>
        </w:rPr>
      </w:pPr>
      <w:r w:rsidRPr="004079BE">
        <w:rPr>
          <w:rFonts w:cs="Arial"/>
          <w:sz w:val="22"/>
          <w:szCs w:val="22"/>
        </w:rPr>
        <w:t xml:space="preserve">Thorne ML. 2002. Colonising the new world of NHS management: the shifting power of professionals. </w:t>
      </w:r>
      <w:r w:rsidRPr="004079BE">
        <w:rPr>
          <w:rFonts w:cs="Arial"/>
          <w:i/>
          <w:sz w:val="22"/>
          <w:szCs w:val="22"/>
        </w:rPr>
        <w:t xml:space="preserve">Health Services Management Research </w:t>
      </w:r>
      <w:r w:rsidRPr="004079BE">
        <w:rPr>
          <w:rFonts w:cs="Arial"/>
          <w:sz w:val="22"/>
          <w:szCs w:val="22"/>
        </w:rPr>
        <w:t>15 14-26</w:t>
      </w:r>
    </w:p>
    <w:p w14:paraId="36F4F325" w14:textId="77777777" w:rsidR="00CE7653" w:rsidRPr="004079BE" w:rsidRDefault="00CE7653" w:rsidP="00CE7653">
      <w:pPr>
        <w:pStyle w:val="ListParagraph"/>
        <w:numPr>
          <w:ilvl w:val="0"/>
          <w:numId w:val="8"/>
        </w:numPr>
        <w:spacing w:line="360" w:lineRule="auto"/>
        <w:rPr>
          <w:rFonts w:cs="Arial"/>
          <w:sz w:val="22"/>
          <w:szCs w:val="22"/>
        </w:rPr>
      </w:pPr>
      <w:proofErr w:type="spellStart"/>
      <w:r w:rsidRPr="004079BE">
        <w:rPr>
          <w:rFonts w:cs="Arial"/>
          <w:sz w:val="22"/>
          <w:szCs w:val="22"/>
        </w:rPr>
        <w:t>Kanter</w:t>
      </w:r>
      <w:proofErr w:type="spellEnd"/>
      <w:r w:rsidRPr="004079BE">
        <w:rPr>
          <w:rFonts w:cs="Arial"/>
          <w:sz w:val="22"/>
          <w:szCs w:val="22"/>
        </w:rPr>
        <w:t xml:space="preserve"> RM. 1988. When a thousand flowers bloom: structural, collective and social conditions for innovation in organisation. In </w:t>
      </w:r>
      <w:proofErr w:type="spellStart"/>
      <w:r w:rsidRPr="004079BE">
        <w:rPr>
          <w:rFonts w:cs="Arial"/>
          <w:sz w:val="22"/>
          <w:szCs w:val="22"/>
        </w:rPr>
        <w:t>Staw</w:t>
      </w:r>
      <w:proofErr w:type="spellEnd"/>
      <w:r w:rsidRPr="004079BE">
        <w:rPr>
          <w:rFonts w:cs="Arial"/>
          <w:sz w:val="22"/>
          <w:szCs w:val="22"/>
        </w:rPr>
        <w:t xml:space="preserve"> BM and Cummings LL (</w:t>
      </w:r>
      <w:proofErr w:type="spellStart"/>
      <w:r w:rsidRPr="004079BE">
        <w:rPr>
          <w:rFonts w:cs="Arial"/>
          <w:sz w:val="22"/>
          <w:szCs w:val="22"/>
        </w:rPr>
        <w:t>eds</w:t>
      </w:r>
      <w:proofErr w:type="spellEnd"/>
      <w:r w:rsidRPr="004079BE">
        <w:rPr>
          <w:rFonts w:cs="Arial"/>
          <w:sz w:val="22"/>
          <w:szCs w:val="22"/>
        </w:rPr>
        <w:t xml:space="preserve">). </w:t>
      </w:r>
      <w:r w:rsidRPr="004079BE">
        <w:rPr>
          <w:rFonts w:cs="Arial"/>
          <w:i/>
          <w:sz w:val="22"/>
          <w:szCs w:val="22"/>
        </w:rPr>
        <w:t xml:space="preserve">Research in Organisational Behaviour. </w:t>
      </w:r>
      <w:r w:rsidRPr="004079BE">
        <w:rPr>
          <w:rFonts w:cs="Arial"/>
          <w:sz w:val="22"/>
          <w:szCs w:val="22"/>
        </w:rPr>
        <w:t>Greenwich, CT: JAI Press</w:t>
      </w:r>
    </w:p>
    <w:p w14:paraId="6E20AD2D" w14:textId="77777777" w:rsidR="00CE7653" w:rsidRPr="004079BE" w:rsidRDefault="00CE7653" w:rsidP="00CE7653">
      <w:pPr>
        <w:pStyle w:val="ListParagraph"/>
        <w:numPr>
          <w:ilvl w:val="0"/>
          <w:numId w:val="8"/>
        </w:numPr>
        <w:spacing w:line="360" w:lineRule="auto"/>
        <w:rPr>
          <w:rFonts w:cs="Arial"/>
          <w:sz w:val="22"/>
          <w:szCs w:val="22"/>
        </w:rPr>
      </w:pPr>
      <w:r w:rsidRPr="004079BE">
        <w:rPr>
          <w:rFonts w:cs="Arial"/>
          <w:sz w:val="22"/>
          <w:szCs w:val="22"/>
        </w:rPr>
        <w:t>Fonseca J. 2001. Complexity and Innovation in Organisations.</w:t>
      </w:r>
      <w:r w:rsidRPr="004079BE">
        <w:rPr>
          <w:rFonts w:cs="Arial"/>
          <w:i/>
          <w:sz w:val="22"/>
          <w:szCs w:val="22"/>
        </w:rPr>
        <w:t xml:space="preserve"> London: Routledge</w:t>
      </w:r>
    </w:p>
    <w:p w14:paraId="1A2157BA" w14:textId="7F4AE1AE" w:rsidR="00CC1342" w:rsidRPr="004079BE" w:rsidRDefault="00CE7653" w:rsidP="00890AB4">
      <w:pPr>
        <w:pStyle w:val="ListParagraph"/>
        <w:numPr>
          <w:ilvl w:val="0"/>
          <w:numId w:val="8"/>
        </w:numPr>
        <w:spacing w:line="360" w:lineRule="auto"/>
        <w:rPr>
          <w:rFonts w:cs="Arial"/>
          <w:i/>
          <w:sz w:val="22"/>
          <w:szCs w:val="22"/>
        </w:rPr>
      </w:pPr>
      <w:r w:rsidRPr="004079BE">
        <w:rPr>
          <w:rFonts w:cs="Arial"/>
          <w:sz w:val="22"/>
          <w:szCs w:val="22"/>
        </w:rPr>
        <w:t xml:space="preserve">Iles V, Sutherland K. 2001. Managing change in the NHS: Organisational change: a review for health care managers, professionals and researchers. </w:t>
      </w:r>
      <w:r w:rsidRPr="004079BE">
        <w:rPr>
          <w:rFonts w:cs="Arial"/>
          <w:i/>
          <w:sz w:val="22"/>
          <w:szCs w:val="22"/>
        </w:rPr>
        <w:t>Report for the National Co-ordinating Centre for NHS Service Delivery and Organisation R &amp; D (NCCSDO)</w:t>
      </w:r>
      <w:bookmarkStart w:id="0" w:name="_GoBack"/>
      <w:bookmarkEnd w:id="0"/>
    </w:p>
    <w:sectPr w:rsidR="00CC1342" w:rsidRPr="004079BE" w:rsidSect="00951BB9">
      <w:pgSz w:w="11900" w:h="16840"/>
      <w:pgMar w:top="1440" w:right="1440" w:bottom="1440" w:left="1440"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1EDF3" w14:textId="77777777" w:rsidR="009F29DD" w:rsidRDefault="009F29DD">
      <w:r>
        <w:separator/>
      </w:r>
    </w:p>
  </w:endnote>
  <w:endnote w:type="continuationSeparator" w:id="0">
    <w:p w14:paraId="2B9420C2" w14:textId="77777777" w:rsidR="009F29DD" w:rsidRDefault="009F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Wingdings 3">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MetaProNormal">
    <w:altName w:val="Times New Roma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F41AE" w14:textId="77777777" w:rsidR="009F29DD" w:rsidRDefault="009F29DD" w:rsidP="00951B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F77227" w14:textId="77777777" w:rsidR="009F29DD" w:rsidRDefault="009F29DD" w:rsidP="00951BB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096F5" w14:textId="77777777" w:rsidR="009F29DD" w:rsidRDefault="009F29DD" w:rsidP="00951B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79BE">
      <w:rPr>
        <w:rStyle w:val="PageNumber"/>
        <w:noProof/>
      </w:rPr>
      <w:t>3</w:t>
    </w:r>
    <w:r>
      <w:rPr>
        <w:rStyle w:val="PageNumber"/>
      </w:rPr>
      <w:fldChar w:fldCharType="end"/>
    </w:r>
  </w:p>
  <w:p w14:paraId="3E7C252C" w14:textId="77777777" w:rsidR="009F29DD" w:rsidRDefault="009F29DD" w:rsidP="00951BB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9069A" w14:textId="77777777" w:rsidR="009F29DD" w:rsidRDefault="009F29DD">
      <w:r>
        <w:separator/>
      </w:r>
    </w:p>
  </w:footnote>
  <w:footnote w:type="continuationSeparator" w:id="0">
    <w:p w14:paraId="53C09DA0" w14:textId="77777777" w:rsidR="009F29DD" w:rsidRDefault="009F29D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73D8"/>
    <w:multiLevelType w:val="hybridMultilevel"/>
    <w:tmpl w:val="E8384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E608C"/>
    <w:multiLevelType w:val="hybridMultilevel"/>
    <w:tmpl w:val="662E5E64"/>
    <w:lvl w:ilvl="0" w:tplc="87E85578">
      <w:start w:val="1"/>
      <w:numFmt w:val="bullet"/>
      <w:lvlText w:val=""/>
      <w:lvlJc w:val="left"/>
      <w:pPr>
        <w:tabs>
          <w:tab w:val="num" w:pos="720"/>
        </w:tabs>
        <w:ind w:left="720" w:hanging="360"/>
      </w:pPr>
      <w:rPr>
        <w:rFonts w:ascii="Wingdings 3" w:hAnsi="Wingdings 3" w:hint="default"/>
      </w:rPr>
    </w:lvl>
    <w:lvl w:ilvl="1" w:tplc="3446D53E" w:tentative="1">
      <w:start w:val="1"/>
      <w:numFmt w:val="bullet"/>
      <w:lvlText w:val=""/>
      <w:lvlJc w:val="left"/>
      <w:pPr>
        <w:tabs>
          <w:tab w:val="num" w:pos="1440"/>
        </w:tabs>
        <w:ind w:left="1440" w:hanging="360"/>
      </w:pPr>
      <w:rPr>
        <w:rFonts w:ascii="Wingdings 3" w:hAnsi="Wingdings 3" w:hint="default"/>
      </w:rPr>
    </w:lvl>
    <w:lvl w:ilvl="2" w:tplc="3998F534" w:tentative="1">
      <w:start w:val="1"/>
      <w:numFmt w:val="bullet"/>
      <w:lvlText w:val=""/>
      <w:lvlJc w:val="left"/>
      <w:pPr>
        <w:tabs>
          <w:tab w:val="num" w:pos="2160"/>
        </w:tabs>
        <w:ind w:left="2160" w:hanging="360"/>
      </w:pPr>
      <w:rPr>
        <w:rFonts w:ascii="Wingdings 3" w:hAnsi="Wingdings 3" w:hint="default"/>
      </w:rPr>
    </w:lvl>
    <w:lvl w:ilvl="3" w:tplc="6D78F6BC" w:tentative="1">
      <w:start w:val="1"/>
      <w:numFmt w:val="bullet"/>
      <w:lvlText w:val=""/>
      <w:lvlJc w:val="left"/>
      <w:pPr>
        <w:tabs>
          <w:tab w:val="num" w:pos="2880"/>
        </w:tabs>
        <w:ind w:left="2880" w:hanging="360"/>
      </w:pPr>
      <w:rPr>
        <w:rFonts w:ascii="Wingdings 3" w:hAnsi="Wingdings 3" w:hint="default"/>
      </w:rPr>
    </w:lvl>
    <w:lvl w:ilvl="4" w:tplc="4EB04A1E" w:tentative="1">
      <w:start w:val="1"/>
      <w:numFmt w:val="bullet"/>
      <w:lvlText w:val=""/>
      <w:lvlJc w:val="left"/>
      <w:pPr>
        <w:tabs>
          <w:tab w:val="num" w:pos="3600"/>
        </w:tabs>
        <w:ind w:left="3600" w:hanging="360"/>
      </w:pPr>
      <w:rPr>
        <w:rFonts w:ascii="Wingdings 3" w:hAnsi="Wingdings 3" w:hint="default"/>
      </w:rPr>
    </w:lvl>
    <w:lvl w:ilvl="5" w:tplc="D5CEFD48" w:tentative="1">
      <w:start w:val="1"/>
      <w:numFmt w:val="bullet"/>
      <w:lvlText w:val=""/>
      <w:lvlJc w:val="left"/>
      <w:pPr>
        <w:tabs>
          <w:tab w:val="num" w:pos="4320"/>
        </w:tabs>
        <w:ind w:left="4320" w:hanging="360"/>
      </w:pPr>
      <w:rPr>
        <w:rFonts w:ascii="Wingdings 3" w:hAnsi="Wingdings 3" w:hint="default"/>
      </w:rPr>
    </w:lvl>
    <w:lvl w:ilvl="6" w:tplc="7C4E386E" w:tentative="1">
      <w:start w:val="1"/>
      <w:numFmt w:val="bullet"/>
      <w:lvlText w:val=""/>
      <w:lvlJc w:val="left"/>
      <w:pPr>
        <w:tabs>
          <w:tab w:val="num" w:pos="5040"/>
        </w:tabs>
        <w:ind w:left="5040" w:hanging="360"/>
      </w:pPr>
      <w:rPr>
        <w:rFonts w:ascii="Wingdings 3" w:hAnsi="Wingdings 3" w:hint="default"/>
      </w:rPr>
    </w:lvl>
    <w:lvl w:ilvl="7" w:tplc="387446B6" w:tentative="1">
      <w:start w:val="1"/>
      <w:numFmt w:val="bullet"/>
      <w:lvlText w:val=""/>
      <w:lvlJc w:val="left"/>
      <w:pPr>
        <w:tabs>
          <w:tab w:val="num" w:pos="5760"/>
        </w:tabs>
        <w:ind w:left="5760" w:hanging="360"/>
      </w:pPr>
      <w:rPr>
        <w:rFonts w:ascii="Wingdings 3" w:hAnsi="Wingdings 3" w:hint="default"/>
      </w:rPr>
    </w:lvl>
    <w:lvl w:ilvl="8" w:tplc="3D428A50" w:tentative="1">
      <w:start w:val="1"/>
      <w:numFmt w:val="bullet"/>
      <w:lvlText w:val=""/>
      <w:lvlJc w:val="left"/>
      <w:pPr>
        <w:tabs>
          <w:tab w:val="num" w:pos="6480"/>
        </w:tabs>
        <w:ind w:left="6480" w:hanging="360"/>
      </w:pPr>
      <w:rPr>
        <w:rFonts w:ascii="Wingdings 3" w:hAnsi="Wingdings 3" w:hint="default"/>
      </w:rPr>
    </w:lvl>
  </w:abstractNum>
  <w:abstractNum w:abstractNumId="2">
    <w:nsid w:val="265B29FB"/>
    <w:multiLevelType w:val="hybridMultilevel"/>
    <w:tmpl w:val="237CD188"/>
    <w:lvl w:ilvl="0" w:tplc="766C8E7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1D6554"/>
    <w:multiLevelType w:val="hybridMultilevel"/>
    <w:tmpl w:val="0F0A5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B701B4"/>
    <w:multiLevelType w:val="hybridMultilevel"/>
    <w:tmpl w:val="F63AA890"/>
    <w:lvl w:ilvl="0" w:tplc="23EEC808">
      <w:start w:val="1"/>
      <w:numFmt w:val="bullet"/>
      <w:lvlText w:val="•"/>
      <w:lvlJc w:val="left"/>
      <w:pPr>
        <w:tabs>
          <w:tab w:val="num" w:pos="720"/>
        </w:tabs>
        <w:ind w:left="720" w:hanging="360"/>
      </w:pPr>
      <w:rPr>
        <w:rFonts w:ascii="Times New Roman" w:hAnsi="Times New Roman" w:hint="default"/>
      </w:rPr>
    </w:lvl>
    <w:lvl w:ilvl="1" w:tplc="5CC0B16A" w:tentative="1">
      <w:start w:val="1"/>
      <w:numFmt w:val="bullet"/>
      <w:lvlText w:val="•"/>
      <w:lvlJc w:val="left"/>
      <w:pPr>
        <w:tabs>
          <w:tab w:val="num" w:pos="1440"/>
        </w:tabs>
        <w:ind w:left="1440" w:hanging="360"/>
      </w:pPr>
      <w:rPr>
        <w:rFonts w:ascii="Times New Roman" w:hAnsi="Times New Roman" w:hint="default"/>
      </w:rPr>
    </w:lvl>
    <w:lvl w:ilvl="2" w:tplc="E6BEB8B6" w:tentative="1">
      <w:start w:val="1"/>
      <w:numFmt w:val="bullet"/>
      <w:lvlText w:val="•"/>
      <w:lvlJc w:val="left"/>
      <w:pPr>
        <w:tabs>
          <w:tab w:val="num" w:pos="2160"/>
        </w:tabs>
        <w:ind w:left="2160" w:hanging="360"/>
      </w:pPr>
      <w:rPr>
        <w:rFonts w:ascii="Times New Roman" w:hAnsi="Times New Roman" w:hint="default"/>
      </w:rPr>
    </w:lvl>
    <w:lvl w:ilvl="3" w:tplc="95E4E124" w:tentative="1">
      <w:start w:val="1"/>
      <w:numFmt w:val="bullet"/>
      <w:lvlText w:val="•"/>
      <w:lvlJc w:val="left"/>
      <w:pPr>
        <w:tabs>
          <w:tab w:val="num" w:pos="2880"/>
        </w:tabs>
        <w:ind w:left="2880" w:hanging="360"/>
      </w:pPr>
      <w:rPr>
        <w:rFonts w:ascii="Times New Roman" w:hAnsi="Times New Roman" w:hint="default"/>
      </w:rPr>
    </w:lvl>
    <w:lvl w:ilvl="4" w:tplc="B868E67C" w:tentative="1">
      <w:start w:val="1"/>
      <w:numFmt w:val="bullet"/>
      <w:lvlText w:val="•"/>
      <w:lvlJc w:val="left"/>
      <w:pPr>
        <w:tabs>
          <w:tab w:val="num" w:pos="3600"/>
        </w:tabs>
        <w:ind w:left="3600" w:hanging="360"/>
      </w:pPr>
      <w:rPr>
        <w:rFonts w:ascii="Times New Roman" w:hAnsi="Times New Roman" w:hint="default"/>
      </w:rPr>
    </w:lvl>
    <w:lvl w:ilvl="5" w:tplc="BB6224B6" w:tentative="1">
      <w:start w:val="1"/>
      <w:numFmt w:val="bullet"/>
      <w:lvlText w:val="•"/>
      <w:lvlJc w:val="left"/>
      <w:pPr>
        <w:tabs>
          <w:tab w:val="num" w:pos="4320"/>
        </w:tabs>
        <w:ind w:left="4320" w:hanging="360"/>
      </w:pPr>
      <w:rPr>
        <w:rFonts w:ascii="Times New Roman" w:hAnsi="Times New Roman" w:hint="default"/>
      </w:rPr>
    </w:lvl>
    <w:lvl w:ilvl="6" w:tplc="B85407C6" w:tentative="1">
      <w:start w:val="1"/>
      <w:numFmt w:val="bullet"/>
      <w:lvlText w:val="•"/>
      <w:lvlJc w:val="left"/>
      <w:pPr>
        <w:tabs>
          <w:tab w:val="num" w:pos="5040"/>
        </w:tabs>
        <w:ind w:left="5040" w:hanging="360"/>
      </w:pPr>
      <w:rPr>
        <w:rFonts w:ascii="Times New Roman" w:hAnsi="Times New Roman" w:hint="default"/>
      </w:rPr>
    </w:lvl>
    <w:lvl w:ilvl="7" w:tplc="80000AC2" w:tentative="1">
      <w:start w:val="1"/>
      <w:numFmt w:val="bullet"/>
      <w:lvlText w:val="•"/>
      <w:lvlJc w:val="left"/>
      <w:pPr>
        <w:tabs>
          <w:tab w:val="num" w:pos="5760"/>
        </w:tabs>
        <w:ind w:left="5760" w:hanging="360"/>
      </w:pPr>
      <w:rPr>
        <w:rFonts w:ascii="Times New Roman" w:hAnsi="Times New Roman" w:hint="default"/>
      </w:rPr>
    </w:lvl>
    <w:lvl w:ilvl="8" w:tplc="2D14A022" w:tentative="1">
      <w:start w:val="1"/>
      <w:numFmt w:val="bullet"/>
      <w:lvlText w:val="•"/>
      <w:lvlJc w:val="left"/>
      <w:pPr>
        <w:tabs>
          <w:tab w:val="num" w:pos="6480"/>
        </w:tabs>
        <w:ind w:left="6480" w:hanging="360"/>
      </w:pPr>
      <w:rPr>
        <w:rFonts w:ascii="Times New Roman" w:hAnsi="Times New Roman" w:hint="default"/>
      </w:rPr>
    </w:lvl>
  </w:abstractNum>
  <w:abstractNum w:abstractNumId="5">
    <w:nsid w:val="6B3E751C"/>
    <w:multiLevelType w:val="hybridMultilevel"/>
    <w:tmpl w:val="E3943F9E"/>
    <w:lvl w:ilvl="0" w:tplc="C1DE1772">
      <w:start w:val="1"/>
      <w:numFmt w:val="bullet"/>
      <w:pStyle w:val="Bulletednormal"/>
      <w:lvlText w:val=""/>
      <w:lvlJc w:val="left"/>
      <w:pPr>
        <w:tabs>
          <w:tab w:val="num" w:pos="170"/>
        </w:tabs>
        <w:ind w:left="170" w:hanging="17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6EA74CE3"/>
    <w:multiLevelType w:val="hybridMultilevel"/>
    <w:tmpl w:val="EBAC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1F426C"/>
    <w:multiLevelType w:val="hybridMultilevel"/>
    <w:tmpl w:val="FC6C8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2"/>
  </w:num>
  <w:num w:numId="5">
    <w:abstractNumId w:val="4"/>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53"/>
    <w:rsid w:val="00001299"/>
    <w:rsid w:val="00086E4A"/>
    <w:rsid w:val="00092FD1"/>
    <w:rsid w:val="000B02A0"/>
    <w:rsid w:val="000D0093"/>
    <w:rsid w:val="000D29D6"/>
    <w:rsid w:val="00127BAE"/>
    <w:rsid w:val="00145C57"/>
    <w:rsid w:val="00185711"/>
    <w:rsid w:val="001A0D75"/>
    <w:rsid w:val="00215504"/>
    <w:rsid w:val="00225D07"/>
    <w:rsid w:val="00245309"/>
    <w:rsid w:val="00292045"/>
    <w:rsid w:val="00293D37"/>
    <w:rsid w:val="002C6A30"/>
    <w:rsid w:val="002E75D7"/>
    <w:rsid w:val="002F06AB"/>
    <w:rsid w:val="002F7E41"/>
    <w:rsid w:val="00314F4A"/>
    <w:rsid w:val="003A59D7"/>
    <w:rsid w:val="003C243F"/>
    <w:rsid w:val="003D6043"/>
    <w:rsid w:val="003D72EC"/>
    <w:rsid w:val="003E7F2B"/>
    <w:rsid w:val="003F414B"/>
    <w:rsid w:val="00405EF2"/>
    <w:rsid w:val="004079BE"/>
    <w:rsid w:val="0041717F"/>
    <w:rsid w:val="00432A1C"/>
    <w:rsid w:val="004733CE"/>
    <w:rsid w:val="004C09A9"/>
    <w:rsid w:val="004D461B"/>
    <w:rsid w:val="004E17D4"/>
    <w:rsid w:val="0050214B"/>
    <w:rsid w:val="00505CF5"/>
    <w:rsid w:val="00546A1F"/>
    <w:rsid w:val="00554F00"/>
    <w:rsid w:val="00570FEE"/>
    <w:rsid w:val="00594E48"/>
    <w:rsid w:val="005A6391"/>
    <w:rsid w:val="005A63DB"/>
    <w:rsid w:val="005F7C19"/>
    <w:rsid w:val="006106CD"/>
    <w:rsid w:val="0063624B"/>
    <w:rsid w:val="0063659A"/>
    <w:rsid w:val="006427D0"/>
    <w:rsid w:val="00686FA9"/>
    <w:rsid w:val="006969A2"/>
    <w:rsid w:val="006D021E"/>
    <w:rsid w:val="006E273E"/>
    <w:rsid w:val="006E4CF8"/>
    <w:rsid w:val="00756452"/>
    <w:rsid w:val="00787656"/>
    <w:rsid w:val="0079582D"/>
    <w:rsid w:val="007A40F1"/>
    <w:rsid w:val="007A447A"/>
    <w:rsid w:val="007A7896"/>
    <w:rsid w:val="00807E75"/>
    <w:rsid w:val="00816846"/>
    <w:rsid w:val="00816C62"/>
    <w:rsid w:val="00830FC4"/>
    <w:rsid w:val="00845038"/>
    <w:rsid w:val="008773A6"/>
    <w:rsid w:val="0088132C"/>
    <w:rsid w:val="008820A0"/>
    <w:rsid w:val="00890AB4"/>
    <w:rsid w:val="008976B6"/>
    <w:rsid w:val="008B0E66"/>
    <w:rsid w:val="008B4144"/>
    <w:rsid w:val="008D1E40"/>
    <w:rsid w:val="008D50EA"/>
    <w:rsid w:val="008E1243"/>
    <w:rsid w:val="008F0F61"/>
    <w:rsid w:val="008F507C"/>
    <w:rsid w:val="008F75F8"/>
    <w:rsid w:val="00934932"/>
    <w:rsid w:val="00934ACC"/>
    <w:rsid w:val="00951BB9"/>
    <w:rsid w:val="00961EEC"/>
    <w:rsid w:val="009F29DD"/>
    <w:rsid w:val="00A8359B"/>
    <w:rsid w:val="00AB48CA"/>
    <w:rsid w:val="00AC5FD1"/>
    <w:rsid w:val="00B00E68"/>
    <w:rsid w:val="00B013B4"/>
    <w:rsid w:val="00B2517C"/>
    <w:rsid w:val="00B52716"/>
    <w:rsid w:val="00B66B74"/>
    <w:rsid w:val="00B81CDA"/>
    <w:rsid w:val="00B863F3"/>
    <w:rsid w:val="00BA6950"/>
    <w:rsid w:val="00BB30EE"/>
    <w:rsid w:val="00BC7C62"/>
    <w:rsid w:val="00BF38F1"/>
    <w:rsid w:val="00C12327"/>
    <w:rsid w:val="00C549F8"/>
    <w:rsid w:val="00C97733"/>
    <w:rsid w:val="00C97925"/>
    <w:rsid w:val="00CC1342"/>
    <w:rsid w:val="00CC3566"/>
    <w:rsid w:val="00CE5DA4"/>
    <w:rsid w:val="00CE7653"/>
    <w:rsid w:val="00CF1166"/>
    <w:rsid w:val="00D0328C"/>
    <w:rsid w:val="00D1216D"/>
    <w:rsid w:val="00D73F44"/>
    <w:rsid w:val="00DA55D0"/>
    <w:rsid w:val="00DE29F3"/>
    <w:rsid w:val="00E00C0C"/>
    <w:rsid w:val="00E2269A"/>
    <w:rsid w:val="00EC01ED"/>
    <w:rsid w:val="00F26025"/>
    <w:rsid w:val="00F50507"/>
    <w:rsid w:val="00F85323"/>
    <w:rsid w:val="00FA47DE"/>
    <w:rsid w:val="00FB19B6"/>
    <w:rsid w:val="00FB25F7"/>
    <w:rsid w:val="00FB35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D009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653"/>
    <w:rPr>
      <w:rFonts w:ascii="Arial" w:hAnsi="Arial"/>
    </w:rPr>
  </w:style>
  <w:style w:type="paragraph" w:styleId="Heading1">
    <w:name w:val="heading 1"/>
    <w:basedOn w:val="Normal"/>
    <w:next w:val="Normal"/>
    <w:link w:val="Heading1Char"/>
    <w:autoRedefine/>
    <w:uiPriority w:val="9"/>
    <w:qFormat/>
    <w:rsid w:val="00FB19B6"/>
    <w:pPr>
      <w:keepNext/>
      <w:keepLines/>
      <w:spacing w:before="360"/>
      <w:outlineLvl w:val="0"/>
    </w:pPr>
    <w:rPr>
      <w:rFonts w:eastAsiaTheme="majorEastAsia" w:cstheme="majorBidi"/>
      <w:b/>
      <w:bCs/>
      <w:caps/>
      <w:sz w:val="32"/>
      <w:szCs w:val="32"/>
    </w:rPr>
  </w:style>
  <w:style w:type="paragraph" w:styleId="Heading2">
    <w:name w:val="heading 2"/>
    <w:basedOn w:val="Normal"/>
    <w:next w:val="Normal"/>
    <w:link w:val="Heading2Char"/>
    <w:autoRedefine/>
    <w:uiPriority w:val="9"/>
    <w:unhideWhenUsed/>
    <w:qFormat/>
    <w:rsid w:val="00FB19B6"/>
    <w:pPr>
      <w:keepNext/>
      <w:keepLines/>
      <w:spacing w:before="200" w:line="36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CE7653"/>
    <w:pPr>
      <w:keepNext/>
      <w:keepLines/>
      <w:spacing w:before="200"/>
      <w:outlineLvl w:val="2"/>
    </w:pPr>
    <w:rPr>
      <w:rFonts w:eastAsiaTheme="majorEastAsia" w:cstheme="majorBidi"/>
      <w:bCs/>
      <w:sz w:val="28"/>
    </w:rPr>
  </w:style>
  <w:style w:type="paragraph" w:styleId="Heading4">
    <w:name w:val="heading 4"/>
    <w:basedOn w:val="Normal"/>
    <w:next w:val="Normal"/>
    <w:link w:val="Heading4Char"/>
    <w:uiPriority w:val="9"/>
    <w:semiHidden/>
    <w:unhideWhenUsed/>
    <w:qFormat/>
    <w:rsid w:val="00CE7653"/>
    <w:pPr>
      <w:keepNext/>
      <w:keepLines/>
      <w:spacing w:before="20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9B6"/>
    <w:rPr>
      <w:rFonts w:ascii="Arial" w:eastAsiaTheme="majorEastAsia" w:hAnsi="Arial" w:cstheme="majorBidi"/>
      <w:b/>
      <w:bCs/>
      <w:caps/>
      <w:sz w:val="32"/>
      <w:szCs w:val="32"/>
    </w:rPr>
  </w:style>
  <w:style w:type="character" w:customStyle="1" w:styleId="Heading2Char">
    <w:name w:val="Heading 2 Char"/>
    <w:basedOn w:val="DefaultParagraphFont"/>
    <w:link w:val="Heading2"/>
    <w:uiPriority w:val="9"/>
    <w:rsid w:val="00FB19B6"/>
    <w:rPr>
      <w:rFonts w:ascii="Arial" w:eastAsiaTheme="majorEastAsia" w:hAnsi="Arial" w:cstheme="majorBidi"/>
      <w:b/>
      <w:bCs/>
      <w:sz w:val="28"/>
      <w:szCs w:val="26"/>
    </w:rPr>
  </w:style>
  <w:style w:type="paragraph" w:styleId="Subtitle">
    <w:name w:val="Subtitle"/>
    <w:basedOn w:val="Normal"/>
    <w:next w:val="Normal"/>
    <w:link w:val="SubtitleChar"/>
    <w:autoRedefine/>
    <w:uiPriority w:val="11"/>
    <w:qFormat/>
    <w:rsid w:val="00EC01ED"/>
    <w:pPr>
      <w:numPr>
        <w:ilvl w:val="1"/>
      </w:numPr>
      <w:spacing w:before="120"/>
    </w:pPr>
    <w:rPr>
      <w:rFonts w:eastAsiaTheme="majorEastAsia" w:cstheme="majorBidi"/>
      <w:b/>
      <w:bCs/>
      <w:i/>
      <w:iCs/>
      <w:spacing w:val="15"/>
      <w:szCs w:val="22"/>
    </w:rPr>
  </w:style>
  <w:style w:type="character" w:customStyle="1" w:styleId="SubtitleChar">
    <w:name w:val="Subtitle Char"/>
    <w:basedOn w:val="DefaultParagraphFont"/>
    <w:link w:val="Subtitle"/>
    <w:uiPriority w:val="11"/>
    <w:rsid w:val="00EC01ED"/>
    <w:rPr>
      <w:rFonts w:ascii="Arial" w:eastAsiaTheme="majorEastAsia" w:hAnsi="Arial" w:cstheme="majorBidi"/>
      <w:b/>
      <w:bCs/>
      <w:i/>
      <w:iCs/>
      <w:spacing w:val="15"/>
      <w:sz w:val="22"/>
      <w:szCs w:val="22"/>
    </w:rPr>
  </w:style>
  <w:style w:type="character" w:customStyle="1" w:styleId="Heading3Char">
    <w:name w:val="Heading 3 Char"/>
    <w:basedOn w:val="DefaultParagraphFont"/>
    <w:link w:val="Heading3"/>
    <w:uiPriority w:val="9"/>
    <w:rsid w:val="00CE7653"/>
    <w:rPr>
      <w:rFonts w:ascii="Arial" w:eastAsiaTheme="majorEastAsia" w:hAnsi="Arial" w:cstheme="majorBidi"/>
      <w:bCs/>
      <w:sz w:val="28"/>
    </w:rPr>
  </w:style>
  <w:style w:type="character" w:customStyle="1" w:styleId="Heading4Char">
    <w:name w:val="Heading 4 Char"/>
    <w:basedOn w:val="DefaultParagraphFont"/>
    <w:link w:val="Heading4"/>
    <w:uiPriority w:val="9"/>
    <w:semiHidden/>
    <w:rsid w:val="00CE7653"/>
    <w:rPr>
      <w:rFonts w:ascii="Arial" w:eastAsiaTheme="majorEastAsia" w:hAnsi="Arial" w:cstheme="majorBidi"/>
      <w:bCs/>
      <w:i/>
      <w:iCs/>
    </w:rPr>
  </w:style>
  <w:style w:type="paragraph" w:customStyle="1" w:styleId="Bulletednormal">
    <w:name w:val="Bulleted normal"/>
    <w:basedOn w:val="Normal"/>
    <w:autoRedefine/>
    <w:rsid w:val="00CE7653"/>
    <w:pPr>
      <w:numPr>
        <w:numId w:val="1"/>
      </w:numPr>
    </w:pPr>
  </w:style>
  <w:style w:type="paragraph" w:styleId="NoSpacing">
    <w:name w:val="No Spacing"/>
    <w:aliases w:val="Subhead 1"/>
    <w:uiPriority w:val="1"/>
    <w:qFormat/>
    <w:rsid w:val="00CE7653"/>
    <w:rPr>
      <w:rFonts w:ascii="Arial" w:hAnsi="Arial" w:cs="Times New Roman"/>
      <w:sz w:val="20"/>
    </w:rPr>
  </w:style>
  <w:style w:type="paragraph" w:styleId="ListParagraph">
    <w:name w:val="List Paragraph"/>
    <w:basedOn w:val="Normal"/>
    <w:uiPriority w:val="34"/>
    <w:qFormat/>
    <w:rsid w:val="00CE7653"/>
    <w:pPr>
      <w:ind w:left="720"/>
      <w:contextualSpacing/>
    </w:pPr>
  </w:style>
  <w:style w:type="character" w:styleId="CommentReference">
    <w:name w:val="annotation reference"/>
    <w:basedOn w:val="DefaultParagraphFont"/>
    <w:uiPriority w:val="99"/>
    <w:semiHidden/>
    <w:unhideWhenUsed/>
    <w:rsid w:val="00CE7653"/>
    <w:rPr>
      <w:sz w:val="16"/>
      <w:szCs w:val="16"/>
    </w:rPr>
  </w:style>
  <w:style w:type="paragraph" w:styleId="CommentText">
    <w:name w:val="annotation text"/>
    <w:basedOn w:val="Normal"/>
    <w:link w:val="CommentTextChar"/>
    <w:uiPriority w:val="99"/>
    <w:semiHidden/>
    <w:unhideWhenUsed/>
    <w:rsid w:val="00CE7653"/>
    <w:rPr>
      <w:sz w:val="20"/>
      <w:szCs w:val="20"/>
    </w:rPr>
  </w:style>
  <w:style w:type="character" w:customStyle="1" w:styleId="CommentTextChar">
    <w:name w:val="Comment Text Char"/>
    <w:basedOn w:val="DefaultParagraphFont"/>
    <w:link w:val="CommentText"/>
    <w:uiPriority w:val="99"/>
    <w:semiHidden/>
    <w:rsid w:val="00CE765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E7653"/>
    <w:rPr>
      <w:b/>
      <w:bCs/>
    </w:rPr>
  </w:style>
  <w:style w:type="character" w:customStyle="1" w:styleId="CommentSubjectChar">
    <w:name w:val="Comment Subject Char"/>
    <w:basedOn w:val="CommentTextChar"/>
    <w:link w:val="CommentSubject"/>
    <w:uiPriority w:val="99"/>
    <w:semiHidden/>
    <w:rsid w:val="00CE7653"/>
    <w:rPr>
      <w:rFonts w:ascii="Arial" w:hAnsi="Arial"/>
      <w:b/>
      <w:bCs/>
      <w:sz w:val="20"/>
      <w:szCs w:val="20"/>
    </w:rPr>
  </w:style>
  <w:style w:type="paragraph" w:styleId="BalloonText">
    <w:name w:val="Balloon Text"/>
    <w:basedOn w:val="Normal"/>
    <w:link w:val="BalloonTextChar"/>
    <w:uiPriority w:val="99"/>
    <w:semiHidden/>
    <w:unhideWhenUsed/>
    <w:rsid w:val="00CE7653"/>
    <w:rPr>
      <w:rFonts w:ascii="Tahoma" w:hAnsi="Tahoma" w:cs="Tahoma"/>
      <w:sz w:val="16"/>
      <w:szCs w:val="16"/>
    </w:rPr>
  </w:style>
  <w:style w:type="character" w:customStyle="1" w:styleId="BalloonTextChar">
    <w:name w:val="Balloon Text Char"/>
    <w:basedOn w:val="DefaultParagraphFont"/>
    <w:link w:val="BalloonText"/>
    <w:uiPriority w:val="99"/>
    <w:semiHidden/>
    <w:rsid w:val="00CE7653"/>
    <w:rPr>
      <w:rFonts w:ascii="Tahoma" w:hAnsi="Tahoma" w:cs="Tahoma"/>
      <w:sz w:val="16"/>
      <w:szCs w:val="16"/>
    </w:rPr>
  </w:style>
  <w:style w:type="character" w:styleId="Hyperlink">
    <w:name w:val="Hyperlink"/>
    <w:basedOn w:val="DefaultParagraphFont"/>
    <w:uiPriority w:val="99"/>
    <w:unhideWhenUsed/>
    <w:rsid w:val="00CE7653"/>
    <w:rPr>
      <w:color w:val="0000FF" w:themeColor="hyperlink"/>
      <w:u w:val="single"/>
    </w:rPr>
  </w:style>
  <w:style w:type="character" w:styleId="FollowedHyperlink">
    <w:name w:val="FollowedHyperlink"/>
    <w:basedOn w:val="DefaultParagraphFont"/>
    <w:uiPriority w:val="99"/>
    <w:semiHidden/>
    <w:unhideWhenUsed/>
    <w:rsid w:val="00CE7653"/>
    <w:rPr>
      <w:color w:val="800080" w:themeColor="followedHyperlink"/>
      <w:u w:val="single"/>
    </w:rPr>
  </w:style>
  <w:style w:type="paragraph" w:styleId="Revision">
    <w:name w:val="Revision"/>
    <w:hidden/>
    <w:uiPriority w:val="99"/>
    <w:semiHidden/>
    <w:rsid w:val="00CE7653"/>
    <w:rPr>
      <w:rFonts w:ascii="Arial" w:hAnsi="Arial"/>
    </w:rPr>
  </w:style>
  <w:style w:type="table" w:styleId="TableGrid">
    <w:name w:val="Table Grid"/>
    <w:basedOn w:val="TableNormal"/>
    <w:uiPriority w:val="59"/>
    <w:rsid w:val="00CE76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E7653"/>
    <w:pPr>
      <w:tabs>
        <w:tab w:val="center" w:pos="4320"/>
        <w:tab w:val="right" w:pos="8640"/>
      </w:tabs>
    </w:pPr>
  </w:style>
  <w:style w:type="character" w:customStyle="1" w:styleId="FooterChar">
    <w:name w:val="Footer Char"/>
    <w:basedOn w:val="DefaultParagraphFont"/>
    <w:link w:val="Footer"/>
    <w:uiPriority w:val="99"/>
    <w:rsid w:val="00CE7653"/>
    <w:rPr>
      <w:rFonts w:ascii="Arial" w:hAnsi="Arial"/>
    </w:rPr>
  </w:style>
  <w:style w:type="character" w:styleId="PageNumber">
    <w:name w:val="page number"/>
    <w:basedOn w:val="DefaultParagraphFont"/>
    <w:uiPriority w:val="99"/>
    <w:semiHidden/>
    <w:unhideWhenUsed/>
    <w:rsid w:val="00CE76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653"/>
    <w:rPr>
      <w:rFonts w:ascii="Arial" w:hAnsi="Arial"/>
    </w:rPr>
  </w:style>
  <w:style w:type="paragraph" w:styleId="Heading1">
    <w:name w:val="heading 1"/>
    <w:basedOn w:val="Normal"/>
    <w:next w:val="Normal"/>
    <w:link w:val="Heading1Char"/>
    <w:autoRedefine/>
    <w:uiPriority w:val="9"/>
    <w:qFormat/>
    <w:rsid w:val="00FB19B6"/>
    <w:pPr>
      <w:keepNext/>
      <w:keepLines/>
      <w:spacing w:before="360"/>
      <w:outlineLvl w:val="0"/>
    </w:pPr>
    <w:rPr>
      <w:rFonts w:eastAsiaTheme="majorEastAsia" w:cstheme="majorBidi"/>
      <w:b/>
      <w:bCs/>
      <w:caps/>
      <w:sz w:val="32"/>
      <w:szCs w:val="32"/>
    </w:rPr>
  </w:style>
  <w:style w:type="paragraph" w:styleId="Heading2">
    <w:name w:val="heading 2"/>
    <w:basedOn w:val="Normal"/>
    <w:next w:val="Normal"/>
    <w:link w:val="Heading2Char"/>
    <w:autoRedefine/>
    <w:uiPriority w:val="9"/>
    <w:unhideWhenUsed/>
    <w:qFormat/>
    <w:rsid w:val="00FB19B6"/>
    <w:pPr>
      <w:keepNext/>
      <w:keepLines/>
      <w:spacing w:before="200" w:line="36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CE7653"/>
    <w:pPr>
      <w:keepNext/>
      <w:keepLines/>
      <w:spacing w:before="200"/>
      <w:outlineLvl w:val="2"/>
    </w:pPr>
    <w:rPr>
      <w:rFonts w:eastAsiaTheme="majorEastAsia" w:cstheme="majorBidi"/>
      <w:bCs/>
      <w:sz w:val="28"/>
    </w:rPr>
  </w:style>
  <w:style w:type="paragraph" w:styleId="Heading4">
    <w:name w:val="heading 4"/>
    <w:basedOn w:val="Normal"/>
    <w:next w:val="Normal"/>
    <w:link w:val="Heading4Char"/>
    <w:uiPriority w:val="9"/>
    <w:semiHidden/>
    <w:unhideWhenUsed/>
    <w:qFormat/>
    <w:rsid w:val="00CE7653"/>
    <w:pPr>
      <w:keepNext/>
      <w:keepLines/>
      <w:spacing w:before="20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9B6"/>
    <w:rPr>
      <w:rFonts w:ascii="Arial" w:eastAsiaTheme="majorEastAsia" w:hAnsi="Arial" w:cstheme="majorBidi"/>
      <w:b/>
      <w:bCs/>
      <w:caps/>
      <w:sz w:val="32"/>
      <w:szCs w:val="32"/>
    </w:rPr>
  </w:style>
  <w:style w:type="character" w:customStyle="1" w:styleId="Heading2Char">
    <w:name w:val="Heading 2 Char"/>
    <w:basedOn w:val="DefaultParagraphFont"/>
    <w:link w:val="Heading2"/>
    <w:uiPriority w:val="9"/>
    <w:rsid w:val="00FB19B6"/>
    <w:rPr>
      <w:rFonts w:ascii="Arial" w:eastAsiaTheme="majorEastAsia" w:hAnsi="Arial" w:cstheme="majorBidi"/>
      <w:b/>
      <w:bCs/>
      <w:sz w:val="28"/>
      <w:szCs w:val="26"/>
    </w:rPr>
  </w:style>
  <w:style w:type="paragraph" w:styleId="Subtitle">
    <w:name w:val="Subtitle"/>
    <w:basedOn w:val="Normal"/>
    <w:next w:val="Normal"/>
    <w:link w:val="SubtitleChar"/>
    <w:autoRedefine/>
    <w:uiPriority w:val="11"/>
    <w:qFormat/>
    <w:rsid w:val="00EC01ED"/>
    <w:pPr>
      <w:numPr>
        <w:ilvl w:val="1"/>
      </w:numPr>
      <w:spacing w:before="120"/>
    </w:pPr>
    <w:rPr>
      <w:rFonts w:eastAsiaTheme="majorEastAsia" w:cstheme="majorBidi"/>
      <w:b/>
      <w:bCs/>
      <w:i/>
      <w:iCs/>
      <w:spacing w:val="15"/>
      <w:szCs w:val="22"/>
    </w:rPr>
  </w:style>
  <w:style w:type="character" w:customStyle="1" w:styleId="SubtitleChar">
    <w:name w:val="Subtitle Char"/>
    <w:basedOn w:val="DefaultParagraphFont"/>
    <w:link w:val="Subtitle"/>
    <w:uiPriority w:val="11"/>
    <w:rsid w:val="00EC01ED"/>
    <w:rPr>
      <w:rFonts w:ascii="Arial" w:eastAsiaTheme="majorEastAsia" w:hAnsi="Arial" w:cstheme="majorBidi"/>
      <w:b/>
      <w:bCs/>
      <w:i/>
      <w:iCs/>
      <w:spacing w:val="15"/>
      <w:sz w:val="22"/>
      <w:szCs w:val="22"/>
    </w:rPr>
  </w:style>
  <w:style w:type="character" w:customStyle="1" w:styleId="Heading3Char">
    <w:name w:val="Heading 3 Char"/>
    <w:basedOn w:val="DefaultParagraphFont"/>
    <w:link w:val="Heading3"/>
    <w:uiPriority w:val="9"/>
    <w:rsid w:val="00CE7653"/>
    <w:rPr>
      <w:rFonts w:ascii="Arial" w:eastAsiaTheme="majorEastAsia" w:hAnsi="Arial" w:cstheme="majorBidi"/>
      <w:bCs/>
      <w:sz w:val="28"/>
    </w:rPr>
  </w:style>
  <w:style w:type="character" w:customStyle="1" w:styleId="Heading4Char">
    <w:name w:val="Heading 4 Char"/>
    <w:basedOn w:val="DefaultParagraphFont"/>
    <w:link w:val="Heading4"/>
    <w:uiPriority w:val="9"/>
    <w:semiHidden/>
    <w:rsid w:val="00CE7653"/>
    <w:rPr>
      <w:rFonts w:ascii="Arial" w:eastAsiaTheme="majorEastAsia" w:hAnsi="Arial" w:cstheme="majorBidi"/>
      <w:bCs/>
      <w:i/>
      <w:iCs/>
    </w:rPr>
  </w:style>
  <w:style w:type="paragraph" w:customStyle="1" w:styleId="Bulletednormal">
    <w:name w:val="Bulleted normal"/>
    <w:basedOn w:val="Normal"/>
    <w:autoRedefine/>
    <w:rsid w:val="00CE7653"/>
    <w:pPr>
      <w:numPr>
        <w:numId w:val="1"/>
      </w:numPr>
    </w:pPr>
  </w:style>
  <w:style w:type="paragraph" w:styleId="NoSpacing">
    <w:name w:val="No Spacing"/>
    <w:aliases w:val="Subhead 1"/>
    <w:uiPriority w:val="1"/>
    <w:qFormat/>
    <w:rsid w:val="00CE7653"/>
    <w:rPr>
      <w:rFonts w:ascii="Arial" w:hAnsi="Arial" w:cs="Times New Roman"/>
      <w:sz w:val="20"/>
    </w:rPr>
  </w:style>
  <w:style w:type="paragraph" w:styleId="ListParagraph">
    <w:name w:val="List Paragraph"/>
    <w:basedOn w:val="Normal"/>
    <w:uiPriority w:val="34"/>
    <w:qFormat/>
    <w:rsid w:val="00CE7653"/>
    <w:pPr>
      <w:ind w:left="720"/>
      <w:contextualSpacing/>
    </w:pPr>
  </w:style>
  <w:style w:type="character" w:styleId="CommentReference">
    <w:name w:val="annotation reference"/>
    <w:basedOn w:val="DefaultParagraphFont"/>
    <w:uiPriority w:val="99"/>
    <w:semiHidden/>
    <w:unhideWhenUsed/>
    <w:rsid w:val="00CE7653"/>
    <w:rPr>
      <w:sz w:val="16"/>
      <w:szCs w:val="16"/>
    </w:rPr>
  </w:style>
  <w:style w:type="paragraph" w:styleId="CommentText">
    <w:name w:val="annotation text"/>
    <w:basedOn w:val="Normal"/>
    <w:link w:val="CommentTextChar"/>
    <w:uiPriority w:val="99"/>
    <w:semiHidden/>
    <w:unhideWhenUsed/>
    <w:rsid w:val="00CE7653"/>
    <w:rPr>
      <w:sz w:val="20"/>
      <w:szCs w:val="20"/>
    </w:rPr>
  </w:style>
  <w:style w:type="character" w:customStyle="1" w:styleId="CommentTextChar">
    <w:name w:val="Comment Text Char"/>
    <w:basedOn w:val="DefaultParagraphFont"/>
    <w:link w:val="CommentText"/>
    <w:uiPriority w:val="99"/>
    <w:semiHidden/>
    <w:rsid w:val="00CE765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E7653"/>
    <w:rPr>
      <w:b/>
      <w:bCs/>
    </w:rPr>
  </w:style>
  <w:style w:type="character" w:customStyle="1" w:styleId="CommentSubjectChar">
    <w:name w:val="Comment Subject Char"/>
    <w:basedOn w:val="CommentTextChar"/>
    <w:link w:val="CommentSubject"/>
    <w:uiPriority w:val="99"/>
    <w:semiHidden/>
    <w:rsid w:val="00CE7653"/>
    <w:rPr>
      <w:rFonts w:ascii="Arial" w:hAnsi="Arial"/>
      <w:b/>
      <w:bCs/>
      <w:sz w:val="20"/>
      <w:szCs w:val="20"/>
    </w:rPr>
  </w:style>
  <w:style w:type="paragraph" w:styleId="BalloonText">
    <w:name w:val="Balloon Text"/>
    <w:basedOn w:val="Normal"/>
    <w:link w:val="BalloonTextChar"/>
    <w:uiPriority w:val="99"/>
    <w:semiHidden/>
    <w:unhideWhenUsed/>
    <w:rsid w:val="00CE7653"/>
    <w:rPr>
      <w:rFonts w:ascii="Tahoma" w:hAnsi="Tahoma" w:cs="Tahoma"/>
      <w:sz w:val="16"/>
      <w:szCs w:val="16"/>
    </w:rPr>
  </w:style>
  <w:style w:type="character" w:customStyle="1" w:styleId="BalloonTextChar">
    <w:name w:val="Balloon Text Char"/>
    <w:basedOn w:val="DefaultParagraphFont"/>
    <w:link w:val="BalloonText"/>
    <w:uiPriority w:val="99"/>
    <w:semiHidden/>
    <w:rsid w:val="00CE7653"/>
    <w:rPr>
      <w:rFonts w:ascii="Tahoma" w:hAnsi="Tahoma" w:cs="Tahoma"/>
      <w:sz w:val="16"/>
      <w:szCs w:val="16"/>
    </w:rPr>
  </w:style>
  <w:style w:type="character" w:styleId="Hyperlink">
    <w:name w:val="Hyperlink"/>
    <w:basedOn w:val="DefaultParagraphFont"/>
    <w:uiPriority w:val="99"/>
    <w:unhideWhenUsed/>
    <w:rsid w:val="00CE7653"/>
    <w:rPr>
      <w:color w:val="0000FF" w:themeColor="hyperlink"/>
      <w:u w:val="single"/>
    </w:rPr>
  </w:style>
  <w:style w:type="character" w:styleId="FollowedHyperlink">
    <w:name w:val="FollowedHyperlink"/>
    <w:basedOn w:val="DefaultParagraphFont"/>
    <w:uiPriority w:val="99"/>
    <w:semiHidden/>
    <w:unhideWhenUsed/>
    <w:rsid w:val="00CE7653"/>
    <w:rPr>
      <w:color w:val="800080" w:themeColor="followedHyperlink"/>
      <w:u w:val="single"/>
    </w:rPr>
  </w:style>
  <w:style w:type="paragraph" w:styleId="Revision">
    <w:name w:val="Revision"/>
    <w:hidden/>
    <w:uiPriority w:val="99"/>
    <w:semiHidden/>
    <w:rsid w:val="00CE7653"/>
    <w:rPr>
      <w:rFonts w:ascii="Arial" w:hAnsi="Arial"/>
    </w:rPr>
  </w:style>
  <w:style w:type="table" w:styleId="TableGrid">
    <w:name w:val="Table Grid"/>
    <w:basedOn w:val="TableNormal"/>
    <w:uiPriority w:val="59"/>
    <w:rsid w:val="00CE76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E7653"/>
    <w:pPr>
      <w:tabs>
        <w:tab w:val="center" w:pos="4320"/>
        <w:tab w:val="right" w:pos="8640"/>
      </w:tabs>
    </w:pPr>
  </w:style>
  <w:style w:type="character" w:customStyle="1" w:styleId="FooterChar">
    <w:name w:val="Footer Char"/>
    <w:basedOn w:val="DefaultParagraphFont"/>
    <w:link w:val="Footer"/>
    <w:uiPriority w:val="99"/>
    <w:rsid w:val="00CE7653"/>
    <w:rPr>
      <w:rFonts w:ascii="Arial" w:hAnsi="Arial"/>
    </w:rPr>
  </w:style>
  <w:style w:type="character" w:styleId="PageNumber">
    <w:name w:val="page number"/>
    <w:basedOn w:val="DefaultParagraphFont"/>
    <w:uiPriority w:val="99"/>
    <w:semiHidden/>
    <w:unhideWhenUsed/>
    <w:rsid w:val="00CE7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hmed.rashid@ucl.ac.uk"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4758</Words>
  <Characters>27122</Characters>
  <Application>Microsoft Macintosh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Greszczuk</dc:creator>
  <cp:keywords/>
  <dc:description/>
  <cp:lastModifiedBy>Claire Greszczuk</cp:lastModifiedBy>
  <cp:revision>3</cp:revision>
  <dcterms:created xsi:type="dcterms:W3CDTF">2017-10-18T14:05:00Z</dcterms:created>
  <dcterms:modified xsi:type="dcterms:W3CDTF">2017-10-18T14:05:00Z</dcterms:modified>
</cp:coreProperties>
</file>