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2B75" w:rsidRDefault="009C0B27">
      <w:pPr>
        <w:pStyle w:val="Heading1"/>
        <w:spacing w:line="480" w:lineRule="auto"/>
        <w:jc w:val="both"/>
      </w:pPr>
      <w:bookmarkStart w:id="0" w:name="_gjdgxs" w:colFirst="0" w:colLast="0"/>
      <w:bookmarkStart w:id="1" w:name="_GoBack"/>
      <w:bookmarkEnd w:id="0"/>
      <w:bookmarkEnd w:id="1"/>
      <w:r>
        <w:rPr>
          <w:b/>
          <w:sz w:val="28"/>
          <w:szCs w:val="28"/>
          <w:highlight w:val="yellow"/>
        </w:rPr>
        <w:t>Stakeholder Identities in Britain’s Neoliberal Ethical Community: Polish narratives of earned citizenship in the context of the UK’s EU Referendum</w:t>
      </w:r>
    </w:p>
    <w:p w:rsidR="00A02B75" w:rsidRDefault="009C0B27">
      <w:pPr>
        <w:pStyle w:val="Heading1"/>
        <w:spacing w:line="480" w:lineRule="auto"/>
        <w:jc w:val="both"/>
      </w:pPr>
      <w:r>
        <w:t>Abstract</w:t>
      </w:r>
    </w:p>
    <w:p w:rsidR="00A02B75" w:rsidRDefault="009C0B27">
      <w:pPr>
        <w:spacing w:line="480" w:lineRule="auto"/>
        <w:jc w:val="both"/>
      </w:pPr>
      <w:r>
        <w:t xml:space="preserve">This article examines the narrative strategies through which Polish migrants in the UK challenge the formal rights of political membership and attempt to redefine the boundaries of ‘citizenship’ along notions of deservedness. The analysed qualitative data </w:t>
      </w:r>
      <w:r>
        <w:t xml:space="preserve">originate from an online survey conducted in the months before the 2016 EU referendum, and the narratives emerge from the open-text answers to two survey questions concerning attitudes towards the Referendum and the exclusion of resident EU nationals from </w:t>
      </w:r>
      <w:r>
        <w:t xml:space="preserve">the electoral process.  </w:t>
      </w:r>
      <w:r>
        <w:rPr>
          <w:highlight w:val="yellow"/>
        </w:rPr>
        <w:t xml:space="preserve">The analysis identifies and describes three narrative strategies in reaction to the public discourses surrounding the EU referendum – namely </w:t>
      </w:r>
      <w:r>
        <w:rPr>
          <w:i/>
          <w:highlight w:val="yellow"/>
        </w:rPr>
        <w:t>discursive complicity</w:t>
      </w:r>
      <w:r>
        <w:rPr>
          <w:highlight w:val="yellow"/>
        </w:rPr>
        <w:t xml:space="preserve">, </w:t>
      </w:r>
      <w:r>
        <w:rPr>
          <w:i/>
          <w:highlight w:val="yellow"/>
        </w:rPr>
        <w:t>intergroup hostility</w:t>
      </w:r>
      <w:r>
        <w:rPr>
          <w:highlight w:val="yellow"/>
        </w:rPr>
        <w:t xml:space="preserve"> and </w:t>
      </w:r>
      <w:r>
        <w:rPr>
          <w:i/>
          <w:highlight w:val="yellow"/>
        </w:rPr>
        <w:t>defensive assertiveness</w:t>
      </w:r>
      <w:r>
        <w:rPr>
          <w:highlight w:val="yellow"/>
        </w:rPr>
        <w:t xml:space="preserve"> – which attempt to </w:t>
      </w:r>
      <w:r>
        <w:rPr>
          <w:highlight w:val="yellow"/>
        </w:rPr>
        <w:t>redefine the conditions of membership in Britain’s ‘ethical community’ in respect to welfare practices. Examining these processes simultaneously ‘from below’ and ‘from outside’ the national political community, the paper argues, can reveal more of the tran</w:t>
      </w:r>
      <w:r>
        <w:rPr>
          <w:highlight w:val="yellow"/>
        </w:rPr>
        <w:t>sformation taking place in conceptions of citizenship at the sociological level, and the article aims to identify the contours of a ‘neoliberal communitarian citizenship’ as internalised by mobile EU citizens.</w:t>
      </w:r>
      <w:r>
        <w:t xml:space="preserve"> </w:t>
      </w:r>
    </w:p>
    <w:p w:rsidR="00A02B75" w:rsidRDefault="00A02B75">
      <w:pPr>
        <w:spacing w:line="480" w:lineRule="auto"/>
        <w:rPr>
          <w:b/>
        </w:rPr>
      </w:pPr>
    </w:p>
    <w:p w:rsidR="00A02B75" w:rsidRDefault="009C0B27">
      <w:pPr>
        <w:spacing w:line="480" w:lineRule="auto"/>
      </w:pPr>
      <w:r>
        <w:rPr>
          <w:color w:val="2E75B5"/>
          <w:sz w:val="32"/>
          <w:szCs w:val="32"/>
        </w:rPr>
        <w:t>Word count (without abstract and tables):</w:t>
      </w:r>
      <w:r>
        <w:t xml:space="preserve"> </w:t>
      </w:r>
      <w:r>
        <w:tab/>
      </w:r>
      <w:r>
        <w:t>8</w:t>
      </w:r>
      <w:r>
        <w:t>,711</w:t>
      </w:r>
    </w:p>
    <w:p w:rsidR="00A02B75" w:rsidRDefault="009C0B27">
      <w:pPr>
        <w:spacing w:line="480" w:lineRule="auto"/>
        <w:jc w:val="both"/>
      </w:pPr>
      <w:r>
        <w:rPr>
          <w:color w:val="2E75B5"/>
          <w:sz w:val="32"/>
          <w:szCs w:val="32"/>
        </w:rPr>
        <w:t>Word count (including abstract and tables):</w:t>
      </w:r>
      <w:r>
        <w:rPr>
          <w:color w:val="2E75B5"/>
          <w:sz w:val="32"/>
          <w:szCs w:val="32"/>
        </w:rPr>
        <w:tab/>
      </w:r>
      <w:r>
        <w:t>9,244</w:t>
      </w:r>
    </w:p>
    <w:p w:rsidR="00A02B75" w:rsidRDefault="00A02B75">
      <w:pPr>
        <w:spacing w:line="480" w:lineRule="auto"/>
        <w:rPr>
          <w:color w:val="2E75B5"/>
          <w:sz w:val="32"/>
          <w:szCs w:val="32"/>
        </w:rPr>
      </w:pPr>
    </w:p>
    <w:p w:rsidR="00A02B75" w:rsidRDefault="009C0B27">
      <w:pPr>
        <w:spacing w:line="480" w:lineRule="auto"/>
      </w:pPr>
      <w:r>
        <w:rPr>
          <w:color w:val="2E75B5"/>
          <w:sz w:val="32"/>
          <w:szCs w:val="32"/>
        </w:rPr>
        <w:lastRenderedPageBreak/>
        <w:t>Keywords:</w:t>
      </w:r>
      <w:r>
        <w:t xml:space="preserve"> EU migration; Polish migrants; EU Referendum; social security benefits; welfare; citizenship</w:t>
      </w:r>
    </w:p>
    <w:p w:rsidR="00A02B75" w:rsidRDefault="00A02B75">
      <w:pPr>
        <w:spacing w:line="480" w:lineRule="auto"/>
      </w:pPr>
    </w:p>
    <w:p w:rsidR="00A02B75" w:rsidRDefault="00A02B75">
      <w:pPr>
        <w:spacing w:line="480" w:lineRule="auto"/>
        <w:jc w:val="both"/>
      </w:pPr>
    </w:p>
    <w:p w:rsidR="00A02B75" w:rsidRDefault="009C0B27">
      <w:pPr>
        <w:pStyle w:val="Heading1"/>
        <w:spacing w:line="480" w:lineRule="auto"/>
        <w:jc w:val="both"/>
      </w:pPr>
      <w:r>
        <w:t>Introduction</w:t>
      </w:r>
    </w:p>
    <w:p w:rsidR="00A02B75" w:rsidRDefault="00A02B75">
      <w:pPr>
        <w:spacing w:line="480" w:lineRule="auto"/>
        <w:jc w:val="both"/>
      </w:pPr>
    </w:p>
    <w:p w:rsidR="00A02B75" w:rsidRDefault="009C0B27">
      <w:pPr>
        <w:spacing w:line="480" w:lineRule="auto"/>
        <w:jc w:val="both"/>
      </w:pPr>
      <w:r>
        <w:t>The UK’s 2016 EU Referendum was the pinnacle of protracted public debates in whic</w:t>
      </w:r>
      <w:r>
        <w:t xml:space="preserve">h the question of ‘free movement’ rights had occupied centre stage. The thrust of the ‘free movement’ principle is the entailed </w:t>
      </w:r>
      <w:r>
        <w:rPr>
          <w:i/>
        </w:rPr>
        <w:t>citizenship</w:t>
      </w:r>
      <w:r>
        <w:t xml:space="preserve"> rights designed to guarantee EU ‘migrants’ equal treatment to ‘native’ member-state citizens in their access to the labour-market and social welfare, as well as certain limited rights of political participation. This configuration of rights has allowed, o</w:t>
      </w:r>
      <w:r>
        <w:t>n the one hand, for the perception that welfare generosity was the main driver behind intra-EU destination choice – the so-called ‘welfare magnet’ hypothesis (</w:t>
      </w:r>
      <w:hyperlink w:anchor="_35nkun2">
        <w:r>
          <w:t>Borjas 1999</w:t>
        </w:r>
      </w:hyperlink>
      <w:r>
        <w:t xml:space="preserve">; </w:t>
      </w:r>
      <w:hyperlink w:anchor="_19c6y18">
        <w:r>
          <w:t>Razin and Wahba 2015</w:t>
        </w:r>
      </w:hyperlink>
      <w:r>
        <w:t xml:space="preserve">) </w:t>
      </w:r>
      <w:r>
        <w:t>– to become a pervasive trope in the media and public discourse, alongside concerns over unfair competition at the lower-end of the labour market (</w:t>
      </w:r>
      <w:hyperlink w:anchor="_4d34og8">
        <w:r>
          <w:t>Balch and Balabanova 2014</w:t>
        </w:r>
      </w:hyperlink>
      <w:r>
        <w:t xml:space="preserve">; </w:t>
      </w:r>
      <w:hyperlink w:anchor="_30j0zll">
        <w:r>
          <w:t>Allen 2016</w:t>
        </w:r>
      </w:hyperlink>
      <w:r>
        <w:t xml:space="preserve">; </w:t>
      </w:r>
      <w:hyperlink w:anchor="_26in1rg">
        <w:r>
          <w:t>Blinder and Allen 2016</w:t>
        </w:r>
      </w:hyperlink>
      <w:r>
        <w:t xml:space="preserve">; </w:t>
      </w:r>
      <w:hyperlink w:anchor="_vx1227">
        <w:r>
          <w:t>McCollum and Findlay 2015</w:t>
        </w:r>
      </w:hyperlink>
      <w:r>
        <w:t>). On the other hand, the limitations of the political component of EU citizenship have only become evident to EU ‘migrants’ in the UK when the Parliament</w:t>
      </w:r>
      <w:r>
        <w:t>ary franchise was applied in respect to the EU Referendum, a plebiscite on a question directly affecting their citizenship rights (</w:t>
      </w:r>
      <w:hyperlink w:anchor="_3fwokq0">
        <w:r>
          <w:t>cf. McGhee and Piętka-Nykaza 2016</w:t>
        </w:r>
      </w:hyperlink>
      <w:r>
        <w:t>). In one possible reading of the EU Referendum in relation t</w:t>
      </w:r>
      <w:r>
        <w:t>o ‘free movement’ based on the observed curtailment of the social and political edges of EU citizenship, therefore, it reaffirmed a conception of citizenship bound around some principle of ‘nationality’ (</w:t>
      </w:r>
      <w:hyperlink w:anchor="_1v1yuxt">
        <w:r>
          <w:t>cf. Miller 2000: 81–</w:t>
        </w:r>
        <w:r>
          <w:lastRenderedPageBreak/>
          <w:t>9</w:t>
        </w:r>
        <w:r>
          <w:t>6</w:t>
        </w:r>
      </w:hyperlink>
      <w:r>
        <w:t xml:space="preserve">). As </w:t>
      </w:r>
      <w:hyperlink w:anchor="_41mghml">
        <w:r>
          <w:t>Masquelier (2017)</w:t>
        </w:r>
      </w:hyperlink>
      <w:r>
        <w:t xml:space="preserve"> noted, ‘the vote </w:t>
      </w:r>
      <w:r>
        <w:rPr>
          <w:i/>
        </w:rPr>
        <w:t>against</w:t>
      </w:r>
      <w:r>
        <w:t xml:space="preserve"> the EU was in fact also a vote </w:t>
      </w:r>
      <w:r>
        <w:rPr>
          <w:i/>
        </w:rPr>
        <w:t>for</w:t>
      </w:r>
      <w:r>
        <w:t xml:space="preserve"> a particular idea of England’ (</w:t>
      </w:r>
      <w:hyperlink w:anchor="_41mghml">
        <w:r>
          <w:t>2017: 1; emphasis in original</w:t>
        </w:r>
      </w:hyperlink>
      <w:r>
        <w:t>).</w:t>
      </w:r>
    </w:p>
    <w:p w:rsidR="00A02B75" w:rsidRDefault="009C0B27">
      <w:pPr>
        <w:spacing w:line="480" w:lineRule="auto"/>
        <w:ind w:firstLine="720"/>
        <w:jc w:val="both"/>
      </w:pPr>
      <w:r>
        <w:t>In this paper we aim to qualify this reading o</w:t>
      </w:r>
      <w:r>
        <w:t>f the EU Referendum as a unitary process of renationalisation of citizenship rights, and to reveal the contours of another conception of citizenship that underpinned the Referendum process, which is markedly distinct from one based on ‘nationality’. We att</w:t>
      </w:r>
      <w:r>
        <w:t>empt this through a novel qualitative insight into folk conceptualisations of the relationship between the ‘social’ and the ‘political’ dimensions of European citizenship as it emerged in the context of the Referendum process, from the perspective of the U</w:t>
      </w:r>
      <w:r>
        <w:t>K’s largest and most established EU ‘migrant’ community, that of Polish nationals (</w:t>
      </w:r>
      <w:hyperlink w:anchor="_206ipza">
        <w:r>
          <w:t>White 2011</w:t>
        </w:r>
      </w:hyperlink>
      <w:r>
        <w:t xml:space="preserve">; </w:t>
      </w:r>
      <w:hyperlink w:anchor="_2jxsxqh">
        <w:r>
          <w:t>Burrell 2009</w:t>
        </w:r>
      </w:hyperlink>
      <w:r>
        <w:t>). Such a perspective ‘from below’ and, simultaneously, ‘from outside’ the national pol</w:t>
      </w:r>
      <w:r>
        <w:t>itical community, the paper argues, can reveal more of the actual transformation taking place in conceptions of citizenship at the sociological level than could normative analyses of prescriptive political strategies and discourses.</w:t>
      </w:r>
    </w:p>
    <w:p w:rsidR="00A02B75" w:rsidRDefault="009C0B27">
      <w:pPr>
        <w:spacing w:line="480" w:lineRule="auto"/>
        <w:ind w:firstLine="720"/>
        <w:jc w:val="both"/>
      </w:pPr>
      <w:r>
        <w:t xml:space="preserve">Empirically, the paper </w:t>
      </w:r>
      <w:r>
        <w:t>identifies and examines discursive narratives emerging from optional qualitative open-ended elaborations on two multiple-choice online-survey questions concerning (1) the perceived legitimacy of the Referendum and (2) EU nationals’ exclusion from the polit</w:t>
      </w:r>
      <w:r>
        <w:t>ical decision-making process. The survey was conducted over the three months running up to the EU Referendum, a period of heightened emotional charge dominated politically by Prime Minister David Cameron’s attempts to renegotiate the UK’s terms of EU membe</w:t>
      </w:r>
      <w:r>
        <w:t>rship by securing – or rather confirming – national rights to limit EU migrants’ access to certain welfare provisions (</w:t>
      </w:r>
      <w:hyperlink w:anchor="_2bn6wsx">
        <w:r>
          <w:t>Glencross 2016</w:t>
        </w:r>
      </w:hyperlink>
      <w:r>
        <w:t>). Perhaps unsurprisingly in this broader discursive context, the textual responses provided</w:t>
      </w:r>
      <w:r>
        <w:t xml:space="preserve"> by our Polish participants were not mere clarifications or elaborations on their chosen answers to the two essentially </w:t>
      </w:r>
      <w:r>
        <w:rPr>
          <w:i/>
        </w:rPr>
        <w:lastRenderedPageBreak/>
        <w:t>political</w:t>
      </w:r>
      <w:r>
        <w:t xml:space="preserve"> questions, but coalesced into broader emergent narratives concerning </w:t>
      </w:r>
      <w:r>
        <w:rPr>
          <w:i/>
        </w:rPr>
        <w:t>social</w:t>
      </w:r>
      <w:r>
        <w:t xml:space="preserve"> </w:t>
      </w:r>
      <w:r>
        <w:rPr>
          <w:i/>
        </w:rPr>
        <w:t>welfare</w:t>
      </w:r>
      <w:r>
        <w:t xml:space="preserve"> entitlements. In effect, questions of poli</w:t>
      </w:r>
      <w:r>
        <w:t>tical citizenship and national sovereignty were recast in terms of social citizenship and the ethics of belonging.</w:t>
      </w:r>
    </w:p>
    <w:p w:rsidR="00A02B75" w:rsidRDefault="009C0B27">
      <w:pPr>
        <w:spacing w:line="480" w:lineRule="auto"/>
        <w:ind w:firstLine="720"/>
        <w:jc w:val="both"/>
      </w:pPr>
      <w:r>
        <w:t>We argue that the identified narratives can be interpreted as narrative ‘strategies’ through which social actors situated outside the UK’s po</w:t>
      </w:r>
      <w:r>
        <w:t>litical community negotiate their belonging to its ‘community of value’ (</w:t>
      </w:r>
      <w:hyperlink w:anchor="_3znysh7">
        <w:r>
          <w:t>Anderson 2013</w:t>
        </w:r>
      </w:hyperlink>
      <w:r>
        <w:t>), or its ‘ethical community’ (</w:t>
      </w:r>
      <w:hyperlink w:anchor="_1v1yuxt">
        <w:r>
          <w:t>Miller 2000</w:t>
        </w:r>
      </w:hyperlink>
      <w:r>
        <w:t>). The notion of community conceived of is, of course, necessarily</w:t>
      </w:r>
      <w:r>
        <w:t xml:space="preserve"> different from that assumed by Anderson or Miller, and the paper contends that the examined narratives reveal the sociological operation of a form of ‘neoliberal communitarian citizenship’ which emphasises the importance of work and economic contribution </w:t>
      </w:r>
      <w:r>
        <w:t>as central to the ethical foundation of the ‘nation’ (</w:t>
      </w:r>
      <w:hyperlink w:anchor="_111kx3o">
        <w:r>
          <w:t>van Houdt, et al. 2011</w:t>
        </w:r>
      </w:hyperlink>
      <w:r>
        <w:t xml:space="preserve">; </w:t>
      </w:r>
      <w:hyperlink w:anchor="_49x2ik5">
        <w:r>
          <w:t>Hansen and Hager 2010</w:t>
        </w:r>
      </w:hyperlink>
      <w:r>
        <w:t xml:space="preserve">). This invites a reinterpretation of the Referendum as a multi-layered process, which, on the </w:t>
      </w:r>
      <w:r>
        <w:t>one hand, excluded EU ‘migrants’ from political participation and challenged their rights, while at the same time allowing for a segment of them to feel represented in the ethical re-bordering of Britain’s community of value along so-called ‘neoliberal’ pr</w:t>
      </w:r>
      <w:r>
        <w:t>inciples (</w:t>
      </w:r>
      <w:hyperlink w:anchor="_3o7alnk">
        <w:r>
          <w:t>Jordan and Brown 2007</w:t>
        </w:r>
      </w:hyperlink>
      <w:r>
        <w:t xml:space="preserve">). </w:t>
      </w:r>
    </w:p>
    <w:p w:rsidR="00A02B75" w:rsidRDefault="00A02B75">
      <w:pPr>
        <w:spacing w:line="480" w:lineRule="auto"/>
        <w:jc w:val="both"/>
      </w:pPr>
    </w:p>
    <w:p w:rsidR="00A02B75" w:rsidRDefault="009C0B27">
      <w:pPr>
        <w:pStyle w:val="Heading1"/>
        <w:spacing w:line="480" w:lineRule="auto"/>
        <w:jc w:val="both"/>
      </w:pPr>
      <w:r>
        <w:t>The EU Referendum and Britain’s ‘neoliberal community of value’</w:t>
      </w:r>
    </w:p>
    <w:p w:rsidR="00A02B75" w:rsidRDefault="00A02B75">
      <w:pPr>
        <w:spacing w:line="480" w:lineRule="auto"/>
        <w:jc w:val="both"/>
      </w:pPr>
    </w:p>
    <w:p w:rsidR="00A02B75" w:rsidRDefault="009C0B27">
      <w:pPr>
        <w:spacing w:line="480" w:lineRule="auto"/>
        <w:jc w:val="both"/>
      </w:pPr>
      <w:r>
        <w:t>Public debates on ‘immigration’</w:t>
      </w:r>
      <w:r>
        <w:t xml:space="preserve"> are symptomatic of ‘deeper (and often submerged) values and ideational structures’ and can thus reveal fundamental aspects of a nation’s conception of itself (</w:t>
      </w:r>
      <w:hyperlink w:anchor="_1t3h5sf">
        <w:r>
          <w:t>Balabanova and Balch 2010: 384</w:t>
        </w:r>
      </w:hyperlink>
      <w:r>
        <w:t>). The debates around ‘free movemen</w:t>
      </w:r>
      <w:r>
        <w:t xml:space="preserve">t’ during the months preceding the EU Referendum are no exception. The social-psychological mechanisms underlying such phenomena, as often identified in the literature, operate </w:t>
      </w:r>
      <w:r>
        <w:lastRenderedPageBreak/>
        <w:t>through incessant processes of nation-building and ethno-national boundary work</w:t>
      </w:r>
      <w:r>
        <w:t xml:space="preserve"> (</w:t>
      </w:r>
      <w:hyperlink w:anchor="_4k668n3">
        <w:r>
          <w:t>Wimmer 2013</w:t>
        </w:r>
      </w:hyperlink>
      <w:r>
        <w:t xml:space="preserve">). Whether acting from top down or bottom up – driven by elite agendas or shaped by everyday social interactions in the public sphere – they effectively delineate </w:t>
      </w:r>
      <w:r>
        <w:t>‘communities of value’ populated by ‘good citizen</w:t>
      </w:r>
      <w:r>
        <w:t xml:space="preserve">s’, whose malleable borders are shaped by their interaction with externally excluded ‘non-citizens’ and internally rejected ‘failed citizens’ </w:t>
      </w:r>
      <w:r>
        <w:t>(</w:t>
      </w:r>
      <w:hyperlink w:anchor="_3znysh7">
        <w:r>
          <w:t>Anderson 2013</w:t>
        </w:r>
      </w:hyperlink>
      <w:r>
        <w:t xml:space="preserve">). </w:t>
      </w:r>
      <w:r>
        <w:t>During the EU Referendum debates this ‘re-bordering’ focused parti</w:t>
      </w:r>
      <w:r>
        <w:t xml:space="preserve">cularly on non-citizens who nevertheless were seen as enjoying full social citizenship entitlements. </w:t>
      </w:r>
      <w:r>
        <w:t>It is in this sense that the political renegotiation of the terms of Britain’s EU membership can be interpreted as the culmination of decades-long processe</w:t>
      </w:r>
      <w:r>
        <w:t>s effecting a restructuring of the ethical foundations of Britain’s ‘community of value’, the characteristics of which are worth briefly disambiguating.</w:t>
      </w:r>
    </w:p>
    <w:p w:rsidR="00A02B75" w:rsidRDefault="009C0B27">
      <w:pPr>
        <w:spacing w:line="480" w:lineRule="auto"/>
        <w:jc w:val="both"/>
      </w:pPr>
      <w:r>
        <w:tab/>
        <w:t>The restructuring of the borders of Britain’s ‘ethical community’ over the past four decades has argua</w:t>
      </w:r>
      <w:r>
        <w:t>bly centred on the idea of social deservingness, to the effect that the popular concerns emerging from the more recent trends of ‘superdiversification’ in local communities (</w:t>
      </w:r>
      <w:hyperlink w:anchor="_3l18frh">
        <w:r>
          <w:t>cf. Vertovec 2007</w:t>
        </w:r>
      </w:hyperlink>
      <w:r>
        <w:t xml:space="preserve">) were absorbed into this broader </w:t>
      </w:r>
      <w:r>
        <w:t xml:space="preserve">discursive frame </w:t>
      </w:r>
      <w:r>
        <w:t>(</w:t>
      </w:r>
      <w:hyperlink w:anchor="_lnxbz9">
        <w:r>
          <w:t>Bommes and Geddes 2000</w:t>
        </w:r>
      </w:hyperlink>
      <w:r>
        <w:t xml:space="preserve">; </w:t>
      </w:r>
      <w:hyperlink w:anchor="_23ckvvd">
        <w:r>
          <w:t>Kootstra 2016</w:t>
        </w:r>
      </w:hyperlink>
      <w:r>
        <w:t>). In their analysis of UK public debates on the free movement of people over a crucial seven-year period landmarked by the 2007 EU enlargem</w:t>
      </w:r>
      <w:r>
        <w:t xml:space="preserve">ent, the economic recession and the electoral defeat of Labour, </w:t>
      </w:r>
      <w:hyperlink w:anchor="_4d34og8">
        <w:r>
          <w:t>Balch and Balabanova (2014)</w:t>
        </w:r>
      </w:hyperlink>
      <w:r>
        <w:t xml:space="preserve"> have emphasised not only the general dominance of ‘communitarian’ – as opposed to ‘cosmopolitan’ – frames in media discourses, but al</w:t>
      </w:r>
      <w:r>
        <w:t>so a noticeable shift over time from a general economic nationalism towards a more specific welfare chauvinism, and within the latter, a move from issues such as education, healthcare or housing, to that of ‘immigrants’’ access to social benefits (</w:t>
      </w:r>
      <w:hyperlink w:anchor="_4d34og8">
        <w:r>
          <w:t>2014: 26</w:t>
        </w:r>
      </w:hyperlink>
      <w:r>
        <w:t xml:space="preserve">). </w:t>
      </w:r>
    </w:p>
    <w:p w:rsidR="00A02B75" w:rsidRDefault="009C0B27">
      <w:pPr>
        <w:spacing w:line="480" w:lineRule="auto"/>
        <w:ind w:firstLine="720"/>
        <w:jc w:val="both"/>
      </w:pPr>
      <w:r>
        <w:lastRenderedPageBreak/>
        <w:t>This period has also seen a clear shift in the general publics’ attitudes towards the role of the British welfare state in general (</w:t>
      </w:r>
      <w:hyperlink w:anchor="_1pxezwc">
        <w:r>
          <w:t>Hamnett 2014</w:t>
        </w:r>
      </w:hyperlink>
      <w:r>
        <w:t>). As reflected in the 2012 British Social Att</w:t>
      </w:r>
      <w:r>
        <w:t>itudes Survey, more than half of the British population believed that ‘people would “stand on their own two feet” if benefits were less generous with only 28 per cent disagreeing’, while results from the 1993 survey had shown the exact opposite distributio</w:t>
      </w:r>
      <w:r>
        <w:t>n of opinion (</w:t>
      </w:r>
      <w:hyperlink w:anchor="_1pxezwc">
        <w:r>
          <w:t>Goodhart 2012, quoted in Hamnett 2014: 492</w:t>
        </w:r>
      </w:hyperlink>
      <w:r>
        <w:t>). Goodhart (</w:t>
      </w:r>
      <w:hyperlink w:anchor="_qsh70q">
        <w:r>
          <w:t>2012</w:t>
        </w:r>
      </w:hyperlink>
      <w:r>
        <w:t>) also puts forward a description of the ethical restructuring process paralleling this attitudinal shift: as society as a</w:t>
      </w:r>
      <w:r>
        <w:t xml:space="preserve"> whole has grown richer and income inequalities have increased, so has the ‘social distance between middle Britain and the typical social security recipient’, with the latter becoming ‘more like a separate caste’; ‘The average taxpayer thinks that too many</w:t>
      </w:r>
      <w:r>
        <w:t xml:space="preserve"> people are getting something for nothing’ (</w:t>
      </w:r>
      <w:hyperlink w:anchor="_qsh70q">
        <w:r>
          <w:t>Goodhart 2012: np</w:t>
        </w:r>
      </w:hyperlink>
      <w:r>
        <w:t xml:space="preserve">), and as such, they are perceived as ‘failed citizens’ undeserving of inclusion in the nation’s </w:t>
      </w:r>
      <w:r>
        <w:t xml:space="preserve">core ethical community  </w:t>
      </w:r>
      <w:r>
        <w:t>(</w:t>
      </w:r>
      <w:hyperlink w:anchor="_3znysh7">
        <w:r>
          <w:t>Anderson 201</w:t>
        </w:r>
        <w:r>
          <w:t>3</w:t>
        </w:r>
      </w:hyperlink>
      <w:r>
        <w:t>).</w:t>
      </w:r>
    </w:p>
    <w:p w:rsidR="00A02B75" w:rsidRDefault="009C0B27">
      <w:pPr>
        <w:spacing w:line="480" w:lineRule="auto"/>
        <w:jc w:val="both"/>
      </w:pPr>
      <w:r>
        <w:tab/>
        <w:t>A commonly invoked explanatory framework for these processes is offered by the rather vague term ‘neoliberalism’. As critical observers often caution, processes defined as such are undoing the progressive achievements of modern citizenship as envision</w:t>
      </w:r>
      <w:r>
        <w:t>ed by T. H. Marshall (</w:t>
      </w:r>
      <w:hyperlink w:anchor="_1hmsyys">
        <w:r>
          <w:t>1950</w:t>
        </w:r>
      </w:hyperlink>
      <w:r>
        <w:t>), starting with social rights as its supposed evolutionary frontline and down to the bases of democratic politics (</w:t>
      </w:r>
      <w:hyperlink w:anchor="_44sinio">
        <w:r>
          <w:t>Brown 2015</w:t>
        </w:r>
      </w:hyperlink>
      <w:r>
        <w:t xml:space="preserve">; </w:t>
      </w:r>
      <w:hyperlink w:anchor="_41mghml">
        <w:r>
          <w:t>Masquelie</w:t>
        </w:r>
        <w:r>
          <w:t>r 2017</w:t>
        </w:r>
      </w:hyperlink>
      <w:r>
        <w:t xml:space="preserve">; </w:t>
      </w:r>
      <w:hyperlink w:anchor="_111kx3o">
        <w:r>
          <w:t>van Houdt, et al. 2011</w:t>
        </w:r>
      </w:hyperlink>
      <w:r>
        <w:t xml:space="preserve">; </w:t>
      </w:r>
      <w:hyperlink w:anchor="_37m2jsg">
        <w:r>
          <w:t>Soysal 2012</w:t>
        </w:r>
      </w:hyperlink>
      <w:r>
        <w:t>). At the same time, these principles have been forging such ‘mutated’ forms of ‘post-national’ citizenship – neither premised strictly on nationality,</w:t>
      </w:r>
      <w:r>
        <w:t xml:space="preserve"> nor reliant on universalist ideals (</w:t>
      </w:r>
      <w:hyperlink w:anchor="_4f1mdlm">
        <w:r>
          <w:t>Ong 2006</w:t>
        </w:r>
      </w:hyperlink>
      <w:r>
        <w:t xml:space="preserve">; </w:t>
      </w:r>
      <w:hyperlink w:anchor="_2p2csry">
        <w:r>
          <w:t>Harmes 2012</w:t>
        </w:r>
      </w:hyperlink>
      <w:r>
        <w:t xml:space="preserve">; </w:t>
      </w:r>
      <w:hyperlink w:anchor="_3tbugp1">
        <w:r>
          <w:t>Schinkel and Van Houdt 2010</w:t>
        </w:r>
      </w:hyperlink>
      <w:r>
        <w:t>) – that were experienced as enabling by many intra-EU movers (</w:t>
      </w:r>
      <w:hyperlink w:anchor="_3o7alnk">
        <w:r>
          <w:t>Jordan and Brown 2007</w:t>
        </w:r>
      </w:hyperlink>
      <w:r>
        <w:t xml:space="preserve">; </w:t>
      </w:r>
      <w:hyperlink w:anchor="_4i7ojhp">
        <w:r>
          <w:t>Favell 2014</w:t>
        </w:r>
      </w:hyperlink>
      <w:r>
        <w:t>).</w:t>
      </w:r>
    </w:p>
    <w:p w:rsidR="00A02B75" w:rsidRDefault="009C0B27">
      <w:pPr>
        <w:spacing w:line="480" w:lineRule="auto"/>
        <w:ind w:firstLine="720"/>
        <w:jc w:val="both"/>
      </w:pPr>
      <w:r>
        <w:t>Neoliberalism is most often conceptualised as a model of (govern)mentality: a ‘new form of governmental reason’ that ‘configures all aspects of existence in ec</w:t>
      </w:r>
      <w:r>
        <w:t xml:space="preserve">onomic terms’ </w:t>
      </w:r>
      <w:r>
        <w:lastRenderedPageBreak/>
        <w:t>(</w:t>
      </w:r>
      <w:hyperlink w:anchor="_44sinio">
        <w:r>
          <w:t>Brown 2015: 9, 17</w:t>
        </w:r>
      </w:hyperlink>
      <w:r>
        <w:t xml:space="preserve">). Adopting this analytical framework, </w:t>
      </w:r>
      <w:hyperlink w:anchor="_111kx3o">
        <w:r>
          <w:t>van Houdt, et al. (2011)</w:t>
        </w:r>
      </w:hyperlink>
      <w:r>
        <w:t xml:space="preserve"> have also observed the emergence </w:t>
      </w:r>
      <w:r>
        <w:t xml:space="preserve">of a ‘neoliberal communitarian citizenship’ model in Britain and </w:t>
      </w:r>
      <w:r>
        <w:t xml:space="preserve">other Western-European countries, which simultaneously emphasises the value of ‘earned citizenship’, individual responsibility, and a policy focus on strengthening the ‘national community’. </w:t>
      </w:r>
      <w:hyperlink w:anchor="_49x2ik5">
        <w:r>
          <w:t>Hansen and Hager (2010)</w:t>
        </w:r>
      </w:hyperlink>
      <w:r>
        <w:t xml:space="preserve"> discuss dev</w:t>
      </w:r>
      <w:r>
        <w:t xml:space="preserve">elopments ‘within EU citizenship politics’ in very similar terms, raising questions about whether the emergent ‘neoliberal communitarianism’ is indeed rooted in national policies rather than in broader ‘supranational’ processes. The latter, according to </w:t>
      </w:r>
      <w:hyperlink w:anchor="_49x2ik5">
        <w:r>
          <w:t>Hansen and Hager (2010: 97; emphasis in original)</w:t>
        </w:r>
      </w:hyperlink>
      <w:r>
        <w:t xml:space="preserve">, rely on balancing the ‘twin goals of economic competitiveness </w:t>
      </w:r>
      <w:r>
        <w:rPr>
          <w:i/>
        </w:rPr>
        <w:t>and</w:t>
      </w:r>
      <w:r>
        <w:t xml:space="preserve"> social cohesion’ by way of </w:t>
      </w:r>
    </w:p>
    <w:p w:rsidR="00A02B75" w:rsidRDefault="00A02B75">
      <w:pPr>
        <w:spacing w:line="480" w:lineRule="auto"/>
        <w:ind w:firstLine="720"/>
        <w:jc w:val="both"/>
      </w:pPr>
    </w:p>
    <w:p w:rsidR="00A02B75" w:rsidRDefault="009C0B27">
      <w:pPr>
        <w:spacing w:line="480" w:lineRule="auto"/>
        <w:ind w:left="709"/>
        <w:jc w:val="both"/>
      </w:pPr>
      <w:r>
        <w:t xml:space="preserve">ambiguous appeals to social citizenship, and concrete commitments to redefining the “social” away from the unconditional social right of the welfare state towards a focus on citizens’ responsibilities to make themselves “employable” and “adaptable” in the </w:t>
      </w:r>
      <w:r>
        <w:t>transition to a globalized knowledge-based economy (</w:t>
      </w:r>
      <w:hyperlink w:anchor="_49x2ik5">
        <w:r>
          <w:t>2010: 97</w:t>
        </w:r>
      </w:hyperlink>
      <w:r>
        <w:t>).</w:t>
      </w:r>
    </w:p>
    <w:p w:rsidR="00A02B75" w:rsidRDefault="00A02B75">
      <w:pPr>
        <w:spacing w:line="480" w:lineRule="auto"/>
        <w:ind w:left="709"/>
        <w:jc w:val="both"/>
      </w:pPr>
    </w:p>
    <w:p w:rsidR="00A02B75" w:rsidRDefault="009C0B27">
      <w:pPr>
        <w:spacing w:line="480" w:lineRule="auto"/>
        <w:jc w:val="both"/>
      </w:pPr>
      <w:r>
        <w:t xml:space="preserve">In this article we adopt a characterisation of Britain’s ‘community of value’ as one reliant on such ideals of ‘neoliberal communitarianism’, while shifting the </w:t>
      </w:r>
      <w:r>
        <w:t xml:space="preserve">analytical perspective from that of ‘governmentality’ to a bottom-up and outside-in sociological approach, by focusing empirically on the question of how </w:t>
      </w:r>
      <w:r>
        <w:rPr>
          <w:i/>
        </w:rPr>
        <w:t>non-citizens</w:t>
      </w:r>
      <w:r>
        <w:t xml:space="preserve"> themselves ‘actively’  partake in the redefinition of Britain’s ‘community of value’. </w:t>
      </w:r>
      <w:r>
        <w:t>Nev</w:t>
      </w:r>
      <w:r>
        <w:t>ertheless, we aim to adopt the explanatory framework of ‘neoliberalism’ descriptively, not as ‘a term of abuse’ (</w:t>
      </w:r>
      <w:hyperlink w:anchor="_2xcytpi">
        <w:r>
          <w:t>Favell 2016: 2</w:t>
        </w:r>
      </w:hyperlink>
      <w:r>
        <w:t>), and not despite but due precisely to its ambiguity. The latter allows us to treat it loosely as</w:t>
      </w:r>
      <w:r>
        <w:t xml:space="preserve"> a set of social-psychological dispositions whose meaning is to be arrived at </w:t>
      </w:r>
      <w:r>
        <w:lastRenderedPageBreak/>
        <w:t xml:space="preserve">through empirical analysis. </w:t>
      </w:r>
      <w:r>
        <w:t xml:space="preserve">As such, we </w:t>
      </w:r>
      <w:r>
        <w:t>discuss our participants’ statements as reflecting a combination of ‘communitarian’ and ‘neoliberal’ elements in their vision of ‘citizens</w:t>
      </w:r>
      <w:r>
        <w:t>hip’ and ‘belonging’. Our analysis and findings tie in with other recent research on Polish ‘migrants’ in the UK, which has already highlighted a surprising alignment between Poles’ attitudes towards welfare deservingness and those of the majority populati</w:t>
      </w:r>
      <w:r>
        <w:t>on (</w:t>
      </w:r>
      <w:hyperlink w:anchor="_2u6wntf">
        <w:r>
          <w:t>Osipovič 2015</w:t>
        </w:r>
      </w:hyperlink>
      <w:r>
        <w:t xml:space="preserve">), finding that </w:t>
      </w:r>
      <w:r>
        <w:t>‘some of the aspects of post-socialist subjectivities dovetail unexpectedly with the neoliberal project’ of the host country’ (</w:t>
      </w:r>
      <w:hyperlink w:anchor="_2grqrue">
        <w:r>
          <w:t>Matejskova 2013: 984</w:t>
        </w:r>
      </w:hyperlink>
      <w:r>
        <w:t>).</w:t>
      </w:r>
    </w:p>
    <w:p w:rsidR="00A02B75" w:rsidRDefault="009C0B27">
      <w:pPr>
        <w:pStyle w:val="Heading1"/>
        <w:spacing w:line="480" w:lineRule="auto"/>
        <w:jc w:val="both"/>
      </w:pPr>
      <w:r>
        <w:t>Data and me</w:t>
      </w:r>
      <w:r>
        <w:t>thodology</w:t>
      </w:r>
    </w:p>
    <w:p w:rsidR="00A02B75" w:rsidRDefault="009C0B27">
      <w:pPr>
        <w:spacing w:line="480" w:lineRule="auto"/>
        <w:jc w:val="both"/>
      </w:pPr>
      <w:r>
        <w:t>The data analysed in this paper originate from an online survey conducted between 11 March and 23 June 2016. The questionnaire was translated into Polish – among other languages (</w:t>
      </w:r>
      <w:hyperlink w:anchor="_3dy6vkm">
        <w:r>
          <w:t>see Anonymous 2</w:t>
        </w:r>
      </w:hyperlink>
      <w:r>
        <w:t>) – and we directly t</w:t>
      </w:r>
      <w:r>
        <w:t>argeted Polish online communities, particularly through Facebook groups and the Facebook pages of the main UK-based Polish language newspapers. The data collection generated a cleansed dataset of 894 Polish respondents, whose main socio-demographic charact</w:t>
      </w:r>
      <w:r>
        <w:t xml:space="preserve">eristics are presented in </w:t>
      </w:r>
      <w:r>
        <w:rPr>
          <w:i/>
        </w:rPr>
        <w:t>Table I.</w:t>
      </w:r>
      <w:r>
        <w:t xml:space="preserve"> </w:t>
      </w:r>
    </w:p>
    <w:p w:rsidR="00A02B75" w:rsidRDefault="009C0B27">
      <w:pPr>
        <w:spacing w:line="480" w:lineRule="auto"/>
        <w:jc w:val="both"/>
      </w:pPr>
      <w:r>
        <w:tab/>
        <w:t>Although our chosen method of data collection is prone to innate respondent and coverage biases (</w:t>
      </w:r>
      <w:hyperlink w:anchor="_46r0co2">
        <w:r>
          <w:t>cf. Sue and Ritter 2012</w:t>
        </w:r>
      </w:hyperlink>
      <w:r>
        <w:t>), social media in particular has been identified as an increasingly</w:t>
      </w:r>
      <w:r>
        <w:t xml:space="preserve"> useful platform for accessing migrant networks (</w:t>
      </w:r>
      <w:hyperlink w:anchor="_1y810tw">
        <w:r>
          <w:t>cf. Dekker and Engbersen 2014</w:t>
        </w:r>
      </w:hyperlink>
      <w:r>
        <w:t xml:space="preserve">), and the adopted strategy of ‘appropriate targeting’ has proved effective at reducing biases and increasing the representativeness of our sample </w:t>
      </w:r>
      <w:r>
        <w:t>(</w:t>
      </w:r>
      <w:hyperlink w:anchor="_tyjcwt">
        <w:r>
          <w:t xml:space="preserve">see Anonymous 1: , where we compare our sample to that of the Annual Population Survey </w:t>
        </w:r>
      </w:hyperlink>
      <w:r>
        <w:t>). In the context of our present analysis, the most important cautionary note in respect to the latter is that our sample will reflect mor</w:t>
      </w:r>
      <w:r>
        <w:t xml:space="preserve">e closely the attitudes of women, those of working age and the economically active. Our sample also consists mostly of post-Enlargement movers, although their length </w:t>
      </w:r>
      <w:r>
        <w:lastRenderedPageBreak/>
        <w:t xml:space="preserve">of stay is balanced, with 30 per cent having lived in the UK for less than five years, 47 </w:t>
      </w:r>
      <w:r>
        <w:t>per cent for between five and ten years, and 23 per cent for over ten years. In terms of regional distribution across UK countries and relationship/marital status our sample compares well with that of the Annual Population Survey (</w:t>
      </w:r>
      <w:hyperlink w:anchor="_tyjcwt">
        <w:r>
          <w:t>Anonymous 1</w:t>
        </w:r>
      </w:hyperlink>
      <w:r>
        <w:t>).</w:t>
      </w:r>
    </w:p>
    <w:p w:rsidR="00A02B75" w:rsidRDefault="00A02B75">
      <w:pPr>
        <w:spacing w:line="480" w:lineRule="auto"/>
        <w:jc w:val="both"/>
      </w:pPr>
    </w:p>
    <w:p w:rsidR="00A02B75" w:rsidRDefault="009C0B27">
      <w:pPr>
        <w:spacing w:line="480" w:lineRule="auto"/>
        <w:jc w:val="center"/>
      </w:pPr>
      <w:r>
        <w:t>Table I here</w:t>
      </w:r>
    </w:p>
    <w:p w:rsidR="00A02B75" w:rsidRDefault="00A02B75">
      <w:pPr>
        <w:spacing w:line="480" w:lineRule="auto"/>
        <w:jc w:val="both"/>
      </w:pPr>
    </w:p>
    <w:p w:rsidR="00A02B75" w:rsidRDefault="009C0B27">
      <w:pPr>
        <w:spacing w:line="480" w:lineRule="auto"/>
        <w:ind w:firstLine="567"/>
        <w:jc w:val="both"/>
      </w:pPr>
      <w:r>
        <w:t xml:space="preserve">While the questionnaire consisted of 194 question items, in this paper we focus mainly on the qualitative answers received in the open-ended optional response boxes connected to two multiple-choice questions: </w:t>
      </w:r>
    </w:p>
    <w:p w:rsidR="00A02B75" w:rsidRDefault="009C0B27">
      <w:pPr>
        <w:spacing w:before="240" w:after="240" w:line="480" w:lineRule="auto"/>
        <w:ind w:left="567"/>
        <w:jc w:val="both"/>
      </w:pPr>
      <w:r>
        <w:t xml:space="preserve">(1) ‘In your opinion, is it legitimate for the UK to hold a referendum on EU membership?’, and </w:t>
      </w:r>
    </w:p>
    <w:p w:rsidR="00A02B75" w:rsidRDefault="009C0B27">
      <w:pPr>
        <w:spacing w:before="240" w:after="240" w:line="480" w:lineRule="auto"/>
        <w:ind w:left="567"/>
        <w:jc w:val="both"/>
      </w:pPr>
      <w:r>
        <w:t>(2)  ‘You may be aware that non-British EU citizens living in the UK do not have the right to vote in the referendum. What is your opinion on this?’</w:t>
      </w:r>
    </w:p>
    <w:p w:rsidR="00A02B75" w:rsidRDefault="009C0B27">
      <w:pPr>
        <w:spacing w:line="480" w:lineRule="auto"/>
        <w:jc w:val="both"/>
      </w:pPr>
      <w:r>
        <w:t>The first q</w:t>
      </w:r>
      <w:r>
        <w:t>uestion had three answer options (‘It is legitimate, and it should be held’, ‘It is legitimate, but it should not be held’, and ‘No’ [it is not legitimate]). The second question had four answer options (‘I agree, they SHOULD NOT have the right to vote’, ‘T</w:t>
      </w:r>
      <w:r>
        <w:t>hey should only have conditional right to vote (e.g. depending on length of stay, employment etc.)’, ‘I disagree, they SHOULD have the right to vote’, and ‘Do not know’). All who answered the first question, and those selecting the second option to the sec</w:t>
      </w:r>
      <w:r>
        <w:t xml:space="preserve">ond question (‘Conditional right to vote’), were asked to elaborate on their opinion. </w:t>
      </w:r>
    </w:p>
    <w:p w:rsidR="00A02B75" w:rsidRDefault="00A02B75">
      <w:pPr>
        <w:spacing w:line="480" w:lineRule="auto"/>
        <w:jc w:val="both"/>
      </w:pPr>
    </w:p>
    <w:p w:rsidR="00A02B75" w:rsidRDefault="009C0B27">
      <w:pPr>
        <w:spacing w:line="480" w:lineRule="auto"/>
        <w:jc w:val="center"/>
      </w:pPr>
      <w:r>
        <w:t>Table II here</w:t>
      </w:r>
    </w:p>
    <w:p w:rsidR="00A02B75" w:rsidRDefault="00A02B75">
      <w:pPr>
        <w:spacing w:line="480" w:lineRule="auto"/>
        <w:jc w:val="both"/>
      </w:pPr>
    </w:p>
    <w:p w:rsidR="00A02B75" w:rsidRDefault="009C0B27">
      <w:pPr>
        <w:spacing w:line="480" w:lineRule="auto"/>
        <w:ind w:firstLine="720"/>
        <w:jc w:val="both"/>
      </w:pPr>
      <w:r>
        <w:t>The open-ended questions had been designed to provide additional space for elaboration on the answer-choices, but the rich textual data provided by our p</w:t>
      </w:r>
      <w:r>
        <w:t xml:space="preserve">articipants has allowed for a more comprehensive thematic analysis. As described in </w:t>
      </w:r>
      <w:r>
        <w:rPr>
          <w:i/>
        </w:rPr>
        <w:t>Table II</w:t>
      </w:r>
      <w:r>
        <w:t xml:space="preserve">, we received 161 qualitative explanations to the question of the </w:t>
      </w:r>
      <w:r>
        <w:rPr>
          <w:i/>
        </w:rPr>
        <w:t>legitimacy</w:t>
      </w:r>
      <w:r>
        <w:t xml:space="preserve"> of the referendum, and 104 explanations to the question regarding EU nationals’ </w:t>
      </w:r>
      <w:r>
        <w:rPr>
          <w:i/>
        </w:rPr>
        <w:t xml:space="preserve">voting </w:t>
      </w:r>
      <w:r>
        <w:rPr>
          <w:i/>
        </w:rPr>
        <w:t>rights</w:t>
      </w:r>
      <w:r>
        <w:t>. In total, we obtained 265 responses from 197 individual participants.</w:t>
      </w:r>
    </w:p>
    <w:p w:rsidR="00A02B75" w:rsidRDefault="009C0B27">
      <w:pPr>
        <w:spacing w:line="480" w:lineRule="auto"/>
        <w:ind w:firstLine="720"/>
        <w:jc w:val="both"/>
      </w:pPr>
      <w:r>
        <w:t xml:space="preserve">All textual answers were professionally translated into English, and we undertook a thematic analysis of the transcripts using a technique advocated by </w:t>
      </w:r>
      <w:hyperlink w:anchor="_1ksv4uv">
        <w:r>
          <w:t>Boyatzis (1998)</w:t>
        </w:r>
      </w:hyperlink>
      <w:r>
        <w:t>. Initially, an overview thematic grid was produced to identify and collate the participants’ views on the two survey questions. Relevant sections of the transcripts were then assigned appropriate thematic codes and refined sub-categori</w:t>
      </w:r>
      <w:r>
        <w:t>es emerged.</w:t>
      </w:r>
    </w:p>
    <w:p w:rsidR="00A02B75" w:rsidRDefault="009C0B27">
      <w:pPr>
        <w:pStyle w:val="Heading1"/>
        <w:spacing w:after="240" w:line="480" w:lineRule="auto"/>
      </w:pPr>
      <w:r>
        <w:t>Attitudes to the EU Referendum: a quantitative overview</w:t>
      </w:r>
    </w:p>
    <w:p w:rsidR="00A02B75" w:rsidRDefault="009C0B27">
      <w:pPr>
        <w:spacing w:line="480" w:lineRule="auto"/>
        <w:jc w:val="both"/>
      </w:pPr>
      <w:r>
        <w:t>If we interpret the EU Referendum as a political reaffirmation of nationality-based entitlements over supra-national rights, we would expect Polish nationals living in the UK, whose rights</w:t>
      </w:r>
      <w:r>
        <w:t xml:space="preserve"> of residence, work and family life are largely premised on their EU citizenship, to be overwhelmingly opposed to the Referendum and supportive of the UK’s continued EU membership under status-quo conditions. It would also be reasonable to assume that give</w:t>
      </w:r>
      <w:r>
        <w:t>n the particular import of the issue to their statuses, a majority would have preferred to be able to participate in the Referendum. Based on the data emerging from our survey, however, we can begin to form a more nuanced understanding of how members of th</w:t>
      </w:r>
      <w:r>
        <w:t>e largest EU migrant group in the UK related to the Referendum.</w:t>
      </w:r>
    </w:p>
    <w:p w:rsidR="00A02B75" w:rsidRDefault="009C0B27">
      <w:pPr>
        <w:spacing w:line="480" w:lineRule="auto"/>
        <w:ind w:firstLine="720"/>
        <w:jc w:val="both"/>
      </w:pPr>
      <w:r>
        <w:lastRenderedPageBreak/>
        <w:t xml:space="preserve">Three survey questions are particularly relevant in this respect: those on </w:t>
      </w:r>
      <w:r>
        <w:rPr>
          <w:i/>
        </w:rPr>
        <w:t>legitimacy</w:t>
      </w:r>
      <w:r>
        <w:t xml:space="preserve"> and </w:t>
      </w:r>
      <w:r>
        <w:rPr>
          <w:i/>
        </w:rPr>
        <w:t>voting rights</w:t>
      </w:r>
      <w:r>
        <w:t xml:space="preserve"> discussed above, and one concerning the </w:t>
      </w:r>
      <w:r>
        <w:rPr>
          <w:i/>
        </w:rPr>
        <w:t>preferred outcome</w:t>
      </w:r>
      <w:r>
        <w:t xml:space="preserve"> of the Referendum. The distribution of answers to these questions are highlighted in </w:t>
      </w:r>
      <w:r>
        <w:rPr>
          <w:i/>
        </w:rPr>
        <w:t>Table III</w:t>
      </w:r>
      <w:r>
        <w:t>. As we can see, 44 per cent of our respondents thought that the Referendum ‘is legitimate, and it should be held’, another 24 per cent considered it legitimate,</w:t>
      </w:r>
      <w:r>
        <w:t xml:space="preserve"> but believed that ‘it should not be held’, while 32 per cent did not consider the Referendum as ‘legitimate’. The definition of ‘legitimacy’ was purposefully left open, inviting participants to further elaborate on their answers in the open-text sections.</w:t>
      </w:r>
      <w:r>
        <w:t xml:space="preserve"> </w:t>
      </w:r>
    </w:p>
    <w:p w:rsidR="00A02B75" w:rsidRDefault="009C0B27">
      <w:pPr>
        <w:spacing w:line="480" w:lineRule="auto"/>
        <w:ind w:firstLine="720"/>
        <w:jc w:val="both"/>
      </w:pPr>
      <w:r>
        <w:t>In respect to EU nationals’ voting rights, we see that 19 per cent believed that resident EU nationals in general should have been enfranchised, 15 per cent agreed with the Government’s decision to exclude non-British EU citizens from the electorate, and</w:t>
      </w:r>
      <w:r>
        <w:t xml:space="preserve"> an overwhelming majority of 64 per cent were of the opinion that voting rights should have been granted, but only dependant on certain conditions, which in the qualitative comments were tied mostly to residency and economic participation. </w:t>
      </w:r>
    </w:p>
    <w:p w:rsidR="00A02B75" w:rsidRDefault="009C0B27">
      <w:pPr>
        <w:spacing w:line="480" w:lineRule="auto"/>
        <w:ind w:firstLine="720"/>
        <w:jc w:val="both"/>
      </w:pPr>
      <w:r>
        <w:t>Finally, in res</w:t>
      </w:r>
      <w:r>
        <w:t xml:space="preserve">pect to the preferred outcome of the Referendum, while only few (6 per cent) were supporting a Brexit outcome, the most popular response option was for the ‘UK to stay in the EU </w:t>
      </w:r>
      <w:r>
        <w:rPr>
          <w:i/>
        </w:rPr>
        <w:t>only if</w:t>
      </w:r>
      <w:r>
        <w:t xml:space="preserve"> it gains more freedom to make its own laws’ (45 per cent). This formul</w:t>
      </w:r>
      <w:r>
        <w:t xml:space="preserve">ation had been chosen to reflect popular expressions in political discourse at the time of the Referendum campaign – what we later refer to as the </w:t>
      </w:r>
      <w:r>
        <w:rPr>
          <w:i/>
        </w:rPr>
        <w:t>mainstream political narrative</w:t>
      </w:r>
      <w:r>
        <w:t xml:space="preserve"> illustrated through the Prime Minister’s statement following the Government’s </w:t>
      </w:r>
      <w:r>
        <w:t>negotiations with the EU representatives ahead of the Referendum (</w:t>
      </w:r>
      <w:hyperlink w:anchor="_z337ya">
        <w:r>
          <w:t>Cameron 2016</w:t>
        </w:r>
      </w:hyperlink>
      <w:r>
        <w:t>). Comparatively, only 33 per cent supported the status quo, and 17 per cent were favouring further EU integration.</w:t>
      </w:r>
    </w:p>
    <w:p w:rsidR="00A02B75" w:rsidRDefault="00A02B75">
      <w:pPr>
        <w:spacing w:line="480" w:lineRule="auto"/>
        <w:jc w:val="both"/>
      </w:pPr>
    </w:p>
    <w:p w:rsidR="00A02B75" w:rsidRDefault="009C0B27">
      <w:pPr>
        <w:spacing w:line="480" w:lineRule="auto"/>
        <w:jc w:val="center"/>
      </w:pPr>
      <w:r>
        <w:lastRenderedPageBreak/>
        <w:t>Table III here</w:t>
      </w:r>
    </w:p>
    <w:p w:rsidR="00A02B75" w:rsidRDefault="00A02B75">
      <w:pPr>
        <w:spacing w:line="480" w:lineRule="auto"/>
        <w:jc w:val="center"/>
      </w:pPr>
    </w:p>
    <w:p w:rsidR="00A02B75" w:rsidRDefault="009C0B27">
      <w:pPr>
        <w:spacing w:line="480" w:lineRule="auto"/>
        <w:jc w:val="both"/>
      </w:pPr>
      <w:r>
        <w:tab/>
        <w:t xml:space="preserve">These results </w:t>
      </w:r>
      <w:r>
        <w:t>first and foremost highlight the lack of an unequivocal condemnation of the Referendum and EU nationals’ exclusion from the decision-making process, as well as a set of more complex attitudes towards its outcome – indeed, a complexity that had been notably</w:t>
      </w:r>
      <w:r>
        <w:t xml:space="preserve"> denied to enfranchised voters – that does not lend itself readily to interpretation. Nevertheless, support for an idea of ‘national’ popular sovereignty interlaced with non-nationality-based principles of democratic political participation appears to be t</w:t>
      </w:r>
      <w:r>
        <w:t xml:space="preserve">he more general aspect of the underlying ideational picture. The question, then, is the substantive meaning attributed to the ‘nation’, the ‘ethical community’, by a group of social actors situated without its political boundaries. We will attempt to work </w:t>
      </w:r>
      <w:r>
        <w:t>towards an explanatory hypothesis from the qualitative data relating to the first two of the discussed survey questions.</w:t>
      </w:r>
    </w:p>
    <w:p w:rsidR="00A02B75" w:rsidRDefault="009C0B27">
      <w:pPr>
        <w:pStyle w:val="Heading1"/>
        <w:spacing w:line="480" w:lineRule="auto"/>
      </w:pPr>
      <w:r>
        <w:t>Narrative strategies of ethical positioning</w:t>
      </w:r>
    </w:p>
    <w:p w:rsidR="00A02B75" w:rsidRDefault="009C0B27">
      <w:pPr>
        <w:spacing w:before="240" w:line="480" w:lineRule="auto"/>
        <w:jc w:val="both"/>
      </w:pPr>
      <w:r>
        <w:t>Many of our participants’ textual elaborations on the survey question concerning the ‘legit</w:t>
      </w:r>
      <w:r>
        <w:t>imacy’ of the Referendum were short statements mirroring divergent philosophical positions on the virtues and pitfalls of direct democracy: ‘People should decide on their own future, not the politicians’, said one respondent (Male, 47 years old, 5y7m in UK</w:t>
      </w:r>
      <w:r>
        <w:t>; L1, V2, O2), and another echoed that ‘The British have the right to decide about the future of their country’ (Female, 44, 4y1m; L1, V2, O3).</w:t>
      </w:r>
      <w:r>
        <w:rPr>
          <w:vertAlign w:val="superscript"/>
        </w:rPr>
        <w:footnoteReference w:id="1"/>
      </w:r>
      <w:r>
        <w:t xml:space="preserve"> Others, however, considered that ‘British society is </w:t>
      </w:r>
      <w:r>
        <w:lastRenderedPageBreak/>
        <w:t>not ready to take part in such an important vote. People h</w:t>
      </w:r>
      <w:r>
        <w:t>ave incorrect information, illusionary dreams and concerns’ (Female, 35, 4y2m; L3, V2, O2); or, expressed more coarsely, ‘This society is too ignorant and uneducated to understand the consequences of leaving the EU’ (Male, 38, 6y7m; L3, V–, O3).</w:t>
      </w:r>
    </w:p>
    <w:p w:rsidR="00A02B75" w:rsidRDefault="009C0B27">
      <w:pPr>
        <w:spacing w:before="240" w:line="480" w:lineRule="auto"/>
        <w:ind w:firstLine="709"/>
        <w:jc w:val="both"/>
      </w:pPr>
      <w:r>
        <w:t>Some parti</w:t>
      </w:r>
      <w:r>
        <w:t>cipants also reflected on their outsider status in the British political community and were rather forthright about the conflict between their moral stance and pragmatic position in respect to the Referendum:</w:t>
      </w:r>
    </w:p>
    <w:p w:rsidR="00A02B75" w:rsidRDefault="009C0B27">
      <w:pPr>
        <w:spacing w:before="240" w:line="480" w:lineRule="auto"/>
        <w:ind w:left="709"/>
        <w:jc w:val="both"/>
      </w:pPr>
      <w:r>
        <w:t>It is a justified decision, but from my persona</w:t>
      </w:r>
      <w:r>
        <w:t>l point of view this referendum shouldn’t be taking place, because leaving the EU would work to my disadvantage. (Male, 45, 11y10m; L2, V2, O3)</w:t>
      </w:r>
    </w:p>
    <w:p w:rsidR="00A02B75" w:rsidRDefault="009C0B27">
      <w:pPr>
        <w:spacing w:before="240" w:line="480" w:lineRule="auto"/>
        <w:ind w:left="709"/>
        <w:jc w:val="both"/>
      </w:pPr>
      <w:r>
        <w:t xml:space="preserve">I have a dilemma regarding this, because for me, someone without the British citizenship, this referendum isn’t </w:t>
      </w:r>
      <w:r>
        <w:t>beneficial, but perhaps if I had it, I would be in favour of it… (Female, 51, 3y8m; L2, V2, O2)</w:t>
      </w:r>
    </w:p>
    <w:p w:rsidR="00A02B75" w:rsidRDefault="009C0B27">
      <w:pPr>
        <w:spacing w:before="240" w:line="480" w:lineRule="auto"/>
        <w:jc w:val="both"/>
      </w:pPr>
      <w:r>
        <w:t>Often the answer option that the Referendum was ‘legitimate, but should not be held’ offered a resolution to such moral ‘dilemmas’. We can also see from the quo</w:t>
      </w:r>
      <w:r>
        <w:t>ted respondents’ chosen answers to the three survey questions that there is no direct relationship between opinions on legitimacy and outcome preferences, between means and ends.</w:t>
      </w:r>
    </w:p>
    <w:p w:rsidR="00A02B75" w:rsidRDefault="009C0B27">
      <w:pPr>
        <w:spacing w:before="240" w:line="480" w:lineRule="auto"/>
        <w:jc w:val="both"/>
      </w:pPr>
      <w:r>
        <w:tab/>
        <w:t>More interestingly, the thematic analysis has also brought to light an emerg</w:t>
      </w:r>
      <w:r>
        <w:t xml:space="preserve">ent narrative theme centring on the seemingly unrelated issue of </w:t>
      </w:r>
      <w:r>
        <w:rPr>
          <w:i/>
        </w:rPr>
        <w:t>social welfare</w:t>
      </w:r>
      <w:r>
        <w:t xml:space="preserve"> rights, which, moreover, connected up with the question on the voting rights of EU citizens. This may be unsurprising in the context of the broader political and media discours</w:t>
      </w:r>
      <w:r>
        <w:t xml:space="preserve">e at the time, </w:t>
      </w:r>
      <w:r>
        <w:lastRenderedPageBreak/>
        <w:t>dominated by an unqualified acceptance of the disputed ‘welfare magnet hypothesis’ (</w:t>
      </w:r>
      <w:hyperlink w:anchor="_19c6y18">
        <w:r>
          <w:t>Razin and Wahba 2015</w:t>
        </w:r>
      </w:hyperlink>
      <w:r>
        <w:t xml:space="preserve">; </w:t>
      </w:r>
      <w:hyperlink w:anchor="_3whwml4">
        <w:r>
          <w:t>Giulietti 2014</w:t>
        </w:r>
      </w:hyperlink>
      <w:r>
        <w:t>). As then Prime Minister David Cameron had expressed it, ‘</w:t>
      </w:r>
      <w:r>
        <w:t>preventing our welfare system acting as a magnet for people to come to our country’ was an important aim in his widely publicised negotiations with the EU, and the Government’s campaign in favour of remaining a member of a reformed EU was itself premised o</w:t>
      </w:r>
      <w:r>
        <w:t>n having secured the right to introduce ‘tough new restrictions on access to our welfare system for EU migrants – no more something for nothing’ (</w:t>
      </w:r>
      <w:hyperlink w:anchor="_z337ya">
        <w:r>
          <w:t>Cameron 2016: , para. 44 and 5</w:t>
        </w:r>
      </w:hyperlink>
      <w:r>
        <w:t>). Reactions to such coupling of welfare abuse and</w:t>
      </w:r>
      <w:r>
        <w:t xml:space="preserve"> free movement rights would therefore be expected.</w:t>
      </w:r>
    </w:p>
    <w:p w:rsidR="00A02B75" w:rsidRDefault="009C0B27">
      <w:pPr>
        <w:spacing w:line="480" w:lineRule="auto"/>
        <w:ind w:firstLine="720"/>
        <w:jc w:val="both"/>
      </w:pPr>
      <w:r>
        <w:t xml:space="preserve">However, one theoretically plausible narrative reaction – namely, the defence of ‘free movement’ ideals on post-national ethical grounds and of EU citizenship as an entitlement – was conspicuously absent. </w:t>
      </w:r>
      <w:r>
        <w:t>This also chimes with earlier research focusing specifically on the question of Polish migrants’ attitudes to welfare deservingness, where ‘participants perceived some of the rights conferred by the EU as normatively dubious’ (</w:t>
      </w:r>
      <w:hyperlink w:anchor="_2u6wntf">
        <w:r>
          <w:t>Osipovič 2015: 741</w:t>
        </w:r>
      </w:hyperlink>
      <w:r>
        <w:t>). Instead, what we find are different strategies of positioning oneself in respect to an ethical community defined through work, economic contribution and self-management, values that we have earlier described as stemming from more gen</w:t>
      </w:r>
      <w:r>
        <w:t>eral principles of neoliberal ‘social ordering’ (</w:t>
      </w:r>
      <w:hyperlink w:anchor="_41mghml">
        <w:r>
          <w:t>Masquelier 2017</w:t>
        </w:r>
      </w:hyperlink>
      <w:r>
        <w:t>). We propose that these can be understood as ‘strategies of boundary making: different ways in which individual and collective actors can relate to an existing, established mode of classification and closure, and how they can attempt to enforce their visi</w:t>
      </w:r>
      <w:r>
        <w:t>on of the legitimate divisions of society’ (</w:t>
      </w:r>
      <w:hyperlink w:anchor="_4k668n3">
        <w:r>
          <w:t>Wimmer 2013: 44</w:t>
        </w:r>
      </w:hyperlink>
      <w:r>
        <w:t xml:space="preserve">). </w:t>
      </w:r>
    </w:p>
    <w:p w:rsidR="00A02B75" w:rsidRDefault="009C0B27">
      <w:pPr>
        <w:spacing w:line="480" w:lineRule="auto"/>
        <w:ind w:firstLine="720"/>
        <w:jc w:val="both"/>
      </w:pPr>
      <w:r>
        <w:t xml:space="preserve">In the following we briefly exemplify the three main narrative strategies that we have identified – </w:t>
      </w:r>
      <w:r>
        <w:rPr>
          <w:i/>
        </w:rPr>
        <w:t>discursive complicity</w:t>
      </w:r>
      <w:r>
        <w:t xml:space="preserve">, </w:t>
      </w:r>
      <w:r>
        <w:rPr>
          <w:i/>
        </w:rPr>
        <w:t>intergroup hostility</w:t>
      </w:r>
      <w:r>
        <w:t xml:space="preserve"> and </w:t>
      </w:r>
      <w:r>
        <w:rPr>
          <w:i/>
        </w:rPr>
        <w:t>defensive asse</w:t>
      </w:r>
      <w:r>
        <w:rPr>
          <w:i/>
        </w:rPr>
        <w:t>rtiveness</w:t>
      </w:r>
      <w:r>
        <w:t xml:space="preserve"> – </w:t>
      </w:r>
      <w:r>
        <w:lastRenderedPageBreak/>
        <w:t>before discussing how they ground an implicit ethical challenge to classical conceptions of citizenship based on ‘nationality’.</w:t>
      </w:r>
    </w:p>
    <w:p w:rsidR="00A02B75" w:rsidRDefault="009C0B27">
      <w:pPr>
        <w:pStyle w:val="Heading2"/>
        <w:spacing w:before="120" w:after="120" w:line="480" w:lineRule="auto"/>
      </w:pPr>
      <w:r>
        <w:t>Discursive complicity</w:t>
      </w:r>
    </w:p>
    <w:p w:rsidR="00A02B75" w:rsidRDefault="009C0B27">
      <w:pPr>
        <w:spacing w:line="480" w:lineRule="auto"/>
        <w:jc w:val="both"/>
      </w:pPr>
      <w:r>
        <w:t xml:space="preserve">In essence, the strategy of </w:t>
      </w:r>
      <w:r>
        <w:rPr>
          <w:i/>
        </w:rPr>
        <w:t>discursive complicity</w:t>
      </w:r>
      <w:r>
        <w:t xml:space="preserve"> entailed the appropriation of the ‘welfare m</w:t>
      </w:r>
      <w:r>
        <w:t xml:space="preserve">agnet hypothesis’ in the variant that had permeated public discourse.  As one respondent expressed it: </w:t>
      </w:r>
    </w:p>
    <w:p w:rsidR="00A02B75" w:rsidRDefault="00A02B75">
      <w:pPr>
        <w:spacing w:line="480" w:lineRule="auto"/>
        <w:jc w:val="both"/>
      </w:pPr>
    </w:p>
    <w:p w:rsidR="00A02B75" w:rsidRDefault="009C0B27">
      <w:pPr>
        <w:spacing w:line="480" w:lineRule="auto"/>
        <w:ind w:left="720"/>
        <w:jc w:val="both"/>
      </w:pPr>
      <w:r>
        <w:t xml:space="preserve">There are too many people here who want to take from the state without giving anything back; this has to stop. People who arrive in the country need to work first for a period of time, rather than start claiming benefits right away. (Female, 44, 6y2m; L2, </w:t>
      </w:r>
      <w:r>
        <w:t>V2, O2)</w:t>
      </w:r>
    </w:p>
    <w:p w:rsidR="00A02B75" w:rsidRDefault="00A02B75">
      <w:pPr>
        <w:spacing w:line="480" w:lineRule="auto"/>
        <w:ind w:left="720"/>
        <w:jc w:val="both"/>
      </w:pPr>
    </w:p>
    <w:p w:rsidR="00A02B75" w:rsidRDefault="009C0B27">
      <w:pPr>
        <w:spacing w:line="480" w:lineRule="auto"/>
        <w:jc w:val="both"/>
      </w:pPr>
      <w:r>
        <w:t>We find reflected in this quotation not only the political mainstream’s position on socio-economic contribution – ‘no more something for nothing’ (</w:t>
      </w:r>
      <w:hyperlink w:anchor="_z337ya">
        <w:r>
          <w:t>Cameron 2016: para. 5</w:t>
        </w:r>
      </w:hyperlink>
      <w:r>
        <w:t>) –, but also its policy remedy: ‘that EU migrant</w:t>
      </w:r>
      <w:r>
        <w:t>s cannot claim the new unemployment benefit … while looking for work’, those ‘who haven’t found work within 6 months can now be required to leave’, while those in work ‘will have to wait 4 years until they have full access to our benefits’ (</w:t>
      </w:r>
      <w:hyperlink w:anchor="_z337ya">
        <w:r>
          <w:t>Cameron 2016: , Para. 50–52</w:t>
        </w:r>
      </w:hyperlink>
      <w:r>
        <w:t>).</w:t>
      </w:r>
    </w:p>
    <w:p w:rsidR="00A02B75" w:rsidRDefault="009C0B27">
      <w:pPr>
        <w:spacing w:line="480" w:lineRule="auto"/>
        <w:ind w:firstLine="720"/>
        <w:jc w:val="both"/>
      </w:pPr>
      <w:r>
        <w:t>A complicit acceptance of the dominant discourse, however, did not necessarily determine views on the legitimacy of the Referendum. While it was perceived by some as a welcome opportunity to establish a legal di</w:t>
      </w:r>
      <w:r>
        <w:t>stinction between the ‘deserving’ and the ‘undeserving’ migrants, others have also highlighted the potentially detrimental effects of the process:</w:t>
      </w:r>
    </w:p>
    <w:p w:rsidR="00A02B75" w:rsidRDefault="00A02B75">
      <w:pPr>
        <w:spacing w:line="480" w:lineRule="auto"/>
        <w:ind w:firstLine="720"/>
        <w:jc w:val="both"/>
      </w:pPr>
    </w:p>
    <w:p w:rsidR="00A02B75" w:rsidRDefault="009C0B27">
      <w:pPr>
        <w:spacing w:line="480" w:lineRule="auto"/>
        <w:ind w:left="720"/>
        <w:jc w:val="both"/>
      </w:pPr>
      <w:r>
        <w:t>There are hundreds of people who are choosing to come to the UK only to take advantage of the welfare system</w:t>
      </w:r>
      <w:r>
        <w:t>. … That’s why the referendum should be held, so that people are given the opportunity to voice their opinion on this matter. (Female, 30, 5y1m; L1, V1, O2)</w:t>
      </w:r>
    </w:p>
    <w:p w:rsidR="00A02B75" w:rsidRDefault="00A02B75">
      <w:pPr>
        <w:spacing w:line="480" w:lineRule="auto"/>
        <w:jc w:val="both"/>
      </w:pPr>
    </w:p>
    <w:p w:rsidR="00A02B75" w:rsidRDefault="009C0B27">
      <w:pPr>
        <w:spacing w:line="480" w:lineRule="auto"/>
        <w:ind w:left="709"/>
        <w:jc w:val="both"/>
      </w:pPr>
      <w:r>
        <w:t>The UK should find a way of stopping people from claiming benefits, which would reduce the immigra</w:t>
      </w:r>
      <w:r>
        <w:t>tion numbers. Instead what this referendum is doing is deepening the negative attitudes of English people towards the immigrants from Eastern Europe. (Female, 44, 8y3m; L3, V2, O4)</w:t>
      </w:r>
    </w:p>
    <w:p w:rsidR="00A02B75" w:rsidRDefault="00A02B75">
      <w:pPr>
        <w:spacing w:line="480" w:lineRule="auto"/>
        <w:jc w:val="both"/>
      </w:pPr>
    </w:p>
    <w:p w:rsidR="00A02B75" w:rsidRDefault="009C0B27">
      <w:pPr>
        <w:spacing w:line="480" w:lineRule="auto"/>
        <w:jc w:val="both"/>
      </w:pPr>
      <w:r>
        <w:t xml:space="preserve">In its ideal type </w:t>
      </w:r>
      <w:r>
        <w:rPr>
          <w:i/>
        </w:rPr>
        <w:t>discursive complicity</w:t>
      </w:r>
      <w:r>
        <w:t xml:space="preserve"> finds the narrator fully represent</w:t>
      </w:r>
      <w:r>
        <w:t>ed by the dominant political discourse that it reproduces. As such, it sits best with an attitude towards the Referendum which supports the latter’s legitimacy and propriety, the exclusion of EU nationals from the electorate, and the UK’s continued members</w:t>
      </w:r>
      <w:r>
        <w:t xml:space="preserve">hip of a </w:t>
      </w:r>
      <w:r>
        <w:rPr>
          <w:i/>
        </w:rPr>
        <w:t>reformed</w:t>
      </w:r>
      <w:r>
        <w:t xml:space="preserve"> European Union (as in the penultimate quotation). As an ethical positioning strategy it is apolitical insofar as it leaves unchallenged the fundamental tenets underlying the mainstream narrative regarding migration and the free movement o</w:t>
      </w:r>
      <w:r>
        <w:t xml:space="preserve">f people. Yet, it carries an </w:t>
      </w:r>
      <w:r>
        <w:rPr>
          <w:i/>
        </w:rPr>
        <w:t>implicit</w:t>
      </w:r>
      <w:r>
        <w:t xml:space="preserve"> challenge to ‘the nation’. From a discourse-analytical perspective the use of deontic modal verbs and expressions (e.g. ‘should’) is telling (</w:t>
      </w:r>
      <w:hyperlink w:anchor="_147n2zr">
        <w:r>
          <w:t>Hart 2010: 73</w:t>
        </w:r>
      </w:hyperlink>
      <w:r>
        <w:t>); they are aligned with the ass</w:t>
      </w:r>
      <w:r>
        <w:t xml:space="preserve">umed ethical in-group of the mainstream narrative and directed towards the migrant out-group. From a sociological viewpoint, the narrator unambiguously positions herself within an implied ‘Us’ which is ‘consonant with … an imagined community of value’ but </w:t>
      </w:r>
      <w:r>
        <w:rPr>
          <w:i/>
        </w:rPr>
        <w:t>not</w:t>
      </w:r>
      <w:r>
        <w:t xml:space="preserve"> ‘the nation’ in any ethnic and intergenerational sense (</w:t>
      </w:r>
      <w:hyperlink w:anchor="_3znysh7">
        <w:r>
          <w:t>cf. Anderson 2013: 179­-180</w:t>
        </w:r>
      </w:hyperlink>
      <w:r>
        <w:t xml:space="preserve">). The </w:t>
      </w:r>
      <w:r>
        <w:lastRenderedPageBreak/>
        <w:t xml:space="preserve">boundary between in-group and out-group implicitly cuts through the non-citizen Migrant imagined as a group category – the implied </w:t>
      </w:r>
      <w:r>
        <w:t>‘Us’ does not inhabit a Herderian world (</w:t>
      </w:r>
      <w:hyperlink w:anchor="_4k668n3">
        <w:r>
          <w:t>Wimmer 2013</w:t>
        </w:r>
      </w:hyperlink>
      <w:r>
        <w:t xml:space="preserve">). From a policy perspective, </w:t>
      </w:r>
      <w:r>
        <w:rPr>
          <w:i/>
        </w:rPr>
        <w:t>discursive complicity</w:t>
      </w:r>
      <w:r>
        <w:t xml:space="preserve"> rejects group entitlements in favour of individual deservingness.</w:t>
      </w:r>
    </w:p>
    <w:p w:rsidR="00A02B75" w:rsidRDefault="009C0B27">
      <w:pPr>
        <w:spacing w:line="480" w:lineRule="auto"/>
        <w:jc w:val="both"/>
      </w:pPr>
      <w:r>
        <w:tab/>
        <w:t xml:space="preserve"> However, </w:t>
      </w:r>
      <w:r>
        <w:rPr>
          <w:i/>
        </w:rPr>
        <w:t>discursive complicity</w:t>
      </w:r>
      <w:r>
        <w:t xml:space="preserve"> is best understood as </w:t>
      </w:r>
      <w:r>
        <w:t>an underlying attitude, and it rarely manifests itself in its ideal-typical form. In the last quotation, for instance, we find a strong belief in the association between ‘claiming benefits’ and ‘immigration numbers’ coupled with a preference for the ‘UK to</w:t>
      </w:r>
      <w:r>
        <w:t xml:space="preserve"> stay and become even more integrated in the EU’. Behind this lies, in fact, an interplay with another strategy, that of </w:t>
      </w:r>
      <w:r>
        <w:rPr>
          <w:i/>
        </w:rPr>
        <w:t>intergroup hostility</w:t>
      </w:r>
      <w:r>
        <w:t>.</w:t>
      </w:r>
    </w:p>
    <w:p w:rsidR="00A02B75" w:rsidRDefault="00A02B75">
      <w:pPr>
        <w:spacing w:line="480" w:lineRule="auto"/>
      </w:pPr>
    </w:p>
    <w:p w:rsidR="00A02B75" w:rsidRDefault="009C0B27">
      <w:pPr>
        <w:pStyle w:val="Heading2"/>
        <w:spacing w:line="480" w:lineRule="auto"/>
      </w:pPr>
      <w:r>
        <w:t>Intergroup hostility</w:t>
      </w:r>
    </w:p>
    <w:p w:rsidR="00A02B75" w:rsidRDefault="00A02B75">
      <w:pPr>
        <w:spacing w:line="480" w:lineRule="auto"/>
      </w:pPr>
    </w:p>
    <w:p w:rsidR="00A02B75" w:rsidRDefault="009C0B27">
      <w:pPr>
        <w:spacing w:line="480" w:lineRule="auto"/>
        <w:jc w:val="both"/>
      </w:pPr>
      <w:r>
        <w:rPr>
          <w:i/>
        </w:rPr>
        <w:t>Intergroup hostility</w:t>
      </w:r>
      <w:r>
        <w:t xml:space="preserve"> operates through redirecting mainstream prejudices and fears to other</w:t>
      </w:r>
      <w:r>
        <w:t xml:space="preserve"> groups bearing markers of foreignness and undesirability, revealing in the process embedded perceptions of racial and ethnic hierarchy (</w:t>
      </w:r>
      <w:hyperlink w:anchor="_3as4poj">
        <w:r>
          <w:t>cf. Hagendoorn 1993</w:t>
        </w:r>
      </w:hyperlink>
      <w:r>
        <w:t>). For some, the legitimacy of the Referendum was premised on its pot</w:t>
      </w:r>
      <w:r>
        <w:t>ential for ‘Reducing the number of immigrants – the Romanians, Bulgarians and Somalians…’ (Female, 34, 9y8m; L1, V2, O2), while others challenged the mainstream discourse for not differentiating between a European in-group and a non-European out-group, the</w:t>
      </w:r>
      <w:r>
        <w:t xml:space="preserve"> latter being cast as the undeserving outsiders:</w:t>
      </w:r>
    </w:p>
    <w:p w:rsidR="00A02B75" w:rsidRDefault="00A02B75">
      <w:pPr>
        <w:spacing w:line="480" w:lineRule="auto"/>
        <w:jc w:val="both"/>
      </w:pPr>
    </w:p>
    <w:p w:rsidR="00A02B75" w:rsidRDefault="009C0B27">
      <w:pPr>
        <w:spacing w:line="480" w:lineRule="auto"/>
        <w:ind w:left="720"/>
        <w:jc w:val="both"/>
        <w:rPr>
          <w:color w:val="FF0000"/>
        </w:rPr>
      </w:pPr>
      <w:r>
        <w:t xml:space="preserve">The immigrants from Europe aren’t the problem; quite the opposite, they contribute to the budget more than they claim. The problem lies with immigrants from outside </w:t>
      </w:r>
      <w:r>
        <w:lastRenderedPageBreak/>
        <w:t>the EU and it is their status here that t</w:t>
      </w:r>
      <w:r>
        <w:t>he Prime Minister should be negotiating.</w:t>
      </w:r>
      <w:r>
        <w:rPr>
          <w:color w:val="FF0000"/>
        </w:rPr>
        <w:t xml:space="preserve"> </w:t>
      </w:r>
      <w:r>
        <w:t>(Female, 35, 2y10m; L3, V2, O2)</w:t>
      </w:r>
    </w:p>
    <w:p w:rsidR="00A02B75" w:rsidRDefault="00A02B75">
      <w:pPr>
        <w:spacing w:line="480" w:lineRule="auto"/>
        <w:jc w:val="both"/>
      </w:pPr>
    </w:p>
    <w:p w:rsidR="00A02B75" w:rsidRDefault="009C0B27">
      <w:pPr>
        <w:spacing w:line="480" w:lineRule="auto"/>
        <w:jc w:val="both"/>
      </w:pPr>
      <w:r>
        <w:t xml:space="preserve">The most commonly called out ‘problem’ groups were in fact ethnic minority groups who may be full members of the </w:t>
      </w:r>
      <w:r>
        <w:rPr>
          <w:i/>
        </w:rPr>
        <w:t>political</w:t>
      </w:r>
      <w:r>
        <w:t xml:space="preserve"> community, but who were considered to lack adherence to the</w:t>
      </w:r>
      <w:r>
        <w:t xml:space="preserve"> values of the </w:t>
      </w:r>
      <w:r>
        <w:rPr>
          <w:i/>
        </w:rPr>
        <w:t>ethical</w:t>
      </w:r>
      <w:r>
        <w:t xml:space="preserve"> community: ‘Indian people’, as ‘sometimes you get a family of ten sitting at home and claiming benefits’ (Male, 36, 11y8m; L2, V2, O2), or ‘the Pakistanis, for example, because they really abuse the system’ (Male, 28, 3y7m; L1, V1, O</w:t>
      </w:r>
      <w:r>
        <w:t>1).</w:t>
      </w:r>
    </w:p>
    <w:p w:rsidR="00A02B75" w:rsidRDefault="009C0B27">
      <w:pPr>
        <w:spacing w:line="480" w:lineRule="auto"/>
        <w:jc w:val="both"/>
      </w:pPr>
      <w:r>
        <w:tab/>
        <w:t>Another narrative linked the theme of socio-economic contribution to aspects of the dominant discourse emphasising the national ‘security’ risks of status-quo EU membership (</w:t>
      </w:r>
      <w:hyperlink w:anchor="_z337ya">
        <w:r>
          <w:t>cf. e.g. Cameron 2016: para. 141–142</w:t>
        </w:r>
      </w:hyperlink>
      <w:r>
        <w:t>):</w:t>
      </w:r>
    </w:p>
    <w:p w:rsidR="00A02B75" w:rsidRDefault="00A02B75">
      <w:pPr>
        <w:spacing w:line="480" w:lineRule="auto"/>
        <w:jc w:val="both"/>
      </w:pPr>
    </w:p>
    <w:p w:rsidR="00A02B75" w:rsidRDefault="009C0B27">
      <w:pPr>
        <w:spacing w:line="480" w:lineRule="auto"/>
        <w:ind w:left="709"/>
        <w:jc w:val="both"/>
      </w:pPr>
      <w:r>
        <w:t>Enough of immigrants from outside the EU; they destroy this country and only take without giving much back. Constantly giving in to Muslims has to stop. Britain has let in so many terrorists into this country; it’s scary to think what they maybe be plottin</w:t>
      </w:r>
      <w:r>
        <w:t>g; it’s no longer safe here.  (Female, 31, 10y8m; L1, V1, O2)</w:t>
      </w:r>
    </w:p>
    <w:p w:rsidR="00A02B75" w:rsidRDefault="00A02B75">
      <w:pPr>
        <w:spacing w:line="480" w:lineRule="auto"/>
        <w:jc w:val="both"/>
      </w:pPr>
    </w:p>
    <w:p w:rsidR="00A02B75" w:rsidRDefault="009C0B27">
      <w:pPr>
        <w:spacing w:line="480" w:lineRule="auto"/>
        <w:jc w:val="both"/>
      </w:pPr>
      <w:r>
        <w:t>Interestingly, in the above example the Referendum is legitimised as a tool to limit non-European immigration. In a similar fashion, another participant expressed hopes that it ‘will strengthen the border security and … that the country will be safer for i</w:t>
      </w:r>
      <w:r>
        <w:t>t’, although in her assessment the fault lies with the EU, whose ‘open borders have allowed far too many Muslim terrorists to enter its territory’ (Female, 33, 11y7m; L1, V2, O1). Others drawing on the national security rhetoric, however, were more critica</w:t>
      </w:r>
      <w:r>
        <w:t xml:space="preserve">l of what they saw as a conflation between EU free movement and outside threats: ‘Everyone is scared of terrorists, but why </w:t>
      </w:r>
      <w:r>
        <w:lastRenderedPageBreak/>
        <w:t>are the Europeans blamed for it? … this issue could be resolved differently, for example by strengthening the border security’ (Fema</w:t>
      </w:r>
      <w:r>
        <w:t>le, 27, 4y10m; L2, V2, O2).</w:t>
      </w:r>
    </w:p>
    <w:p w:rsidR="00A02B75" w:rsidRDefault="009C0B27">
      <w:pPr>
        <w:spacing w:line="480" w:lineRule="auto"/>
        <w:ind w:firstLine="720"/>
        <w:jc w:val="both"/>
      </w:pPr>
      <w:r>
        <w:t>In the</w:t>
      </w:r>
      <w:r>
        <w:tab/>
        <w:t>broader social-psychological literature similar attitudinal dynamics are often explained in terms of conflicts of interest arising from competition over scarce resources (</w:t>
      </w:r>
      <w:hyperlink w:anchor="_32hioqz">
        <w:r>
          <w:t>Levine and Campbell</w:t>
        </w:r>
        <w:r>
          <w:t xml:space="preserve"> 1972</w:t>
        </w:r>
      </w:hyperlink>
      <w:r>
        <w:t>) or perceived threats to group self-esteem (</w:t>
      </w:r>
      <w:hyperlink w:anchor="_2lwamvv">
        <w:r>
          <w:t>Tajfel and Turner 1985</w:t>
        </w:r>
      </w:hyperlink>
      <w:r>
        <w:t>), with the scapegoat theory of prejudice suggesting that the conflictive drive emerging from such situations often becomes redirected towards safe targe</w:t>
      </w:r>
      <w:r>
        <w:t>ts who are not the real sources of the threat, but under threat themselves  (</w:t>
      </w:r>
      <w:hyperlink w:anchor="_1fob9te">
        <w:r>
          <w:t>Allport 1955</w:t>
        </w:r>
      </w:hyperlink>
      <w:r>
        <w:t>). In the context of our research, these more general psychological mechanisms also relate to broader ethical stances. Although one dist</w:t>
      </w:r>
      <w:r>
        <w:t xml:space="preserve">inguishing aspect of </w:t>
      </w:r>
      <w:r>
        <w:rPr>
          <w:i/>
        </w:rPr>
        <w:t>intergroup hostility</w:t>
      </w:r>
      <w:r>
        <w:t xml:space="preserve"> is its acceptance of racialized </w:t>
      </w:r>
      <w:r>
        <w:rPr>
          <w:i/>
        </w:rPr>
        <w:t>group</w:t>
      </w:r>
      <w:r>
        <w:t xml:space="preserve"> distinctions – rather than merely individual attitudes – as a basis for legitimate belonging to the ethical community, this legitimacy is again derived not from a sense of mere</w:t>
      </w:r>
      <w:r>
        <w:t xml:space="preserve"> entitlement as European citizens, but from active economic participation and contribution. In the process, what becomes inherently challenged is the idea of </w:t>
      </w:r>
      <w:r>
        <w:rPr>
          <w:i/>
        </w:rPr>
        <w:t>entitlement</w:t>
      </w:r>
      <w:r>
        <w:t xml:space="preserve"> itself, including any rights derived from colonial histories or universal personhood (</w:t>
      </w:r>
      <w:hyperlink w:anchor="_nmf14n">
        <w:r>
          <w:t>Soysal 1994</w:t>
        </w:r>
      </w:hyperlink>
      <w:r>
        <w:t xml:space="preserve">; </w:t>
      </w:r>
      <w:hyperlink w:anchor="_17dp8vu">
        <w:r>
          <w:t>Bhambra 2016</w:t>
        </w:r>
      </w:hyperlink>
      <w:r>
        <w:t>).</w:t>
      </w:r>
    </w:p>
    <w:p w:rsidR="00A02B75" w:rsidRDefault="00A02B75">
      <w:pPr>
        <w:spacing w:line="480" w:lineRule="auto"/>
        <w:jc w:val="both"/>
      </w:pPr>
    </w:p>
    <w:p w:rsidR="00A02B75" w:rsidRDefault="009C0B27">
      <w:pPr>
        <w:pStyle w:val="Heading2"/>
        <w:spacing w:line="480" w:lineRule="auto"/>
      </w:pPr>
      <w:r>
        <w:t>Defensive assertiveness</w:t>
      </w:r>
    </w:p>
    <w:p w:rsidR="00A02B75" w:rsidRDefault="00A02B75">
      <w:pPr>
        <w:spacing w:line="480" w:lineRule="auto"/>
        <w:jc w:val="both"/>
      </w:pPr>
    </w:p>
    <w:p w:rsidR="00A02B75" w:rsidRDefault="009C0B27">
      <w:pPr>
        <w:spacing w:line="480" w:lineRule="auto"/>
        <w:jc w:val="both"/>
      </w:pPr>
      <w:r>
        <w:t xml:space="preserve">A third positioning strategy directly challenged Britain’s core </w:t>
      </w:r>
      <w:r>
        <w:rPr>
          <w:i/>
        </w:rPr>
        <w:t>national</w:t>
      </w:r>
      <w:r>
        <w:t xml:space="preserve"> community by differentiating it from the core </w:t>
      </w:r>
      <w:r>
        <w:rPr>
          <w:i/>
        </w:rPr>
        <w:t>ethical</w:t>
      </w:r>
      <w:r>
        <w:t xml:space="preserve"> community thro</w:t>
      </w:r>
      <w:r>
        <w:t>ugh a defensive counter-discourse in which mainstream stereotypical representations of migrants are inversed and redirected towards the ethnic majority population:</w:t>
      </w:r>
    </w:p>
    <w:p w:rsidR="00A02B75" w:rsidRDefault="00A02B75">
      <w:pPr>
        <w:spacing w:line="480" w:lineRule="auto"/>
        <w:jc w:val="both"/>
      </w:pPr>
    </w:p>
    <w:p w:rsidR="00A02B75" w:rsidRDefault="009C0B27">
      <w:pPr>
        <w:spacing w:line="480" w:lineRule="auto"/>
        <w:ind w:left="720"/>
        <w:jc w:val="both"/>
      </w:pPr>
      <w:r>
        <w:lastRenderedPageBreak/>
        <w:t>… English people often finish education at the age of 16 … have kids, claim benefits or wor</w:t>
      </w:r>
      <w:r>
        <w:t>k part-time and claim the rest from the state… Obviously I’m not talking about all British people; just like with immigrants, there are people with ambitions and there are those who live off benefits.  (Female, 32, 1y6m; L1, V2, O2)</w:t>
      </w:r>
    </w:p>
    <w:p w:rsidR="00A02B75" w:rsidRDefault="00A02B75">
      <w:pPr>
        <w:spacing w:line="480" w:lineRule="auto"/>
        <w:jc w:val="both"/>
      </w:pPr>
    </w:p>
    <w:p w:rsidR="00A02B75" w:rsidRDefault="009C0B27">
      <w:pPr>
        <w:spacing w:line="480" w:lineRule="auto"/>
        <w:jc w:val="both"/>
      </w:pPr>
      <w:r>
        <w:t>This reversal of stere</w:t>
      </w:r>
      <w:r>
        <w:t>otypes was accompanied by an emphasis on the indispensable contribution made by the Polish migrant community to the British economy. In this sense it is a typical strategy of ‘normative inversion’ (</w:t>
      </w:r>
      <w:hyperlink w:anchor="_4k668n3">
        <w:r>
          <w:t>Wimmer 2013: 57</w:t>
        </w:r>
      </w:hyperlink>
      <w:r>
        <w:t>). As one pa</w:t>
      </w:r>
      <w:r>
        <w:t xml:space="preserve">rticipant put it, </w:t>
      </w:r>
    </w:p>
    <w:p w:rsidR="00A02B75" w:rsidRDefault="00A02B75">
      <w:pPr>
        <w:spacing w:line="480" w:lineRule="auto"/>
        <w:jc w:val="both"/>
      </w:pPr>
    </w:p>
    <w:p w:rsidR="00A02B75" w:rsidRDefault="009C0B27">
      <w:pPr>
        <w:spacing w:line="480" w:lineRule="auto"/>
        <w:ind w:left="709"/>
        <w:jc w:val="both"/>
      </w:pPr>
      <w:r>
        <w:t>I think that if we left the UK, there would be nobody left here to work. The work I do, for instance, is hard and I don’t think that any British citizen … would be up for … this kind of work. (Female, 57, 7y7m; L3, V1, O3)</w:t>
      </w:r>
    </w:p>
    <w:p w:rsidR="00A02B75" w:rsidRDefault="00A02B75">
      <w:pPr>
        <w:spacing w:line="480" w:lineRule="auto"/>
        <w:jc w:val="both"/>
      </w:pPr>
    </w:p>
    <w:p w:rsidR="00A02B75" w:rsidRDefault="009C0B27">
      <w:pPr>
        <w:spacing w:line="480" w:lineRule="auto"/>
        <w:jc w:val="both"/>
        <w:rPr>
          <w:color w:val="FF0000"/>
        </w:rPr>
      </w:pPr>
      <w:r>
        <w:t xml:space="preserve">Again, this </w:t>
      </w:r>
      <w:r>
        <w:t xml:space="preserve">strategy of </w:t>
      </w:r>
      <w:r>
        <w:rPr>
          <w:i/>
        </w:rPr>
        <w:t>defensive assertiveness</w:t>
      </w:r>
      <w:r>
        <w:t xml:space="preserve"> could harmonize with very different attitudes towards the Referendum. While from the perspective of the respondent quoted above a popular vote on EU membership was illegitimate and the status quo would have been the pref</w:t>
      </w:r>
      <w:r>
        <w:t xml:space="preserve">erred outcome, for others the Referendum provided a welcome opportunity to prove their point: ‘They’re right regarding the welfare issues…. perhaps this would make English people take up work for once and not complain that immigrants take their jobs away’ </w:t>
      </w:r>
      <w:r>
        <w:t>(Male, 37, 4y8m; L1, V1, O2).</w:t>
      </w:r>
    </w:p>
    <w:p w:rsidR="00A02B75" w:rsidRDefault="009C0B27">
      <w:pPr>
        <w:tabs>
          <w:tab w:val="left" w:pos="3119"/>
        </w:tabs>
        <w:spacing w:line="480" w:lineRule="auto"/>
        <w:ind w:firstLine="720"/>
        <w:jc w:val="both"/>
      </w:pPr>
      <w:r>
        <w:t xml:space="preserve">The political strength of </w:t>
      </w:r>
      <w:r>
        <w:rPr>
          <w:i/>
        </w:rPr>
        <w:t>defensive assertiveness</w:t>
      </w:r>
      <w:r>
        <w:t xml:space="preserve"> as an ethical positioning strategy has two sources: on the one hand, it can be rhetorically mobilised as seen in various campaign groups’ attempts to organise general migrant s</w:t>
      </w:r>
      <w:r>
        <w:t>trikes to demonstrate the importance of the migrant workforce (</w:t>
      </w:r>
      <w:hyperlink w:anchor="_3j2qqm3">
        <w:r>
          <w:t>see Day and Bingham 2015</w:t>
        </w:r>
      </w:hyperlink>
      <w:r>
        <w:t xml:space="preserve">); on the other hand, its underlying ethical </w:t>
      </w:r>
      <w:r>
        <w:lastRenderedPageBreak/>
        <w:t xml:space="preserve">narrative can be shared with a segment of the core national community. The stereotype of the </w:t>
      </w:r>
      <w:r>
        <w:t>‘hard-working Pole’ in particular has permeated public consciousness in Britain and elsewhere (</w:t>
      </w:r>
      <w:hyperlink w:anchor="_2et92p0">
        <w:r>
          <w:t>Anderson, et al. 2006</w:t>
        </w:r>
      </w:hyperlink>
      <w:r>
        <w:t xml:space="preserve">; </w:t>
      </w:r>
      <w:hyperlink w:anchor="_1ci93xb">
        <w:r>
          <w:t>Friberg 2012</w:t>
        </w:r>
      </w:hyperlink>
      <w:r>
        <w:t xml:space="preserve">; </w:t>
      </w:r>
      <w:hyperlink w:anchor="_1mrcu09">
        <w:r>
          <w:t>Spigelman 2013</w:t>
        </w:r>
      </w:hyperlink>
      <w:r>
        <w:t xml:space="preserve">; </w:t>
      </w:r>
      <w:hyperlink w:anchor="_ihv636">
        <w:r>
          <w:t>Krings, et al. 2013</w:t>
        </w:r>
      </w:hyperlink>
      <w:r>
        <w:t xml:space="preserve">; </w:t>
      </w:r>
      <w:hyperlink w:anchor="_2u6wntf">
        <w:r>
          <w:t>Osipovič 2015</w:t>
        </w:r>
      </w:hyperlink>
      <w:r>
        <w:t xml:space="preserve">), providing Polish workers not only with a source of self-esteem, but also valuable political capital. As Daniel Kawczynski – the Polish-born ‘pro-Brexit’ Conservative MP for </w:t>
      </w:r>
      <w:r>
        <w:t>Shrewsbury and Atcham – contended in a House of Commons debate soon after the EU Referendum: ‘I dare to venture that if we wanted the ideal sort of immigrant, it could possibly be a Pole? Hard working, ethical—I will come on to all the attributes that my c</w:t>
      </w:r>
      <w:r>
        <w:t xml:space="preserve">onstituents talk about Polish workers here having’ (HC Deb 19 July 2016, vol. 613, col. 303WH). Such narratives, as </w:t>
      </w:r>
      <w:hyperlink w:anchor="_1ci93xb">
        <w:r>
          <w:t>Friberg (2012: 1919)</w:t>
        </w:r>
      </w:hyperlink>
      <w:r>
        <w:t xml:space="preserve"> has argued, highlight ‘the dual role of ethnicity in the labour market’, as both ‘a syst</w:t>
      </w:r>
      <w:r>
        <w:t>em of hierarchy and subordination’ and ‘a tactical resource available to (some) ethnic groups’.</w:t>
      </w:r>
    </w:p>
    <w:p w:rsidR="00A02B75" w:rsidRDefault="009C0B27">
      <w:pPr>
        <w:tabs>
          <w:tab w:val="left" w:pos="3119"/>
        </w:tabs>
        <w:spacing w:line="480" w:lineRule="auto"/>
        <w:ind w:firstLine="709"/>
        <w:jc w:val="both"/>
      </w:pPr>
      <w:r>
        <w:t xml:space="preserve">The strategy of </w:t>
      </w:r>
      <w:r>
        <w:rPr>
          <w:i/>
        </w:rPr>
        <w:t>defensive assertiveness</w:t>
      </w:r>
      <w:r>
        <w:t xml:space="preserve"> therefore couples tactical ethnic stereotyping with a conflictive attitude towards the UK’s own ‘failed citizens’ (</w:t>
      </w:r>
      <w:hyperlink w:anchor="_3znysh7">
        <w:r>
          <w:t>Anderson 2013</w:t>
        </w:r>
      </w:hyperlink>
      <w:r>
        <w:t>). This second aspect is arguably another source of narrative strength, as it tacitly folds into the broader political discourse of ‘neoliberal communitarianism’ which challenges the idea of ‘unconditional social c</w:t>
      </w:r>
      <w:r>
        <w:t>itizenship entitlements’ based on the nationality principle (</w:t>
      </w:r>
      <w:hyperlink w:anchor="_49x2ik5">
        <w:r>
          <w:t>Hansen and Hager 2010: 113</w:t>
        </w:r>
      </w:hyperlink>
      <w:r>
        <w:t>), in effect allowing for the question of ‘immigration’ to be decoupled from that of social welfare: ‘The problem the UK has is not immigr</w:t>
      </w:r>
      <w:r>
        <w:t>ants but the welfare system which grants benefits’ (Male, 40, 5y8m; L3, V1, O2), as one participant made the point.</w:t>
      </w:r>
    </w:p>
    <w:p w:rsidR="00A02B75" w:rsidRDefault="009C0B27">
      <w:pPr>
        <w:pStyle w:val="Heading1"/>
        <w:spacing w:after="240" w:line="480" w:lineRule="auto"/>
        <w:jc w:val="both"/>
      </w:pPr>
      <w:r>
        <w:lastRenderedPageBreak/>
        <w:t>Stakeholder identities and citizenship in the ‘neoliberal ethical community’</w:t>
      </w:r>
    </w:p>
    <w:p w:rsidR="00A02B75" w:rsidRDefault="009C0B27">
      <w:pPr>
        <w:spacing w:line="480" w:lineRule="auto"/>
        <w:jc w:val="both"/>
      </w:pPr>
      <w:r>
        <w:t>Our analysis has so far identified different narrative strategi</w:t>
      </w:r>
      <w:r>
        <w:t>es through which our Polish respondents attempted to position themselves favourably in respect to Britain’s perceived community of value. Through this ethical positioning our respondents were effectively participating in a broader political discursive proc</w:t>
      </w:r>
      <w:r>
        <w:t xml:space="preserve">ess aimed at redefining the ethical community of the nation alongside ‘neoliberal communitarian’ ideals. </w:t>
      </w:r>
    </w:p>
    <w:p w:rsidR="00A02B75" w:rsidRDefault="009C0B27">
      <w:pPr>
        <w:spacing w:line="480" w:lineRule="auto"/>
        <w:ind w:firstLine="720"/>
        <w:jc w:val="both"/>
      </w:pPr>
      <w:r>
        <w:t xml:space="preserve">Analysed from a governmentality perspective, the modus operandi of these processes has been described as balancing ‘an increased emphasis on the need </w:t>
      </w:r>
      <w:r>
        <w:t>to earn one’s citizenship’ with an equally strong emphasis on ‘the nation’ (</w:t>
      </w:r>
      <w:hyperlink w:anchor="_111kx3o">
        <w:r>
          <w:t>van Houdt, et al. 2011: 423</w:t>
        </w:r>
      </w:hyperlink>
      <w:r>
        <w:t>). Others have examined similar phenomena at the supranational level, arguing that a kindred vision of citizenship had per</w:t>
      </w:r>
      <w:r>
        <w:t>meated EU policies, with a noticeable shift from a narrower ‘market based’ model towards a ‘neoliberal communitarian’ version that is ‘highly compatible with the EU’s broader embedded neoliberal hegemonic project’ (</w:t>
      </w:r>
      <w:hyperlink w:anchor="_49x2ik5">
        <w:r>
          <w:t>Hansen and</w:t>
        </w:r>
        <w:r>
          <w:t xml:space="preserve"> Hager 2010: 115</w:t>
        </w:r>
      </w:hyperlink>
      <w:r>
        <w:t xml:space="preserve">; </w:t>
      </w:r>
      <w:hyperlink w:anchor="_37m2jsg">
        <w:r>
          <w:t>see also Soysal 2012</w:t>
        </w:r>
      </w:hyperlink>
      <w:r>
        <w:t xml:space="preserve">). Arguably, what ties these multilevel processes together, is their shared emphasis on </w:t>
      </w:r>
      <w:r>
        <w:rPr>
          <w:i/>
        </w:rPr>
        <w:t>earning</w:t>
      </w:r>
      <w:r>
        <w:t xml:space="preserve"> rights – rather than being </w:t>
      </w:r>
      <w:r>
        <w:rPr>
          <w:i/>
        </w:rPr>
        <w:t>entitled</w:t>
      </w:r>
      <w:r>
        <w:t xml:space="preserve"> to them –, particularly through active participation in</w:t>
      </w:r>
      <w:r>
        <w:t xml:space="preserve"> communities of value based on </w:t>
      </w:r>
      <w:r>
        <w:rPr>
          <w:i/>
        </w:rPr>
        <w:t>hard work</w:t>
      </w:r>
      <w:r>
        <w:t xml:space="preserve"> and economic </w:t>
      </w:r>
      <w:r>
        <w:rPr>
          <w:i/>
        </w:rPr>
        <w:t>contribution</w:t>
      </w:r>
      <w:r>
        <w:t>. In a neoliberal ethical community ‘citizenship rights are given credence only to the extent that they equip citizens to take on their responsibilities to make themselves employable’ (</w:t>
      </w:r>
      <w:hyperlink w:anchor="_49x2ik5">
        <w:r>
          <w:t>Hansen and Hager 2010: 114</w:t>
        </w:r>
      </w:hyperlink>
      <w:r>
        <w:t xml:space="preserve">). A tension may therefore emerge between two understandings of neoliberal ‘communitarian’ values, depending on the respective weight given to </w:t>
      </w:r>
      <w:r>
        <w:rPr>
          <w:i/>
        </w:rPr>
        <w:t>work</w:t>
      </w:r>
      <w:r>
        <w:t xml:space="preserve"> or </w:t>
      </w:r>
      <w:r>
        <w:rPr>
          <w:i/>
        </w:rPr>
        <w:t>nationality</w:t>
      </w:r>
      <w:r>
        <w:t xml:space="preserve"> in defining the core values of the ‘ethic</w:t>
      </w:r>
      <w:r>
        <w:t>al community’.</w:t>
      </w:r>
    </w:p>
    <w:p w:rsidR="00A02B75" w:rsidRDefault="009C0B27">
      <w:pPr>
        <w:spacing w:line="480" w:lineRule="auto"/>
        <w:jc w:val="both"/>
      </w:pPr>
      <w:r>
        <w:lastRenderedPageBreak/>
        <w:tab/>
      </w:r>
      <w:r>
        <w:t>This tension is palpable in the positioning strategies discussed earlier, which, in one form or another, share an ideological complicity in the redefinition of Britain’s community of value, while simultaneously challenging the existing boundaries of the ‘n</w:t>
      </w:r>
      <w:r>
        <w:t>ational’ community that distributes privileges based on intergenerational or historical rights. In many cases, as we have seen, ideological complicity provided a strong basis for identification with a mainstream political narrative often perceived as inclu</w:t>
      </w:r>
      <w:r>
        <w:t>sive rather than exclusionary towards individuals and groups who satisfied the criteria for a work-based ‘citizenship’ despite being outside the political community which defines citizenship in the classical sense (</w:t>
      </w:r>
      <w:hyperlink w:anchor="_1hmsyys">
        <w:r>
          <w:t>Marshall 1</w:t>
        </w:r>
        <w:r>
          <w:t>950</w:t>
        </w:r>
      </w:hyperlink>
      <w:r>
        <w:t>). The following quote is a vivid example of such reasoning and the theoretical tensions emerging from it:</w:t>
      </w:r>
    </w:p>
    <w:p w:rsidR="00A02B75" w:rsidRDefault="00A02B75">
      <w:pPr>
        <w:spacing w:line="480" w:lineRule="auto"/>
        <w:ind w:firstLine="709"/>
        <w:jc w:val="both"/>
      </w:pPr>
    </w:p>
    <w:p w:rsidR="00A02B75" w:rsidRDefault="009C0B27">
      <w:pPr>
        <w:spacing w:line="480" w:lineRule="auto"/>
        <w:ind w:left="709"/>
        <w:jc w:val="both"/>
      </w:pPr>
      <w:r>
        <w:t>Not every European citizen claims benefits; some (like myself) work like a dog in order to live with dignity. In Poland I have never been given t</w:t>
      </w:r>
      <w:r>
        <w:t>he opportunity to know what work is, because nobody employs disabled people, but here there’s no problem with that. You feel part of the society, a human being. (Female, 27, 4y10m; L2, V2, O2)</w:t>
      </w:r>
    </w:p>
    <w:p w:rsidR="00A02B75" w:rsidRDefault="00A02B75">
      <w:pPr>
        <w:spacing w:line="480" w:lineRule="auto"/>
        <w:jc w:val="both"/>
      </w:pPr>
    </w:p>
    <w:p w:rsidR="00A02B75" w:rsidRDefault="009C0B27">
      <w:pPr>
        <w:spacing w:line="480" w:lineRule="auto"/>
        <w:jc w:val="both"/>
      </w:pPr>
      <w:r>
        <w:t xml:space="preserve">We find here a vision of the British ethical community as one </w:t>
      </w:r>
      <w:r>
        <w:t>in which membership can be earned based on individual effort and self-management regardless of nationality or disability. It is also a close reflection of the EU policy discourse of ‘neoliberal communitarian citizenship’ resting on the argument ‘that “a jo</w:t>
      </w:r>
      <w:r>
        <w:t>b is often the best protection against exclusion,” and the only politically feasible option for securing social cohesion’ in a globalised world (</w:t>
      </w:r>
      <w:hyperlink w:anchor="_49x2ik5">
        <w:r>
          <w:t>Hansen and Hager 2010: 114</w:t>
        </w:r>
      </w:hyperlink>
      <w:r>
        <w:t xml:space="preserve">). </w:t>
      </w:r>
      <w:hyperlink w:anchor="_37m2jsg">
        <w:r>
          <w:t>Soysal (2012)</w:t>
        </w:r>
      </w:hyperlink>
      <w:r>
        <w:t xml:space="preserve"> descri</w:t>
      </w:r>
      <w:r>
        <w:t xml:space="preserve">bes similar developments as integral to Europe’s ‘new social project’, which ‘while expanding the </w:t>
      </w:r>
      <w:r>
        <w:lastRenderedPageBreak/>
        <w:t>boundaries and forms of participation in society, (…) at the same time charges the individual as the main force for social cohesion and solidarity’ (</w:t>
      </w:r>
      <w:hyperlink w:anchor="_37m2jsg">
        <w:r>
          <w:t>2012: 2-3</w:t>
        </w:r>
      </w:hyperlink>
      <w:r>
        <w:t>). ‘In this scenario’ – she goes on highlighting its negative consequences – ‘the ‘outsiders’ are not only immigrants, but also the “lesser” Europeans, who have the added burden of proving the potential and worth of their ind</w:t>
      </w:r>
      <w:r>
        <w:t>ividuality’ (</w:t>
      </w:r>
      <w:hyperlink w:anchor="_37m2jsg">
        <w:r>
          <w:t>2012: 3</w:t>
        </w:r>
      </w:hyperlink>
      <w:r>
        <w:t xml:space="preserve">). We could see such attitudes reflected in the positioning strategies discussed above, and so while </w:t>
      </w:r>
      <w:hyperlink w:anchor="_49x2ik5">
        <w:r>
          <w:t>Hansen and Hager (2010: 124)</w:t>
        </w:r>
      </w:hyperlink>
      <w:r>
        <w:t xml:space="preserve"> remained sceptical ‘that this citizenship mo</w:t>
      </w:r>
      <w:r>
        <w:t>del will be “internalised” by EU citizens’, our bottom-up analysis from the perspective of a group of ‘migrants’ who ‘proactively engage’ their EU citizenship  (</w:t>
      </w:r>
      <w:hyperlink w:anchor="_2u6wntf">
        <w:r>
          <w:t>cf. Osipovič 2015: 741</w:t>
        </w:r>
      </w:hyperlink>
      <w:r>
        <w:t>) is an illustration of how a certain visi</w:t>
      </w:r>
      <w:r>
        <w:t xml:space="preserve">on of ‘neoliberal communitarian citizenship’ has become internalised. </w:t>
      </w:r>
    </w:p>
    <w:p w:rsidR="00A02B75" w:rsidRDefault="009C0B27">
      <w:pPr>
        <w:spacing w:line="480" w:lineRule="auto"/>
        <w:ind w:firstLine="720"/>
        <w:jc w:val="both"/>
      </w:pPr>
      <w:r>
        <w:t xml:space="preserve">However, our analysis also concurs with earlier research showing how Polish migrants tend to root the moral validation of their active engagement with EU free movement rights ‘in their </w:t>
      </w:r>
      <w:r>
        <w:t>contributions to the British society and not merely in the legal framework of the EU’ (</w:t>
      </w:r>
      <w:hyperlink w:anchor="_2u6wntf">
        <w:r>
          <w:t>Osipovič 2015: 741</w:t>
        </w:r>
      </w:hyperlink>
      <w:r>
        <w:t>). What we observe in our data, therefore, is not a rejection of ‘nationhood’, but a permutation in the meaning attribut</w:t>
      </w:r>
      <w:r>
        <w:t>ed to the ‘nation’ as primarily a contribution-based ethical community. Earlier research has also identified ‘work’ and ‘law abidance’ as the two main forms of contribution seen by Polish migrants as able to secure their ‘unequivocal belonging to the Briti</w:t>
      </w:r>
      <w:r>
        <w:t>sh welfare community’ (</w:t>
      </w:r>
      <w:hyperlink w:anchor="_2u6wntf">
        <w:r>
          <w:t>Osipovič 2015: 737</w:t>
        </w:r>
      </w:hyperlink>
      <w:r>
        <w:t>). Similar criteria have emerged in our data in respect to gaining belonging to the ‘ethical community’ itself, inclusive of political membership. A particularly interesting picture em</w:t>
      </w:r>
      <w:r>
        <w:t>erges in this respect from our participants’ attitudes towards their disfranchisement in the EU Referendum.</w:t>
      </w:r>
    </w:p>
    <w:p w:rsidR="00A02B75" w:rsidRDefault="009C0B27">
      <w:pPr>
        <w:spacing w:line="480" w:lineRule="auto"/>
        <w:ind w:firstLine="720"/>
        <w:jc w:val="both"/>
      </w:pPr>
      <w:r>
        <w:t>As we could also see from the quantitative distribution of the answers to the survey question regarding the voting rights of EU nationals (</w:t>
      </w:r>
      <w:r>
        <w:rPr>
          <w:i/>
        </w:rPr>
        <w:t>Table III</w:t>
      </w:r>
      <w:r>
        <w:t xml:space="preserve">), there was a general </w:t>
      </w:r>
      <w:r>
        <w:lastRenderedPageBreak/>
        <w:t>acknowledgement that some, but not all EU nationals living in the UK should have been given the right to vote, that this right should have been earned by satisfying certain conditions: ‘Anyone who works in the UK, pays taxes and does</w:t>
      </w:r>
      <w:r>
        <w:t xml:space="preserve">n’t break the law should have the right to vote’, opined one participant (Female, 22, 5y9m; L1, V2, O2); ‘it could be determined by the length of stay in the country’, proposed another (Female, 29, 9y11m; L3, V2, O2). ‘The length of residence </w:t>
      </w:r>
      <w:r>
        <w:rPr>
          <w:i/>
        </w:rPr>
        <w:t>and</w:t>
      </w:r>
      <w:r>
        <w:t xml:space="preserve"> social st</w:t>
      </w:r>
      <w:r>
        <w:t>atus are important’ – added yet another participant – because ‘there are also people who have been here and claimed benefits for ten years, and they live each day as it comes, such people should not decide about the future of everybody else’ (Male, 29, 5y5</w:t>
      </w:r>
      <w:r>
        <w:t>m; L3, V2, O2). Concurring with the ‘social status’ criterion, another participant ‘understood’</w:t>
      </w:r>
    </w:p>
    <w:p w:rsidR="00A02B75" w:rsidRDefault="00A02B75">
      <w:pPr>
        <w:spacing w:line="480" w:lineRule="auto"/>
        <w:ind w:firstLine="720"/>
        <w:jc w:val="both"/>
      </w:pPr>
    </w:p>
    <w:p w:rsidR="00A02B75" w:rsidRDefault="009C0B27">
      <w:pPr>
        <w:spacing w:line="480" w:lineRule="auto"/>
        <w:ind w:left="709"/>
        <w:jc w:val="both"/>
      </w:pPr>
      <w:r>
        <w:t>that this right has been taken away from people who come here solely to use the benefits system (or mainly for that reason), but … there are also other normal people who are not interested in benefits and who work and pay taxes (and, sadly, support those w</w:t>
      </w:r>
      <w:r>
        <w:t>ho claim benefits), who identify with this country, and simply live here. (Female, 32, 1y6m; L1, V2, O2)</w:t>
      </w:r>
    </w:p>
    <w:p w:rsidR="00A02B75" w:rsidRDefault="00A02B75">
      <w:pPr>
        <w:spacing w:line="480" w:lineRule="auto"/>
        <w:jc w:val="both"/>
      </w:pPr>
    </w:p>
    <w:p w:rsidR="00A02B75" w:rsidRDefault="009C0B27">
      <w:pPr>
        <w:spacing w:line="480" w:lineRule="auto"/>
        <w:jc w:val="both"/>
      </w:pPr>
      <w:r>
        <w:t>The idea that economic participation and contribution to the ‘growth’ of the economy should be the primary criterion for membership in Britain’s polit</w:t>
      </w:r>
      <w:r>
        <w:t>ical community was a recurring one. Combined with a sense of ‘identification’ with Britain and either a lighter domicile principle – ‘simply living here’ – or a stronger expression of ‘rootedness’ (</w:t>
      </w:r>
      <w:hyperlink w:anchor="_28h4qwu">
        <w:r>
          <w:t>cf. Shachar 2013</w:t>
        </w:r>
      </w:hyperlink>
      <w:r>
        <w:t>) – e.g. ‘w</w:t>
      </w:r>
      <w:r>
        <w:t xml:space="preserve">e pay our taxes, spend the money we earn, and it’s here we’re raising our children’ (Female, 29, 9y11m), or ‘we pay taxes, vote in local elections, buy </w:t>
      </w:r>
      <w:r>
        <w:lastRenderedPageBreak/>
        <w:t>properties; we live here’ (Female, 35, 7y8m; L3, V2, O2) – we can see emerging what could be called a ‘s</w:t>
      </w:r>
      <w:r>
        <w:t>takeholder identity’ (</w:t>
      </w:r>
      <w:hyperlink w:anchor="_2s8eyo1">
        <w:r>
          <w:t>cf. Bauböck 2007</w:t>
        </w:r>
      </w:hyperlink>
      <w:r>
        <w:t>).</w:t>
      </w:r>
    </w:p>
    <w:p w:rsidR="00A02B75" w:rsidRDefault="009C0B27">
      <w:pPr>
        <w:spacing w:line="480" w:lineRule="auto"/>
        <w:jc w:val="both"/>
      </w:pPr>
      <w:r>
        <w:tab/>
        <w:t>Such an identity – and the form of ‘citizenship’ it envisages – challenges distinctions between the ‘British’ and the ‘non-British’ based on the nationality principle, instead equatin</w:t>
      </w:r>
      <w:r>
        <w:t>g Britishness and the right-deserving ‘Citizen’ as sharing one core ethical dimension of ‘normality’ – as in the block quotation above – or ‘averageness’:</w:t>
      </w:r>
    </w:p>
    <w:p w:rsidR="00A02B75" w:rsidRDefault="00A02B75">
      <w:pPr>
        <w:spacing w:line="480" w:lineRule="auto"/>
        <w:jc w:val="both"/>
      </w:pPr>
    </w:p>
    <w:p w:rsidR="00A02B75" w:rsidRDefault="009C0B27">
      <w:pPr>
        <w:spacing w:line="480" w:lineRule="auto"/>
        <w:ind w:left="720"/>
        <w:jc w:val="both"/>
      </w:pPr>
      <w:r>
        <w:t>If someone’s spent most of their life here, paid taxes, hasn’t got a criminal record in this country</w:t>
      </w:r>
      <w:r>
        <w:t>, and contributes to the society in the same way as an average British person does, then I think they should also have the right to vote. (Female, 23, 9m; L1, V2, O3)</w:t>
      </w:r>
    </w:p>
    <w:p w:rsidR="00A02B75" w:rsidRDefault="00A02B75">
      <w:pPr>
        <w:spacing w:line="480" w:lineRule="auto"/>
        <w:jc w:val="both"/>
      </w:pPr>
    </w:p>
    <w:p w:rsidR="00A02B75" w:rsidRDefault="009C0B27">
      <w:pPr>
        <w:spacing w:line="480" w:lineRule="auto"/>
        <w:ind w:left="720"/>
        <w:jc w:val="both"/>
      </w:pPr>
      <w:r>
        <w:t xml:space="preserve">People who work and pay taxes here but aren’t citizens also contribute to the growth of </w:t>
      </w:r>
      <w:r>
        <w:t>the country, support it financially (by paying taxes), and in my view are no different to people who have the citizenship. (Female, 22, 5y9m)</w:t>
      </w:r>
    </w:p>
    <w:p w:rsidR="00A02B75" w:rsidRDefault="00A02B75">
      <w:pPr>
        <w:spacing w:line="480" w:lineRule="auto"/>
        <w:jc w:val="both"/>
      </w:pPr>
    </w:p>
    <w:p w:rsidR="00A02B75" w:rsidRDefault="009C0B27">
      <w:pPr>
        <w:spacing w:line="480" w:lineRule="auto"/>
        <w:ind w:left="709"/>
        <w:jc w:val="both"/>
      </w:pPr>
      <w:r>
        <w:t>People who have been working hard in this country and have paid taxes just like the British, and who fulfil other</w:t>
      </w:r>
      <w:r>
        <w:t xml:space="preserve"> formal requirements just like the British do, should also have the same rights to express their views on the matter related to their country of residence, their adopted homeland. (Female, 28, 7y11m; L3, V2, O2)</w:t>
      </w:r>
    </w:p>
    <w:p w:rsidR="00A02B75" w:rsidRDefault="00A02B75">
      <w:pPr>
        <w:spacing w:line="480" w:lineRule="auto"/>
        <w:jc w:val="both"/>
      </w:pPr>
    </w:p>
    <w:p w:rsidR="00A02B75" w:rsidRDefault="009C0B27">
      <w:pPr>
        <w:spacing w:line="480" w:lineRule="auto"/>
        <w:jc w:val="both"/>
      </w:pPr>
      <w:r>
        <w:t>Together with the narrative ethical positio</w:t>
      </w:r>
      <w:r>
        <w:t xml:space="preserve">ning strategies discussed earlier, the insight of these discourses of earned citizenship and belonging highlight the contours of a version of ‘neoliberal communitarian citizenship’ as internalised by Polish ‘migrants’ in the UK, which </w:t>
      </w:r>
      <w:r>
        <w:lastRenderedPageBreak/>
        <w:t>surfaced in the polit</w:t>
      </w:r>
      <w:r>
        <w:t>ically emotive context of the EU Referendum. As we could see, the Referendum was often legitimised by those who were arguably most directly targeted by its outcome as a process which could deliver a form of citizenship that shifts the focus from national o</w:t>
      </w:r>
      <w:r>
        <w:t xml:space="preserve">r supranational </w:t>
      </w:r>
      <w:r>
        <w:rPr>
          <w:i/>
        </w:rPr>
        <w:t>entitlements</w:t>
      </w:r>
      <w:r>
        <w:t xml:space="preserve"> to one reliant on individual </w:t>
      </w:r>
      <w:r>
        <w:rPr>
          <w:i/>
        </w:rPr>
        <w:t>contribution</w:t>
      </w:r>
      <w:r>
        <w:t xml:space="preserve"> to the national ethical community of an ‘adopted homeland’.</w:t>
      </w:r>
    </w:p>
    <w:p w:rsidR="00A02B75" w:rsidRDefault="009C0B27">
      <w:pPr>
        <w:pStyle w:val="Heading1"/>
        <w:spacing w:line="480" w:lineRule="auto"/>
      </w:pPr>
      <w:r>
        <w:t>Conclusion and reflections</w:t>
      </w:r>
    </w:p>
    <w:p w:rsidR="00A02B75" w:rsidRDefault="00A02B75">
      <w:pPr>
        <w:spacing w:line="480" w:lineRule="auto"/>
        <w:jc w:val="both"/>
      </w:pPr>
    </w:p>
    <w:p w:rsidR="00A02B75" w:rsidRDefault="009C0B27">
      <w:pPr>
        <w:spacing w:line="480" w:lineRule="auto"/>
        <w:jc w:val="both"/>
      </w:pPr>
      <w:r>
        <w:t xml:space="preserve">This paper has explored Polish migrants’ attitudes to the EU Referendum through what we described as narrative strategies of ethical positioning in respect to Britain’s community of value. Although these strategies could be interpreted merely as reactions </w:t>
      </w:r>
      <w:r>
        <w:t>to the existential uncertainties posed by the EU Referendum from a passive position of weakness, we argued that their strength lies precisely in their convergence with mainstream narratives that have long been challenging an ethics of deservingness reliant</w:t>
      </w:r>
      <w:r>
        <w:t xml:space="preserve"> on passive entitlement, be it </w:t>
      </w:r>
      <w:r>
        <w:rPr>
          <w:i/>
        </w:rPr>
        <w:t>national</w:t>
      </w:r>
      <w:r>
        <w:t xml:space="preserve"> or </w:t>
      </w:r>
      <w:r>
        <w:rPr>
          <w:i/>
        </w:rPr>
        <w:t>supranational</w:t>
      </w:r>
      <w:r>
        <w:t>. From this perspective, the three broad strategies that we have identified reflected more active forms of discursive engagement in reshaping the borders of the ethical community through ‘quality asse</w:t>
      </w:r>
      <w:r>
        <w:t>ssments’ of ‘their own and/or others’ performances’ on the labour-market (</w:t>
      </w:r>
      <w:hyperlink w:anchor="_41mghml">
        <w:r>
          <w:t>Masquelier 2017: 5</w:t>
        </w:r>
      </w:hyperlink>
      <w:r>
        <w:t>). We have also argued that the positioning strategies discussed, complemented with attitudes towards the right of political particip</w:t>
      </w:r>
      <w:r>
        <w:t xml:space="preserve">ation, highlight an emergent form of ‘neoliberal communitarian citizenship’ which had been internalised by some mobile EU citizens. This ‘citizenship’, we argued, is forged through combining ethical principles of </w:t>
      </w:r>
      <w:r>
        <w:rPr>
          <w:i/>
        </w:rPr>
        <w:t>contribution</w:t>
      </w:r>
      <w:r>
        <w:t xml:space="preserve">, </w:t>
      </w:r>
      <w:r>
        <w:rPr>
          <w:i/>
        </w:rPr>
        <w:t>domicile</w:t>
      </w:r>
      <w:r>
        <w:t xml:space="preserve"> and socio-economic </w:t>
      </w:r>
      <w:r>
        <w:rPr>
          <w:i/>
        </w:rPr>
        <w:t>r</w:t>
      </w:r>
      <w:r>
        <w:rPr>
          <w:i/>
        </w:rPr>
        <w:t>ootedness</w:t>
      </w:r>
      <w:r>
        <w:t xml:space="preserve"> with a </w:t>
      </w:r>
      <w:r>
        <w:rPr>
          <w:i/>
        </w:rPr>
        <w:t>stakeholder identity</w:t>
      </w:r>
      <w:r>
        <w:t>.</w:t>
      </w:r>
    </w:p>
    <w:p w:rsidR="00A02B75" w:rsidRDefault="009C0B27">
      <w:pPr>
        <w:spacing w:line="480" w:lineRule="auto"/>
        <w:jc w:val="both"/>
      </w:pPr>
      <w:r>
        <w:lastRenderedPageBreak/>
        <w:tab/>
        <w:t>As a conclusion, however, it is worth reflecting on some possible shortcomings and avenues for further investigation. We would here highlight two such areas, although there will necessarily be others too, including t</w:t>
      </w:r>
      <w:r>
        <w:t xml:space="preserve">he obvious caveat than no qualitative inquiry can be considered representative of a whole population. First, conceptually, there may appear to be a contradiction in our main argument that a certain conception of citizenship has been </w:t>
      </w:r>
      <w:r>
        <w:rPr>
          <w:i/>
        </w:rPr>
        <w:t>internalised</w:t>
      </w:r>
      <w:r>
        <w:t xml:space="preserve"> by our par</w:t>
      </w:r>
      <w:r>
        <w:t xml:space="preserve">ticipants, and the designation of the described positioning narratives as </w:t>
      </w:r>
      <w:r>
        <w:rPr>
          <w:i/>
        </w:rPr>
        <w:t>strategic</w:t>
      </w:r>
      <w:r>
        <w:t xml:space="preserve">. We would say that this is an inherent contradiction rather than an analytical one. </w:t>
      </w:r>
      <w:hyperlink w:anchor="_4k668n3">
        <w:r>
          <w:t>Wimmer (2013: 44-78)</w:t>
        </w:r>
      </w:hyperlink>
      <w:r>
        <w:t xml:space="preserve"> provides a comprehensive description</w:t>
      </w:r>
      <w:r>
        <w:t xml:space="preserve"> of ‘boundary work’ as ‘strategic’ in multiple ways that expand beyond a strictly economic or political definition of the term, which applies well to our analysis. We already noted earlier the ethical ‘dilemmas’ made explicit by some participants while att</w:t>
      </w:r>
      <w:r>
        <w:t>empting to resolve a conflict between their moral stance on the question of the Referendum and their pragmatic position in respect to it, and a similar awareness is evident in the following quote:</w:t>
      </w:r>
    </w:p>
    <w:p w:rsidR="00A02B75" w:rsidRDefault="00A02B75">
      <w:pPr>
        <w:spacing w:line="480" w:lineRule="auto"/>
        <w:jc w:val="both"/>
      </w:pPr>
    </w:p>
    <w:p w:rsidR="00A02B75" w:rsidRDefault="009C0B27">
      <w:pPr>
        <w:spacing w:line="480" w:lineRule="auto"/>
        <w:ind w:left="709"/>
        <w:jc w:val="both"/>
      </w:pPr>
      <w:r>
        <w:t xml:space="preserve">Any decision resulting from the referendum will affect me </w:t>
      </w:r>
      <w:r>
        <w:t>and my family that consists of two little Britons. The only reason why I choose the [multiple choice] option which suggests imposing some conditions is to avoid providing more ammunition to those who assume people like me are only here to claim benefits an</w:t>
      </w:r>
      <w:r>
        <w:t>d to put additional strain on resources… (Female, 32, 10y10m; L3, V2, O3)</w:t>
      </w:r>
    </w:p>
    <w:p w:rsidR="00A02B75" w:rsidRDefault="00A02B75">
      <w:pPr>
        <w:spacing w:line="480" w:lineRule="auto"/>
        <w:jc w:val="both"/>
      </w:pPr>
    </w:p>
    <w:p w:rsidR="00A02B75" w:rsidRDefault="009C0B27">
      <w:pPr>
        <w:spacing w:line="480" w:lineRule="auto"/>
        <w:jc w:val="both"/>
      </w:pPr>
      <w:r>
        <w:t xml:space="preserve">While in instances such as these the </w:t>
      </w:r>
      <w:r>
        <w:rPr>
          <w:i/>
        </w:rPr>
        <w:t>strategic</w:t>
      </w:r>
      <w:r>
        <w:t xml:space="preserve"> nature of the narrative positioning comes to surface, in other cases they may become internalised themselves. Disentangling the strate</w:t>
      </w:r>
      <w:r>
        <w:t xml:space="preserve">gic from the ideological may still be possible, but it will require an in-depth critical ethnography beyond the scope and capabilities of this paper. </w:t>
      </w:r>
    </w:p>
    <w:p w:rsidR="00A02B75" w:rsidRDefault="009C0B27">
      <w:pPr>
        <w:spacing w:line="480" w:lineRule="auto"/>
        <w:jc w:val="both"/>
      </w:pPr>
      <w:r>
        <w:lastRenderedPageBreak/>
        <w:tab/>
        <w:t>The above quote also highlights a second, analytic, caveat. While we aimed to highlight the ‘active’ cha</w:t>
      </w:r>
      <w:r>
        <w:t>racter of the described narrative strategies and citizenship conceptualisations, we must bear in mind that our survey itself provided a unique space for such positive self-expression to a group of people who had been formally excluded from the political de</w:t>
      </w:r>
      <w:r>
        <w:t xml:space="preserve">cision-making process and any medium of effective self-expression. Any attempt at shifting the boundaries of the nation, as </w:t>
      </w:r>
      <w:hyperlink w:anchor="_4k668n3">
        <w:r>
          <w:t>Wimmer (2013)</w:t>
        </w:r>
      </w:hyperlink>
      <w:r>
        <w:t xml:space="preserve"> also accurately points out, ultimately ‘depends on acceptance by the national majority,</w:t>
      </w:r>
      <w:r>
        <w:t xml:space="preserve"> as this majority has a privileged relationship to the state and, thus, the power to police the borders of the nation’ (</w:t>
      </w:r>
      <w:hyperlink w:anchor="_4k668n3">
        <w:r>
          <w:t>2013: 29</w:t>
        </w:r>
      </w:hyperlink>
      <w:r>
        <w:t>). Thus, what appears as ‘active’ involvement in mainstream political narrative processes, may ac</w:t>
      </w:r>
      <w:r>
        <w:t>tually stem from a discomforting awareness of powerlessness and exclusion. Furthermore, while the Referendum</w:t>
      </w:r>
      <w:r>
        <w:rPr>
          <w:i/>
        </w:rPr>
        <w:t xml:space="preserve"> process</w:t>
      </w:r>
      <w:r>
        <w:t xml:space="preserve"> itself may have extended to some individuals a sense of ideological representation as highlighted in our data, the Referendum</w:t>
      </w:r>
      <w:r>
        <w:rPr>
          <w:i/>
        </w:rPr>
        <w:t xml:space="preserve"> outcome</w:t>
      </w:r>
      <w:r>
        <w:t xml:space="preserve"> has d</w:t>
      </w:r>
      <w:r>
        <w:t xml:space="preserve">elivered an altogether different reality. Both the characteristics of the broader post-Brexit political ideological context and our participants’ new circumstances remain outside the present analysis, requiring further investigation. </w:t>
      </w:r>
    </w:p>
    <w:p w:rsidR="00A02B75" w:rsidRDefault="009C0B27">
      <w:pPr>
        <w:spacing w:line="480" w:lineRule="auto"/>
        <w:ind w:firstLine="720"/>
        <w:jc w:val="both"/>
      </w:pPr>
      <w:r>
        <w:t>At the same time, whi</w:t>
      </w:r>
      <w:r>
        <w:t>le we deliberately adopted a descriptive, non-normative, approach to our data, the mismatch between the internalised ideological complicity identified in our analysis and the position of political powerlessness in which it roots allows the formulation of ‘</w:t>
      </w:r>
      <w:r>
        <w:t>bare minimum’ normative expectations derived from very ‘real’ empirical principles. Adapting the ‘complicity’ argument proposed by Michael Blake (</w:t>
      </w:r>
      <w:hyperlink w:anchor="_3rdcrjn">
        <w:r>
          <w:t>2013</w:t>
        </w:r>
      </w:hyperlink>
      <w:r>
        <w:t xml:space="preserve">) in the significantly more generous context of ‘illegal’ immigration, one </w:t>
      </w:r>
      <w:r>
        <w:t xml:space="preserve">could ‘realistically’ and to the very least raise an expectation of ‘reciprocated complicity’ towards the ‘neoliberal ethical community’, demanding that </w:t>
      </w:r>
      <w:r>
        <w:rPr>
          <w:i/>
        </w:rPr>
        <w:t xml:space="preserve">where a community’s social institutions either foster or rely on the free movement of people and their </w:t>
      </w:r>
      <w:r>
        <w:rPr>
          <w:i/>
        </w:rPr>
        <w:t xml:space="preserve">contribution, domicile and </w:t>
      </w:r>
      <w:r>
        <w:rPr>
          <w:i/>
        </w:rPr>
        <w:lastRenderedPageBreak/>
        <w:t>socio-economic rootedness, that community loses the moral right to exclude free movers from the full spectrum socio-economic and political participation</w:t>
      </w:r>
      <w:r>
        <w:t xml:space="preserve"> (</w:t>
      </w:r>
      <w:hyperlink w:anchor="_3rdcrjn">
        <w:r>
          <w:t>cf. Blake 2013: 112</w:t>
        </w:r>
      </w:hyperlink>
      <w:r>
        <w:t>).</w:t>
      </w:r>
    </w:p>
    <w:p w:rsidR="00A02B75" w:rsidRDefault="00A02B75">
      <w:pPr>
        <w:spacing w:line="480" w:lineRule="auto"/>
        <w:jc w:val="both"/>
      </w:pPr>
    </w:p>
    <w:p w:rsidR="00A02B75" w:rsidRDefault="00A02B75">
      <w:pPr>
        <w:pStyle w:val="Heading1"/>
        <w:spacing w:line="480" w:lineRule="auto"/>
        <w:jc w:val="both"/>
        <w:sectPr w:rsidR="00A02B75">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9" w:footer="709" w:gutter="0"/>
          <w:pgNumType w:start="1"/>
          <w:cols w:space="720"/>
        </w:sectPr>
      </w:pPr>
    </w:p>
    <w:p w:rsidR="00A02B75" w:rsidRDefault="009C0B27">
      <w:pPr>
        <w:pStyle w:val="Heading1"/>
        <w:spacing w:line="480" w:lineRule="auto"/>
        <w:jc w:val="both"/>
      </w:pPr>
      <w:r>
        <w:t>References</w:t>
      </w:r>
    </w:p>
    <w:p w:rsidR="00A02B75" w:rsidRDefault="009C0B27">
      <w:bookmarkStart w:id="2" w:name="_30j0zll" w:colFirst="0" w:colLast="0"/>
      <w:bookmarkEnd w:id="2"/>
      <w:r>
        <w:rPr>
          <w:b/>
        </w:rPr>
        <w:t>Allen, W. L.</w:t>
      </w:r>
      <w:r>
        <w:t xml:space="preserve"> 2016 'A Decade of Immigration in the British Press' </w:t>
      </w:r>
      <w:r>
        <w:rPr>
          <w:i/>
        </w:rPr>
        <w:t>Migration Observatory Report</w:t>
      </w:r>
      <w:r>
        <w:t>, Oxford: COMPAS, University of Oxford.</w:t>
      </w:r>
    </w:p>
    <w:p w:rsidR="00A02B75" w:rsidRDefault="009C0B27">
      <w:bookmarkStart w:id="3" w:name="_1fob9te" w:colFirst="0" w:colLast="0"/>
      <w:bookmarkEnd w:id="3"/>
      <w:r>
        <w:rPr>
          <w:b/>
        </w:rPr>
        <w:t>Allport, G. W.</w:t>
      </w:r>
      <w:r>
        <w:t xml:space="preserve"> 1955 </w:t>
      </w:r>
      <w:r>
        <w:rPr>
          <w:i/>
        </w:rPr>
        <w:t>The Nature of Prejudice</w:t>
      </w:r>
      <w:r>
        <w:t>, Cambridge, Mass.: Addison-Wesley.</w:t>
      </w:r>
    </w:p>
    <w:p w:rsidR="00A02B75" w:rsidRDefault="009C0B27">
      <w:bookmarkStart w:id="4" w:name="_3znysh7" w:colFirst="0" w:colLast="0"/>
      <w:bookmarkEnd w:id="4"/>
      <w:r>
        <w:rPr>
          <w:b/>
        </w:rPr>
        <w:t>Anderson, B.</w:t>
      </w:r>
      <w:r>
        <w:t xml:space="preserve"> 2013 </w:t>
      </w:r>
      <w:r>
        <w:rPr>
          <w:i/>
        </w:rPr>
        <w:t>Us and them? The dangerous politics of immigration control</w:t>
      </w:r>
      <w:r>
        <w:t>, Oxford: Oxford University Press.</w:t>
      </w:r>
    </w:p>
    <w:p w:rsidR="00A02B75" w:rsidRDefault="009C0B27">
      <w:bookmarkStart w:id="5" w:name="_2et92p0" w:colFirst="0" w:colLast="0"/>
      <w:bookmarkEnd w:id="5"/>
      <w:r>
        <w:rPr>
          <w:b/>
        </w:rPr>
        <w:t>Anderson, B., Ruhs, M., Rogaly, B. and Spencer, S.</w:t>
      </w:r>
      <w:r>
        <w:t xml:space="preserve"> 2006 'Fair Enough? Central and East</w:t>
      </w:r>
      <w:r>
        <w:t xml:space="preserve"> European Migrants in Low-Wage Employment in the UK', York: Joseph Rowntree Foudation.</w:t>
      </w:r>
    </w:p>
    <w:p w:rsidR="00A02B75" w:rsidRDefault="009C0B27">
      <w:bookmarkStart w:id="6" w:name="_tyjcwt" w:colFirst="0" w:colLast="0"/>
      <w:bookmarkEnd w:id="6"/>
      <w:r>
        <w:rPr>
          <w:b/>
        </w:rPr>
        <w:t>Anonymous 1</w:t>
      </w:r>
      <w:r>
        <w:t>.</w:t>
      </w:r>
    </w:p>
    <w:p w:rsidR="00A02B75" w:rsidRDefault="009C0B27">
      <w:bookmarkStart w:id="7" w:name="_3dy6vkm" w:colFirst="0" w:colLast="0"/>
      <w:bookmarkEnd w:id="7"/>
      <w:r>
        <w:rPr>
          <w:b/>
        </w:rPr>
        <w:t>Anonymous 2</w:t>
      </w:r>
      <w:r>
        <w:t>.</w:t>
      </w:r>
    </w:p>
    <w:p w:rsidR="00A02B75" w:rsidRDefault="009C0B27">
      <w:bookmarkStart w:id="8" w:name="_1t3h5sf" w:colFirst="0" w:colLast="0"/>
      <w:bookmarkEnd w:id="8"/>
      <w:r>
        <w:rPr>
          <w:b/>
        </w:rPr>
        <w:t>Balabanova, E. and Balch, A.</w:t>
      </w:r>
      <w:r>
        <w:t xml:space="preserve"> 2010 'Sending and receiving: The ethical framing of intra-EU migration in the European press', </w:t>
      </w:r>
      <w:r>
        <w:rPr>
          <w:i/>
        </w:rPr>
        <w:t>European Journal of</w:t>
      </w:r>
      <w:r>
        <w:rPr>
          <w:i/>
        </w:rPr>
        <w:t xml:space="preserve"> Communication</w:t>
      </w:r>
      <w:r>
        <w:t xml:space="preserve"> 25(4): 382–397.</w:t>
      </w:r>
    </w:p>
    <w:p w:rsidR="00A02B75" w:rsidRDefault="009C0B27">
      <w:bookmarkStart w:id="9" w:name="_4d34og8" w:colFirst="0" w:colLast="0"/>
      <w:bookmarkEnd w:id="9"/>
      <w:r>
        <w:rPr>
          <w:b/>
        </w:rPr>
        <w:t>Balch, A. and Balabanova, E.</w:t>
      </w:r>
      <w:r>
        <w:t xml:space="preserve"> 2014 'Ethics, Politics and Migration: Public Debates on the Free Movement of Romanians and Bulgarians in the UK, 2006–2013', </w:t>
      </w:r>
      <w:r>
        <w:rPr>
          <w:i/>
        </w:rPr>
        <w:t>Politics</w:t>
      </w:r>
      <w:r>
        <w:t xml:space="preserve"> 36(1): 19–36.</w:t>
      </w:r>
    </w:p>
    <w:p w:rsidR="00A02B75" w:rsidRDefault="009C0B27">
      <w:bookmarkStart w:id="10" w:name="_2s8eyo1" w:colFirst="0" w:colLast="0"/>
      <w:bookmarkEnd w:id="10"/>
      <w:r>
        <w:rPr>
          <w:b/>
        </w:rPr>
        <w:t>Bauböck, R.</w:t>
      </w:r>
      <w:r>
        <w:t xml:space="preserve"> 2007 'Stakeholder Citizenship and Tr</w:t>
      </w:r>
      <w:r>
        <w:t xml:space="preserve">ansnational Political Participation: A Normative Evaluation of External Voting', </w:t>
      </w:r>
      <w:r>
        <w:rPr>
          <w:i/>
        </w:rPr>
        <w:t>Fordham Law Review</w:t>
      </w:r>
      <w:r>
        <w:t xml:space="preserve"> 75(5): 2393–2447.</w:t>
      </w:r>
    </w:p>
    <w:p w:rsidR="00A02B75" w:rsidRDefault="009C0B27">
      <w:bookmarkStart w:id="11" w:name="_17dp8vu" w:colFirst="0" w:colLast="0"/>
      <w:bookmarkEnd w:id="11"/>
      <w:r>
        <w:rPr>
          <w:b/>
        </w:rPr>
        <w:t>Bhambra, G. K.</w:t>
      </w:r>
      <w:r>
        <w:t xml:space="preserve"> 2016 'Whither Europe?', </w:t>
      </w:r>
      <w:r>
        <w:rPr>
          <w:i/>
        </w:rPr>
        <w:t>Interventions</w:t>
      </w:r>
      <w:r>
        <w:t xml:space="preserve"> 18(2): 187-202.</w:t>
      </w:r>
    </w:p>
    <w:p w:rsidR="00A02B75" w:rsidRDefault="009C0B27">
      <w:bookmarkStart w:id="12" w:name="_3rdcrjn" w:colFirst="0" w:colLast="0"/>
      <w:bookmarkEnd w:id="12"/>
      <w:r>
        <w:rPr>
          <w:b/>
        </w:rPr>
        <w:t>Blake, M.</w:t>
      </w:r>
      <w:r>
        <w:t xml:space="preserve"> 2013 'Immigration, Causality, and Complicity', in S. R. Ben</w:t>
      </w:r>
      <w:r>
        <w:t xml:space="preserve">-Porath and R. M. Smith (eds) </w:t>
      </w:r>
      <w:r>
        <w:rPr>
          <w:i/>
        </w:rPr>
        <w:t>Varieties of sovereignty and citizenship</w:t>
      </w:r>
      <w:r>
        <w:t>, Philadelphia: University of Pennsylvania Press. pp. 111-123.</w:t>
      </w:r>
    </w:p>
    <w:p w:rsidR="00A02B75" w:rsidRDefault="009C0B27">
      <w:bookmarkStart w:id="13" w:name="_26in1rg" w:colFirst="0" w:colLast="0"/>
      <w:bookmarkEnd w:id="13"/>
      <w:r>
        <w:rPr>
          <w:b/>
        </w:rPr>
        <w:t>Blinder, S. and Allen, W.</w:t>
      </w:r>
      <w:r>
        <w:t xml:space="preserve"> 2016 'Constructing Immigrants: Portrayals of Migrant Groups in British National Newspapers, 2010–</w:t>
      </w:r>
      <w:r>
        <w:t xml:space="preserve">2012', </w:t>
      </w:r>
      <w:r>
        <w:rPr>
          <w:i/>
        </w:rPr>
        <w:t>International Migration Review</w:t>
      </w:r>
      <w:r>
        <w:t xml:space="preserve"> 50(1): 3–40.</w:t>
      </w:r>
    </w:p>
    <w:p w:rsidR="00A02B75" w:rsidRDefault="009C0B27">
      <w:bookmarkStart w:id="14" w:name="_lnxbz9" w:colFirst="0" w:colLast="0"/>
      <w:bookmarkEnd w:id="14"/>
      <w:r>
        <w:rPr>
          <w:b/>
        </w:rPr>
        <w:t>Bommes, M. and Geddes, A.</w:t>
      </w:r>
      <w:r>
        <w:t xml:space="preserve"> 2000 </w:t>
      </w:r>
      <w:r>
        <w:rPr>
          <w:i/>
        </w:rPr>
        <w:t>Immigration and welfare: challenging the borders of the welfare state</w:t>
      </w:r>
      <w:r>
        <w:t>, London: Routledge.</w:t>
      </w:r>
    </w:p>
    <w:p w:rsidR="00A02B75" w:rsidRDefault="009C0B27">
      <w:bookmarkStart w:id="15" w:name="_35nkun2" w:colFirst="0" w:colLast="0"/>
      <w:bookmarkEnd w:id="15"/>
      <w:r>
        <w:rPr>
          <w:b/>
        </w:rPr>
        <w:t>Borjas, G. J.</w:t>
      </w:r>
      <w:r>
        <w:t xml:space="preserve"> 1999 'Immigration and Welfare Magnets', </w:t>
      </w:r>
      <w:r>
        <w:rPr>
          <w:i/>
        </w:rPr>
        <w:t>Journal of Labor Economics</w:t>
      </w:r>
      <w:r>
        <w:t xml:space="preserve"> 17(4): 607–637.</w:t>
      </w:r>
    </w:p>
    <w:p w:rsidR="00A02B75" w:rsidRDefault="009C0B27">
      <w:bookmarkStart w:id="16" w:name="_1ksv4uv" w:colFirst="0" w:colLast="0"/>
      <w:bookmarkEnd w:id="16"/>
      <w:r>
        <w:rPr>
          <w:b/>
        </w:rPr>
        <w:t>Boyatzis, R. E.</w:t>
      </w:r>
      <w:r>
        <w:t xml:space="preserve"> 1998 </w:t>
      </w:r>
      <w:r>
        <w:rPr>
          <w:i/>
        </w:rPr>
        <w:t>Transforming qualitative information: thematic analysis and code development</w:t>
      </w:r>
      <w:r>
        <w:t>, Thousand Oaks, Calif ; London: Sage Publications.</w:t>
      </w:r>
    </w:p>
    <w:p w:rsidR="00A02B75" w:rsidRDefault="009C0B27">
      <w:bookmarkStart w:id="17" w:name="_44sinio" w:colFirst="0" w:colLast="0"/>
      <w:bookmarkEnd w:id="17"/>
      <w:r>
        <w:rPr>
          <w:b/>
        </w:rPr>
        <w:t>Brown, W.</w:t>
      </w:r>
      <w:r>
        <w:t xml:space="preserve"> 2015 </w:t>
      </w:r>
      <w:r>
        <w:rPr>
          <w:i/>
        </w:rPr>
        <w:t>Undoing the demos: neoliberalism's stealth revolution</w:t>
      </w:r>
      <w:r>
        <w:t>, New York: Zone Books</w:t>
      </w:r>
      <w:r>
        <w:t>.</w:t>
      </w:r>
    </w:p>
    <w:p w:rsidR="00A02B75" w:rsidRDefault="009C0B27">
      <w:bookmarkStart w:id="18" w:name="_2jxsxqh" w:colFirst="0" w:colLast="0"/>
      <w:bookmarkEnd w:id="18"/>
      <w:r>
        <w:rPr>
          <w:b/>
        </w:rPr>
        <w:t>Burrell, K.</w:t>
      </w:r>
      <w:r>
        <w:t xml:space="preserve"> 2009 'Polish migration to the UK in the 'new' European Union: after 2004', Farnham and Burlington: Ashgate.</w:t>
      </w:r>
    </w:p>
    <w:p w:rsidR="00A02B75" w:rsidRDefault="009C0B27">
      <w:bookmarkStart w:id="19" w:name="_z337ya" w:colFirst="0" w:colLast="0"/>
      <w:bookmarkEnd w:id="19"/>
      <w:r>
        <w:rPr>
          <w:b/>
        </w:rPr>
        <w:t>Cameron, D.</w:t>
      </w:r>
      <w:r>
        <w:t xml:space="preserve"> 2016 'PM statement following European Council meeting'.</w:t>
      </w:r>
    </w:p>
    <w:p w:rsidR="00A02B75" w:rsidRDefault="009C0B27">
      <w:bookmarkStart w:id="20" w:name="_3j2qqm3" w:colFirst="0" w:colLast="0"/>
      <w:bookmarkEnd w:id="20"/>
      <w:r>
        <w:rPr>
          <w:b/>
        </w:rPr>
        <w:t>Day, M. and Bingham, J.</w:t>
      </w:r>
      <w:r>
        <w:t xml:space="preserve"> 2015 'Polish workers in UK consider strike</w:t>
      </w:r>
      <w:r>
        <w:t xml:space="preserve"> over anti-immigrant rhetoric', </w:t>
      </w:r>
      <w:r>
        <w:rPr>
          <w:i/>
        </w:rPr>
        <w:t>The Telegraph</w:t>
      </w:r>
      <w:r>
        <w:t xml:space="preserve">. 4 August, </w:t>
      </w:r>
      <w:hyperlink r:id="rId12">
        <w:r>
          <w:rPr>
            <w:color w:val="0563C1"/>
            <w:u w:val="single"/>
          </w:rPr>
          <w:t>http://www.telegraph.co.uk/news/uknews/immigratio</w:t>
        </w:r>
        <w:r>
          <w:rPr>
            <w:color w:val="0563C1"/>
            <w:u w:val="single"/>
          </w:rPr>
          <w:t>n/11783297/Polish-workers-in-UK-consider-strike-over-anti-immigrant-rhetoric.html</w:t>
        </w:r>
      </w:hyperlink>
      <w:r>
        <w:t xml:space="preserve">. Accessed on 15 August 2017. </w:t>
      </w:r>
    </w:p>
    <w:p w:rsidR="00A02B75" w:rsidRDefault="009C0B27">
      <w:bookmarkStart w:id="21" w:name="_1y810tw" w:colFirst="0" w:colLast="0"/>
      <w:bookmarkEnd w:id="21"/>
      <w:r>
        <w:rPr>
          <w:b/>
        </w:rPr>
        <w:t>Dekker, R. and Engbersen, G.</w:t>
      </w:r>
      <w:r>
        <w:t xml:space="preserve"> 2014 'How social media transform migrant networks and facilitate migration', </w:t>
      </w:r>
      <w:r>
        <w:rPr>
          <w:i/>
        </w:rPr>
        <w:t>Global Networks</w:t>
      </w:r>
      <w:r>
        <w:t xml:space="preserve"> 14(4): 401–418.</w:t>
      </w:r>
    </w:p>
    <w:p w:rsidR="00A02B75" w:rsidRDefault="009C0B27">
      <w:bookmarkStart w:id="22" w:name="_4i7ojhp" w:colFirst="0" w:colLast="0"/>
      <w:bookmarkEnd w:id="22"/>
      <w:r>
        <w:rPr>
          <w:b/>
        </w:rPr>
        <w:lastRenderedPageBreak/>
        <w:t>Favell</w:t>
      </w:r>
      <w:r>
        <w:rPr>
          <w:b/>
        </w:rPr>
        <w:t>, A.</w:t>
      </w:r>
      <w:r>
        <w:t xml:space="preserve"> 2014 'The fourth freedom: Theories of migration and mobilities in ‘neo-liberal’ Europe', </w:t>
      </w:r>
      <w:r>
        <w:rPr>
          <w:i/>
        </w:rPr>
        <w:t>European Journal of Social Theory</w:t>
      </w:r>
      <w:r>
        <w:t xml:space="preserve"> 17(3): 275–289.</w:t>
      </w:r>
    </w:p>
    <w:p w:rsidR="00A02B75" w:rsidRDefault="009C0B27">
      <w:bookmarkStart w:id="23" w:name="_2xcytpi" w:colFirst="0" w:colLast="0"/>
      <w:bookmarkEnd w:id="23"/>
      <w:r>
        <w:rPr>
          <w:b/>
        </w:rPr>
        <w:t>—</w:t>
      </w:r>
      <w:r>
        <w:t xml:space="preserve"> 2016 'Liberalism not Neo-Liberalism: Comment on Will Kymlicka’s article: “Solidarity in Diverse Societies”', </w:t>
      </w:r>
      <w:r>
        <w:rPr>
          <w:i/>
        </w:rPr>
        <w:t>Comparative Migration Studies</w:t>
      </w:r>
      <w:r>
        <w:t xml:space="preserve"> 4(1): 5.</w:t>
      </w:r>
    </w:p>
    <w:p w:rsidR="00A02B75" w:rsidRDefault="009C0B27">
      <w:bookmarkStart w:id="24" w:name="_1ci93xb" w:colFirst="0" w:colLast="0"/>
      <w:bookmarkEnd w:id="24"/>
      <w:r>
        <w:rPr>
          <w:b/>
        </w:rPr>
        <w:t>Friberg, J. H.</w:t>
      </w:r>
      <w:r>
        <w:t xml:space="preserve"> 2012 'Culture at work: Polish migrants in the ethnic division of labour on Norwegian construction sites', </w:t>
      </w:r>
      <w:r>
        <w:rPr>
          <w:i/>
        </w:rPr>
        <w:t>Ethnic and Racial Studies</w:t>
      </w:r>
      <w:r>
        <w:t xml:space="preserve"> 35(11): 1914–1933.</w:t>
      </w:r>
    </w:p>
    <w:p w:rsidR="00A02B75" w:rsidRDefault="009C0B27">
      <w:bookmarkStart w:id="25" w:name="_3whwml4" w:colFirst="0" w:colLast="0"/>
      <w:bookmarkEnd w:id="25"/>
      <w:r>
        <w:rPr>
          <w:b/>
        </w:rPr>
        <w:t>Giulietti, C.</w:t>
      </w:r>
      <w:r>
        <w:t xml:space="preserve"> 2014 'The welfare magnet hypothesis a</w:t>
      </w:r>
      <w:r>
        <w:t xml:space="preserve">nd the welfare take-up of migrants', </w:t>
      </w:r>
      <w:r>
        <w:rPr>
          <w:i/>
        </w:rPr>
        <w:t>IZA World of Labor</w:t>
      </w:r>
      <w:r>
        <w:t xml:space="preserve">. https://wol.iza.org/articles/welfare-magnet-hypothesis-and-welfare-take-up-of-migrants/long. Accessed on 20 August 2017. </w:t>
      </w:r>
    </w:p>
    <w:p w:rsidR="00A02B75" w:rsidRDefault="009C0B27">
      <w:bookmarkStart w:id="26" w:name="_2bn6wsx" w:colFirst="0" w:colLast="0"/>
      <w:bookmarkEnd w:id="26"/>
      <w:r>
        <w:rPr>
          <w:b/>
        </w:rPr>
        <w:t>Glencross, A.</w:t>
      </w:r>
      <w:r>
        <w:t xml:space="preserve"> 2016 </w:t>
      </w:r>
      <w:r>
        <w:rPr>
          <w:i/>
        </w:rPr>
        <w:t>Why the UK Voted for Brexit: David Cameron’s Great Miscalc</w:t>
      </w:r>
      <w:r>
        <w:rPr>
          <w:i/>
        </w:rPr>
        <w:t>ulation</w:t>
      </w:r>
      <w:r>
        <w:t>, London: Palgrave Macmillan.</w:t>
      </w:r>
    </w:p>
    <w:p w:rsidR="00A02B75" w:rsidRDefault="009C0B27">
      <w:bookmarkStart w:id="27" w:name="_qsh70q" w:colFirst="0" w:colLast="0"/>
      <w:bookmarkEnd w:id="27"/>
      <w:r>
        <w:rPr>
          <w:b/>
        </w:rPr>
        <w:t>Goodhart, D.</w:t>
      </w:r>
      <w:r>
        <w:t xml:space="preserve"> 2012 'Goodbye Beveridge – the end of British welfare approaches', </w:t>
      </w:r>
      <w:r>
        <w:rPr>
          <w:i/>
        </w:rPr>
        <w:t>Financial Times</w:t>
      </w:r>
      <w:r>
        <w:t>. 29 September, https://</w:t>
      </w:r>
      <w:hyperlink r:id="rId13">
        <w:r>
          <w:rPr>
            <w:color w:val="0563C1"/>
            <w:u w:val="single"/>
          </w:rPr>
          <w:t>www.ft.com/content/</w:t>
        </w:r>
        <w:r>
          <w:rPr>
            <w:color w:val="0563C1"/>
            <w:u w:val="single"/>
          </w:rPr>
          <w:t>034b4d28-089b-11e2-b57f-00144feabdc0</w:t>
        </w:r>
      </w:hyperlink>
      <w:r>
        <w:t xml:space="preserve">. Accessed on 20 July 2017. </w:t>
      </w:r>
    </w:p>
    <w:p w:rsidR="00A02B75" w:rsidRDefault="009C0B27">
      <w:bookmarkStart w:id="28" w:name="_3as4poj" w:colFirst="0" w:colLast="0"/>
      <w:bookmarkEnd w:id="28"/>
      <w:r>
        <w:rPr>
          <w:b/>
        </w:rPr>
        <w:t>Hagendoorn, L.</w:t>
      </w:r>
      <w:r>
        <w:t xml:space="preserve"> 1993 'Ethnic categorization and outgroup exclusion: Cultural values and social stereotypes in the construction of ethnic hierarchies', </w:t>
      </w:r>
      <w:r>
        <w:rPr>
          <w:i/>
        </w:rPr>
        <w:t>Ethnic and Racial Studies</w:t>
      </w:r>
      <w:r>
        <w:t xml:space="preserve"> 16(1): 26–51.</w:t>
      </w:r>
    </w:p>
    <w:p w:rsidR="00A02B75" w:rsidRDefault="009C0B27">
      <w:bookmarkStart w:id="29" w:name="_1pxezwc" w:colFirst="0" w:colLast="0"/>
      <w:bookmarkEnd w:id="29"/>
      <w:r>
        <w:rPr>
          <w:b/>
        </w:rPr>
        <w:t>Hamnett, C.</w:t>
      </w:r>
      <w:r>
        <w:t xml:space="preserve"> 2014 'Shrinking the welfare state: the structure, geography and impact of British government benefit cuts', </w:t>
      </w:r>
      <w:r>
        <w:rPr>
          <w:i/>
        </w:rPr>
        <w:t>Transactions of the Institute of British Geographers</w:t>
      </w:r>
      <w:r>
        <w:t xml:space="preserve"> 39(4): 490–503.</w:t>
      </w:r>
    </w:p>
    <w:p w:rsidR="00A02B75" w:rsidRDefault="009C0B27">
      <w:bookmarkStart w:id="30" w:name="_49x2ik5" w:colFirst="0" w:colLast="0"/>
      <w:bookmarkEnd w:id="30"/>
      <w:r>
        <w:rPr>
          <w:b/>
        </w:rPr>
        <w:t>Hansen, P. and Hager, S. B.</w:t>
      </w:r>
      <w:r>
        <w:t xml:space="preserve"> 2010 </w:t>
      </w:r>
      <w:r>
        <w:rPr>
          <w:i/>
        </w:rPr>
        <w:t>The politics of European citizensh</w:t>
      </w:r>
      <w:r>
        <w:rPr>
          <w:i/>
        </w:rPr>
        <w:t>ip: deepening contradictions in social rights and migration policy</w:t>
      </w:r>
      <w:r>
        <w:t>, Oxford: Berghahn.</w:t>
      </w:r>
    </w:p>
    <w:p w:rsidR="00A02B75" w:rsidRDefault="009C0B27">
      <w:bookmarkStart w:id="31" w:name="_2p2csry" w:colFirst="0" w:colLast="0"/>
      <w:bookmarkEnd w:id="31"/>
      <w:r>
        <w:rPr>
          <w:b/>
        </w:rPr>
        <w:t>Harmes, A.</w:t>
      </w:r>
      <w:r>
        <w:t xml:space="preserve"> 2012 'The rise of neoliberal nationalism', </w:t>
      </w:r>
      <w:r>
        <w:rPr>
          <w:i/>
        </w:rPr>
        <w:t>Review of International Political Economy</w:t>
      </w:r>
      <w:r>
        <w:t xml:space="preserve"> 19(1): 59-86.</w:t>
      </w:r>
    </w:p>
    <w:p w:rsidR="00A02B75" w:rsidRDefault="009C0B27">
      <w:bookmarkStart w:id="32" w:name="_147n2zr" w:colFirst="0" w:colLast="0"/>
      <w:bookmarkEnd w:id="32"/>
      <w:r>
        <w:rPr>
          <w:b/>
        </w:rPr>
        <w:t>Hart, C.</w:t>
      </w:r>
      <w:r>
        <w:t xml:space="preserve"> 2010 </w:t>
      </w:r>
      <w:r>
        <w:rPr>
          <w:i/>
        </w:rPr>
        <w:t>Critical discourse analysis and cognitive science: new perspectives on immigration discourse</w:t>
      </w:r>
      <w:r>
        <w:t>, Basingstoke: Palgrave Macmillan.</w:t>
      </w:r>
    </w:p>
    <w:p w:rsidR="00A02B75" w:rsidRDefault="009C0B27">
      <w:bookmarkStart w:id="33" w:name="_3o7alnk" w:colFirst="0" w:colLast="0"/>
      <w:bookmarkEnd w:id="33"/>
      <w:r>
        <w:rPr>
          <w:b/>
        </w:rPr>
        <w:t>Jordan, B. and Brown, P.</w:t>
      </w:r>
      <w:r>
        <w:t xml:space="preserve"> 2007 'Migration and Work in the United Kingdom: Mobility and the Social Order', </w:t>
      </w:r>
      <w:r>
        <w:rPr>
          <w:i/>
        </w:rPr>
        <w:t>Mobilities</w:t>
      </w:r>
      <w:r>
        <w:t xml:space="preserve"> 2(2): 255-276</w:t>
      </w:r>
      <w:r>
        <w:t>.</w:t>
      </w:r>
    </w:p>
    <w:p w:rsidR="00A02B75" w:rsidRDefault="009C0B27">
      <w:bookmarkStart w:id="34" w:name="_23ckvvd" w:colFirst="0" w:colLast="0"/>
      <w:bookmarkEnd w:id="34"/>
      <w:r>
        <w:rPr>
          <w:b/>
        </w:rPr>
        <w:t>Kootstra, A.</w:t>
      </w:r>
      <w:r>
        <w:t xml:space="preserve"> 2016 'Deserving and Undeserving Welfare Claimants in Britain and the Netherlands: Examining the Role of Ethnicity and Migration Status Using a Vignette Experiment', </w:t>
      </w:r>
      <w:r>
        <w:rPr>
          <w:i/>
        </w:rPr>
        <w:t>European Sociological Review</w:t>
      </w:r>
      <w:r>
        <w:t xml:space="preserve"> 32(3): 325–338.</w:t>
      </w:r>
    </w:p>
    <w:p w:rsidR="00A02B75" w:rsidRDefault="009C0B27">
      <w:bookmarkStart w:id="35" w:name="_ihv636" w:colFirst="0" w:colLast="0"/>
      <w:bookmarkEnd w:id="35"/>
      <w:r>
        <w:rPr>
          <w:b/>
        </w:rPr>
        <w:t>Krings, T., Moriarty, E., Wickh</w:t>
      </w:r>
      <w:r>
        <w:rPr>
          <w:b/>
        </w:rPr>
        <w:t>am, J., Bobek, A. and Salamonska, J.</w:t>
      </w:r>
      <w:r>
        <w:t xml:space="preserve"> 2013 </w:t>
      </w:r>
      <w:r>
        <w:rPr>
          <w:i/>
        </w:rPr>
        <w:t>New mobilities in Europe: Polish migration to Ireland post-2004</w:t>
      </w:r>
      <w:r>
        <w:t>, Manchester: Manchester University Press.</w:t>
      </w:r>
    </w:p>
    <w:p w:rsidR="00A02B75" w:rsidRDefault="009C0B27">
      <w:bookmarkStart w:id="36" w:name="_32hioqz" w:colFirst="0" w:colLast="0"/>
      <w:bookmarkEnd w:id="36"/>
      <w:r>
        <w:rPr>
          <w:b/>
        </w:rPr>
        <w:t>Levine, R. A. and Campbell, D. T.</w:t>
      </w:r>
      <w:r>
        <w:t xml:space="preserve"> 1972 </w:t>
      </w:r>
      <w:r>
        <w:rPr>
          <w:i/>
        </w:rPr>
        <w:t>Ethnocentrism: theories of conflict, ethnic attitudes and group behav</w:t>
      </w:r>
      <w:r>
        <w:rPr>
          <w:i/>
        </w:rPr>
        <w:t>ior</w:t>
      </w:r>
      <w:r>
        <w:t>, London: Wiley.</w:t>
      </w:r>
    </w:p>
    <w:p w:rsidR="00A02B75" w:rsidRDefault="009C0B27">
      <w:bookmarkStart w:id="37" w:name="_1hmsyys" w:colFirst="0" w:colLast="0"/>
      <w:bookmarkEnd w:id="37"/>
      <w:r>
        <w:rPr>
          <w:b/>
        </w:rPr>
        <w:t>Marshall, T. H.</w:t>
      </w:r>
      <w:r>
        <w:t xml:space="preserve"> 1950 </w:t>
      </w:r>
      <w:r>
        <w:rPr>
          <w:i/>
        </w:rPr>
        <w:t>Citizenship and social class, and other essays</w:t>
      </w:r>
      <w:r>
        <w:t>, Cambridge: Cambridge University Press.</w:t>
      </w:r>
    </w:p>
    <w:p w:rsidR="00A02B75" w:rsidRDefault="009C0B27">
      <w:bookmarkStart w:id="38" w:name="_41mghml" w:colFirst="0" w:colLast="0"/>
      <w:bookmarkEnd w:id="38"/>
      <w:r>
        <w:rPr>
          <w:b/>
        </w:rPr>
        <w:t>Masquelier, C.</w:t>
      </w:r>
      <w:r>
        <w:t xml:space="preserve"> 2017 </w:t>
      </w:r>
      <w:r>
        <w:rPr>
          <w:i/>
        </w:rPr>
        <w:t>Critique and Resistance in a Neoliberal Age: Towards a Narrative of Emancipation</w:t>
      </w:r>
      <w:r>
        <w:t>, Basingstoke: Palgrave Macm</w:t>
      </w:r>
      <w:r>
        <w:t>illan.</w:t>
      </w:r>
    </w:p>
    <w:p w:rsidR="00A02B75" w:rsidRDefault="009C0B27">
      <w:bookmarkStart w:id="39" w:name="_2grqrue" w:colFirst="0" w:colLast="0"/>
      <w:bookmarkEnd w:id="39"/>
      <w:r>
        <w:rPr>
          <w:b/>
        </w:rPr>
        <w:t>Matejskova, T.</w:t>
      </w:r>
      <w:r>
        <w:t xml:space="preserve"> 2013 '“But One Needs to Work!”: Neoliberal Citizenship, Work-Based Immigrant Integration, and Post-Socialist Subjectivities in Berlin-Marzahn', </w:t>
      </w:r>
      <w:r>
        <w:rPr>
          <w:i/>
        </w:rPr>
        <w:t>Antipode</w:t>
      </w:r>
      <w:r>
        <w:t xml:space="preserve"> 45(4): 984–1004.</w:t>
      </w:r>
    </w:p>
    <w:p w:rsidR="00A02B75" w:rsidRDefault="009C0B27">
      <w:bookmarkStart w:id="40" w:name="_vx1227" w:colFirst="0" w:colLast="0"/>
      <w:bookmarkEnd w:id="40"/>
      <w:r>
        <w:rPr>
          <w:b/>
        </w:rPr>
        <w:t>McCollum, D. and Findlay, A.</w:t>
      </w:r>
      <w:r>
        <w:t xml:space="preserve"> 2015 '‘Flexible’ workers for ‘flexi</w:t>
      </w:r>
      <w:r>
        <w:t xml:space="preserve">ble’ jobs? The labour market function of A8 migrant labour in the UK', </w:t>
      </w:r>
      <w:r>
        <w:rPr>
          <w:i/>
        </w:rPr>
        <w:t>Work, Employment and Society</w:t>
      </w:r>
      <w:r>
        <w:t xml:space="preserve"> 29(3): 427-443.</w:t>
      </w:r>
    </w:p>
    <w:p w:rsidR="00A02B75" w:rsidRDefault="009C0B27">
      <w:bookmarkStart w:id="41" w:name="_3fwokq0" w:colFirst="0" w:colLast="0"/>
      <w:bookmarkEnd w:id="41"/>
      <w:r>
        <w:rPr>
          <w:b/>
        </w:rPr>
        <w:t>McGhee, D. and Piętka-Nykaza, E.</w:t>
      </w:r>
      <w:r>
        <w:t xml:space="preserve"> 2016 'From privileged to thwarted stakeholders – Polish migrants’ perceptions of the Scottish Independence </w:t>
      </w:r>
      <w:r>
        <w:t xml:space="preserve">Referendum 2014 and the UK General Election in 2015', </w:t>
      </w:r>
      <w:r>
        <w:rPr>
          <w:i/>
        </w:rPr>
        <w:t>Citizenship Studies</w:t>
      </w:r>
      <w:r>
        <w:t xml:space="preserve"> 20(6-7): 899–913.</w:t>
      </w:r>
    </w:p>
    <w:p w:rsidR="00A02B75" w:rsidRDefault="009C0B27">
      <w:bookmarkStart w:id="42" w:name="_1v1yuxt" w:colFirst="0" w:colLast="0"/>
      <w:bookmarkEnd w:id="42"/>
      <w:r>
        <w:rPr>
          <w:b/>
        </w:rPr>
        <w:lastRenderedPageBreak/>
        <w:t>Miller, D.</w:t>
      </w:r>
      <w:r>
        <w:t xml:space="preserve"> 2000 </w:t>
      </w:r>
      <w:r>
        <w:rPr>
          <w:i/>
        </w:rPr>
        <w:t>Citizenship and national identity</w:t>
      </w:r>
      <w:r>
        <w:t>, Cambridge: Polity.</w:t>
      </w:r>
    </w:p>
    <w:p w:rsidR="00A02B75" w:rsidRDefault="009C0B27">
      <w:bookmarkStart w:id="43" w:name="_4f1mdlm" w:colFirst="0" w:colLast="0"/>
      <w:bookmarkEnd w:id="43"/>
      <w:r>
        <w:rPr>
          <w:b/>
        </w:rPr>
        <w:t>Ong, A.</w:t>
      </w:r>
      <w:r>
        <w:t xml:space="preserve"> 2006 'Mutations in Citizenship', </w:t>
      </w:r>
      <w:r>
        <w:rPr>
          <w:i/>
        </w:rPr>
        <w:t>Theory, Culture &amp; Society</w:t>
      </w:r>
      <w:r>
        <w:t xml:space="preserve"> 23(2-3): 499-505.</w:t>
      </w:r>
    </w:p>
    <w:p w:rsidR="00A02B75" w:rsidRDefault="009C0B27">
      <w:bookmarkStart w:id="44" w:name="_2u6wntf" w:colFirst="0" w:colLast="0"/>
      <w:bookmarkEnd w:id="44"/>
      <w:r>
        <w:rPr>
          <w:b/>
        </w:rPr>
        <w:t>Osipovič, D.</w:t>
      </w:r>
      <w:r>
        <w:t xml:space="preserve"> 2015 'Conceptualisations of Welfare Deservingness by Polish Migrants in the UK', </w:t>
      </w:r>
      <w:r>
        <w:rPr>
          <w:i/>
        </w:rPr>
        <w:t>Journal of Social Policy</w:t>
      </w:r>
      <w:r>
        <w:t xml:space="preserve"> 44(4): 729-746.</w:t>
      </w:r>
    </w:p>
    <w:p w:rsidR="00A02B75" w:rsidRDefault="009C0B27">
      <w:bookmarkStart w:id="45" w:name="_19c6y18" w:colFirst="0" w:colLast="0"/>
      <w:bookmarkEnd w:id="45"/>
      <w:r>
        <w:rPr>
          <w:b/>
        </w:rPr>
        <w:t>Razin, A. and Wahba, J.</w:t>
      </w:r>
      <w:r>
        <w:t xml:space="preserve"> 2015 'Welfare Magnet Hypothesis, Fiscal Burden, and Immigration Skill Selectivity', </w:t>
      </w:r>
      <w:r>
        <w:rPr>
          <w:i/>
        </w:rPr>
        <w:t>The Scandinav</w:t>
      </w:r>
      <w:r>
        <w:rPr>
          <w:i/>
        </w:rPr>
        <w:t>ian Journal of Economics</w:t>
      </w:r>
      <w:r>
        <w:t xml:space="preserve"> 117(2): 369–402.</w:t>
      </w:r>
    </w:p>
    <w:p w:rsidR="00A02B75" w:rsidRDefault="009C0B27">
      <w:bookmarkStart w:id="46" w:name="_3tbugp1" w:colFirst="0" w:colLast="0"/>
      <w:bookmarkEnd w:id="46"/>
      <w:r>
        <w:rPr>
          <w:b/>
        </w:rPr>
        <w:t>Schinkel, W. and Van Houdt, F.</w:t>
      </w:r>
      <w:r>
        <w:t xml:space="preserve"> 2010 'The double helix of cultural assimilationism and neo-liberalism: citizenship in contemporary governmentality', </w:t>
      </w:r>
      <w:r>
        <w:rPr>
          <w:i/>
        </w:rPr>
        <w:t>The British Journal of Sociology</w:t>
      </w:r>
      <w:r>
        <w:t xml:space="preserve"> 61(4): 696–715.</w:t>
      </w:r>
    </w:p>
    <w:p w:rsidR="00A02B75" w:rsidRDefault="009C0B27">
      <w:bookmarkStart w:id="47" w:name="_28h4qwu" w:colFirst="0" w:colLast="0"/>
      <w:bookmarkEnd w:id="47"/>
      <w:r>
        <w:rPr>
          <w:b/>
        </w:rPr>
        <w:t>Shachar, A.</w:t>
      </w:r>
      <w:r>
        <w:t xml:space="preserve"> 2013 </w:t>
      </w:r>
      <w:r>
        <w:t xml:space="preserve">'The Missing Link: Rootedness as a Basis for Membership', in S. R. Ben-Porath and R. M. Smith (eds) </w:t>
      </w:r>
      <w:r>
        <w:rPr>
          <w:i/>
        </w:rPr>
        <w:t>Varieties of sovereignty and citizenship</w:t>
      </w:r>
      <w:r>
        <w:t>, Philadelphia: University of Pennsylvania Press. pp. 124-146.</w:t>
      </w:r>
    </w:p>
    <w:p w:rsidR="00A02B75" w:rsidRDefault="009C0B27">
      <w:bookmarkStart w:id="48" w:name="_nmf14n" w:colFirst="0" w:colLast="0"/>
      <w:bookmarkEnd w:id="48"/>
      <w:r>
        <w:rPr>
          <w:b/>
        </w:rPr>
        <w:t>Soysal, Y. N.</w:t>
      </w:r>
      <w:r>
        <w:t xml:space="preserve"> 1994 </w:t>
      </w:r>
      <w:r>
        <w:rPr>
          <w:i/>
        </w:rPr>
        <w:t>Limits of citizenship: migrants an</w:t>
      </w:r>
      <w:r>
        <w:rPr>
          <w:i/>
        </w:rPr>
        <w:t>d postnational membership in Europe</w:t>
      </w:r>
      <w:r>
        <w:t>, Chicago: University of Chicago Press.</w:t>
      </w:r>
    </w:p>
    <w:p w:rsidR="00A02B75" w:rsidRDefault="009C0B27">
      <w:bookmarkStart w:id="49" w:name="_37m2jsg" w:colFirst="0" w:colLast="0"/>
      <w:bookmarkEnd w:id="49"/>
      <w:r>
        <w:rPr>
          <w:b/>
        </w:rPr>
        <w:t>Soysal, Y. N.</w:t>
      </w:r>
      <w:r>
        <w:t xml:space="preserve"> 2012 'Citizenship, immigration, and the European social project: rights and obligations of individuality', </w:t>
      </w:r>
      <w:r>
        <w:rPr>
          <w:i/>
        </w:rPr>
        <w:t>The British Journal of Sociology</w:t>
      </w:r>
      <w:r>
        <w:t xml:space="preserve"> 63(1): 1-21.</w:t>
      </w:r>
    </w:p>
    <w:p w:rsidR="00A02B75" w:rsidRDefault="009C0B27">
      <w:bookmarkStart w:id="50" w:name="_1mrcu09" w:colFirst="0" w:colLast="0"/>
      <w:bookmarkEnd w:id="50"/>
      <w:r>
        <w:rPr>
          <w:b/>
        </w:rPr>
        <w:t>Spigelman, A.</w:t>
      </w:r>
      <w:r>
        <w:t xml:space="preserve"> </w:t>
      </w:r>
      <w:r>
        <w:t xml:space="preserve">2013 'The depiction of Polish migrants in the United Kingdom by the British press after Poland's accession to the European Union', </w:t>
      </w:r>
      <w:r>
        <w:rPr>
          <w:i/>
        </w:rPr>
        <w:t>International Journal of Sociology and Social Policy</w:t>
      </w:r>
      <w:r>
        <w:t xml:space="preserve"> 33(1/2): 98–113.</w:t>
      </w:r>
    </w:p>
    <w:p w:rsidR="00A02B75" w:rsidRDefault="009C0B27">
      <w:bookmarkStart w:id="51" w:name="_46r0co2" w:colFirst="0" w:colLast="0"/>
      <w:bookmarkEnd w:id="51"/>
      <w:r>
        <w:rPr>
          <w:b/>
        </w:rPr>
        <w:t>Sue, V. M. and Ritter, L. A.</w:t>
      </w:r>
      <w:r>
        <w:t xml:space="preserve"> 2012 </w:t>
      </w:r>
      <w:r>
        <w:rPr>
          <w:i/>
        </w:rPr>
        <w:t>Conducting online sur</w:t>
      </w:r>
      <w:r>
        <w:rPr>
          <w:i/>
        </w:rPr>
        <w:t>veys</w:t>
      </w:r>
      <w:r>
        <w:t>, 2nd Edition, Thousand Oaks, Calif.: Sage.</w:t>
      </w:r>
    </w:p>
    <w:p w:rsidR="00A02B75" w:rsidRDefault="009C0B27">
      <w:bookmarkStart w:id="52" w:name="_2lwamvv" w:colFirst="0" w:colLast="0"/>
      <w:bookmarkEnd w:id="52"/>
      <w:r>
        <w:rPr>
          <w:b/>
        </w:rPr>
        <w:t>Tajfel, H. and Turner, J.</w:t>
      </w:r>
      <w:r>
        <w:t xml:space="preserve"> 1985 'The social identity theory of intergroup behavior', in S. Worchel and W. G. Austin (eds) </w:t>
      </w:r>
      <w:r>
        <w:rPr>
          <w:i/>
        </w:rPr>
        <w:t>Psychology of intergroup relations</w:t>
      </w:r>
      <w:r>
        <w:t>, 2nd Edition, Chicago: Nelson-Hall Publishers. pp. 7</w:t>
      </w:r>
      <w:r>
        <w:t>–24.</w:t>
      </w:r>
    </w:p>
    <w:p w:rsidR="00A02B75" w:rsidRDefault="009C0B27">
      <w:bookmarkStart w:id="53" w:name="_111kx3o" w:colFirst="0" w:colLast="0"/>
      <w:bookmarkEnd w:id="53"/>
      <w:r>
        <w:rPr>
          <w:b/>
        </w:rPr>
        <w:t>van Houdt, F., Suvarierol, S. and Schinkel, W.</w:t>
      </w:r>
      <w:r>
        <w:t xml:space="preserve"> 2011 'Neoliberal communitarian citizenship: Current trends towards ‘earned citizenship’ in the United Kingdom, France and the Netherlands', </w:t>
      </w:r>
      <w:r>
        <w:rPr>
          <w:i/>
        </w:rPr>
        <w:t>International Sociology</w:t>
      </w:r>
      <w:r>
        <w:t xml:space="preserve"> 26(3): 408–432.</w:t>
      </w:r>
    </w:p>
    <w:p w:rsidR="00A02B75" w:rsidRDefault="009C0B27">
      <w:bookmarkStart w:id="54" w:name="_3l18frh" w:colFirst="0" w:colLast="0"/>
      <w:bookmarkEnd w:id="54"/>
      <w:r>
        <w:rPr>
          <w:b/>
        </w:rPr>
        <w:t>Vertovec, S.</w:t>
      </w:r>
      <w:r>
        <w:t xml:space="preserve"> 2007 'Super</w:t>
      </w:r>
      <w:r>
        <w:t xml:space="preserve">-diversity and its implications', </w:t>
      </w:r>
      <w:r>
        <w:rPr>
          <w:i/>
        </w:rPr>
        <w:t>Ethnic and Racial Studies</w:t>
      </w:r>
      <w:r>
        <w:t xml:space="preserve"> 30(6): 1024–1054.</w:t>
      </w:r>
    </w:p>
    <w:p w:rsidR="00A02B75" w:rsidRDefault="009C0B27">
      <w:bookmarkStart w:id="55" w:name="_206ipza" w:colFirst="0" w:colLast="0"/>
      <w:bookmarkEnd w:id="55"/>
      <w:r>
        <w:rPr>
          <w:b/>
        </w:rPr>
        <w:t>White, A.</w:t>
      </w:r>
      <w:r>
        <w:t xml:space="preserve"> 2011 </w:t>
      </w:r>
      <w:r>
        <w:rPr>
          <w:i/>
        </w:rPr>
        <w:t>Polish families and migration since EU accession</w:t>
      </w:r>
      <w:r>
        <w:t>, Bristol: Policy Press.</w:t>
      </w:r>
    </w:p>
    <w:p w:rsidR="00A02B75" w:rsidRDefault="009C0B27">
      <w:bookmarkStart w:id="56" w:name="_4k668n3" w:colFirst="0" w:colLast="0"/>
      <w:bookmarkEnd w:id="56"/>
      <w:r>
        <w:rPr>
          <w:b/>
        </w:rPr>
        <w:t>Wimmer, A.</w:t>
      </w:r>
      <w:r>
        <w:t xml:space="preserve"> 2013 </w:t>
      </w:r>
      <w:r>
        <w:rPr>
          <w:i/>
        </w:rPr>
        <w:t>Ethnic boundary making: institutions, power, networks</w:t>
      </w:r>
      <w:r>
        <w:t>, Oxford: Oxford University Press.</w:t>
      </w:r>
    </w:p>
    <w:p w:rsidR="00A02B75" w:rsidRDefault="009C0B27">
      <w:pPr>
        <w:spacing w:line="480" w:lineRule="auto"/>
      </w:pPr>
      <w:bookmarkStart w:id="57" w:name="_2zbgiuw" w:colFirst="0" w:colLast="0"/>
      <w:bookmarkEnd w:id="57"/>
      <w:r>
        <w:br w:type="page"/>
      </w:r>
    </w:p>
    <w:p w:rsidR="00A02B75" w:rsidRDefault="009C0B27">
      <w:pPr>
        <w:spacing w:before="240" w:line="480" w:lineRule="auto"/>
        <w:rPr>
          <w:rFonts w:ascii="Times New Roman" w:eastAsia="Times New Roman" w:hAnsi="Times New Roman" w:cs="Times New Roman"/>
        </w:rPr>
      </w:pPr>
      <w:r>
        <w:rPr>
          <w:rFonts w:ascii="Times New Roman" w:eastAsia="Times New Roman" w:hAnsi="Times New Roman" w:cs="Times New Roman"/>
        </w:rPr>
        <w:lastRenderedPageBreak/>
        <w:t>Table I. Personal characteristics of the survey sample</w:t>
      </w:r>
    </w:p>
    <w:tbl>
      <w:tblPr>
        <w:tblStyle w:val="a"/>
        <w:tblW w:w="9108" w:type="dxa"/>
        <w:tblLayout w:type="fixed"/>
        <w:tblLook w:val="0400" w:firstRow="0" w:lastRow="0" w:firstColumn="0" w:lastColumn="0" w:noHBand="0" w:noVBand="1"/>
      </w:tblPr>
      <w:tblGrid>
        <w:gridCol w:w="2299"/>
        <w:gridCol w:w="4326"/>
        <w:gridCol w:w="505"/>
        <w:gridCol w:w="987"/>
        <w:gridCol w:w="991"/>
      </w:tblGrid>
      <w:tr w:rsidR="00A02B75">
        <w:trPr>
          <w:trHeight w:val="20"/>
        </w:trPr>
        <w:tc>
          <w:tcPr>
            <w:tcW w:w="2299" w:type="dxa"/>
            <w:tcBorders>
              <w:top w:val="nil"/>
              <w:left w:val="nil"/>
              <w:bottom w:val="nil"/>
              <w:right w:val="nil"/>
            </w:tcBorders>
            <w:shd w:val="clear" w:color="auto" w:fill="auto"/>
            <w:vAlign w:val="center"/>
          </w:tcPr>
          <w:p w:rsidR="00A02B75" w:rsidRDefault="00A02B75">
            <w:pPr>
              <w:spacing w:line="480" w:lineRule="auto"/>
              <w:rPr>
                <w:rFonts w:ascii="Times New Roman" w:eastAsia="Times New Roman" w:hAnsi="Times New Roman" w:cs="Times New Roman"/>
                <w:sz w:val="22"/>
                <w:szCs w:val="22"/>
              </w:rPr>
            </w:pPr>
          </w:p>
        </w:tc>
        <w:tc>
          <w:tcPr>
            <w:tcW w:w="4831" w:type="dxa"/>
            <w:gridSpan w:val="2"/>
            <w:tcBorders>
              <w:top w:val="nil"/>
              <w:left w:val="nil"/>
              <w:bottom w:val="nil"/>
              <w:right w:val="nil"/>
            </w:tcBorders>
            <w:shd w:val="clear" w:color="auto" w:fill="auto"/>
            <w:vAlign w:val="center"/>
          </w:tcPr>
          <w:p w:rsidR="00A02B75" w:rsidRDefault="00A02B75">
            <w:pPr>
              <w:spacing w:line="480" w:lineRule="auto"/>
              <w:rPr>
                <w:rFonts w:ascii="Times New Roman" w:eastAsia="Times New Roman" w:hAnsi="Times New Roman" w:cs="Times New Roman"/>
                <w:sz w:val="22"/>
                <w:szCs w:val="22"/>
              </w:rPr>
            </w:pPr>
          </w:p>
        </w:tc>
        <w:tc>
          <w:tcPr>
            <w:tcW w:w="1978" w:type="dxa"/>
            <w:gridSpan w:val="2"/>
            <w:tcBorders>
              <w:top w:val="single" w:sz="4" w:space="0" w:color="000000"/>
              <w:left w:val="nil"/>
              <w:bottom w:val="single" w:sz="4" w:space="0" w:color="000000"/>
              <w:right w:val="single" w:sz="4" w:space="0" w:color="000000"/>
            </w:tcBorders>
            <w:shd w:val="clear" w:color="auto" w:fill="auto"/>
            <w:vAlign w:val="center"/>
          </w:tcPr>
          <w:p w:rsidR="00A02B75" w:rsidRDefault="009C0B27">
            <w:pPr>
              <w:spacing w:line="480" w:lineRule="auto"/>
              <w:rPr>
                <w:rFonts w:ascii="Times New Roman" w:eastAsia="Times New Roman" w:hAnsi="Times New Roman" w:cs="Times New Roman"/>
                <w:b/>
                <w:sz w:val="22"/>
                <w:szCs w:val="22"/>
              </w:rPr>
            </w:pPr>
            <w:r>
              <w:rPr>
                <w:rFonts w:ascii="Times New Roman" w:eastAsia="Times New Roman" w:hAnsi="Times New Roman" w:cs="Times New Roman"/>
                <w:b/>
                <w:sz w:val="22"/>
                <w:szCs w:val="22"/>
              </w:rPr>
              <w:t>EU-Ref survey</w:t>
            </w:r>
          </w:p>
        </w:tc>
      </w:tr>
      <w:tr w:rsidR="00A02B75">
        <w:trPr>
          <w:trHeight w:val="20"/>
        </w:trPr>
        <w:tc>
          <w:tcPr>
            <w:tcW w:w="2299" w:type="dxa"/>
            <w:tcBorders>
              <w:top w:val="nil"/>
              <w:left w:val="nil"/>
              <w:bottom w:val="single" w:sz="12" w:space="0" w:color="000000"/>
              <w:right w:val="nil"/>
            </w:tcBorders>
            <w:shd w:val="clear" w:color="auto" w:fill="auto"/>
            <w:vAlign w:val="center"/>
          </w:tcPr>
          <w:p w:rsidR="00A02B75" w:rsidRDefault="00A02B75">
            <w:pPr>
              <w:spacing w:line="480" w:lineRule="auto"/>
              <w:rPr>
                <w:rFonts w:ascii="Times New Roman" w:eastAsia="Times New Roman" w:hAnsi="Times New Roman" w:cs="Times New Roman"/>
                <w:sz w:val="22"/>
                <w:szCs w:val="22"/>
              </w:rPr>
            </w:pPr>
          </w:p>
        </w:tc>
        <w:tc>
          <w:tcPr>
            <w:tcW w:w="4831" w:type="dxa"/>
            <w:gridSpan w:val="2"/>
            <w:tcBorders>
              <w:top w:val="nil"/>
              <w:left w:val="nil"/>
              <w:bottom w:val="single" w:sz="12" w:space="0" w:color="000000"/>
              <w:right w:val="nil"/>
            </w:tcBorders>
            <w:shd w:val="clear" w:color="auto" w:fill="auto"/>
            <w:vAlign w:val="center"/>
          </w:tcPr>
          <w:p w:rsidR="00A02B75" w:rsidRDefault="00A02B75">
            <w:pPr>
              <w:spacing w:line="480" w:lineRule="auto"/>
              <w:rPr>
                <w:rFonts w:ascii="Times New Roman" w:eastAsia="Times New Roman" w:hAnsi="Times New Roman" w:cs="Times New Roman"/>
                <w:sz w:val="22"/>
                <w:szCs w:val="22"/>
              </w:rPr>
            </w:pPr>
          </w:p>
        </w:tc>
        <w:tc>
          <w:tcPr>
            <w:tcW w:w="987" w:type="dxa"/>
            <w:tcBorders>
              <w:top w:val="nil"/>
              <w:left w:val="nil"/>
              <w:bottom w:val="single" w:sz="12" w:space="0" w:color="000000"/>
              <w:right w:val="nil"/>
            </w:tcBorders>
            <w:shd w:val="clear" w:color="auto" w:fill="auto"/>
            <w:vAlign w:val="center"/>
          </w:tcPr>
          <w:p w:rsidR="00A02B75" w:rsidRDefault="009C0B27">
            <w:pPr>
              <w:spacing w:line="480" w:lineRule="auto"/>
              <w:rPr>
                <w:rFonts w:ascii="Times New Roman" w:eastAsia="Times New Roman" w:hAnsi="Times New Roman" w:cs="Times New Roman"/>
                <w:b/>
                <w:sz w:val="22"/>
                <w:szCs w:val="22"/>
              </w:rPr>
            </w:pPr>
            <w:r>
              <w:rPr>
                <w:rFonts w:ascii="Times New Roman" w:eastAsia="Times New Roman" w:hAnsi="Times New Roman" w:cs="Times New Roman"/>
                <w:b/>
                <w:sz w:val="22"/>
                <w:szCs w:val="22"/>
              </w:rPr>
              <w:t>N</w:t>
            </w:r>
          </w:p>
        </w:tc>
        <w:tc>
          <w:tcPr>
            <w:tcW w:w="991" w:type="dxa"/>
            <w:tcBorders>
              <w:top w:val="nil"/>
              <w:left w:val="nil"/>
              <w:bottom w:val="single" w:sz="12" w:space="0" w:color="000000"/>
              <w:right w:val="single" w:sz="4" w:space="0" w:color="000000"/>
            </w:tcBorders>
            <w:shd w:val="clear" w:color="auto" w:fill="auto"/>
            <w:vAlign w:val="center"/>
          </w:tcPr>
          <w:p w:rsidR="00A02B75" w:rsidRDefault="009C0B27">
            <w:pPr>
              <w:spacing w:line="480" w:lineRule="auto"/>
              <w:rPr>
                <w:rFonts w:ascii="Times New Roman" w:eastAsia="Times New Roman" w:hAnsi="Times New Roman" w:cs="Times New Roman"/>
                <w:b/>
                <w:sz w:val="22"/>
                <w:szCs w:val="22"/>
              </w:rPr>
            </w:pPr>
            <w:r>
              <w:rPr>
                <w:rFonts w:ascii="Times New Roman" w:eastAsia="Times New Roman" w:hAnsi="Times New Roman" w:cs="Times New Roman"/>
                <w:b/>
                <w:sz w:val="22"/>
                <w:szCs w:val="22"/>
              </w:rPr>
              <w:t>%</w:t>
            </w:r>
          </w:p>
        </w:tc>
      </w:tr>
      <w:tr w:rsidR="00A02B75">
        <w:trPr>
          <w:trHeight w:val="20"/>
        </w:trPr>
        <w:tc>
          <w:tcPr>
            <w:tcW w:w="2299" w:type="dxa"/>
            <w:tcBorders>
              <w:top w:val="nil"/>
              <w:left w:val="nil"/>
              <w:bottom w:val="single" w:sz="12" w:space="0" w:color="000000"/>
              <w:right w:val="nil"/>
            </w:tcBorders>
            <w:shd w:val="clear" w:color="auto" w:fill="auto"/>
            <w:vAlign w:val="center"/>
          </w:tcPr>
          <w:p w:rsidR="00A02B75" w:rsidRDefault="009C0B27">
            <w:pPr>
              <w:spacing w:line="48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Sample</w:t>
            </w:r>
          </w:p>
        </w:tc>
        <w:tc>
          <w:tcPr>
            <w:tcW w:w="4831" w:type="dxa"/>
            <w:gridSpan w:val="2"/>
            <w:tcBorders>
              <w:top w:val="nil"/>
              <w:left w:val="nil"/>
              <w:bottom w:val="single" w:sz="12" w:space="0" w:color="000000"/>
              <w:right w:val="nil"/>
            </w:tcBorders>
            <w:shd w:val="clear" w:color="auto" w:fill="auto"/>
            <w:vAlign w:val="center"/>
          </w:tcPr>
          <w:p w:rsidR="00A02B75" w:rsidRDefault="009C0B27">
            <w:pPr>
              <w:spacing w:line="48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Polish, over 16yo</w:t>
            </w:r>
            <w:r>
              <w:rPr>
                <w:rFonts w:ascii="Times New Roman" w:eastAsia="Times New Roman" w:hAnsi="Times New Roman" w:cs="Times New Roman"/>
                <w:sz w:val="22"/>
                <w:szCs w:val="22"/>
                <w:vertAlign w:val="superscript"/>
              </w:rPr>
              <w:t>1</w:t>
            </w:r>
          </w:p>
        </w:tc>
        <w:tc>
          <w:tcPr>
            <w:tcW w:w="987" w:type="dxa"/>
            <w:tcBorders>
              <w:top w:val="nil"/>
              <w:left w:val="nil"/>
              <w:bottom w:val="single" w:sz="12" w:space="0" w:color="000000"/>
              <w:right w:val="nil"/>
            </w:tcBorders>
            <w:shd w:val="clear" w:color="auto" w:fill="auto"/>
            <w:vAlign w:val="center"/>
          </w:tcPr>
          <w:p w:rsidR="00A02B75" w:rsidRDefault="009C0B27">
            <w:pPr>
              <w:spacing w:line="480" w:lineRule="auto"/>
              <w:rPr>
                <w:rFonts w:ascii="Times New Roman" w:eastAsia="Times New Roman" w:hAnsi="Times New Roman" w:cs="Times New Roman"/>
                <w:b/>
                <w:sz w:val="22"/>
                <w:szCs w:val="22"/>
              </w:rPr>
            </w:pPr>
            <w:r>
              <w:rPr>
                <w:rFonts w:ascii="Times New Roman" w:eastAsia="Times New Roman" w:hAnsi="Times New Roman" w:cs="Times New Roman"/>
                <w:b/>
                <w:sz w:val="22"/>
                <w:szCs w:val="22"/>
              </w:rPr>
              <w:t>894</w:t>
            </w:r>
          </w:p>
        </w:tc>
        <w:tc>
          <w:tcPr>
            <w:tcW w:w="991" w:type="dxa"/>
            <w:tcBorders>
              <w:top w:val="nil"/>
              <w:left w:val="nil"/>
              <w:bottom w:val="single" w:sz="12" w:space="0" w:color="000000"/>
              <w:right w:val="single" w:sz="4" w:space="0" w:color="000000"/>
            </w:tcBorders>
            <w:shd w:val="clear" w:color="auto" w:fill="auto"/>
            <w:vAlign w:val="center"/>
          </w:tcPr>
          <w:p w:rsidR="00A02B75" w:rsidRDefault="00A02B75">
            <w:pPr>
              <w:spacing w:line="480" w:lineRule="auto"/>
              <w:rPr>
                <w:rFonts w:ascii="Times New Roman" w:eastAsia="Times New Roman" w:hAnsi="Times New Roman" w:cs="Times New Roman"/>
                <w:b/>
                <w:sz w:val="22"/>
                <w:szCs w:val="22"/>
              </w:rPr>
            </w:pPr>
          </w:p>
        </w:tc>
      </w:tr>
      <w:tr w:rsidR="00A02B75">
        <w:trPr>
          <w:trHeight w:val="20"/>
        </w:trPr>
        <w:tc>
          <w:tcPr>
            <w:tcW w:w="2299" w:type="dxa"/>
            <w:tcBorders>
              <w:top w:val="nil"/>
              <w:left w:val="nil"/>
              <w:bottom w:val="single" w:sz="4" w:space="0" w:color="000000"/>
              <w:right w:val="nil"/>
            </w:tcBorders>
            <w:shd w:val="clear" w:color="auto" w:fill="auto"/>
            <w:vAlign w:val="center"/>
          </w:tcPr>
          <w:p w:rsidR="00A02B75" w:rsidRDefault="009C0B27">
            <w:pPr>
              <w:spacing w:line="48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Sex</w:t>
            </w:r>
          </w:p>
        </w:tc>
        <w:tc>
          <w:tcPr>
            <w:tcW w:w="4831" w:type="dxa"/>
            <w:gridSpan w:val="2"/>
            <w:tcBorders>
              <w:top w:val="nil"/>
              <w:left w:val="nil"/>
              <w:bottom w:val="single" w:sz="4" w:space="0" w:color="000000"/>
              <w:right w:val="nil"/>
            </w:tcBorders>
            <w:shd w:val="clear" w:color="auto" w:fill="auto"/>
            <w:vAlign w:val="center"/>
          </w:tcPr>
          <w:p w:rsidR="00A02B75" w:rsidRDefault="009C0B27">
            <w:pPr>
              <w:spacing w:line="48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Female</w:t>
            </w:r>
          </w:p>
        </w:tc>
        <w:tc>
          <w:tcPr>
            <w:tcW w:w="987" w:type="dxa"/>
            <w:tcBorders>
              <w:top w:val="nil"/>
              <w:left w:val="nil"/>
              <w:bottom w:val="single" w:sz="4" w:space="0" w:color="000000"/>
              <w:right w:val="nil"/>
            </w:tcBorders>
            <w:shd w:val="clear" w:color="auto" w:fill="auto"/>
            <w:vAlign w:val="center"/>
          </w:tcPr>
          <w:p w:rsidR="00A02B75" w:rsidRDefault="009C0B27">
            <w:pPr>
              <w:spacing w:line="48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583</w:t>
            </w:r>
          </w:p>
        </w:tc>
        <w:tc>
          <w:tcPr>
            <w:tcW w:w="991" w:type="dxa"/>
            <w:tcBorders>
              <w:top w:val="nil"/>
              <w:left w:val="nil"/>
              <w:bottom w:val="single" w:sz="4" w:space="0" w:color="000000"/>
              <w:right w:val="single" w:sz="4" w:space="0" w:color="000000"/>
            </w:tcBorders>
            <w:shd w:val="clear" w:color="auto" w:fill="auto"/>
            <w:vAlign w:val="center"/>
          </w:tcPr>
          <w:p w:rsidR="00A02B75" w:rsidRDefault="009C0B27">
            <w:pPr>
              <w:spacing w:line="48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66%</w:t>
            </w:r>
          </w:p>
        </w:tc>
      </w:tr>
      <w:tr w:rsidR="00A02B75">
        <w:trPr>
          <w:trHeight w:val="20"/>
        </w:trPr>
        <w:tc>
          <w:tcPr>
            <w:tcW w:w="2299" w:type="dxa"/>
            <w:tcBorders>
              <w:top w:val="single" w:sz="4" w:space="0" w:color="000000"/>
              <w:left w:val="nil"/>
              <w:bottom w:val="nil"/>
              <w:right w:val="nil"/>
            </w:tcBorders>
            <w:shd w:val="clear" w:color="auto" w:fill="auto"/>
            <w:vAlign w:val="center"/>
          </w:tcPr>
          <w:p w:rsidR="00A02B75" w:rsidRDefault="009C0B27">
            <w:pPr>
              <w:spacing w:line="48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Age</w:t>
            </w:r>
          </w:p>
        </w:tc>
        <w:tc>
          <w:tcPr>
            <w:tcW w:w="4831" w:type="dxa"/>
            <w:gridSpan w:val="2"/>
            <w:tcBorders>
              <w:top w:val="single" w:sz="4" w:space="0" w:color="000000"/>
              <w:left w:val="nil"/>
              <w:bottom w:val="single" w:sz="4" w:space="0" w:color="000000"/>
              <w:right w:val="nil"/>
            </w:tcBorders>
            <w:shd w:val="clear" w:color="auto" w:fill="auto"/>
            <w:vAlign w:val="center"/>
          </w:tcPr>
          <w:p w:rsidR="00A02B75" w:rsidRDefault="009C0B27">
            <w:pPr>
              <w:spacing w:line="48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Mean (min–max; SD)</w:t>
            </w:r>
          </w:p>
        </w:tc>
        <w:tc>
          <w:tcPr>
            <w:tcW w:w="1978" w:type="dxa"/>
            <w:gridSpan w:val="2"/>
            <w:tcBorders>
              <w:top w:val="single" w:sz="4" w:space="0" w:color="000000"/>
              <w:left w:val="nil"/>
              <w:bottom w:val="single" w:sz="4" w:space="0" w:color="000000"/>
              <w:right w:val="single" w:sz="4" w:space="0" w:color="000000"/>
            </w:tcBorders>
            <w:shd w:val="clear" w:color="auto" w:fill="auto"/>
            <w:vAlign w:val="center"/>
          </w:tcPr>
          <w:p w:rsidR="00A02B75" w:rsidRDefault="009C0B27">
            <w:pPr>
              <w:spacing w:line="480" w:lineRule="auto"/>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38</w:t>
            </w:r>
          </w:p>
          <w:p w:rsidR="00A02B75" w:rsidRDefault="009C0B27">
            <w:pPr>
              <w:spacing w:line="480" w:lineRule="auto"/>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(19–65; 9)</w:t>
            </w:r>
          </w:p>
        </w:tc>
      </w:tr>
      <w:tr w:rsidR="00A02B75">
        <w:trPr>
          <w:trHeight w:val="20"/>
        </w:trPr>
        <w:tc>
          <w:tcPr>
            <w:tcW w:w="2299" w:type="dxa"/>
            <w:vMerge w:val="restart"/>
            <w:tcBorders>
              <w:top w:val="single" w:sz="4" w:space="0" w:color="000000"/>
              <w:left w:val="nil"/>
              <w:right w:val="nil"/>
            </w:tcBorders>
            <w:shd w:val="clear" w:color="auto" w:fill="auto"/>
            <w:vAlign w:val="center"/>
          </w:tcPr>
          <w:p w:rsidR="00A02B75" w:rsidRDefault="009C0B27">
            <w:pPr>
              <w:spacing w:line="48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Age (groups)</w:t>
            </w:r>
          </w:p>
        </w:tc>
        <w:tc>
          <w:tcPr>
            <w:tcW w:w="4831" w:type="dxa"/>
            <w:gridSpan w:val="2"/>
            <w:tcBorders>
              <w:top w:val="single" w:sz="4" w:space="0" w:color="000000"/>
              <w:left w:val="nil"/>
            </w:tcBorders>
            <w:shd w:val="clear" w:color="auto" w:fill="auto"/>
          </w:tcPr>
          <w:p w:rsidR="00A02B75" w:rsidRDefault="009C0B27">
            <w:pPr>
              <w:spacing w:line="48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Under 30</w:t>
            </w:r>
          </w:p>
        </w:tc>
        <w:tc>
          <w:tcPr>
            <w:tcW w:w="987" w:type="dxa"/>
            <w:tcBorders>
              <w:top w:val="single" w:sz="4" w:space="0" w:color="000000"/>
            </w:tcBorders>
            <w:shd w:val="clear" w:color="auto" w:fill="auto"/>
          </w:tcPr>
          <w:p w:rsidR="00A02B75" w:rsidRDefault="009C0B27">
            <w:pPr>
              <w:spacing w:line="48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145</w:t>
            </w:r>
          </w:p>
        </w:tc>
        <w:tc>
          <w:tcPr>
            <w:tcW w:w="991" w:type="dxa"/>
            <w:tcBorders>
              <w:top w:val="single" w:sz="4" w:space="0" w:color="000000"/>
              <w:right w:val="single" w:sz="4" w:space="0" w:color="000000"/>
            </w:tcBorders>
            <w:shd w:val="clear" w:color="auto" w:fill="auto"/>
          </w:tcPr>
          <w:p w:rsidR="00A02B75" w:rsidRDefault="009C0B27">
            <w:pPr>
              <w:spacing w:line="48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16%</w:t>
            </w:r>
          </w:p>
        </w:tc>
      </w:tr>
      <w:tr w:rsidR="00A02B75">
        <w:trPr>
          <w:trHeight w:val="20"/>
        </w:trPr>
        <w:tc>
          <w:tcPr>
            <w:tcW w:w="2299" w:type="dxa"/>
            <w:vMerge/>
            <w:tcBorders>
              <w:top w:val="single" w:sz="4" w:space="0" w:color="000000"/>
              <w:left w:val="nil"/>
              <w:right w:val="nil"/>
            </w:tcBorders>
            <w:shd w:val="clear" w:color="auto" w:fill="auto"/>
            <w:vAlign w:val="center"/>
          </w:tcPr>
          <w:p w:rsidR="00A02B75" w:rsidRDefault="00A02B75">
            <w:pPr>
              <w:spacing w:line="480" w:lineRule="auto"/>
              <w:rPr>
                <w:rFonts w:ascii="Times New Roman" w:eastAsia="Times New Roman" w:hAnsi="Times New Roman" w:cs="Times New Roman"/>
                <w:sz w:val="22"/>
                <w:szCs w:val="22"/>
              </w:rPr>
            </w:pPr>
          </w:p>
        </w:tc>
        <w:tc>
          <w:tcPr>
            <w:tcW w:w="4831" w:type="dxa"/>
            <w:gridSpan w:val="2"/>
            <w:tcBorders>
              <w:left w:val="nil"/>
            </w:tcBorders>
            <w:shd w:val="clear" w:color="auto" w:fill="auto"/>
          </w:tcPr>
          <w:p w:rsidR="00A02B75" w:rsidRDefault="009C0B27">
            <w:pPr>
              <w:spacing w:line="48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30 - 39</w:t>
            </w:r>
          </w:p>
        </w:tc>
        <w:tc>
          <w:tcPr>
            <w:tcW w:w="987" w:type="dxa"/>
            <w:shd w:val="clear" w:color="auto" w:fill="auto"/>
          </w:tcPr>
          <w:p w:rsidR="00A02B75" w:rsidRDefault="009C0B27">
            <w:pPr>
              <w:spacing w:line="48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402</w:t>
            </w:r>
          </w:p>
        </w:tc>
        <w:tc>
          <w:tcPr>
            <w:tcW w:w="991" w:type="dxa"/>
            <w:tcBorders>
              <w:right w:val="single" w:sz="4" w:space="0" w:color="000000"/>
            </w:tcBorders>
            <w:shd w:val="clear" w:color="auto" w:fill="auto"/>
          </w:tcPr>
          <w:p w:rsidR="00A02B75" w:rsidRDefault="009C0B27">
            <w:pPr>
              <w:spacing w:line="48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45%</w:t>
            </w:r>
          </w:p>
        </w:tc>
      </w:tr>
      <w:tr w:rsidR="00A02B75">
        <w:trPr>
          <w:trHeight w:val="20"/>
        </w:trPr>
        <w:tc>
          <w:tcPr>
            <w:tcW w:w="2299" w:type="dxa"/>
            <w:vMerge/>
            <w:tcBorders>
              <w:top w:val="single" w:sz="4" w:space="0" w:color="000000"/>
              <w:left w:val="nil"/>
              <w:right w:val="nil"/>
            </w:tcBorders>
            <w:shd w:val="clear" w:color="auto" w:fill="auto"/>
            <w:vAlign w:val="center"/>
          </w:tcPr>
          <w:p w:rsidR="00A02B75" w:rsidRDefault="00A02B75">
            <w:pPr>
              <w:spacing w:line="480" w:lineRule="auto"/>
              <w:rPr>
                <w:rFonts w:ascii="Times New Roman" w:eastAsia="Times New Roman" w:hAnsi="Times New Roman" w:cs="Times New Roman"/>
                <w:sz w:val="22"/>
                <w:szCs w:val="22"/>
              </w:rPr>
            </w:pPr>
          </w:p>
        </w:tc>
        <w:tc>
          <w:tcPr>
            <w:tcW w:w="4831" w:type="dxa"/>
            <w:gridSpan w:val="2"/>
            <w:tcBorders>
              <w:left w:val="nil"/>
            </w:tcBorders>
            <w:shd w:val="clear" w:color="auto" w:fill="auto"/>
          </w:tcPr>
          <w:p w:rsidR="00A02B75" w:rsidRDefault="009C0B27">
            <w:pPr>
              <w:spacing w:line="48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40 - 49</w:t>
            </w:r>
          </w:p>
        </w:tc>
        <w:tc>
          <w:tcPr>
            <w:tcW w:w="987" w:type="dxa"/>
            <w:shd w:val="clear" w:color="auto" w:fill="auto"/>
          </w:tcPr>
          <w:p w:rsidR="00A02B75" w:rsidRDefault="009C0B27">
            <w:pPr>
              <w:spacing w:line="48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234</w:t>
            </w:r>
          </w:p>
        </w:tc>
        <w:tc>
          <w:tcPr>
            <w:tcW w:w="991" w:type="dxa"/>
            <w:tcBorders>
              <w:right w:val="single" w:sz="4" w:space="0" w:color="000000"/>
            </w:tcBorders>
            <w:shd w:val="clear" w:color="auto" w:fill="auto"/>
          </w:tcPr>
          <w:p w:rsidR="00A02B75" w:rsidRDefault="009C0B27">
            <w:pPr>
              <w:spacing w:line="48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26%</w:t>
            </w:r>
          </w:p>
        </w:tc>
      </w:tr>
      <w:tr w:rsidR="00A02B75">
        <w:trPr>
          <w:trHeight w:val="20"/>
        </w:trPr>
        <w:tc>
          <w:tcPr>
            <w:tcW w:w="2299" w:type="dxa"/>
            <w:vMerge/>
            <w:tcBorders>
              <w:top w:val="single" w:sz="4" w:space="0" w:color="000000"/>
              <w:left w:val="nil"/>
              <w:right w:val="nil"/>
            </w:tcBorders>
            <w:shd w:val="clear" w:color="auto" w:fill="auto"/>
            <w:vAlign w:val="center"/>
          </w:tcPr>
          <w:p w:rsidR="00A02B75" w:rsidRDefault="00A02B75">
            <w:pPr>
              <w:spacing w:line="480" w:lineRule="auto"/>
              <w:rPr>
                <w:rFonts w:ascii="Times New Roman" w:eastAsia="Times New Roman" w:hAnsi="Times New Roman" w:cs="Times New Roman"/>
                <w:sz w:val="22"/>
                <w:szCs w:val="22"/>
              </w:rPr>
            </w:pPr>
          </w:p>
        </w:tc>
        <w:tc>
          <w:tcPr>
            <w:tcW w:w="4831" w:type="dxa"/>
            <w:gridSpan w:val="2"/>
            <w:tcBorders>
              <w:left w:val="nil"/>
              <w:bottom w:val="nil"/>
            </w:tcBorders>
            <w:shd w:val="clear" w:color="auto" w:fill="auto"/>
          </w:tcPr>
          <w:p w:rsidR="00A02B75" w:rsidRDefault="009C0B27">
            <w:pPr>
              <w:spacing w:line="48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50 and over</w:t>
            </w:r>
          </w:p>
        </w:tc>
        <w:tc>
          <w:tcPr>
            <w:tcW w:w="987" w:type="dxa"/>
            <w:tcBorders>
              <w:bottom w:val="nil"/>
            </w:tcBorders>
            <w:shd w:val="clear" w:color="auto" w:fill="auto"/>
          </w:tcPr>
          <w:p w:rsidR="00A02B75" w:rsidRDefault="009C0B27">
            <w:pPr>
              <w:spacing w:line="48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106</w:t>
            </w:r>
          </w:p>
        </w:tc>
        <w:tc>
          <w:tcPr>
            <w:tcW w:w="991" w:type="dxa"/>
            <w:tcBorders>
              <w:bottom w:val="nil"/>
              <w:right w:val="single" w:sz="4" w:space="0" w:color="000000"/>
            </w:tcBorders>
            <w:shd w:val="clear" w:color="auto" w:fill="auto"/>
          </w:tcPr>
          <w:p w:rsidR="00A02B75" w:rsidRDefault="009C0B27">
            <w:pPr>
              <w:spacing w:line="48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12%</w:t>
            </w:r>
          </w:p>
        </w:tc>
      </w:tr>
      <w:tr w:rsidR="00A02B75">
        <w:trPr>
          <w:trHeight w:val="20"/>
        </w:trPr>
        <w:tc>
          <w:tcPr>
            <w:tcW w:w="2299" w:type="dxa"/>
            <w:tcBorders>
              <w:top w:val="single" w:sz="4" w:space="0" w:color="000000"/>
              <w:left w:val="nil"/>
              <w:bottom w:val="nil"/>
              <w:right w:val="nil"/>
            </w:tcBorders>
            <w:shd w:val="clear" w:color="auto" w:fill="auto"/>
            <w:vAlign w:val="center"/>
          </w:tcPr>
          <w:p w:rsidR="00A02B75" w:rsidRDefault="009C0B27">
            <w:pPr>
              <w:spacing w:line="48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Years in UK</w:t>
            </w:r>
          </w:p>
        </w:tc>
        <w:tc>
          <w:tcPr>
            <w:tcW w:w="4326" w:type="dxa"/>
            <w:tcBorders>
              <w:top w:val="single" w:sz="4" w:space="0" w:color="000000"/>
              <w:left w:val="nil"/>
              <w:bottom w:val="nil"/>
              <w:right w:val="nil"/>
            </w:tcBorders>
            <w:shd w:val="clear" w:color="auto" w:fill="auto"/>
            <w:vAlign w:val="center"/>
          </w:tcPr>
          <w:p w:rsidR="00A02B75" w:rsidRDefault="009C0B27">
            <w:pPr>
              <w:spacing w:line="48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Mean (min–max; SD)</w:t>
            </w:r>
          </w:p>
        </w:tc>
        <w:tc>
          <w:tcPr>
            <w:tcW w:w="2483" w:type="dxa"/>
            <w:gridSpan w:val="3"/>
            <w:tcBorders>
              <w:top w:val="single" w:sz="4" w:space="0" w:color="000000"/>
              <w:left w:val="nil"/>
              <w:bottom w:val="nil"/>
              <w:right w:val="single" w:sz="4" w:space="0" w:color="000000"/>
            </w:tcBorders>
            <w:shd w:val="clear" w:color="auto" w:fill="auto"/>
            <w:vAlign w:val="center"/>
          </w:tcPr>
          <w:p w:rsidR="00A02B75" w:rsidRDefault="009C0B27">
            <w:pPr>
              <w:spacing w:line="480" w:lineRule="auto"/>
              <w:ind w:right="-289"/>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7y2m</w:t>
            </w:r>
          </w:p>
          <w:p w:rsidR="00A02B75" w:rsidRDefault="009C0B27">
            <w:pPr>
              <w:spacing w:line="480" w:lineRule="auto"/>
              <w:ind w:right="-289"/>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(1m–18y3m; 3y4m)</w:t>
            </w:r>
          </w:p>
        </w:tc>
      </w:tr>
      <w:tr w:rsidR="00A02B75">
        <w:trPr>
          <w:trHeight w:val="20"/>
        </w:trPr>
        <w:tc>
          <w:tcPr>
            <w:tcW w:w="2299" w:type="dxa"/>
            <w:vMerge w:val="restart"/>
            <w:tcBorders>
              <w:top w:val="single" w:sz="4" w:space="0" w:color="000000"/>
              <w:left w:val="nil"/>
              <w:bottom w:val="nil"/>
              <w:right w:val="nil"/>
            </w:tcBorders>
            <w:shd w:val="clear" w:color="auto" w:fill="auto"/>
            <w:vAlign w:val="center"/>
          </w:tcPr>
          <w:p w:rsidR="00A02B75" w:rsidRDefault="009C0B27">
            <w:pPr>
              <w:spacing w:line="48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Years in UK (groups)</w:t>
            </w:r>
          </w:p>
        </w:tc>
        <w:tc>
          <w:tcPr>
            <w:tcW w:w="4831" w:type="dxa"/>
            <w:gridSpan w:val="2"/>
            <w:tcBorders>
              <w:top w:val="single" w:sz="4" w:space="0" w:color="000000"/>
              <w:left w:val="nil"/>
              <w:bottom w:val="nil"/>
              <w:right w:val="nil"/>
            </w:tcBorders>
            <w:shd w:val="clear" w:color="auto" w:fill="auto"/>
            <w:vAlign w:val="center"/>
          </w:tcPr>
          <w:p w:rsidR="00A02B75" w:rsidRDefault="009C0B27">
            <w:pPr>
              <w:spacing w:line="48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Less than 5</w:t>
            </w:r>
          </w:p>
        </w:tc>
        <w:tc>
          <w:tcPr>
            <w:tcW w:w="987" w:type="dxa"/>
            <w:tcBorders>
              <w:top w:val="single" w:sz="4" w:space="0" w:color="000000"/>
              <w:left w:val="nil"/>
              <w:bottom w:val="nil"/>
              <w:right w:val="nil"/>
            </w:tcBorders>
            <w:shd w:val="clear" w:color="auto" w:fill="auto"/>
            <w:vAlign w:val="center"/>
          </w:tcPr>
          <w:p w:rsidR="00A02B75" w:rsidRDefault="009C0B27">
            <w:pPr>
              <w:spacing w:line="48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267</w:t>
            </w:r>
          </w:p>
        </w:tc>
        <w:tc>
          <w:tcPr>
            <w:tcW w:w="991" w:type="dxa"/>
            <w:tcBorders>
              <w:top w:val="single" w:sz="4" w:space="0" w:color="000000"/>
              <w:left w:val="nil"/>
              <w:bottom w:val="nil"/>
              <w:right w:val="single" w:sz="4" w:space="0" w:color="000000"/>
            </w:tcBorders>
            <w:shd w:val="clear" w:color="auto" w:fill="auto"/>
            <w:vAlign w:val="center"/>
          </w:tcPr>
          <w:p w:rsidR="00A02B75" w:rsidRDefault="009C0B27">
            <w:pPr>
              <w:spacing w:line="48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30%</w:t>
            </w:r>
          </w:p>
        </w:tc>
      </w:tr>
      <w:tr w:rsidR="00A02B75">
        <w:trPr>
          <w:trHeight w:val="20"/>
        </w:trPr>
        <w:tc>
          <w:tcPr>
            <w:tcW w:w="2299" w:type="dxa"/>
            <w:vMerge/>
            <w:tcBorders>
              <w:top w:val="single" w:sz="4" w:space="0" w:color="000000"/>
              <w:left w:val="nil"/>
              <w:bottom w:val="nil"/>
              <w:right w:val="nil"/>
            </w:tcBorders>
            <w:shd w:val="clear" w:color="auto" w:fill="auto"/>
            <w:vAlign w:val="center"/>
          </w:tcPr>
          <w:p w:rsidR="00A02B75" w:rsidRDefault="00A02B75">
            <w:pPr>
              <w:spacing w:line="480" w:lineRule="auto"/>
              <w:rPr>
                <w:rFonts w:ascii="Times New Roman" w:eastAsia="Times New Roman" w:hAnsi="Times New Roman" w:cs="Times New Roman"/>
                <w:sz w:val="22"/>
                <w:szCs w:val="22"/>
              </w:rPr>
            </w:pPr>
          </w:p>
        </w:tc>
        <w:tc>
          <w:tcPr>
            <w:tcW w:w="4831" w:type="dxa"/>
            <w:gridSpan w:val="2"/>
            <w:tcBorders>
              <w:top w:val="nil"/>
              <w:left w:val="nil"/>
              <w:bottom w:val="nil"/>
              <w:right w:val="nil"/>
            </w:tcBorders>
            <w:shd w:val="clear" w:color="auto" w:fill="auto"/>
            <w:vAlign w:val="center"/>
          </w:tcPr>
          <w:p w:rsidR="00A02B75" w:rsidRDefault="009C0B27">
            <w:pPr>
              <w:spacing w:line="48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5 - 10</w:t>
            </w:r>
          </w:p>
        </w:tc>
        <w:tc>
          <w:tcPr>
            <w:tcW w:w="987" w:type="dxa"/>
            <w:tcBorders>
              <w:top w:val="nil"/>
              <w:left w:val="nil"/>
              <w:bottom w:val="nil"/>
              <w:right w:val="nil"/>
            </w:tcBorders>
            <w:shd w:val="clear" w:color="auto" w:fill="auto"/>
            <w:vAlign w:val="center"/>
          </w:tcPr>
          <w:p w:rsidR="00A02B75" w:rsidRDefault="009C0B27">
            <w:pPr>
              <w:spacing w:line="48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417</w:t>
            </w:r>
          </w:p>
        </w:tc>
        <w:tc>
          <w:tcPr>
            <w:tcW w:w="991" w:type="dxa"/>
            <w:tcBorders>
              <w:top w:val="nil"/>
              <w:left w:val="nil"/>
              <w:bottom w:val="nil"/>
              <w:right w:val="single" w:sz="4" w:space="0" w:color="000000"/>
            </w:tcBorders>
            <w:shd w:val="clear" w:color="auto" w:fill="auto"/>
            <w:vAlign w:val="center"/>
          </w:tcPr>
          <w:p w:rsidR="00A02B75" w:rsidRDefault="009C0B27">
            <w:pPr>
              <w:spacing w:line="48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47%</w:t>
            </w:r>
          </w:p>
        </w:tc>
      </w:tr>
      <w:tr w:rsidR="00A02B75">
        <w:trPr>
          <w:trHeight w:val="20"/>
        </w:trPr>
        <w:tc>
          <w:tcPr>
            <w:tcW w:w="2299" w:type="dxa"/>
            <w:vMerge/>
            <w:tcBorders>
              <w:top w:val="single" w:sz="4" w:space="0" w:color="000000"/>
              <w:left w:val="nil"/>
              <w:bottom w:val="nil"/>
              <w:right w:val="nil"/>
            </w:tcBorders>
            <w:shd w:val="clear" w:color="auto" w:fill="auto"/>
            <w:vAlign w:val="center"/>
          </w:tcPr>
          <w:p w:rsidR="00A02B75" w:rsidRDefault="00A02B75">
            <w:pPr>
              <w:spacing w:line="480" w:lineRule="auto"/>
              <w:rPr>
                <w:rFonts w:ascii="Times New Roman" w:eastAsia="Times New Roman" w:hAnsi="Times New Roman" w:cs="Times New Roman"/>
                <w:sz w:val="22"/>
                <w:szCs w:val="22"/>
              </w:rPr>
            </w:pPr>
          </w:p>
        </w:tc>
        <w:tc>
          <w:tcPr>
            <w:tcW w:w="4831" w:type="dxa"/>
            <w:gridSpan w:val="2"/>
            <w:tcBorders>
              <w:top w:val="nil"/>
              <w:left w:val="nil"/>
              <w:bottom w:val="single" w:sz="4" w:space="0" w:color="000000"/>
              <w:right w:val="nil"/>
            </w:tcBorders>
            <w:shd w:val="clear" w:color="auto" w:fill="auto"/>
            <w:vAlign w:val="center"/>
          </w:tcPr>
          <w:p w:rsidR="00A02B75" w:rsidRDefault="009C0B27">
            <w:pPr>
              <w:spacing w:line="48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More than 10</w:t>
            </w:r>
          </w:p>
        </w:tc>
        <w:tc>
          <w:tcPr>
            <w:tcW w:w="987" w:type="dxa"/>
            <w:tcBorders>
              <w:top w:val="nil"/>
              <w:left w:val="nil"/>
              <w:bottom w:val="single" w:sz="4" w:space="0" w:color="000000"/>
              <w:right w:val="nil"/>
            </w:tcBorders>
            <w:shd w:val="clear" w:color="auto" w:fill="auto"/>
            <w:vAlign w:val="center"/>
          </w:tcPr>
          <w:p w:rsidR="00A02B75" w:rsidRDefault="009C0B27">
            <w:pPr>
              <w:spacing w:line="48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203</w:t>
            </w:r>
          </w:p>
        </w:tc>
        <w:tc>
          <w:tcPr>
            <w:tcW w:w="991" w:type="dxa"/>
            <w:tcBorders>
              <w:top w:val="nil"/>
              <w:left w:val="nil"/>
              <w:bottom w:val="single" w:sz="4" w:space="0" w:color="000000"/>
              <w:right w:val="single" w:sz="4" w:space="0" w:color="000000"/>
            </w:tcBorders>
            <w:shd w:val="clear" w:color="auto" w:fill="auto"/>
            <w:vAlign w:val="center"/>
          </w:tcPr>
          <w:p w:rsidR="00A02B75" w:rsidRDefault="009C0B27">
            <w:pPr>
              <w:spacing w:line="48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23%</w:t>
            </w:r>
          </w:p>
        </w:tc>
      </w:tr>
      <w:tr w:rsidR="00A02B75">
        <w:trPr>
          <w:trHeight w:val="20"/>
        </w:trPr>
        <w:tc>
          <w:tcPr>
            <w:tcW w:w="2299" w:type="dxa"/>
            <w:vMerge w:val="restart"/>
            <w:tcBorders>
              <w:top w:val="single" w:sz="4" w:space="0" w:color="000000"/>
              <w:left w:val="nil"/>
              <w:bottom w:val="nil"/>
              <w:right w:val="nil"/>
            </w:tcBorders>
            <w:shd w:val="clear" w:color="auto" w:fill="auto"/>
            <w:vAlign w:val="center"/>
          </w:tcPr>
          <w:p w:rsidR="00A02B75" w:rsidRDefault="009C0B27">
            <w:pPr>
              <w:spacing w:line="48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UK Country</w:t>
            </w:r>
          </w:p>
        </w:tc>
        <w:tc>
          <w:tcPr>
            <w:tcW w:w="4831" w:type="dxa"/>
            <w:gridSpan w:val="2"/>
            <w:tcBorders>
              <w:top w:val="single" w:sz="4" w:space="0" w:color="000000"/>
              <w:left w:val="nil"/>
              <w:bottom w:val="nil"/>
              <w:right w:val="nil"/>
            </w:tcBorders>
            <w:shd w:val="clear" w:color="auto" w:fill="auto"/>
            <w:vAlign w:val="center"/>
          </w:tcPr>
          <w:p w:rsidR="00A02B75" w:rsidRDefault="009C0B27">
            <w:pPr>
              <w:spacing w:line="48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England</w:t>
            </w:r>
          </w:p>
        </w:tc>
        <w:tc>
          <w:tcPr>
            <w:tcW w:w="987" w:type="dxa"/>
            <w:tcBorders>
              <w:top w:val="single" w:sz="4" w:space="0" w:color="000000"/>
              <w:left w:val="nil"/>
              <w:bottom w:val="nil"/>
              <w:right w:val="nil"/>
            </w:tcBorders>
            <w:shd w:val="clear" w:color="auto" w:fill="auto"/>
            <w:vAlign w:val="center"/>
          </w:tcPr>
          <w:p w:rsidR="00A02B75" w:rsidRDefault="009C0B27">
            <w:pPr>
              <w:spacing w:line="48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715</w:t>
            </w:r>
          </w:p>
        </w:tc>
        <w:tc>
          <w:tcPr>
            <w:tcW w:w="991" w:type="dxa"/>
            <w:tcBorders>
              <w:top w:val="single" w:sz="4" w:space="0" w:color="000000"/>
              <w:left w:val="nil"/>
              <w:bottom w:val="nil"/>
              <w:right w:val="single" w:sz="4" w:space="0" w:color="000000"/>
            </w:tcBorders>
            <w:shd w:val="clear" w:color="auto" w:fill="auto"/>
            <w:vAlign w:val="center"/>
          </w:tcPr>
          <w:p w:rsidR="00A02B75" w:rsidRDefault="009C0B27">
            <w:pPr>
              <w:spacing w:line="48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80%</w:t>
            </w:r>
          </w:p>
        </w:tc>
      </w:tr>
      <w:tr w:rsidR="00A02B75">
        <w:trPr>
          <w:trHeight w:val="20"/>
        </w:trPr>
        <w:tc>
          <w:tcPr>
            <w:tcW w:w="2299" w:type="dxa"/>
            <w:vMerge/>
            <w:tcBorders>
              <w:top w:val="single" w:sz="4" w:space="0" w:color="000000"/>
              <w:left w:val="nil"/>
              <w:bottom w:val="nil"/>
              <w:right w:val="nil"/>
            </w:tcBorders>
            <w:shd w:val="clear" w:color="auto" w:fill="auto"/>
            <w:vAlign w:val="center"/>
          </w:tcPr>
          <w:p w:rsidR="00A02B75" w:rsidRDefault="00A02B75">
            <w:pPr>
              <w:spacing w:line="480" w:lineRule="auto"/>
              <w:rPr>
                <w:rFonts w:ascii="Times New Roman" w:eastAsia="Times New Roman" w:hAnsi="Times New Roman" w:cs="Times New Roman"/>
                <w:sz w:val="22"/>
                <w:szCs w:val="22"/>
              </w:rPr>
            </w:pPr>
          </w:p>
        </w:tc>
        <w:tc>
          <w:tcPr>
            <w:tcW w:w="4831" w:type="dxa"/>
            <w:gridSpan w:val="2"/>
            <w:tcBorders>
              <w:top w:val="nil"/>
              <w:left w:val="nil"/>
              <w:bottom w:val="nil"/>
              <w:right w:val="nil"/>
            </w:tcBorders>
            <w:shd w:val="clear" w:color="auto" w:fill="auto"/>
            <w:vAlign w:val="center"/>
          </w:tcPr>
          <w:p w:rsidR="00A02B75" w:rsidRDefault="009C0B27">
            <w:pPr>
              <w:spacing w:line="48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Wales</w:t>
            </w:r>
          </w:p>
        </w:tc>
        <w:tc>
          <w:tcPr>
            <w:tcW w:w="987" w:type="dxa"/>
            <w:tcBorders>
              <w:top w:val="nil"/>
              <w:left w:val="nil"/>
              <w:bottom w:val="nil"/>
              <w:right w:val="nil"/>
            </w:tcBorders>
            <w:shd w:val="clear" w:color="auto" w:fill="auto"/>
            <w:vAlign w:val="center"/>
          </w:tcPr>
          <w:p w:rsidR="00A02B75" w:rsidRDefault="009C0B27">
            <w:pPr>
              <w:spacing w:line="48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36</w:t>
            </w:r>
          </w:p>
        </w:tc>
        <w:tc>
          <w:tcPr>
            <w:tcW w:w="991" w:type="dxa"/>
            <w:tcBorders>
              <w:top w:val="nil"/>
              <w:left w:val="nil"/>
              <w:bottom w:val="nil"/>
              <w:right w:val="single" w:sz="4" w:space="0" w:color="000000"/>
            </w:tcBorders>
            <w:shd w:val="clear" w:color="auto" w:fill="auto"/>
            <w:vAlign w:val="center"/>
          </w:tcPr>
          <w:p w:rsidR="00A02B75" w:rsidRDefault="009C0B27">
            <w:pPr>
              <w:spacing w:line="48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4%</w:t>
            </w:r>
          </w:p>
        </w:tc>
      </w:tr>
      <w:tr w:rsidR="00A02B75">
        <w:trPr>
          <w:trHeight w:val="20"/>
        </w:trPr>
        <w:tc>
          <w:tcPr>
            <w:tcW w:w="2299" w:type="dxa"/>
            <w:vMerge/>
            <w:tcBorders>
              <w:top w:val="single" w:sz="4" w:space="0" w:color="000000"/>
              <w:left w:val="nil"/>
              <w:bottom w:val="nil"/>
              <w:right w:val="nil"/>
            </w:tcBorders>
            <w:shd w:val="clear" w:color="auto" w:fill="auto"/>
            <w:vAlign w:val="center"/>
          </w:tcPr>
          <w:p w:rsidR="00A02B75" w:rsidRDefault="00A02B75">
            <w:pPr>
              <w:spacing w:line="480" w:lineRule="auto"/>
              <w:rPr>
                <w:rFonts w:ascii="Times New Roman" w:eastAsia="Times New Roman" w:hAnsi="Times New Roman" w:cs="Times New Roman"/>
                <w:sz w:val="22"/>
                <w:szCs w:val="22"/>
              </w:rPr>
            </w:pPr>
          </w:p>
        </w:tc>
        <w:tc>
          <w:tcPr>
            <w:tcW w:w="4831" w:type="dxa"/>
            <w:gridSpan w:val="2"/>
            <w:tcBorders>
              <w:top w:val="nil"/>
              <w:left w:val="nil"/>
              <w:bottom w:val="nil"/>
              <w:right w:val="nil"/>
            </w:tcBorders>
            <w:shd w:val="clear" w:color="auto" w:fill="auto"/>
            <w:vAlign w:val="center"/>
          </w:tcPr>
          <w:p w:rsidR="00A02B75" w:rsidRDefault="009C0B27">
            <w:pPr>
              <w:spacing w:line="48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Scotland</w:t>
            </w:r>
          </w:p>
        </w:tc>
        <w:tc>
          <w:tcPr>
            <w:tcW w:w="987" w:type="dxa"/>
            <w:tcBorders>
              <w:top w:val="nil"/>
              <w:left w:val="nil"/>
              <w:bottom w:val="nil"/>
              <w:right w:val="nil"/>
            </w:tcBorders>
            <w:shd w:val="clear" w:color="auto" w:fill="auto"/>
            <w:vAlign w:val="center"/>
          </w:tcPr>
          <w:p w:rsidR="00A02B75" w:rsidRDefault="009C0B27">
            <w:pPr>
              <w:spacing w:line="48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122</w:t>
            </w:r>
          </w:p>
        </w:tc>
        <w:tc>
          <w:tcPr>
            <w:tcW w:w="991" w:type="dxa"/>
            <w:tcBorders>
              <w:top w:val="nil"/>
              <w:left w:val="nil"/>
              <w:bottom w:val="nil"/>
              <w:right w:val="single" w:sz="4" w:space="0" w:color="000000"/>
            </w:tcBorders>
            <w:shd w:val="clear" w:color="auto" w:fill="auto"/>
            <w:vAlign w:val="center"/>
          </w:tcPr>
          <w:p w:rsidR="00A02B75" w:rsidRDefault="009C0B27">
            <w:pPr>
              <w:spacing w:line="48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14%</w:t>
            </w:r>
          </w:p>
        </w:tc>
      </w:tr>
      <w:tr w:rsidR="00A02B75">
        <w:trPr>
          <w:trHeight w:val="20"/>
        </w:trPr>
        <w:tc>
          <w:tcPr>
            <w:tcW w:w="2299" w:type="dxa"/>
            <w:vMerge/>
            <w:tcBorders>
              <w:top w:val="single" w:sz="4" w:space="0" w:color="000000"/>
              <w:left w:val="nil"/>
              <w:bottom w:val="nil"/>
              <w:right w:val="nil"/>
            </w:tcBorders>
            <w:shd w:val="clear" w:color="auto" w:fill="auto"/>
            <w:vAlign w:val="center"/>
          </w:tcPr>
          <w:p w:rsidR="00A02B75" w:rsidRDefault="00A02B75">
            <w:pPr>
              <w:spacing w:line="480" w:lineRule="auto"/>
              <w:rPr>
                <w:rFonts w:ascii="Times New Roman" w:eastAsia="Times New Roman" w:hAnsi="Times New Roman" w:cs="Times New Roman"/>
                <w:sz w:val="22"/>
                <w:szCs w:val="22"/>
              </w:rPr>
            </w:pPr>
          </w:p>
        </w:tc>
        <w:tc>
          <w:tcPr>
            <w:tcW w:w="4831" w:type="dxa"/>
            <w:gridSpan w:val="2"/>
            <w:tcBorders>
              <w:top w:val="nil"/>
              <w:left w:val="nil"/>
              <w:bottom w:val="single" w:sz="4" w:space="0" w:color="000000"/>
              <w:right w:val="nil"/>
            </w:tcBorders>
            <w:shd w:val="clear" w:color="auto" w:fill="auto"/>
            <w:vAlign w:val="center"/>
          </w:tcPr>
          <w:p w:rsidR="00A02B75" w:rsidRDefault="009C0B27">
            <w:pPr>
              <w:spacing w:line="48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Northern Ireland</w:t>
            </w:r>
          </w:p>
        </w:tc>
        <w:tc>
          <w:tcPr>
            <w:tcW w:w="987" w:type="dxa"/>
            <w:tcBorders>
              <w:top w:val="nil"/>
              <w:left w:val="nil"/>
              <w:bottom w:val="single" w:sz="4" w:space="0" w:color="000000"/>
              <w:right w:val="nil"/>
            </w:tcBorders>
            <w:shd w:val="clear" w:color="auto" w:fill="auto"/>
            <w:vAlign w:val="center"/>
          </w:tcPr>
          <w:p w:rsidR="00A02B75" w:rsidRDefault="009C0B27">
            <w:pPr>
              <w:spacing w:line="48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18</w:t>
            </w:r>
          </w:p>
        </w:tc>
        <w:tc>
          <w:tcPr>
            <w:tcW w:w="991" w:type="dxa"/>
            <w:tcBorders>
              <w:top w:val="nil"/>
              <w:left w:val="nil"/>
              <w:bottom w:val="single" w:sz="4" w:space="0" w:color="000000"/>
              <w:right w:val="single" w:sz="4" w:space="0" w:color="000000"/>
            </w:tcBorders>
            <w:shd w:val="clear" w:color="auto" w:fill="auto"/>
            <w:vAlign w:val="center"/>
          </w:tcPr>
          <w:p w:rsidR="00A02B75" w:rsidRDefault="009C0B27">
            <w:pPr>
              <w:spacing w:line="48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2%</w:t>
            </w:r>
          </w:p>
        </w:tc>
      </w:tr>
      <w:tr w:rsidR="00A02B75">
        <w:trPr>
          <w:trHeight w:val="20"/>
        </w:trPr>
        <w:tc>
          <w:tcPr>
            <w:tcW w:w="2299" w:type="dxa"/>
            <w:vMerge w:val="restart"/>
            <w:tcBorders>
              <w:top w:val="single" w:sz="4" w:space="0" w:color="000000"/>
              <w:left w:val="nil"/>
              <w:right w:val="nil"/>
            </w:tcBorders>
            <w:shd w:val="clear" w:color="auto" w:fill="auto"/>
            <w:vAlign w:val="center"/>
          </w:tcPr>
          <w:p w:rsidR="00A02B75" w:rsidRDefault="009C0B27">
            <w:pPr>
              <w:spacing w:line="48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Relationship status</w:t>
            </w:r>
          </w:p>
        </w:tc>
        <w:tc>
          <w:tcPr>
            <w:tcW w:w="4831" w:type="dxa"/>
            <w:gridSpan w:val="2"/>
            <w:tcBorders>
              <w:top w:val="single" w:sz="4" w:space="0" w:color="000000"/>
              <w:left w:val="nil"/>
            </w:tcBorders>
            <w:shd w:val="clear" w:color="auto" w:fill="auto"/>
            <w:vAlign w:val="center"/>
          </w:tcPr>
          <w:p w:rsidR="00A02B75" w:rsidRDefault="009C0B27">
            <w:pPr>
              <w:spacing w:line="48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Married or in civil partnership</w:t>
            </w:r>
          </w:p>
        </w:tc>
        <w:tc>
          <w:tcPr>
            <w:tcW w:w="987" w:type="dxa"/>
            <w:tcBorders>
              <w:top w:val="single" w:sz="4" w:space="0" w:color="000000"/>
            </w:tcBorders>
            <w:shd w:val="clear" w:color="auto" w:fill="auto"/>
            <w:vAlign w:val="center"/>
          </w:tcPr>
          <w:p w:rsidR="00A02B75" w:rsidRDefault="009C0B27">
            <w:pPr>
              <w:spacing w:line="48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450</w:t>
            </w:r>
          </w:p>
        </w:tc>
        <w:tc>
          <w:tcPr>
            <w:tcW w:w="991" w:type="dxa"/>
            <w:tcBorders>
              <w:top w:val="single" w:sz="4" w:space="0" w:color="000000"/>
              <w:right w:val="single" w:sz="4" w:space="0" w:color="000000"/>
            </w:tcBorders>
            <w:shd w:val="clear" w:color="auto" w:fill="auto"/>
            <w:vAlign w:val="center"/>
          </w:tcPr>
          <w:p w:rsidR="00A02B75" w:rsidRDefault="009C0B27">
            <w:pPr>
              <w:spacing w:line="48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52%</w:t>
            </w:r>
          </w:p>
        </w:tc>
      </w:tr>
      <w:tr w:rsidR="00A02B75">
        <w:trPr>
          <w:trHeight w:val="20"/>
        </w:trPr>
        <w:tc>
          <w:tcPr>
            <w:tcW w:w="2299" w:type="dxa"/>
            <w:vMerge/>
            <w:tcBorders>
              <w:top w:val="single" w:sz="4" w:space="0" w:color="000000"/>
              <w:left w:val="nil"/>
              <w:right w:val="nil"/>
            </w:tcBorders>
            <w:shd w:val="clear" w:color="auto" w:fill="auto"/>
            <w:vAlign w:val="center"/>
          </w:tcPr>
          <w:p w:rsidR="00A02B75" w:rsidRDefault="00A02B75">
            <w:pPr>
              <w:spacing w:line="480" w:lineRule="auto"/>
              <w:rPr>
                <w:rFonts w:ascii="Times New Roman" w:eastAsia="Times New Roman" w:hAnsi="Times New Roman" w:cs="Times New Roman"/>
                <w:sz w:val="22"/>
                <w:szCs w:val="22"/>
              </w:rPr>
            </w:pPr>
          </w:p>
        </w:tc>
        <w:tc>
          <w:tcPr>
            <w:tcW w:w="4831" w:type="dxa"/>
            <w:gridSpan w:val="2"/>
            <w:tcBorders>
              <w:left w:val="nil"/>
            </w:tcBorders>
            <w:shd w:val="clear" w:color="auto" w:fill="auto"/>
            <w:vAlign w:val="center"/>
          </w:tcPr>
          <w:p w:rsidR="00A02B75" w:rsidRDefault="009C0B27">
            <w:pPr>
              <w:spacing w:line="48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Not married (cohabiting / in long-term relationship)</w:t>
            </w:r>
          </w:p>
        </w:tc>
        <w:tc>
          <w:tcPr>
            <w:tcW w:w="987" w:type="dxa"/>
            <w:shd w:val="clear" w:color="auto" w:fill="auto"/>
            <w:vAlign w:val="center"/>
          </w:tcPr>
          <w:p w:rsidR="00A02B75" w:rsidRDefault="009C0B27">
            <w:pPr>
              <w:spacing w:line="48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140</w:t>
            </w:r>
          </w:p>
        </w:tc>
        <w:tc>
          <w:tcPr>
            <w:tcW w:w="991" w:type="dxa"/>
            <w:tcBorders>
              <w:right w:val="single" w:sz="4" w:space="0" w:color="000000"/>
            </w:tcBorders>
            <w:shd w:val="clear" w:color="auto" w:fill="auto"/>
            <w:vAlign w:val="center"/>
          </w:tcPr>
          <w:p w:rsidR="00A02B75" w:rsidRDefault="009C0B27">
            <w:pPr>
              <w:spacing w:line="48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16%</w:t>
            </w:r>
          </w:p>
        </w:tc>
      </w:tr>
      <w:tr w:rsidR="00A02B75">
        <w:trPr>
          <w:trHeight w:val="20"/>
        </w:trPr>
        <w:tc>
          <w:tcPr>
            <w:tcW w:w="2299" w:type="dxa"/>
            <w:vMerge/>
            <w:tcBorders>
              <w:top w:val="single" w:sz="4" w:space="0" w:color="000000"/>
              <w:left w:val="nil"/>
              <w:right w:val="nil"/>
            </w:tcBorders>
            <w:shd w:val="clear" w:color="auto" w:fill="auto"/>
            <w:vAlign w:val="center"/>
          </w:tcPr>
          <w:p w:rsidR="00A02B75" w:rsidRDefault="00A02B75">
            <w:pPr>
              <w:spacing w:line="480" w:lineRule="auto"/>
              <w:rPr>
                <w:rFonts w:ascii="Times New Roman" w:eastAsia="Times New Roman" w:hAnsi="Times New Roman" w:cs="Times New Roman"/>
                <w:sz w:val="22"/>
                <w:szCs w:val="22"/>
              </w:rPr>
            </w:pPr>
          </w:p>
        </w:tc>
        <w:tc>
          <w:tcPr>
            <w:tcW w:w="4831" w:type="dxa"/>
            <w:gridSpan w:val="2"/>
            <w:tcBorders>
              <w:left w:val="nil"/>
              <w:bottom w:val="single" w:sz="4" w:space="0" w:color="000000"/>
            </w:tcBorders>
            <w:shd w:val="clear" w:color="auto" w:fill="auto"/>
            <w:vAlign w:val="center"/>
          </w:tcPr>
          <w:p w:rsidR="00A02B75" w:rsidRDefault="009C0B27">
            <w:pPr>
              <w:spacing w:line="48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Not married (single)</w:t>
            </w:r>
          </w:p>
        </w:tc>
        <w:tc>
          <w:tcPr>
            <w:tcW w:w="987" w:type="dxa"/>
            <w:tcBorders>
              <w:bottom w:val="single" w:sz="4" w:space="0" w:color="000000"/>
            </w:tcBorders>
            <w:shd w:val="clear" w:color="auto" w:fill="auto"/>
            <w:vAlign w:val="center"/>
          </w:tcPr>
          <w:p w:rsidR="00A02B75" w:rsidRDefault="009C0B27">
            <w:pPr>
              <w:spacing w:line="48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276</w:t>
            </w:r>
          </w:p>
        </w:tc>
        <w:tc>
          <w:tcPr>
            <w:tcW w:w="991" w:type="dxa"/>
            <w:tcBorders>
              <w:bottom w:val="single" w:sz="4" w:space="0" w:color="000000"/>
              <w:right w:val="single" w:sz="4" w:space="0" w:color="000000"/>
            </w:tcBorders>
            <w:shd w:val="clear" w:color="auto" w:fill="auto"/>
            <w:vAlign w:val="center"/>
          </w:tcPr>
          <w:p w:rsidR="00A02B75" w:rsidRDefault="009C0B27">
            <w:pPr>
              <w:spacing w:line="48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32%</w:t>
            </w:r>
          </w:p>
        </w:tc>
      </w:tr>
      <w:tr w:rsidR="00A02B75">
        <w:trPr>
          <w:trHeight w:val="20"/>
        </w:trPr>
        <w:tc>
          <w:tcPr>
            <w:tcW w:w="2299" w:type="dxa"/>
            <w:vMerge w:val="restart"/>
            <w:tcBorders>
              <w:top w:val="single" w:sz="4" w:space="0" w:color="000000"/>
              <w:left w:val="nil"/>
              <w:bottom w:val="nil"/>
              <w:right w:val="nil"/>
            </w:tcBorders>
            <w:shd w:val="clear" w:color="auto" w:fill="auto"/>
            <w:vAlign w:val="center"/>
          </w:tcPr>
          <w:p w:rsidR="00A02B75" w:rsidRDefault="009C0B27">
            <w:pPr>
              <w:spacing w:line="48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Economic activity status</w:t>
            </w:r>
          </w:p>
        </w:tc>
        <w:tc>
          <w:tcPr>
            <w:tcW w:w="4831" w:type="dxa"/>
            <w:gridSpan w:val="2"/>
            <w:tcBorders>
              <w:top w:val="single" w:sz="4" w:space="0" w:color="000000"/>
              <w:left w:val="nil"/>
              <w:bottom w:val="nil"/>
              <w:right w:val="nil"/>
            </w:tcBorders>
            <w:shd w:val="clear" w:color="auto" w:fill="auto"/>
            <w:vAlign w:val="center"/>
          </w:tcPr>
          <w:p w:rsidR="00A02B75" w:rsidRDefault="009C0B27">
            <w:pPr>
              <w:spacing w:line="48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Employed (full-time)</w:t>
            </w:r>
          </w:p>
        </w:tc>
        <w:tc>
          <w:tcPr>
            <w:tcW w:w="987" w:type="dxa"/>
            <w:tcBorders>
              <w:top w:val="single" w:sz="4" w:space="0" w:color="000000"/>
              <w:left w:val="nil"/>
              <w:bottom w:val="nil"/>
              <w:right w:val="nil"/>
            </w:tcBorders>
            <w:shd w:val="clear" w:color="auto" w:fill="auto"/>
            <w:vAlign w:val="center"/>
          </w:tcPr>
          <w:p w:rsidR="00A02B75" w:rsidRDefault="009C0B27">
            <w:pPr>
              <w:spacing w:line="48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512</w:t>
            </w:r>
          </w:p>
        </w:tc>
        <w:tc>
          <w:tcPr>
            <w:tcW w:w="991" w:type="dxa"/>
            <w:tcBorders>
              <w:top w:val="single" w:sz="4" w:space="0" w:color="000000"/>
              <w:left w:val="nil"/>
              <w:bottom w:val="nil"/>
              <w:right w:val="single" w:sz="4" w:space="0" w:color="000000"/>
            </w:tcBorders>
            <w:shd w:val="clear" w:color="auto" w:fill="auto"/>
            <w:vAlign w:val="center"/>
          </w:tcPr>
          <w:p w:rsidR="00A02B75" w:rsidRDefault="009C0B27">
            <w:pPr>
              <w:spacing w:line="48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61%</w:t>
            </w:r>
          </w:p>
        </w:tc>
      </w:tr>
      <w:tr w:rsidR="00A02B75">
        <w:trPr>
          <w:trHeight w:val="20"/>
        </w:trPr>
        <w:tc>
          <w:tcPr>
            <w:tcW w:w="2299" w:type="dxa"/>
            <w:vMerge/>
            <w:tcBorders>
              <w:top w:val="single" w:sz="4" w:space="0" w:color="000000"/>
              <w:left w:val="nil"/>
              <w:bottom w:val="nil"/>
              <w:right w:val="nil"/>
            </w:tcBorders>
            <w:shd w:val="clear" w:color="auto" w:fill="auto"/>
            <w:vAlign w:val="center"/>
          </w:tcPr>
          <w:p w:rsidR="00A02B75" w:rsidRDefault="00A02B75">
            <w:pPr>
              <w:spacing w:line="480" w:lineRule="auto"/>
              <w:rPr>
                <w:rFonts w:ascii="Times New Roman" w:eastAsia="Times New Roman" w:hAnsi="Times New Roman" w:cs="Times New Roman"/>
                <w:sz w:val="22"/>
                <w:szCs w:val="22"/>
              </w:rPr>
            </w:pPr>
          </w:p>
        </w:tc>
        <w:tc>
          <w:tcPr>
            <w:tcW w:w="4831" w:type="dxa"/>
            <w:gridSpan w:val="2"/>
            <w:tcBorders>
              <w:top w:val="nil"/>
              <w:left w:val="nil"/>
              <w:bottom w:val="nil"/>
              <w:right w:val="nil"/>
            </w:tcBorders>
            <w:shd w:val="clear" w:color="auto" w:fill="auto"/>
            <w:vAlign w:val="center"/>
          </w:tcPr>
          <w:p w:rsidR="00A02B75" w:rsidRDefault="009C0B27">
            <w:pPr>
              <w:spacing w:line="48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Employed (part-time)</w:t>
            </w:r>
          </w:p>
        </w:tc>
        <w:tc>
          <w:tcPr>
            <w:tcW w:w="987" w:type="dxa"/>
            <w:tcBorders>
              <w:top w:val="nil"/>
              <w:left w:val="nil"/>
              <w:bottom w:val="nil"/>
              <w:right w:val="nil"/>
            </w:tcBorders>
            <w:shd w:val="clear" w:color="auto" w:fill="auto"/>
            <w:vAlign w:val="center"/>
          </w:tcPr>
          <w:p w:rsidR="00A02B75" w:rsidRDefault="009C0B27">
            <w:pPr>
              <w:spacing w:line="48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139</w:t>
            </w:r>
          </w:p>
        </w:tc>
        <w:tc>
          <w:tcPr>
            <w:tcW w:w="991" w:type="dxa"/>
            <w:tcBorders>
              <w:top w:val="nil"/>
              <w:left w:val="nil"/>
              <w:bottom w:val="nil"/>
              <w:right w:val="single" w:sz="4" w:space="0" w:color="000000"/>
            </w:tcBorders>
            <w:shd w:val="clear" w:color="auto" w:fill="auto"/>
            <w:vAlign w:val="center"/>
          </w:tcPr>
          <w:p w:rsidR="00A02B75" w:rsidRDefault="009C0B27">
            <w:pPr>
              <w:spacing w:line="48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17%</w:t>
            </w:r>
          </w:p>
        </w:tc>
      </w:tr>
      <w:tr w:rsidR="00A02B75">
        <w:trPr>
          <w:trHeight w:val="20"/>
        </w:trPr>
        <w:tc>
          <w:tcPr>
            <w:tcW w:w="2299" w:type="dxa"/>
            <w:vMerge/>
            <w:tcBorders>
              <w:top w:val="single" w:sz="4" w:space="0" w:color="000000"/>
              <w:left w:val="nil"/>
              <w:bottom w:val="nil"/>
              <w:right w:val="nil"/>
            </w:tcBorders>
            <w:shd w:val="clear" w:color="auto" w:fill="auto"/>
            <w:vAlign w:val="center"/>
          </w:tcPr>
          <w:p w:rsidR="00A02B75" w:rsidRDefault="00A02B75">
            <w:pPr>
              <w:spacing w:line="480" w:lineRule="auto"/>
              <w:rPr>
                <w:rFonts w:ascii="Times New Roman" w:eastAsia="Times New Roman" w:hAnsi="Times New Roman" w:cs="Times New Roman"/>
                <w:sz w:val="22"/>
                <w:szCs w:val="22"/>
              </w:rPr>
            </w:pPr>
          </w:p>
        </w:tc>
        <w:tc>
          <w:tcPr>
            <w:tcW w:w="4831" w:type="dxa"/>
            <w:gridSpan w:val="2"/>
            <w:tcBorders>
              <w:top w:val="nil"/>
              <w:left w:val="nil"/>
              <w:bottom w:val="nil"/>
              <w:right w:val="nil"/>
            </w:tcBorders>
            <w:shd w:val="clear" w:color="auto" w:fill="auto"/>
            <w:vAlign w:val="center"/>
          </w:tcPr>
          <w:p w:rsidR="00A02B75" w:rsidRDefault="009C0B27">
            <w:pPr>
              <w:spacing w:line="48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Self-employed</w:t>
            </w:r>
          </w:p>
        </w:tc>
        <w:tc>
          <w:tcPr>
            <w:tcW w:w="987" w:type="dxa"/>
            <w:tcBorders>
              <w:top w:val="nil"/>
              <w:left w:val="nil"/>
              <w:bottom w:val="nil"/>
              <w:right w:val="nil"/>
            </w:tcBorders>
            <w:shd w:val="clear" w:color="auto" w:fill="auto"/>
            <w:vAlign w:val="center"/>
          </w:tcPr>
          <w:p w:rsidR="00A02B75" w:rsidRDefault="009C0B27">
            <w:pPr>
              <w:spacing w:line="48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79</w:t>
            </w:r>
          </w:p>
        </w:tc>
        <w:tc>
          <w:tcPr>
            <w:tcW w:w="991" w:type="dxa"/>
            <w:tcBorders>
              <w:top w:val="nil"/>
              <w:left w:val="nil"/>
              <w:bottom w:val="nil"/>
              <w:right w:val="single" w:sz="4" w:space="0" w:color="000000"/>
            </w:tcBorders>
            <w:shd w:val="clear" w:color="auto" w:fill="auto"/>
            <w:vAlign w:val="center"/>
          </w:tcPr>
          <w:p w:rsidR="00A02B75" w:rsidRDefault="009C0B27">
            <w:pPr>
              <w:spacing w:line="48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9%</w:t>
            </w:r>
          </w:p>
        </w:tc>
      </w:tr>
      <w:tr w:rsidR="00A02B75">
        <w:trPr>
          <w:trHeight w:val="20"/>
        </w:trPr>
        <w:tc>
          <w:tcPr>
            <w:tcW w:w="2299" w:type="dxa"/>
            <w:vMerge/>
            <w:tcBorders>
              <w:top w:val="single" w:sz="4" w:space="0" w:color="000000"/>
              <w:left w:val="nil"/>
              <w:bottom w:val="nil"/>
              <w:right w:val="nil"/>
            </w:tcBorders>
            <w:shd w:val="clear" w:color="auto" w:fill="auto"/>
            <w:vAlign w:val="center"/>
          </w:tcPr>
          <w:p w:rsidR="00A02B75" w:rsidRDefault="00A02B75">
            <w:pPr>
              <w:spacing w:line="480" w:lineRule="auto"/>
              <w:rPr>
                <w:rFonts w:ascii="Times New Roman" w:eastAsia="Times New Roman" w:hAnsi="Times New Roman" w:cs="Times New Roman"/>
                <w:sz w:val="22"/>
                <w:szCs w:val="22"/>
              </w:rPr>
            </w:pPr>
          </w:p>
        </w:tc>
        <w:tc>
          <w:tcPr>
            <w:tcW w:w="4831" w:type="dxa"/>
            <w:gridSpan w:val="2"/>
            <w:tcBorders>
              <w:top w:val="nil"/>
              <w:left w:val="nil"/>
              <w:bottom w:val="single" w:sz="4" w:space="0" w:color="000000"/>
              <w:right w:val="nil"/>
            </w:tcBorders>
            <w:shd w:val="clear" w:color="auto" w:fill="auto"/>
            <w:vAlign w:val="center"/>
          </w:tcPr>
          <w:p w:rsidR="00A02B75" w:rsidRDefault="009C0B27">
            <w:pPr>
              <w:spacing w:line="48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Inactive and unemployed</w:t>
            </w:r>
          </w:p>
        </w:tc>
        <w:tc>
          <w:tcPr>
            <w:tcW w:w="987" w:type="dxa"/>
            <w:tcBorders>
              <w:top w:val="nil"/>
              <w:left w:val="nil"/>
              <w:bottom w:val="single" w:sz="4" w:space="0" w:color="000000"/>
              <w:right w:val="nil"/>
            </w:tcBorders>
            <w:shd w:val="clear" w:color="auto" w:fill="auto"/>
            <w:vAlign w:val="center"/>
          </w:tcPr>
          <w:p w:rsidR="00A02B75" w:rsidRDefault="009C0B27">
            <w:pPr>
              <w:spacing w:line="48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110</w:t>
            </w:r>
          </w:p>
        </w:tc>
        <w:tc>
          <w:tcPr>
            <w:tcW w:w="991" w:type="dxa"/>
            <w:tcBorders>
              <w:top w:val="nil"/>
              <w:left w:val="nil"/>
              <w:bottom w:val="single" w:sz="4" w:space="0" w:color="000000"/>
              <w:right w:val="single" w:sz="4" w:space="0" w:color="000000"/>
            </w:tcBorders>
            <w:shd w:val="clear" w:color="auto" w:fill="auto"/>
            <w:vAlign w:val="center"/>
          </w:tcPr>
          <w:p w:rsidR="00A02B75" w:rsidRDefault="009C0B27">
            <w:pPr>
              <w:spacing w:line="48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13%</w:t>
            </w:r>
          </w:p>
        </w:tc>
      </w:tr>
      <w:tr w:rsidR="00A02B75">
        <w:trPr>
          <w:trHeight w:val="20"/>
        </w:trPr>
        <w:tc>
          <w:tcPr>
            <w:tcW w:w="2299" w:type="dxa"/>
            <w:vMerge w:val="restart"/>
            <w:tcBorders>
              <w:top w:val="single" w:sz="4" w:space="0" w:color="000000"/>
              <w:left w:val="nil"/>
              <w:right w:val="nil"/>
            </w:tcBorders>
            <w:vAlign w:val="center"/>
          </w:tcPr>
          <w:p w:rsidR="00A02B75" w:rsidRDefault="009C0B27">
            <w:pPr>
              <w:spacing w:line="48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Highest educational qualification</w:t>
            </w:r>
          </w:p>
        </w:tc>
        <w:tc>
          <w:tcPr>
            <w:tcW w:w="4831" w:type="dxa"/>
            <w:gridSpan w:val="2"/>
            <w:tcBorders>
              <w:top w:val="single" w:sz="4" w:space="0" w:color="000000"/>
              <w:left w:val="nil"/>
              <w:bottom w:val="nil"/>
              <w:right w:val="nil"/>
            </w:tcBorders>
            <w:shd w:val="clear" w:color="auto" w:fill="auto"/>
          </w:tcPr>
          <w:p w:rsidR="00A02B75" w:rsidRDefault="009C0B27">
            <w:pPr>
              <w:spacing w:line="48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Master's Degree or above</w:t>
            </w:r>
          </w:p>
        </w:tc>
        <w:tc>
          <w:tcPr>
            <w:tcW w:w="987" w:type="dxa"/>
            <w:tcBorders>
              <w:top w:val="single" w:sz="4" w:space="0" w:color="000000"/>
              <w:left w:val="nil"/>
              <w:bottom w:val="nil"/>
              <w:right w:val="nil"/>
            </w:tcBorders>
            <w:shd w:val="clear" w:color="auto" w:fill="auto"/>
          </w:tcPr>
          <w:p w:rsidR="00A02B75" w:rsidRDefault="009C0B27">
            <w:pPr>
              <w:spacing w:line="48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141</w:t>
            </w:r>
          </w:p>
        </w:tc>
        <w:tc>
          <w:tcPr>
            <w:tcW w:w="991" w:type="dxa"/>
            <w:tcBorders>
              <w:top w:val="single" w:sz="4" w:space="0" w:color="000000"/>
              <w:left w:val="nil"/>
              <w:bottom w:val="nil"/>
              <w:right w:val="single" w:sz="4" w:space="0" w:color="000000"/>
            </w:tcBorders>
            <w:shd w:val="clear" w:color="auto" w:fill="auto"/>
          </w:tcPr>
          <w:p w:rsidR="00A02B75" w:rsidRDefault="009C0B27">
            <w:pPr>
              <w:spacing w:line="48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16%</w:t>
            </w:r>
          </w:p>
        </w:tc>
      </w:tr>
      <w:tr w:rsidR="00A02B75">
        <w:trPr>
          <w:trHeight w:val="20"/>
        </w:trPr>
        <w:tc>
          <w:tcPr>
            <w:tcW w:w="2299" w:type="dxa"/>
            <w:vMerge/>
            <w:tcBorders>
              <w:top w:val="single" w:sz="4" w:space="0" w:color="000000"/>
              <w:left w:val="nil"/>
              <w:right w:val="nil"/>
            </w:tcBorders>
            <w:vAlign w:val="center"/>
          </w:tcPr>
          <w:p w:rsidR="00A02B75" w:rsidRDefault="00A02B75">
            <w:pPr>
              <w:spacing w:line="480" w:lineRule="auto"/>
              <w:rPr>
                <w:rFonts w:ascii="Times New Roman" w:eastAsia="Times New Roman" w:hAnsi="Times New Roman" w:cs="Times New Roman"/>
                <w:sz w:val="22"/>
                <w:szCs w:val="22"/>
              </w:rPr>
            </w:pPr>
          </w:p>
        </w:tc>
        <w:tc>
          <w:tcPr>
            <w:tcW w:w="4831" w:type="dxa"/>
            <w:gridSpan w:val="2"/>
            <w:tcBorders>
              <w:top w:val="nil"/>
              <w:left w:val="nil"/>
              <w:bottom w:val="nil"/>
              <w:right w:val="nil"/>
            </w:tcBorders>
            <w:shd w:val="clear" w:color="auto" w:fill="auto"/>
          </w:tcPr>
          <w:p w:rsidR="00A02B75" w:rsidRDefault="009C0B27">
            <w:pPr>
              <w:spacing w:line="48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Undergraduate/Bachelor's degree</w:t>
            </w:r>
          </w:p>
        </w:tc>
        <w:tc>
          <w:tcPr>
            <w:tcW w:w="987" w:type="dxa"/>
            <w:tcBorders>
              <w:top w:val="nil"/>
              <w:left w:val="nil"/>
              <w:bottom w:val="nil"/>
              <w:right w:val="nil"/>
            </w:tcBorders>
            <w:shd w:val="clear" w:color="auto" w:fill="auto"/>
          </w:tcPr>
          <w:p w:rsidR="00A02B75" w:rsidRDefault="009C0B27">
            <w:pPr>
              <w:spacing w:line="48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107</w:t>
            </w:r>
          </w:p>
        </w:tc>
        <w:tc>
          <w:tcPr>
            <w:tcW w:w="991" w:type="dxa"/>
            <w:tcBorders>
              <w:top w:val="nil"/>
              <w:left w:val="nil"/>
              <w:bottom w:val="nil"/>
              <w:right w:val="single" w:sz="4" w:space="0" w:color="000000"/>
            </w:tcBorders>
            <w:shd w:val="clear" w:color="auto" w:fill="auto"/>
          </w:tcPr>
          <w:p w:rsidR="00A02B75" w:rsidRDefault="009C0B27">
            <w:pPr>
              <w:spacing w:line="48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12%</w:t>
            </w:r>
          </w:p>
        </w:tc>
      </w:tr>
      <w:tr w:rsidR="00A02B75">
        <w:trPr>
          <w:trHeight w:val="20"/>
        </w:trPr>
        <w:tc>
          <w:tcPr>
            <w:tcW w:w="2299" w:type="dxa"/>
            <w:vMerge/>
            <w:tcBorders>
              <w:top w:val="single" w:sz="4" w:space="0" w:color="000000"/>
              <w:left w:val="nil"/>
              <w:right w:val="nil"/>
            </w:tcBorders>
            <w:vAlign w:val="center"/>
          </w:tcPr>
          <w:p w:rsidR="00A02B75" w:rsidRDefault="00A02B75">
            <w:pPr>
              <w:spacing w:line="480" w:lineRule="auto"/>
              <w:rPr>
                <w:rFonts w:ascii="Times New Roman" w:eastAsia="Times New Roman" w:hAnsi="Times New Roman" w:cs="Times New Roman"/>
                <w:sz w:val="22"/>
                <w:szCs w:val="22"/>
              </w:rPr>
            </w:pPr>
          </w:p>
        </w:tc>
        <w:tc>
          <w:tcPr>
            <w:tcW w:w="4831" w:type="dxa"/>
            <w:gridSpan w:val="2"/>
            <w:tcBorders>
              <w:top w:val="nil"/>
              <w:left w:val="nil"/>
              <w:bottom w:val="nil"/>
              <w:right w:val="nil"/>
            </w:tcBorders>
            <w:shd w:val="clear" w:color="auto" w:fill="auto"/>
          </w:tcPr>
          <w:p w:rsidR="00A02B75" w:rsidRDefault="009C0B27">
            <w:pPr>
              <w:spacing w:line="48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College/post-secondary qualification</w:t>
            </w:r>
          </w:p>
        </w:tc>
        <w:tc>
          <w:tcPr>
            <w:tcW w:w="987" w:type="dxa"/>
            <w:tcBorders>
              <w:top w:val="nil"/>
              <w:left w:val="nil"/>
              <w:bottom w:val="nil"/>
              <w:right w:val="nil"/>
            </w:tcBorders>
            <w:shd w:val="clear" w:color="auto" w:fill="auto"/>
          </w:tcPr>
          <w:p w:rsidR="00A02B75" w:rsidRDefault="009C0B27">
            <w:pPr>
              <w:spacing w:line="48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129</w:t>
            </w:r>
          </w:p>
        </w:tc>
        <w:tc>
          <w:tcPr>
            <w:tcW w:w="991" w:type="dxa"/>
            <w:tcBorders>
              <w:top w:val="nil"/>
              <w:left w:val="nil"/>
              <w:bottom w:val="nil"/>
              <w:right w:val="single" w:sz="4" w:space="0" w:color="000000"/>
            </w:tcBorders>
            <w:shd w:val="clear" w:color="auto" w:fill="auto"/>
          </w:tcPr>
          <w:p w:rsidR="00A02B75" w:rsidRDefault="009C0B27">
            <w:pPr>
              <w:spacing w:line="48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14%</w:t>
            </w:r>
          </w:p>
        </w:tc>
      </w:tr>
      <w:tr w:rsidR="00A02B75">
        <w:trPr>
          <w:trHeight w:val="20"/>
        </w:trPr>
        <w:tc>
          <w:tcPr>
            <w:tcW w:w="2299" w:type="dxa"/>
            <w:vMerge/>
            <w:tcBorders>
              <w:top w:val="single" w:sz="4" w:space="0" w:color="000000"/>
              <w:left w:val="nil"/>
              <w:right w:val="nil"/>
            </w:tcBorders>
            <w:vAlign w:val="center"/>
          </w:tcPr>
          <w:p w:rsidR="00A02B75" w:rsidRDefault="00A02B75">
            <w:pPr>
              <w:spacing w:line="480" w:lineRule="auto"/>
              <w:rPr>
                <w:rFonts w:ascii="Times New Roman" w:eastAsia="Times New Roman" w:hAnsi="Times New Roman" w:cs="Times New Roman"/>
                <w:sz w:val="22"/>
                <w:szCs w:val="22"/>
              </w:rPr>
            </w:pPr>
          </w:p>
        </w:tc>
        <w:tc>
          <w:tcPr>
            <w:tcW w:w="4831" w:type="dxa"/>
            <w:gridSpan w:val="2"/>
            <w:tcBorders>
              <w:top w:val="nil"/>
              <w:left w:val="nil"/>
              <w:bottom w:val="nil"/>
              <w:right w:val="nil"/>
            </w:tcBorders>
            <w:shd w:val="clear" w:color="auto" w:fill="auto"/>
          </w:tcPr>
          <w:p w:rsidR="00A02B75" w:rsidRDefault="009C0B27">
            <w:pPr>
              <w:spacing w:line="48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Secondary qualification</w:t>
            </w:r>
          </w:p>
        </w:tc>
        <w:tc>
          <w:tcPr>
            <w:tcW w:w="987" w:type="dxa"/>
            <w:tcBorders>
              <w:top w:val="nil"/>
              <w:left w:val="nil"/>
              <w:bottom w:val="nil"/>
              <w:right w:val="nil"/>
            </w:tcBorders>
            <w:shd w:val="clear" w:color="auto" w:fill="auto"/>
          </w:tcPr>
          <w:p w:rsidR="00A02B75" w:rsidRDefault="009C0B27">
            <w:pPr>
              <w:spacing w:line="48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353</w:t>
            </w:r>
          </w:p>
        </w:tc>
        <w:tc>
          <w:tcPr>
            <w:tcW w:w="991" w:type="dxa"/>
            <w:tcBorders>
              <w:top w:val="nil"/>
              <w:left w:val="nil"/>
              <w:bottom w:val="nil"/>
              <w:right w:val="single" w:sz="4" w:space="0" w:color="000000"/>
            </w:tcBorders>
            <w:shd w:val="clear" w:color="auto" w:fill="auto"/>
          </w:tcPr>
          <w:p w:rsidR="00A02B75" w:rsidRDefault="009C0B27">
            <w:pPr>
              <w:spacing w:line="48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40%</w:t>
            </w:r>
          </w:p>
        </w:tc>
      </w:tr>
      <w:tr w:rsidR="00A02B75">
        <w:trPr>
          <w:trHeight w:val="20"/>
        </w:trPr>
        <w:tc>
          <w:tcPr>
            <w:tcW w:w="2299" w:type="dxa"/>
            <w:vMerge/>
            <w:tcBorders>
              <w:top w:val="single" w:sz="4" w:space="0" w:color="000000"/>
              <w:left w:val="nil"/>
              <w:right w:val="nil"/>
            </w:tcBorders>
            <w:vAlign w:val="center"/>
          </w:tcPr>
          <w:p w:rsidR="00A02B75" w:rsidRDefault="00A02B75">
            <w:pPr>
              <w:spacing w:line="480" w:lineRule="auto"/>
              <w:rPr>
                <w:rFonts w:ascii="Times New Roman" w:eastAsia="Times New Roman" w:hAnsi="Times New Roman" w:cs="Times New Roman"/>
                <w:sz w:val="22"/>
                <w:szCs w:val="22"/>
              </w:rPr>
            </w:pPr>
          </w:p>
        </w:tc>
        <w:tc>
          <w:tcPr>
            <w:tcW w:w="4831" w:type="dxa"/>
            <w:gridSpan w:val="2"/>
            <w:tcBorders>
              <w:top w:val="nil"/>
              <w:left w:val="nil"/>
              <w:bottom w:val="nil"/>
              <w:right w:val="nil"/>
            </w:tcBorders>
            <w:shd w:val="clear" w:color="auto" w:fill="auto"/>
          </w:tcPr>
          <w:p w:rsidR="00A02B75" w:rsidRDefault="009C0B27">
            <w:pPr>
              <w:spacing w:line="48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Vocational/professional qualification</w:t>
            </w:r>
          </w:p>
        </w:tc>
        <w:tc>
          <w:tcPr>
            <w:tcW w:w="987" w:type="dxa"/>
            <w:tcBorders>
              <w:top w:val="nil"/>
              <w:left w:val="nil"/>
              <w:bottom w:val="nil"/>
              <w:right w:val="nil"/>
            </w:tcBorders>
            <w:shd w:val="clear" w:color="auto" w:fill="auto"/>
          </w:tcPr>
          <w:p w:rsidR="00A02B75" w:rsidRDefault="009C0B27">
            <w:pPr>
              <w:spacing w:line="48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130</w:t>
            </w:r>
          </w:p>
        </w:tc>
        <w:tc>
          <w:tcPr>
            <w:tcW w:w="991" w:type="dxa"/>
            <w:tcBorders>
              <w:top w:val="nil"/>
              <w:left w:val="nil"/>
              <w:bottom w:val="nil"/>
              <w:right w:val="single" w:sz="4" w:space="0" w:color="000000"/>
            </w:tcBorders>
            <w:shd w:val="clear" w:color="auto" w:fill="auto"/>
          </w:tcPr>
          <w:p w:rsidR="00A02B75" w:rsidRDefault="009C0B27">
            <w:pPr>
              <w:spacing w:line="48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15%</w:t>
            </w:r>
          </w:p>
        </w:tc>
      </w:tr>
      <w:tr w:rsidR="00A02B75">
        <w:trPr>
          <w:trHeight w:val="20"/>
        </w:trPr>
        <w:tc>
          <w:tcPr>
            <w:tcW w:w="2299" w:type="dxa"/>
            <w:vMerge/>
            <w:tcBorders>
              <w:top w:val="single" w:sz="4" w:space="0" w:color="000000"/>
              <w:left w:val="nil"/>
              <w:right w:val="nil"/>
            </w:tcBorders>
            <w:vAlign w:val="center"/>
          </w:tcPr>
          <w:p w:rsidR="00A02B75" w:rsidRDefault="00A02B75">
            <w:pPr>
              <w:spacing w:line="480" w:lineRule="auto"/>
              <w:rPr>
                <w:rFonts w:ascii="Times New Roman" w:eastAsia="Times New Roman" w:hAnsi="Times New Roman" w:cs="Times New Roman"/>
                <w:sz w:val="22"/>
                <w:szCs w:val="22"/>
              </w:rPr>
            </w:pPr>
          </w:p>
        </w:tc>
        <w:tc>
          <w:tcPr>
            <w:tcW w:w="4831" w:type="dxa"/>
            <w:gridSpan w:val="2"/>
            <w:tcBorders>
              <w:top w:val="nil"/>
              <w:left w:val="nil"/>
              <w:bottom w:val="nil"/>
              <w:right w:val="nil"/>
            </w:tcBorders>
            <w:shd w:val="clear" w:color="auto" w:fill="auto"/>
            <w:vAlign w:val="center"/>
          </w:tcPr>
          <w:p w:rsidR="00A02B75" w:rsidRDefault="009C0B27">
            <w:pPr>
              <w:spacing w:line="48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Other qualification</w:t>
            </w:r>
          </w:p>
        </w:tc>
        <w:tc>
          <w:tcPr>
            <w:tcW w:w="987" w:type="dxa"/>
            <w:tcBorders>
              <w:top w:val="nil"/>
              <w:left w:val="nil"/>
              <w:bottom w:val="nil"/>
              <w:right w:val="nil"/>
            </w:tcBorders>
            <w:shd w:val="clear" w:color="auto" w:fill="auto"/>
          </w:tcPr>
          <w:p w:rsidR="00A02B75" w:rsidRDefault="009C0B27">
            <w:pPr>
              <w:spacing w:line="48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5</w:t>
            </w:r>
          </w:p>
        </w:tc>
        <w:tc>
          <w:tcPr>
            <w:tcW w:w="991" w:type="dxa"/>
            <w:tcBorders>
              <w:top w:val="nil"/>
              <w:left w:val="nil"/>
              <w:bottom w:val="nil"/>
              <w:right w:val="single" w:sz="4" w:space="0" w:color="000000"/>
            </w:tcBorders>
            <w:shd w:val="clear" w:color="auto" w:fill="auto"/>
          </w:tcPr>
          <w:p w:rsidR="00A02B75" w:rsidRDefault="009C0B27">
            <w:pPr>
              <w:spacing w:line="48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1%</w:t>
            </w:r>
          </w:p>
        </w:tc>
      </w:tr>
      <w:tr w:rsidR="00A02B75">
        <w:trPr>
          <w:trHeight w:val="20"/>
        </w:trPr>
        <w:tc>
          <w:tcPr>
            <w:tcW w:w="2299" w:type="dxa"/>
            <w:vMerge/>
            <w:tcBorders>
              <w:top w:val="single" w:sz="4" w:space="0" w:color="000000"/>
              <w:left w:val="nil"/>
              <w:right w:val="nil"/>
            </w:tcBorders>
            <w:vAlign w:val="center"/>
          </w:tcPr>
          <w:p w:rsidR="00A02B75" w:rsidRDefault="00A02B75">
            <w:pPr>
              <w:spacing w:line="480" w:lineRule="auto"/>
              <w:rPr>
                <w:rFonts w:ascii="Times New Roman" w:eastAsia="Times New Roman" w:hAnsi="Times New Roman" w:cs="Times New Roman"/>
                <w:sz w:val="22"/>
                <w:szCs w:val="22"/>
              </w:rPr>
            </w:pPr>
          </w:p>
        </w:tc>
        <w:tc>
          <w:tcPr>
            <w:tcW w:w="4831" w:type="dxa"/>
            <w:gridSpan w:val="2"/>
            <w:tcBorders>
              <w:top w:val="nil"/>
              <w:left w:val="nil"/>
              <w:bottom w:val="nil"/>
              <w:right w:val="nil"/>
            </w:tcBorders>
            <w:shd w:val="clear" w:color="auto" w:fill="auto"/>
            <w:vAlign w:val="center"/>
          </w:tcPr>
          <w:p w:rsidR="00A02B75" w:rsidRDefault="009C0B27">
            <w:pPr>
              <w:spacing w:line="48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No qualifications</w:t>
            </w:r>
          </w:p>
        </w:tc>
        <w:tc>
          <w:tcPr>
            <w:tcW w:w="987" w:type="dxa"/>
            <w:tcBorders>
              <w:top w:val="nil"/>
              <w:left w:val="nil"/>
              <w:bottom w:val="nil"/>
              <w:right w:val="nil"/>
            </w:tcBorders>
            <w:shd w:val="clear" w:color="auto" w:fill="auto"/>
            <w:vAlign w:val="center"/>
          </w:tcPr>
          <w:p w:rsidR="00A02B75" w:rsidRDefault="009C0B27">
            <w:pPr>
              <w:spacing w:line="48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w:t>
            </w:r>
          </w:p>
        </w:tc>
        <w:tc>
          <w:tcPr>
            <w:tcW w:w="991" w:type="dxa"/>
            <w:tcBorders>
              <w:top w:val="nil"/>
              <w:left w:val="nil"/>
              <w:bottom w:val="nil"/>
              <w:right w:val="single" w:sz="4" w:space="0" w:color="000000"/>
            </w:tcBorders>
            <w:shd w:val="clear" w:color="auto" w:fill="auto"/>
            <w:vAlign w:val="center"/>
          </w:tcPr>
          <w:p w:rsidR="00A02B75" w:rsidRDefault="009C0B27">
            <w:pPr>
              <w:spacing w:line="48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w:t>
            </w:r>
          </w:p>
        </w:tc>
      </w:tr>
      <w:tr w:rsidR="00A02B75">
        <w:trPr>
          <w:trHeight w:val="20"/>
        </w:trPr>
        <w:tc>
          <w:tcPr>
            <w:tcW w:w="2299" w:type="dxa"/>
            <w:vMerge/>
            <w:tcBorders>
              <w:top w:val="single" w:sz="4" w:space="0" w:color="000000"/>
              <w:left w:val="nil"/>
              <w:right w:val="nil"/>
            </w:tcBorders>
            <w:vAlign w:val="center"/>
          </w:tcPr>
          <w:p w:rsidR="00A02B75" w:rsidRDefault="00A02B75">
            <w:pPr>
              <w:spacing w:line="480" w:lineRule="auto"/>
              <w:rPr>
                <w:rFonts w:ascii="Times New Roman" w:eastAsia="Times New Roman" w:hAnsi="Times New Roman" w:cs="Times New Roman"/>
                <w:sz w:val="22"/>
                <w:szCs w:val="22"/>
              </w:rPr>
            </w:pPr>
          </w:p>
        </w:tc>
        <w:tc>
          <w:tcPr>
            <w:tcW w:w="4831" w:type="dxa"/>
            <w:gridSpan w:val="2"/>
            <w:tcBorders>
              <w:top w:val="nil"/>
              <w:left w:val="nil"/>
              <w:bottom w:val="single" w:sz="4" w:space="0" w:color="000000"/>
              <w:right w:val="nil"/>
            </w:tcBorders>
            <w:shd w:val="clear" w:color="auto" w:fill="auto"/>
            <w:vAlign w:val="center"/>
          </w:tcPr>
          <w:p w:rsidR="00A02B75" w:rsidRDefault="009C0B27">
            <w:pPr>
              <w:spacing w:line="48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Missing</w:t>
            </w:r>
          </w:p>
        </w:tc>
        <w:tc>
          <w:tcPr>
            <w:tcW w:w="987" w:type="dxa"/>
            <w:tcBorders>
              <w:top w:val="nil"/>
              <w:left w:val="nil"/>
              <w:bottom w:val="single" w:sz="4" w:space="0" w:color="000000"/>
              <w:right w:val="nil"/>
            </w:tcBorders>
            <w:shd w:val="clear" w:color="auto" w:fill="auto"/>
          </w:tcPr>
          <w:p w:rsidR="00A02B75" w:rsidRDefault="009C0B27">
            <w:pPr>
              <w:spacing w:line="48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29</w:t>
            </w:r>
          </w:p>
        </w:tc>
        <w:tc>
          <w:tcPr>
            <w:tcW w:w="991" w:type="dxa"/>
            <w:tcBorders>
              <w:top w:val="nil"/>
              <w:left w:val="nil"/>
              <w:bottom w:val="single" w:sz="4" w:space="0" w:color="000000"/>
              <w:right w:val="single" w:sz="4" w:space="0" w:color="000000"/>
            </w:tcBorders>
            <w:shd w:val="clear" w:color="auto" w:fill="auto"/>
          </w:tcPr>
          <w:p w:rsidR="00A02B75" w:rsidRDefault="009C0B27">
            <w:pPr>
              <w:spacing w:line="48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3%</w:t>
            </w:r>
          </w:p>
        </w:tc>
      </w:tr>
    </w:tbl>
    <w:p w:rsidR="00A02B75" w:rsidRDefault="00A02B75">
      <w:pPr>
        <w:spacing w:line="480" w:lineRule="auto"/>
        <w:rPr>
          <w:rFonts w:ascii="Times New Roman" w:eastAsia="Times New Roman" w:hAnsi="Times New Roman" w:cs="Times New Roman"/>
        </w:rPr>
      </w:pPr>
    </w:p>
    <w:p w:rsidR="00A02B75" w:rsidRDefault="009C0B27">
      <w:pPr>
        <w:spacing w:line="480" w:lineRule="auto"/>
        <w:rPr>
          <w:rFonts w:ascii="Times New Roman" w:eastAsia="Times New Roman" w:hAnsi="Times New Roman" w:cs="Times New Roman"/>
        </w:rPr>
      </w:pPr>
      <w:r>
        <w:br w:type="page"/>
      </w:r>
    </w:p>
    <w:p w:rsidR="00A02B75" w:rsidRDefault="009C0B27">
      <w:pPr>
        <w:spacing w:line="480" w:lineRule="auto"/>
        <w:rPr>
          <w:rFonts w:ascii="Times New Roman" w:eastAsia="Times New Roman" w:hAnsi="Times New Roman" w:cs="Times New Roman"/>
        </w:rPr>
      </w:pPr>
      <w:r>
        <w:rPr>
          <w:rFonts w:ascii="Times New Roman" w:eastAsia="Times New Roman" w:hAnsi="Times New Roman" w:cs="Times New Roman"/>
        </w:rPr>
        <w:lastRenderedPageBreak/>
        <w:t>Table II. The qualitative sample</w:t>
      </w:r>
    </w:p>
    <w:tbl>
      <w:tblPr>
        <w:tblStyle w:val="a0"/>
        <w:tblW w:w="9033" w:type="dxa"/>
        <w:tblLayout w:type="fixed"/>
        <w:tblLook w:val="0400" w:firstRow="0" w:lastRow="0" w:firstColumn="0" w:lastColumn="0" w:noHBand="0" w:noVBand="1"/>
      </w:tblPr>
      <w:tblGrid>
        <w:gridCol w:w="3519"/>
        <w:gridCol w:w="2452"/>
        <w:gridCol w:w="1557"/>
        <w:gridCol w:w="1505"/>
      </w:tblGrid>
      <w:tr w:rsidR="00A02B75">
        <w:trPr>
          <w:trHeight w:val="20"/>
        </w:trPr>
        <w:tc>
          <w:tcPr>
            <w:tcW w:w="3519" w:type="dxa"/>
            <w:tcBorders>
              <w:top w:val="single" w:sz="4" w:space="0" w:color="000000"/>
              <w:left w:val="nil"/>
              <w:bottom w:val="single" w:sz="4" w:space="0" w:color="000000"/>
              <w:right w:val="nil"/>
            </w:tcBorders>
            <w:shd w:val="clear" w:color="auto" w:fill="auto"/>
          </w:tcPr>
          <w:p w:rsidR="00A02B75" w:rsidRDefault="009C0B27">
            <w:pPr>
              <w:spacing w:line="48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Survey question:</w:t>
            </w:r>
          </w:p>
        </w:tc>
        <w:tc>
          <w:tcPr>
            <w:tcW w:w="2452" w:type="dxa"/>
            <w:tcBorders>
              <w:top w:val="single" w:sz="4" w:space="0" w:color="000000"/>
              <w:left w:val="nil"/>
              <w:bottom w:val="single" w:sz="4" w:space="0" w:color="000000"/>
              <w:right w:val="single" w:sz="4" w:space="0" w:color="000000"/>
            </w:tcBorders>
            <w:shd w:val="clear" w:color="auto" w:fill="auto"/>
            <w:vAlign w:val="center"/>
          </w:tcPr>
          <w:p w:rsidR="00A02B75" w:rsidRDefault="009C0B27">
            <w:pPr>
              <w:spacing w:line="480" w:lineRule="auto"/>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Survey respondents (N)</w:t>
            </w:r>
          </w:p>
        </w:tc>
        <w:tc>
          <w:tcPr>
            <w:tcW w:w="3062" w:type="dxa"/>
            <w:gridSpan w:val="2"/>
            <w:tcBorders>
              <w:top w:val="single" w:sz="4" w:space="0" w:color="000000"/>
              <w:left w:val="single" w:sz="4" w:space="0" w:color="000000"/>
              <w:bottom w:val="single" w:sz="4" w:space="0" w:color="000000"/>
              <w:right w:val="nil"/>
            </w:tcBorders>
            <w:shd w:val="clear" w:color="auto" w:fill="auto"/>
            <w:vAlign w:val="center"/>
          </w:tcPr>
          <w:p w:rsidR="00A02B75" w:rsidRDefault="009C0B27">
            <w:pPr>
              <w:spacing w:line="480" w:lineRule="auto"/>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Explanations provided (N/%)</w:t>
            </w:r>
          </w:p>
        </w:tc>
      </w:tr>
      <w:tr w:rsidR="00A02B75">
        <w:trPr>
          <w:trHeight w:val="20"/>
        </w:trPr>
        <w:tc>
          <w:tcPr>
            <w:tcW w:w="3519" w:type="dxa"/>
            <w:tcBorders>
              <w:top w:val="single" w:sz="4" w:space="0" w:color="000000"/>
              <w:left w:val="nil"/>
              <w:bottom w:val="single" w:sz="4" w:space="0" w:color="000000"/>
              <w:right w:val="nil"/>
            </w:tcBorders>
            <w:shd w:val="clear" w:color="auto" w:fill="auto"/>
          </w:tcPr>
          <w:p w:rsidR="00A02B75" w:rsidRDefault="009C0B27">
            <w:pPr>
              <w:spacing w:line="480" w:lineRule="auto"/>
              <w:rPr>
                <w:rFonts w:ascii="Times New Roman" w:eastAsia="Times New Roman" w:hAnsi="Times New Roman" w:cs="Times New Roman"/>
                <w:b/>
                <w:sz w:val="22"/>
                <w:szCs w:val="22"/>
              </w:rPr>
            </w:pPr>
            <w:r>
              <w:rPr>
                <w:rFonts w:ascii="Times New Roman" w:eastAsia="Times New Roman" w:hAnsi="Times New Roman" w:cs="Times New Roman"/>
                <w:sz w:val="22"/>
                <w:szCs w:val="22"/>
              </w:rPr>
              <w:t>Referendum legitimacy</w:t>
            </w:r>
          </w:p>
        </w:tc>
        <w:tc>
          <w:tcPr>
            <w:tcW w:w="2452" w:type="dxa"/>
            <w:tcBorders>
              <w:top w:val="single" w:sz="4" w:space="0" w:color="000000"/>
              <w:left w:val="nil"/>
              <w:bottom w:val="single" w:sz="4" w:space="0" w:color="000000"/>
              <w:right w:val="nil"/>
            </w:tcBorders>
            <w:shd w:val="clear" w:color="auto" w:fill="auto"/>
          </w:tcPr>
          <w:p w:rsidR="00A02B75" w:rsidRDefault="009C0B27">
            <w:pPr>
              <w:spacing w:line="480" w:lineRule="auto"/>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887</w:t>
            </w:r>
          </w:p>
        </w:tc>
        <w:tc>
          <w:tcPr>
            <w:tcW w:w="1557" w:type="dxa"/>
            <w:tcBorders>
              <w:top w:val="nil"/>
              <w:left w:val="single" w:sz="4" w:space="0" w:color="000000"/>
              <w:bottom w:val="single" w:sz="4" w:space="0" w:color="000000"/>
              <w:right w:val="nil"/>
            </w:tcBorders>
            <w:shd w:val="clear" w:color="auto" w:fill="auto"/>
          </w:tcPr>
          <w:p w:rsidR="00A02B75" w:rsidRDefault="009C0B27">
            <w:pPr>
              <w:spacing w:line="480" w:lineRule="auto"/>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161</w:t>
            </w:r>
          </w:p>
        </w:tc>
        <w:tc>
          <w:tcPr>
            <w:tcW w:w="1505" w:type="dxa"/>
            <w:tcBorders>
              <w:top w:val="nil"/>
              <w:left w:val="nil"/>
              <w:bottom w:val="single" w:sz="4" w:space="0" w:color="000000"/>
              <w:right w:val="nil"/>
            </w:tcBorders>
            <w:shd w:val="clear" w:color="auto" w:fill="auto"/>
          </w:tcPr>
          <w:p w:rsidR="00A02B75" w:rsidRDefault="009C0B27">
            <w:pPr>
              <w:spacing w:line="480" w:lineRule="auto"/>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18%</w:t>
            </w:r>
          </w:p>
        </w:tc>
      </w:tr>
      <w:tr w:rsidR="00A02B75">
        <w:trPr>
          <w:trHeight w:val="20"/>
        </w:trPr>
        <w:tc>
          <w:tcPr>
            <w:tcW w:w="3519" w:type="dxa"/>
            <w:tcBorders>
              <w:top w:val="nil"/>
              <w:left w:val="nil"/>
              <w:bottom w:val="single" w:sz="4" w:space="0" w:color="000000"/>
              <w:right w:val="nil"/>
            </w:tcBorders>
            <w:shd w:val="clear" w:color="auto" w:fill="auto"/>
          </w:tcPr>
          <w:p w:rsidR="00A02B75" w:rsidRDefault="009C0B27">
            <w:pPr>
              <w:spacing w:line="480" w:lineRule="auto"/>
              <w:rPr>
                <w:rFonts w:ascii="Times New Roman" w:eastAsia="Times New Roman" w:hAnsi="Times New Roman" w:cs="Times New Roman"/>
                <w:b/>
                <w:sz w:val="22"/>
                <w:szCs w:val="22"/>
              </w:rPr>
            </w:pPr>
            <w:r>
              <w:rPr>
                <w:rFonts w:ascii="Times New Roman" w:eastAsia="Times New Roman" w:hAnsi="Times New Roman" w:cs="Times New Roman"/>
                <w:sz w:val="22"/>
                <w:szCs w:val="22"/>
              </w:rPr>
              <w:t>EU nationals’ voting rights</w:t>
            </w:r>
          </w:p>
        </w:tc>
        <w:tc>
          <w:tcPr>
            <w:tcW w:w="2452" w:type="dxa"/>
            <w:tcBorders>
              <w:top w:val="nil"/>
              <w:left w:val="nil"/>
              <w:bottom w:val="single" w:sz="4" w:space="0" w:color="000000"/>
              <w:right w:val="nil"/>
            </w:tcBorders>
            <w:shd w:val="clear" w:color="auto" w:fill="auto"/>
          </w:tcPr>
          <w:p w:rsidR="00A02B75" w:rsidRDefault="009C0B27">
            <w:pPr>
              <w:spacing w:line="480" w:lineRule="auto"/>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888</w:t>
            </w:r>
          </w:p>
        </w:tc>
        <w:tc>
          <w:tcPr>
            <w:tcW w:w="1557" w:type="dxa"/>
            <w:tcBorders>
              <w:top w:val="nil"/>
              <w:left w:val="single" w:sz="4" w:space="0" w:color="000000"/>
              <w:bottom w:val="single" w:sz="4" w:space="0" w:color="000000"/>
              <w:right w:val="nil"/>
            </w:tcBorders>
            <w:shd w:val="clear" w:color="auto" w:fill="auto"/>
          </w:tcPr>
          <w:p w:rsidR="00A02B75" w:rsidRDefault="009C0B27">
            <w:pPr>
              <w:spacing w:line="480" w:lineRule="auto"/>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104</w:t>
            </w:r>
          </w:p>
        </w:tc>
        <w:tc>
          <w:tcPr>
            <w:tcW w:w="1505" w:type="dxa"/>
            <w:tcBorders>
              <w:top w:val="nil"/>
              <w:left w:val="nil"/>
              <w:bottom w:val="single" w:sz="4" w:space="0" w:color="000000"/>
              <w:right w:val="nil"/>
            </w:tcBorders>
            <w:shd w:val="clear" w:color="auto" w:fill="auto"/>
          </w:tcPr>
          <w:p w:rsidR="00A02B75" w:rsidRDefault="009C0B27">
            <w:pPr>
              <w:spacing w:line="480" w:lineRule="auto"/>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12%</w:t>
            </w:r>
          </w:p>
        </w:tc>
      </w:tr>
      <w:tr w:rsidR="00A02B75">
        <w:trPr>
          <w:trHeight w:val="20"/>
        </w:trPr>
        <w:tc>
          <w:tcPr>
            <w:tcW w:w="5971" w:type="dxa"/>
            <w:gridSpan w:val="2"/>
            <w:tcBorders>
              <w:top w:val="single" w:sz="4" w:space="0" w:color="000000"/>
              <w:left w:val="nil"/>
              <w:bottom w:val="nil"/>
              <w:right w:val="single" w:sz="4" w:space="0" w:color="000000"/>
            </w:tcBorders>
            <w:vAlign w:val="center"/>
          </w:tcPr>
          <w:p w:rsidR="00A02B75" w:rsidRDefault="009C0B27">
            <w:pPr>
              <w:spacing w:line="480" w:lineRule="auto"/>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Total number of qualitative explanations</w:t>
            </w:r>
          </w:p>
        </w:tc>
        <w:tc>
          <w:tcPr>
            <w:tcW w:w="1557" w:type="dxa"/>
            <w:tcBorders>
              <w:top w:val="single" w:sz="4" w:space="0" w:color="000000"/>
              <w:left w:val="single" w:sz="4" w:space="0" w:color="000000"/>
              <w:bottom w:val="nil"/>
              <w:right w:val="nil"/>
            </w:tcBorders>
            <w:shd w:val="clear" w:color="auto" w:fill="auto"/>
          </w:tcPr>
          <w:p w:rsidR="00A02B75" w:rsidRDefault="009C0B27">
            <w:pPr>
              <w:spacing w:line="480" w:lineRule="auto"/>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265</w:t>
            </w:r>
          </w:p>
        </w:tc>
        <w:tc>
          <w:tcPr>
            <w:tcW w:w="1505" w:type="dxa"/>
            <w:tcBorders>
              <w:top w:val="single" w:sz="4" w:space="0" w:color="000000"/>
              <w:left w:val="nil"/>
              <w:bottom w:val="nil"/>
              <w:right w:val="nil"/>
            </w:tcBorders>
            <w:shd w:val="clear" w:color="auto" w:fill="auto"/>
          </w:tcPr>
          <w:p w:rsidR="00A02B75" w:rsidRDefault="00A02B75">
            <w:pPr>
              <w:spacing w:line="480" w:lineRule="auto"/>
              <w:jc w:val="right"/>
              <w:rPr>
                <w:rFonts w:ascii="Times New Roman" w:eastAsia="Times New Roman" w:hAnsi="Times New Roman" w:cs="Times New Roman"/>
                <w:sz w:val="22"/>
                <w:szCs w:val="22"/>
              </w:rPr>
            </w:pPr>
          </w:p>
        </w:tc>
      </w:tr>
      <w:tr w:rsidR="00A02B75">
        <w:trPr>
          <w:trHeight w:val="20"/>
        </w:trPr>
        <w:tc>
          <w:tcPr>
            <w:tcW w:w="5971" w:type="dxa"/>
            <w:gridSpan w:val="2"/>
            <w:tcBorders>
              <w:top w:val="nil"/>
              <w:left w:val="nil"/>
              <w:bottom w:val="nil"/>
              <w:right w:val="single" w:sz="4" w:space="0" w:color="000000"/>
            </w:tcBorders>
            <w:vAlign w:val="center"/>
          </w:tcPr>
          <w:p w:rsidR="00A02B75" w:rsidRDefault="009C0B27">
            <w:pPr>
              <w:spacing w:line="480" w:lineRule="auto"/>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Of which:</w:t>
            </w:r>
          </w:p>
        </w:tc>
        <w:tc>
          <w:tcPr>
            <w:tcW w:w="1557" w:type="dxa"/>
            <w:tcBorders>
              <w:top w:val="nil"/>
              <w:left w:val="single" w:sz="4" w:space="0" w:color="000000"/>
              <w:bottom w:val="nil"/>
              <w:right w:val="nil"/>
            </w:tcBorders>
            <w:shd w:val="clear" w:color="auto" w:fill="auto"/>
          </w:tcPr>
          <w:p w:rsidR="00A02B75" w:rsidRDefault="00A02B75">
            <w:pPr>
              <w:spacing w:line="480" w:lineRule="auto"/>
              <w:jc w:val="center"/>
              <w:rPr>
                <w:rFonts w:ascii="Times New Roman" w:eastAsia="Times New Roman" w:hAnsi="Times New Roman" w:cs="Times New Roman"/>
                <w:sz w:val="22"/>
                <w:szCs w:val="22"/>
              </w:rPr>
            </w:pPr>
          </w:p>
        </w:tc>
        <w:tc>
          <w:tcPr>
            <w:tcW w:w="1505" w:type="dxa"/>
            <w:tcBorders>
              <w:top w:val="nil"/>
              <w:left w:val="nil"/>
              <w:bottom w:val="nil"/>
              <w:right w:val="nil"/>
            </w:tcBorders>
            <w:shd w:val="clear" w:color="auto" w:fill="auto"/>
          </w:tcPr>
          <w:p w:rsidR="00A02B75" w:rsidRDefault="00A02B75">
            <w:pPr>
              <w:spacing w:line="480" w:lineRule="auto"/>
              <w:jc w:val="right"/>
              <w:rPr>
                <w:rFonts w:ascii="Times New Roman" w:eastAsia="Times New Roman" w:hAnsi="Times New Roman" w:cs="Times New Roman"/>
                <w:sz w:val="22"/>
                <w:szCs w:val="22"/>
              </w:rPr>
            </w:pPr>
          </w:p>
        </w:tc>
      </w:tr>
      <w:tr w:rsidR="00A02B75">
        <w:trPr>
          <w:trHeight w:val="20"/>
        </w:trPr>
        <w:tc>
          <w:tcPr>
            <w:tcW w:w="5971" w:type="dxa"/>
            <w:gridSpan w:val="2"/>
            <w:tcBorders>
              <w:top w:val="nil"/>
              <w:left w:val="nil"/>
              <w:bottom w:val="nil"/>
              <w:right w:val="single" w:sz="4" w:space="0" w:color="000000"/>
            </w:tcBorders>
            <w:vAlign w:val="center"/>
          </w:tcPr>
          <w:p w:rsidR="00A02B75" w:rsidRDefault="009C0B27">
            <w:pPr>
              <w:spacing w:line="480" w:lineRule="auto"/>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Respondents answering both questions</w:t>
            </w:r>
          </w:p>
        </w:tc>
        <w:tc>
          <w:tcPr>
            <w:tcW w:w="1557" w:type="dxa"/>
            <w:tcBorders>
              <w:top w:val="nil"/>
              <w:left w:val="single" w:sz="4" w:space="0" w:color="000000"/>
              <w:bottom w:val="nil"/>
              <w:right w:val="nil"/>
            </w:tcBorders>
            <w:shd w:val="clear" w:color="auto" w:fill="auto"/>
          </w:tcPr>
          <w:p w:rsidR="00A02B75" w:rsidRDefault="009C0B27">
            <w:pPr>
              <w:spacing w:line="480" w:lineRule="auto"/>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68</w:t>
            </w:r>
          </w:p>
        </w:tc>
        <w:tc>
          <w:tcPr>
            <w:tcW w:w="1505" w:type="dxa"/>
            <w:tcBorders>
              <w:top w:val="nil"/>
              <w:left w:val="nil"/>
              <w:bottom w:val="nil"/>
              <w:right w:val="nil"/>
            </w:tcBorders>
            <w:shd w:val="clear" w:color="auto" w:fill="auto"/>
          </w:tcPr>
          <w:p w:rsidR="00A02B75" w:rsidRDefault="00A02B75">
            <w:pPr>
              <w:spacing w:line="480" w:lineRule="auto"/>
              <w:jc w:val="right"/>
              <w:rPr>
                <w:rFonts w:ascii="Times New Roman" w:eastAsia="Times New Roman" w:hAnsi="Times New Roman" w:cs="Times New Roman"/>
                <w:sz w:val="22"/>
                <w:szCs w:val="22"/>
              </w:rPr>
            </w:pPr>
          </w:p>
        </w:tc>
      </w:tr>
      <w:tr w:rsidR="00A02B75">
        <w:trPr>
          <w:trHeight w:val="20"/>
        </w:trPr>
        <w:tc>
          <w:tcPr>
            <w:tcW w:w="5971" w:type="dxa"/>
            <w:gridSpan w:val="2"/>
            <w:tcBorders>
              <w:top w:val="nil"/>
              <w:left w:val="nil"/>
              <w:right w:val="single" w:sz="4" w:space="0" w:color="000000"/>
            </w:tcBorders>
            <w:vAlign w:val="center"/>
          </w:tcPr>
          <w:p w:rsidR="00A02B75" w:rsidRDefault="009C0B27">
            <w:pPr>
              <w:spacing w:line="480" w:lineRule="auto"/>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Respondents answering only the Legitimacy question</w:t>
            </w:r>
          </w:p>
        </w:tc>
        <w:tc>
          <w:tcPr>
            <w:tcW w:w="1557" w:type="dxa"/>
            <w:tcBorders>
              <w:top w:val="nil"/>
              <w:left w:val="single" w:sz="4" w:space="0" w:color="000000"/>
              <w:right w:val="nil"/>
            </w:tcBorders>
            <w:shd w:val="clear" w:color="auto" w:fill="auto"/>
          </w:tcPr>
          <w:p w:rsidR="00A02B75" w:rsidRDefault="009C0B27">
            <w:pPr>
              <w:spacing w:line="480" w:lineRule="auto"/>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93</w:t>
            </w:r>
          </w:p>
        </w:tc>
        <w:tc>
          <w:tcPr>
            <w:tcW w:w="1505" w:type="dxa"/>
            <w:tcBorders>
              <w:top w:val="nil"/>
              <w:left w:val="nil"/>
              <w:right w:val="nil"/>
            </w:tcBorders>
            <w:shd w:val="clear" w:color="auto" w:fill="auto"/>
          </w:tcPr>
          <w:p w:rsidR="00A02B75" w:rsidRDefault="00A02B75">
            <w:pPr>
              <w:spacing w:line="480" w:lineRule="auto"/>
              <w:jc w:val="right"/>
              <w:rPr>
                <w:rFonts w:ascii="Times New Roman" w:eastAsia="Times New Roman" w:hAnsi="Times New Roman" w:cs="Times New Roman"/>
                <w:sz w:val="22"/>
                <w:szCs w:val="22"/>
              </w:rPr>
            </w:pPr>
          </w:p>
        </w:tc>
      </w:tr>
      <w:tr w:rsidR="00A02B75">
        <w:trPr>
          <w:trHeight w:val="20"/>
        </w:trPr>
        <w:tc>
          <w:tcPr>
            <w:tcW w:w="5971" w:type="dxa"/>
            <w:gridSpan w:val="2"/>
            <w:tcBorders>
              <w:top w:val="nil"/>
              <w:left w:val="nil"/>
              <w:bottom w:val="single" w:sz="4" w:space="0" w:color="000000"/>
              <w:right w:val="single" w:sz="4" w:space="0" w:color="000000"/>
            </w:tcBorders>
            <w:vAlign w:val="center"/>
          </w:tcPr>
          <w:p w:rsidR="00A02B75" w:rsidRDefault="009C0B27">
            <w:pPr>
              <w:spacing w:line="480" w:lineRule="auto"/>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Respondents answering only the Voting rights question</w:t>
            </w:r>
          </w:p>
        </w:tc>
        <w:tc>
          <w:tcPr>
            <w:tcW w:w="1557" w:type="dxa"/>
            <w:tcBorders>
              <w:top w:val="nil"/>
              <w:left w:val="single" w:sz="4" w:space="0" w:color="000000"/>
              <w:bottom w:val="single" w:sz="4" w:space="0" w:color="000000"/>
              <w:right w:val="nil"/>
            </w:tcBorders>
            <w:shd w:val="clear" w:color="auto" w:fill="auto"/>
          </w:tcPr>
          <w:p w:rsidR="00A02B75" w:rsidRDefault="009C0B27">
            <w:pPr>
              <w:spacing w:line="480" w:lineRule="auto"/>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36</w:t>
            </w:r>
          </w:p>
        </w:tc>
        <w:tc>
          <w:tcPr>
            <w:tcW w:w="1505" w:type="dxa"/>
            <w:tcBorders>
              <w:top w:val="nil"/>
              <w:left w:val="nil"/>
              <w:bottom w:val="single" w:sz="4" w:space="0" w:color="000000"/>
              <w:right w:val="nil"/>
            </w:tcBorders>
            <w:shd w:val="clear" w:color="auto" w:fill="auto"/>
          </w:tcPr>
          <w:p w:rsidR="00A02B75" w:rsidRDefault="00A02B75">
            <w:pPr>
              <w:spacing w:line="480" w:lineRule="auto"/>
              <w:jc w:val="right"/>
              <w:rPr>
                <w:rFonts w:ascii="Times New Roman" w:eastAsia="Times New Roman" w:hAnsi="Times New Roman" w:cs="Times New Roman"/>
                <w:sz w:val="22"/>
                <w:szCs w:val="22"/>
              </w:rPr>
            </w:pPr>
          </w:p>
        </w:tc>
      </w:tr>
    </w:tbl>
    <w:p w:rsidR="00A02B75" w:rsidRDefault="00A02B75">
      <w:pPr>
        <w:spacing w:line="480" w:lineRule="auto"/>
        <w:rPr>
          <w:rFonts w:ascii="Times New Roman" w:eastAsia="Times New Roman" w:hAnsi="Times New Roman" w:cs="Times New Roman"/>
        </w:rPr>
      </w:pPr>
    </w:p>
    <w:p w:rsidR="00A02B75" w:rsidRDefault="00A02B75">
      <w:pPr>
        <w:spacing w:line="480" w:lineRule="auto"/>
        <w:rPr>
          <w:rFonts w:ascii="Times New Roman" w:eastAsia="Times New Roman" w:hAnsi="Times New Roman" w:cs="Times New Roman"/>
        </w:rPr>
      </w:pPr>
    </w:p>
    <w:p w:rsidR="00A02B75" w:rsidRDefault="00A02B75">
      <w:pPr>
        <w:spacing w:line="480" w:lineRule="auto"/>
        <w:rPr>
          <w:rFonts w:ascii="Times New Roman" w:eastAsia="Times New Roman" w:hAnsi="Times New Roman" w:cs="Times New Roman"/>
        </w:rPr>
      </w:pPr>
    </w:p>
    <w:p w:rsidR="00A02B75" w:rsidRDefault="009C0B27">
      <w:pPr>
        <w:spacing w:line="480" w:lineRule="auto"/>
        <w:rPr>
          <w:rFonts w:ascii="Times New Roman" w:eastAsia="Times New Roman" w:hAnsi="Times New Roman" w:cs="Times New Roman"/>
        </w:rPr>
      </w:pPr>
      <w:r>
        <w:br w:type="page"/>
      </w:r>
    </w:p>
    <w:p w:rsidR="00A02B75" w:rsidRDefault="009C0B27">
      <w:pPr>
        <w:spacing w:line="480" w:lineRule="auto"/>
        <w:rPr>
          <w:rFonts w:ascii="Times New Roman" w:eastAsia="Times New Roman" w:hAnsi="Times New Roman" w:cs="Times New Roman"/>
        </w:rPr>
      </w:pPr>
      <w:r>
        <w:rPr>
          <w:rFonts w:ascii="Times New Roman" w:eastAsia="Times New Roman" w:hAnsi="Times New Roman" w:cs="Times New Roman"/>
        </w:rPr>
        <w:lastRenderedPageBreak/>
        <w:t>Table III. The distribution of answers to three survey questions</w:t>
      </w:r>
    </w:p>
    <w:tbl>
      <w:tblPr>
        <w:tblStyle w:val="a1"/>
        <w:tblW w:w="9099" w:type="dxa"/>
        <w:tblLayout w:type="fixed"/>
        <w:tblLook w:val="0400" w:firstRow="0" w:lastRow="0" w:firstColumn="0" w:lastColumn="0" w:noHBand="0" w:noVBand="1"/>
      </w:tblPr>
      <w:tblGrid>
        <w:gridCol w:w="2408"/>
        <w:gridCol w:w="5312"/>
        <w:gridCol w:w="551"/>
        <w:gridCol w:w="828"/>
      </w:tblGrid>
      <w:tr w:rsidR="00A02B75">
        <w:trPr>
          <w:trHeight w:val="20"/>
        </w:trPr>
        <w:tc>
          <w:tcPr>
            <w:tcW w:w="2408" w:type="dxa"/>
            <w:tcBorders>
              <w:top w:val="nil"/>
              <w:left w:val="nil"/>
              <w:bottom w:val="nil"/>
              <w:right w:val="nil"/>
            </w:tcBorders>
            <w:shd w:val="clear" w:color="auto" w:fill="auto"/>
          </w:tcPr>
          <w:p w:rsidR="00A02B75" w:rsidRDefault="00A02B75">
            <w:pPr>
              <w:spacing w:line="480" w:lineRule="auto"/>
              <w:jc w:val="center"/>
              <w:rPr>
                <w:rFonts w:ascii="Times New Roman" w:eastAsia="Times New Roman" w:hAnsi="Times New Roman" w:cs="Times New Roman"/>
                <w:sz w:val="22"/>
                <w:szCs w:val="22"/>
              </w:rPr>
            </w:pPr>
          </w:p>
        </w:tc>
        <w:tc>
          <w:tcPr>
            <w:tcW w:w="5312" w:type="dxa"/>
            <w:tcBorders>
              <w:top w:val="nil"/>
              <w:left w:val="nil"/>
              <w:bottom w:val="nil"/>
              <w:right w:val="nil"/>
            </w:tcBorders>
            <w:shd w:val="clear" w:color="auto" w:fill="auto"/>
          </w:tcPr>
          <w:p w:rsidR="00A02B75" w:rsidRDefault="00A02B75">
            <w:pPr>
              <w:spacing w:line="480" w:lineRule="auto"/>
              <w:rPr>
                <w:rFonts w:ascii="Times New Roman" w:eastAsia="Times New Roman" w:hAnsi="Times New Roman" w:cs="Times New Roman"/>
                <w:sz w:val="22"/>
                <w:szCs w:val="22"/>
              </w:rPr>
            </w:pPr>
          </w:p>
        </w:tc>
        <w:tc>
          <w:tcPr>
            <w:tcW w:w="551" w:type="dxa"/>
            <w:tcBorders>
              <w:top w:val="nil"/>
              <w:left w:val="nil"/>
              <w:bottom w:val="nil"/>
              <w:right w:val="nil"/>
            </w:tcBorders>
            <w:shd w:val="clear" w:color="auto" w:fill="auto"/>
            <w:vAlign w:val="center"/>
          </w:tcPr>
          <w:p w:rsidR="00A02B75" w:rsidRDefault="009C0B27">
            <w:pPr>
              <w:spacing w:line="480" w:lineRule="auto"/>
              <w:jc w:val="right"/>
              <w:rPr>
                <w:rFonts w:ascii="Times New Roman" w:eastAsia="Times New Roman" w:hAnsi="Times New Roman" w:cs="Times New Roman"/>
                <w:b/>
                <w:sz w:val="22"/>
                <w:szCs w:val="22"/>
              </w:rPr>
            </w:pPr>
            <w:r>
              <w:rPr>
                <w:rFonts w:ascii="Times New Roman" w:eastAsia="Times New Roman" w:hAnsi="Times New Roman" w:cs="Times New Roman"/>
                <w:b/>
                <w:sz w:val="22"/>
                <w:szCs w:val="22"/>
              </w:rPr>
              <w:t>N</w:t>
            </w:r>
          </w:p>
        </w:tc>
        <w:tc>
          <w:tcPr>
            <w:tcW w:w="828" w:type="dxa"/>
            <w:tcBorders>
              <w:top w:val="nil"/>
              <w:left w:val="nil"/>
              <w:bottom w:val="nil"/>
              <w:right w:val="single" w:sz="4" w:space="0" w:color="000000"/>
            </w:tcBorders>
            <w:shd w:val="clear" w:color="auto" w:fill="auto"/>
            <w:vAlign w:val="center"/>
          </w:tcPr>
          <w:p w:rsidR="00A02B75" w:rsidRDefault="009C0B27">
            <w:pPr>
              <w:spacing w:line="480" w:lineRule="auto"/>
              <w:jc w:val="right"/>
              <w:rPr>
                <w:rFonts w:ascii="Times New Roman" w:eastAsia="Times New Roman" w:hAnsi="Times New Roman" w:cs="Times New Roman"/>
                <w:b/>
                <w:sz w:val="22"/>
                <w:szCs w:val="22"/>
              </w:rPr>
            </w:pPr>
            <w:r>
              <w:rPr>
                <w:rFonts w:ascii="Times New Roman" w:eastAsia="Times New Roman" w:hAnsi="Times New Roman" w:cs="Times New Roman"/>
                <w:b/>
                <w:sz w:val="22"/>
                <w:szCs w:val="22"/>
              </w:rPr>
              <w:t xml:space="preserve">% </w:t>
            </w:r>
          </w:p>
        </w:tc>
      </w:tr>
      <w:tr w:rsidR="00A02B75">
        <w:trPr>
          <w:trHeight w:val="20"/>
        </w:trPr>
        <w:tc>
          <w:tcPr>
            <w:tcW w:w="2408" w:type="dxa"/>
            <w:vMerge w:val="restart"/>
            <w:tcBorders>
              <w:top w:val="single" w:sz="4" w:space="0" w:color="000000"/>
              <w:left w:val="nil"/>
              <w:bottom w:val="single" w:sz="4" w:space="0" w:color="000000"/>
              <w:right w:val="nil"/>
            </w:tcBorders>
            <w:shd w:val="clear" w:color="auto" w:fill="auto"/>
            <w:vAlign w:val="center"/>
          </w:tcPr>
          <w:p w:rsidR="00A02B75" w:rsidRDefault="009C0B27">
            <w:pPr>
              <w:spacing w:line="48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Referendum legitimacy (L)</w:t>
            </w:r>
          </w:p>
        </w:tc>
        <w:tc>
          <w:tcPr>
            <w:tcW w:w="5312" w:type="dxa"/>
            <w:tcBorders>
              <w:top w:val="single" w:sz="4" w:space="0" w:color="000000"/>
              <w:left w:val="nil"/>
              <w:bottom w:val="nil"/>
              <w:right w:val="nil"/>
            </w:tcBorders>
            <w:shd w:val="clear" w:color="auto" w:fill="auto"/>
          </w:tcPr>
          <w:p w:rsidR="00A02B75" w:rsidRDefault="009C0B27">
            <w:pPr>
              <w:spacing w:line="48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(1) Legitimate and should be held</w:t>
            </w:r>
          </w:p>
        </w:tc>
        <w:tc>
          <w:tcPr>
            <w:tcW w:w="551" w:type="dxa"/>
            <w:tcBorders>
              <w:top w:val="single" w:sz="4" w:space="0" w:color="000000"/>
              <w:left w:val="nil"/>
              <w:bottom w:val="nil"/>
              <w:right w:val="nil"/>
            </w:tcBorders>
            <w:shd w:val="clear" w:color="auto" w:fill="auto"/>
          </w:tcPr>
          <w:p w:rsidR="00A02B75" w:rsidRDefault="009C0B27">
            <w:pPr>
              <w:spacing w:line="480" w:lineRule="auto"/>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390</w:t>
            </w:r>
          </w:p>
        </w:tc>
        <w:tc>
          <w:tcPr>
            <w:tcW w:w="828" w:type="dxa"/>
            <w:tcBorders>
              <w:top w:val="single" w:sz="4" w:space="0" w:color="000000"/>
              <w:left w:val="nil"/>
              <w:bottom w:val="nil"/>
              <w:right w:val="single" w:sz="4" w:space="0" w:color="000000"/>
            </w:tcBorders>
            <w:shd w:val="clear" w:color="auto" w:fill="auto"/>
          </w:tcPr>
          <w:p w:rsidR="00A02B75" w:rsidRDefault="009C0B27">
            <w:pPr>
              <w:spacing w:line="480" w:lineRule="auto"/>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44%</w:t>
            </w:r>
          </w:p>
        </w:tc>
      </w:tr>
      <w:tr w:rsidR="00A02B75">
        <w:trPr>
          <w:trHeight w:val="20"/>
        </w:trPr>
        <w:tc>
          <w:tcPr>
            <w:tcW w:w="2408" w:type="dxa"/>
            <w:vMerge/>
            <w:tcBorders>
              <w:top w:val="single" w:sz="4" w:space="0" w:color="000000"/>
              <w:left w:val="nil"/>
              <w:bottom w:val="single" w:sz="4" w:space="0" w:color="000000"/>
              <w:right w:val="nil"/>
            </w:tcBorders>
            <w:shd w:val="clear" w:color="auto" w:fill="auto"/>
            <w:vAlign w:val="center"/>
          </w:tcPr>
          <w:p w:rsidR="00A02B75" w:rsidRDefault="00A02B75">
            <w:pPr>
              <w:spacing w:line="480" w:lineRule="auto"/>
              <w:rPr>
                <w:rFonts w:ascii="Times New Roman" w:eastAsia="Times New Roman" w:hAnsi="Times New Roman" w:cs="Times New Roman"/>
                <w:sz w:val="22"/>
                <w:szCs w:val="22"/>
              </w:rPr>
            </w:pPr>
          </w:p>
        </w:tc>
        <w:tc>
          <w:tcPr>
            <w:tcW w:w="5312" w:type="dxa"/>
            <w:tcBorders>
              <w:top w:val="nil"/>
              <w:left w:val="nil"/>
              <w:bottom w:val="nil"/>
              <w:right w:val="nil"/>
            </w:tcBorders>
            <w:shd w:val="clear" w:color="auto" w:fill="auto"/>
          </w:tcPr>
          <w:p w:rsidR="00A02B75" w:rsidRDefault="009C0B27">
            <w:pPr>
              <w:spacing w:line="48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(2) Legitimate but should not be held</w:t>
            </w:r>
          </w:p>
        </w:tc>
        <w:tc>
          <w:tcPr>
            <w:tcW w:w="551" w:type="dxa"/>
            <w:tcBorders>
              <w:top w:val="nil"/>
              <w:left w:val="nil"/>
              <w:bottom w:val="nil"/>
              <w:right w:val="nil"/>
            </w:tcBorders>
            <w:shd w:val="clear" w:color="auto" w:fill="auto"/>
          </w:tcPr>
          <w:p w:rsidR="00A02B75" w:rsidRDefault="009C0B27">
            <w:pPr>
              <w:spacing w:line="480" w:lineRule="auto"/>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216</w:t>
            </w:r>
          </w:p>
        </w:tc>
        <w:tc>
          <w:tcPr>
            <w:tcW w:w="828" w:type="dxa"/>
            <w:tcBorders>
              <w:top w:val="nil"/>
              <w:left w:val="nil"/>
              <w:bottom w:val="nil"/>
              <w:right w:val="single" w:sz="4" w:space="0" w:color="000000"/>
            </w:tcBorders>
            <w:shd w:val="clear" w:color="auto" w:fill="auto"/>
          </w:tcPr>
          <w:p w:rsidR="00A02B75" w:rsidRDefault="009C0B27">
            <w:pPr>
              <w:spacing w:line="480" w:lineRule="auto"/>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24%</w:t>
            </w:r>
          </w:p>
        </w:tc>
      </w:tr>
      <w:tr w:rsidR="00A02B75">
        <w:trPr>
          <w:trHeight w:val="20"/>
        </w:trPr>
        <w:tc>
          <w:tcPr>
            <w:tcW w:w="2408" w:type="dxa"/>
            <w:vMerge/>
            <w:tcBorders>
              <w:top w:val="single" w:sz="4" w:space="0" w:color="000000"/>
              <w:left w:val="nil"/>
              <w:bottom w:val="single" w:sz="4" w:space="0" w:color="000000"/>
              <w:right w:val="nil"/>
            </w:tcBorders>
            <w:shd w:val="clear" w:color="auto" w:fill="auto"/>
            <w:vAlign w:val="center"/>
          </w:tcPr>
          <w:p w:rsidR="00A02B75" w:rsidRDefault="00A02B75">
            <w:pPr>
              <w:spacing w:line="480" w:lineRule="auto"/>
              <w:rPr>
                <w:rFonts w:ascii="Times New Roman" w:eastAsia="Times New Roman" w:hAnsi="Times New Roman" w:cs="Times New Roman"/>
                <w:sz w:val="22"/>
                <w:szCs w:val="22"/>
              </w:rPr>
            </w:pPr>
          </w:p>
        </w:tc>
        <w:tc>
          <w:tcPr>
            <w:tcW w:w="5312" w:type="dxa"/>
            <w:tcBorders>
              <w:top w:val="nil"/>
              <w:left w:val="nil"/>
              <w:bottom w:val="nil"/>
              <w:right w:val="nil"/>
            </w:tcBorders>
            <w:shd w:val="clear" w:color="auto" w:fill="auto"/>
          </w:tcPr>
          <w:p w:rsidR="00A02B75" w:rsidRDefault="009C0B27">
            <w:pPr>
              <w:spacing w:line="48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(3) Not legitimate</w:t>
            </w:r>
          </w:p>
        </w:tc>
        <w:tc>
          <w:tcPr>
            <w:tcW w:w="551" w:type="dxa"/>
            <w:tcBorders>
              <w:top w:val="nil"/>
              <w:left w:val="nil"/>
              <w:bottom w:val="nil"/>
              <w:right w:val="nil"/>
            </w:tcBorders>
            <w:shd w:val="clear" w:color="auto" w:fill="auto"/>
          </w:tcPr>
          <w:p w:rsidR="00A02B75" w:rsidRDefault="009C0B27">
            <w:pPr>
              <w:spacing w:line="480" w:lineRule="auto"/>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281</w:t>
            </w:r>
          </w:p>
        </w:tc>
        <w:tc>
          <w:tcPr>
            <w:tcW w:w="828" w:type="dxa"/>
            <w:tcBorders>
              <w:top w:val="nil"/>
              <w:left w:val="nil"/>
              <w:bottom w:val="nil"/>
              <w:right w:val="single" w:sz="4" w:space="0" w:color="000000"/>
            </w:tcBorders>
            <w:shd w:val="clear" w:color="auto" w:fill="auto"/>
          </w:tcPr>
          <w:p w:rsidR="00A02B75" w:rsidRDefault="009C0B27">
            <w:pPr>
              <w:spacing w:line="480" w:lineRule="auto"/>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32%</w:t>
            </w:r>
          </w:p>
        </w:tc>
      </w:tr>
      <w:tr w:rsidR="00A02B75">
        <w:trPr>
          <w:trHeight w:val="20"/>
        </w:trPr>
        <w:tc>
          <w:tcPr>
            <w:tcW w:w="2408" w:type="dxa"/>
            <w:vMerge/>
            <w:tcBorders>
              <w:top w:val="single" w:sz="4" w:space="0" w:color="000000"/>
              <w:left w:val="nil"/>
              <w:bottom w:val="single" w:sz="4" w:space="0" w:color="000000"/>
              <w:right w:val="nil"/>
            </w:tcBorders>
            <w:shd w:val="clear" w:color="auto" w:fill="auto"/>
            <w:vAlign w:val="center"/>
          </w:tcPr>
          <w:p w:rsidR="00A02B75" w:rsidRDefault="00A02B75">
            <w:pPr>
              <w:spacing w:line="480" w:lineRule="auto"/>
              <w:rPr>
                <w:rFonts w:ascii="Times New Roman" w:eastAsia="Times New Roman" w:hAnsi="Times New Roman" w:cs="Times New Roman"/>
                <w:sz w:val="22"/>
                <w:szCs w:val="22"/>
              </w:rPr>
            </w:pPr>
          </w:p>
        </w:tc>
        <w:tc>
          <w:tcPr>
            <w:tcW w:w="5312" w:type="dxa"/>
            <w:tcBorders>
              <w:top w:val="nil"/>
              <w:left w:val="nil"/>
              <w:bottom w:val="single" w:sz="4" w:space="0" w:color="000000"/>
              <w:right w:val="nil"/>
            </w:tcBorders>
            <w:shd w:val="clear" w:color="auto" w:fill="auto"/>
          </w:tcPr>
          <w:p w:rsidR="00A02B75" w:rsidRDefault="009C0B27">
            <w:pPr>
              <w:spacing w:line="480" w:lineRule="auto"/>
              <w:rPr>
                <w:rFonts w:ascii="Times New Roman" w:eastAsia="Times New Roman" w:hAnsi="Times New Roman" w:cs="Times New Roman"/>
                <w:b/>
                <w:sz w:val="22"/>
                <w:szCs w:val="22"/>
              </w:rPr>
            </w:pPr>
            <w:r>
              <w:rPr>
                <w:rFonts w:ascii="Times New Roman" w:eastAsia="Times New Roman" w:hAnsi="Times New Roman" w:cs="Times New Roman"/>
                <w:b/>
                <w:sz w:val="22"/>
                <w:szCs w:val="22"/>
              </w:rPr>
              <w:t>Total</w:t>
            </w:r>
          </w:p>
        </w:tc>
        <w:tc>
          <w:tcPr>
            <w:tcW w:w="551" w:type="dxa"/>
            <w:tcBorders>
              <w:top w:val="nil"/>
              <w:left w:val="nil"/>
              <w:bottom w:val="single" w:sz="4" w:space="0" w:color="000000"/>
              <w:right w:val="nil"/>
            </w:tcBorders>
            <w:shd w:val="clear" w:color="auto" w:fill="auto"/>
          </w:tcPr>
          <w:p w:rsidR="00A02B75" w:rsidRDefault="009C0B27">
            <w:pPr>
              <w:spacing w:line="480" w:lineRule="auto"/>
              <w:jc w:val="right"/>
              <w:rPr>
                <w:rFonts w:ascii="Times New Roman" w:eastAsia="Times New Roman" w:hAnsi="Times New Roman" w:cs="Times New Roman"/>
                <w:b/>
                <w:sz w:val="22"/>
                <w:szCs w:val="22"/>
              </w:rPr>
            </w:pPr>
            <w:r>
              <w:rPr>
                <w:rFonts w:ascii="Times New Roman" w:eastAsia="Times New Roman" w:hAnsi="Times New Roman" w:cs="Times New Roman"/>
                <w:b/>
                <w:sz w:val="22"/>
                <w:szCs w:val="22"/>
              </w:rPr>
              <w:t>887</w:t>
            </w:r>
          </w:p>
        </w:tc>
        <w:tc>
          <w:tcPr>
            <w:tcW w:w="828" w:type="dxa"/>
            <w:tcBorders>
              <w:top w:val="nil"/>
              <w:left w:val="nil"/>
              <w:bottom w:val="single" w:sz="4" w:space="0" w:color="000000"/>
              <w:right w:val="single" w:sz="4" w:space="0" w:color="000000"/>
            </w:tcBorders>
            <w:shd w:val="clear" w:color="auto" w:fill="auto"/>
          </w:tcPr>
          <w:p w:rsidR="00A02B75" w:rsidRDefault="009C0B27">
            <w:pPr>
              <w:spacing w:line="480" w:lineRule="auto"/>
              <w:jc w:val="right"/>
              <w:rPr>
                <w:rFonts w:ascii="Times New Roman" w:eastAsia="Times New Roman" w:hAnsi="Times New Roman" w:cs="Times New Roman"/>
                <w:b/>
                <w:sz w:val="22"/>
                <w:szCs w:val="22"/>
              </w:rPr>
            </w:pPr>
            <w:r>
              <w:rPr>
                <w:rFonts w:ascii="Times New Roman" w:eastAsia="Times New Roman" w:hAnsi="Times New Roman" w:cs="Times New Roman"/>
                <w:b/>
                <w:sz w:val="22"/>
                <w:szCs w:val="22"/>
              </w:rPr>
              <w:t>100%</w:t>
            </w:r>
          </w:p>
        </w:tc>
      </w:tr>
      <w:tr w:rsidR="00A02B75">
        <w:trPr>
          <w:trHeight w:val="20"/>
        </w:trPr>
        <w:tc>
          <w:tcPr>
            <w:tcW w:w="2408" w:type="dxa"/>
            <w:vMerge w:val="restart"/>
            <w:tcBorders>
              <w:top w:val="nil"/>
              <w:left w:val="nil"/>
              <w:bottom w:val="single" w:sz="6" w:space="0" w:color="000000"/>
              <w:right w:val="nil"/>
            </w:tcBorders>
            <w:shd w:val="clear" w:color="auto" w:fill="auto"/>
            <w:vAlign w:val="center"/>
          </w:tcPr>
          <w:p w:rsidR="00A02B75" w:rsidRDefault="009C0B27">
            <w:pPr>
              <w:spacing w:line="48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EU nationals’ voting rights (V)</w:t>
            </w:r>
          </w:p>
        </w:tc>
        <w:tc>
          <w:tcPr>
            <w:tcW w:w="5312" w:type="dxa"/>
            <w:tcBorders>
              <w:top w:val="nil"/>
              <w:left w:val="nil"/>
              <w:bottom w:val="nil"/>
              <w:right w:val="nil"/>
            </w:tcBorders>
            <w:shd w:val="clear" w:color="auto" w:fill="auto"/>
          </w:tcPr>
          <w:p w:rsidR="00A02B75" w:rsidRDefault="009C0B27">
            <w:pPr>
              <w:spacing w:line="48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(1) Should not have right</w:t>
            </w:r>
          </w:p>
        </w:tc>
        <w:tc>
          <w:tcPr>
            <w:tcW w:w="551" w:type="dxa"/>
            <w:tcBorders>
              <w:top w:val="nil"/>
              <w:left w:val="nil"/>
              <w:bottom w:val="nil"/>
              <w:right w:val="nil"/>
            </w:tcBorders>
            <w:shd w:val="clear" w:color="auto" w:fill="auto"/>
          </w:tcPr>
          <w:p w:rsidR="00A02B75" w:rsidRDefault="009C0B27">
            <w:pPr>
              <w:spacing w:line="480" w:lineRule="auto"/>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132</w:t>
            </w:r>
          </w:p>
        </w:tc>
        <w:tc>
          <w:tcPr>
            <w:tcW w:w="828" w:type="dxa"/>
            <w:tcBorders>
              <w:top w:val="nil"/>
              <w:left w:val="nil"/>
              <w:bottom w:val="nil"/>
              <w:right w:val="single" w:sz="4" w:space="0" w:color="000000"/>
            </w:tcBorders>
            <w:shd w:val="clear" w:color="auto" w:fill="auto"/>
          </w:tcPr>
          <w:p w:rsidR="00A02B75" w:rsidRDefault="009C0B27">
            <w:pPr>
              <w:spacing w:line="480" w:lineRule="auto"/>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15%</w:t>
            </w:r>
          </w:p>
        </w:tc>
      </w:tr>
      <w:tr w:rsidR="00A02B75">
        <w:trPr>
          <w:trHeight w:val="20"/>
        </w:trPr>
        <w:tc>
          <w:tcPr>
            <w:tcW w:w="2408" w:type="dxa"/>
            <w:vMerge/>
            <w:tcBorders>
              <w:top w:val="nil"/>
              <w:left w:val="nil"/>
              <w:bottom w:val="single" w:sz="6" w:space="0" w:color="000000"/>
              <w:right w:val="nil"/>
            </w:tcBorders>
            <w:shd w:val="clear" w:color="auto" w:fill="auto"/>
            <w:vAlign w:val="center"/>
          </w:tcPr>
          <w:p w:rsidR="00A02B75" w:rsidRDefault="00A02B75">
            <w:pPr>
              <w:spacing w:line="480" w:lineRule="auto"/>
              <w:rPr>
                <w:rFonts w:ascii="Times New Roman" w:eastAsia="Times New Roman" w:hAnsi="Times New Roman" w:cs="Times New Roman"/>
                <w:sz w:val="22"/>
                <w:szCs w:val="22"/>
              </w:rPr>
            </w:pPr>
          </w:p>
        </w:tc>
        <w:tc>
          <w:tcPr>
            <w:tcW w:w="5312" w:type="dxa"/>
            <w:tcBorders>
              <w:top w:val="nil"/>
              <w:left w:val="nil"/>
              <w:bottom w:val="nil"/>
              <w:right w:val="nil"/>
            </w:tcBorders>
            <w:shd w:val="clear" w:color="auto" w:fill="auto"/>
          </w:tcPr>
          <w:p w:rsidR="00A02B75" w:rsidRDefault="009C0B27">
            <w:pPr>
              <w:spacing w:line="48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(2) Conditional right</w:t>
            </w:r>
          </w:p>
        </w:tc>
        <w:tc>
          <w:tcPr>
            <w:tcW w:w="551" w:type="dxa"/>
            <w:tcBorders>
              <w:top w:val="nil"/>
              <w:left w:val="nil"/>
              <w:bottom w:val="nil"/>
              <w:right w:val="nil"/>
            </w:tcBorders>
            <w:shd w:val="clear" w:color="auto" w:fill="auto"/>
          </w:tcPr>
          <w:p w:rsidR="00A02B75" w:rsidRDefault="009C0B27">
            <w:pPr>
              <w:spacing w:line="480" w:lineRule="auto"/>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568</w:t>
            </w:r>
          </w:p>
        </w:tc>
        <w:tc>
          <w:tcPr>
            <w:tcW w:w="828" w:type="dxa"/>
            <w:tcBorders>
              <w:top w:val="nil"/>
              <w:left w:val="nil"/>
              <w:bottom w:val="nil"/>
              <w:right w:val="single" w:sz="4" w:space="0" w:color="000000"/>
            </w:tcBorders>
            <w:shd w:val="clear" w:color="auto" w:fill="auto"/>
          </w:tcPr>
          <w:p w:rsidR="00A02B75" w:rsidRDefault="009C0B27">
            <w:pPr>
              <w:spacing w:line="480" w:lineRule="auto"/>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64%</w:t>
            </w:r>
          </w:p>
        </w:tc>
      </w:tr>
      <w:tr w:rsidR="00A02B75">
        <w:trPr>
          <w:trHeight w:val="20"/>
        </w:trPr>
        <w:tc>
          <w:tcPr>
            <w:tcW w:w="2408" w:type="dxa"/>
            <w:vMerge/>
            <w:tcBorders>
              <w:top w:val="nil"/>
              <w:left w:val="nil"/>
              <w:bottom w:val="single" w:sz="6" w:space="0" w:color="000000"/>
              <w:right w:val="nil"/>
            </w:tcBorders>
            <w:shd w:val="clear" w:color="auto" w:fill="auto"/>
            <w:vAlign w:val="center"/>
          </w:tcPr>
          <w:p w:rsidR="00A02B75" w:rsidRDefault="00A02B75">
            <w:pPr>
              <w:spacing w:line="480" w:lineRule="auto"/>
              <w:rPr>
                <w:rFonts w:ascii="Times New Roman" w:eastAsia="Times New Roman" w:hAnsi="Times New Roman" w:cs="Times New Roman"/>
                <w:sz w:val="22"/>
                <w:szCs w:val="22"/>
              </w:rPr>
            </w:pPr>
          </w:p>
        </w:tc>
        <w:tc>
          <w:tcPr>
            <w:tcW w:w="5312" w:type="dxa"/>
            <w:tcBorders>
              <w:top w:val="nil"/>
              <w:left w:val="nil"/>
              <w:bottom w:val="nil"/>
              <w:right w:val="nil"/>
            </w:tcBorders>
            <w:shd w:val="clear" w:color="auto" w:fill="auto"/>
          </w:tcPr>
          <w:p w:rsidR="00A02B75" w:rsidRDefault="009C0B27">
            <w:pPr>
              <w:spacing w:line="48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(3) Should have right</w:t>
            </w:r>
          </w:p>
        </w:tc>
        <w:tc>
          <w:tcPr>
            <w:tcW w:w="551" w:type="dxa"/>
            <w:tcBorders>
              <w:top w:val="nil"/>
              <w:left w:val="nil"/>
              <w:bottom w:val="nil"/>
              <w:right w:val="nil"/>
            </w:tcBorders>
            <w:shd w:val="clear" w:color="auto" w:fill="auto"/>
          </w:tcPr>
          <w:p w:rsidR="00A02B75" w:rsidRDefault="009C0B27">
            <w:pPr>
              <w:spacing w:line="480" w:lineRule="auto"/>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167</w:t>
            </w:r>
          </w:p>
        </w:tc>
        <w:tc>
          <w:tcPr>
            <w:tcW w:w="828" w:type="dxa"/>
            <w:tcBorders>
              <w:top w:val="nil"/>
              <w:left w:val="nil"/>
              <w:bottom w:val="nil"/>
              <w:right w:val="single" w:sz="4" w:space="0" w:color="000000"/>
            </w:tcBorders>
            <w:shd w:val="clear" w:color="auto" w:fill="auto"/>
          </w:tcPr>
          <w:p w:rsidR="00A02B75" w:rsidRDefault="009C0B27">
            <w:pPr>
              <w:spacing w:line="480" w:lineRule="auto"/>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19%</w:t>
            </w:r>
          </w:p>
        </w:tc>
      </w:tr>
      <w:tr w:rsidR="00A02B75">
        <w:trPr>
          <w:trHeight w:val="20"/>
        </w:trPr>
        <w:tc>
          <w:tcPr>
            <w:tcW w:w="2408" w:type="dxa"/>
            <w:vMerge/>
            <w:tcBorders>
              <w:top w:val="nil"/>
              <w:left w:val="nil"/>
              <w:bottom w:val="single" w:sz="6" w:space="0" w:color="000000"/>
              <w:right w:val="nil"/>
            </w:tcBorders>
            <w:shd w:val="clear" w:color="auto" w:fill="auto"/>
            <w:vAlign w:val="center"/>
          </w:tcPr>
          <w:p w:rsidR="00A02B75" w:rsidRDefault="00A02B75">
            <w:pPr>
              <w:spacing w:line="480" w:lineRule="auto"/>
              <w:rPr>
                <w:rFonts w:ascii="Times New Roman" w:eastAsia="Times New Roman" w:hAnsi="Times New Roman" w:cs="Times New Roman"/>
                <w:sz w:val="22"/>
                <w:szCs w:val="22"/>
              </w:rPr>
            </w:pPr>
          </w:p>
        </w:tc>
        <w:tc>
          <w:tcPr>
            <w:tcW w:w="5312" w:type="dxa"/>
            <w:tcBorders>
              <w:top w:val="nil"/>
              <w:left w:val="nil"/>
              <w:bottom w:val="nil"/>
              <w:right w:val="nil"/>
            </w:tcBorders>
            <w:shd w:val="clear" w:color="auto" w:fill="auto"/>
          </w:tcPr>
          <w:p w:rsidR="00A02B75" w:rsidRDefault="009C0B27">
            <w:pPr>
              <w:spacing w:line="48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(4) Do not know</w:t>
            </w:r>
          </w:p>
        </w:tc>
        <w:tc>
          <w:tcPr>
            <w:tcW w:w="551" w:type="dxa"/>
            <w:tcBorders>
              <w:top w:val="nil"/>
              <w:left w:val="nil"/>
              <w:bottom w:val="nil"/>
              <w:right w:val="nil"/>
            </w:tcBorders>
            <w:shd w:val="clear" w:color="auto" w:fill="auto"/>
          </w:tcPr>
          <w:p w:rsidR="00A02B75" w:rsidRDefault="009C0B27">
            <w:pPr>
              <w:spacing w:line="480" w:lineRule="auto"/>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21</w:t>
            </w:r>
          </w:p>
        </w:tc>
        <w:tc>
          <w:tcPr>
            <w:tcW w:w="828" w:type="dxa"/>
            <w:tcBorders>
              <w:top w:val="nil"/>
              <w:left w:val="nil"/>
              <w:bottom w:val="nil"/>
              <w:right w:val="single" w:sz="4" w:space="0" w:color="000000"/>
            </w:tcBorders>
            <w:shd w:val="clear" w:color="auto" w:fill="auto"/>
          </w:tcPr>
          <w:p w:rsidR="00A02B75" w:rsidRDefault="009C0B27">
            <w:pPr>
              <w:spacing w:line="480" w:lineRule="auto"/>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2%</w:t>
            </w:r>
          </w:p>
        </w:tc>
      </w:tr>
      <w:tr w:rsidR="00A02B75">
        <w:trPr>
          <w:trHeight w:val="20"/>
        </w:trPr>
        <w:tc>
          <w:tcPr>
            <w:tcW w:w="2408" w:type="dxa"/>
            <w:vMerge/>
            <w:tcBorders>
              <w:top w:val="nil"/>
              <w:left w:val="nil"/>
              <w:bottom w:val="single" w:sz="6" w:space="0" w:color="000000"/>
              <w:right w:val="nil"/>
            </w:tcBorders>
            <w:shd w:val="clear" w:color="auto" w:fill="auto"/>
            <w:vAlign w:val="center"/>
          </w:tcPr>
          <w:p w:rsidR="00A02B75" w:rsidRDefault="00A02B75">
            <w:pPr>
              <w:spacing w:line="480" w:lineRule="auto"/>
              <w:rPr>
                <w:rFonts w:ascii="Times New Roman" w:eastAsia="Times New Roman" w:hAnsi="Times New Roman" w:cs="Times New Roman"/>
                <w:sz w:val="22"/>
                <w:szCs w:val="22"/>
              </w:rPr>
            </w:pPr>
          </w:p>
        </w:tc>
        <w:tc>
          <w:tcPr>
            <w:tcW w:w="5312" w:type="dxa"/>
            <w:tcBorders>
              <w:top w:val="nil"/>
              <w:left w:val="nil"/>
              <w:bottom w:val="single" w:sz="4" w:space="0" w:color="000000"/>
              <w:right w:val="nil"/>
            </w:tcBorders>
            <w:shd w:val="clear" w:color="auto" w:fill="auto"/>
          </w:tcPr>
          <w:p w:rsidR="00A02B75" w:rsidRDefault="009C0B27">
            <w:pPr>
              <w:spacing w:line="480" w:lineRule="auto"/>
              <w:rPr>
                <w:rFonts w:ascii="Times New Roman" w:eastAsia="Times New Roman" w:hAnsi="Times New Roman" w:cs="Times New Roman"/>
                <w:b/>
                <w:sz w:val="22"/>
                <w:szCs w:val="22"/>
              </w:rPr>
            </w:pPr>
            <w:r>
              <w:rPr>
                <w:rFonts w:ascii="Times New Roman" w:eastAsia="Times New Roman" w:hAnsi="Times New Roman" w:cs="Times New Roman"/>
                <w:b/>
                <w:sz w:val="22"/>
                <w:szCs w:val="22"/>
              </w:rPr>
              <w:t>Total</w:t>
            </w:r>
          </w:p>
        </w:tc>
        <w:tc>
          <w:tcPr>
            <w:tcW w:w="551" w:type="dxa"/>
            <w:tcBorders>
              <w:top w:val="nil"/>
              <w:left w:val="nil"/>
              <w:bottom w:val="single" w:sz="4" w:space="0" w:color="000000"/>
              <w:right w:val="nil"/>
            </w:tcBorders>
            <w:shd w:val="clear" w:color="auto" w:fill="auto"/>
          </w:tcPr>
          <w:p w:rsidR="00A02B75" w:rsidRDefault="009C0B27">
            <w:pPr>
              <w:spacing w:line="480" w:lineRule="auto"/>
              <w:jc w:val="right"/>
              <w:rPr>
                <w:rFonts w:ascii="Times New Roman" w:eastAsia="Times New Roman" w:hAnsi="Times New Roman" w:cs="Times New Roman"/>
                <w:b/>
                <w:sz w:val="22"/>
                <w:szCs w:val="22"/>
              </w:rPr>
            </w:pPr>
            <w:r>
              <w:rPr>
                <w:rFonts w:ascii="Times New Roman" w:eastAsia="Times New Roman" w:hAnsi="Times New Roman" w:cs="Times New Roman"/>
                <w:b/>
                <w:sz w:val="22"/>
                <w:szCs w:val="22"/>
              </w:rPr>
              <w:t>888</w:t>
            </w:r>
          </w:p>
        </w:tc>
        <w:tc>
          <w:tcPr>
            <w:tcW w:w="828" w:type="dxa"/>
            <w:tcBorders>
              <w:top w:val="nil"/>
              <w:left w:val="nil"/>
              <w:bottom w:val="single" w:sz="4" w:space="0" w:color="000000"/>
              <w:right w:val="single" w:sz="4" w:space="0" w:color="000000"/>
            </w:tcBorders>
            <w:shd w:val="clear" w:color="auto" w:fill="auto"/>
          </w:tcPr>
          <w:p w:rsidR="00A02B75" w:rsidRDefault="009C0B27">
            <w:pPr>
              <w:spacing w:line="480" w:lineRule="auto"/>
              <w:jc w:val="right"/>
              <w:rPr>
                <w:rFonts w:ascii="Times New Roman" w:eastAsia="Times New Roman" w:hAnsi="Times New Roman" w:cs="Times New Roman"/>
                <w:b/>
                <w:sz w:val="22"/>
                <w:szCs w:val="22"/>
              </w:rPr>
            </w:pPr>
            <w:r>
              <w:rPr>
                <w:rFonts w:ascii="Times New Roman" w:eastAsia="Times New Roman" w:hAnsi="Times New Roman" w:cs="Times New Roman"/>
                <w:b/>
                <w:sz w:val="22"/>
                <w:szCs w:val="22"/>
              </w:rPr>
              <w:t>100%</w:t>
            </w:r>
          </w:p>
        </w:tc>
      </w:tr>
      <w:tr w:rsidR="00A02B75">
        <w:trPr>
          <w:trHeight w:val="20"/>
        </w:trPr>
        <w:tc>
          <w:tcPr>
            <w:tcW w:w="2408" w:type="dxa"/>
            <w:vMerge w:val="restart"/>
            <w:tcBorders>
              <w:top w:val="single" w:sz="4" w:space="0" w:color="000000"/>
              <w:left w:val="nil"/>
              <w:right w:val="nil"/>
            </w:tcBorders>
            <w:vAlign w:val="center"/>
          </w:tcPr>
          <w:p w:rsidR="00A02B75" w:rsidRDefault="009C0B27">
            <w:pPr>
              <w:spacing w:line="48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Referendum outcome preference (O)</w:t>
            </w:r>
          </w:p>
        </w:tc>
        <w:tc>
          <w:tcPr>
            <w:tcW w:w="5312" w:type="dxa"/>
            <w:tcBorders>
              <w:top w:val="single" w:sz="4" w:space="0" w:color="000000"/>
              <w:left w:val="nil"/>
              <w:bottom w:val="nil"/>
              <w:right w:val="nil"/>
            </w:tcBorders>
            <w:shd w:val="clear" w:color="auto" w:fill="auto"/>
          </w:tcPr>
          <w:p w:rsidR="00A02B75" w:rsidRDefault="009C0B27">
            <w:pPr>
              <w:spacing w:line="480" w:lineRule="auto"/>
              <w:rPr>
                <w:rFonts w:ascii="Times New Roman" w:eastAsia="Times New Roman" w:hAnsi="Times New Roman" w:cs="Times New Roman"/>
                <w:b/>
                <w:sz w:val="22"/>
                <w:szCs w:val="22"/>
              </w:rPr>
            </w:pPr>
            <w:r>
              <w:rPr>
                <w:rFonts w:ascii="Times New Roman" w:eastAsia="Times New Roman" w:hAnsi="Times New Roman" w:cs="Times New Roman"/>
                <w:sz w:val="22"/>
                <w:szCs w:val="22"/>
              </w:rPr>
              <w:t>(1) UK to leave the EU</w:t>
            </w:r>
          </w:p>
        </w:tc>
        <w:tc>
          <w:tcPr>
            <w:tcW w:w="551" w:type="dxa"/>
            <w:tcBorders>
              <w:top w:val="single" w:sz="4" w:space="0" w:color="000000"/>
              <w:left w:val="nil"/>
              <w:bottom w:val="nil"/>
              <w:right w:val="nil"/>
            </w:tcBorders>
            <w:shd w:val="clear" w:color="auto" w:fill="auto"/>
          </w:tcPr>
          <w:p w:rsidR="00A02B75" w:rsidRDefault="009C0B27">
            <w:pPr>
              <w:spacing w:line="480" w:lineRule="auto"/>
              <w:jc w:val="right"/>
              <w:rPr>
                <w:rFonts w:ascii="Times New Roman" w:eastAsia="Times New Roman" w:hAnsi="Times New Roman" w:cs="Times New Roman"/>
                <w:b/>
                <w:sz w:val="22"/>
                <w:szCs w:val="22"/>
              </w:rPr>
            </w:pPr>
            <w:r>
              <w:rPr>
                <w:rFonts w:ascii="Times New Roman" w:eastAsia="Times New Roman" w:hAnsi="Times New Roman" w:cs="Times New Roman"/>
                <w:sz w:val="22"/>
                <w:szCs w:val="22"/>
              </w:rPr>
              <w:t>50</w:t>
            </w:r>
          </w:p>
        </w:tc>
        <w:tc>
          <w:tcPr>
            <w:tcW w:w="828" w:type="dxa"/>
            <w:tcBorders>
              <w:top w:val="single" w:sz="4" w:space="0" w:color="000000"/>
              <w:left w:val="nil"/>
              <w:bottom w:val="nil"/>
              <w:right w:val="single" w:sz="4" w:space="0" w:color="000000"/>
            </w:tcBorders>
            <w:shd w:val="clear" w:color="auto" w:fill="auto"/>
          </w:tcPr>
          <w:p w:rsidR="00A02B75" w:rsidRDefault="009C0B27">
            <w:pPr>
              <w:spacing w:line="480" w:lineRule="auto"/>
              <w:jc w:val="right"/>
              <w:rPr>
                <w:rFonts w:ascii="Times New Roman" w:eastAsia="Times New Roman" w:hAnsi="Times New Roman" w:cs="Times New Roman"/>
                <w:b/>
                <w:sz w:val="22"/>
                <w:szCs w:val="22"/>
              </w:rPr>
            </w:pPr>
            <w:r>
              <w:rPr>
                <w:rFonts w:ascii="Times New Roman" w:eastAsia="Times New Roman" w:hAnsi="Times New Roman" w:cs="Times New Roman"/>
                <w:sz w:val="22"/>
                <w:szCs w:val="22"/>
              </w:rPr>
              <w:t>6%</w:t>
            </w:r>
          </w:p>
        </w:tc>
      </w:tr>
      <w:tr w:rsidR="00A02B75">
        <w:trPr>
          <w:trHeight w:val="20"/>
        </w:trPr>
        <w:tc>
          <w:tcPr>
            <w:tcW w:w="2408" w:type="dxa"/>
            <w:vMerge/>
            <w:tcBorders>
              <w:top w:val="single" w:sz="4" w:space="0" w:color="000000"/>
              <w:left w:val="nil"/>
              <w:right w:val="nil"/>
            </w:tcBorders>
            <w:vAlign w:val="center"/>
          </w:tcPr>
          <w:p w:rsidR="00A02B75" w:rsidRDefault="00A02B75">
            <w:pPr>
              <w:spacing w:line="480" w:lineRule="auto"/>
              <w:rPr>
                <w:rFonts w:ascii="Times New Roman" w:eastAsia="Times New Roman" w:hAnsi="Times New Roman" w:cs="Times New Roman"/>
                <w:sz w:val="22"/>
                <w:szCs w:val="22"/>
              </w:rPr>
            </w:pPr>
          </w:p>
        </w:tc>
        <w:tc>
          <w:tcPr>
            <w:tcW w:w="5312" w:type="dxa"/>
            <w:tcBorders>
              <w:top w:val="nil"/>
              <w:left w:val="nil"/>
              <w:bottom w:val="nil"/>
              <w:right w:val="nil"/>
            </w:tcBorders>
            <w:shd w:val="clear" w:color="auto" w:fill="auto"/>
          </w:tcPr>
          <w:p w:rsidR="00A02B75" w:rsidRDefault="009C0B27">
            <w:pPr>
              <w:spacing w:line="480" w:lineRule="auto"/>
              <w:ind w:left="369" w:hanging="369"/>
              <w:rPr>
                <w:rFonts w:ascii="Times New Roman" w:eastAsia="Times New Roman" w:hAnsi="Times New Roman" w:cs="Times New Roman"/>
                <w:b/>
                <w:sz w:val="22"/>
                <w:szCs w:val="22"/>
              </w:rPr>
            </w:pPr>
            <w:r>
              <w:rPr>
                <w:rFonts w:ascii="Times New Roman" w:eastAsia="Times New Roman" w:hAnsi="Times New Roman" w:cs="Times New Roman"/>
                <w:sz w:val="22"/>
                <w:szCs w:val="22"/>
              </w:rPr>
              <w:t>(2) UK to stay in the EU only if it gains more freedom to make its own laws</w:t>
            </w:r>
          </w:p>
        </w:tc>
        <w:tc>
          <w:tcPr>
            <w:tcW w:w="551" w:type="dxa"/>
            <w:tcBorders>
              <w:top w:val="nil"/>
              <w:left w:val="nil"/>
              <w:bottom w:val="nil"/>
              <w:right w:val="nil"/>
            </w:tcBorders>
            <w:shd w:val="clear" w:color="auto" w:fill="auto"/>
            <w:vAlign w:val="center"/>
          </w:tcPr>
          <w:p w:rsidR="00A02B75" w:rsidRDefault="009C0B27">
            <w:pPr>
              <w:spacing w:line="480" w:lineRule="auto"/>
              <w:jc w:val="right"/>
              <w:rPr>
                <w:rFonts w:ascii="Times New Roman" w:eastAsia="Times New Roman" w:hAnsi="Times New Roman" w:cs="Times New Roman"/>
                <w:b/>
                <w:sz w:val="22"/>
                <w:szCs w:val="22"/>
              </w:rPr>
            </w:pPr>
            <w:r>
              <w:rPr>
                <w:rFonts w:ascii="Times New Roman" w:eastAsia="Times New Roman" w:hAnsi="Times New Roman" w:cs="Times New Roman"/>
                <w:sz w:val="22"/>
                <w:szCs w:val="22"/>
              </w:rPr>
              <w:t>398</w:t>
            </w:r>
          </w:p>
        </w:tc>
        <w:tc>
          <w:tcPr>
            <w:tcW w:w="828" w:type="dxa"/>
            <w:tcBorders>
              <w:top w:val="nil"/>
              <w:left w:val="nil"/>
              <w:bottom w:val="nil"/>
              <w:right w:val="single" w:sz="4" w:space="0" w:color="000000"/>
            </w:tcBorders>
            <w:shd w:val="clear" w:color="auto" w:fill="auto"/>
            <w:vAlign w:val="center"/>
          </w:tcPr>
          <w:p w:rsidR="00A02B75" w:rsidRDefault="009C0B27">
            <w:pPr>
              <w:spacing w:line="480" w:lineRule="auto"/>
              <w:jc w:val="right"/>
              <w:rPr>
                <w:rFonts w:ascii="Times New Roman" w:eastAsia="Times New Roman" w:hAnsi="Times New Roman" w:cs="Times New Roman"/>
                <w:b/>
                <w:sz w:val="22"/>
                <w:szCs w:val="22"/>
              </w:rPr>
            </w:pPr>
            <w:r>
              <w:rPr>
                <w:rFonts w:ascii="Times New Roman" w:eastAsia="Times New Roman" w:hAnsi="Times New Roman" w:cs="Times New Roman"/>
                <w:sz w:val="22"/>
                <w:szCs w:val="22"/>
              </w:rPr>
              <w:t>45%</w:t>
            </w:r>
          </w:p>
        </w:tc>
      </w:tr>
      <w:tr w:rsidR="00A02B75">
        <w:trPr>
          <w:trHeight w:val="20"/>
        </w:trPr>
        <w:tc>
          <w:tcPr>
            <w:tcW w:w="2408" w:type="dxa"/>
            <w:vMerge/>
            <w:tcBorders>
              <w:top w:val="single" w:sz="4" w:space="0" w:color="000000"/>
              <w:left w:val="nil"/>
              <w:right w:val="nil"/>
            </w:tcBorders>
            <w:vAlign w:val="center"/>
          </w:tcPr>
          <w:p w:rsidR="00A02B75" w:rsidRDefault="00A02B75">
            <w:pPr>
              <w:spacing w:line="480" w:lineRule="auto"/>
              <w:rPr>
                <w:rFonts w:ascii="Times New Roman" w:eastAsia="Times New Roman" w:hAnsi="Times New Roman" w:cs="Times New Roman"/>
                <w:sz w:val="22"/>
                <w:szCs w:val="22"/>
              </w:rPr>
            </w:pPr>
          </w:p>
        </w:tc>
        <w:tc>
          <w:tcPr>
            <w:tcW w:w="5312" w:type="dxa"/>
            <w:tcBorders>
              <w:top w:val="nil"/>
              <w:left w:val="nil"/>
              <w:bottom w:val="nil"/>
              <w:right w:val="nil"/>
            </w:tcBorders>
            <w:shd w:val="clear" w:color="auto" w:fill="auto"/>
          </w:tcPr>
          <w:p w:rsidR="00A02B75" w:rsidRDefault="009C0B27">
            <w:pPr>
              <w:spacing w:line="480" w:lineRule="auto"/>
              <w:rPr>
                <w:rFonts w:ascii="Times New Roman" w:eastAsia="Times New Roman" w:hAnsi="Times New Roman" w:cs="Times New Roman"/>
                <w:b/>
                <w:sz w:val="22"/>
                <w:szCs w:val="22"/>
              </w:rPr>
            </w:pPr>
            <w:r>
              <w:rPr>
                <w:rFonts w:ascii="Times New Roman" w:eastAsia="Times New Roman" w:hAnsi="Times New Roman" w:cs="Times New Roman"/>
                <w:sz w:val="22"/>
                <w:szCs w:val="22"/>
              </w:rPr>
              <w:t>(3) UK to stay in the EU under the current conditions</w:t>
            </w:r>
          </w:p>
        </w:tc>
        <w:tc>
          <w:tcPr>
            <w:tcW w:w="551" w:type="dxa"/>
            <w:tcBorders>
              <w:top w:val="nil"/>
              <w:left w:val="nil"/>
              <w:bottom w:val="nil"/>
              <w:right w:val="nil"/>
            </w:tcBorders>
            <w:shd w:val="clear" w:color="auto" w:fill="auto"/>
          </w:tcPr>
          <w:p w:rsidR="00A02B75" w:rsidRDefault="009C0B27">
            <w:pPr>
              <w:spacing w:line="480" w:lineRule="auto"/>
              <w:jc w:val="right"/>
              <w:rPr>
                <w:rFonts w:ascii="Times New Roman" w:eastAsia="Times New Roman" w:hAnsi="Times New Roman" w:cs="Times New Roman"/>
                <w:b/>
                <w:sz w:val="22"/>
                <w:szCs w:val="22"/>
              </w:rPr>
            </w:pPr>
            <w:r>
              <w:rPr>
                <w:rFonts w:ascii="Times New Roman" w:eastAsia="Times New Roman" w:hAnsi="Times New Roman" w:cs="Times New Roman"/>
                <w:sz w:val="22"/>
                <w:szCs w:val="22"/>
              </w:rPr>
              <w:t>289</w:t>
            </w:r>
          </w:p>
        </w:tc>
        <w:tc>
          <w:tcPr>
            <w:tcW w:w="828" w:type="dxa"/>
            <w:tcBorders>
              <w:top w:val="nil"/>
              <w:left w:val="nil"/>
              <w:bottom w:val="nil"/>
              <w:right w:val="single" w:sz="4" w:space="0" w:color="000000"/>
            </w:tcBorders>
            <w:shd w:val="clear" w:color="auto" w:fill="auto"/>
          </w:tcPr>
          <w:p w:rsidR="00A02B75" w:rsidRDefault="009C0B27">
            <w:pPr>
              <w:spacing w:line="480" w:lineRule="auto"/>
              <w:jc w:val="right"/>
              <w:rPr>
                <w:rFonts w:ascii="Times New Roman" w:eastAsia="Times New Roman" w:hAnsi="Times New Roman" w:cs="Times New Roman"/>
                <w:b/>
                <w:sz w:val="22"/>
                <w:szCs w:val="22"/>
              </w:rPr>
            </w:pPr>
            <w:r>
              <w:rPr>
                <w:rFonts w:ascii="Times New Roman" w:eastAsia="Times New Roman" w:hAnsi="Times New Roman" w:cs="Times New Roman"/>
                <w:sz w:val="22"/>
                <w:szCs w:val="22"/>
              </w:rPr>
              <w:t>33%</w:t>
            </w:r>
          </w:p>
        </w:tc>
      </w:tr>
      <w:tr w:rsidR="00A02B75">
        <w:trPr>
          <w:trHeight w:val="20"/>
        </w:trPr>
        <w:tc>
          <w:tcPr>
            <w:tcW w:w="2408" w:type="dxa"/>
            <w:vMerge/>
            <w:tcBorders>
              <w:top w:val="single" w:sz="4" w:space="0" w:color="000000"/>
              <w:left w:val="nil"/>
              <w:right w:val="nil"/>
            </w:tcBorders>
            <w:vAlign w:val="center"/>
          </w:tcPr>
          <w:p w:rsidR="00A02B75" w:rsidRDefault="00A02B75">
            <w:pPr>
              <w:spacing w:line="480" w:lineRule="auto"/>
              <w:rPr>
                <w:rFonts w:ascii="Times New Roman" w:eastAsia="Times New Roman" w:hAnsi="Times New Roman" w:cs="Times New Roman"/>
                <w:sz w:val="22"/>
                <w:szCs w:val="22"/>
              </w:rPr>
            </w:pPr>
          </w:p>
        </w:tc>
        <w:tc>
          <w:tcPr>
            <w:tcW w:w="5312" w:type="dxa"/>
            <w:tcBorders>
              <w:top w:val="nil"/>
              <w:left w:val="nil"/>
              <w:bottom w:val="nil"/>
              <w:right w:val="nil"/>
            </w:tcBorders>
            <w:shd w:val="clear" w:color="auto" w:fill="auto"/>
          </w:tcPr>
          <w:p w:rsidR="00A02B75" w:rsidRDefault="009C0B27">
            <w:pPr>
              <w:spacing w:line="480" w:lineRule="auto"/>
              <w:rPr>
                <w:rFonts w:ascii="Times New Roman" w:eastAsia="Times New Roman" w:hAnsi="Times New Roman" w:cs="Times New Roman"/>
                <w:b/>
                <w:sz w:val="22"/>
                <w:szCs w:val="22"/>
              </w:rPr>
            </w:pPr>
            <w:r>
              <w:rPr>
                <w:rFonts w:ascii="Times New Roman" w:eastAsia="Times New Roman" w:hAnsi="Times New Roman" w:cs="Times New Roman"/>
                <w:sz w:val="22"/>
                <w:szCs w:val="22"/>
              </w:rPr>
              <w:t>(4) UK to stay and become even more integrated in the EU</w:t>
            </w:r>
          </w:p>
        </w:tc>
        <w:tc>
          <w:tcPr>
            <w:tcW w:w="551" w:type="dxa"/>
            <w:tcBorders>
              <w:top w:val="nil"/>
              <w:left w:val="nil"/>
              <w:bottom w:val="nil"/>
              <w:right w:val="nil"/>
            </w:tcBorders>
            <w:shd w:val="clear" w:color="auto" w:fill="auto"/>
          </w:tcPr>
          <w:p w:rsidR="00A02B75" w:rsidRDefault="009C0B27">
            <w:pPr>
              <w:spacing w:line="480" w:lineRule="auto"/>
              <w:jc w:val="right"/>
              <w:rPr>
                <w:rFonts w:ascii="Times New Roman" w:eastAsia="Times New Roman" w:hAnsi="Times New Roman" w:cs="Times New Roman"/>
                <w:b/>
                <w:sz w:val="22"/>
                <w:szCs w:val="22"/>
              </w:rPr>
            </w:pPr>
            <w:r>
              <w:rPr>
                <w:rFonts w:ascii="Times New Roman" w:eastAsia="Times New Roman" w:hAnsi="Times New Roman" w:cs="Times New Roman"/>
                <w:sz w:val="22"/>
                <w:szCs w:val="22"/>
              </w:rPr>
              <w:t>150</w:t>
            </w:r>
          </w:p>
        </w:tc>
        <w:tc>
          <w:tcPr>
            <w:tcW w:w="828" w:type="dxa"/>
            <w:tcBorders>
              <w:top w:val="nil"/>
              <w:left w:val="nil"/>
              <w:bottom w:val="nil"/>
              <w:right w:val="single" w:sz="4" w:space="0" w:color="000000"/>
            </w:tcBorders>
            <w:shd w:val="clear" w:color="auto" w:fill="auto"/>
          </w:tcPr>
          <w:p w:rsidR="00A02B75" w:rsidRDefault="009C0B27">
            <w:pPr>
              <w:spacing w:line="480" w:lineRule="auto"/>
              <w:jc w:val="right"/>
              <w:rPr>
                <w:rFonts w:ascii="Times New Roman" w:eastAsia="Times New Roman" w:hAnsi="Times New Roman" w:cs="Times New Roman"/>
                <w:b/>
                <w:sz w:val="22"/>
                <w:szCs w:val="22"/>
              </w:rPr>
            </w:pPr>
            <w:r>
              <w:rPr>
                <w:rFonts w:ascii="Times New Roman" w:eastAsia="Times New Roman" w:hAnsi="Times New Roman" w:cs="Times New Roman"/>
                <w:sz w:val="22"/>
                <w:szCs w:val="22"/>
              </w:rPr>
              <w:t>17%</w:t>
            </w:r>
          </w:p>
        </w:tc>
      </w:tr>
      <w:tr w:rsidR="00A02B75">
        <w:trPr>
          <w:trHeight w:val="20"/>
        </w:trPr>
        <w:tc>
          <w:tcPr>
            <w:tcW w:w="2408" w:type="dxa"/>
            <w:vMerge/>
            <w:tcBorders>
              <w:top w:val="single" w:sz="4" w:space="0" w:color="000000"/>
              <w:left w:val="nil"/>
              <w:right w:val="nil"/>
            </w:tcBorders>
            <w:vAlign w:val="center"/>
          </w:tcPr>
          <w:p w:rsidR="00A02B75" w:rsidRDefault="00A02B75">
            <w:pPr>
              <w:spacing w:line="480" w:lineRule="auto"/>
              <w:rPr>
                <w:rFonts w:ascii="Times New Roman" w:eastAsia="Times New Roman" w:hAnsi="Times New Roman" w:cs="Times New Roman"/>
                <w:sz w:val="22"/>
                <w:szCs w:val="22"/>
              </w:rPr>
            </w:pPr>
          </w:p>
        </w:tc>
        <w:tc>
          <w:tcPr>
            <w:tcW w:w="5312" w:type="dxa"/>
            <w:tcBorders>
              <w:top w:val="nil"/>
              <w:left w:val="nil"/>
              <w:bottom w:val="single" w:sz="4" w:space="0" w:color="000000"/>
              <w:right w:val="nil"/>
            </w:tcBorders>
            <w:shd w:val="clear" w:color="auto" w:fill="auto"/>
          </w:tcPr>
          <w:p w:rsidR="00A02B75" w:rsidRDefault="009C0B27">
            <w:pPr>
              <w:spacing w:line="480" w:lineRule="auto"/>
              <w:rPr>
                <w:rFonts w:ascii="Times New Roman" w:eastAsia="Times New Roman" w:hAnsi="Times New Roman" w:cs="Times New Roman"/>
                <w:b/>
                <w:sz w:val="22"/>
                <w:szCs w:val="22"/>
              </w:rPr>
            </w:pPr>
            <w:r>
              <w:rPr>
                <w:rFonts w:ascii="Times New Roman" w:eastAsia="Times New Roman" w:hAnsi="Times New Roman" w:cs="Times New Roman"/>
                <w:b/>
                <w:sz w:val="22"/>
                <w:szCs w:val="22"/>
              </w:rPr>
              <w:t>Total</w:t>
            </w:r>
          </w:p>
        </w:tc>
        <w:tc>
          <w:tcPr>
            <w:tcW w:w="551" w:type="dxa"/>
            <w:tcBorders>
              <w:top w:val="nil"/>
              <w:left w:val="nil"/>
              <w:bottom w:val="single" w:sz="4" w:space="0" w:color="000000"/>
              <w:right w:val="nil"/>
            </w:tcBorders>
            <w:shd w:val="clear" w:color="auto" w:fill="auto"/>
          </w:tcPr>
          <w:p w:rsidR="00A02B75" w:rsidRDefault="009C0B27">
            <w:pPr>
              <w:spacing w:line="480" w:lineRule="auto"/>
              <w:jc w:val="right"/>
              <w:rPr>
                <w:rFonts w:ascii="Times New Roman" w:eastAsia="Times New Roman" w:hAnsi="Times New Roman" w:cs="Times New Roman"/>
                <w:b/>
                <w:sz w:val="22"/>
                <w:szCs w:val="22"/>
              </w:rPr>
            </w:pPr>
            <w:r>
              <w:rPr>
                <w:rFonts w:ascii="Times New Roman" w:eastAsia="Times New Roman" w:hAnsi="Times New Roman" w:cs="Times New Roman"/>
                <w:b/>
                <w:sz w:val="22"/>
                <w:szCs w:val="22"/>
              </w:rPr>
              <w:t>88</w:t>
            </w:r>
            <w:r>
              <w:rPr>
                <w:rFonts w:ascii="Times New Roman" w:eastAsia="Times New Roman" w:hAnsi="Times New Roman" w:cs="Times New Roman"/>
                <w:b/>
                <w:sz w:val="22"/>
                <w:szCs w:val="22"/>
              </w:rPr>
              <w:lastRenderedPageBreak/>
              <w:t>7</w:t>
            </w:r>
          </w:p>
        </w:tc>
        <w:tc>
          <w:tcPr>
            <w:tcW w:w="828" w:type="dxa"/>
            <w:tcBorders>
              <w:top w:val="nil"/>
              <w:left w:val="nil"/>
              <w:bottom w:val="single" w:sz="4" w:space="0" w:color="000000"/>
              <w:right w:val="single" w:sz="4" w:space="0" w:color="000000"/>
            </w:tcBorders>
            <w:shd w:val="clear" w:color="auto" w:fill="auto"/>
          </w:tcPr>
          <w:p w:rsidR="00A02B75" w:rsidRDefault="009C0B27">
            <w:pPr>
              <w:spacing w:line="480" w:lineRule="auto"/>
              <w:jc w:val="right"/>
              <w:rPr>
                <w:rFonts w:ascii="Times New Roman" w:eastAsia="Times New Roman" w:hAnsi="Times New Roman" w:cs="Times New Roman"/>
                <w:b/>
                <w:sz w:val="22"/>
                <w:szCs w:val="22"/>
              </w:rPr>
            </w:pPr>
            <w:r>
              <w:rPr>
                <w:rFonts w:ascii="Times New Roman" w:eastAsia="Times New Roman" w:hAnsi="Times New Roman" w:cs="Times New Roman"/>
                <w:b/>
                <w:sz w:val="22"/>
                <w:szCs w:val="22"/>
              </w:rPr>
              <w:lastRenderedPageBreak/>
              <w:t>100%</w:t>
            </w:r>
          </w:p>
        </w:tc>
      </w:tr>
    </w:tbl>
    <w:p w:rsidR="00A02B75" w:rsidRDefault="00A02B75">
      <w:pPr>
        <w:spacing w:line="480" w:lineRule="auto"/>
        <w:jc w:val="both"/>
      </w:pPr>
    </w:p>
    <w:sectPr w:rsidR="00A02B75">
      <w:type w:val="continuous"/>
      <w:pgSz w:w="11906" w:h="16838"/>
      <w:pgMar w:top="1440" w:right="1440" w:bottom="1440" w:left="144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9C0B27">
      <w:r>
        <w:separator/>
      </w:r>
    </w:p>
  </w:endnote>
  <w:endnote w:type="continuationSeparator" w:id="0">
    <w:p w:rsidR="00000000" w:rsidRDefault="009C0B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2B75" w:rsidRDefault="00A02B75">
    <w:pPr>
      <w:tabs>
        <w:tab w:val="center" w:pos="4513"/>
        <w:tab w:val="right" w:pos="9026"/>
      </w:tabs>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2B75" w:rsidRDefault="00A02B75">
    <w:pPr>
      <w:tabs>
        <w:tab w:val="center" w:pos="4513"/>
        <w:tab w:val="right" w:pos="9026"/>
      </w:tabs>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2B75" w:rsidRDefault="00A02B75">
    <w:pPr>
      <w:tabs>
        <w:tab w:val="center" w:pos="4513"/>
        <w:tab w:val="right" w:pos="9026"/>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9C0B27">
      <w:r>
        <w:separator/>
      </w:r>
    </w:p>
  </w:footnote>
  <w:footnote w:type="continuationSeparator" w:id="0">
    <w:p w:rsidR="00000000" w:rsidRDefault="009C0B27">
      <w:r>
        <w:continuationSeparator/>
      </w:r>
    </w:p>
  </w:footnote>
  <w:footnote w:id="1">
    <w:p w:rsidR="00A02B75" w:rsidRDefault="009C0B27">
      <w:pPr>
        <w:rPr>
          <w:sz w:val="20"/>
          <w:szCs w:val="20"/>
        </w:rPr>
      </w:pPr>
      <w:r>
        <w:rPr>
          <w:vertAlign w:val="superscript"/>
        </w:rPr>
        <w:footnoteRef/>
      </w:r>
      <w:r>
        <w:rPr>
          <w:sz w:val="20"/>
          <w:szCs w:val="20"/>
        </w:rPr>
        <w:t xml:space="preserve"> Quotations include the following information: participants’ gender, age, time spent in the UK, as well as their answers to the survey questions on the referendum’s legitimacy (L), voting rights (V) and preferred outcome (O); see </w:t>
      </w:r>
      <w:r>
        <w:rPr>
          <w:i/>
          <w:sz w:val="20"/>
          <w:szCs w:val="20"/>
        </w:rPr>
        <w:t>Table III</w:t>
      </w:r>
      <w:r>
        <w:rPr>
          <w:sz w:val="20"/>
          <w:szCs w:val="20"/>
        </w:rPr>
        <w:t xml:space="preserve"> for full notatio</w:t>
      </w:r>
      <w:r>
        <w:rPr>
          <w:sz w:val="20"/>
          <w:szCs w:val="20"/>
        </w:rPr>
        <w:t>ns. For reasons of readability, survey answers are sometimes excluded in repeat quotes from the same participant.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2B75" w:rsidRDefault="00A02B75">
    <w:pPr>
      <w:tabs>
        <w:tab w:val="center" w:pos="4513"/>
        <w:tab w:val="right" w:pos="9026"/>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2B75" w:rsidRDefault="00A02B75">
    <w:pPr>
      <w:tabs>
        <w:tab w:val="center" w:pos="4513"/>
        <w:tab w:val="right" w:pos="9026"/>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2B75" w:rsidRDefault="00A02B75">
    <w:pPr>
      <w:tabs>
        <w:tab w:val="center" w:pos="4513"/>
        <w:tab w:val="right" w:pos="9026"/>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B75"/>
    <w:rsid w:val="009C0B27"/>
    <w:rsid w:val="00A02B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5A1ED7C-6871-4CCD-B3F4-B4E8B7880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color w:val="000000"/>
        <w:sz w:val="24"/>
        <w:szCs w:val="24"/>
        <w:lang w:val="en-GB" w:eastAsia="en-GB" w:bidi="ar-SA"/>
      </w:rPr>
    </w:rPrDefault>
    <w:pPrDefault>
      <w:pPr>
        <w:pBdr>
          <w:top w:val="nil"/>
          <w:left w:val="nil"/>
          <w:bottom w:val="nil"/>
          <w:right w:val="nil"/>
          <w:between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240"/>
      <w:outlineLvl w:val="0"/>
    </w:pPr>
    <w:rPr>
      <w:color w:val="2E75B5"/>
      <w:sz w:val="32"/>
      <w:szCs w:val="32"/>
    </w:rPr>
  </w:style>
  <w:style w:type="paragraph" w:styleId="Heading2">
    <w:name w:val="heading 2"/>
    <w:basedOn w:val="Normal"/>
    <w:next w:val="Normal"/>
    <w:pPr>
      <w:keepNext/>
      <w:keepLines/>
      <w:spacing w:before="40"/>
      <w:outlineLvl w:val="1"/>
    </w:pPr>
    <w:rPr>
      <w:color w:val="2E75B5"/>
      <w:sz w:val="26"/>
      <w:szCs w:val="2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contextualSpacing/>
    </w:pPr>
    <w:rPr>
      <w:sz w:val="56"/>
      <w:szCs w:val="56"/>
    </w:rPr>
  </w:style>
  <w:style w:type="paragraph" w:styleId="Subtitle">
    <w:name w:val="Subtitle"/>
    <w:basedOn w:val="Normal"/>
    <w:next w:val="Normal"/>
    <w:pPr>
      <w:spacing w:after="160"/>
    </w:pPr>
    <w:rPr>
      <w:color w:val="5A5A5A"/>
      <w:sz w:val="22"/>
      <w:szCs w:val="22"/>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ft.com/content/034b4d28-089b-11e2-b57f-00144feabdc0"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telegraph.co.uk/news/uknews/immigration/11783297/Polish-workers-in-UK-consider-strike-over-anti-immigrant-rhetoric.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87E6FC15</Template>
  <TotalTime>0</TotalTime>
  <Pages>37</Pages>
  <Words>9715</Words>
  <Characters>55377</Characters>
  <Application>Microsoft Office Word</Application>
  <DocSecurity>0</DocSecurity>
  <Lines>461</Lines>
  <Paragraphs>129</Paragraphs>
  <ScaleCrop>false</ScaleCrop>
  <HeadingPairs>
    <vt:vector size="2" baseType="variant">
      <vt:variant>
        <vt:lpstr>Title</vt:lpstr>
      </vt:variant>
      <vt:variant>
        <vt:i4>1</vt:i4>
      </vt:variant>
    </vt:vector>
  </HeadingPairs>
  <TitlesOfParts>
    <vt:vector size="1" baseType="lpstr">
      <vt:lpstr/>
    </vt:vector>
  </TitlesOfParts>
  <Company>Keele University</Company>
  <LinksUpToDate>false</LinksUpToDate>
  <CharactersWithSpaces>64963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Derek Mcghee</dc:creator>
  <cp:lastModifiedBy>Derek Mcghee</cp:lastModifiedBy>
  <cp:revision>2</cp:revision>
  <dcterms:created xsi:type="dcterms:W3CDTF">2018-04-11T14:59:00Z</dcterms:created>
  <dcterms:modified xsi:type="dcterms:W3CDTF">2018-04-11T14:59:00Z</dcterms:modified>
</cp:coreProperties>
</file>