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545" w:rsidRPr="00A51426" w:rsidRDefault="00593545" w:rsidP="00593545">
      <w:pPr>
        <w:pStyle w:val="Heading1"/>
        <w:rPr>
          <w:rFonts w:asciiTheme="minorHAnsi" w:hAnsiTheme="minorHAnsi"/>
          <w:b/>
          <w:color w:val="auto"/>
          <w:sz w:val="22"/>
          <w:szCs w:val="22"/>
        </w:rPr>
      </w:pPr>
      <w:r w:rsidRPr="00A51426">
        <w:rPr>
          <w:rFonts w:asciiTheme="minorHAnsi" w:hAnsiTheme="minorHAnsi"/>
          <w:b/>
          <w:color w:val="auto"/>
          <w:sz w:val="22"/>
          <w:szCs w:val="22"/>
        </w:rPr>
        <w:t>Title:</w:t>
      </w:r>
    </w:p>
    <w:p w:rsidR="00593545" w:rsidRDefault="00593545" w:rsidP="00593545">
      <w:pPr>
        <w:pStyle w:val="Heading1"/>
      </w:pPr>
      <w:proofErr w:type="gramStart"/>
      <w:r>
        <w:t>Exploring t</w:t>
      </w:r>
      <w:r w:rsidRPr="00B1219E">
        <w:t>he Relationship between Examiners</w:t>
      </w:r>
      <w:r>
        <w:t>’ Memories for performances, domain separation and score variability.</w:t>
      </w:r>
      <w:proofErr w:type="gramEnd"/>
    </w:p>
    <w:p w:rsidR="00593545" w:rsidRDefault="00593545" w:rsidP="00593545"/>
    <w:p w:rsidR="00593545" w:rsidRPr="00A51426" w:rsidRDefault="00593545" w:rsidP="00593545">
      <w:pPr>
        <w:rPr>
          <w:b/>
        </w:rPr>
      </w:pPr>
      <w:r w:rsidRPr="00A51426">
        <w:rPr>
          <w:b/>
        </w:rPr>
        <w:t>Short Title:</w:t>
      </w:r>
    </w:p>
    <w:p w:rsidR="00593545" w:rsidRPr="00A51426" w:rsidRDefault="00593545" w:rsidP="00593545">
      <w:pPr>
        <w:pStyle w:val="Heading1"/>
      </w:pPr>
      <w:r>
        <w:t>Remembering to differentiate</w:t>
      </w:r>
    </w:p>
    <w:p w:rsidR="00593545" w:rsidRPr="00A51426" w:rsidRDefault="00593545" w:rsidP="00593545">
      <w:pPr>
        <w:rPr>
          <w:b/>
        </w:rPr>
      </w:pPr>
    </w:p>
    <w:p w:rsidR="00593545" w:rsidRPr="00A51426" w:rsidRDefault="00593545" w:rsidP="00593545">
      <w:pPr>
        <w:rPr>
          <w:b/>
        </w:rPr>
      </w:pPr>
      <w:r w:rsidRPr="00A51426">
        <w:rPr>
          <w:b/>
        </w:rPr>
        <w:t>Authors:</w:t>
      </w:r>
    </w:p>
    <w:p w:rsidR="00593545" w:rsidRDefault="00593545" w:rsidP="00593545">
      <w:r>
        <w:t xml:space="preserve">Natasha </w:t>
      </w:r>
      <w:proofErr w:type="spellStart"/>
      <w:r>
        <w:t>Cleaton</w:t>
      </w:r>
      <w:proofErr w:type="spellEnd"/>
    </w:p>
    <w:p w:rsidR="00593545" w:rsidRDefault="00593545" w:rsidP="00593545">
      <w:r>
        <w:t xml:space="preserve">Peter </w:t>
      </w:r>
      <w:proofErr w:type="spellStart"/>
      <w:r>
        <w:t>Yeates</w:t>
      </w:r>
      <w:proofErr w:type="spellEnd"/>
    </w:p>
    <w:p w:rsidR="00593545" w:rsidRDefault="00593545" w:rsidP="00593545">
      <w:r>
        <w:t>Garth McCrae</w:t>
      </w:r>
    </w:p>
    <w:p w:rsidR="00593545" w:rsidRDefault="00593545" w:rsidP="00593545"/>
    <w:p w:rsidR="00593545" w:rsidRPr="00593545" w:rsidRDefault="00593545" w:rsidP="00593545">
      <w:proofErr w:type="gramStart"/>
      <w:r>
        <w:t xml:space="preserve">Accepted by </w:t>
      </w:r>
      <w:r>
        <w:rPr>
          <w:i/>
        </w:rPr>
        <w:t>Medical Teacher</w:t>
      </w:r>
      <w:r>
        <w:t>, 5</w:t>
      </w:r>
      <w:r w:rsidRPr="00593545">
        <w:rPr>
          <w:vertAlign w:val="superscript"/>
        </w:rPr>
        <w:t>th</w:t>
      </w:r>
      <w:r>
        <w:t xml:space="preserve"> April 2018.</w:t>
      </w:r>
      <w:proofErr w:type="gramEnd"/>
    </w:p>
    <w:p w:rsidR="00593545" w:rsidRPr="00593545" w:rsidRDefault="00593545" w:rsidP="00593545">
      <w:pPr>
        <w:rPr>
          <w:b/>
          <w:sz w:val="20"/>
          <w:szCs w:val="20"/>
        </w:rPr>
      </w:pPr>
      <w:r w:rsidRPr="00593545">
        <w:rPr>
          <w:rFonts w:ascii="Calibri" w:hAnsi="Calibri"/>
          <w:color w:val="222222"/>
          <w:sz w:val="20"/>
          <w:szCs w:val="20"/>
          <w:shd w:val="clear" w:color="auto" w:fill="FFFFFF"/>
        </w:rPr>
        <w:t xml:space="preserve">DOI: </w:t>
      </w:r>
      <w:r w:rsidRPr="00593545">
        <w:rPr>
          <w:rFonts w:ascii="Calibri" w:hAnsi="Calibri"/>
          <w:color w:val="222222"/>
          <w:sz w:val="20"/>
          <w:szCs w:val="20"/>
          <w:shd w:val="clear" w:color="auto" w:fill="FFFFFF"/>
        </w:rPr>
        <w:t>10.1080/0142159X.2018.1463088</w:t>
      </w:r>
      <w:r w:rsidRPr="00593545">
        <w:rPr>
          <w:rFonts w:ascii="Calibri" w:hAnsi="Calibri"/>
          <w:color w:val="222222"/>
          <w:sz w:val="20"/>
          <w:szCs w:val="20"/>
          <w:shd w:val="clear" w:color="auto" w:fill="FFFFFF"/>
        </w:rPr>
        <w:t xml:space="preserve">, available at: </w:t>
      </w:r>
      <w:hyperlink r:id="rId9" w:tgtFrame="_blank" w:history="1">
        <w:r w:rsidRPr="00593545">
          <w:rPr>
            <w:rStyle w:val="Hyperlink"/>
            <w:rFonts w:ascii="Calibri" w:hAnsi="Calibri"/>
            <w:color w:val="1155CC"/>
            <w:sz w:val="20"/>
            <w:szCs w:val="20"/>
            <w:shd w:val="clear" w:color="auto" w:fill="FFFFFF"/>
          </w:rPr>
          <w:t>https://doi.org/10.1080/0142159X.2018.1463088</w:t>
        </w:r>
      </w:hyperlink>
      <w:r w:rsidRPr="00593545">
        <w:rPr>
          <w:rFonts w:ascii="Calibri" w:hAnsi="Calibri"/>
          <w:color w:val="222222"/>
          <w:sz w:val="20"/>
          <w:szCs w:val="20"/>
          <w:shd w:val="clear" w:color="auto" w:fill="FFFFFF"/>
        </w:rPr>
        <w:t> </w:t>
      </w:r>
    </w:p>
    <w:p w:rsidR="00593545" w:rsidRPr="00A51426" w:rsidRDefault="00593545" w:rsidP="00593545">
      <w:pPr>
        <w:rPr>
          <w:b/>
        </w:rPr>
      </w:pPr>
      <w:r w:rsidRPr="00A51426">
        <w:rPr>
          <w:b/>
        </w:rPr>
        <w:t>Name of Institution:</w:t>
      </w:r>
    </w:p>
    <w:p w:rsidR="00593545" w:rsidRDefault="00593545" w:rsidP="00593545">
      <w:r w:rsidRPr="00A51426">
        <w:t>Keele University School of Medicine</w:t>
      </w:r>
    </w:p>
    <w:p w:rsidR="00593545" w:rsidRPr="00A51426" w:rsidRDefault="00593545" w:rsidP="00593545"/>
    <w:p w:rsidR="00593545" w:rsidRPr="00A51426" w:rsidRDefault="00593545" w:rsidP="00593545">
      <w:pPr>
        <w:rPr>
          <w:b/>
        </w:rPr>
      </w:pPr>
      <w:r w:rsidRPr="00A51426">
        <w:rPr>
          <w:b/>
        </w:rPr>
        <w:t>Corresponding details:</w:t>
      </w:r>
    </w:p>
    <w:p w:rsidR="00593545" w:rsidRPr="006E67D7" w:rsidRDefault="00593545" w:rsidP="00593545">
      <w:pPr>
        <w:rPr>
          <w:rFonts w:cs="Arial"/>
        </w:rPr>
      </w:pPr>
      <w:r w:rsidRPr="006E67D7">
        <w:rPr>
          <w:rFonts w:cs="Arial"/>
        </w:rPr>
        <w:t xml:space="preserve">Peter </w:t>
      </w:r>
      <w:proofErr w:type="spellStart"/>
      <w:r w:rsidRPr="006E67D7">
        <w:rPr>
          <w:rFonts w:cs="Arial"/>
        </w:rPr>
        <w:t>Yeates</w:t>
      </w:r>
      <w:proofErr w:type="spellEnd"/>
      <w:r w:rsidRPr="006E67D7">
        <w:rPr>
          <w:rFonts w:cs="Arial"/>
        </w:rPr>
        <w:t xml:space="preserve">, School of Medicine, David </w:t>
      </w:r>
      <w:proofErr w:type="spellStart"/>
      <w:r w:rsidRPr="006E67D7">
        <w:rPr>
          <w:rFonts w:cs="Arial"/>
        </w:rPr>
        <w:t>Weatherall</w:t>
      </w:r>
      <w:proofErr w:type="spellEnd"/>
      <w:r w:rsidRPr="006E67D7">
        <w:rPr>
          <w:rFonts w:cs="Arial"/>
        </w:rPr>
        <w:t xml:space="preserve"> Building, Keele University, </w:t>
      </w:r>
      <w:proofErr w:type="gramStart"/>
      <w:r w:rsidRPr="006E67D7">
        <w:rPr>
          <w:rFonts w:cs="Arial"/>
          <w:shd w:val="clear" w:color="auto" w:fill="FFFFFF"/>
        </w:rPr>
        <w:t>University</w:t>
      </w:r>
      <w:proofErr w:type="gramEnd"/>
      <w:r w:rsidRPr="006E67D7">
        <w:rPr>
          <w:rFonts w:cs="Arial"/>
          <w:shd w:val="clear" w:color="auto" w:fill="FFFFFF"/>
        </w:rPr>
        <w:t xml:space="preserve"> Road, Staffordshire ST4 6QG</w:t>
      </w:r>
      <w:r>
        <w:rPr>
          <w:rFonts w:cs="Arial"/>
          <w:shd w:val="clear" w:color="auto" w:fill="FFFFFF"/>
        </w:rPr>
        <w:t>.</w:t>
      </w:r>
    </w:p>
    <w:p w:rsidR="00593545" w:rsidRDefault="00593545" w:rsidP="00593545">
      <w:pPr>
        <w:rPr>
          <w:rFonts w:cs="Arial"/>
        </w:rPr>
      </w:pPr>
      <w:r>
        <w:rPr>
          <w:rFonts w:cs="Arial"/>
        </w:rPr>
        <w:t>Tel: +441782733930</w:t>
      </w:r>
    </w:p>
    <w:p w:rsidR="00593545" w:rsidRDefault="00593545" w:rsidP="00593545">
      <w:pPr>
        <w:rPr>
          <w:rFonts w:cs="Arial"/>
        </w:rPr>
      </w:pPr>
      <w:r>
        <w:rPr>
          <w:rFonts w:cs="Arial"/>
        </w:rPr>
        <w:t>F</w:t>
      </w:r>
      <w:r w:rsidRPr="00A51426">
        <w:rPr>
          <w:rFonts w:cs="Arial"/>
        </w:rPr>
        <w:t>ax</w:t>
      </w:r>
      <w:r>
        <w:rPr>
          <w:rFonts w:cs="Arial"/>
        </w:rPr>
        <w:t xml:space="preserve">: </w:t>
      </w:r>
      <w:proofErr w:type="gramStart"/>
      <w:r>
        <w:rPr>
          <w:rFonts w:cs="Arial"/>
        </w:rPr>
        <w:t>n/a</w:t>
      </w:r>
      <w:proofErr w:type="gramEnd"/>
      <w:r>
        <w:rPr>
          <w:rFonts w:cs="Arial"/>
        </w:rPr>
        <w:t xml:space="preserve"> number</w:t>
      </w:r>
    </w:p>
    <w:p w:rsidR="00593545" w:rsidRPr="00A51426" w:rsidRDefault="00593545" w:rsidP="00593545">
      <w:pPr>
        <w:rPr>
          <w:b/>
        </w:rPr>
      </w:pPr>
      <w:r>
        <w:rPr>
          <w:rFonts w:cs="Arial"/>
        </w:rPr>
        <w:t>E</w:t>
      </w:r>
      <w:r w:rsidRPr="00A51426">
        <w:rPr>
          <w:rFonts w:cs="Arial"/>
        </w:rPr>
        <w:t>mail</w:t>
      </w:r>
      <w:r>
        <w:rPr>
          <w:rFonts w:cs="Arial"/>
        </w:rPr>
        <w:t xml:space="preserve">: </w:t>
      </w:r>
      <w:hyperlink r:id="rId10" w:history="1">
        <w:r w:rsidRPr="00045D4C">
          <w:rPr>
            <w:rStyle w:val="Hyperlink"/>
            <w:rFonts w:cs="Arial"/>
          </w:rPr>
          <w:t>p.yeates@keele.ac.uk</w:t>
        </w:r>
      </w:hyperlink>
      <w:r>
        <w:rPr>
          <w:rFonts w:cs="Arial"/>
        </w:rPr>
        <w:t xml:space="preserve"> </w:t>
      </w:r>
      <w:r w:rsidRPr="00A51426">
        <w:rPr>
          <w:b/>
        </w:rPr>
        <w:t xml:space="preserve"> </w:t>
      </w:r>
    </w:p>
    <w:p w:rsidR="00593545" w:rsidRPr="00A51426" w:rsidRDefault="00593545" w:rsidP="00593545">
      <w:pPr>
        <w:rPr>
          <w:b/>
        </w:rPr>
      </w:pPr>
    </w:p>
    <w:p w:rsidR="00593545" w:rsidRPr="00A51426" w:rsidRDefault="00593545" w:rsidP="00593545">
      <w:pPr>
        <w:rPr>
          <w:b/>
        </w:rPr>
      </w:pPr>
      <w:r w:rsidRPr="00AF13D8">
        <w:rPr>
          <w:b/>
        </w:rPr>
        <w:t xml:space="preserve">Practice points </w:t>
      </w:r>
    </w:p>
    <w:p w:rsidR="00593545" w:rsidRDefault="00593545" w:rsidP="00593545">
      <w:pPr>
        <w:pStyle w:val="ListParagraph"/>
        <w:numPr>
          <w:ilvl w:val="0"/>
          <w:numId w:val="19"/>
        </w:numPr>
        <w:rPr>
          <w:rFonts w:cstheme="minorHAnsi"/>
          <w:color w:val="222222"/>
          <w:shd w:val="clear" w:color="auto" w:fill="FFFFFF"/>
        </w:rPr>
      </w:pPr>
      <w:r>
        <w:rPr>
          <w:rFonts w:cstheme="minorHAnsi"/>
          <w:color w:val="222222"/>
          <w:shd w:val="clear" w:color="auto" w:fill="FFFFFF"/>
        </w:rPr>
        <w:t>Examiners’ vary considerably in their ability to recollect students’ performances.</w:t>
      </w:r>
    </w:p>
    <w:p w:rsidR="00593545" w:rsidRPr="00306702" w:rsidRDefault="00593545" w:rsidP="00593545">
      <w:pPr>
        <w:pStyle w:val="ListParagraph"/>
        <w:numPr>
          <w:ilvl w:val="0"/>
          <w:numId w:val="19"/>
        </w:numPr>
      </w:pPr>
      <w:r w:rsidRPr="00306702">
        <w:t xml:space="preserve">Weak relationships exist between </w:t>
      </w:r>
      <w:proofErr w:type="gramStart"/>
      <w:r w:rsidRPr="00306702">
        <w:t>examiners’  recollection</w:t>
      </w:r>
      <w:proofErr w:type="gramEnd"/>
      <w:r w:rsidRPr="00306702">
        <w:t xml:space="preserve"> accuracy and their ability to accurately score performance</w:t>
      </w:r>
      <w:r>
        <w:t>s</w:t>
      </w:r>
      <w:r w:rsidRPr="00306702">
        <w:t xml:space="preserve"> or separate different domains of performance</w:t>
      </w:r>
      <w:r>
        <w:t>.</w:t>
      </w:r>
    </w:p>
    <w:p w:rsidR="00593545" w:rsidRPr="00131481" w:rsidRDefault="00593545" w:rsidP="00593545">
      <w:pPr>
        <w:pStyle w:val="ListParagraph"/>
        <w:numPr>
          <w:ilvl w:val="0"/>
          <w:numId w:val="19"/>
        </w:numPr>
        <w:rPr>
          <w:b/>
        </w:rPr>
      </w:pPr>
      <w:r w:rsidRPr="00131481">
        <w:rPr>
          <w:rFonts w:cstheme="minorHAnsi"/>
          <w:color w:val="222222"/>
          <w:shd w:val="clear" w:color="auto" w:fill="FFFFFF"/>
        </w:rPr>
        <w:t xml:space="preserve">Examiners’ episodic memories may be a useful focus for future research aiming to better understand </w:t>
      </w:r>
      <w:r>
        <w:rPr>
          <w:rFonts w:cstheme="minorHAnsi"/>
          <w:color w:val="222222"/>
          <w:shd w:val="clear" w:color="auto" w:fill="FFFFFF"/>
        </w:rPr>
        <w:t xml:space="preserve">the </w:t>
      </w:r>
      <w:r w:rsidRPr="00131481">
        <w:rPr>
          <w:rFonts w:cstheme="minorHAnsi"/>
          <w:color w:val="222222"/>
          <w:shd w:val="clear" w:color="auto" w:fill="FFFFFF"/>
        </w:rPr>
        <w:t>process</w:t>
      </w:r>
      <w:r>
        <w:rPr>
          <w:rFonts w:cstheme="minorHAnsi"/>
          <w:color w:val="222222"/>
          <w:shd w:val="clear" w:color="auto" w:fill="FFFFFF"/>
        </w:rPr>
        <w:t>ing and integration phases of judgement</w:t>
      </w:r>
      <w:r w:rsidRPr="00131481">
        <w:rPr>
          <w:rFonts w:cstheme="minorHAnsi"/>
          <w:color w:val="222222"/>
          <w:shd w:val="clear" w:color="auto" w:fill="FFFFFF"/>
        </w:rPr>
        <w:t xml:space="preserve">. </w:t>
      </w:r>
    </w:p>
    <w:p w:rsidR="00593545" w:rsidRPr="00131481" w:rsidRDefault="00593545" w:rsidP="00593545">
      <w:pPr>
        <w:pStyle w:val="ListParagraph"/>
        <w:rPr>
          <w:b/>
        </w:rPr>
      </w:pPr>
    </w:p>
    <w:p w:rsidR="00593545" w:rsidRDefault="00593545">
      <w:pPr>
        <w:rPr>
          <w:b/>
        </w:rPr>
      </w:pPr>
      <w:r>
        <w:rPr>
          <w:b/>
        </w:rPr>
        <w:br w:type="page"/>
      </w:r>
    </w:p>
    <w:p w:rsidR="00593545" w:rsidRPr="00A51426" w:rsidRDefault="00593545" w:rsidP="00593545">
      <w:pPr>
        <w:rPr>
          <w:b/>
        </w:rPr>
      </w:pPr>
      <w:r w:rsidRPr="00A51426">
        <w:rPr>
          <w:b/>
        </w:rPr>
        <w:lastRenderedPageBreak/>
        <w:t>Notes on contributors</w:t>
      </w:r>
    </w:p>
    <w:p w:rsidR="00593545" w:rsidRPr="006E67D7" w:rsidRDefault="00593545" w:rsidP="00593545">
      <w:pPr>
        <w:spacing w:line="480" w:lineRule="auto"/>
      </w:pPr>
      <w:r w:rsidRPr="006E67D7">
        <w:t>NC is</w:t>
      </w:r>
      <w:r>
        <w:t xml:space="preserve"> a Year 4 medical student at</w:t>
      </w:r>
      <w:r w:rsidRPr="006E67D7">
        <w:t xml:space="preserve"> </w:t>
      </w:r>
      <w:r>
        <w:t xml:space="preserve">Keele University </w:t>
      </w:r>
      <w:r w:rsidRPr="006E67D7">
        <w:t>School of Medicine. She is interested in</w:t>
      </w:r>
      <w:r>
        <w:t xml:space="preserve"> assessment of Medical Students competence and practical methods to improve the reliability of this process.   </w:t>
      </w:r>
    </w:p>
    <w:p w:rsidR="00593545" w:rsidRPr="006E67D7" w:rsidRDefault="00593545" w:rsidP="00593545">
      <w:pPr>
        <w:spacing w:line="480" w:lineRule="auto"/>
      </w:pPr>
      <w:r w:rsidRPr="006E67D7">
        <w:t>PY is a lecturer in</w:t>
      </w:r>
      <w:r>
        <w:t xml:space="preserve"> medical education research at Keele University </w:t>
      </w:r>
      <w:r w:rsidRPr="006E67D7">
        <w:t>School of Medicine</w:t>
      </w:r>
      <w:r>
        <w:t>, and a consultant in Acute and Respiratory Medicine at Pennine Acute Hospitals NHS Trust. He is interested in assessor cognition and innovative ways of improving the dependability of OSCEs.</w:t>
      </w:r>
    </w:p>
    <w:p w:rsidR="00593545" w:rsidRPr="00B80C33" w:rsidRDefault="00593545" w:rsidP="00593545">
      <w:pPr>
        <w:spacing w:line="480" w:lineRule="auto"/>
      </w:pPr>
      <w:r w:rsidRPr="00B80C33">
        <w:t xml:space="preserve">GM is a </w:t>
      </w:r>
      <w:r w:rsidRPr="00B80C33">
        <w:rPr>
          <w:rFonts w:cs="Arial"/>
          <w:color w:val="222222"/>
          <w:shd w:val="clear" w:color="auto" w:fill="FFFFFF"/>
        </w:rPr>
        <w:t xml:space="preserve">medical statistician at the Institute for Primary Care and Health Sciences, Keele University, </w:t>
      </w:r>
      <w:proofErr w:type="gramStart"/>
      <w:r w:rsidRPr="00B80C33">
        <w:rPr>
          <w:rFonts w:cs="Arial"/>
          <w:color w:val="222222"/>
          <w:shd w:val="clear" w:color="auto" w:fill="FFFFFF"/>
        </w:rPr>
        <w:t xml:space="preserve">and  </w:t>
      </w:r>
      <w:r w:rsidRPr="00B80C33">
        <w:t>a</w:t>
      </w:r>
      <w:proofErr w:type="gramEnd"/>
      <w:r w:rsidRPr="00B80C33">
        <w:t xml:space="preserve"> fellow of the Royal Statistical Society. </w:t>
      </w:r>
      <w:r w:rsidRPr="00B80C33">
        <w:rPr>
          <w:rFonts w:cs="Arial"/>
          <w:color w:val="222222"/>
          <w:shd w:val="clear" w:color="auto" w:fill="FFFFFF"/>
        </w:rPr>
        <w:t>His main interests are the measurement of child development, psychometric modelling of judgement data, and creation of short-form PROMS</w:t>
      </w:r>
      <w:r>
        <w:rPr>
          <w:rFonts w:cs="Arial"/>
          <w:color w:val="222222"/>
          <w:shd w:val="clear" w:color="auto" w:fill="FFFFFF"/>
        </w:rPr>
        <w:t>.</w:t>
      </w:r>
    </w:p>
    <w:p w:rsidR="00593545" w:rsidRPr="00A51426" w:rsidRDefault="00593545" w:rsidP="00593545">
      <w:pPr>
        <w:spacing w:line="480" w:lineRule="auto"/>
        <w:rPr>
          <w:b/>
        </w:rPr>
      </w:pPr>
      <w:r w:rsidRPr="00EF3916">
        <w:rPr>
          <w:b/>
        </w:rPr>
        <w:t>Glossary</w:t>
      </w:r>
    </w:p>
    <w:p w:rsidR="00593545" w:rsidRPr="00757A2C" w:rsidRDefault="00593545" w:rsidP="00593545">
      <w:pPr>
        <w:spacing w:line="480" w:lineRule="auto"/>
      </w:pPr>
      <w:r>
        <w:t xml:space="preserve">Episodic memory: A component of long-term memory that </w:t>
      </w:r>
      <w:r w:rsidRPr="00131481">
        <w:t>that enables human beings to remember past experiences</w:t>
      </w:r>
      <w:r>
        <w:t>. Storing information in episodic memory involves attention, encoding, and processing and then later retrieval to relive the memories. A variety of processes can interfere with these processes, so episodic memory is incompletely accurate (</w:t>
      </w:r>
      <w:proofErr w:type="spellStart"/>
      <w:r>
        <w:t>Tulving</w:t>
      </w:r>
      <w:proofErr w:type="spellEnd"/>
      <w:r>
        <w:t>, 2002).</w:t>
      </w:r>
    </w:p>
    <w:p w:rsidR="00072A9C" w:rsidRPr="00A51426" w:rsidRDefault="00072A9C" w:rsidP="00072A9C">
      <w:pPr>
        <w:pStyle w:val="Heading1"/>
      </w:pPr>
    </w:p>
    <w:p w:rsidR="00072A9C" w:rsidRDefault="00072A9C">
      <w:pPr>
        <w:rPr>
          <w:rFonts w:cs="Arial"/>
          <w:b/>
          <w:bCs/>
        </w:rPr>
      </w:pPr>
    </w:p>
    <w:p w:rsidR="00593545" w:rsidRDefault="00593545">
      <w:pPr>
        <w:rPr>
          <w:rFonts w:cs="Arial"/>
          <w:b/>
          <w:bCs/>
        </w:rPr>
      </w:pPr>
      <w:r>
        <w:rPr>
          <w:rFonts w:cs="Arial"/>
          <w:b/>
          <w:bCs/>
        </w:rPr>
        <w:br w:type="page"/>
      </w:r>
    </w:p>
    <w:p w:rsidR="00C3165B" w:rsidRDefault="00A51426">
      <w:pPr>
        <w:rPr>
          <w:b/>
        </w:rPr>
      </w:pPr>
      <w:r w:rsidRPr="00A51426">
        <w:rPr>
          <w:rFonts w:cs="Arial"/>
          <w:b/>
          <w:bCs/>
        </w:rPr>
        <w:lastRenderedPageBreak/>
        <w:t>Abstract</w:t>
      </w:r>
      <w:r w:rsidRPr="00A51426">
        <w:rPr>
          <w:b/>
        </w:rPr>
        <w:t xml:space="preserve"> (max 200 words)</w:t>
      </w:r>
    </w:p>
    <w:p w:rsidR="00C3165B" w:rsidRDefault="00C3165B" w:rsidP="00FF0B1C">
      <w:pPr>
        <w:spacing w:line="480" w:lineRule="auto"/>
      </w:pPr>
      <w:r>
        <w:t>Background: OSCE examiners</w:t>
      </w:r>
      <w:r w:rsidR="00656346">
        <w:t>’</w:t>
      </w:r>
      <w:r>
        <w:t xml:space="preserve"> s</w:t>
      </w:r>
      <w:r w:rsidR="00126C45">
        <w:t>cores are variable</w:t>
      </w:r>
      <w:r>
        <w:t xml:space="preserve"> and may discriminate domains of performance poorly. </w:t>
      </w:r>
      <w:r w:rsidR="00126C45">
        <w:t>E</w:t>
      </w:r>
      <w:r>
        <w:t xml:space="preserve">xaminers must hold their observations </w:t>
      </w:r>
      <w:r w:rsidR="00126C45">
        <w:t xml:space="preserve">of OSCE performances </w:t>
      </w:r>
      <w:r>
        <w:t xml:space="preserve">in </w:t>
      </w:r>
      <w:r w:rsidR="00126C45">
        <w:t>“</w:t>
      </w:r>
      <w:r>
        <w:t>episodic memor</w:t>
      </w:r>
      <w:r w:rsidR="00274C54">
        <w:t>y</w:t>
      </w:r>
      <w:r w:rsidR="00126C45">
        <w:t>”</w:t>
      </w:r>
      <w:r w:rsidR="00656346">
        <w:t xml:space="preserve"> until</w:t>
      </w:r>
      <w:r w:rsidR="00126C45">
        <w:t xml:space="preserve"> performance</w:t>
      </w:r>
      <w:r w:rsidR="00656346">
        <w:t>s end</w:t>
      </w:r>
      <w:r w:rsidR="00126C45">
        <w:t xml:space="preserve">. </w:t>
      </w:r>
      <w:r>
        <w:t>We investigated whether exami</w:t>
      </w:r>
      <w:r w:rsidR="00126C45">
        <w:t>ne</w:t>
      </w:r>
      <w:r>
        <w:t>rs</w:t>
      </w:r>
      <w:r w:rsidR="00126C45">
        <w:t xml:space="preserve"> </w:t>
      </w:r>
      <w:r>
        <w:t>vary in their recollection of performa</w:t>
      </w:r>
      <w:r w:rsidR="00126C45">
        <w:t xml:space="preserve">nces; </w:t>
      </w:r>
      <w:r>
        <w:t xml:space="preserve">and whether this relates </w:t>
      </w:r>
      <w:r w:rsidR="00126C45">
        <w:t xml:space="preserve">to </w:t>
      </w:r>
      <w:r>
        <w:t xml:space="preserve">their </w:t>
      </w:r>
      <w:r w:rsidR="00584235">
        <w:t>score variability</w:t>
      </w:r>
      <w:r>
        <w:t xml:space="preserve"> or ability to separate disparate </w:t>
      </w:r>
      <w:r w:rsidR="00126C45">
        <w:t>performance domains</w:t>
      </w:r>
      <w:r>
        <w:t>.</w:t>
      </w:r>
    </w:p>
    <w:p w:rsidR="00126C45" w:rsidRPr="00593545" w:rsidRDefault="00C3165B" w:rsidP="00FF0B1C">
      <w:pPr>
        <w:spacing w:line="480" w:lineRule="auto"/>
      </w:pPr>
      <w:r>
        <w:t xml:space="preserve">Methods: Secondary analysis was performed </w:t>
      </w:r>
      <w:r w:rsidR="00656346">
        <w:t>on</w:t>
      </w:r>
      <w:r>
        <w:t xml:space="preserve"> data </w:t>
      </w:r>
      <w:r w:rsidR="00656346">
        <w:t xml:space="preserve">where </w:t>
      </w:r>
      <w:r>
        <w:t>examiners</w:t>
      </w:r>
      <w:r w:rsidR="00656346">
        <w:t xml:space="preserve"> had:</w:t>
      </w:r>
      <w:r>
        <w:t xml:space="preserve"> </w:t>
      </w:r>
      <w:r w:rsidR="00656346">
        <w:t xml:space="preserve"> 1/</w:t>
      </w:r>
      <w:r>
        <w:t xml:space="preserve">scored videos of </w:t>
      </w:r>
      <w:r w:rsidRPr="00593545">
        <w:t xml:space="preserve">OSCE performances showing disparate </w:t>
      </w:r>
      <w:r w:rsidR="00656346" w:rsidRPr="00593545">
        <w:t xml:space="preserve">student </w:t>
      </w:r>
      <w:r w:rsidR="00126C45" w:rsidRPr="00593545">
        <w:t xml:space="preserve">ability </w:t>
      </w:r>
      <w:r w:rsidRPr="00593545">
        <w:t>in different domains</w:t>
      </w:r>
      <w:r w:rsidR="00656346" w:rsidRPr="00593545">
        <w:t>; and</w:t>
      </w:r>
      <w:r w:rsidRPr="00593545">
        <w:t xml:space="preserve"> </w:t>
      </w:r>
      <w:r w:rsidR="00656346" w:rsidRPr="00593545">
        <w:t>2/</w:t>
      </w:r>
      <w:r w:rsidRPr="00593545">
        <w:t>performed a measure of recollection</w:t>
      </w:r>
      <w:r w:rsidR="00126C45" w:rsidRPr="00593545">
        <w:t xml:space="preserve"> for an OSCE performance</w:t>
      </w:r>
      <w:r w:rsidRPr="00593545">
        <w:t>. We calculated measures of “overall-score variance” (</w:t>
      </w:r>
      <w:r w:rsidR="00274C54" w:rsidRPr="00593545">
        <w:t xml:space="preserve">the degree </w:t>
      </w:r>
      <w:r w:rsidR="00656346" w:rsidRPr="00593545">
        <w:t xml:space="preserve">individual </w:t>
      </w:r>
      <w:r w:rsidRPr="00593545">
        <w:t>examiners’ overall s</w:t>
      </w:r>
      <w:r w:rsidR="00584235" w:rsidRPr="00593545">
        <w:t>core</w:t>
      </w:r>
      <w:r w:rsidR="00274C54" w:rsidRPr="00593545">
        <w:t>s</w:t>
      </w:r>
      <w:r w:rsidR="00584235" w:rsidRPr="00593545">
        <w:t xml:space="preserve"> vari</w:t>
      </w:r>
      <w:r w:rsidR="00274C54" w:rsidRPr="00593545">
        <w:t>ed</w:t>
      </w:r>
      <w:r w:rsidR="00584235" w:rsidRPr="00593545">
        <w:t xml:space="preserve"> from the group mean</w:t>
      </w:r>
      <w:r w:rsidRPr="00593545">
        <w:t>) and “domain separation” (</w:t>
      </w:r>
      <w:r w:rsidR="00126C45" w:rsidRPr="00593545">
        <w:t>the degree to which examiners separated different</w:t>
      </w:r>
      <w:r w:rsidR="00274C54" w:rsidRPr="00593545">
        <w:t xml:space="preserve"> performance</w:t>
      </w:r>
      <w:r w:rsidR="00126C45" w:rsidRPr="00593545">
        <w:t xml:space="preserve"> domains). We related these variables to the measure of examiners</w:t>
      </w:r>
      <w:r w:rsidR="00404527" w:rsidRPr="00593545">
        <w:t>’</w:t>
      </w:r>
      <w:r w:rsidR="00126C45" w:rsidRPr="00593545">
        <w:t xml:space="preserve"> recollection.</w:t>
      </w:r>
    </w:p>
    <w:p w:rsidR="00971DB8" w:rsidRPr="00593545" w:rsidRDefault="00126C45" w:rsidP="00FF0B1C">
      <w:pPr>
        <w:spacing w:line="480" w:lineRule="auto"/>
      </w:pPr>
      <w:r w:rsidRPr="00593545">
        <w:t xml:space="preserve">Results: examiners varied </w:t>
      </w:r>
      <w:r w:rsidR="00971DB8" w:rsidRPr="00593545">
        <w:t xml:space="preserve">considerably </w:t>
      </w:r>
      <w:r w:rsidRPr="00593545">
        <w:t>in their recollection accuracy</w:t>
      </w:r>
      <w:r w:rsidR="00EE7DFB" w:rsidRPr="00593545">
        <w:t xml:space="preserve"> (</w:t>
      </w:r>
      <w:r w:rsidR="00404527" w:rsidRPr="00593545">
        <w:t xml:space="preserve">recognition </w:t>
      </w:r>
      <w:r w:rsidR="00EE7DFB" w:rsidRPr="00593545">
        <w:t>beyond chance</w:t>
      </w:r>
      <w:r w:rsidR="00404527" w:rsidRPr="00593545">
        <w:t xml:space="preserve"> -5% to +75% for different examiners</w:t>
      </w:r>
      <w:r w:rsidR="00EE7DFB" w:rsidRPr="00593545">
        <w:t>)</w:t>
      </w:r>
      <w:r w:rsidR="00404527" w:rsidRPr="00593545">
        <w:t>.</w:t>
      </w:r>
      <w:r w:rsidR="00971DB8" w:rsidRPr="00593545">
        <w:t xml:space="preserve"> Examiners’ recollection accuracy was </w:t>
      </w:r>
      <w:r w:rsidR="00684FF1" w:rsidRPr="00593545">
        <w:t xml:space="preserve">weakly inversely </w:t>
      </w:r>
      <w:r w:rsidR="00971DB8" w:rsidRPr="00593545">
        <w:t>related to their</w:t>
      </w:r>
      <w:r w:rsidR="00684FF1" w:rsidRPr="00593545">
        <w:t xml:space="preserve"> overall score accuracy (R=-0.17</w:t>
      </w:r>
      <w:proofErr w:type="gramStart"/>
      <w:r w:rsidR="00684FF1" w:rsidRPr="00593545">
        <w:t>,p</w:t>
      </w:r>
      <w:proofErr w:type="gramEnd"/>
      <w:r w:rsidR="00684FF1" w:rsidRPr="00593545">
        <w:t xml:space="preserve">&lt;0.001) and related to their </w:t>
      </w:r>
      <w:r w:rsidR="00971DB8" w:rsidRPr="00593545">
        <w:t xml:space="preserve">ability to separate domains of performance </w:t>
      </w:r>
      <w:r w:rsidR="00684FF1" w:rsidRPr="00593545">
        <w:t>(R=0.25,p&lt;0.001).</w:t>
      </w:r>
    </w:p>
    <w:p w:rsidR="00A51426" w:rsidRPr="00593545" w:rsidRDefault="00971DB8" w:rsidP="00FF0B1C">
      <w:pPr>
        <w:spacing w:line="480" w:lineRule="auto"/>
        <w:rPr>
          <w:sz w:val="28"/>
        </w:rPr>
      </w:pPr>
      <w:r w:rsidRPr="00593545">
        <w:t>Conclusions:</w:t>
      </w:r>
      <w:r w:rsidR="00404527" w:rsidRPr="00593545">
        <w:t xml:space="preserve"> </w:t>
      </w:r>
      <w:r w:rsidR="002A7EB5" w:rsidRPr="00593545">
        <w:rPr>
          <w:rFonts w:cs="Arial"/>
        </w:rPr>
        <w:t xml:space="preserve">Examiners vary </w:t>
      </w:r>
      <w:r w:rsidR="00684FF1" w:rsidRPr="00593545">
        <w:rPr>
          <w:rFonts w:cs="Arial"/>
        </w:rPr>
        <w:t xml:space="preserve">substantially </w:t>
      </w:r>
      <w:r w:rsidR="002A7EB5" w:rsidRPr="00593545">
        <w:rPr>
          <w:rFonts w:cs="Arial"/>
        </w:rPr>
        <w:t xml:space="preserve">in their </w:t>
      </w:r>
      <w:r w:rsidR="00684FF1" w:rsidRPr="00593545">
        <w:rPr>
          <w:rFonts w:cs="Arial"/>
        </w:rPr>
        <w:t xml:space="preserve">memories </w:t>
      </w:r>
      <w:r w:rsidR="00274C54" w:rsidRPr="00593545">
        <w:rPr>
          <w:rFonts w:cs="Arial"/>
        </w:rPr>
        <w:t>for students’</w:t>
      </w:r>
      <w:r w:rsidR="002A7EB5" w:rsidRPr="00593545">
        <w:rPr>
          <w:rFonts w:cs="Arial"/>
        </w:rPr>
        <w:t xml:space="preserve"> performances</w:t>
      </w:r>
      <w:r w:rsidR="00684FF1" w:rsidRPr="00593545">
        <w:rPr>
          <w:rFonts w:cs="Arial"/>
        </w:rPr>
        <w:t xml:space="preserve"> which may offer a usefu</w:t>
      </w:r>
      <w:r w:rsidR="00274C54" w:rsidRPr="00593545">
        <w:rPr>
          <w:rFonts w:cs="Arial"/>
        </w:rPr>
        <w:t>l point of difference to study</w:t>
      </w:r>
      <w:r w:rsidR="00684FF1" w:rsidRPr="00593545">
        <w:rPr>
          <w:rFonts w:cs="Arial"/>
        </w:rPr>
        <w:t xml:space="preserve"> processing and integration phases of judgement. Findings could have implication for the utility of feedback. </w:t>
      </w:r>
      <w:r w:rsidR="00A51426" w:rsidRPr="00593545">
        <w:rPr>
          <w:sz w:val="28"/>
        </w:rPr>
        <w:br w:type="page"/>
      </w:r>
    </w:p>
    <w:p w:rsidR="00C922A6" w:rsidRPr="00593545" w:rsidRDefault="00C922A6" w:rsidP="00C922A6">
      <w:pPr>
        <w:rPr>
          <w:b/>
          <w:sz w:val="28"/>
        </w:rPr>
      </w:pPr>
      <w:r w:rsidRPr="00593545">
        <w:rPr>
          <w:b/>
          <w:sz w:val="28"/>
        </w:rPr>
        <w:lastRenderedPageBreak/>
        <w:t>Background</w:t>
      </w:r>
    </w:p>
    <w:p w:rsidR="00C922A6" w:rsidRPr="00593545" w:rsidRDefault="0087457C" w:rsidP="00FF0B1C">
      <w:pPr>
        <w:spacing w:line="480" w:lineRule="auto"/>
      </w:pPr>
      <w:r w:rsidRPr="00593545">
        <w:t xml:space="preserve">The General Medical council </w:t>
      </w:r>
      <w:r w:rsidR="000B60C1" w:rsidRPr="00593545">
        <w:t>state</w:t>
      </w:r>
      <w:r w:rsidR="002E6832" w:rsidRPr="00593545">
        <w:t>s</w:t>
      </w:r>
      <w:r w:rsidR="000B60C1" w:rsidRPr="00593545">
        <w:t xml:space="preserve"> </w:t>
      </w:r>
      <w:r w:rsidR="00775C1D" w:rsidRPr="00593545">
        <w:t xml:space="preserve">that medical schools must ensure </w:t>
      </w:r>
      <w:r w:rsidR="0072210B" w:rsidRPr="00593545">
        <w:t xml:space="preserve">students are trained to </w:t>
      </w:r>
      <w:r w:rsidR="000B60C1" w:rsidRPr="00593545">
        <w:t xml:space="preserve">be </w:t>
      </w:r>
      <w:r w:rsidR="0072210B" w:rsidRPr="00593545">
        <w:t>proficient, ethical and competent in their medical practice</w:t>
      </w:r>
      <w:r w:rsidR="002F108C" w:rsidRPr="00593545">
        <w:t xml:space="preserve"> </w:t>
      </w:r>
      <w:r w:rsidR="008342AD" w:rsidRPr="00593545">
        <w:fldChar w:fldCharType="begin" w:fldLock="1"/>
      </w:r>
      <w:r w:rsidR="00BB436F" w:rsidRPr="00593545">
        <w:instrText>ADDIN CSL_CITATION { "citationItems" : [ { "id" : "ITEM-1", "itemData" : { "URL" : "https://www.gmc-uk.org/education/undergraduate/undergrad_outcomes_overarching.asp", "author" : [ { "dropping-particle" : "", "family" : "General Medical Council", "given" : "", "non-dropping-particle" : "", "parse-names" : false, "suffix" : "" } ], "id" : "ITEM-1", "issued" : { "date-parts" : [ [ "2017" ] ] }, "title" : "Outcomes for Graduates", "type" : "webpage" }, "uris" : [ "http://www.mendeley.com/documents/?uuid=a781a2b1-356e-4e3f-bfc9-3053b3994e53" ] } ], "mendeley" : { "formattedCitation" : "(General Medical Council 2017)", "plainTextFormattedCitation" : "(General Medical Council 2017)", "previouslyFormattedCitation" : "(General Medical Council 2017)" }, "properties" : {  }, "schema" : "https://github.com/citation-style-language/schema/raw/master/csl-citation.json" }</w:instrText>
      </w:r>
      <w:r w:rsidR="008342AD" w:rsidRPr="00593545">
        <w:fldChar w:fldCharType="separate"/>
      </w:r>
      <w:r w:rsidR="00BB436F" w:rsidRPr="00593545">
        <w:rPr>
          <w:noProof/>
        </w:rPr>
        <w:t>(General Medical Council 2017)</w:t>
      </w:r>
      <w:r w:rsidR="008342AD" w:rsidRPr="00593545">
        <w:fldChar w:fldCharType="end"/>
      </w:r>
      <w:r w:rsidR="0072210B" w:rsidRPr="00593545">
        <w:t>.</w:t>
      </w:r>
      <w:r w:rsidR="008342AD" w:rsidRPr="00593545">
        <w:t xml:space="preserve"> </w:t>
      </w:r>
      <w:r w:rsidR="00C922A6" w:rsidRPr="00593545">
        <w:t xml:space="preserve">On a more societal level, this is essential as clinical </w:t>
      </w:r>
      <w:r w:rsidR="002E6832" w:rsidRPr="00593545">
        <w:t>in</w:t>
      </w:r>
      <w:r w:rsidR="00C922A6" w:rsidRPr="00593545">
        <w:t>competenc</w:t>
      </w:r>
      <w:r w:rsidR="002E6832" w:rsidRPr="00593545">
        <w:t>e</w:t>
      </w:r>
      <w:r w:rsidR="00C922A6" w:rsidRPr="00593545">
        <w:t xml:space="preserve"> </w:t>
      </w:r>
      <w:r w:rsidR="002E6832" w:rsidRPr="00593545">
        <w:t xml:space="preserve">may </w:t>
      </w:r>
      <w:r w:rsidR="00C922A6" w:rsidRPr="00593545">
        <w:t>place patients at heightened levels of risk</w:t>
      </w:r>
      <w:r w:rsidR="002F108C" w:rsidRPr="00593545">
        <w:t xml:space="preserve"> </w:t>
      </w:r>
      <w:r w:rsidR="00DA7A52" w:rsidRPr="00593545">
        <w:fldChar w:fldCharType="begin" w:fldLock="1"/>
      </w:r>
      <w:r w:rsidR="00BB436F" w:rsidRPr="00593545">
        <w:instrText>ADDIN CSL_CITATION { "citationItems" : [ { "id" : "ITEM-1", "itemData" : { "DOI" : "355/13/1339 [pii]\\n10.1056/NEJMra055445", "ISBN" : "1533-4406 (Electronic)\\n0028-4793 (Linking)", "ISSN" : "1029-2977", "PMID" : "17252634", "abstract" : "M edical education seems to be in a perpetual state of unrest. From the early 1900s to the present, more than a score of reports from foundations, educational bodies, and professional task forces have crit-icized medical education for emphasizing scientific knowledge over biologic under-standing, clinical reasoning, practical skill, and the development of character, com-passion, and integrity. 1-4 How did this situation arise, and what can be done about it? In this article, which introduces a new series on medical education in the Journal, we summarize the changes in medical education over the past century and describe the current challenges, using as a framework the key goals of professional educa-tion: to transmit knowledge, to impart skills, and to inculcate the values of the profession. A br a h a m Fle x ner a nd A mer ic a n Medic a l Educ ation", "author" : [ { "dropping-particle" : "", "family" : "Cooke", "given" : "Molly", "non-dropping-particle" : "", "parse-names" : false, "suffix" : "" }, { "dropping-particle" : "", "family" : "Irby", "given" : "David M.", "non-dropping-particle" : "", "parse-names" : false, "suffix" : "" }, { "dropping-particle" : "", "family" : "Sullivan", "given" : "William", "non-dropping-particle" : "", "parse-names" : false, "suffix" : "" }, { "dropping-particle" : "", "family" : "Ludmerer", "given" : "Kenneth M.", "non-dropping-particle" : "", "parse-names" : false, "suffix" : "" } ], "container-title" : "The New England journal of medicine", "id" : "ITEM-1", "issued" : { "date-parts" : [ [ "2006", "1" ] ] }, "page" : "1339-44", "title" : "American medical education 100 years after the Flexner report.", "type" : "article-journal", "volume" : "355" }, "uris" : [ "http://www.mendeley.com/documents/?uuid=1883faaf-5103-4c11-a30b-cf065a80b5e7" ] } ], "mendeley" : { "formattedCitation" : "(Cooke et al. 2006)", "plainTextFormattedCitation" : "(Cooke et al. 2006)", "previouslyFormattedCitation" : "(Cooke et al. 2006)" }, "properties" : {  }, "schema" : "https://github.com/citation-style-language/schema/raw/master/csl-citation.json" }</w:instrText>
      </w:r>
      <w:r w:rsidR="00DA7A52" w:rsidRPr="00593545">
        <w:fldChar w:fldCharType="separate"/>
      </w:r>
      <w:r w:rsidR="00BB436F" w:rsidRPr="00593545">
        <w:rPr>
          <w:noProof/>
        </w:rPr>
        <w:t>(Cooke et al. 2006)</w:t>
      </w:r>
      <w:r w:rsidR="00DA7A52" w:rsidRPr="00593545">
        <w:fldChar w:fldCharType="end"/>
      </w:r>
      <w:r w:rsidR="00C922A6" w:rsidRPr="00593545">
        <w:t xml:space="preserve">. </w:t>
      </w:r>
      <w:r w:rsidR="002E6832" w:rsidRPr="00593545">
        <w:t xml:space="preserve">Consequently, </w:t>
      </w:r>
      <w:r w:rsidR="00EE1991" w:rsidRPr="00593545">
        <w:t>assessments to judge</w:t>
      </w:r>
      <w:r w:rsidR="00C922A6" w:rsidRPr="00593545">
        <w:t xml:space="preserve"> whether trainee</w:t>
      </w:r>
      <w:r w:rsidR="002E6832" w:rsidRPr="00593545">
        <w:t>s</w:t>
      </w:r>
      <w:r w:rsidR="00C922A6" w:rsidRPr="00593545">
        <w:t xml:space="preserve"> can apply their knowledge and skills competently and ethically in a practic</w:t>
      </w:r>
      <w:r w:rsidR="00EE1991" w:rsidRPr="00593545">
        <w:t>e are</w:t>
      </w:r>
      <w:r w:rsidR="002E6832" w:rsidRPr="00593545">
        <w:t xml:space="preserve"> critical to medical education. </w:t>
      </w:r>
    </w:p>
    <w:p w:rsidR="004B7745" w:rsidRPr="00593545" w:rsidRDefault="004B7745" w:rsidP="00FF0B1C">
      <w:pPr>
        <w:spacing w:line="480" w:lineRule="auto"/>
        <w:rPr>
          <w:b/>
        </w:rPr>
      </w:pPr>
    </w:p>
    <w:p w:rsidR="00C922A6" w:rsidRPr="00593545" w:rsidRDefault="00C922A6" w:rsidP="00FF0B1C">
      <w:pPr>
        <w:spacing w:line="480" w:lineRule="auto"/>
      </w:pPr>
      <w:r w:rsidRPr="00593545">
        <w:t>A range of assessment types are used to assess medical students</w:t>
      </w:r>
      <w:r w:rsidR="002E6832" w:rsidRPr="00593545">
        <w:t>’</w:t>
      </w:r>
      <w:r w:rsidRPr="00593545">
        <w:t xml:space="preserve"> learning. Whilst written assessment formats are useful for assessing applied knowledge, meaningful assessment of practical skills requires observation and judgement of students’ performances. The most prevalent format for these judgements </w:t>
      </w:r>
      <w:r w:rsidR="002E6832" w:rsidRPr="00593545">
        <w:t xml:space="preserve">in high stakes assessments </w:t>
      </w:r>
      <w:r w:rsidRPr="00593545">
        <w:t>are</w:t>
      </w:r>
      <w:r w:rsidR="002E6832" w:rsidRPr="00593545">
        <w:t xml:space="preserve"> </w:t>
      </w:r>
      <w:r w:rsidRPr="00593545">
        <w:t>“Objective Structured Clinical Examinations (OSCE</w:t>
      </w:r>
      <w:r w:rsidR="002E6832" w:rsidRPr="00593545">
        <w:t>s</w:t>
      </w:r>
      <w:r w:rsidRPr="00593545">
        <w:t>)”, which involve a qualified practitioner making an observational judgement on students’ performance</w:t>
      </w:r>
      <w:r w:rsidR="002E6832" w:rsidRPr="00593545">
        <w:t>s</w:t>
      </w:r>
      <w:r w:rsidRPr="00593545">
        <w:t xml:space="preserve"> whilst they demonstrate their skills in standardi</w:t>
      </w:r>
      <w:r w:rsidR="002E6832" w:rsidRPr="00593545">
        <w:t>s</w:t>
      </w:r>
      <w:r w:rsidRPr="00593545">
        <w:t>ed, simulated clinical tasks such as communication skills, physical examinations, or practical procedures</w:t>
      </w:r>
      <w:r w:rsidR="002F108C" w:rsidRPr="00593545">
        <w:t xml:space="preserve"> </w:t>
      </w:r>
      <w:r w:rsidR="00DA7A52" w:rsidRPr="00593545">
        <w:fldChar w:fldCharType="begin" w:fldLock="1"/>
      </w:r>
      <w:r w:rsidR="00BB436F" w:rsidRPr="00593545">
        <w:instrText>ADDIN CSL_CITATION { "citationItems" : [ { "id" : "ITEM-1", "itemData" : { "DOI" : "10.1046/j.1365-2923.2004.01755.x", "author" : [ { "dropping-particle" : "", "family" : "Newble", "given" : "David", "non-dropping-particle" : "", "parse-names" : false, "suffix" : "" } ], "container-title" : "Medical Education", "id" : "ITEM-1", "issued" : { "date-parts" : [ [ "2004" ] ] }, "page" : "199-203", "title" : "Techniques for measuring clinical competence : objective structured clinical examinations", "type" : "article-journal", "volume" : "38" }, "uris" : [ "http://www.mendeley.com/documents/?uuid=f74ac355-a39d-47d4-a9b3-3e075eb9f8f4" ] } ], "mendeley" : { "formattedCitation" : "(Newble 2004)", "plainTextFormattedCitation" : "(Newble 2004)", "previouslyFormattedCitation" : "(Newble 2004)" }, "properties" : {  }, "schema" : "https://github.com/citation-style-language/schema/raw/master/csl-citation.json" }</w:instrText>
      </w:r>
      <w:r w:rsidR="00DA7A52" w:rsidRPr="00593545">
        <w:fldChar w:fldCharType="separate"/>
      </w:r>
      <w:r w:rsidR="00BB436F" w:rsidRPr="00593545">
        <w:rPr>
          <w:noProof/>
        </w:rPr>
        <w:t>(Newble 2004)</w:t>
      </w:r>
      <w:r w:rsidR="00DA7A52" w:rsidRPr="00593545">
        <w:fldChar w:fldCharType="end"/>
      </w:r>
      <w:r w:rsidRPr="00593545">
        <w:t>. Whilst standardi</w:t>
      </w:r>
      <w:r w:rsidR="002E6832" w:rsidRPr="00593545">
        <w:t>s</w:t>
      </w:r>
      <w:r w:rsidRPr="00593545">
        <w:t>ed marking schemes help to direct examiners</w:t>
      </w:r>
      <w:r w:rsidR="004E7B7D" w:rsidRPr="00593545">
        <w:t>’ focus</w:t>
      </w:r>
      <w:r w:rsidR="00EE1991" w:rsidRPr="00593545">
        <w:t>, OSCEs</w:t>
      </w:r>
      <w:r w:rsidRPr="00593545">
        <w:t xml:space="preserve"> remains subjective, relying on a judgements by examiner</w:t>
      </w:r>
      <w:r w:rsidR="004E7B7D" w:rsidRPr="00593545">
        <w:t>s</w:t>
      </w:r>
      <w:r w:rsidRPr="00593545">
        <w:t xml:space="preserve"> as to whether student</w:t>
      </w:r>
      <w:r w:rsidR="0001584E" w:rsidRPr="00593545">
        <w:t xml:space="preserve">s are </w:t>
      </w:r>
      <w:r w:rsidRPr="00593545">
        <w:t xml:space="preserve"> capable of</w:t>
      </w:r>
      <w:r w:rsidR="0001584E" w:rsidRPr="00593545">
        <w:t xml:space="preserve"> providing </w:t>
      </w:r>
      <w:r w:rsidRPr="00593545">
        <w:t xml:space="preserve"> safe, effective, clinical </w:t>
      </w:r>
      <w:r w:rsidR="0001584E" w:rsidRPr="00593545">
        <w:t>care</w:t>
      </w:r>
      <w:r w:rsidR="002F108C" w:rsidRPr="00593545">
        <w:t xml:space="preserve"> </w:t>
      </w:r>
      <w:r w:rsidR="004E7B7D" w:rsidRPr="00593545">
        <w:fldChar w:fldCharType="begin" w:fldLock="1"/>
      </w:r>
      <w:r w:rsidR="00BB436F" w:rsidRPr="00593545">
        <w:instrText>ADDIN CSL_CITATION { "citationItems" : [ { "id" : "ITEM-1", "itemData" : { "DOI" : "10.1111/medu.12546", "ISSN" : "1365-2923", "PMID" : "25307633", "abstract" : "CONTEXT: Performance assessments, such as workplace-based assessments (WBAs), represent a crucial component of assessment strategy in medical education. Persistent concerns about rater variability in performance assessments have resulted in a new field of study focusing on the cognitive processes used by raters, or more inclusively, by assessors.\\n\\nMETHODS: An international group of researchers met regularly to share and critique key findings in assessor cognition research. Through iterative discussions, they identified the prevailing approaches to assessor cognition research and noted that each of them were based on nearly disparate theoretical frameworks and literatures. This paper aims to provide a conceptual review of the different perspectives used by researchers in this field using the specific example of WBA.\\n\\nRESULTS: Three distinct, but not mutually exclusive, perspectives on the origins and possible solutions to variability in assessment judgements emerged from the discussions within the group of researchers: (i) the assessor as trainable: assessors vary because they do not apply assessment criteria correctly, use varied frames of reference and make unjustified inferences; (ii) the assessor as fallible: variations arise as a result of fundamental limitations in human cognition that mean assessors are readily and haphazardly influenced by their immediate context, and (iii) the assessor as meaningfully idiosyncratic: experts are capable of making sense of highly complex and nuanced scenarios through inference and contextual sensitivity, which suggests assessor differences may represent legitimate experience-based interpretations.\\n\\nCONCLUSIONS: Although each of the perspectives discussed in this paper advances our understanding of assessor cognition and its impact on WBA, every perspective has its limitations. Following a discussion of areas of concordance and discordance across the perspectives, we propose a coexistent view in which researchers and practitioners utilise aspects of all three perspectives with the goal of advancing assessment quality and ultimately improving patient care.", "author" : [ { "dropping-particle" : "", "family" : "Gingerich", "given" : "Andrea", "non-dropping-particle" : "", "parse-names" : false, "suffix" : "" }, { "dropping-particle" : "", "family" : "Kogan", "given" : "Jennifer", "non-dropping-particle" : "", "parse-names" : false, "suffix" : "" }, { "dropping-particle" : "", "family" : "Yeates", "given" : "Peter", "non-dropping-particle" : "", "parse-names" : false, "suffix" : "" }, { "dropping-particle" : "", "family" : "Govaerts", "given" : "Marjan", "non-dropping-particle" : "", "parse-names" : false, "suffix" : "" }, { "dropping-particle" : "", "family" : "Holmboe", "given" : "Eric", "non-dropping-particle" : "", "parse-names" : false, "suffix" : "" } ], "container-title" : "Medical education", "id" : "ITEM-1", "issue" : "11", "issued" : { "date-parts" : [ [ "2014" ] ] }, "page" : "1055-68", "title" : "Seeing the 'black box' differently: assessor cognition from three research perspectives.", "type" : "article-journal", "volume" : "48" }, "uris" : [ "http://www.mendeley.com/documents/?uuid=96dd37a8-9a4e-4bc2-b08f-3521150a6235" ] } ], "mendeley" : { "formattedCitation" : "(Gingerich et al. 2014)", "plainTextFormattedCitation" : "(Gingerich et al. 2014)", "previouslyFormattedCitation" : "(Gingerich et al. 2014)" }, "properties" : {  }, "schema" : "https://github.com/citation-style-language/schema/raw/master/csl-citation.json" }</w:instrText>
      </w:r>
      <w:r w:rsidR="004E7B7D" w:rsidRPr="00593545">
        <w:fldChar w:fldCharType="separate"/>
      </w:r>
      <w:r w:rsidR="00BB436F" w:rsidRPr="00593545">
        <w:rPr>
          <w:noProof/>
        </w:rPr>
        <w:t>(Gingerich et al. 2014)</w:t>
      </w:r>
      <w:r w:rsidR="004E7B7D" w:rsidRPr="00593545">
        <w:fldChar w:fldCharType="end"/>
      </w:r>
      <w:r w:rsidR="00EE1991" w:rsidRPr="00593545">
        <w:t>. This</w:t>
      </w:r>
      <w:r w:rsidRPr="00593545">
        <w:t xml:space="preserve"> subjectivity </w:t>
      </w:r>
      <w:r w:rsidR="00072E3B" w:rsidRPr="00593545">
        <w:t>introduces the potential for</w:t>
      </w:r>
      <w:r w:rsidRPr="00593545">
        <w:t xml:space="preserve"> substantial inter-examiner score variability, which is problematic for these types of assessment. </w:t>
      </w:r>
    </w:p>
    <w:p w:rsidR="004B7745" w:rsidRPr="00593545" w:rsidRDefault="004B7745" w:rsidP="00FF0B1C">
      <w:pPr>
        <w:spacing w:line="480" w:lineRule="auto"/>
      </w:pPr>
    </w:p>
    <w:p w:rsidR="006C2481" w:rsidRPr="00593545" w:rsidRDefault="006B77F1" w:rsidP="00FF0B1C">
      <w:pPr>
        <w:spacing w:line="480" w:lineRule="auto"/>
      </w:pPr>
      <w:r w:rsidRPr="00593545">
        <w:t xml:space="preserve">Prior research has investigated the magnitude of examiner variability in OSCEs. </w:t>
      </w:r>
      <w:proofErr w:type="spellStart"/>
      <w:r w:rsidR="00EE1991" w:rsidRPr="00593545">
        <w:t>Brannick</w:t>
      </w:r>
      <w:proofErr w:type="spellEnd"/>
      <w:r w:rsidR="00EE1991" w:rsidRPr="00593545">
        <w:t xml:space="preserve"> et al </w:t>
      </w:r>
      <w:r w:rsidR="009551AD" w:rsidRPr="00593545">
        <w:fldChar w:fldCharType="begin" w:fldLock="1"/>
      </w:r>
      <w:r w:rsidR="00BB436F" w:rsidRPr="00593545">
        <w:instrText>ADDIN CSL_CITATION { "citationItems" : [ { "id" : "ITEM-1", "itemData" : { "DOI" : "10.1111/j.1365-2923.2011.04075.x", "ISSN" : "1365-2923", "PMID" : "21988659", "abstract" : "Medical Education 2011 doi: 10.1111/j.1365-2923.2011.04075.x Context The objective structured clinical examination (OSCE) is comprised of a series of simulations used to assess the skill of medical practitioners in the diagnosis and treatment of patients. It is often used in high-stakes examinations and therefore it is important to assess its reliability and validity. Methods The published literature was searched (PsycINFO, PubMed) for OSCE reliability estimates (coefficient alpha and generalisability coefficients) computed either across stations or across items within stations. Coders independently recorded information about each study. A meta-analysis of the available literature was computed and sources of systematic variance in estimates were examined. Results A total of 188 alpha values from 39 studies were coded. The overall (summary) alpha across stations was 0.66 (95% confidence interval [CI] 0.62-0.70); the overall alpha within stations across items was 0.78 (95% CI 0.73-0.82). Better than average reliability was associated with a greater number of stations and a higher number of examiners per station. Interpersonal skills were evaluated less reliably across stations and more reliably within stations compared with clinical skills. Conclusions Overall scores on the OSCE are often not very reliable. It is more difficult to reliably assess communication skills than clinical skills when considering both as general traits that should apply across situations. It is generally helpful to use two examiners and large numbers of stations, but some OSCEs appear more reliable than others for reasons that are not yet fully understood.", "author" : [ { "dropping-particle" : "", "family" : "Brannick", "given" : "Michael T", "non-dropping-particle" : "", "parse-names" : false, "suffix" : "" }, { "dropping-particle" : "", "family" : "Erol-Korkmaz", "given" : "H Tugba", "non-dropping-particle" : "", "parse-names" : false, "suffix" : "" }, { "dropping-particle" : "", "family" : "Prewett", "given" : "Matthew", "non-dropping-particle" : "", "parse-names" : false, "suffix" : "" } ], "container-title" : "Medical education", "id" : "ITEM-1", "issued" : { "date-parts" : [ [ "2011", "10", "11" ] ] }, "page" : "1181-1189", "title" : "A systematic review of the reliability of objective structured clinical examination scores.", "type" : "article-journal", "volume" : "45" }, "suppress-author" : 1, "uris" : [ "http://www.mendeley.com/documents/?uuid=3b139af8-8403-4e81-87f0-dd62aa52e068" ] } ], "mendeley" : { "formattedCitation" : "(2011)", "plainTextFormattedCitation" : "(2011)", "previouslyFormattedCitation" : "(2011)" }, "properties" : {  }, "schema" : "https://github.com/citation-style-language/schema/raw/master/csl-citation.json" }</w:instrText>
      </w:r>
      <w:r w:rsidR="009551AD" w:rsidRPr="00593545">
        <w:fldChar w:fldCharType="separate"/>
      </w:r>
      <w:r w:rsidR="00BB436F" w:rsidRPr="00593545">
        <w:rPr>
          <w:noProof/>
        </w:rPr>
        <w:t>(2011)</w:t>
      </w:r>
      <w:r w:rsidR="009551AD" w:rsidRPr="00593545">
        <w:fldChar w:fldCharType="end"/>
      </w:r>
      <w:r w:rsidR="00EE1991" w:rsidRPr="00593545">
        <w:t xml:space="preserve"> systematically reviewed and meta-analysed reports of OSCE reliability</w:t>
      </w:r>
      <w:r w:rsidRPr="00593545">
        <w:t>. They found that average OSCE reliability was just</w:t>
      </w:r>
      <w:r w:rsidR="00C922A6" w:rsidRPr="00593545">
        <w:t xml:space="preserve"> 0.66 (</w:t>
      </w:r>
      <w:r w:rsidRPr="00593545">
        <w:t xml:space="preserve">95% </w:t>
      </w:r>
      <w:r w:rsidR="00C922A6" w:rsidRPr="00593545">
        <w:t>CI0.62-0.70</w:t>
      </w:r>
      <w:r w:rsidRPr="00593545">
        <w:t>)</w:t>
      </w:r>
      <w:r w:rsidR="00C922A6" w:rsidRPr="00593545">
        <w:t xml:space="preserve">. </w:t>
      </w:r>
      <w:r w:rsidR="00EE7DFB" w:rsidRPr="00593545">
        <w:t xml:space="preserve">Within a communication-focused OSCE, </w:t>
      </w:r>
      <w:proofErr w:type="spellStart"/>
      <w:r w:rsidR="00EE1991" w:rsidRPr="00593545">
        <w:t>Harasym</w:t>
      </w:r>
      <w:proofErr w:type="spellEnd"/>
      <w:r w:rsidR="00EE1991" w:rsidRPr="00593545">
        <w:t xml:space="preserve"> et al</w:t>
      </w:r>
      <w:r w:rsidR="002F108C" w:rsidRPr="00593545">
        <w:t xml:space="preserve"> </w:t>
      </w:r>
      <w:r w:rsidR="00EE1991" w:rsidRPr="00593545">
        <w:fldChar w:fldCharType="begin" w:fldLock="1"/>
      </w:r>
      <w:r w:rsidR="00EE1991" w:rsidRPr="00593545">
        <w:instrText>ADDIN CSL_CITATION { "citationItems" : [ { "id" : "ITEM-1", "itemData" : { "DOI" : "10.1007/s10459-007-9068-0", "ISSN" : "1573-1677", "PMID" : "17610034", "abstract" : "Physician-patient communication is a clinical skill that can be learned and has a positive impact on patient satisfaction and health outcomes. A concerted effort at all medical schools is now directed at teaching and evaluating this core skill. Student communication skills are often assessed by an Objective Structure Clinical Examination (OSCE). However, it is unknown what sources of error variance are introduced into examinee communication scores by various OSCE components. This study primarily examined the effect different examiners had on the evaluation of students' communication skills assessed at the end of a family medicine clerkship rotation. The communication performance of clinical clerks from Classes 2005 and 2006 were assessed using six OSCE stations. Performance was rated at each station using the 28-item Calgary-Cambridge guide. Item Response Theory analysis using a Multifaceted Rasch model was used to partition the various sources of error variance and generate a \"true\" communication score where the effects of examiner, case, and items are removed. Variance and reliability of scores were as follows: communication scores (.20 and .87), examiner stringency/leniency (.86 and .91), case (.03 and .96), and item (.86 and .99), respectively. All facet scores were reliable (.87-.99). Examiner variance (.86) was more than four times the examinee variance (.20). About 11% of the clerks' outcome status shifted using \"true\" rather than observed/raw scores. There was large variability in examinee scores due to variation in examiner stringency/leniency behaviors that may impact pass-fail decisions. Exploring the benefits of examiner training and employing \"true\" scores generated using Item Response Theory analyses prior to making pass/fail decisions are recommended.", "author" : [ { "dropping-particle" : "", "family" : "Harasym", "given" : "Peter H", "non-dropping-particle" : "", "parse-names" : false, "suffix" : "" }, { "dropping-particle" : "", "family" : "Woloschuk", "given" : "Wayne", "non-dropping-particle" : "", "parse-names" : false, "suffix" : "" }, { "dropping-particle" : "", "family" : "Cunning", "given" : "Leslie", "non-dropping-particle" : "", "parse-names" : false, "suffix" : "" } ], "container-title" : "Advances in health sciences education : theory and practice", "id" : "ITEM-1", "issue" : "5", "issued" : { "date-parts" : [ [ "2008", "12" ] ] }, "page" : "617-32", "title" : "Undesired variance due to examiner stringency/leniency effect in communication skill scores assessed in OSCEs.", "type" : "article-journal", "volume" : "13" }, "suppress-author" : 1, "uris" : [ "http://www.mendeley.com/documents/?uuid=24015283-25fe-4891-a932-be3e03853858" ] } ], "mendeley" : { "formattedCitation" : "(2008)", "plainTextFormattedCitation" : "(2008)", "previouslyFormattedCitation" : "(2008)" }, "properties" : {  }, "schema" : "https://github.com/citation-style-language/schema/raw/master/csl-citation.json" }</w:instrText>
      </w:r>
      <w:r w:rsidR="00EE1991" w:rsidRPr="00593545">
        <w:fldChar w:fldCharType="separate"/>
      </w:r>
      <w:r w:rsidR="00EE1991" w:rsidRPr="00593545">
        <w:rPr>
          <w:noProof/>
        </w:rPr>
        <w:t>(2008)</w:t>
      </w:r>
      <w:r w:rsidR="00EE1991" w:rsidRPr="00593545">
        <w:fldChar w:fldCharType="end"/>
      </w:r>
      <w:r w:rsidR="00EE1991" w:rsidRPr="00593545">
        <w:t xml:space="preserve"> </w:t>
      </w:r>
      <w:r w:rsidR="00EE7DFB" w:rsidRPr="00593545">
        <w:t xml:space="preserve">demonstrated </w:t>
      </w:r>
      <w:r w:rsidR="009551AD" w:rsidRPr="00593545">
        <w:t xml:space="preserve">that variance due to examiner stringency (0.86) was more than four times greater than variance due to </w:t>
      </w:r>
      <w:r w:rsidR="00C922A6" w:rsidRPr="00593545">
        <w:t xml:space="preserve">candidate ability </w:t>
      </w:r>
      <w:r w:rsidR="009551AD" w:rsidRPr="00593545">
        <w:t>(0.20)</w:t>
      </w:r>
      <w:r w:rsidR="008A5125" w:rsidRPr="00593545">
        <w:t>.</w:t>
      </w:r>
      <w:r w:rsidR="009551AD" w:rsidRPr="00593545">
        <w:t xml:space="preserve"> </w:t>
      </w:r>
      <w:r w:rsidR="009A30AD" w:rsidRPr="00593545">
        <w:t xml:space="preserve">Even with two examiners per station, examiner variability still </w:t>
      </w:r>
      <w:r w:rsidR="009551AD" w:rsidRPr="00593545">
        <w:t xml:space="preserve">has the potential to influence pass or fail decisions </w:t>
      </w:r>
      <w:r w:rsidR="00EE7DFB" w:rsidRPr="00593545">
        <w:t>for a minority of candidates</w:t>
      </w:r>
      <w:r w:rsidR="009551AD" w:rsidRPr="00593545">
        <w:t xml:space="preserve"> </w:t>
      </w:r>
      <w:r w:rsidR="009551AD" w:rsidRPr="00593545">
        <w:lastRenderedPageBreak/>
        <w:fldChar w:fldCharType="begin" w:fldLock="1"/>
      </w:r>
      <w:r w:rsidR="003B004D" w:rsidRPr="00593545">
        <w:instrText>ADDIN CSL_CITATION { "citationItems" : [ { "id" : "ITEM-1", "itemData" : { "DOI" : "10.1186/1472-6920-6-42", "ISSN" : "1472-6920", "PMID" : "16919156", "abstract" : "BACKGROUND: A potential problem of clinical examinations is known as the hawk-dove problem, some examiners being more stringent and requiring a higher performance than other examiners who are more lenient. Although the problem has been known qualitatively for at least a century, we know of no previous statistical estimation of the size of the effect in a large-scale, high-stakes examination. Here we use FACETS to carry out a multi-facet Rasch modelling of the paired judgements made by examiners in the clinical examination (PACES) of MRCP(UK), where identical candidates were assessed in identical situations, allowing calculation of examiner stringency. METHODS: Data were analysed from the first nine diets of PACES, which were taken between June 2001 and March 2004 by 10,145 candidates. Each candidate was assessed by two examiners on each of seven separate tasks. with the candidates assessed by a total of 1,259 examiners, resulting in a total of 142,030 marks. Examiner demographics were described in terms of age, sex, ethnicity, and total number of candidates examined. RESULTS: FACETS suggested that about 87% of main effect variance was due to candidate differences, 1% due to station differences, and 12% due to differences between examiners in leniency-stringency. Multiple regression suggested that greater examiner stringency was associated with greater examiner experience and being from an ethnic minority. Male and female examiners showed no overall difference in stringency. Examination scores were adjusted for examiner stringency and it was shown that for the present pass mark, the outcome for 95.9% of candidates would be unchanged using adjusted marks, whereas 2.6% of candidates would have passed, even though they had failed on the basis of raw marks, and 1.5% of candidates would have failed, despite passing on the basis of raw marks. CONCLUSION: Examiners do differ in their leniency or stringency, and the effect can be estimated using Rasch modelling. The reasons for differences are not clear, but there are some demographic correlates, and the effects appear to be reliable across time. Account can be taken of differences, either by adjusting marks or, perhaps more effectively and more justifiably, by pairing high and low stringency examiners, so that raw marks can be used in the determination of pass and fail.", "author" : [ { "dropping-particle" : "", "family" : "McManus", "given" : "I C", "non-dropping-particle" : "", "parse-names" : false, "suffix" : "" }, { "dropping-particle" : "", "family" : "Thompson", "given" : "M", "non-dropping-particle" : "", "parse-names" : false, "suffix" : "" }, { "dropping-particle" : "", "family" : "Mollon", "given" : "J", "non-dropping-particle" : "", "parse-names" : false, "suffix" : "" } ], "container-title" : "BMC medical education", "id" : "ITEM-1", "issue" : "42", "issued" : { "date-parts" : [ [ "2006", "1" ] ] }, "title" : "Assessment of examiner leniency and stringency ('hawk-dove effect') in the MRCP(UK) clinical examination (PACES) using multi-facet Rasch modelling.", "type" : "article-journal", "volume" : "6" }, "uris" : [ "http://www.mendeley.com/documents/?uuid=1f146cab-c5e1-41f8-b90b-8b6c553cf0ad" ] } ], "mendeley" : { "formattedCitation" : "(McManus et al. 2006)", "plainTextFormattedCitation" : "(McManus et al. 2006)", "previouslyFormattedCitation" : "(McManus et al. 2006)" }, "properties" : {  }, "schema" : "https://github.com/citation-style-language/schema/raw/master/csl-citation.json" }</w:instrText>
      </w:r>
      <w:r w:rsidR="009551AD" w:rsidRPr="00593545">
        <w:fldChar w:fldCharType="separate"/>
      </w:r>
      <w:r w:rsidR="003B004D" w:rsidRPr="00593545">
        <w:rPr>
          <w:noProof/>
        </w:rPr>
        <w:t>(McManus et al. 2006)</w:t>
      </w:r>
      <w:r w:rsidR="009551AD" w:rsidRPr="00593545">
        <w:fldChar w:fldCharType="end"/>
      </w:r>
      <w:r w:rsidR="00EE7DFB" w:rsidRPr="00593545">
        <w:t>. Collectively these studies suggest</w:t>
      </w:r>
      <w:r w:rsidR="00C922A6" w:rsidRPr="00593545">
        <w:t xml:space="preserve"> </w:t>
      </w:r>
      <w:r w:rsidR="0001584E" w:rsidRPr="00593545">
        <w:t>that examiner variability has a detriment</w:t>
      </w:r>
      <w:r w:rsidR="00EE7DFB" w:rsidRPr="00593545">
        <w:t>al influence on the utility of</w:t>
      </w:r>
      <w:r w:rsidR="0037190E" w:rsidRPr="00593545">
        <w:t xml:space="preserve"> </w:t>
      </w:r>
      <w:r w:rsidR="00EE7DFB" w:rsidRPr="00593545">
        <w:t>OSCEs</w:t>
      </w:r>
      <w:r w:rsidR="002A7EB5" w:rsidRPr="00593545">
        <w:t xml:space="preserve"> in high-stake</w:t>
      </w:r>
      <w:r w:rsidR="00AC4B4F" w:rsidRPr="00593545">
        <w:t>s</w:t>
      </w:r>
      <w:r w:rsidR="002A7EB5" w:rsidRPr="00593545">
        <w:t xml:space="preserve"> situations</w:t>
      </w:r>
      <w:r w:rsidR="00AC4B4F" w:rsidRPr="00593545">
        <w:t>.</w:t>
      </w:r>
      <w:r w:rsidR="002A7EB5" w:rsidRPr="00593545">
        <w:t xml:space="preserve"> </w:t>
      </w:r>
    </w:p>
    <w:p w:rsidR="00C922A6" w:rsidRPr="00593545" w:rsidRDefault="00C922A6" w:rsidP="00FF0B1C">
      <w:pPr>
        <w:spacing w:line="480" w:lineRule="auto"/>
      </w:pPr>
      <w:r w:rsidRPr="00593545">
        <w:t xml:space="preserve">A further issue is apparent in assessors’ judgements. </w:t>
      </w:r>
      <w:r w:rsidR="00C41ED8" w:rsidRPr="00593545">
        <w:t xml:space="preserve"> Several assessment types</w:t>
      </w:r>
      <w:r w:rsidR="00094448" w:rsidRPr="00593545">
        <w:t>, including OSCEs</w:t>
      </w:r>
      <w:r w:rsidR="00AC4B4F" w:rsidRPr="00593545">
        <w:t>,</w:t>
      </w:r>
      <w:r w:rsidR="00094448" w:rsidRPr="00593545">
        <w:t xml:space="preserve"> involve simultaneous assessment of different domains</w:t>
      </w:r>
      <w:r w:rsidRPr="00593545">
        <w:t xml:space="preserve">. </w:t>
      </w:r>
      <w:r w:rsidR="00AC4B4F" w:rsidRPr="00593545">
        <w:t xml:space="preserve">A number of </w:t>
      </w:r>
      <w:r w:rsidRPr="00593545">
        <w:t xml:space="preserve">studies have shown that the scores awarded in one domain influence the scores awarded in another domain </w:t>
      </w:r>
      <w:r w:rsidR="004E7B7D" w:rsidRPr="00593545">
        <w:fldChar w:fldCharType="begin" w:fldLock="1"/>
      </w:r>
      <w:r w:rsidR="003B004D" w:rsidRPr="00593545">
        <w:instrText>ADDIN CSL_CITATION { "citationItems" : [ { "id" : "ITEM-1", "itemData" : { "DOI" : "10.1023/B:AHSE.0000027434.29926.9b", "ISSN" : "1382-4996", "PMID" : "15141127", "abstract" : "PROBLEM STATEMENT AND BACKGROUND While the psychometric properties of Objective Structured Clinical Examinations (OSCEs) have been studied, their latent structures have not been well characterized. This study examines a factor analytic model of a comprehensive OSCE and addresses implications for measurement of clinical performance. METHODS An exploratory maximum likelihood factor analysis with a Promax rotation was used to derive latent structures for the OSCE. RESULTS A model with two correlated factors fit the data well. The first factor was related to Physical Examination and History-Taking was labeled as information gathering, while the second factor was related to Differential Diagnosis/Clinical Reasoning, and Patient Interaction and was labeled as reasoning and information dissemination. Case Management did not contribute to either factor. The factors accounted for a total 61.6% of the variance in the skills variables. CONCLUSIONS Recognizing the psychometric components of OSCEs may support and enhance the use of OSCEs for measuring clinical competency of medical students.", "author" : [ { "dropping-particle" : "", "family" : "Volkan", "given" : "Kevin", "non-dropping-particle" : "", "parse-names" : false, "suffix" : "" }, { "dropping-particle" : "", "family" : "Simon", "given" : "Steven R", "non-dropping-particle" : "", "parse-names" : false, "suffix" : "" }, { "dropping-particle" : "", "family" : "Baker", "given" : "Harley", "non-dropping-particle" : "", "parse-names" : false, "suffix" : "" }, { "dropping-particle" : "", "family" : "Todres", "given" : "I David", "non-dropping-particle" : "", "parse-names" : false, "suffix" : "" } ], "container-title" : "Advances in health sciences education : theory and practice", "id" : "ITEM-1", "issue" : "2", "issued" : { "date-parts" : [ [ "2004" ] ] }, "page" : "83-92", "title" : "Psychometric structure of a comprehensive objective structured clinical examination: a factor analytic approach.", "type" : "article-journal", "volume" : "9" }, "uris" : [ "http://www.mendeley.com/documents/?uuid=4feb6fc5-0f3b-41f4-b791-3353f180f047" ] }, { "id" : "ITEM-2", "itemData" : { "ISSN" : "1040-2446", "PMID" : "16199446", "abstract" : "BACKGROUND Relatively little research has been published examining the use of factor analytic techniques to improve the psychometric qualities of performance assessments. The purpose of the current investigation is to illustrate the potential use of structural equation modeling (SEM) with scores from a standardized patient examination. METHOD Checklist items for a single case were examined to compare two models within a SEM framework: a single, underlying \"data gathering\" construct and a two-factor model consisting of medical history interviewing and physical examination maneuvers. RESULTS The chi2 statistics obtained were statistically significant for both the single factor (chi2=1645.8, p&lt;.001) and the two-factor model, (chi2=1373.1; p&lt;.001), indicating marginal model-data fit. A difference statistic was calculated (chi2=320.9; p&lt;.001), suggesting that the two-factor model has better fit. CONCLUSIONS The parameters estimated by each model could be used to evaluate checklist item performance. The results of this investigation illustrate the utility of this method in the analysis of checklist item data.", "author" : [ { "dropping-particle" : "", "family" : "McKinley", "given" : "Danette W", "non-dropping-particle" : "", "parse-names" : false, "suffix" : "" }, { "dropping-particle" : "", "family" : "Boulet", "given" : "John R", "non-dropping-particle" : "", "parse-names" : false, "suffix" : "" } ], "container-title" : "Academic medicine : journal of the Association of American Medical Colleges", "id" : "ITEM-2", "issue" : "10 Suppl", "issued" : { "date-parts" : [ [ "2005", "10" ] ] }, "page" : "S102-5", "title" : "Using factor analysis to evaluate checklist items.", "type" : "article-journal", "volume" : "80" }, "uris" : [ "http://www.mendeley.com/documents/?uuid=ff6f7274-f168-4d58-821a-dedd05a84263" ] }, { "id" : "ITEM-3", "itemData" : { "DOI" : "10.1007/s10459-010-9224-9", "ISSN" : "1573-1677", "PMID" : "21120648", "abstract" : "The mini-CEX is widely used to rate directly observed resident-patient encounters. Although several studies have explored the reliability of mini-CEX scores, the dimensionality of mini-CEX scores is incompletely understood.", "author" : [ { "dropping-particle" : "", "family" : "Cook", "given" : "David a", "non-dropping-particle" : "", "parse-names" : false, "suffix" : "" }, { "dropping-particle" : "", "family" : "Beckman", "given" : "Thomas J", "non-dropping-particle" : "", "parse-names" : false, "suffix" : "" }, { "dropping-particle" : "", "family" : "Mandrekar", "given" : "Jayawant N", "non-dropping-particle" : "", "parse-names" : false, "suffix" : "" }, { "dropping-particle" : "", "family" : "Pankratz", "given" : "V Shane", "non-dropping-particle" : "", "parse-names" : false, "suffix" : "" } ], "container-title" : "Advances in health sciences education : theory and practice", "id" : "ITEM-3", "issue" : "5", "issued" : { "date-parts" : [ [ "2010", "12" ] ] }, "page" : "633-45", "title" : "Internal structure of mini-CEX scores for internal medicine residents: factor analysis and generalizability.", "type" : "article-journal", "volume" : "15" }, "uris" : [ "http://www.mendeley.com/documents/?uuid=5f70fa4e-85f2-4d7b-af94-42e7dae0a4a4" ] } ], "mendeley" : { "formattedCitation" : "(Volkan et al. 2004; McKinley &amp; Boulet 2005; Cook et al. 2010)", "manualFormatting" : "(Volkan et al. 2004; McKinley and Boulet 2005; Cook et al. 2010)", "plainTextFormattedCitation" : "(Volkan et al. 2004; McKinley &amp; Boulet 2005; Cook et al. 2010)", "previouslyFormattedCitation" : "(Volkan et al. 2004; McKinley &amp; Boulet 2005; Cook et al. 2010)" }, "properties" : {  }, "schema" : "https://github.com/citation-style-language/schema/raw/master/csl-citation.json" }</w:instrText>
      </w:r>
      <w:r w:rsidR="004E7B7D" w:rsidRPr="00593545">
        <w:fldChar w:fldCharType="separate"/>
      </w:r>
      <w:r w:rsidR="00A51426" w:rsidRPr="00593545">
        <w:rPr>
          <w:noProof/>
        </w:rPr>
        <w:t>(Volkan et al. 2004; McKinley and Boulet 2005; Cook et al. 2010)</w:t>
      </w:r>
      <w:r w:rsidR="004E7B7D" w:rsidRPr="00593545">
        <w:fldChar w:fldCharType="end"/>
      </w:r>
      <w:r w:rsidR="004E7B7D" w:rsidRPr="00593545">
        <w:t>,</w:t>
      </w:r>
      <w:r w:rsidR="008A5125" w:rsidRPr="00593545">
        <w:t xml:space="preserve"> </w:t>
      </w:r>
      <w:r w:rsidR="004E7B7D" w:rsidRPr="00593545">
        <w:t xml:space="preserve">suggesting that </w:t>
      </w:r>
      <w:r w:rsidRPr="00593545">
        <w:t xml:space="preserve">examiners struggle to differentiate between domains of performance.  </w:t>
      </w:r>
      <w:r w:rsidR="0001584E" w:rsidRPr="00593545">
        <w:t>A</w:t>
      </w:r>
      <w:r w:rsidRPr="00593545">
        <w:t>ttempts to address</w:t>
      </w:r>
      <w:r w:rsidR="0001584E" w:rsidRPr="00593545">
        <w:t xml:space="preserve"> </w:t>
      </w:r>
      <w:r w:rsidRPr="00593545">
        <w:t>these issues</w:t>
      </w:r>
      <w:r w:rsidR="00ED41A9" w:rsidRPr="00593545">
        <w:t xml:space="preserve"> (variability and poor domain</w:t>
      </w:r>
      <w:r w:rsidR="0001584E" w:rsidRPr="00593545">
        <w:t xml:space="preserve"> discrimination) have generally either used examiner training </w:t>
      </w:r>
      <w:r w:rsidR="008A5125" w:rsidRPr="00593545">
        <w:fldChar w:fldCharType="begin" w:fldLock="1"/>
      </w:r>
      <w:r w:rsidR="003B004D" w:rsidRPr="00593545">
        <w:instrText>ADDIN CSL_CITATION { "citationItems" : [ { "id" : "ITEM-1", "itemData" : { "DOI" : "10.1007/s11606-008-0842-3", "ISSN" : "1525-1497", "PMID" : "19002533", "abstract" : "BACKGROUND: Mini-CEX scores assess resident competence. Rater training might improve mini-CEX score interrater reliability, but evidence is lacking. OBJECTIVE: Evaluate a rater training workshop using interrater reliability and accuracy. DESIGN: Randomized trial (immediate versus delayed workshop) and single-group pre/post study (randomized groups combined). SETTING: Academic medical center. PARTICIPANTS: Fifty-two internal medicine clinic preceptors (31 randomized and 21 additional workshop attendees). INTERVENTION: The workshop included rater error training, performance dimension training, behavioral observation training, and frame of reference training using lecture, video, and facilitated discussion. Delayed group received no intervention until after posttest. MEASUREMENTS: Mini-CEX ratings at baseline (just before workshop for workshop group), and four weeks later using videotaped resident-patient encounters; mini-CEX ratings of live resident-patient encounters one year preceding and one year following the workshop; rater confidence using mini-CEX. RESULTS: Among 31 randomized participants, interrater reliabilities in the delayed group (baseline intraclass correlation coefficient [ICC] 0.43, follow-up 0.53) and workshop group (baseline 0.40, follow-up 0.43) were not significantly different (p = 0.19). Mean ratings were similar at baseline (delayed 4.9 [95% confidence interval 4.6-5.2], workshop 4.8 [4.5-5.1]) and follow-up (delayed 5.4 [5.0-5.7], workshop 5.3 [5.0-5.6]; p = 0.88 for interaction). For the entire cohort, rater confidence (1 = not confident, 6 = very confident) improved from mean (SD) 3.8 (1.4) to 4.4 (1.0), p = 0.018. Interrater reliability for ratings of live encounters (entire cohort) was higher after the workshop (ICC 0.34) than before (ICC 0.18) but the standard error of measurement was similar for both periods. CONCLUSIONS: Rater training did not improve interrater reliability or accuracy of mini-CEX scores. CLINICAL TRIALS REGISTRATION: clinicaltrials.gov identifier NCT00667940", "author" : [ { "dropping-particle" : "", "family" : "Cook", "given" : "David A", "non-dropping-particle" : "", "parse-names" : false, "suffix" : "" }, { "dropping-particle" : "", "family" : "Dupras", "given" : "Denise M", "non-dropping-particle" : "", "parse-names" : false, "suffix" : "" }, { "dropping-particle" : "", "family" : "Beckman", "given" : "Thomas J", "non-dropping-particle" : "", "parse-names" : false, "suffix" : "" }, { "dropping-particle" : "", "family" : "Thomas", "given" : "Kris G", "non-dropping-particle" : "", "parse-names" : false, "suffix" : "" }, { "dropping-particle" : "", "family" : "Pankratz", "given" : "V Shane", "non-dropping-particle" : "", "parse-names" : false, "suffix" : "" } ], "container-title" : "Journal of general internal medicine", "id" : "ITEM-1", "issue" : "1", "issued" : { "date-parts" : [ [ "2009", "1" ] ] }, "page" : "74-9", "title" : "Effect of rater training on reliability and accuracy of mini-CEX scores: a randomized, controlled trial.", "type" : "article-journal", "volume" : "24" }, "uris" : [ "http://www.mendeley.com/documents/?uuid=5a48782e-0290-4d9e-9aa1-e685a2f0d5ca" ] }, { "id" : "ITEM-2", "itemData" : { "DOI" : "10.1080/17437270802124525", "ISBN" : "1743727080212", "ISSN" : "1743-727X", "author" : [ { "dropping-particle" : "", "family" : "Pell", "given" : "Godfrey", "non-dropping-particle" : "", "parse-names" : false, "suffix" : "" }, { "dropping-particle" : "", "family" : "Homer", "given" : "Matthew S.", "non-dropping-particle" : "", "parse-names" : false, "suffix" : "" }, { "dropping-particle" : "", "family" : "Roberts", "given" : "Trudie E.", "non-dropping-particle" : "", "parse-names" : false, "suffix" : "" } ], "container-title" : "International Journal of Research &amp; Method in Education", "id" : "ITEM-2", "issue" : "2", "issued" : { "date-parts" : [ [ "2008", "7" ] ] }, "page" : "143-154", "title" : "Assessor training: its effects on criterion\u2010based assessment in a medical context", "type" : "article-journal", "volume" : "31" }, "uris" : [ "http://www.mendeley.com/documents/?uuid=a6ac8aca-331d-47a0-ab38-9fcd38de9fc0" ] } ], "mendeley" : { "formattedCitation" : "(Pell et al. 2008; Cook et al. 2009)", "manualFormatting" : "(Cook et al. 2009; Pell, Homer, and Roberts 2008)", "plainTextFormattedCitation" : "(Pell et al. 2008; Cook et al. 2009)", "previouslyFormattedCitation" : "(Pell et al. 2008; Cook et al. 2009)" }, "properties" : {  }, "schema" : "https://github.com/citation-style-language/schema/raw/master/csl-citation.json" }</w:instrText>
      </w:r>
      <w:r w:rsidR="008A5125" w:rsidRPr="00593545">
        <w:fldChar w:fldCharType="separate"/>
      </w:r>
      <w:r w:rsidR="00EE7DFB" w:rsidRPr="00593545">
        <w:rPr>
          <w:noProof/>
        </w:rPr>
        <w:t>(</w:t>
      </w:r>
      <w:r w:rsidR="00A51426" w:rsidRPr="00593545">
        <w:rPr>
          <w:noProof/>
        </w:rPr>
        <w:t>Cook et al. 2009; Pell, Homer, and Roberts 2008)</w:t>
      </w:r>
      <w:r w:rsidR="008A5125" w:rsidRPr="00593545">
        <w:fldChar w:fldCharType="end"/>
      </w:r>
      <w:r w:rsidR="0001584E" w:rsidRPr="00593545">
        <w:t xml:space="preserve"> </w:t>
      </w:r>
      <w:r w:rsidRPr="00593545">
        <w:t>or enhanced marking</w:t>
      </w:r>
      <w:r w:rsidR="008A5125" w:rsidRPr="00593545">
        <w:t xml:space="preserve"> formats </w:t>
      </w:r>
      <w:r w:rsidR="008A5125" w:rsidRPr="00593545">
        <w:fldChar w:fldCharType="begin" w:fldLock="1"/>
      </w:r>
      <w:r w:rsidR="00BB436F" w:rsidRPr="00593545">
        <w:instrText>ADDIN CSL_CITATION { "citationItems" : [ { "id" : "ITEM-1", "itemData" : { "DOI" : "10.1111/j.1365-2923.2008.03230.x", "ISSN" : "1365-2923", "PMID" : "19120955", "abstract" : "Teaching faculty cannot reliably distinguish between satisfactory and unsatisfactory resident performances and give non-specific feedback.", "author" : [ { "dropping-particle" : "", "family" : "Donato", "given" : "Anthony A", "non-dropping-particle" : "", "parse-names" : false, "suffix" : "" }, { "dropping-particle" : "", "family" : "Pangaro", "given" : "Louis", "non-dropping-particle" : "", "parse-names" : false, "suffix" : "" }, { "dropping-particle" : "", "family" : "Smith", "given" : "Cynthia", "non-dropping-particle" : "", "parse-names" : false, "suffix" : "" }, { "dropping-particle" : "", "family" : "Rencic", "given" : "Joseph", "non-dropping-particle" : "", "parse-names" : false, "suffix" : "" }, { "dropping-particle" : "", "family" : "Diaz", "given" : "Yvonne", "non-dropping-particle" : "", "parse-names" : false, "suffix" : "" }, { "dropping-particle" : "", "family" : "Mensinger", "given" : "Janell", "non-dropping-particle" : "", "parse-names" : false, "suffix" : "" }, { "dropping-particle" : "", "family" : "Holmboe", "given" : "Eric", "non-dropping-particle" : "", "parse-names" : false, "suffix" : "" } ], "container-title" : "Medical education", "id" : "ITEM-1", "issue" : "12", "issued" : { "date-parts" : [ [ "2008", "12" ] ] }, "page" : "1234-42", "title" : "Evaluation of a novel assessment form for observing medical residents: a randomised, controlled trial.", "type" : "article-journal", "volume" : "42" }, "uris" : [ "http://www.mendeley.com/documents/?uuid=3e8584e7-f7fe-46b6-8b0c-1a876b518c11" ] } ], "mendeley" : { "formattedCitation" : "(Donato et al. 2008)", "plainTextFormattedCitation" : "(Donato et al. 2008)", "previouslyFormattedCitation" : "(Donato et al. 2008)" }, "properties" : {  }, "schema" : "https://github.com/citation-style-language/schema/raw/master/csl-citation.json" }</w:instrText>
      </w:r>
      <w:r w:rsidR="008A5125" w:rsidRPr="00593545">
        <w:fldChar w:fldCharType="separate"/>
      </w:r>
      <w:r w:rsidR="00BB436F" w:rsidRPr="00593545">
        <w:rPr>
          <w:noProof/>
        </w:rPr>
        <w:t>(Donato et al. 2008)</w:t>
      </w:r>
      <w:r w:rsidR="008A5125" w:rsidRPr="00593545">
        <w:fldChar w:fldCharType="end"/>
      </w:r>
      <w:r w:rsidR="0001584E" w:rsidRPr="00593545">
        <w:t xml:space="preserve">. Unfortunately only modest gains have generally been achieved. </w:t>
      </w:r>
      <w:r w:rsidRPr="00593545">
        <w:t xml:space="preserve"> In response, a new fi</w:t>
      </w:r>
      <w:r w:rsidR="00EE7DFB" w:rsidRPr="00593545">
        <w:t>eld called “assessor</w:t>
      </w:r>
      <w:r w:rsidRPr="00593545">
        <w:t xml:space="preserve"> cognition” has arisen to provide insight into assessors’ judgements processes</w:t>
      </w:r>
      <w:r w:rsidR="002F108C" w:rsidRPr="00593545">
        <w:t xml:space="preserve"> </w:t>
      </w:r>
      <w:r w:rsidR="00600139" w:rsidRPr="00593545">
        <w:fldChar w:fldCharType="begin" w:fldLock="1"/>
      </w:r>
      <w:r w:rsidR="003B004D" w:rsidRPr="00593545">
        <w:instrText>ADDIN CSL_CITATION { "citationItems" : [ { "id" : "ITEM-1", "itemData" : { "DOI" : "10.1111/medu.12973", "ISSN" : "03080110", "author" : [ { "dropping-particle" : "", "family" : "Gauthier", "given" : "Genevi\u00e8ve", "non-dropping-particle" : "", "parse-names" : false, "suffix" : "" }, { "dropping-particle" : "", "family" : "St-Onge", "given" : "Christina", "non-dropping-particle" : "", "parse-names" : false, "suffix" : "" }, { "dropping-particle" : "", "family" : "Tavares", "given" : "Walter", "non-dropping-particle" : "", "parse-names" : false, "suffix" : "" } ], "container-title" : "Medical Education", "id" : "ITEM-1", "issue" : "5", "issued" : { "date-parts" : [ [ "2016" ] ] }, "note" : "Synthetic review, that compares and contrasts descriptions of processes across literature. \nOrganised by phases:\nA. Observation:\nThree independent mechanisms occur:\ni. generating automatic impressions\nSocial categories\nPerson schemas\nDiscord with performance tasks\nii. formulating high level inferences\nvariably seen as bad, expert, used students justifications differently\nUsed to fill unobserved gaps\niii. focusing on different dimensions\nSeeing different things\n\nB. Processing phase:\nDifficulty articulating - ? more automatic than controlled\nUse and comparison to schemata of trainee performance developed through exposure to trainees\n\ni. personal conception of competency\nKogan / Berendonk\nii. comparison with various exemplars\nRecent experiences\nMemory of own performance as trainee\nOwn trainees / colleagues\nNORM REFERENCED\niii. task and context specificity\nTask-specific standards / richer comments of task-specific performances\nContext influence on assessment of generic skills\nC. Integration Phase:\ni. weigh and synthesise info differently\nDon't seem to think in numbers / use different approaches\nweighting or veto with specific oversights or errors (St Onge)\nDifferent processes depending on overall quality (Tweed)\nInfluence of content knowledge on how divergent findings are integrated (Berendonk)\n\nii. produce categorical or narrative judgements\nPsychomtrics assumptions don't match task\n\niii. translate narrative judgements into scales\nwhat gets lost in translation?\nable to consistently rank based on narrative even though there is score variability\n\nResearch:\nStudy phases independently\nStudying single mechanism across all phases\nSpecific mechanisms under different conditions (mental worklaod in summative vs firmative)\n\n*** add fourth phase: dissemination, anticipation of feedback / summative vs formative etc\n\nUnderstanding more about raters experience", "page" : "511-522", "title" : "Rater cognition: review and integration of research findings", "type" : "article-journal", "volume" : "50" }, "uris" : [ "http://www.mendeley.com/documents/?uuid=214249ff-6d1e-45a8-b933-70524927f3ca" ] }, { "id" : "ITEM-2", "itemData" : { "DOI" : "10.1097/ACM.0000000000001537", "ISBN" : "0000000000", "ISSN" : "1040-2446", "PMID" : "28030422", "abstract" : "Purpose: At present, little is known about how mini-clinical evaluation exercise (mini-CEX) raters translate their observations into judgments and ratings. The authors of this systematic literature review aim both to identify the factors influencing mini-CEX rater judgments in the medical education setting and to translate these findings into practical implications for clinician assessors., Method: The authors searched for internal and external factors influencing mini-CEX rater judgments in the medical education setting from 1980 to 2015 using the Ovid MEDLINE, PsycINFO, ERIC, PubMed, and Scopus databases. They extracted the following information from each study: country of origin, educational level, study design and setting, type of observation, occurrence of rater training, provision of feedback to the trainee, research question, and identified factors influencing rater judgments. The authors also conducted a quality assessment for each study., Results: Seventeen articles met the inclusion criteria. The authors identified both internal and external factors that influence mini-CEX rater judgments. They subcategorized the internal factors into intrinsic rater factors, judgment-making factors (conceptualization, interpretation, attention, and impressions), and scoring factors (scoring integration and domain differentiation)., Conclusions: The current theories of rater-based judgment have not helped clinicians resolve the issues of rater idiosyncrasy, bias, gestalt, and conflicting contextual factors; therefore, the authors believe the most important solution is to increase the justification of rater judgments through the use of specific narrative and contextual comments, which are more informative for trainees. Finally, more real-world research is required to bridge the gap between the theory and practice of rater cognition., (C) 2017 by the Association of American Medical Colleges", "author" : [ { "dropping-particle" : "", "family" : "Lee", "given" : "Victor", "non-dropping-particle" : "", "parse-names" : false, "suffix" : "" }, { "dropping-particle" : "", "family" : "Brain", "given" : "Keira", "non-dropping-particle" : "", "parse-names" : false, "suffix" : "" }, { "dropping-particle" : "", "family" : "Martin", "given" : "Jenepher", "non-dropping-particle" : "", "parse-names" : false, "suffix" : "" } ], "container-title" : "Academic Medicine", "id" : "ITEM-2", "issue" : "6", "issued" : { "date-parts" : [ [ "2017" ] ] }, "page" : "880-887", "title" : "Factors Influencing Mini-CEX Rater Judgments and Their Practical Implications", "type" : "article-journal", "volume" : "92" }, "uris" : [ "http://www.mendeley.com/documents/?uuid=88bec69c-d723-4afc-aee5-d589fa21b267" ] } ], "mendeley" : { "formattedCitation" : "(Gauthier et al. 2016; Lee et al. 2017)", "plainTextFormattedCitation" : "(Gauthier et al. 2016; Lee et al. 2017)", "previouslyFormattedCitation" : "(Gauthier et al. 2016; Lee et al. 2017)" }, "properties" : {  }, "schema" : "https://github.com/citation-style-language/schema/raw/master/csl-citation.json" }</w:instrText>
      </w:r>
      <w:r w:rsidR="00600139" w:rsidRPr="00593545">
        <w:fldChar w:fldCharType="separate"/>
      </w:r>
      <w:r w:rsidR="003B004D" w:rsidRPr="00593545">
        <w:rPr>
          <w:noProof/>
        </w:rPr>
        <w:t>(Gauthier et al. 2016; Lee et al. 2017)</w:t>
      </w:r>
      <w:r w:rsidR="00600139" w:rsidRPr="00593545">
        <w:fldChar w:fldCharType="end"/>
      </w:r>
      <w:r w:rsidRPr="00593545">
        <w:t>.</w:t>
      </w:r>
    </w:p>
    <w:p w:rsidR="004B7745" w:rsidRPr="00593545" w:rsidRDefault="004B7745" w:rsidP="00FF0B1C">
      <w:pPr>
        <w:spacing w:line="480" w:lineRule="auto"/>
      </w:pPr>
    </w:p>
    <w:p w:rsidR="00C922A6" w:rsidRPr="00593545" w:rsidRDefault="00C922A6" w:rsidP="00FF0B1C">
      <w:pPr>
        <w:spacing w:line="480" w:lineRule="auto"/>
      </w:pPr>
      <w:r w:rsidRPr="00593545">
        <w:t>A recent revie</w:t>
      </w:r>
      <w:r w:rsidR="00EE7DFB" w:rsidRPr="00593545">
        <w:t>w of assessor</w:t>
      </w:r>
      <w:r w:rsidRPr="00593545">
        <w:t xml:space="preserve"> cognition research </w:t>
      </w:r>
      <w:r w:rsidR="00EE7DFB" w:rsidRPr="00593545">
        <w:fldChar w:fldCharType="begin" w:fldLock="1"/>
      </w:r>
      <w:r w:rsidR="003B004D" w:rsidRPr="00593545">
        <w:instrText>ADDIN CSL_CITATION { "citationItems" : [ { "id" : "ITEM-1", "itemData" : { "DOI" : "10.1111/medu.12973", "ISSN" : "03080110", "author" : [ { "dropping-particle" : "", "family" : "Gauthier", "given" : "Genevi\u00e8ve", "non-dropping-particle" : "", "parse-names" : false, "suffix" : "" }, { "dropping-particle" : "", "family" : "St-Onge", "given" : "Christina", "non-dropping-particle" : "", "parse-names" : false, "suffix" : "" }, { "dropping-particle" : "", "family" : "Tavares", "given" : "Walter", "non-dropping-particle" : "", "parse-names" : false, "suffix" : "" } ], "container-title" : "Medical Education", "id" : "ITEM-1", "issue" : "5", "issued" : { "date-parts" : [ [ "2016" ] ] }, "note" : "Synthetic review, that compares and contrasts descriptions of processes across literature. \nOrganised by phases:\nA. Observation:\nThree independent mechanisms occur:\ni. generating automatic impressions\nSocial categories\nPerson schemas\nDiscord with performance tasks\nii. formulating high level inferences\nvariably seen as bad, expert, used students justifications differently\nUsed to fill unobserved gaps\niii. focusing on different dimensions\nSeeing different things\n\nB. Processing phase:\nDifficulty articulating - ? more automatic than controlled\nUse and comparison to schemata of trainee performance developed through exposure to trainees\n\ni. personal conception of competency\nKogan / Berendonk\nii. comparison with various exemplars\nRecent experiences\nMemory of own performance as trainee\nOwn trainees / colleagues\nNORM REFERENCED\niii. task and context specificity\nTask-specific standards / richer comments of task-specific performances\nContext influence on assessment of generic skills\nC. Integration Phase:\ni. weigh and synthesise info differently\nDon't seem to think in numbers / use different approaches\nweighting or veto with specific oversights or errors (St Onge)\nDifferent processes depending on overall quality (Tweed)\nInfluence of content knowledge on how divergent findings are integrated (Berendonk)\n\nii. produce categorical or narrative judgements\nPsychomtrics assumptions don't match task\n\niii. translate narrative judgements into scales\nwhat gets lost in translation?\nable to consistently rank based on narrative even though there is score variability\n\nResearch:\nStudy phases independently\nStudying single mechanism across all phases\nSpecific mechanisms under different conditions (mental worklaod in summative vs firmative)\n\n*** add fourth phase: dissemination, anticipation of feedback / summative vs formative etc\n\nUnderstanding more about raters experience", "page" : "511-522", "title" : "Rater cognition: review and integration of research findings", "type" : "article-journal", "volume" : "50" }, "uris" : [ "http://www.mendeley.com/documents/?uuid=214249ff-6d1e-45a8-b933-70524927f3ca" ] } ], "mendeley" : { "formattedCitation" : "(Gauthier et al. 2016)", "plainTextFormattedCitation" : "(Gauthier et al. 2016)", "previouslyFormattedCitation" : "(Gauthier et al. 2016)" }, "properties" : {  }, "schema" : "https://github.com/citation-style-language/schema/raw/master/csl-citation.json" }</w:instrText>
      </w:r>
      <w:r w:rsidR="00EE7DFB" w:rsidRPr="00593545">
        <w:fldChar w:fldCharType="separate"/>
      </w:r>
      <w:r w:rsidR="003B004D" w:rsidRPr="00593545">
        <w:rPr>
          <w:noProof/>
        </w:rPr>
        <w:t>(Gauthier et al. 2016)</w:t>
      </w:r>
      <w:r w:rsidR="00EE7DFB" w:rsidRPr="00593545">
        <w:fldChar w:fldCharType="end"/>
      </w:r>
      <w:r w:rsidR="00274C54" w:rsidRPr="00593545">
        <w:t xml:space="preserve"> </w:t>
      </w:r>
      <w:r w:rsidRPr="00593545">
        <w:t xml:space="preserve">has defined the judgment process by three stages: Observation, Processing and Integration. </w:t>
      </w:r>
      <w:r w:rsidR="00600139" w:rsidRPr="00593545">
        <w:t>In this model, o</w:t>
      </w:r>
      <w:r w:rsidRPr="00593545">
        <w:t>bservation is the most understood while there is much disagreement about the processing and integration stages. The observational</w:t>
      </w:r>
      <w:r w:rsidR="00EE7DFB" w:rsidRPr="00593545">
        <w:t xml:space="preserve"> stage depends upon ‘attention’;</w:t>
      </w:r>
      <w:r w:rsidRPr="00593545">
        <w:t xml:space="preserve"> essentially only information that is attended to by the examiner during the observation can go through the processing stage. Processing gives meaning to the observed information</w:t>
      </w:r>
      <w:r w:rsidR="00600139" w:rsidRPr="00593545">
        <w:t xml:space="preserve"> which </w:t>
      </w:r>
      <w:r w:rsidRPr="00593545">
        <w:t>is then translated into a score in the integration phase. Recent research by Tavares’ et al</w:t>
      </w:r>
      <w:r w:rsidR="00600139" w:rsidRPr="00593545">
        <w:fldChar w:fldCharType="begin" w:fldLock="1"/>
      </w:r>
      <w:r w:rsidR="00BB436F" w:rsidRPr="00593545">
        <w:instrText>ADDIN CSL_CITATION { "citationItems" : [ { "id" : "ITEM-1", "itemData" : { "ISSN" : "1473-9879", "PMID" : "25693150", "abstract" : "PURPOSE Many assessment practices used in primary care rely upon judgements provided by individuals observing trainees or colleagues. Despite there being many reasons to view these observations as cognitively complex, the extent to which fallibility in judgement reflects mental workload has not been examined experimentally. The objective of this study was to evaluate the impact of increasing rating demands on rater-based assessments of clinical competence. METHODS Participants were randomly assigned to one of four conditions (in a 2\u00d72 factorial design) and asked to rate three pre-recorded unscripted clinical encounters illustrating three levels of performance (high, medium, low). We looked at the effect on participants of having a larger (seven) or smaller (two) number of dimensions to rate, and/or distracting them with extraneous tasks (attending to patient status and the activity of additional individuals observable on video). Outcome measures included number of dimension-relevant behaviours identified, ability to differentiate between levels of performance, and inter-rater reliability. RESULTS Using the two dimensions common to both groups, ANOVA revealed a significant effect of the number of dimensions included in the scale on the number of relevant behaviours identified: participants in the 2D group identified more features than those in the 7D group. Both groups were able to differentiate between levels of performance, but post hoc analyses revealed significance on all pairwise comparisons in the 2D group and not in the 7D group. Inter-rater reliability increased from 0.45 in the 7D group to 0.70 when participants were required to consider only two dimensions. By contrast, the distractions had little effect. CONCLUSIONS The results of this study provide preliminary evidence that requiring raters to consider a greater number of dimensions can decrease (a) the number of dimension-relevant behaviours identified, (b) the capacity to differentiate between levels of performance, and (c) inter-rater reliability.", "author" : [ { "dropping-particle" : "", "family" : "Tavares", "given" : "Walter", "non-dropping-particle" : "", "parse-names" : false, "suffix" : "" }, { "dropping-particle" : "", "family" : "Eva", "given" : "Kevin W", "non-dropping-particle" : "", "parse-names" : false, "suffix" : "" } ], "container-title" : "Education for primary care", "id" : "ITEM-1", "issue" : "6", "issued" : { "date-parts" : [ [ "2014", "11" ] ] }, "page" : "308-18", "title" : "Impact of rating demands on rater-based assessments of clinical competence.", "type" : "article-journal", "volume" : "25" }, "suppress-author" : 1, "uris" : [ "http://www.mendeley.com/documents/?uuid=ed3f9db3-49fa-49ce-8658-3dc9a4978e16" ] } ], "mendeley" : { "formattedCitation" : "(2014)", "plainTextFormattedCitation" : "(2014)", "previouslyFormattedCitation" : "(2014)" }, "properties" : {  }, "schema" : "https://github.com/citation-style-language/schema/raw/master/csl-citation.json" }</w:instrText>
      </w:r>
      <w:r w:rsidR="00600139" w:rsidRPr="00593545">
        <w:fldChar w:fldCharType="separate"/>
      </w:r>
      <w:r w:rsidR="00BB436F" w:rsidRPr="00593545">
        <w:rPr>
          <w:noProof/>
        </w:rPr>
        <w:t>(2014)</w:t>
      </w:r>
      <w:r w:rsidR="00600139" w:rsidRPr="00593545">
        <w:fldChar w:fldCharType="end"/>
      </w:r>
      <w:r w:rsidRPr="00593545">
        <w:t xml:space="preserve">, has described the </w:t>
      </w:r>
      <w:r w:rsidR="00600139" w:rsidRPr="00593545">
        <w:t>role</w:t>
      </w:r>
      <w:r w:rsidRPr="00593545">
        <w:t xml:space="preserve"> of ‘attentional capacity’</w:t>
      </w:r>
      <w:r w:rsidR="00600139" w:rsidRPr="00593545">
        <w:t xml:space="preserve"> within assessment judgements</w:t>
      </w:r>
      <w:r w:rsidRPr="00593545">
        <w:t xml:space="preserve">: the mental workload of judging performances is high and examiners </w:t>
      </w:r>
      <w:r w:rsidR="00094448" w:rsidRPr="00593545">
        <w:t>experience cognitive overload</w:t>
      </w:r>
      <w:r w:rsidRPr="00593545">
        <w:t xml:space="preserve">. As a result, examiners have been shown to use </w:t>
      </w:r>
      <w:r w:rsidR="00600139" w:rsidRPr="00593545">
        <w:t>“</w:t>
      </w:r>
      <w:r w:rsidRPr="00593545">
        <w:t>selective attention</w:t>
      </w:r>
      <w:r w:rsidR="00600139" w:rsidRPr="00593545">
        <w:t>”</w:t>
      </w:r>
      <w:r w:rsidRPr="00593545">
        <w:t xml:space="preserve"> during the observation phase of judgement, in order to manage the mental demands which this task imposes. </w:t>
      </w:r>
      <w:r w:rsidR="00550E33" w:rsidRPr="00593545">
        <w:t>The use of selective attention</w:t>
      </w:r>
      <w:r w:rsidR="00AC4B4F" w:rsidRPr="00593545">
        <w:t xml:space="preserve"> appears </w:t>
      </w:r>
      <w:proofErr w:type="gramStart"/>
      <w:r w:rsidR="00AC4B4F" w:rsidRPr="00593545">
        <w:t>to</w:t>
      </w:r>
      <w:r w:rsidR="00550E33" w:rsidRPr="00593545">
        <w:t xml:space="preserve">  limit</w:t>
      </w:r>
      <w:proofErr w:type="gramEnd"/>
      <w:r w:rsidR="00550E33" w:rsidRPr="00593545">
        <w:t xml:space="preserve"> </w:t>
      </w:r>
      <w:r w:rsidR="00AC4B4F" w:rsidRPr="00593545">
        <w:t xml:space="preserve">the </w:t>
      </w:r>
      <w:r w:rsidR="00550E33" w:rsidRPr="00593545">
        <w:t xml:space="preserve">information </w:t>
      </w:r>
      <w:r w:rsidR="00AC4B4F" w:rsidRPr="00593545">
        <w:t xml:space="preserve">which is available </w:t>
      </w:r>
      <w:r w:rsidR="00550E33" w:rsidRPr="00593545">
        <w:t xml:space="preserve">for the processing and integration stages of </w:t>
      </w:r>
      <w:r w:rsidR="00AC4B4F" w:rsidRPr="00593545">
        <w:t>judgement which may c</w:t>
      </w:r>
      <w:r w:rsidR="00550E33" w:rsidRPr="00593545">
        <w:t xml:space="preserve">onsequently lead to inaccuracies in </w:t>
      </w:r>
      <w:r w:rsidR="00AC4B4F" w:rsidRPr="00593545">
        <w:t xml:space="preserve">the </w:t>
      </w:r>
      <w:r w:rsidR="00550E33" w:rsidRPr="00593545">
        <w:t>judgement of performance.</w:t>
      </w:r>
      <w:r w:rsidRPr="00593545">
        <w:t xml:space="preserve"> </w:t>
      </w:r>
    </w:p>
    <w:p w:rsidR="004B7745" w:rsidRPr="00593545" w:rsidRDefault="004B7745" w:rsidP="00FF0B1C">
      <w:pPr>
        <w:spacing w:line="480" w:lineRule="auto"/>
      </w:pPr>
    </w:p>
    <w:p w:rsidR="00C922A6" w:rsidRPr="00593545" w:rsidRDefault="00C922A6" w:rsidP="00FF0B1C">
      <w:pPr>
        <w:spacing w:line="480" w:lineRule="auto"/>
      </w:pPr>
      <w:r w:rsidRPr="00593545">
        <w:t>S</w:t>
      </w:r>
      <w:r w:rsidR="00A439BA" w:rsidRPr="00593545">
        <w:t xml:space="preserve">hort term memory (comprising both sensory memory and working memory) is the only completely accurate part of the human memory system, but it decays after around 30 seconds </w:t>
      </w:r>
      <w:r w:rsidR="00A439BA" w:rsidRPr="00593545">
        <w:fldChar w:fldCharType="begin" w:fldLock="1"/>
      </w:r>
      <w:r w:rsidR="003B004D" w:rsidRPr="00593545">
        <w:instrText>ADDIN CSL_CITATION { "citationItems" : [ { "id" : "ITEM-1", "itemData" : { "author" : [ { "dropping-particle" : "", "family" : "Baddeley", "given" : "Alan", "non-dropping-particle" : "", "parse-names" : false, "suffix" : "" }, { "dropping-particle" : "", "family" : "Eysenck", "given" : "Michael", "non-dropping-particle" : "", "parse-names" : false, "suffix" : "" }, { "dropping-particle" : "", "family" : "Anderson", "given" : "Michael", "non-dropping-particle" : "", "parse-names" : false, "suffix" : "" } ], "edition" : "2nd", "id" : "ITEM-1", "issued" : { "date-parts" : [ [ "2015" ] ] }, "publisher" : "Taylor Francis", "publisher-place" : "London and New York", "title" : "Memory", "type" : "book" }, "uris" : [ "http://www.mendeley.com/documents/?uuid=9362cde9-7116-43b3-acbf-89837d6e0d25" ] } ], "mendeley" : { "formattedCitation" : "(Baddeley et al. 2015)", "manualFormatting" : "(Baddeley, Eysenck, and Anderson 2015)", "plainTextFormattedCitation" : "(Baddeley et al. 2015)", "previouslyFormattedCitation" : "(Baddeley et al. 2015)" }, "properties" : {  }, "schema" : "https://github.com/citation-style-language/schema/raw/master/csl-citation.json" }</w:instrText>
      </w:r>
      <w:r w:rsidR="00A439BA" w:rsidRPr="00593545">
        <w:fldChar w:fldCharType="separate"/>
      </w:r>
      <w:r w:rsidR="002F108C" w:rsidRPr="00593545">
        <w:rPr>
          <w:noProof/>
        </w:rPr>
        <w:t>(</w:t>
      </w:r>
      <w:r w:rsidR="00A439BA" w:rsidRPr="00593545">
        <w:rPr>
          <w:noProof/>
        </w:rPr>
        <w:t>Baddeley, Eysenck, and Anderson 2015)</w:t>
      </w:r>
      <w:r w:rsidR="00A439BA" w:rsidRPr="00593545">
        <w:fldChar w:fldCharType="end"/>
      </w:r>
      <w:r w:rsidR="00A439BA" w:rsidRPr="00593545">
        <w:t>. As t</w:t>
      </w:r>
      <w:r w:rsidRPr="00593545">
        <w:t>ypical OSCE stations last be</w:t>
      </w:r>
      <w:r w:rsidR="00A439BA" w:rsidRPr="00593545">
        <w:t xml:space="preserve">tween 5-10 minutes, </w:t>
      </w:r>
      <w:r w:rsidR="00600139" w:rsidRPr="00593545">
        <w:t xml:space="preserve"> we may deduce that</w:t>
      </w:r>
      <w:r w:rsidRPr="00593545">
        <w:t xml:space="preserve"> examiners use an alternat</w:t>
      </w:r>
      <w:r w:rsidR="00600139" w:rsidRPr="00593545">
        <w:t>iv</w:t>
      </w:r>
      <w:r w:rsidRPr="00593545">
        <w:t>e memory system, episodic memory, to store their observations</w:t>
      </w:r>
      <w:r w:rsidR="00EE7DFB" w:rsidRPr="00593545">
        <w:t xml:space="preserve"> </w:t>
      </w:r>
      <w:r w:rsidR="00EE7DFB" w:rsidRPr="00593545">
        <w:fldChar w:fldCharType="begin" w:fldLock="1"/>
      </w:r>
      <w:r w:rsidR="003B004D" w:rsidRPr="00593545">
        <w:instrText>ADDIN CSL_CITATION { "citationItems" : [ { "id" : "ITEM-1", "itemData" : { "DOI" : "10.1038/npp.2009.126", "ISBN" : "1740-634X (Electronic)\\r0006-3223 (Linking)", "ISSN" : "0893133X", "PMID" : "19776728", "abstract" : "The ability to encode and retrieve our daily personal experiences, called episodic memory, is supported by the circuitry of the medial temporal lobe (MTL), including the hippocampus, which interacts extensively with a number of specific distributed cortical and subcortical structures. In both animals and humans, evidence from anatomical, neuropsychological, and physiological studies indicates that cortical components of this system have key functions in several aspects of perception and cognition, whereas the MTL structures mediate the organization and persistence of the network of memories whose details are stored in those cortical areas. Structures within the MTL, and particularly the hippocampus, have distinct functions in combining information from multiple cortical streams, supporting our ability to encode and retrieve details of events that compose episodic memories. Conversely, selective damage in the hippocampus, MTL, and other structures of the large-scale memory system, or deterioration of these areas in several diseases and disorders, compromises episodic memory. A growing body of evidence is converging on a functional organization of the cortical, subcortical, and MTL structures that support the fundamental features of episodic memory in humans and animals.", "author" : [ { "dropping-particle" : "", "family" : "Dickerson", "given" : "Bradford C.", "non-dropping-particle" : "", "parse-names" : false, "suffix" : "" }, { "dropping-particle" : "", "family" : "Eichenbaum", "given" : "Howard", "non-dropping-particle" : "", "parse-names" : false, "suffix" : "" } ], "container-title" : "Neuropsychopharmacology", "id" : "ITEM-1", "issue" : "1", "issued" : { "date-parts" : [ [ "2010" ] ] }, "page" : "86-104", "publisher" : "Nature Publishing Group", "title" : "The episodic memory system: Neurocircuitry and disorders", "type" : "article-journal", "volume" : "35" }, "uris" : [ "http://www.mendeley.com/documents/?uuid=0a9fcccb-70c2-4ce1-b2c2-55f89ac04acc" ] } ], "mendeley" : { "formattedCitation" : "(Dickerson &amp; Eichenbaum 2010)", "plainTextFormattedCitation" : "(Dickerson &amp; Eichenbaum 2010)", "previouslyFormattedCitation" : "(Dickerson &amp; Eichenbaum 2010)" }, "properties" : {  }, "schema" : "https://github.com/citation-style-language/schema/raw/master/csl-citation.json" }</w:instrText>
      </w:r>
      <w:r w:rsidR="00EE7DFB" w:rsidRPr="00593545">
        <w:fldChar w:fldCharType="separate"/>
      </w:r>
      <w:r w:rsidR="003B004D" w:rsidRPr="00593545">
        <w:rPr>
          <w:noProof/>
        </w:rPr>
        <w:t>(Dickerson &amp; Eichenbaum 2010)</w:t>
      </w:r>
      <w:r w:rsidR="00EE7DFB" w:rsidRPr="00593545">
        <w:fldChar w:fldCharType="end"/>
      </w:r>
      <w:r w:rsidRPr="00593545">
        <w:t>. Episodic memory relies on a series of processes: attention, encoding, processing and retrieval</w:t>
      </w:r>
      <w:r w:rsidR="00A439BA" w:rsidRPr="00593545">
        <w:t xml:space="preserve"> </w:t>
      </w:r>
      <w:r w:rsidR="00A065D0" w:rsidRPr="00593545">
        <w:fldChar w:fldCharType="begin" w:fldLock="1"/>
      </w:r>
      <w:r w:rsidR="00BB436F" w:rsidRPr="00593545">
        <w:instrText>ADDIN CSL_CITATION { "citationItems" : [ { "id" : "ITEM-1", "itemData" : { "author" : [ { "dropping-particle" : "", "family" : "Tulving", "given" : "Endel", "non-dropping-particle" : "", "parse-names" : false, "suffix" : "" } ], "container-title" : "Annual Review of Psychology", "id" : "ITEM-1", "issued" : { "date-parts" : [ [ "2002" ] ] }, "page" : "1-25", "title" : "Episodic Memory: From Mind to Brain", "type" : "article-journal", "volume" : "53" }, "uris" : [ "http://www.mendeley.com/documents/?uuid=06f562ef-cba2-4e10-a6f4-ab63a227c823" ] } ], "mendeley" : { "formattedCitation" : "(Tulving 2002)", "plainTextFormattedCitation" : "(Tulving 2002)", "previouslyFormattedCitation" : "(Tulving 2002)" }, "properties" : {  }, "schema" : "https://github.com/citation-style-language/schema/raw/master/csl-citation.json" }</w:instrText>
      </w:r>
      <w:r w:rsidR="00A065D0" w:rsidRPr="00593545">
        <w:fldChar w:fldCharType="separate"/>
      </w:r>
      <w:r w:rsidR="00BB436F" w:rsidRPr="00593545">
        <w:rPr>
          <w:noProof/>
        </w:rPr>
        <w:t>(Tulving 2002)</w:t>
      </w:r>
      <w:r w:rsidR="00A065D0" w:rsidRPr="00593545">
        <w:fldChar w:fldCharType="end"/>
      </w:r>
      <w:r w:rsidRPr="00593545">
        <w:t>. These processes are imperfect, meaning that observations may not be accurate</w:t>
      </w:r>
      <w:r w:rsidR="00A31205" w:rsidRPr="00593545">
        <w:t>ly recalled a few minutes later.</w:t>
      </w:r>
      <w:r w:rsidRPr="00593545">
        <w:t xml:space="preserve"> Episodic memory is </w:t>
      </w:r>
      <w:r w:rsidR="00550E33" w:rsidRPr="00593545">
        <w:t xml:space="preserve">impacted </w:t>
      </w:r>
      <w:r w:rsidRPr="00593545">
        <w:t>by several factors: high mental workload can impair encoding, reducing recall</w:t>
      </w:r>
      <w:r w:rsidR="00A439BA" w:rsidRPr="00593545">
        <w:t xml:space="preserve"> </w:t>
      </w:r>
      <w:r w:rsidR="00D565BE" w:rsidRPr="00593545">
        <w:fldChar w:fldCharType="begin" w:fldLock="1"/>
      </w:r>
      <w:r w:rsidR="003B004D" w:rsidRPr="00593545">
        <w:instrText>ADDIN CSL_CITATION { "citationItems" : [ { "id" : "ITEM-1", "itemData" : { "DOI" : "DOI 10.1162/jocn.1992.4.3.281", "ISBN" : "0898-929x", "ISSN" : "0898-929X", "PMID" : "23964884", "abstract" : "Working memory may be defined as the system for the temporary maintenance and manipulation of information, necessary for the performance of such complex cognitive activities as comprehension, learning, and reasoning. Used in this sense, the term refers to an area of research that may or may not prove to be dependent on a single coherent system. Such a system is proposed within a broad and relatively speculative overview of human memory that emphasizes the putative role of working memory. This is followed by a brief account of a particular model of working memory, and a more detailed discussion of the way in which the various subcomponents of the model relate to other aspects of memory and cognition.", "author" : [ { "dropping-particle" : "", "family" : "Baddeley", "given" : "A", "non-dropping-particle" : "", "parse-names" : false, "suffix" : "" } ], "container-title" : "Journal of Cognitive Neuroscience", "id" : "ITEM-1", "issue" : "3", "issued" : { "date-parts" : [ [ "1992" ] ] }, "page" : "281-288", "title" : "Working Memory - the Interface between Memory and Cognition", "type" : "article-journal", "volume" : "4" }, "uris" : [ "http://www.mendeley.com/documents/?uuid=551ab259-b43e-441d-acdc-e9eb27c50333" ] } ], "mendeley" : { "formattedCitation" : "(Baddeley 1992)", "manualFormatting" : "(Baddeley 1992)", "plainTextFormattedCitation" : "(Baddeley 1992)", "previouslyFormattedCitation" : "(Baddeley 1992)" }, "properties" : {  }, "schema" : "https://github.com/citation-style-language/schema/raw/master/csl-citation.json" }</w:instrText>
      </w:r>
      <w:r w:rsidR="00D565BE" w:rsidRPr="00593545">
        <w:fldChar w:fldCharType="separate"/>
      </w:r>
      <w:r w:rsidR="00A439BA" w:rsidRPr="00593545">
        <w:rPr>
          <w:noProof/>
        </w:rPr>
        <w:t>(Baddeley 1992)</w:t>
      </w:r>
      <w:r w:rsidR="00D565BE" w:rsidRPr="00593545">
        <w:fldChar w:fldCharType="end"/>
      </w:r>
      <w:r w:rsidR="00274C54" w:rsidRPr="00593545">
        <w:t>. I</w:t>
      </w:r>
      <w:r w:rsidR="00A439BA" w:rsidRPr="00593545">
        <w:t>ncreasing delay</w:t>
      </w:r>
      <w:r w:rsidR="004B7745" w:rsidRPr="00593545">
        <w:t xml:space="preserve"> </w:t>
      </w:r>
      <w:r w:rsidRPr="00593545">
        <w:t>between observation and recall</w:t>
      </w:r>
      <w:r w:rsidR="00A439BA" w:rsidRPr="00593545">
        <w:t xml:space="preserve"> reduces the completeness of recollections </w:t>
      </w:r>
      <w:r w:rsidR="00D565BE" w:rsidRPr="00593545">
        <w:fldChar w:fldCharType="begin" w:fldLock="1"/>
      </w:r>
      <w:r w:rsidR="00BB436F" w:rsidRPr="00593545">
        <w:instrText>ADDIN CSL_CITATION { "citationItems" : [ { "id" : "ITEM-1", "itemData" : { "DOI" : "10.1371/journal.pone.0100238", "ISBN" : "1932-6203", "ISSN" : "19326203", "PMID" : "24971457", "abstract" : "This study investigated the modulatory role of emotion in the effect of time delay on recognition memory for pictures. Participants viewed neutral, positive and negative pictures, and took a recognition memory test 5 minutes, 24 hours, or 1 week after learning. The findings are: 1) For neutral, positive and negative pictures, overall recognition accuracy in the 5-min delay did not significantly differ from that in the 24-h delay. For neutral and positive pictures, overall recognition accuracy in the 1-week delay was lower than in the 24-h delay; for negative pictures, overall recognition in the 24-h and 1-week delay did not significantly differ. Therefore negative emotion modulates the effect of time delay on recognition memory, maintaining retention of overall recognition accuracy only within a certain frame of time. 2) For the three types of pictures, recollection and familiarity in the 5-min delay did not significantly differ from that in the 24-h and the 1-week delay. Thus emotion does not appear to modulate the effect of time delay on recollection and familiarity. However, recollection in the 24-h delay was higher than in the 1-week delay, whereas familiarity in the 24-h delay was lower than in the 1-week delay.", "author" : [ { "dropping-particle" : "", "family" : "Wang", "given" : "Bo", "non-dropping-particle" : "", "parse-names" : false, "suffix" : "" } ], "container-title" : "PLoS ONE", "id" : "ITEM-1", "issue" : "6", "issued" : { "date-parts" : [ [ "2014" ] ] }, "title" : "Effect of time delay on recognition memory for pictures: The modulatory role of emotion", "type" : "article-journal", "volume" : "9" }, "uris" : [ "http://www.mendeley.com/documents/?uuid=016b4dba-1aef-4361-9cdb-c43f59475987" ] } ], "mendeley" : { "formattedCitation" : "(Wang 2014)", "plainTextFormattedCitation" : "(Wang 2014)", "previouslyFormattedCitation" : "(Wang 2014)" }, "properties" : {  }, "schema" : "https://github.com/citation-style-language/schema/raw/master/csl-citation.json" }</w:instrText>
      </w:r>
      <w:r w:rsidR="00D565BE" w:rsidRPr="00593545">
        <w:fldChar w:fldCharType="separate"/>
      </w:r>
      <w:r w:rsidR="00BB436F" w:rsidRPr="00593545">
        <w:rPr>
          <w:noProof/>
        </w:rPr>
        <w:t>(Wang 2014)</w:t>
      </w:r>
      <w:r w:rsidR="00D565BE" w:rsidRPr="00593545">
        <w:fldChar w:fldCharType="end"/>
      </w:r>
      <w:r w:rsidR="004B7745" w:rsidRPr="00593545">
        <w:t xml:space="preserve"> </w:t>
      </w:r>
      <w:r w:rsidR="00827CA0" w:rsidRPr="00593545">
        <w:t>whilst several more specific processes (blocking, absentmindedness, misattribution</w:t>
      </w:r>
      <w:r w:rsidR="001557C5" w:rsidRPr="00593545">
        <w:t>,</w:t>
      </w:r>
      <w:r w:rsidR="00827CA0" w:rsidRPr="00593545">
        <w:t xml:space="preserve"> false memory and re-writing)</w:t>
      </w:r>
      <w:r w:rsidR="001557C5" w:rsidRPr="00593545">
        <w:t xml:space="preserve"> </w:t>
      </w:r>
      <w:r w:rsidR="001557C5" w:rsidRPr="00593545">
        <w:fldChar w:fldCharType="begin" w:fldLock="1"/>
      </w:r>
      <w:r w:rsidR="002019DB" w:rsidRPr="00593545">
        <w:instrText>ADDIN CSL_CITATION { "citationItems" : [ { "id" : "ITEM-1", "itemData" : { "abstract" : "A groundbreaking work by one of the world's foremost memory experts that offers the first framework to explain the basic memory miscues that we all encounter. Daniel L. Schacter, chairman of Harvard University's Psychology Department, and internationally recognised as one of the world's authorities on memory explains that just as the seven deadly sins appear routinely in everyday life so do the seven memory sins, and why it is a good thing that they happen and why it is suprisingly vital to a keen mind. The author explain how transience reflects a weakening of memory over time, how absentmindness occurs when failures of attention sabotage memory and how blocking happens when we can't retrieve a name we know well. Three other sins involve distorted memories: misattribution (assigning a memory to the wrong source), suggestibility (implanting false memories), and bias (rewriting the past based on the present beliefs). The seventh sin, persistence, concerns intrusive recollections that we cannot forget - even when we wish we could. Daniel Schacter illustrates decades of research into memory lapses with compelling, and often bizarre, examples - for example, the violinist who placed a priceless Stradivarius on top of his car before driving off and the national memory champion who was plagued by absentmindness. This book also explores recent research, such as the imaging of the brain that actually shows memories being formed. Together the stories and scientific findings examined in \"How the Mind Forgets and Remembers\" will reassure everyone from twenty-somethings who find their livings too busy to those in their fifties and sixties who are worried about early Alzheimers. Beautifully written, this original book provides a fascinating new look at our brains and what we more generally think of as our minds.", "author" : [ { "dropping-particle" : "", "family" : "Schacter", "given" : "DL", "non-dropping-particle" : "", "parse-names" : false, "suffix" : "" } ], "id" : "ITEM-1", "issued" : { "date-parts" : [ [ "2001" ] ] }, "publisher" : "Houghton-Mifflin", "publisher-place" : "New York", "title" : "The seven sins of memory: how the mind forgets and remembers", "type" : "book" }, "uris" : [ "http://www.mendeley.com/documents/?uuid=f352f5d1-9db8-4094-906d-fc7a57a2a640" ] } ], "mendeley" : { "formattedCitation" : "(Schacter 2001)", "manualFormatting" : "(Schacter 2003)", "plainTextFormattedCitation" : "(Schacter 2001)", "previouslyFormattedCitation" : "(Schacter 2001)" }, "properties" : {  }, "schema" : "https://github.com/citation-style-language/schema/raw/master/csl-citation.json" }</w:instrText>
      </w:r>
      <w:r w:rsidR="001557C5" w:rsidRPr="00593545">
        <w:fldChar w:fldCharType="separate"/>
      </w:r>
      <w:r w:rsidR="002019DB" w:rsidRPr="00593545">
        <w:rPr>
          <w:noProof/>
        </w:rPr>
        <w:t>(Schacter 2003</w:t>
      </w:r>
      <w:r w:rsidR="001557C5" w:rsidRPr="00593545">
        <w:rPr>
          <w:noProof/>
        </w:rPr>
        <w:t>)</w:t>
      </w:r>
      <w:r w:rsidR="001557C5" w:rsidRPr="00593545">
        <w:fldChar w:fldCharType="end"/>
      </w:r>
      <w:r w:rsidR="00827CA0" w:rsidRPr="00593545">
        <w:t xml:space="preserve"> all interfere with the accuracy of recollections</w:t>
      </w:r>
      <w:r w:rsidR="001557C5" w:rsidRPr="00593545">
        <w:t xml:space="preserve">. </w:t>
      </w:r>
      <w:r w:rsidR="009C4BEB" w:rsidRPr="00593545">
        <w:t xml:space="preserve">Women have previously been found to perform better at episodic memory tasks then men </w:t>
      </w:r>
      <w:r w:rsidR="009C4BEB" w:rsidRPr="00593545">
        <w:fldChar w:fldCharType="begin" w:fldLock="1"/>
      </w:r>
      <w:r w:rsidR="009C4BEB" w:rsidRPr="00593545">
        <w:instrText>ADDIN CSL_CITATION { "citationItems" : [ { "id" : "ITEM-1", "itemData" : { "DOI" : "10.3758/BF03211324", "ISBN" : "0090-502X (Print)\\r0090-502X (Linking)", "ISSN" : "0090-502X", "PMID" : "9421566", "abstract" : "The relationship between gender and memory has been largely neglected by research, despite occasional studies reporting gender differences in episodic memory performance. The present study examined potential gender differences in episodic memory, semantic memory, primary memory, and priming. Five hundred thirty women and 470 men, randomly sampled from the city of Ume\u00e5, Sweden, 35-80 years of age, participated in the study. There were no differences between men and women with regard to age or education, or on a measure of global intellectual functioning. As has been demonstrated previously, men out performed women on a visuospatial task and women outperformed men on tests of verbal fluency. In addition, the results demonstrated that women consistently performed at a higher level than did men on the episodic memory tasks, although there were no differences between men and women on the tasks assessing semantic memory, primary memory, or priming. The women's higher level of performance on the episodic memory tasks could not be fully explained by their higher verbal ability.", "author" : [ { "dropping-particle" : "", "family" : "Herlitz", "given" : "a", "non-dropping-particle" : "", "parse-names" : false, "suffix" : "" }, { "dropping-particle" : "", "family" : "Nilsson", "given" : "L G", "non-dropping-particle" : "", "parse-names" : false, "suffix" : "" }, { "dropping-particle" : "", "family" : "B\u00e4ckman", "given" : "L", "non-dropping-particle" : "", "parse-names" : false, "suffix" : "" } ], "container-title" : "Memory &amp; cognition", "id" : "ITEM-1", "issue" : "6", "issued" : { "date-parts" : [ [ "1997" ] ] }, "page" : "801-811", "title" : "Gender differences in episodic memory.", "type" : "article-journal", "volume" : "25" }, "uris" : [ "http://www.mendeley.com/documents/?uuid=7a20b44d-8284-4837-afb7-11b1ae1cec9a" ] } ], "mendeley" : { "formattedCitation" : "(Herlitz et al. 1997)", "plainTextFormattedCitation" : "(Herlitz et al. 1997)", "previouslyFormattedCitation" : "(Herlitz et al. 1997)" }, "properties" : {  }, "schema" : "https://github.com/citation-style-language/schema/raw/master/csl-citation.json" }</w:instrText>
      </w:r>
      <w:r w:rsidR="009C4BEB" w:rsidRPr="00593545">
        <w:fldChar w:fldCharType="separate"/>
      </w:r>
      <w:r w:rsidR="009C4BEB" w:rsidRPr="00593545">
        <w:rPr>
          <w:noProof/>
        </w:rPr>
        <w:t>(Herlitz et al. 1997)</w:t>
      </w:r>
      <w:r w:rsidR="009C4BEB" w:rsidRPr="00593545">
        <w:fldChar w:fldCharType="end"/>
      </w:r>
      <w:r w:rsidR="009C4BEB" w:rsidRPr="00593545">
        <w:t xml:space="preserve">. </w:t>
      </w:r>
      <w:r w:rsidRPr="00593545">
        <w:t xml:space="preserve">Any interruption of examiners’ </w:t>
      </w:r>
      <w:r w:rsidR="003D586F" w:rsidRPr="00593545">
        <w:t>episodic</w:t>
      </w:r>
      <w:r w:rsidR="00F74400" w:rsidRPr="00593545">
        <w:t xml:space="preserve"> </w:t>
      </w:r>
      <w:r w:rsidRPr="00593545">
        <w:t>memories</w:t>
      </w:r>
      <w:r w:rsidR="003D586F" w:rsidRPr="00593545">
        <w:t xml:space="preserve"> of performances</w:t>
      </w:r>
      <w:r w:rsidRPr="00593545">
        <w:t xml:space="preserve"> could mean that the processing and integration phases of judgement may be based on incomplete information. As a result, the ability to store observations in episodic memory may be important to the judgement process.</w:t>
      </w:r>
    </w:p>
    <w:p w:rsidR="004B7745" w:rsidRPr="00593545" w:rsidRDefault="004B7745" w:rsidP="00FF0B1C">
      <w:pPr>
        <w:spacing w:line="480" w:lineRule="auto"/>
      </w:pPr>
    </w:p>
    <w:p w:rsidR="00C922A6" w:rsidRPr="00593545" w:rsidRDefault="00C922A6" w:rsidP="00FF0B1C">
      <w:pPr>
        <w:spacing w:line="480" w:lineRule="auto"/>
      </w:pPr>
      <w:r w:rsidRPr="00593545">
        <w:t>Two separate effects might arise if examiners find it difficult to accurately recall their observations: firstly, examiners</w:t>
      </w:r>
      <w:r w:rsidR="00584235" w:rsidRPr="00593545">
        <w:t>’ final</w:t>
      </w:r>
      <w:r w:rsidRPr="00593545">
        <w:t xml:space="preserve"> judgements of the overall standard of the perfo</w:t>
      </w:r>
      <w:r w:rsidR="00584235" w:rsidRPr="00593545">
        <w:t>rmance may be based on an incomplete</w:t>
      </w:r>
      <w:r w:rsidR="00AC4B4F" w:rsidRPr="00593545">
        <w:t>, selected</w:t>
      </w:r>
      <w:r w:rsidRPr="00593545">
        <w:t xml:space="preserve"> portion of observations. This may influence the scores that are chosen, contributing to score variability</w:t>
      </w:r>
      <w:r w:rsidR="00584235" w:rsidRPr="00593545">
        <w:t xml:space="preserve">, and could go some way to explaining why assessors have been observed to adopt one of a small number of distinctly different perspectives of performances </w:t>
      </w:r>
      <w:r w:rsidR="00584235" w:rsidRPr="00593545">
        <w:fldChar w:fldCharType="begin" w:fldLock="1"/>
      </w:r>
      <w:r w:rsidR="002019DB" w:rsidRPr="00593545">
        <w:instrText>ADDIN CSL_CITATION { "citationItems" : [ { "id" : "ITEM-1", "itemData" : { "DOI" : "10.1007/s10459-016-9711-8", "ISBN" : "1045901697118", "ISSN" : "1382-4996", "PMID" : "27651046", "abstract" : "Whenever multiple observers provide ratings, even of the same performance, inter-rater variation is prevalent. The resulting \u2018idiosyncratic rater variance\u2019 is considered to be unusable error of measurement in psychometric models and is a threat to the defensibility of our assessments. Prior studies of inter-rater variation in clinical assessments have used open response formats to gather raters\u2019 comments and justifications. This design choice allows participants to use idiosyncratic response styles that could result in a distorted representation of the underlying rater cognition and skew subsequent analyses. In this study we explored rater variability using the structured response format of Q methodology. Physician raters viewed video-recorded clinical performances and provided Mini Clinical Evaluation Exercise (Mini-CEX) assessment ratings through a web-based system. They then shared their assessment impressions by sorting statements that described the most salient aspects of the clinical performance onto a forced quasi-normal distribution ranging from 'most consistent with my impression' to 'most contrary to my impression'. Analysis of the resulting Q-sorts revealed distinct points of view for each performance shared by multiple physicians. The points of view corresponded with the ratings physicians assigned to the performance. Each point of view emphasized different aspects of the performance with either rapport-building and/or medical expertise skills being most salient. It was rare for the points of view to diverge based on disagreements regarding the interpretation of a specific aspect of the performance. As a result, physicians\u2019 divergent points of view on a given clinical performance cannot be easily reconciled into a single coherent assessment judgment that is impacted by measurement error. If inter-rater variability does not wholly reflect error of measurement, it is problematic for our current measurement models and poses challenges for how we are to adequately analyze performance assessment ratings. (PsycINFO Database Record (c) 2016 APA, all rights reserved)", "author" : [ { "dropping-particle" : "", "family" : "Gingerich", "given" : "Andrea", "non-dropping-particle" : "", "parse-names" : false, "suffix" : "" }, { "dropping-particle" : "", "family" : "Ramlo", "given" : "Susan E.", "non-dropping-particle" : "", "parse-names" : false, "suffix" : "" }, { "dropping-particle" : "", "family" : "Vleuten", "given" : "Cees P M", "non-dropping-particle" : "van der", "parse-names" : false, "suffix" : "" }, { "dropping-particle" : "", "family" : "Eva", "given" : "Kevin W.", "non-dropping-particle" : "", "parse-names" : false, "suffix" : "" }, { "dropping-particle" : "", "family" : "Regehr", "given" : "Glenn", "non-dropping-particle" : "", "parse-names" : false, "suffix" : "" } ], "container-title" : "Advances in Health Sciences Education", "id" : "ITEM-1", "issue" : "4", "issued" : { "date-parts" : [ [ "2017", "10", "20" ] ] }, "page" : "819-838", "publisher" : "Springer Netherlands", "title" : "Inter-rater variability as mutual disagreement: identifying raters\u2019 divergent points of view", "type" : "article-journal", "volume" : "22" }, "uris" : [ "http://www.mendeley.com/documents/?uuid=53ab84e1-f8e4-4147-a1bf-21360a49d578" ] } ], "mendeley" : { "formattedCitation" : "(Gingerich et al. 2017)", "plainTextFormattedCitation" : "(Gingerich et al. 2017)", "previouslyFormattedCitation" : "(Gingerich et al. 2017)" }, "properties" : {  }, "schema" : "https://github.com/citation-style-language/schema/raw/master/csl-citation.json" }</w:instrText>
      </w:r>
      <w:r w:rsidR="00584235" w:rsidRPr="00593545">
        <w:fldChar w:fldCharType="separate"/>
      </w:r>
      <w:r w:rsidR="002019DB" w:rsidRPr="00593545">
        <w:rPr>
          <w:noProof/>
        </w:rPr>
        <w:t>(Gingerich et al. 2017)</w:t>
      </w:r>
      <w:r w:rsidR="00584235" w:rsidRPr="00593545">
        <w:fldChar w:fldCharType="end"/>
      </w:r>
      <w:r w:rsidRPr="00593545">
        <w:t>. As a result, examiners who recall performances comparatively poorly may tend to give less accurate</w:t>
      </w:r>
      <w:r w:rsidR="00574FB3" w:rsidRPr="00593545">
        <w:t xml:space="preserve"> (i.e. more variable)</w:t>
      </w:r>
      <w:r w:rsidRPr="00593545">
        <w:t xml:space="preserve"> scores. Secondly, the ability to distinguish between domains of performance may depend on being able to accurately retain specific observations about </w:t>
      </w:r>
      <w:r w:rsidRPr="00593545">
        <w:lastRenderedPageBreak/>
        <w:t xml:space="preserve">performance in each domain. Consequently, examiners who have comparatively poor recall of performances may find it difficult to distinguish domains of performances, therefore showing less domain discrimination. </w:t>
      </w:r>
    </w:p>
    <w:p w:rsidR="004B7745" w:rsidRPr="00593545" w:rsidRDefault="004B7745" w:rsidP="00FF0B1C">
      <w:pPr>
        <w:spacing w:line="480" w:lineRule="auto"/>
      </w:pPr>
    </w:p>
    <w:p w:rsidR="00C922A6" w:rsidRPr="00593545" w:rsidRDefault="001578FB" w:rsidP="00FF0B1C">
      <w:pPr>
        <w:spacing w:line="480" w:lineRule="auto"/>
      </w:pPr>
      <w:r w:rsidRPr="00593545">
        <w:t xml:space="preserve">As a result, understanding the relationship between examiners’ memories for performance and their scoring tendencies may give insight into </w:t>
      </w:r>
      <w:r w:rsidR="00584235" w:rsidRPr="00593545">
        <w:t xml:space="preserve">the </w:t>
      </w:r>
      <w:r w:rsidRPr="00593545">
        <w:t xml:space="preserve">little studied aspects of processing and integration of information within assessors’ judgements. </w:t>
      </w:r>
      <w:r w:rsidR="00C922A6" w:rsidRPr="00593545">
        <w:t>In this initial exploratory research, we investigate</w:t>
      </w:r>
      <w:r w:rsidR="00860C9E" w:rsidRPr="00593545">
        <w:t>d</w:t>
      </w:r>
      <w:r w:rsidR="0060753C" w:rsidRPr="00593545">
        <w:t xml:space="preserve"> </w:t>
      </w:r>
      <w:r w:rsidR="00C922A6" w:rsidRPr="00593545">
        <w:t xml:space="preserve">whether:  </w:t>
      </w:r>
    </w:p>
    <w:p w:rsidR="00C922A6" w:rsidRPr="00593545" w:rsidRDefault="00C922A6" w:rsidP="00FF0B1C">
      <w:pPr>
        <w:pStyle w:val="ListParagraph"/>
        <w:numPr>
          <w:ilvl w:val="0"/>
          <w:numId w:val="10"/>
        </w:numPr>
        <w:spacing w:line="480" w:lineRule="auto"/>
      </w:pPr>
      <w:r w:rsidRPr="00593545">
        <w:t xml:space="preserve">Examiners vary in their ability to recollect students’ performance and which factors </w:t>
      </w:r>
      <w:r w:rsidR="00574FB3" w:rsidRPr="00593545">
        <w:t xml:space="preserve">relate to </w:t>
      </w:r>
      <w:r w:rsidRPr="00593545">
        <w:t>this.</w:t>
      </w:r>
    </w:p>
    <w:p w:rsidR="00C922A6" w:rsidRPr="00593545" w:rsidRDefault="00C922A6" w:rsidP="00FF0B1C">
      <w:pPr>
        <w:pStyle w:val="ListParagraph"/>
        <w:numPr>
          <w:ilvl w:val="0"/>
          <w:numId w:val="10"/>
        </w:numPr>
        <w:spacing w:line="480" w:lineRule="auto"/>
      </w:pPr>
      <w:r w:rsidRPr="00593545">
        <w:t xml:space="preserve">Examiners memory relates to overall score variability. </w:t>
      </w:r>
    </w:p>
    <w:p w:rsidR="00860C9E" w:rsidRPr="00593545" w:rsidRDefault="00C922A6" w:rsidP="00FF0B1C">
      <w:pPr>
        <w:pStyle w:val="ListParagraph"/>
        <w:numPr>
          <w:ilvl w:val="0"/>
          <w:numId w:val="10"/>
        </w:numPr>
        <w:spacing w:line="480" w:lineRule="auto"/>
        <w:rPr>
          <w:rFonts w:cs="Arial"/>
        </w:rPr>
      </w:pPr>
      <w:r w:rsidRPr="00593545">
        <w:t>Examiners memory relates to their ability to separate domains of students’ performance.</w:t>
      </w:r>
    </w:p>
    <w:p w:rsidR="00FF0B1C" w:rsidRPr="00593545" w:rsidRDefault="00FF0B1C" w:rsidP="00FF0B1C">
      <w:pPr>
        <w:spacing w:line="480" w:lineRule="auto"/>
        <w:rPr>
          <w:b/>
          <w:sz w:val="28"/>
          <w:szCs w:val="28"/>
        </w:rPr>
      </w:pPr>
    </w:p>
    <w:p w:rsidR="00C922A6" w:rsidRPr="00593545" w:rsidRDefault="00C922A6" w:rsidP="00FF0B1C">
      <w:pPr>
        <w:spacing w:line="480" w:lineRule="auto"/>
        <w:rPr>
          <w:b/>
          <w:sz w:val="28"/>
          <w:szCs w:val="28"/>
        </w:rPr>
      </w:pPr>
      <w:r w:rsidRPr="00593545">
        <w:rPr>
          <w:b/>
          <w:sz w:val="28"/>
          <w:szCs w:val="28"/>
        </w:rPr>
        <w:t>Methods:</w:t>
      </w:r>
    </w:p>
    <w:p w:rsidR="00C922A6" w:rsidRPr="00593545" w:rsidRDefault="00C922A6" w:rsidP="00FF0B1C">
      <w:pPr>
        <w:spacing w:line="480" w:lineRule="auto"/>
        <w:rPr>
          <w:rFonts w:cs="Arial"/>
          <w:b/>
        </w:rPr>
      </w:pPr>
      <w:r w:rsidRPr="00593545">
        <w:rPr>
          <w:rFonts w:cs="Arial"/>
          <w:b/>
        </w:rPr>
        <w:t>Study Design</w:t>
      </w:r>
    </w:p>
    <w:p w:rsidR="00C922A6" w:rsidRPr="00593545" w:rsidRDefault="00C922A6" w:rsidP="00FF0B1C">
      <w:pPr>
        <w:spacing w:line="480" w:lineRule="auto"/>
        <w:rPr>
          <w:rFonts w:cs="Arial"/>
        </w:rPr>
      </w:pPr>
      <w:r w:rsidRPr="00593545">
        <w:rPr>
          <w:rFonts w:cs="Arial"/>
        </w:rPr>
        <w:t xml:space="preserve">This study used secondary analysis </w:t>
      </w:r>
      <w:r w:rsidR="00780A10" w:rsidRPr="00593545">
        <w:rPr>
          <w:rFonts w:cs="Arial"/>
        </w:rPr>
        <w:t xml:space="preserve">of data from </w:t>
      </w:r>
      <w:r w:rsidRPr="00593545">
        <w:rPr>
          <w:rFonts w:cs="Arial"/>
        </w:rPr>
        <w:t xml:space="preserve"> a pri</w:t>
      </w:r>
      <w:r w:rsidR="00780A10" w:rsidRPr="00593545">
        <w:rPr>
          <w:rFonts w:cs="Arial"/>
        </w:rPr>
        <w:t>or</w:t>
      </w:r>
      <w:r w:rsidRPr="00593545">
        <w:rPr>
          <w:rFonts w:cs="Arial"/>
        </w:rPr>
        <w:t xml:space="preserve"> study </w:t>
      </w:r>
      <w:r w:rsidR="00BB436F" w:rsidRPr="00593545">
        <w:rPr>
          <w:rFonts w:cs="Arial"/>
        </w:rPr>
        <w:fldChar w:fldCharType="begin" w:fldLock="1"/>
      </w:r>
      <w:r w:rsidR="00BB436F" w:rsidRPr="00593545">
        <w:rPr>
          <w:rFonts w:cs="Arial"/>
        </w:rPr>
        <w:instrText>ADDIN CSL_CITATION { "citationItems" : [ { "id" : "ITEM-1", "itemData" : { "DOI" : "10.1186/s12916-017-0943-0", "ISSN" : "1741-7015", "author" : [ { "dropping-particle" : "", "family" : "Yeates", "given" : "Peter", "non-dropping-particle" : "", "parse-names" : false, "suffix" : "" }, { "dropping-particle" : "", "family" : "Woolf", "given" : "Katherine", "non-dropping-particle" : "", "parse-names" : false, "suffix" : "" }, { "dropping-particle" : "", "family" : "Benbow", "given" : "Emyr", "non-dropping-particle" : "", "parse-names" : false, "suffix" : "" }, { "dropping-particle" : "", "family" : "Davies", "given" : "Ben", "non-dropping-particle" : "", "parse-names" : false, "suffix" : "" }, { "dropping-particle" : "", "family" : "Boohan", "given" : "Mairhead", "non-dropping-particle" : "", "parse-names" : false, "suffix" : "" }, { "dropping-particle" : "", "family" : "Eva", "given" : "Kevin", "non-dropping-particle" : "", "parse-names" : false, "suffix" : "" } ], "container-title" : "BMC Medicine", "id" : "ITEM-1", "issue" : "1", "issued" : { "date-parts" : [ [ "2017", "12", "25" ] ] }, "page" : "179", "publisher" : "BMC Medicine", "title" : "A randomised trial of the influence of racial stereotype bias on examiners\u2019 scores, feedback and recollections in undergraduate clinical exams", "type" : "article-journal", "volume" : "15" }, "uris" : [ "http://www.mendeley.com/documents/?uuid=b43324c6-4b8d-4b6e-9641-ae21133a2780" ] } ], "mendeley" : { "formattedCitation" : "(Yeates et al. 2017)", "plainTextFormattedCitation" : "(Yeates et al. 2017)", "previouslyFormattedCitation" : "(Yeates et al. 2017)" }, "properties" : {  }, "schema" : "https://github.com/citation-style-language/schema/raw/master/csl-citation.json" }</w:instrText>
      </w:r>
      <w:r w:rsidR="00BB436F" w:rsidRPr="00593545">
        <w:rPr>
          <w:rFonts w:cs="Arial"/>
        </w:rPr>
        <w:fldChar w:fldCharType="separate"/>
      </w:r>
      <w:r w:rsidR="00BB436F" w:rsidRPr="00593545">
        <w:rPr>
          <w:rFonts w:cs="Arial"/>
          <w:noProof/>
        </w:rPr>
        <w:t>(Yeates et al. 2017)</w:t>
      </w:r>
      <w:r w:rsidR="00BB436F" w:rsidRPr="00593545">
        <w:rPr>
          <w:rFonts w:cs="Arial"/>
        </w:rPr>
        <w:fldChar w:fldCharType="end"/>
      </w:r>
      <w:r w:rsidR="007634F3" w:rsidRPr="00593545">
        <w:rPr>
          <w:rFonts w:cs="Arial"/>
        </w:rPr>
        <w:t>, which collected examiners’ scores for three standardised performances as well as a measure of the examiners’ recollections of one of those performances</w:t>
      </w:r>
      <w:r w:rsidRPr="00593545">
        <w:rPr>
          <w:rFonts w:cs="Arial"/>
        </w:rPr>
        <w:t xml:space="preserve">. </w:t>
      </w:r>
    </w:p>
    <w:p w:rsidR="006C2481" w:rsidRPr="00593545" w:rsidRDefault="006C2481" w:rsidP="0069270A">
      <w:pPr>
        <w:spacing w:line="480" w:lineRule="auto"/>
        <w:rPr>
          <w:rFonts w:cs="Arial"/>
          <w:b/>
        </w:rPr>
      </w:pPr>
    </w:p>
    <w:p w:rsidR="0069270A" w:rsidRPr="00593545" w:rsidRDefault="0069270A" w:rsidP="0069270A">
      <w:pPr>
        <w:spacing w:line="480" w:lineRule="auto"/>
        <w:rPr>
          <w:rFonts w:cs="Arial"/>
          <w:b/>
        </w:rPr>
      </w:pPr>
      <w:r w:rsidRPr="00593545">
        <w:rPr>
          <w:rFonts w:cs="Arial"/>
          <w:b/>
        </w:rPr>
        <w:t xml:space="preserve">Participants </w:t>
      </w:r>
    </w:p>
    <w:p w:rsidR="0069270A" w:rsidRPr="00593545" w:rsidRDefault="0069270A" w:rsidP="0069270A">
      <w:pPr>
        <w:spacing w:line="480" w:lineRule="auto"/>
        <w:rPr>
          <w:rFonts w:cs="Arial"/>
        </w:rPr>
      </w:pPr>
      <w:r w:rsidRPr="00593545">
        <w:rPr>
          <w:rFonts w:cs="Arial"/>
        </w:rPr>
        <w:lastRenderedPageBreak/>
        <w:t xml:space="preserve">Participants in the original study were all: doctors registered to practice in the UK, who had: examined summative OSCE exams in the UK within the last two years; received training as an OSCE examiner; and were comfortable at assessing both knowledge and communication. </w:t>
      </w:r>
    </w:p>
    <w:p w:rsidR="004B7745" w:rsidRPr="00593545" w:rsidRDefault="004B7745" w:rsidP="00FF0B1C">
      <w:pPr>
        <w:spacing w:line="480" w:lineRule="auto"/>
        <w:rPr>
          <w:rFonts w:cs="Arial"/>
        </w:rPr>
      </w:pPr>
    </w:p>
    <w:p w:rsidR="00780A10" w:rsidRPr="00593545" w:rsidRDefault="00780A10" w:rsidP="00FF0B1C">
      <w:pPr>
        <w:spacing w:line="480" w:lineRule="auto"/>
        <w:rPr>
          <w:rFonts w:cs="Arial"/>
          <w:b/>
        </w:rPr>
      </w:pPr>
      <w:r w:rsidRPr="00593545">
        <w:rPr>
          <w:rFonts w:cs="Arial"/>
          <w:b/>
        </w:rPr>
        <w:t xml:space="preserve">Design of original study </w:t>
      </w:r>
    </w:p>
    <w:p w:rsidR="00C922A6" w:rsidRPr="00593545" w:rsidRDefault="00780A10" w:rsidP="00FF0B1C">
      <w:pPr>
        <w:spacing w:line="480" w:lineRule="auto"/>
        <w:rPr>
          <w:rFonts w:cs="Arial"/>
        </w:rPr>
      </w:pPr>
      <w:r w:rsidRPr="00593545">
        <w:rPr>
          <w:rFonts w:cs="Arial"/>
        </w:rPr>
        <w:t>P</w:t>
      </w:r>
      <w:r w:rsidR="00C922A6" w:rsidRPr="00593545">
        <w:rPr>
          <w:rFonts w:cs="Arial"/>
        </w:rPr>
        <w:t>articipants</w:t>
      </w:r>
      <w:r w:rsidRPr="00593545">
        <w:rPr>
          <w:rFonts w:cs="Arial"/>
        </w:rPr>
        <w:t xml:space="preserve"> (n=159)</w:t>
      </w:r>
      <w:r w:rsidR="00C922A6" w:rsidRPr="00593545">
        <w:rPr>
          <w:rFonts w:cs="Arial"/>
        </w:rPr>
        <w:t xml:space="preserve"> </w:t>
      </w:r>
      <w:r w:rsidRPr="00593545">
        <w:rPr>
          <w:rFonts w:cs="Arial"/>
        </w:rPr>
        <w:t xml:space="preserve">in the original study </w:t>
      </w:r>
      <w:r w:rsidR="00F74400" w:rsidRPr="00593545">
        <w:rPr>
          <w:rFonts w:cs="Arial"/>
        </w:rPr>
        <w:t xml:space="preserve">watched </w:t>
      </w:r>
      <w:r w:rsidR="007C49D2" w:rsidRPr="00593545">
        <w:rPr>
          <w:rFonts w:cs="Arial"/>
        </w:rPr>
        <w:t xml:space="preserve">the same </w:t>
      </w:r>
      <w:r w:rsidR="00F74400" w:rsidRPr="00593545">
        <w:rPr>
          <w:rFonts w:cs="Arial"/>
        </w:rPr>
        <w:t xml:space="preserve">3 sequential videos </w:t>
      </w:r>
      <w:r w:rsidR="00C922A6" w:rsidRPr="00593545">
        <w:rPr>
          <w:rFonts w:cs="Arial"/>
        </w:rPr>
        <w:t>of OSCE performances</w:t>
      </w:r>
      <w:r w:rsidR="007634F3" w:rsidRPr="00593545">
        <w:rPr>
          <w:rFonts w:cs="Arial"/>
        </w:rPr>
        <w:t xml:space="preserve">. Each performance demonstrated a scripted scenario, in which the same young woman attended a General Practitioner to discuss a new diagnosis of type 1 Diabetes mellitus. Students undertaking the OSCE were required to demonstrate their knowledge of the condition and their empathy and communication skills. Performances were all scripted and validated as described in the original study. Performances </w:t>
      </w:r>
      <w:r w:rsidRPr="00593545">
        <w:rPr>
          <w:rFonts w:cs="Arial"/>
        </w:rPr>
        <w:t xml:space="preserve"> varied in the </w:t>
      </w:r>
      <w:r w:rsidR="00BE6514" w:rsidRPr="00593545">
        <w:rPr>
          <w:rFonts w:cs="Arial"/>
        </w:rPr>
        <w:t xml:space="preserve">standard of </w:t>
      </w:r>
      <w:r w:rsidR="00C922A6" w:rsidRPr="00593545">
        <w:rPr>
          <w:rFonts w:cs="Arial"/>
        </w:rPr>
        <w:t>factual knowledge (K) and communication (C) skills</w:t>
      </w:r>
      <w:r w:rsidRPr="00593545">
        <w:rPr>
          <w:rFonts w:cs="Arial"/>
        </w:rPr>
        <w:t xml:space="preserve"> which they displayed:</w:t>
      </w:r>
      <w:r w:rsidR="00C922A6" w:rsidRPr="00593545">
        <w:rPr>
          <w:rFonts w:cs="Arial"/>
        </w:rPr>
        <w:t xml:space="preserve"> </w:t>
      </w:r>
      <w:r w:rsidRPr="00593545">
        <w:rPr>
          <w:rFonts w:cs="Arial"/>
        </w:rPr>
        <w:t xml:space="preserve">one performance showed good knowledge, but poor communication skills (K+/C-); one showed poor knowledge but good communication skills (K-/C+) and one showed a mixture of good and poor instances of knowledge and communication (Mixed). </w:t>
      </w:r>
      <w:r w:rsidR="00A50B27" w:rsidRPr="00593545">
        <w:rPr>
          <w:rFonts w:cs="Arial"/>
        </w:rPr>
        <w:t xml:space="preserve">As a result </w:t>
      </w:r>
      <w:r w:rsidR="004B7F04" w:rsidRPr="00593545">
        <w:rPr>
          <w:rFonts w:cs="Arial"/>
        </w:rPr>
        <w:t>two videos</w:t>
      </w:r>
      <w:r w:rsidR="00A50B27" w:rsidRPr="00593545">
        <w:rPr>
          <w:rFonts w:cs="Arial"/>
        </w:rPr>
        <w:t xml:space="preserve"> showed divergent performance across different domains (K+/C-, and K-/C+) whereas one showed comparatively homogenous performance across domains (Mixed). </w:t>
      </w:r>
      <w:r w:rsidR="00227696" w:rsidRPr="00593545">
        <w:rPr>
          <w:rFonts w:cs="Arial"/>
        </w:rPr>
        <w:t xml:space="preserve">Good communication involved features such as displaying empathy, using open questions, summarising and checking understanding; poor communication involved behaviours such as interrupting, being abrupt, lacking empathy, using closed questions. Good factual knowledge involved describing factually accurate information whilst poor factual knowledge involved describing factually inaccurate information. </w:t>
      </w:r>
      <w:r w:rsidR="007C49D2" w:rsidRPr="00593545">
        <w:rPr>
          <w:rFonts w:cs="Arial"/>
        </w:rPr>
        <w:t>The standards of performance in each subdomain in each videoed performance were validated by a panel of expert educators as part of the original study.</w:t>
      </w:r>
    </w:p>
    <w:p w:rsidR="004B7745" w:rsidRPr="00593545" w:rsidRDefault="004B7745" w:rsidP="00FF0B1C">
      <w:pPr>
        <w:spacing w:line="480" w:lineRule="auto"/>
        <w:rPr>
          <w:rFonts w:cs="Arial"/>
        </w:rPr>
      </w:pPr>
    </w:p>
    <w:p w:rsidR="00DB02A4" w:rsidRPr="00593545" w:rsidRDefault="00C922A6" w:rsidP="00FF0B1C">
      <w:pPr>
        <w:spacing w:line="480" w:lineRule="auto"/>
        <w:rPr>
          <w:rFonts w:cs="Arial"/>
        </w:rPr>
      </w:pPr>
      <w:r w:rsidRPr="00593545">
        <w:rPr>
          <w:rFonts w:cs="Arial"/>
        </w:rPr>
        <w:lastRenderedPageBreak/>
        <w:t>Following each video</w:t>
      </w:r>
      <w:r w:rsidR="00A50B27" w:rsidRPr="00593545">
        <w:rPr>
          <w:rFonts w:cs="Arial"/>
        </w:rPr>
        <w:t>,</w:t>
      </w:r>
      <w:r w:rsidRPr="00593545">
        <w:rPr>
          <w:rFonts w:cs="Arial"/>
        </w:rPr>
        <w:t xml:space="preserve"> participants individually scored the performance</w:t>
      </w:r>
      <w:r w:rsidR="00A50B27" w:rsidRPr="00593545">
        <w:rPr>
          <w:rFonts w:cs="Arial"/>
        </w:rPr>
        <w:t>s and provided written feedback</w:t>
      </w:r>
      <w:r w:rsidRPr="00593545">
        <w:rPr>
          <w:rFonts w:cs="Arial"/>
        </w:rPr>
        <w:t>. After watching all three videos</w:t>
      </w:r>
      <w:r w:rsidR="00A50B27" w:rsidRPr="00593545">
        <w:rPr>
          <w:rFonts w:cs="Arial"/>
        </w:rPr>
        <w:t>,</w:t>
      </w:r>
      <w:r w:rsidRPr="00593545">
        <w:rPr>
          <w:rFonts w:cs="Arial"/>
        </w:rPr>
        <w:t xml:space="preserve"> all participants completed a distraction task</w:t>
      </w:r>
      <w:r w:rsidR="00F74400" w:rsidRPr="00593545">
        <w:rPr>
          <w:rFonts w:cs="Arial"/>
        </w:rPr>
        <w:t xml:space="preserve"> </w:t>
      </w:r>
      <w:r w:rsidR="007634F3" w:rsidRPr="00593545">
        <w:rPr>
          <w:rFonts w:cs="Arial"/>
        </w:rPr>
        <w:t>(a lexical decision task</w:t>
      </w:r>
      <w:r w:rsidR="006C2481" w:rsidRPr="00593545">
        <w:rPr>
          <w:rFonts w:cs="Arial"/>
        </w:rPr>
        <w:t xml:space="preserve"> </w:t>
      </w:r>
      <w:r w:rsidR="006C2481" w:rsidRPr="00593545">
        <w:rPr>
          <w:rFonts w:cs="Arial"/>
        </w:rPr>
        <w:fldChar w:fldCharType="begin" w:fldLock="1"/>
      </w:r>
      <w:r w:rsidR="003B004D" w:rsidRPr="00593545">
        <w:rPr>
          <w:rFonts w:cs="Arial"/>
        </w:rPr>
        <w:instrText>ADDIN CSL_CITATION { "citationItems" : [ { "id" : "ITEM-1", "itemData" : { "DOI" : "10.1037/0022-3514.77.5.885", "ISBN" : "0022-3514 (Print)\\r0022-3514 (Linking)", "ISSN" : "0022-3514", "PMID" : "10573871", "abstract" : "The motivation to form a particular impression of an individual can prompt the inhibition of applicable stereotypes that contradict one's desired impression and the activation and application of stereotypes that support it. Participants, especially those high in prejudice, inhibited the Black stereotype when motivated to esteem a Black individual (because he had praised them). Participants motivated to esteem a Black doctor also activated the doctor stereotype. In contrast, participants motivated to disparage a Black doctor (because he had criticized them) inhibited the doctor stereotype. Participants motivated to disparage a Black individual also applied the Black stereotype to him, rating him as relatively incompetent. All these effects were driven by the self-protective motives of recipients of feedback from Black evaluators; detached observers showed no such effects.", "author" : [ { "dropping-particle" : "", "family" : "Sinclair", "given" : "L", "non-dropping-particle" : "", "parse-names" : false, "suffix" : "" }, { "dropping-particle" : "", "family" : "Kunda", "given" : "Z", "non-dropping-particle" : "", "parse-names" : false, "suffix" : "" } ], "container-title" : "Journal of personality and social psychology", "id" : "ITEM-1", "issue" : "5", "issued" : { "date-parts" : [ [ "1999" ] ] }, "page" : "885-904", "title" : "Reactions to a black professional: motivated inhibition and activation of conflicting stereotypes.", "type" : "article-journal", "volume" : "77" }, "uris" : [ "http://www.mendeley.com/documents/?uuid=54d5c75f-6403-4b75-a748-26ee602cc459" ] } ], "mendeley" : { "formattedCitation" : "(Sinclair &amp; Kunda 1999)", "manualFormatting" : "(for an example see Sinclair and Kunda 1999)", "plainTextFormattedCitation" : "(Sinclair &amp; Kunda 1999)", "previouslyFormattedCitation" : "(Sinclair &amp; Kunda 1999)" }, "properties" : {  }, "schema" : "https://github.com/citation-style-language/schema/raw/master/csl-citation.json" }</w:instrText>
      </w:r>
      <w:r w:rsidR="006C2481" w:rsidRPr="00593545">
        <w:rPr>
          <w:rFonts w:cs="Arial"/>
        </w:rPr>
        <w:fldChar w:fldCharType="separate"/>
      </w:r>
      <w:r w:rsidR="006C2481" w:rsidRPr="00593545">
        <w:rPr>
          <w:rFonts w:cs="Arial"/>
          <w:noProof/>
        </w:rPr>
        <w:t>(for an example see Sinclair and Kunda 1999)</w:t>
      </w:r>
      <w:r w:rsidR="006C2481" w:rsidRPr="00593545">
        <w:rPr>
          <w:rFonts w:cs="Arial"/>
        </w:rPr>
        <w:fldChar w:fldCharType="end"/>
      </w:r>
      <w:r w:rsidR="009F7188" w:rsidRPr="00593545">
        <w:rPr>
          <w:rFonts w:cs="Arial"/>
        </w:rPr>
        <w:t>)</w:t>
      </w:r>
      <w:r w:rsidR="00BE6514" w:rsidRPr="00593545">
        <w:rPr>
          <w:rFonts w:cs="Arial"/>
        </w:rPr>
        <w:t xml:space="preserve"> lasting a few minutes</w:t>
      </w:r>
      <w:r w:rsidR="007634F3" w:rsidRPr="00593545">
        <w:rPr>
          <w:rFonts w:cs="Arial"/>
        </w:rPr>
        <w:t xml:space="preserve"> </w:t>
      </w:r>
      <w:r w:rsidRPr="00593545">
        <w:rPr>
          <w:rFonts w:cs="Arial"/>
        </w:rPr>
        <w:t xml:space="preserve">and then immediately undertook a recollection test for </w:t>
      </w:r>
      <w:r w:rsidR="00A50B27" w:rsidRPr="00593545">
        <w:rPr>
          <w:rFonts w:cs="Arial"/>
        </w:rPr>
        <w:t xml:space="preserve">the </w:t>
      </w:r>
      <w:r w:rsidR="00F74400" w:rsidRPr="00593545">
        <w:rPr>
          <w:rFonts w:cs="Arial"/>
        </w:rPr>
        <w:t>mixed</w:t>
      </w:r>
      <w:r w:rsidR="00A50B27" w:rsidRPr="00593545">
        <w:rPr>
          <w:rFonts w:cs="Arial"/>
        </w:rPr>
        <w:t xml:space="preserve"> performance</w:t>
      </w:r>
      <w:r w:rsidRPr="00593545">
        <w:rPr>
          <w:rFonts w:cs="Arial"/>
        </w:rPr>
        <w:t>. Following th</w:t>
      </w:r>
      <w:r w:rsidR="00A50B27" w:rsidRPr="00593545">
        <w:rPr>
          <w:rFonts w:cs="Arial"/>
        </w:rPr>
        <w:t>e</w:t>
      </w:r>
      <w:r w:rsidRPr="00593545">
        <w:rPr>
          <w:rFonts w:cs="Arial"/>
        </w:rPr>
        <w:t>s</w:t>
      </w:r>
      <w:r w:rsidR="00A50B27" w:rsidRPr="00593545">
        <w:rPr>
          <w:rFonts w:cs="Arial"/>
        </w:rPr>
        <w:t>e</w:t>
      </w:r>
      <w:r w:rsidRPr="00593545">
        <w:rPr>
          <w:rFonts w:cs="Arial"/>
        </w:rPr>
        <w:t xml:space="preserve"> process</w:t>
      </w:r>
      <w:r w:rsidR="00A50B27" w:rsidRPr="00593545">
        <w:rPr>
          <w:rFonts w:cs="Arial"/>
        </w:rPr>
        <w:t>es,</w:t>
      </w:r>
      <w:r w:rsidRPr="00593545">
        <w:rPr>
          <w:rFonts w:cs="Arial"/>
        </w:rPr>
        <w:t xml:space="preserve"> participants provided dem</w:t>
      </w:r>
      <w:r w:rsidR="00F74400" w:rsidRPr="00593545">
        <w:rPr>
          <w:rFonts w:cs="Arial"/>
        </w:rPr>
        <w:t>ographic details and debriefed.</w:t>
      </w:r>
      <w:r w:rsidR="00A50B27" w:rsidRPr="00593545">
        <w:rPr>
          <w:rFonts w:cs="Arial"/>
        </w:rPr>
        <w:t xml:space="preserve"> </w:t>
      </w:r>
    </w:p>
    <w:p w:rsidR="004B7745" w:rsidRPr="00593545" w:rsidRDefault="004B7745" w:rsidP="00FF0B1C">
      <w:pPr>
        <w:spacing w:line="480" w:lineRule="auto"/>
        <w:rPr>
          <w:rFonts w:cs="Arial"/>
        </w:rPr>
      </w:pPr>
    </w:p>
    <w:p w:rsidR="004B7745" w:rsidRPr="00593545" w:rsidRDefault="004422B9" w:rsidP="00FF0B1C">
      <w:pPr>
        <w:spacing w:line="480" w:lineRule="auto"/>
        <w:rPr>
          <w:rFonts w:cs="Arial"/>
        </w:rPr>
      </w:pPr>
      <w:r w:rsidRPr="00593545">
        <w:rPr>
          <w:rFonts w:cs="Arial"/>
        </w:rPr>
        <w:t>While all of the participants watched the same three OSCE</w:t>
      </w:r>
      <w:r w:rsidR="007634F3" w:rsidRPr="00593545">
        <w:rPr>
          <w:rFonts w:cs="Arial"/>
        </w:rPr>
        <w:t xml:space="preserve"> </w:t>
      </w:r>
      <w:r w:rsidR="00BE6514" w:rsidRPr="00593545">
        <w:rPr>
          <w:rFonts w:cs="Arial"/>
        </w:rPr>
        <w:t>performances</w:t>
      </w:r>
      <w:r w:rsidR="007634F3" w:rsidRPr="00593545">
        <w:rPr>
          <w:rFonts w:cs="Arial"/>
        </w:rPr>
        <w:t>,</w:t>
      </w:r>
      <w:r w:rsidRPr="00593545">
        <w:rPr>
          <w:rFonts w:cs="Arial"/>
        </w:rPr>
        <w:t xml:space="preserve"> t</w:t>
      </w:r>
      <w:r w:rsidR="00A50B27" w:rsidRPr="00593545">
        <w:rPr>
          <w:rFonts w:cs="Arial"/>
        </w:rPr>
        <w:t>he original study counter-balanced the presentation order of the videos</w:t>
      </w:r>
      <w:r w:rsidRPr="00593545">
        <w:rPr>
          <w:rFonts w:cs="Arial"/>
        </w:rPr>
        <w:t>.</w:t>
      </w:r>
      <w:r w:rsidR="00A50B27" w:rsidRPr="00593545">
        <w:rPr>
          <w:rFonts w:cs="Arial"/>
        </w:rPr>
        <w:t xml:space="preserve"> </w:t>
      </w:r>
      <w:r w:rsidRPr="00593545">
        <w:rPr>
          <w:rFonts w:cs="Arial"/>
        </w:rPr>
        <w:t>H</w:t>
      </w:r>
      <w:r w:rsidR="00A50B27" w:rsidRPr="00593545">
        <w:rPr>
          <w:rFonts w:cs="Arial"/>
        </w:rPr>
        <w:t>alf of participants watched the performances i</w:t>
      </w:r>
      <w:r w:rsidR="00DB02A4" w:rsidRPr="00593545">
        <w:rPr>
          <w:rFonts w:cs="Arial"/>
        </w:rPr>
        <w:t>n the order: K+/C-, K-</w:t>
      </w:r>
      <w:r w:rsidR="001F4E76" w:rsidRPr="00593545">
        <w:rPr>
          <w:rFonts w:cs="Arial"/>
        </w:rPr>
        <w:t>/</w:t>
      </w:r>
      <w:r w:rsidR="00DB02A4" w:rsidRPr="00593545">
        <w:rPr>
          <w:rFonts w:cs="Arial"/>
        </w:rPr>
        <w:t>C+, Mixed</w:t>
      </w:r>
      <w:r w:rsidR="00CD327E" w:rsidRPr="00593545">
        <w:rPr>
          <w:rFonts w:cs="Arial"/>
        </w:rPr>
        <w:t xml:space="preserve">, and, as a result, </w:t>
      </w:r>
      <w:r w:rsidR="00A50B27" w:rsidRPr="00593545">
        <w:rPr>
          <w:rFonts w:cs="Arial"/>
        </w:rPr>
        <w:t>had a short delay between viewing the mixed performance and performing the recollection task (arou</w:t>
      </w:r>
      <w:r w:rsidR="006C2481" w:rsidRPr="00593545">
        <w:rPr>
          <w:rFonts w:cs="Arial"/>
        </w:rPr>
        <w:t>nd 5mins); whereas</w:t>
      </w:r>
      <w:r w:rsidR="00A50B27" w:rsidRPr="00593545">
        <w:rPr>
          <w:rFonts w:cs="Arial"/>
        </w:rPr>
        <w:t xml:space="preserve"> </w:t>
      </w:r>
      <w:r w:rsidR="00CD327E" w:rsidRPr="00593545">
        <w:rPr>
          <w:rFonts w:cs="Arial"/>
        </w:rPr>
        <w:t>t</w:t>
      </w:r>
      <w:r w:rsidR="00A50B27" w:rsidRPr="00593545">
        <w:rPr>
          <w:rFonts w:cs="Arial"/>
        </w:rPr>
        <w:t xml:space="preserve">he other half of participants watched performances </w:t>
      </w:r>
      <w:r w:rsidR="00DB02A4" w:rsidRPr="00593545">
        <w:rPr>
          <w:rFonts w:cs="Arial"/>
        </w:rPr>
        <w:t xml:space="preserve">in the </w:t>
      </w:r>
      <w:r w:rsidR="00CD327E" w:rsidRPr="00593545">
        <w:rPr>
          <w:rFonts w:cs="Arial"/>
        </w:rPr>
        <w:t xml:space="preserve">opposite </w:t>
      </w:r>
      <w:r w:rsidR="00DB02A4" w:rsidRPr="00593545">
        <w:rPr>
          <w:rFonts w:cs="Arial"/>
        </w:rPr>
        <w:t>order</w:t>
      </w:r>
      <w:r w:rsidR="00CD327E" w:rsidRPr="00593545">
        <w:rPr>
          <w:rFonts w:cs="Arial"/>
        </w:rPr>
        <w:t>:</w:t>
      </w:r>
      <w:r w:rsidR="00DB02A4" w:rsidRPr="00593545">
        <w:rPr>
          <w:rFonts w:cs="Arial"/>
        </w:rPr>
        <w:t xml:space="preserve"> Mixed, K-/C+, K+/C-</w:t>
      </w:r>
      <w:r w:rsidR="00CD327E" w:rsidRPr="00593545">
        <w:rPr>
          <w:rFonts w:cs="Arial"/>
        </w:rPr>
        <w:t>,</w:t>
      </w:r>
      <w:r w:rsidR="00DB02A4" w:rsidRPr="00593545">
        <w:rPr>
          <w:rFonts w:cs="Arial"/>
        </w:rPr>
        <w:t xml:space="preserve"> and consequently had a long delay between viewing the mixed performance and performing the recollection task (around 22 mins).</w:t>
      </w:r>
    </w:p>
    <w:p w:rsidR="006C2481" w:rsidRPr="00593545" w:rsidRDefault="006C2481" w:rsidP="00FF0B1C">
      <w:pPr>
        <w:spacing w:line="480" w:lineRule="auto"/>
        <w:rPr>
          <w:rFonts w:cs="Arial"/>
          <w:b/>
        </w:rPr>
      </w:pPr>
    </w:p>
    <w:p w:rsidR="00C922A6" w:rsidRPr="00593545" w:rsidRDefault="00BE6514" w:rsidP="00FF0B1C">
      <w:pPr>
        <w:spacing w:line="480" w:lineRule="auto"/>
        <w:rPr>
          <w:rFonts w:cs="Arial"/>
          <w:b/>
        </w:rPr>
      </w:pPr>
      <w:r w:rsidRPr="00593545">
        <w:rPr>
          <w:rFonts w:cs="Arial"/>
          <w:b/>
        </w:rPr>
        <w:t>OSCE performance scoring</w:t>
      </w:r>
    </w:p>
    <w:p w:rsidR="00C922A6" w:rsidRPr="00593545" w:rsidRDefault="00C922A6" w:rsidP="00FF0B1C">
      <w:pPr>
        <w:spacing w:line="480" w:lineRule="auto"/>
        <w:rPr>
          <w:rFonts w:cs="Arial"/>
        </w:rPr>
      </w:pPr>
      <w:r w:rsidRPr="00593545">
        <w:rPr>
          <w:rFonts w:cs="Arial"/>
        </w:rPr>
        <w:t xml:space="preserve">Performances </w:t>
      </w:r>
      <w:r w:rsidR="003C3CF2" w:rsidRPr="00593545">
        <w:rPr>
          <w:rFonts w:cs="Arial"/>
        </w:rPr>
        <w:t xml:space="preserve">were scored </w:t>
      </w:r>
      <w:r w:rsidR="00CD327E" w:rsidRPr="00593545">
        <w:rPr>
          <w:rFonts w:cs="Arial"/>
        </w:rPr>
        <w:t>on a number of domains</w:t>
      </w:r>
      <w:r w:rsidR="003C3CF2" w:rsidRPr="00593545">
        <w:rPr>
          <w:rFonts w:cs="Arial"/>
        </w:rPr>
        <w:t xml:space="preserve">, with </w:t>
      </w:r>
      <w:r w:rsidR="00E62C17" w:rsidRPr="00593545">
        <w:rPr>
          <w:rFonts w:cs="Arial"/>
        </w:rPr>
        <w:t xml:space="preserve">brief lists (5-6 items) of </w:t>
      </w:r>
      <w:r w:rsidR="003C3CF2" w:rsidRPr="00593545">
        <w:rPr>
          <w:rFonts w:cs="Arial"/>
        </w:rPr>
        <w:t>desirable behaviours listed</w:t>
      </w:r>
      <w:r w:rsidR="00CD327E" w:rsidRPr="00593545">
        <w:rPr>
          <w:rFonts w:cs="Arial"/>
        </w:rPr>
        <w:t xml:space="preserve"> for each domain. Participants scored each domain using end-anchored 7-point Likert scales ranging from “</w:t>
      </w:r>
      <w:r w:rsidR="003C3CF2" w:rsidRPr="00593545">
        <w:rPr>
          <w:rFonts w:cs="Arial"/>
        </w:rPr>
        <w:t>no</w:t>
      </w:r>
      <w:r w:rsidR="00CD327E" w:rsidRPr="00593545">
        <w:rPr>
          <w:rFonts w:cs="Arial"/>
        </w:rPr>
        <w:t xml:space="preserve"> items done” to “all items done well”. </w:t>
      </w:r>
      <w:r w:rsidR="003C3CF2" w:rsidRPr="00593545">
        <w:rPr>
          <w:rFonts w:cs="Arial"/>
        </w:rPr>
        <w:t>Two domains related to communication skills and two domains related to knowledge</w:t>
      </w:r>
      <w:r w:rsidR="00ED626D" w:rsidRPr="00593545">
        <w:rPr>
          <w:rFonts w:cs="Arial"/>
        </w:rPr>
        <w:t>.</w:t>
      </w:r>
      <w:r w:rsidR="003C3CF2" w:rsidRPr="00593545">
        <w:rPr>
          <w:rFonts w:cs="Arial"/>
        </w:rPr>
        <w:t xml:space="preserve"> </w:t>
      </w:r>
      <w:r w:rsidR="00ED626D" w:rsidRPr="00593545">
        <w:rPr>
          <w:rFonts w:cs="Arial"/>
        </w:rPr>
        <w:t>A</w:t>
      </w:r>
      <w:r w:rsidR="003C3CF2" w:rsidRPr="00593545">
        <w:rPr>
          <w:rFonts w:cs="Arial"/>
        </w:rPr>
        <w:t>verage score</w:t>
      </w:r>
      <w:r w:rsidR="00ED626D" w:rsidRPr="00593545">
        <w:rPr>
          <w:rFonts w:cs="Arial"/>
        </w:rPr>
        <w:t>s</w:t>
      </w:r>
      <w:r w:rsidR="003C3CF2" w:rsidRPr="00593545">
        <w:rPr>
          <w:rFonts w:cs="Arial"/>
        </w:rPr>
        <w:t xml:space="preserve"> for communication and knowledge domains w</w:t>
      </w:r>
      <w:r w:rsidR="00ED626D" w:rsidRPr="00593545">
        <w:rPr>
          <w:rFonts w:cs="Arial"/>
        </w:rPr>
        <w:t>ere</w:t>
      </w:r>
      <w:r w:rsidR="003C3CF2" w:rsidRPr="00593545">
        <w:rPr>
          <w:rFonts w:cs="Arial"/>
        </w:rPr>
        <w:t xml:space="preserve"> calculated for each participant. Additionally, participants scored the overall quality of the performance on a 7 point scale: fail (points 1 &amp; 2); </w:t>
      </w:r>
      <w:r w:rsidR="00F74400" w:rsidRPr="00593545">
        <w:rPr>
          <w:rFonts w:cs="Arial"/>
        </w:rPr>
        <w:t>borderline</w:t>
      </w:r>
      <w:r w:rsidR="003C3CF2" w:rsidRPr="00593545">
        <w:rPr>
          <w:rFonts w:cs="Arial"/>
        </w:rPr>
        <w:t xml:space="preserve"> (3); satisfactory (4); good (5); excellent (6&amp;7). </w:t>
      </w:r>
      <w:r w:rsidR="008356AB" w:rsidRPr="00593545">
        <w:rPr>
          <w:rFonts w:cs="Arial"/>
        </w:rPr>
        <w:t xml:space="preserve"> Participants could score the performances at any time whilst observing or immediately after each performance, until they moved to the next performance. Details of the score sheet are provided as an appendix to the original study </w:t>
      </w:r>
      <w:r w:rsidR="008356AB" w:rsidRPr="00593545">
        <w:rPr>
          <w:rFonts w:cs="Arial"/>
        </w:rPr>
        <w:fldChar w:fldCharType="begin" w:fldLock="1"/>
      </w:r>
      <w:r w:rsidR="008356AB" w:rsidRPr="00593545">
        <w:rPr>
          <w:rFonts w:cs="Arial"/>
        </w:rPr>
        <w:instrText>ADDIN CSL_CITATION { "citationItems" : [ { "id" : "ITEM-1", "itemData" : { "DOI" : "10.1186/s12916-017-0943-0", "ISSN" : "1741-7015", "author" : [ { "dropping-particle" : "", "family" : "Yeates", "given" : "Peter", "non-dropping-particle" : "", "parse-names" : false, "suffix" : "" }, { "dropping-particle" : "", "family" : "Woolf", "given" : "Katherine", "non-dropping-particle" : "", "parse-names" : false, "suffix" : "" }, { "dropping-particle" : "", "family" : "Benbow", "given" : "Emyr", "non-dropping-particle" : "", "parse-names" : false, "suffix" : "" }, { "dropping-particle" : "", "family" : "Davies", "given" : "Ben", "non-dropping-particle" : "", "parse-names" : false, "suffix" : "" }, { "dropping-particle" : "", "family" : "Boohan", "given" : "Mairhead", "non-dropping-particle" : "", "parse-names" : false, "suffix" : "" }, { "dropping-particle" : "", "family" : "Eva", "given" : "Kevin", "non-dropping-particle" : "", "parse-names" : false, "suffix" : "" } ], "container-title" : "BMC Medicine", "id" : "ITEM-1", "issue" : "1", "issued" : { "date-parts" : [ [ "2017", "12", "25" ] ] }, "page" : "179", "publisher" : "BMC Medicine", "title" : "A randomised trial of the influence of racial stereotype bias on examiners\u2019 scores, feedback and recollections in undergraduate clinical exams", "type" : "article-journal", "volume" : "15" }, "uris" : [ "http://www.mendeley.com/documents/?uuid=b43324c6-4b8d-4b6e-9641-ae21133a2780" ] } ], "mendeley" : { "formattedCitation" : "(Yeates et al. 2017)", "plainTextFormattedCitation" : "(Yeates et al. 2017)", "previouslyFormattedCitation" : "(Yeates et al. 2017)" }, "properties" : {  }, "schema" : "https://github.com/citation-style-language/schema/raw/master/csl-citation.json" }</w:instrText>
      </w:r>
      <w:r w:rsidR="008356AB" w:rsidRPr="00593545">
        <w:rPr>
          <w:rFonts w:cs="Arial"/>
        </w:rPr>
        <w:fldChar w:fldCharType="separate"/>
      </w:r>
      <w:r w:rsidR="008356AB" w:rsidRPr="00593545">
        <w:rPr>
          <w:rFonts w:cs="Arial"/>
          <w:noProof/>
        </w:rPr>
        <w:t>(Yeates et al. 2017)</w:t>
      </w:r>
      <w:r w:rsidR="008356AB" w:rsidRPr="00593545">
        <w:rPr>
          <w:rFonts w:cs="Arial"/>
        </w:rPr>
        <w:fldChar w:fldCharType="end"/>
      </w:r>
      <w:r w:rsidR="008356AB" w:rsidRPr="00593545">
        <w:rPr>
          <w:rFonts w:cs="Arial"/>
        </w:rPr>
        <w:t>.</w:t>
      </w:r>
    </w:p>
    <w:p w:rsidR="004B7745" w:rsidRPr="00593545" w:rsidRDefault="004B7745" w:rsidP="00FF0B1C">
      <w:pPr>
        <w:spacing w:line="480" w:lineRule="auto"/>
        <w:rPr>
          <w:rFonts w:cs="Arial"/>
        </w:rPr>
      </w:pPr>
    </w:p>
    <w:p w:rsidR="00C922A6" w:rsidRPr="00593545" w:rsidRDefault="00C922A6" w:rsidP="00FF0B1C">
      <w:pPr>
        <w:spacing w:line="480" w:lineRule="auto"/>
        <w:rPr>
          <w:rFonts w:cs="Arial"/>
          <w:b/>
        </w:rPr>
      </w:pPr>
      <w:r w:rsidRPr="00593545">
        <w:rPr>
          <w:rFonts w:cs="Arial"/>
          <w:b/>
        </w:rPr>
        <w:t>Recollection Testing</w:t>
      </w:r>
    </w:p>
    <w:p w:rsidR="00C922A6" w:rsidRPr="00593545" w:rsidRDefault="00C922A6" w:rsidP="00FF0B1C">
      <w:pPr>
        <w:spacing w:line="480" w:lineRule="auto"/>
        <w:rPr>
          <w:rFonts w:cs="Arial"/>
        </w:rPr>
      </w:pPr>
      <w:r w:rsidRPr="00593545">
        <w:rPr>
          <w:rFonts w:cs="Arial"/>
        </w:rPr>
        <w:t xml:space="preserve">The recollection test </w:t>
      </w:r>
      <w:r w:rsidR="00227696" w:rsidRPr="00593545">
        <w:rPr>
          <w:rFonts w:cs="Arial"/>
        </w:rPr>
        <w:t>probed</w:t>
      </w:r>
      <w:r w:rsidRPr="00593545">
        <w:rPr>
          <w:rFonts w:cs="Arial"/>
        </w:rPr>
        <w:t xml:space="preserve"> participants</w:t>
      </w:r>
      <w:r w:rsidR="00F74400" w:rsidRPr="00593545">
        <w:rPr>
          <w:rFonts w:cs="Arial"/>
        </w:rPr>
        <w:t>’</w:t>
      </w:r>
      <w:r w:rsidRPr="00593545">
        <w:rPr>
          <w:rFonts w:cs="Arial"/>
        </w:rPr>
        <w:t xml:space="preserve"> memor</w:t>
      </w:r>
      <w:r w:rsidR="00BE6514" w:rsidRPr="00593545">
        <w:rPr>
          <w:rFonts w:cs="Arial"/>
        </w:rPr>
        <w:t>ies</w:t>
      </w:r>
      <w:r w:rsidRPr="00593545">
        <w:rPr>
          <w:rFonts w:cs="Arial"/>
        </w:rPr>
        <w:t xml:space="preserve"> of the </w:t>
      </w:r>
      <w:r w:rsidR="003C3CF2" w:rsidRPr="00593545">
        <w:rPr>
          <w:rFonts w:cs="Arial"/>
        </w:rPr>
        <w:t>M</w:t>
      </w:r>
      <w:r w:rsidRPr="00593545">
        <w:rPr>
          <w:rFonts w:cs="Arial"/>
        </w:rPr>
        <w:t>ixed performance</w:t>
      </w:r>
      <w:r w:rsidR="002F12D2" w:rsidRPr="00593545">
        <w:rPr>
          <w:rFonts w:cs="Arial"/>
        </w:rPr>
        <w:t xml:space="preserve"> i.e. the performance that displayed a mix of </w:t>
      </w:r>
      <w:r w:rsidR="007D55EB" w:rsidRPr="00593545">
        <w:rPr>
          <w:rFonts w:cs="Arial"/>
        </w:rPr>
        <w:t xml:space="preserve">good and poor </w:t>
      </w:r>
      <w:r w:rsidR="00227696" w:rsidRPr="00593545">
        <w:rPr>
          <w:rFonts w:cs="Arial"/>
        </w:rPr>
        <w:t xml:space="preserve">instances of </w:t>
      </w:r>
      <w:proofErr w:type="gramStart"/>
      <w:r w:rsidR="00227696" w:rsidRPr="00593545">
        <w:rPr>
          <w:rFonts w:cs="Arial"/>
        </w:rPr>
        <w:t xml:space="preserve">performance </w:t>
      </w:r>
      <w:r w:rsidR="007D55EB" w:rsidRPr="00593545">
        <w:rPr>
          <w:rFonts w:cs="Arial"/>
        </w:rPr>
        <w:t xml:space="preserve"> in</w:t>
      </w:r>
      <w:proofErr w:type="gramEnd"/>
      <w:r w:rsidR="007D55EB" w:rsidRPr="00593545">
        <w:rPr>
          <w:rFonts w:cs="Arial"/>
        </w:rPr>
        <w:t xml:space="preserve"> both the knowledge and communication domains</w:t>
      </w:r>
      <w:r w:rsidRPr="00593545">
        <w:rPr>
          <w:rFonts w:cs="Arial"/>
        </w:rPr>
        <w:t xml:space="preserve">. </w:t>
      </w:r>
      <w:r w:rsidR="00227696" w:rsidRPr="00593545">
        <w:rPr>
          <w:rFonts w:cs="Arial"/>
        </w:rPr>
        <w:t xml:space="preserve">Participants were asked to read 40 statements which were ostensibly excerpts from the mixed performance. For each statement they were asked to indicate whether it was “True” (it was a direct quote from the mixed performance) or “False” (it was a plausible but invented statement which did not occur in the mixed (or any other) performance). </w:t>
      </w:r>
      <w:r w:rsidRPr="00593545">
        <w:rPr>
          <w:rFonts w:cs="Arial"/>
        </w:rPr>
        <w:t xml:space="preserve">Half of the statements were </w:t>
      </w:r>
      <w:r w:rsidR="00C90BD4" w:rsidRPr="00593545">
        <w:rPr>
          <w:rFonts w:cs="Arial"/>
        </w:rPr>
        <w:t>real (i.e. they should have been marked True) and half were invented (i.e. they should have been marked false) and within both real and invented statements an equal number related to</w:t>
      </w:r>
      <w:r w:rsidRPr="00593545">
        <w:rPr>
          <w:rFonts w:cs="Arial"/>
        </w:rPr>
        <w:t xml:space="preserve"> factual knowledge and </w:t>
      </w:r>
      <w:r w:rsidR="00C90BD4" w:rsidRPr="00593545">
        <w:rPr>
          <w:rFonts w:cs="Arial"/>
        </w:rPr>
        <w:t xml:space="preserve">to </w:t>
      </w:r>
      <w:r w:rsidRPr="00593545">
        <w:rPr>
          <w:rFonts w:cs="Arial"/>
        </w:rPr>
        <w:t>communication.</w:t>
      </w:r>
    </w:p>
    <w:p w:rsidR="006C2481" w:rsidRPr="00593545" w:rsidRDefault="006C2481" w:rsidP="00FF0B1C">
      <w:pPr>
        <w:spacing w:line="480" w:lineRule="auto"/>
        <w:rPr>
          <w:rFonts w:cs="Arial"/>
          <w:b/>
        </w:rPr>
      </w:pPr>
    </w:p>
    <w:p w:rsidR="00C922A6" w:rsidRPr="00593545" w:rsidRDefault="00C90BD4" w:rsidP="00FF0B1C">
      <w:pPr>
        <w:spacing w:line="480" w:lineRule="auto"/>
        <w:rPr>
          <w:rFonts w:cs="Arial"/>
          <w:b/>
        </w:rPr>
      </w:pPr>
      <w:r w:rsidRPr="00593545">
        <w:rPr>
          <w:rFonts w:cs="Arial"/>
          <w:b/>
        </w:rPr>
        <w:t xml:space="preserve">Calculation of variables </w:t>
      </w:r>
    </w:p>
    <w:p w:rsidR="003C3CF2" w:rsidRPr="00593545" w:rsidRDefault="003C3CF2" w:rsidP="00FF0B1C">
      <w:pPr>
        <w:spacing w:line="480" w:lineRule="auto"/>
        <w:rPr>
          <w:rFonts w:cs="Arial"/>
        </w:rPr>
      </w:pPr>
      <w:r w:rsidRPr="00593545">
        <w:rPr>
          <w:rFonts w:cs="Arial"/>
        </w:rPr>
        <w:t xml:space="preserve">To address the study research aims, we calculated </w:t>
      </w:r>
      <w:r w:rsidR="0046713F" w:rsidRPr="00593545">
        <w:rPr>
          <w:rFonts w:cs="Arial"/>
        </w:rPr>
        <w:t xml:space="preserve">three new variables from </w:t>
      </w:r>
      <w:r w:rsidRPr="00593545">
        <w:rPr>
          <w:rFonts w:cs="Arial"/>
        </w:rPr>
        <w:t>the existing data, prior to using them to test specific hypotheses.</w:t>
      </w:r>
    </w:p>
    <w:p w:rsidR="006C2481" w:rsidRPr="00593545" w:rsidRDefault="006C2481" w:rsidP="00FF0B1C">
      <w:pPr>
        <w:spacing w:line="480" w:lineRule="auto"/>
        <w:rPr>
          <w:rFonts w:cs="Arial"/>
        </w:rPr>
      </w:pPr>
    </w:p>
    <w:p w:rsidR="009B222B" w:rsidRPr="00593545" w:rsidRDefault="009B222B" w:rsidP="00FF0B1C">
      <w:pPr>
        <w:spacing w:line="480" w:lineRule="auto"/>
        <w:rPr>
          <w:rFonts w:cs="Arial"/>
        </w:rPr>
      </w:pPr>
      <w:r w:rsidRPr="00593545">
        <w:rPr>
          <w:rFonts w:cs="Arial"/>
        </w:rPr>
        <w:t>Firstly we calculated a measure of participants’ “overall-score variance” for each performance. This measure expressed the distance (regardless of whether positive or negative) of each participant’s overall score from the me</w:t>
      </w:r>
      <w:r w:rsidR="00A42255" w:rsidRPr="00593545">
        <w:rPr>
          <w:rFonts w:cs="Arial"/>
        </w:rPr>
        <w:t>an</w:t>
      </w:r>
      <w:r w:rsidRPr="00593545">
        <w:rPr>
          <w:rFonts w:cs="Arial"/>
        </w:rPr>
        <w:t xml:space="preserve"> overall-score for that performance. </w:t>
      </w:r>
      <w:r w:rsidR="00A915FE" w:rsidRPr="00593545">
        <w:rPr>
          <w:rFonts w:cs="Arial"/>
        </w:rPr>
        <w:t>No objective means exists to determine the “correct” and therefore most accurate score for a performance. Instead</w:t>
      </w:r>
      <w:r w:rsidR="00A42255" w:rsidRPr="00593545">
        <w:rPr>
          <w:rFonts w:cs="Arial"/>
        </w:rPr>
        <w:t xml:space="preserve"> the mean</w:t>
      </w:r>
      <w:r w:rsidR="00A915FE" w:rsidRPr="00593545">
        <w:rPr>
          <w:rFonts w:cs="Arial"/>
        </w:rPr>
        <w:t xml:space="preserve"> of a group of examiners is the best estimate of the notional true score </w:t>
      </w:r>
      <w:r w:rsidR="0011133E" w:rsidRPr="00593545">
        <w:rPr>
          <w:rFonts w:cs="Arial"/>
        </w:rPr>
        <w:fldChar w:fldCharType="begin" w:fldLock="1"/>
      </w:r>
      <w:r w:rsidR="003B004D" w:rsidRPr="00593545">
        <w:rPr>
          <w:rFonts w:cs="Arial"/>
        </w:rPr>
        <w:instrText>ADDIN CSL_CITATION { "citationItems" : [ { "id" : "ITEM-1", "itemData" : { "ISBN" : "978-0-19-923188-1", "author" : [ { "dropping-particle" : "", "family" : "Streiner", "given" : "DL", "non-dropping-particle" : "", "parse-names" : false, "suffix" : "" }, { "dropping-particle" : "", "family" : "Norman", "given" : "GR", "non-dropping-particle" : "", "parse-names" : false, "suffix" : "" } ], "edition" : "4th", "id" : "ITEM-1", "issued" : { "date-parts" : [ [ "2008" ] ] }, "publisher" : "Oxford University Press", "publisher-place" : "Oxford", "title" : "Health Measurement Scales", "type" : "book" }, "uris" : [ "http://www.mendeley.com/documents/?uuid=d6afafbe-6342-4d06-b2d9-96ef03285027" ] } ], "mendeley" : { "formattedCitation" : "(Streiner &amp; Norman 2008)", "manualFormatting" : "(Streiner and Norman 2008, p167)", "plainTextFormattedCitation" : "(Streiner &amp; Norman 2008)", "previouslyFormattedCitation" : "(Streiner &amp; Norman 2008)" }, "properties" : {  }, "schema" : "https://github.com/citation-style-language/schema/raw/master/csl-citation.json" }</w:instrText>
      </w:r>
      <w:r w:rsidR="0011133E" w:rsidRPr="00593545">
        <w:rPr>
          <w:rFonts w:cs="Arial"/>
        </w:rPr>
        <w:fldChar w:fldCharType="separate"/>
      </w:r>
      <w:r w:rsidR="0011133E" w:rsidRPr="00593545">
        <w:rPr>
          <w:rFonts w:cs="Arial"/>
          <w:noProof/>
        </w:rPr>
        <w:t>(Streiner and Norman 2008, p167)</w:t>
      </w:r>
      <w:r w:rsidR="0011133E" w:rsidRPr="00593545">
        <w:rPr>
          <w:rFonts w:cs="Arial"/>
        </w:rPr>
        <w:fldChar w:fldCharType="end"/>
      </w:r>
      <w:r w:rsidR="002E4CC5" w:rsidRPr="00593545">
        <w:rPr>
          <w:rFonts w:cs="Arial"/>
        </w:rPr>
        <w:t xml:space="preserve"> which exists. Resultantly</w:t>
      </w:r>
      <w:r w:rsidR="00A915FE" w:rsidRPr="00593545">
        <w:rPr>
          <w:rFonts w:cs="Arial"/>
        </w:rPr>
        <w:t xml:space="preserve"> this mea</w:t>
      </w:r>
      <w:r w:rsidR="00A42255" w:rsidRPr="00593545">
        <w:rPr>
          <w:rFonts w:cs="Arial"/>
        </w:rPr>
        <w:t xml:space="preserve">sure was centred </w:t>
      </w:r>
      <w:proofErr w:type="gramStart"/>
      <w:r w:rsidR="00A42255" w:rsidRPr="00593545">
        <w:rPr>
          <w:rFonts w:cs="Arial"/>
        </w:rPr>
        <w:t>around</w:t>
      </w:r>
      <w:proofErr w:type="gramEnd"/>
      <w:r w:rsidR="00A42255" w:rsidRPr="00593545">
        <w:rPr>
          <w:rFonts w:cs="Arial"/>
        </w:rPr>
        <w:t xml:space="preserve"> the me</w:t>
      </w:r>
      <w:r w:rsidR="00A915FE" w:rsidRPr="00593545">
        <w:rPr>
          <w:rFonts w:cs="Arial"/>
        </w:rPr>
        <w:t xml:space="preserve">an of examiners’’ judgements. </w:t>
      </w:r>
      <w:r w:rsidRPr="00593545">
        <w:rPr>
          <w:rFonts w:cs="Arial"/>
        </w:rPr>
        <w:t xml:space="preserve">As such </w:t>
      </w:r>
      <w:r w:rsidR="00C90BD4" w:rsidRPr="00593545">
        <w:rPr>
          <w:rFonts w:cs="Arial"/>
        </w:rPr>
        <w:t>this variable</w:t>
      </w:r>
      <w:r w:rsidRPr="00593545">
        <w:rPr>
          <w:rFonts w:cs="Arial"/>
        </w:rPr>
        <w:t xml:space="preserve"> was a measure of the degree to which each participant’s overall score differed from the mean, with higher values indicating greater variation (akin to “inaccuracy”). </w:t>
      </w:r>
      <w:r w:rsidRPr="00593545">
        <w:rPr>
          <w:rFonts w:cs="Arial"/>
        </w:rPr>
        <w:lastRenderedPageBreak/>
        <w:t>To overcome problems of positive or negative sign we used a standard variance calculation procedure, namely:</w:t>
      </w:r>
    </w:p>
    <w:p w:rsidR="003C3CF2" w:rsidRPr="00593545" w:rsidRDefault="009B222B" w:rsidP="00FF0B1C">
      <w:pPr>
        <w:spacing w:line="480" w:lineRule="auto"/>
        <w:rPr>
          <w:rFonts w:ascii="Cambria Math" w:hAnsi="Cambria Math" w:cs="Arial"/>
          <w:sz w:val="32"/>
          <w:szCs w:val="32"/>
        </w:rPr>
      </w:pPr>
      <w:r w:rsidRPr="00593545">
        <w:rPr>
          <w:rFonts w:cs="Arial"/>
        </w:rPr>
        <w:t xml:space="preserve">Overall-score variance = </w:t>
      </w:r>
      <w:proofErr w:type="gramStart"/>
      <w:r w:rsidR="00ED41A9" w:rsidRPr="00593545">
        <w:rPr>
          <w:rFonts w:ascii="Cambria Math" w:hAnsi="Cambria Math"/>
          <w:sz w:val="32"/>
          <w:szCs w:val="32"/>
        </w:rPr>
        <w:t>√(</w:t>
      </w:r>
      <w:proofErr w:type="gramEnd"/>
      <w:r w:rsidR="00ED41A9" w:rsidRPr="00593545">
        <w:rPr>
          <w:rFonts w:ascii="Cambria Math" w:hAnsi="Cambria Math" w:cs="Cambria Math"/>
          <w:sz w:val="32"/>
          <w:szCs w:val="32"/>
        </w:rPr>
        <w:t>𝑥</w:t>
      </w:r>
      <w:r w:rsidR="00ED41A9" w:rsidRPr="00593545">
        <w:rPr>
          <w:rFonts w:ascii="Cambria Math" w:hAnsi="Cambria Math" w:cs="Cambria Math"/>
          <w:sz w:val="32"/>
          <w:szCs w:val="32"/>
          <w:vertAlign w:val="subscript"/>
        </w:rPr>
        <w:t>𝑖</w:t>
      </w:r>
      <w:r w:rsidR="00ED41A9" w:rsidRPr="00593545">
        <w:rPr>
          <w:rFonts w:ascii="Cambria Math" w:hAnsi="Cambria Math"/>
          <w:sz w:val="32"/>
          <w:szCs w:val="32"/>
        </w:rPr>
        <w:t>−</w:t>
      </w:r>
      <w:r w:rsidR="00ED41A9" w:rsidRPr="00593545">
        <w:rPr>
          <w:rFonts w:ascii="Cambria Math" w:hAnsi="Cambria Math" w:cs="Cambria Math"/>
          <w:sz w:val="32"/>
          <w:szCs w:val="32"/>
        </w:rPr>
        <w:t>𝑥</w:t>
      </w:r>
      <w:r w:rsidR="00ED41A9" w:rsidRPr="00593545">
        <w:rPr>
          <w:rFonts w:ascii="Cambria Math" w:hAnsi="Cambria Math" w:cs="Calibri"/>
          <w:sz w:val="32"/>
          <w:szCs w:val="32"/>
        </w:rPr>
        <w:t>̅</w:t>
      </w:r>
      <w:r w:rsidR="00ED41A9" w:rsidRPr="00593545">
        <w:rPr>
          <w:rFonts w:ascii="Cambria Math" w:hAnsi="Cambria Math"/>
          <w:sz w:val="32"/>
          <w:szCs w:val="32"/>
        </w:rPr>
        <w:t>)</w:t>
      </w:r>
      <w:r w:rsidR="00ED41A9" w:rsidRPr="00593545">
        <w:rPr>
          <w:rFonts w:ascii="Cambria Math" w:hAnsi="Cambria Math"/>
          <w:sz w:val="32"/>
          <w:szCs w:val="32"/>
          <w:vertAlign w:val="superscript"/>
        </w:rPr>
        <w:t>2</w:t>
      </w:r>
    </w:p>
    <w:p w:rsidR="00312218" w:rsidRPr="00593545" w:rsidRDefault="00312218" w:rsidP="00FF0B1C">
      <w:pPr>
        <w:spacing w:after="0" w:line="480" w:lineRule="auto"/>
        <w:rPr>
          <w:rFonts w:cs="Arial"/>
        </w:rPr>
      </w:pPr>
      <w:r w:rsidRPr="00593545">
        <w:rPr>
          <w:rFonts w:cs="Arial"/>
        </w:rPr>
        <w:t xml:space="preserve">Where: </w:t>
      </w:r>
    </w:p>
    <w:p w:rsidR="00312218" w:rsidRPr="00593545" w:rsidRDefault="00ED41A9" w:rsidP="00FF0B1C">
      <w:pPr>
        <w:spacing w:after="0" w:line="480" w:lineRule="auto"/>
        <w:ind w:left="720"/>
        <w:rPr>
          <w:rFonts w:cs="Arial"/>
        </w:rPr>
      </w:pPr>
      <w:r w:rsidRPr="00593545">
        <w:rPr>
          <w:rFonts w:ascii="Cambria Math" w:hAnsi="Cambria Math" w:cs="Cambria Math"/>
          <w:sz w:val="32"/>
          <w:szCs w:val="32"/>
        </w:rPr>
        <w:t>𝑥</w:t>
      </w:r>
      <w:r w:rsidRPr="00593545">
        <w:rPr>
          <w:rFonts w:ascii="Cambria Math" w:hAnsi="Cambria Math" w:cs="Cambria Math"/>
          <w:sz w:val="32"/>
          <w:szCs w:val="32"/>
          <w:vertAlign w:val="subscript"/>
        </w:rPr>
        <w:t>𝑖</w:t>
      </w:r>
      <w:r w:rsidR="00312218" w:rsidRPr="00593545">
        <w:rPr>
          <w:rFonts w:cs="Arial"/>
          <w:sz w:val="32"/>
          <w:szCs w:val="32"/>
        </w:rPr>
        <w:t xml:space="preserve"> </w:t>
      </w:r>
      <w:r w:rsidR="00312218" w:rsidRPr="00593545">
        <w:rPr>
          <w:rFonts w:cs="Arial"/>
        </w:rPr>
        <w:t>is the value of the overall-score for a given performance by a particular participant</w:t>
      </w:r>
    </w:p>
    <w:p w:rsidR="00312218" w:rsidRPr="00593545" w:rsidRDefault="00ED41A9" w:rsidP="00FF0B1C">
      <w:pPr>
        <w:spacing w:after="0" w:line="480" w:lineRule="auto"/>
        <w:ind w:left="720"/>
        <w:rPr>
          <w:rFonts w:cs="Arial"/>
        </w:rPr>
      </w:pPr>
      <w:r w:rsidRPr="00593545">
        <w:rPr>
          <w:rFonts w:ascii="Cambria Math" w:hAnsi="Cambria Math" w:cs="Cambria Math"/>
          <w:sz w:val="32"/>
          <w:szCs w:val="32"/>
        </w:rPr>
        <w:t>𝑥</w:t>
      </w:r>
      <w:r w:rsidRPr="00593545">
        <w:rPr>
          <w:rFonts w:ascii="Cambria Math" w:hAnsi="Cambria Math" w:cs="Calibri"/>
          <w:sz w:val="32"/>
          <w:szCs w:val="32"/>
        </w:rPr>
        <w:t>̅</w:t>
      </w:r>
      <w:r w:rsidR="00312218" w:rsidRPr="00593545">
        <w:rPr>
          <w:rFonts w:cs="Arial"/>
        </w:rPr>
        <w:t xml:space="preserve"> is the mean overall-score given to that performance by all examiners</w:t>
      </w:r>
    </w:p>
    <w:p w:rsidR="00312218" w:rsidRPr="00593545" w:rsidRDefault="00312218" w:rsidP="00FF0B1C">
      <w:pPr>
        <w:spacing w:line="480" w:lineRule="auto"/>
        <w:rPr>
          <w:rFonts w:cs="Arial"/>
        </w:rPr>
      </w:pPr>
    </w:p>
    <w:p w:rsidR="009B222B" w:rsidRPr="00593545" w:rsidRDefault="00312218" w:rsidP="00FF0B1C">
      <w:pPr>
        <w:spacing w:line="480" w:lineRule="auto"/>
        <w:rPr>
          <w:rFonts w:cs="Arial"/>
        </w:rPr>
      </w:pPr>
      <w:r w:rsidRPr="00593545">
        <w:rPr>
          <w:rFonts w:cs="Arial"/>
        </w:rPr>
        <w:t xml:space="preserve">Next we calculated the degree to which participants separated disparate domains of performance for </w:t>
      </w:r>
      <w:r w:rsidR="00084798" w:rsidRPr="00593545">
        <w:rPr>
          <w:rFonts w:cs="Arial"/>
        </w:rPr>
        <w:t xml:space="preserve">each of </w:t>
      </w:r>
      <w:r w:rsidRPr="00593545">
        <w:rPr>
          <w:rFonts w:cs="Arial"/>
        </w:rPr>
        <w:t>the two divergent performances (K+/C-, and K-/C+)</w:t>
      </w:r>
      <w:r w:rsidR="00084798" w:rsidRPr="00593545">
        <w:rPr>
          <w:rFonts w:cs="Arial"/>
        </w:rPr>
        <w:t xml:space="preserve">. We called this the “domain separation score”. This was calculated by subtracting the communication score from the knowledge score for the K+/C- performance for each participant, and subtracting the knowledge score from the communication score for the K-/C+ performance for each participant. This gave a measure of the degree to which each participant separated disparate domains of performance for both K+/C- and K-/C+, with higher values indicating greater domain separation and lower values indicating less domain separation. </w:t>
      </w:r>
      <w:r w:rsidR="009F7188" w:rsidRPr="00593545">
        <w:rPr>
          <w:rFonts w:cs="Arial"/>
        </w:rPr>
        <w:t>We believe that this measure is a novel means of expressing the degree to which disparate domains of performance are separated by assessors.</w:t>
      </w:r>
    </w:p>
    <w:p w:rsidR="004B7745" w:rsidRPr="00593545" w:rsidRDefault="004B7745" w:rsidP="00FF0B1C">
      <w:pPr>
        <w:spacing w:line="480" w:lineRule="auto"/>
        <w:rPr>
          <w:rFonts w:cs="Arial"/>
        </w:rPr>
      </w:pPr>
    </w:p>
    <w:p w:rsidR="001557C5" w:rsidRPr="00593545" w:rsidRDefault="00084798" w:rsidP="00FF0B1C">
      <w:pPr>
        <w:spacing w:line="480" w:lineRule="auto"/>
      </w:pPr>
      <w:r w:rsidRPr="00593545">
        <w:t>Finally</w:t>
      </w:r>
      <w:r w:rsidR="001F4E76" w:rsidRPr="00593545">
        <w:t>,</w:t>
      </w:r>
      <w:r w:rsidRPr="00593545">
        <w:t xml:space="preserve"> we calculated </w:t>
      </w:r>
      <w:r w:rsidR="0046713F" w:rsidRPr="00593545">
        <w:t>a measure of the accuracy of participants</w:t>
      </w:r>
      <w:r w:rsidR="004B7745" w:rsidRPr="00593545">
        <w:t>’</w:t>
      </w:r>
      <w:r w:rsidR="0046713F" w:rsidRPr="00593545">
        <w:t xml:space="preserve"> recollections of the Mixed performance which we termed </w:t>
      </w:r>
      <w:r w:rsidRPr="00593545">
        <w:t>“</w:t>
      </w:r>
      <w:r w:rsidR="009B222B" w:rsidRPr="00593545">
        <w:t>recollection accuracy</w:t>
      </w:r>
      <w:r w:rsidRPr="00593545">
        <w:t>”</w:t>
      </w:r>
      <w:r w:rsidR="004B7745" w:rsidRPr="00593545">
        <w:t>.</w:t>
      </w:r>
      <w:r w:rsidRPr="00593545">
        <w:t xml:space="preserve"> To do this </w:t>
      </w:r>
      <w:r w:rsidR="009B222B" w:rsidRPr="00593545">
        <w:t xml:space="preserve">we used </w:t>
      </w:r>
      <w:r w:rsidR="004B7745" w:rsidRPr="00593545">
        <w:t>individual participant</w:t>
      </w:r>
      <w:r w:rsidRPr="00593545">
        <w:t>s</w:t>
      </w:r>
      <w:r w:rsidR="004B7745" w:rsidRPr="00593545">
        <w:t>’</w:t>
      </w:r>
      <w:r w:rsidRPr="00593545">
        <w:t xml:space="preserve"> scores from </w:t>
      </w:r>
      <w:r w:rsidR="009B222B" w:rsidRPr="00593545">
        <w:t>the recollection test. We defined recollection accuracy as: The proportion of real statements marked true minus the proportion of invented statements marked true.</w:t>
      </w:r>
      <w:r w:rsidRPr="00593545">
        <w:t xml:space="preserve"> As such it had the potential to vary from -1.0 to +1.0, with a score of zero indicating </w:t>
      </w:r>
      <w:r w:rsidR="0046713F" w:rsidRPr="00593545">
        <w:t>recollection equal to chance.</w:t>
      </w:r>
    </w:p>
    <w:p w:rsidR="006C2481" w:rsidRPr="00593545" w:rsidRDefault="006C2481" w:rsidP="00FF0B1C">
      <w:pPr>
        <w:spacing w:line="480" w:lineRule="auto"/>
      </w:pPr>
    </w:p>
    <w:p w:rsidR="004B7745" w:rsidRPr="00593545" w:rsidRDefault="004B7745" w:rsidP="00FF0B1C">
      <w:pPr>
        <w:spacing w:line="480" w:lineRule="auto"/>
      </w:pPr>
      <w:r w:rsidRPr="00593545">
        <w:lastRenderedPageBreak/>
        <w:t xml:space="preserve"> </w:t>
      </w:r>
      <w:r w:rsidR="00C90BD4" w:rsidRPr="00593545">
        <w:rPr>
          <w:b/>
        </w:rPr>
        <w:t>D</w:t>
      </w:r>
      <w:r w:rsidR="00C90BD4" w:rsidRPr="00593545">
        <w:rPr>
          <w:rFonts w:cs="Arial"/>
          <w:b/>
        </w:rPr>
        <w:t xml:space="preserve">erivation of hypotheses and </w:t>
      </w:r>
      <w:r w:rsidR="002E4CC5" w:rsidRPr="00593545">
        <w:rPr>
          <w:rFonts w:cs="Arial"/>
          <w:b/>
        </w:rPr>
        <w:t xml:space="preserve">statistical </w:t>
      </w:r>
      <w:r w:rsidR="00C90BD4" w:rsidRPr="00593545">
        <w:rPr>
          <w:rFonts w:cs="Arial"/>
          <w:b/>
        </w:rPr>
        <w:t>analysis</w:t>
      </w:r>
    </w:p>
    <w:p w:rsidR="009B222B" w:rsidRPr="00593545" w:rsidRDefault="0046713F" w:rsidP="00FF0B1C">
      <w:pPr>
        <w:spacing w:line="480" w:lineRule="auto"/>
        <w:rPr>
          <w:rFonts w:cs="Arial"/>
        </w:rPr>
      </w:pPr>
      <w:r w:rsidRPr="00593545">
        <w:rPr>
          <w:rFonts w:cs="Arial"/>
        </w:rPr>
        <w:t xml:space="preserve">To address our first research aim, we examined the variable “recollection accuracy”. We </w:t>
      </w:r>
      <w:r w:rsidR="00ED2262" w:rsidRPr="00593545">
        <w:rPr>
          <w:rFonts w:cs="Arial"/>
        </w:rPr>
        <w:t>compared</w:t>
      </w:r>
      <w:r w:rsidRPr="00593545">
        <w:rPr>
          <w:rFonts w:cs="Arial"/>
        </w:rPr>
        <w:t xml:space="preserve"> whether </w:t>
      </w:r>
      <w:r w:rsidR="00ED2262" w:rsidRPr="00593545">
        <w:rPr>
          <w:rFonts w:cs="Arial"/>
        </w:rPr>
        <w:t>recollection accuracy was influenced by the demographic variable</w:t>
      </w:r>
      <w:r w:rsidRPr="00593545">
        <w:rPr>
          <w:rFonts w:cs="Arial"/>
        </w:rPr>
        <w:t xml:space="preserve"> of participant sex (male vs female) using </w:t>
      </w:r>
      <w:r w:rsidR="00ED2262" w:rsidRPr="00593545">
        <w:rPr>
          <w:rFonts w:cs="Arial"/>
        </w:rPr>
        <w:t>univariate ANOVA, or related to their duration in years as an OSCE examiner</w:t>
      </w:r>
      <w:r w:rsidR="009F7188" w:rsidRPr="00593545">
        <w:rPr>
          <w:rFonts w:cs="Arial"/>
        </w:rPr>
        <w:t xml:space="preserve">, using </w:t>
      </w:r>
      <w:proofErr w:type="gramStart"/>
      <w:r w:rsidR="009F7188" w:rsidRPr="00593545">
        <w:rPr>
          <w:rFonts w:cs="Arial"/>
        </w:rPr>
        <w:t xml:space="preserve">Pearson’s </w:t>
      </w:r>
      <w:r w:rsidR="005F5600" w:rsidRPr="00593545">
        <w:rPr>
          <w:rFonts w:cs="Arial"/>
        </w:rPr>
        <w:t xml:space="preserve"> correlation</w:t>
      </w:r>
      <w:proofErr w:type="gramEnd"/>
      <w:r w:rsidR="00ED2262" w:rsidRPr="00593545">
        <w:rPr>
          <w:rFonts w:cs="Arial"/>
        </w:rPr>
        <w:t>. Additionally, because of the theoretical likelihood that participants’ recollection accuracy may be influenced by a long versus short interval between observing the Mixed performance and completing the recollection test, we compared the influence of long versus short delay on participants’ recollection accuracy using univariate ANOVA.</w:t>
      </w:r>
    </w:p>
    <w:p w:rsidR="001557C5" w:rsidRPr="00593545" w:rsidRDefault="001557C5" w:rsidP="00FF0B1C">
      <w:pPr>
        <w:spacing w:line="480" w:lineRule="auto"/>
        <w:rPr>
          <w:rFonts w:cs="Arial"/>
        </w:rPr>
      </w:pPr>
    </w:p>
    <w:p w:rsidR="00ED2262" w:rsidRPr="00593545" w:rsidRDefault="00ED2262" w:rsidP="00FF0B1C">
      <w:pPr>
        <w:spacing w:line="480" w:lineRule="auto"/>
        <w:rPr>
          <w:rFonts w:cs="Arial"/>
        </w:rPr>
      </w:pPr>
      <w:r w:rsidRPr="00593545">
        <w:rPr>
          <w:rFonts w:cs="Arial"/>
        </w:rPr>
        <w:t>To address research aim 2, we specified the following hypothesis:</w:t>
      </w:r>
    </w:p>
    <w:p w:rsidR="00860C9E" w:rsidRPr="00593545" w:rsidRDefault="00860C9E" w:rsidP="00FF0B1C">
      <w:pPr>
        <w:spacing w:line="480" w:lineRule="auto"/>
        <w:rPr>
          <w:b/>
        </w:rPr>
      </w:pPr>
      <w:r w:rsidRPr="00593545">
        <w:rPr>
          <w:rFonts w:cs="Arial"/>
          <w:b/>
        </w:rPr>
        <w:t xml:space="preserve">Hypothesis 1: </w:t>
      </w:r>
      <w:r w:rsidRPr="00593545">
        <w:rPr>
          <w:b/>
        </w:rPr>
        <w:t>Examiners’ reco</w:t>
      </w:r>
      <w:r w:rsidR="00ED2262" w:rsidRPr="00593545">
        <w:rPr>
          <w:b/>
        </w:rPr>
        <w:t>llection</w:t>
      </w:r>
      <w:r w:rsidRPr="00593545">
        <w:rPr>
          <w:b/>
        </w:rPr>
        <w:t xml:space="preserve"> accuracy (i.e. memory) </w:t>
      </w:r>
      <w:r w:rsidR="00B26643" w:rsidRPr="00593545">
        <w:rPr>
          <w:b/>
        </w:rPr>
        <w:t>will</w:t>
      </w:r>
      <w:r w:rsidRPr="00593545">
        <w:rPr>
          <w:b/>
        </w:rPr>
        <w:t xml:space="preserve"> show a </w:t>
      </w:r>
      <w:r w:rsidR="00B26643" w:rsidRPr="00593545">
        <w:rPr>
          <w:b/>
        </w:rPr>
        <w:t xml:space="preserve">negative </w:t>
      </w:r>
      <w:r w:rsidR="00262F26" w:rsidRPr="00593545">
        <w:rPr>
          <w:b/>
        </w:rPr>
        <w:t xml:space="preserve">relationship </w:t>
      </w:r>
      <w:r w:rsidR="00B26643" w:rsidRPr="00593545">
        <w:rPr>
          <w:b/>
        </w:rPr>
        <w:t>with their overall</w:t>
      </w:r>
      <w:r w:rsidR="00ED2262" w:rsidRPr="00593545">
        <w:rPr>
          <w:b/>
        </w:rPr>
        <w:t>-</w:t>
      </w:r>
      <w:r w:rsidR="00B26643" w:rsidRPr="00593545">
        <w:rPr>
          <w:b/>
        </w:rPr>
        <w:t>score variance (i.e. their degree of inaccuracy / distance from the group median) on all performances.</w:t>
      </w:r>
    </w:p>
    <w:p w:rsidR="001557C5" w:rsidRPr="00593545" w:rsidRDefault="001557C5" w:rsidP="00FF0B1C">
      <w:pPr>
        <w:spacing w:line="480" w:lineRule="auto"/>
        <w:rPr>
          <w:b/>
        </w:rPr>
      </w:pPr>
    </w:p>
    <w:p w:rsidR="001557C5" w:rsidRPr="00593545" w:rsidRDefault="00AF35A5" w:rsidP="00FF0B1C">
      <w:pPr>
        <w:spacing w:line="480" w:lineRule="auto"/>
      </w:pPr>
      <w:r w:rsidRPr="00593545">
        <w:t>W</w:t>
      </w:r>
      <w:r w:rsidR="00ED2262" w:rsidRPr="00593545">
        <w:t xml:space="preserve">e tested this </w:t>
      </w:r>
      <w:r w:rsidR="00F70D85" w:rsidRPr="00593545">
        <w:t xml:space="preserve">relationship </w:t>
      </w:r>
      <w:r w:rsidR="004468A1" w:rsidRPr="00593545">
        <w:t>using multiple</w:t>
      </w:r>
      <w:r w:rsidR="009F7188" w:rsidRPr="00593545">
        <w:t xml:space="preserve"> regression analysis, with participants’ “overall-score variance” as the dependant variable, and </w:t>
      </w:r>
      <w:r w:rsidR="004468A1" w:rsidRPr="00593545">
        <w:t>the following independent predictor variables: “delay” (2 level factor; whether participants had a long delay or a short delay between observing the mixed performance and completing the recollection task), “performance” (3 level factor; whether the score related to the K+/C- performance, the K-C+ performance, or the mixed performance), “duration” (continuous variable; the number of years participants had examined OSCEs) and “recollection accuracy” (continuous variable, the measure of recollection as described earlier). The model entered all predictors concurrently.</w:t>
      </w:r>
      <w:r w:rsidR="003455DE" w:rsidRPr="00593545">
        <w:t xml:space="preserve"> </w:t>
      </w:r>
    </w:p>
    <w:p w:rsidR="006C2481" w:rsidRPr="00593545" w:rsidRDefault="006C2481" w:rsidP="00FF0B1C">
      <w:pPr>
        <w:spacing w:line="480" w:lineRule="auto"/>
      </w:pPr>
    </w:p>
    <w:p w:rsidR="00B12E6F" w:rsidRPr="00593545" w:rsidRDefault="00B12E6F" w:rsidP="00FF0B1C">
      <w:pPr>
        <w:spacing w:line="480" w:lineRule="auto"/>
      </w:pPr>
      <w:r w:rsidRPr="00593545">
        <w:t>Next, to address research aim 3, we specified the following hypothesis:</w:t>
      </w:r>
    </w:p>
    <w:p w:rsidR="001557C5" w:rsidRPr="00593545" w:rsidRDefault="00B12E6F" w:rsidP="00FF0B1C">
      <w:pPr>
        <w:spacing w:line="480" w:lineRule="auto"/>
        <w:rPr>
          <w:b/>
        </w:rPr>
      </w:pPr>
      <w:r w:rsidRPr="00593545">
        <w:rPr>
          <w:b/>
        </w:rPr>
        <w:lastRenderedPageBreak/>
        <w:t xml:space="preserve">Hypothesis 2: Examiners’ recollection  accuracy (i.e. memory) will show a positive </w:t>
      </w:r>
      <w:r w:rsidR="00262F26" w:rsidRPr="00593545">
        <w:rPr>
          <w:b/>
        </w:rPr>
        <w:t xml:space="preserve">relationship </w:t>
      </w:r>
      <w:r w:rsidRPr="00593545">
        <w:rPr>
          <w:b/>
        </w:rPr>
        <w:t>with their domain separation score (i.e. the difference between the scores for knowledge and communication domain) on t</w:t>
      </w:r>
      <w:r w:rsidR="001557C5" w:rsidRPr="00593545">
        <w:rPr>
          <w:b/>
        </w:rPr>
        <w:t>he K+/C- and K-/C+ performances.</w:t>
      </w:r>
    </w:p>
    <w:p w:rsidR="004468A1" w:rsidRPr="00593545" w:rsidRDefault="002E4CC5" w:rsidP="004468A1">
      <w:pPr>
        <w:spacing w:line="480" w:lineRule="auto"/>
      </w:pPr>
      <w:r w:rsidRPr="00593545">
        <w:t>W</w:t>
      </w:r>
      <w:r w:rsidR="00B12E6F" w:rsidRPr="00593545">
        <w:t xml:space="preserve">e tested this </w:t>
      </w:r>
      <w:r w:rsidR="00F70D85" w:rsidRPr="00593545">
        <w:t xml:space="preserve">relationship </w:t>
      </w:r>
      <w:r w:rsidR="00B12E6F" w:rsidRPr="00593545">
        <w:t>using</w:t>
      </w:r>
      <w:r w:rsidR="004468A1" w:rsidRPr="00593545">
        <w:t xml:space="preserve"> multiple regression analysis, with participants’ “domain-separation” score as the dependant variable, and the following independent predictor variables: “delay” (2 level factor; whether participants had a long delay or a short delay between observing the mixed performance and completing the recollection task), “performance” (2 level factor; whether the score related to the K+/C- performance or the K-C+ performance), “duration” (continuous variable; the number of years participants had examined OSCEs) and “recollection accuracy” (continuous variable, the measure of recollection as described earlier). The model entered all predictors concurrently.</w:t>
      </w:r>
    </w:p>
    <w:p w:rsidR="001557C5" w:rsidRPr="00593545" w:rsidRDefault="004207E2" w:rsidP="00FF0B1C">
      <w:pPr>
        <w:spacing w:line="480" w:lineRule="auto"/>
        <w:rPr>
          <w:rFonts w:cs="Arial"/>
          <w:color w:val="000000" w:themeColor="text1"/>
          <w:shd w:val="clear" w:color="auto" w:fill="FFFFFF"/>
        </w:rPr>
      </w:pPr>
      <w:r w:rsidRPr="00593545">
        <w:rPr>
          <w:color w:val="000000" w:themeColor="text1"/>
        </w:rPr>
        <w:t>A</w:t>
      </w:r>
      <w:r w:rsidR="00882491" w:rsidRPr="00593545">
        <w:rPr>
          <w:color w:val="000000" w:themeColor="text1"/>
        </w:rPr>
        <w:t>nalyse</w:t>
      </w:r>
      <w:r w:rsidR="00B12E6F" w:rsidRPr="00593545">
        <w:rPr>
          <w:color w:val="000000" w:themeColor="text1"/>
        </w:rPr>
        <w:t xml:space="preserve">s </w:t>
      </w:r>
      <w:r w:rsidRPr="00593545">
        <w:rPr>
          <w:color w:val="000000" w:themeColor="text1"/>
        </w:rPr>
        <w:t xml:space="preserve">pertaining to RQ1 </w:t>
      </w:r>
      <w:r w:rsidR="005F5600" w:rsidRPr="00593545">
        <w:rPr>
          <w:color w:val="000000" w:themeColor="text1"/>
        </w:rPr>
        <w:t xml:space="preserve">(univariate ANOVA and Pearson’s correlations) </w:t>
      </w:r>
      <w:r w:rsidR="00B12E6F" w:rsidRPr="00593545">
        <w:rPr>
          <w:color w:val="000000" w:themeColor="text1"/>
        </w:rPr>
        <w:t xml:space="preserve">were conducted using </w:t>
      </w:r>
      <w:r w:rsidR="00B12E6F" w:rsidRPr="00593545">
        <w:rPr>
          <w:rFonts w:cs="Arial"/>
          <w:color w:val="000000" w:themeColor="text1"/>
          <w:shd w:val="clear" w:color="auto" w:fill="FFFFFF"/>
        </w:rPr>
        <w:t>IBM SPSS Statistics for Windows, Version 21.0</w:t>
      </w:r>
      <w:r w:rsidRPr="00593545">
        <w:rPr>
          <w:rFonts w:cs="Arial"/>
          <w:color w:val="000000" w:themeColor="text1"/>
          <w:shd w:val="clear" w:color="auto" w:fill="FFFFFF"/>
        </w:rPr>
        <w:t xml:space="preserve">; multiple regression analyses relating to </w:t>
      </w:r>
      <w:r w:rsidR="00A26991" w:rsidRPr="00593545">
        <w:rPr>
          <w:rFonts w:cs="Arial"/>
          <w:color w:val="000000" w:themeColor="text1"/>
          <w:shd w:val="clear" w:color="auto" w:fill="FFFFFF"/>
        </w:rPr>
        <w:t xml:space="preserve">hypothesis 1 &amp; 2 </w:t>
      </w:r>
      <w:r w:rsidRPr="00593545">
        <w:rPr>
          <w:rFonts w:cs="Arial"/>
          <w:color w:val="000000" w:themeColor="text1"/>
          <w:shd w:val="clear" w:color="auto" w:fill="FFFFFF"/>
        </w:rPr>
        <w:t xml:space="preserve">were performed using R </w:t>
      </w:r>
      <w:r w:rsidR="005F5600" w:rsidRPr="00593545">
        <w:rPr>
          <w:rFonts w:cs="Arial"/>
          <w:color w:val="000000" w:themeColor="text1"/>
          <w:shd w:val="clear" w:color="auto" w:fill="FFFFFF"/>
        </w:rPr>
        <w:t xml:space="preserve">“stats” package </w:t>
      </w:r>
      <w:r w:rsidR="005F5600" w:rsidRPr="00593545">
        <w:t>(Development Core Team, 2017) and variable relative importance statistics were calculated using the R package “</w:t>
      </w:r>
      <w:proofErr w:type="spellStart"/>
      <w:r w:rsidR="005F5600" w:rsidRPr="00593545">
        <w:t>relaimpo</w:t>
      </w:r>
      <w:proofErr w:type="spellEnd"/>
      <w:r w:rsidR="005F5600" w:rsidRPr="00593545">
        <w:t>” (</w:t>
      </w:r>
      <w:proofErr w:type="spellStart"/>
      <w:r w:rsidR="005F5600" w:rsidRPr="00593545">
        <w:t>Grömping</w:t>
      </w:r>
      <w:proofErr w:type="spellEnd"/>
      <w:r w:rsidR="005F5600" w:rsidRPr="00593545">
        <w:t>, 2006).</w:t>
      </w:r>
      <w:r w:rsidR="003455DE" w:rsidRPr="00593545">
        <w:t xml:space="preserve"> Pearson’s r values were obtained from relative R values by calculating their square roots. </w:t>
      </w:r>
    </w:p>
    <w:p w:rsidR="006C2481" w:rsidRPr="00593545" w:rsidRDefault="006C2481" w:rsidP="00BE6514">
      <w:pPr>
        <w:spacing w:line="480" w:lineRule="auto"/>
        <w:rPr>
          <w:rFonts w:cs="Arial"/>
          <w:b/>
        </w:rPr>
      </w:pPr>
    </w:p>
    <w:p w:rsidR="00BE6514" w:rsidRPr="00593545" w:rsidRDefault="00BE6514" w:rsidP="00BE6514">
      <w:pPr>
        <w:spacing w:line="480" w:lineRule="auto"/>
        <w:rPr>
          <w:rFonts w:cs="Arial"/>
          <w:b/>
        </w:rPr>
      </w:pPr>
      <w:r w:rsidRPr="00593545">
        <w:rPr>
          <w:rFonts w:cs="Arial"/>
          <w:b/>
        </w:rPr>
        <w:t>Ethics</w:t>
      </w:r>
    </w:p>
    <w:p w:rsidR="00C922A6" w:rsidRPr="00593545" w:rsidRDefault="00BE6514" w:rsidP="00BE6514">
      <w:pPr>
        <w:spacing w:line="480" w:lineRule="auto"/>
      </w:pPr>
      <w:r w:rsidRPr="00593545">
        <w:rPr>
          <w:rFonts w:cs="Arial"/>
        </w:rPr>
        <w:t>Ethical approval for this secondary data analysis was granted by the Keele School of Medicine ‘School Student Project Ethics Committee’.</w:t>
      </w:r>
    </w:p>
    <w:p w:rsidR="006C2481" w:rsidRPr="00593545" w:rsidRDefault="006C2481" w:rsidP="00FF0B1C">
      <w:pPr>
        <w:spacing w:line="480" w:lineRule="auto"/>
        <w:rPr>
          <w:b/>
          <w:sz w:val="28"/>
        </w:rPr>
      </w:pPr>
    </w:p>
    <w:p w:rsidR="00C922A6" w:rsidRPr="00593545" w:rsidRDefault="00C922A6" w:rsidP="00FF0B1C">
      <w:pPr>
        <w:spacing w:line="480" w:lineRule="auto"/>
        <w:rPr>
          <w:b/>
          <w:sz w:val="28"/>
        </w:rPr>
      </w:pPr>
      <w:r w:rsidRPr="00593545">
        <w:rPr>
          <w:b/>
          <w:sz w:val="28"/>
        </w:rPr>
        <w:t xml:space="preserve">Results </w:t>
      </w:r>
    </w:p>
    <w:p w:rsidR="0060753C" w:rsidRPr="00593545" w:rsidRDefault="0060753C" w:rsidP="00FF0B1C">
      <w:pPr>
        <w:spacing w:line="480" w:lineRule="auto"/>
        <w:rPr>
          <w:b/>
        </w:rPr>
      </w:pPr>
      <w:r w:rsidRPr="00593545">
        <w:rPr>
          <w:b/>
        </w:rPr>
        <w:t>Descriptive data:</w:t>
      </w:r>
    </w:p>
    <w:p w:rsidR="00CF0C48" w:rsidRPr="00593545" w:rsidRDefault="00CF0C48" w:rsidP="00FF0B1C">
      <w:pPr>
        <w:spacing w:line="480" w:lineRule="auto"/>
      </w:pPr>
      <w:r w:rsidRPr="00593545">
        <w:lastRenderedPageBreak/>
        <w:t xml:space="preserve">Data from all 159 participants in the original </w:t>
      </w:r>
      <w:r w:rsidR="00322BCA" w:rsidRPr="00593545">
        <w:t>study were</w:t>
      </w:r>
      <w:r w:rsidRPr="00593545">
        <w:t xml:space="preserve"> included in the analysis. The measure of recollection accuracy was normally distributed, with a mean of </w:t>
      </w:r>
      <w:r w:rsidR="000F5B74" w:rsidRPr="00593545">
        <w:t>0.40</w:t>
      </w:r>
      <w:r w:rsidRPr="00593545">
        <w:t xml:space="preserve">, and a standard deviation of </w:t>
      </w:r>
      <w:r w:rsidR="000F5B74" w:rsidRPr="00593545">
        <w:t>0.15</w:t>
      </w:r>
      <w:r w:rsidRPr="00593545">
        <w:t>. This variable had the potential to range from -1</w:t>
      </w:r>
      <w:r w:rsidR="000F5B74" w:rsidRPr="00593545">
        <w:t>.0</w:t>
      </w:r>
      <w:r w:rsidRPr="00593545">
        <w:t xml:space="preserve"> to 1</w:t>
      </w:r>
      <w:r w:rsidR="000F5B74" w:rsidRPr="00593545">
        <w:t>.0,</w:t>
      </w:r>
      <w:r w:rsidRPr="00593545">
        <w:t xml:space="preserve"> with a </w:t>
      </w:r>
      <w:r w:rsidR="000F5B74" w:rsidRPr="00593545">
        <w:t>value of 0.0</w:t>
      </w:r>
      <w:r w:rsidRPr="00593545">
        <w:t xml:space="preserve"> </w:t>
      </w:r>
      <w:r w:rsidR="000F5B74" w:rsidRPr="00593545">
        <w:t xml:space="preserve">being </w:t>
      </w:r>
      <w:r w:rsidRPr="00593545">
        <w:t xml:space="preserve">equivalent to random chance. </w:t>
      </w:r>
      <w:r w:rsidR="009333D2" w:rsidRPr="00593545">
        <w:t>Individual examiners ranged in their reco</w:t>
      </w:r>
      <w:r w:rsidR="0046713F" w:rsidRPr="00593545">
        <w:t>llection accuracy value</w:t>
      </w:r>
      <w:r w:rsidR="00CB3167" w:rsidRPr="00593545">
        <w:t>s</w:t>
      </w:r>
      <w:r w:rsidR="009333D2" w:rsidRPr="00593545">
        <w:t xml:space="preserve"> from -0.05 to 0.75.</w:t>
      </w:r>
    </w:p>
    <w:p w:rsidR="004B7745" w:rsidRPr="00593545" w:rsidRDefault="004B7745" w:rsidP="00FF0B1C">
      <w:pPr>
        <w:spacing w:line="480" w:lineRule="auto"/>
      </w:pPr>
    </w:p>
    <w:p w:rsidR="0060753C" w:rsidRPr="00593545" w:rsidRDefault="000F5B74" w:rsidP="00FF0B1C">
      <w:pPr>
        <w:spacing w:line="480" w:lineRule="auto"/>
      </w:pPr>
      <w:r w:rsidRPr="00593545">
        <w:t xml:space="preserve">The </w:t>
      </w:r>
      <w:r w:rsidR="00863D27" w:rsidRPr="00593545">
        <w:t xml:space="preserve">measures of </w:t>
      </w:r>
      <w:r w:rsidR="00BF691D" w:rsidRPr="00593545">
        <w:t xml:space="preserve">the </w:t>
      </w:r>
      <w:r w:rsidRPr="00593545">
        <w:t>overall</w:t>
      </w:r>
      <w:r w:rsidR="00863D27" w:rsidRPr="00593545">
        <w:t xml:space="preserve"> score variance</w:t>
      </w:r>
      <w:r w:rsidRPr="00593545">
        <w:t xml:space="preserve"> variables for each of the 3 performances</w:t>
      </w:r>
      <w:r w:rsidR="004207E2" w:rsidRPr="00593545">
        <w:t xml:space="preserve"> all appeared skewed</w:t>
      </w:r>
      <w:r w:rsidR="00863D27" w:rsidRPr="00593545">
        <w:t>. The</w:t>
      </w:r>
      <w:r w:rsidR="00BF691D" w:rsidRPr="00593545">
        <w:t>ir</w:t>
      </w:r>
      <w:r w:rsidR="00863D27" w:rsidRPr="00593545">
        <w:t xml:space="preserve"> me</w:t>
      </w:r>
      <w:r w:rsidR="004207E2" w:rsidRPr="00593545">
        <w:t>dians and inter-quartile ranges</w:t>
      </w:r>
      <w:r w:rsidR="00863D27" w:rsidRPr="00593545">
        <w:t xml:space="preserve"> were </w:t>
      </w:r>
      <w:r w:rsidRPr="00593545">
        <w:t>K+/C-</w:t>
      </w:r>
      <w:r w:rsidR="004207E2" w:rsidRPr="00593545">
        <w:t xml:space="preserve"> median=0.84, IQR</w:t>
      </w:r>
      <w:r w:rsidR="00863D27" w:rsidRPr="00593545">
        <w:t>=</w:t>
      </w:r>
      <w:r w:rsidR="004207E2" w:rsidRPr="00593545">
        <w:t>1.0</w:t>
      </w:r>
      <w:r w:rsidR="00863D27" w:rsidRPr="00593545">
        <w:t xml:space="preserve">; </w:t>
      </w:r>
      <w:r w:rsidRPr="00593545">
        <w:t>K-C+</w:t>
      </w:r>
      <w:r w:rsidR="00863D27" w:rsidRPr="00593545">
        <w:t xml:space="preserve"> </w:t>
      </w:r>
      <w:r w:rsidR="004207E2" w:rsidRPr="00593545">
        <w:t>median=0.65</w:t>
      </w:r>
      <w:r w:rsidR="00863D27" w:rsidRPr="00593545">
        <w:t xml:space="preserve">, </w:t>
      </w:r>
      <w:r w:rsidR="004207E2" w:rsidRPr="00593545">
        <w:t>IQR=1.0</w:t>
      </w:r>
      <w:r w:rsidRPr="00593545">
        <w:t>; Mixed</w:t>
      </w:r>
      <w:r w:rsidR="004207E2" w:rsidRPr="00593545">
        <w:t xml:space="preserve"> median=0.81, IQR=0.62</w:t>
      </w:r>
      <w:proofErr w:type="gramStart"/>
      <w:r w:rsidR="00BF691D" w:rsidRPr="00593545">
        <w:t>.</w:t>
      </w:r>
      <w:r w:rsidRPr="00593545">
        <w:t>.</w:t>
      </w:r>
      <w:proofErr w:type="gramEnd"/>
      <w:r w:rsidRPr="00593545">
        <w:t xml:space="preserve"> The </w:t>
      </w:r>
      <w:r w:rsidR="00BF691D" w:rsidRPr="00593545">
        <w:t>measure</w:t>
      </w:r>
      <w:r w:rsidR="00EC18E2" w:rsidRPr="00593545">
        <w:t>s of domain separation were</w:t>
      </w:r>
      <w:r w:rsidR="00BF691D" w:rsidRPr="00593545">
        <w:t xml:space="preserve"> normally distributed. Their means and standard deviations were: </w:t>
      </w:r>
      <w:r w:rsidRPr="00593545">
        <w:t xml:space="preserve">K+/C- </w:t>
      </w:r>
      <w:r w:rsidR="00BF691D" w:rsidRPr="00593545">
        <w:t xml:space="preserve">mean=3.12, </w:t>
      </w:r>
      <w:proofErr w:type="spellStart"/>
      <w:proofErr w:type="gramStart"/>
      <w:r w:rsidR="00BF691D" w:rsidRPr="00593545">
        <w:t>sd</w:t>
      </w:r>
      <w:proofErr w:type="spellEnd"/>
      <w:r w:rsidR="00BF691D" w:rsidRPr="00593545">
        <w:t>=</w:t>
      </w:r>
      <w:proofErr w:type="gramEnd"/>
      <w:r w:rsidR="00BF691D" w:rsidRPr="00593545">
        <w:t xml:space="preserve">1.46; and </w:t>
      </w:r>
      <w:r w:rsidRPr="00593545">
        <w:t xml:space="preserve">K-/C+ </w:t>
      </w:r>
      <w:r w:rsidR="00BF691D" w:rsidRPr="00593545">
        <w:t xml:space="preserve">mean=2.65, </w:t>
      </w:r>
      <w:proofErr w:type="spellStart"/>
      <w:r w:rsidR="00BF691D" w:rsidRPr="00593545">
        <w:t>sd</w:t>
      </w:r>
      <w:proofErr w:type="spellEnd"/>
      <w:r w:rsidR="00BF691D" w:rsidRPr="00593545">
        <w:t xml:space="preserve">=1.39. </w:t>
      </w:r>
      <w:r w:rsidR="00322BCA" w:rsidRPr="00593545">
        <w:t xml:space="preserve">The order in which examiners viewed the performances influenced their recollection accuracy: short delay 0.45 (95% CIs 0.41 – 0.48); long delay 0.35 (0.32 - 0.38, </w:t>
      </w:r>
      <w:proofErr w:type="gramStart"/>
      <w:r w:rsidR="00322BCA" w:rsidRPr="00593545">
        <w:rPr>
          <w:rFonts w:cs="Arial"/>
        </w:rPr>
        <w:t>F(</w:t>
      </w:r>
      <w:proofErr w:type="gramEnd"/>
      <w:r w:rsidR="00322BCA" w:rsidRPr="00593545">
        <w:rPr>
          <w:rFonts w:cs="Arial"/>
        </w:rPr>
        <w:t xml:space="preserve">1,157) = 16.3 P&lt;0.001). </w:t>
      </w:r>
      <w:r w:rsidR="00BB0E0B" w:rsidRPr="00593545">
        <w:rPr>
          <w:rFonts w:cs="Arial"/>
        </w:rPr>
        <w:t xml:space="preserve">Examiners recollection accuracy did </w:t>
      </w:r>
      <w:r w:rsidR="0060753C" w:rsidRPr="00593545">
        <w:rPr>
          <w:rFonts w:cs="Arial"/>
        </w:rPr>
        <w:t>not differ based on their sex (m</w:t>
      </w:r>
      <w:r w:rsidR="00BB0E0B" w:rsidRPr="00593545">
        <w:rPr>
          <w:rFonts w:cs="Arial"/>
        </w:rPr>
        <w:t xml:space="preserve">en= 0.38 (95% CIs 0.34 – 0.42); women 0.41 (0.38-0.44, </w:t>
      </w:r>
      <w:r w:rsidR="00BB0E0B" w:rsidRPr="00593545">
        <w:rPr>
          <w:rFonts w:cs="Arial"/>
          <w:i/>
        </w:rPr>
        <w:t>F</w:t>
      </w:r>
      <w:r w:rsidR="00BB0E0B" w:rsidRPr="00593545">
        <w:rPr>
          <w:rFonts w:cs="Arial"/>
        </w:rPr>
        <w:t>=1.40, p=0.24)</w:t>
      </w:r>
      <w:r w:rsidR="00EC18E2" w:rsidRPr="00593545">
        <w:rPr>
          <w:rFonts w:cs="Arial"/>
        </w:rPr>
        <w:t xml:space="preserve">. </w:t>
      </w:r>
      <w:r w:rsidR="0060753C" w:rsidRPr="00593545">
        <w:rPr>
          <w:rFonts w:cs="Arial"/>
        </w:rPr>
        <w:t xml:space="preserve"> </w:t>
      </w:r>
      <w:r w:rsidR="00EC18E2" w:rsidRPr="00593545">
        <w:rPr>
          <w:rFonts w:cs="Arial"/>
        </w:rPr>
        <w:t>E</w:t>
      </w:r>
      <w:r w:rsidR="001557C5" w:rsidRPr="00593545">
        <w:rPr>
          <w:rFonts w:cs="Arial"/>
        </w:rPr>
        <w:t xml:space="preserve">xaminers’ recollection accuracy </w:t>
      </w:r>
      <w:r w:rsidR="00EC18E2" w:rsidRPr="00593545">
        <w:rPr>
          <w:rFonts w:cs="Arial"/>
        </w:rPr>
        <w:t>was negatively correlated with</w:t>
      </w:r>
      <w:r w:rsidR="001557C5" w:rsidRPr="00593545">
        <w:rPr>
          <w:rFonts w:cs="Arial"/>
        </w:rPr>
        <w:t xml:space="preserve"> </w:t>
      </w:r>
      <w:r w:rsidR="0060753C" w:rsidRPr="00593545">
        <w:rPr>
          <w:rFonts w:cs="Arial"/>
        </w:rPr>
        <w:t>t</w:t>
      </w:r>
      <w:r w:rsidR="001557C5" w:rsidRPr="00593545">
        <w:rPr>
          <w:rFonts w:cs="Arial"/>
        </w:rPr>
        <w:t>he number of years they had</w:t>
      </w:r>
      <w:r w:rsidR="0060753C" w:rsidRPr="00593545">
        <w:rPr>
          <w:rFonts w:cs="Arial"/>
        </w:rPr>
        <w:t xml:space="preserve"> examined OSCEs (</w:t>
      </w:r>
      <w:r w:rsidR="00EC18E2" w:rsidRPr="00593545">
        <w:rPr>
          <w:rFonts w:cs="Arial"/>
        </w:rPr>
        <w:t xml:space="preserve">Pearson’s </w:t>
      </w:r>
      <w:r w:rsidR="008D7001" w:rsidRPr="00593545">
        <w:rPr>
          <w:rFonts w:cs="Arial"/>
        </w:rPr>
        <w:t>r=-0.22, p=0.005</w:t>
      </w:r>
      <w:r w:rsidR="00EC18E2" w:rsidRPr="00593545">
        <w:rPr>
          <w:rFonts w:cs="Arial"/>
        </w:rPr>
        <w:t>).</w:t>
      </w:r>
    </w:p>
    <w:p w:rsidR="001557C5" w:rsidRPr="00593545" w:rsidRDefault="001557C5" w:rsidP="00FF0B1C">
      <w:pPr>
        <w:spacing w:line="480" w:lineRule="auto"/>
        <w:rPr>
          <w:rFonts w:cs="Arial"/>
        </w:rPr>
      </w:pPr>
    </w:p>
    <w:p w:rsidR="00B26643" w:rsidRPr="00593545" w:rsidRDefault="00B26643" w:rsidP="00FF0B1C">
      <w:pPr>
        <w:spacing w:line="480" w:lineRule="auto"/>
        <w:rPr>
          <w:b/>
        </w:rPr>
      </w:pPr>
      <w:r w:rsidRPr="00593545">
        <w:rPr>
          <w:rFonts w:cs="Arial"/>
          <w:b/>
        </w:rPr>
        <w:t xml:space="preserve">Hypothesis 1: </w:t>
      </w:r>
      <w:r w:rsidRPr="00593545">
        <w:rPr>
          <w:b/>
        </w:rPr>
        <w:t xml:space="preserve">Examiners’ recognition accuracy will show a negative </w:t>
      </w:r>
      <w:r w:rsidR="00A26991" w:rsidRPr="00593545">
        <w:rPr>
          <w:b/>
        </w:rPr>
        <w:t xml:space="preserve">relationship </w:t>
      </w:r>
      <w:r w:rsidRPr="00593545">
        <w:rPr>
          <w:b/>
        </w:rPr>
        <w:t>with their overall score variance on all performances.</w:t>
      </w:r>
    </w:p>
    <w:p w:rsidR="001557C5" w:rsidRPr="00593545" w:rsidRDefault="00ED2283" w:rsidP="00FF0B1C">
      <w:pPr>
        <w:spacing w:line="480" w:lineRule="auto"/>
        <w:rPr>
          <w:rFonts w:cs="Arial"/>
        </w:rPr>
      </w:pPr>
      <w:r w:rsidRPr="00593545">
        <w:t xml:space="preserve">Regression data for hypothesis </w:t>
      </w:r>
      <w:r w:rsidR="009D44D9" w:rsidRPr="00593545">
        <w:t xml:space="preserve">1 </w:t>
      </w:r>
      <w:r w:rsidRPr="00593545">
        <w:t xml:space="preserve">is displayed in table 1. </w:t>
      </w:r>
      <w:r w:rsidR="005F5600" w:rsidRPr="00593545">
        <w:t>When variables are jointly modelled,</w:t>
      </w:r>
      <w:r w:rsidR="005F5600" w:rsidRPr="00593545">
        <w:rPr>
          <w:sz w:val="16"/>
          <w:szCs w:val="16"/>
        </w:rPr>
        <w:t xml:space="preserve"> </w:t>
      </w:r>
      <w:r w:rsidR="005F5600" w:rsidRPr="00593545">
        <w:t>t</w:t>
      </w:r>
      <w:r w:rsidRPr="00593545">
        <w:t>here was no statistically significant relationship between performance order (long or short delay) and overall score variance. The overall score variance differed for the three different performances (K+/C-β=0.00; K-/C+ β=0.17, p=0.02; Mixed β-0.14, p=</w:t>
      </w:r>
      <w:r w:rsidR="00694C9A" w:rsidRPr="00593545">
        <w:t>0.046). The number of years participants had examined OSCE exams was not related to overall score variance. Consistent with hypothesis 1, examiners’ reco</w:t>
      </w:r>
      <w:r w:rsidR="005F5600" w:rsidRPr="00593545">
        <w:t>llection accuracy showed a</w:t>
      </w:r>
      <w:r w:rsidR="00694C9A" w:rsidRPr="00593545">
        <w:t xml:space="preserve"> </w:t>
      </w:r>
      <w:r w:rsidR="00A26991" w:rsidRPr="00593545">
        <w:t>negative</w:t>
      </w:r>
      <w:r w:rsidR="009D44D9" w:rsidRPr="00593545">
        <w:t>,</w:t>
      </w:r>
      <w:r w:rsidR="00A26991" w:rsidRPr="00593545">
        <w:t xml:space="preserve"> </w:t>
      </w:r>
      <w:r w:rsidR="00694C9A" w:rsidRPr="00593545">
        <w:t xml:space="preserve">statistically highly significant, relationship with </w:t>
      </w:r>
      <w:r w:rsidR="00694C9A" w:rsidRPr="00593545">
        <w:lastRenderedPageBreak/>
        <w:t>overall score accuracy (β=-0.007, R=-0.17, p&lt;0.001</w:t>
      </w:r>
      <w:r w:rsidR="00A26991" w:rsidRPr="00593545">
        <w:t>).</w:t>
      </w:r>
      <w:r w:rsidR="00694C9A" w:rsidRPr="00593545">
        <w:t xml:space="preserve">  </w:t>
      </w:r>
      <w:r w:rsidR="005F5600" w:rsidRPr="00593545">
        <w:t>The adjusted R-Squared for this model was 0.06 and relative proportions of the R-Squared can be found in table 1 for each variable. The relative R-Squared explained by recollection accuracy was 0.03.</w:t>
      </w:r>
    </w:p>
    <w:p w:rsidR="00FF68CA" w:rsidRPr="00593545" w:rsidRDefault="00FF68CA" w:rsidP="00FF0B1C">
      <w:pPr>
        <w:spacing w:line="480" w:lineRule="auto"/>
        <w:rPr>
          <w:b/>
        </w:rPr>
      </w:pPr>
    </w:p>
    <w:p w:rsidR="00AC185C" w:rsidRPr="00593545" w:rsidRDefault="00AC185C" w:rsidP="00FF0B1C">
      <w:pPr>
        <w:spacing w:line="480" w:lineRule="auto"/>
        <w:rPr>
          <w:rFonts w:cs="Arial"/>
        </w:rPr>
      </w:pPr>
      <w:r w:rsidRPr="00593545">
        <w:rPr>
          <w:b/>
        </w:rPr>
        <w:t>Hypothesis 2: Examiners’ recognition accuracy will show a positive</w:t>
      </w:r>
      <w:r w:rsidR="005F5600" w:rsidRPr="00593545">
        <w:rPr>
          <w:b/>
        </w:rPr>
        <w:t xml:space="preserve"> relationship</w:t>
      </w:r>
      <w:r w:rsidRPr="00593545">
        <w:rPr>
          <w:b/>
        </w:rPr>
        <w:t xml:space="preserve"> with their domain separation score on the K+/C- and K-/C+ performances.</w:t>
      </w:r>
    </w:p>
    <w:p w:rsidR="00A26991" w:rsidRPr="00593545" w:rsidRDefault="00A26991" w:rsidP="00FF0B1C">
      <w:pPr>
        <w:spacing w:line="480" w:lineRule="auto"/>
        <w:rPr>
          <w:rFonts w:cs="Arial"/>
        </w:rPr>
      </w:pPr>
      <w:r w:rsidRPr="00593545">
        <w:t xml:space="preserve">Regression data for this hypothesis is displayed in table 2. There was no statistically significant relationship between performance order (long or short delay) and domain separation. Domain separation differed for the two different performances on which this variable was calculated (K+/C-β=0.00; K-/C+ β=-0.52, p&lt;0.001). The relationship between domain separation and the number of years participants had examined OSCE exams </w:t>
      </w:r>
      <w:r w:rsidR="005F5600" w:rsidRPr="00593545">
        <w:t xml:space="preserve">was close to statistical significance </w:t>
      </w:r>
      <w:r w:rsidRPr="00593545">
        <w:t>(β=-0.03, R=-0.13, p=0.07). Consistent with hypothesis 2, examiners’ recol</w:t>
      </w:r>
      <w:r w:rsidR="005F5600" w:rsidRPr="00593545">
        <w:t>lection accuracy showed a</w:t>
      </w:r>
      <w:r w:rsidRPr="00593545">
        <w:t xml:space="preserve"> positive, statistically highly significant, relationship with domains separation (β=0.02, R=0.25, p&lt;0.001).  </w:t>
      </w:r>
      <w:r w:rsidR="005F5600" w:rsidRPr="00593545">
        <w:t>The adjusted R-Squared for this model was 0.11 and relative proportions of the R-Squared can be found in table 1 for each variable. The relative R-Squared explained by recollection accuracy was 0.06.</w:t>
      </w:r>
    </w:p>
    <w:p w:rsidR="001557C5" w:rsidRPr="00593545" w:rsidRDefault="001557C5" w:rsidP="00FF0B1C">
      <w:pPr>
        <w:spacing w:line="480" w:lineRule="auto"/>
        <w:rPr>
          <w:rFonts w:cs="Arial"/>
        </w:rPr>
      </w:pPr>
    </w:p>
    <w:p w:rsidR="00C922A6" w:rsidRPr="00593545" w:rsidRDefault="00C922A6" w:rsidP="00FF0B1C">
      <w:pPr>
        <w:spacing w:line="480" w:lineRule="auto"/>
        <w:rPr>
          <w:b/>
          <w:sz w:val="28"/>
        </w:rPr>
      </w:pPr>
      <w:r w:rsidRPr="00593545">
        <w:rPr>
          <w:b/>
          <w:sz w:val="28"/>
        </w:rPr>
        <w:t>Discussion</w:t>
      </w:r>
    </w:p>
    <w:p w:rsidR="00882491" w:rsidRPr="00593545" w:rsidRDefault="00882491" w:rsidP="00FF0B1C">
      <w:pPr>
        <w:spacing w:line="480" w:lineRule="auto"/>
        <w:rPr>
          <w:rFonts w:cs="Arial"/>
          <w:b/>
        </w:rPr>
      </w:pPr>
      <w:r w:rsidRPr="00593545">
        <w:rPr>
          <w:rFonts w:cs="Arial"/>
          <w:b/>
        </w:rPr>
        <w:t>Summary of findings:</w:t>
      </w:r>
    </w:p>
    <w:p w:rsidR="00297651" w:rsidRPr="00593545" w:rsidRDefault="00882491" w:rsidP="00FF0B1C">
      <w:pPr>
        <w:spacing w:line="480" w:lineRule="auto"/>
        <w:rPr>
          <w:rFonts w:cs="Arial"/>
        </w:rPr>
      </w:pPr>
      <w:r w:rsidRPr="00593545">
        <w:rPr>
          <w:rFonts w:cs="Arial"/>
        </w:rPr>
        <w:t xml:space="preserve">These findings show that experienced OSCE examiners’ varied in their ability to recognise exerts of a recently-viewed OSCE performance. This variation was substantial, ranging from recognition which was </w:t>
      </w:r>
      <w:r w:rsidR="001557C5" w:rsidRPr="00593545">
        <w:rPr>
          <w:rFonts w:cs="Arial"/>
        </w:rPr>
        <w:t>marginally worse than</w:t>
      </w:r>
      <w:r w:rsidRPr="00593545">
        <w:rPr>
          <w:rFonts w:cs="Arial"/>
        </w:rPr>
        <w:t xml:space="preserve"> chance, to </w:t>
      </w:r>
      <w:r w:rsidR="00CB3167" w:rsidRPr="00593545">
        <w:rPr>
          <w:rFonts w:cs="Arial"/>
        </w:rPr>
        <w:t xml:space="preserve">a corrected recognition rate of 75%. </w:t>
      </w:r>
      <w:r w:rsidRPr="00593545">
        <w:rPr>
          <w:rFonts w:cs="Arial"/>
        </w:rPr>
        <w:t xml:space="preserve">Overall, examiners’ memories </w:t>
      </w:r>
      <w:r w:rsidR="00DF2C0B" w:rsidRPr="00593545">
        <w:rPr>
          <w:rFonts w:cs="Arial"/>
        </w:rPr>
        <w:t xml:space="preserve">for performances were imperfect, with an average recognition rate of 40% beyond chance. </w:t>
      </w:r>
      <w:r w:rsidR="00297651" w:rsidRPr="00593545">
        <w:rPr>
          <w:rFonts w:cs="Arial"/>
        </w:rPr>
        <w:t xml:space="preserve">In addition, </w:t>
      </w:r>
      <w:r w:rsidR="004D7233" w:rsidRPr="00593545">
        <w:rPr>
          <w:rFonts w:cs="Arial"/>
        </w:rPr>
        <w:t>examiners’</w:t>
      </w:r>
      <w:r w:rsidR="00297651" w:rsidRPr="00593545">
        <w:rPr>
          <w:rFonts w:cs="Arial"/>
        </w:rPr>
        <w:t xml:space="preserve"> </w:t>
      </w:r>
      <w:r w:rsidR="004D7233" w:rsidRPr="00593545">
        <w:rPr>
          <w:rFonts w:cs="Arial"/>
        </w:rPr>
        <w:t>varied in their overall accuracy (i.e. distance of their score from the</w:t>
      </w:r>
      <w:r w:rsidR="00FF68CA" w:rsidRPr="00593545">
        <w:rPr>
          <w:rFonts w:cs="Arial"/>
        </w:rPr>
        <w:t xml:space="preserve"> </w:t>
      </w:r>
      <w:r w:rsidR="00FF68CA" w:rsidRPr="00593545">
        <w:rPr>
          <w:rFonts w:cs="Arial"/>
        </w:rPr>
        <w:lastRenderedPageBreak/>
        <w:t xml:space="preserve">group </w:t>
      </w:r>
      <w:r w:rsidR="004D7233" w:rsidRPr="00593545">
        <w:rPr>
          <w:rFonts w:cs="Arial"/>
        </w:rPr>
        <w:t xml:space="preserve">mean) and the degree to which they </w:t>
      </w:r>
      <w:r w:rsidR="00262F26" w:rsidRPr="00593545">
        <w:rPr>
          <w:rFonts w:cs="Arial"/>
        </w:rPr>
        <w:t xml:space="preserve">separated </w:t>
      </w:r>
      <w:r w:rsidR="004D7233" w:rsidRPr="00593545">
        <w:rPr>
          <w:rFonts w:cs="Arial"/>
        </w:rPr>
        <w:t>disparate domains of knowledge and communication.</w:t>
      </w:r>
    </w:p>
    <w:p w:rsidR="00C922A6" w:rsidRPr="00593545" w:rsidRDefault="00DF2C0B" w:rsidP="00FF0B1C">
      <w:pPr>
        <w:spacing w:line="480" w:lineRule="auto"/>
        <w:rPr>
          <w:rFonts w:cs="Arial"/>
        </w:rPr>
      </w:pPr>
      <w:r w:rsidRPr="00593545">
        <w:rPr>
          <w:rFonts w:cs="Arial"/>
        </w:rPr>
        <w:t xml:space="preserve">Examiners’ abilities to recollect performances were (as </w:t>
      </w:r>
      <w:r w:rsidR="001557C5" w:rsidRPr="00593545">
        <w:rPr>
          <w:rFonts w:cs="Arial"/>
        </w:rPr>
        <w:t xml:space="preserve">expected) </w:t>
      </w:r>
      <w:r w:rsidRPr="00593545">
        <w:rPr>
          <w:rFonts w:cs="Arial"/>
        </w:rPr>
        <w:t>influenced by the duration of delay between the performan</w:t>
      </w:r>
      <w:r w:rsidR="001557C5" w:rsidRPr="00593545">
        <w:rPr>
          <w:rFonts w:cs="Arial"/>
        </w:rPr>
        <w:t>ce and the test of recollection:</w:t>
      </w:r>
      <w:r w:rsidRPr="00593545">
        <w:rPr>
          <w:rFonts w:cs="Arial"/>
        </w:rPr>
        <w:t xml:space="preserve"> </w:t>
      </w:r>
      <w:r w:rsidR="00C922A6" w:rsidRPr="00593545">
        <w:rPr>
          <w:rFonts w:cs="Arial"/>
        </w:rPr>
        <w:t xml:space="preserve">recollection accuracy </w:t>
      </w:r>
      <w:r w:rsidRPr="00593545">
        <w:rPr>
          <w:rFonts w:cs="Arial"/>
        </w:rPr>
        <w:t xml:space="preserve">was greater after a 5 minute delay than after a 22 minute delay. </w:t>
      </w:r>
      <w:r w:rsidR="00262F26" w:rsidRPr="00593545">
        <w:rPr>
          <w:rFonts w:cs="Arial"/>
        </w:rPr>
        <w:t xml:space="preserve">Examiners’ recollection accuracy reduced as the number of years they had examined OSCE increased. </w:t>
      </w:r>
    </w:p>
    <w:p w:rsidR="00FF68CA" w:rsidRPr="00593545" w:rsidRDefault="00FF68CA" w:rsidP="00FF0B1C">
      <w:pPr>
        <w:spacing w:line="480" w:lineRule="auto"/>
        <w:rPr>
          <w:rFonts w:cs="Arial"/>
        </w:rPr>
      </w:pPr>
    </w:p>
    <w:p w:rsidR="005F5600" w:rsidRPr="00593545" w:rsidRDefault="009D44D9" w:rsidP="00FF0B1C">
      <w:pPr>
        <w:spacing w:line="480" w:lineRule="auto"/>
        <w:rPr>
          <w:rFonts w:cs="Arial"/>
        </w:rPr>
      </w:pPr>
      <w:r w:rsidRPr="00593545">
        <w:rPr>
          <w:rFonts w:cs="Arial"/>
        </w:rPr>
        <w:t>Consistent with hypothesis 1, examiners’ overall-score variance was negatively related to examiners’ recollection accuracy, whilst, consistent with hypothesis 2, examiners’ domain separation scores were positively related to examiners’ recollection accuracy. In that respect, we found relationships which were consistent with both hypotheses.</w:t>
      </w:r>
      <w:r w:rsidR="005F5600" w:rsidRPr="00593545">
        <w:rPr>
          <w:rFonts w:cs="Arial"/>
        </w:rPr>
        <w:t xml:space="preserve"> </w:t>
      </w:r>
      <w:r w:rsidR="005F5600" w:rsidRPr="00593545">
        <w:t xml:space="preserve">However, relatively little variance in the dependant variables was explained by recollection accuracy, and as such </w:t>
      </w:r>
      <w:proofErr w:type="spellStart"/>
      <w:r w:rsidR="005F5600" w:rsidRPr="00593545">
        <w:t>such</w:t>
      </w:r>
      <w:proofErr w:type="spellEnd"/>
      <w:r w:rsidR="005F5600" w:rsidRPr="00593545">
        <w:t xml:space="preserve"> its importance as a predictor of examiner behaviour (i.e., accuracy and domains separation) is not strong. That said</w:t>
      </w:r>
      <w:proofErr w:type="gramStart"/>
      <w:r w:rsidR="005F5600" w:rsidRPr="00593545">
        <w:t>,</w:t>
      </w:r>
      <w:proofErr w:type="gramEnd"/>
      <w:r w:rsidR="005F5600" w:rsidRPr="00593545">
        <w:t xml:space="preserve"> it is predictive relative to other factors examined in the two models.</w:t>
      </w:r>
    </w:p>
    <w:p w:rsidR="00994B84" w:rsidRPr="00593545" w:rsidRDefault="009D44D9" w:rsidP="00FF0B1C">
      <w:pPr>
        <w:spacing w:line="480" w:lineRule="auto"/>
        <w:rPr>
          <w:rFonts w:cs="Arial"/>
        </w:rPr>
      </w:pPr>
      <w:r w:rsidRPr="00593545">
        <w:rPr>
          <w:rFonts w:cs="Arial"/>
        </w:rPr>
        <w:t xml:space="preserve"> </w:t>
      </w:r>
    </w:p>
    <w:p w:rsidR="00FF68CA" w:rsidRPr="00593545" w:rsidRDefault="00FF68CA" w:rsidP="00FF0B1C">
      <w:pPr>
        <w:spacing w:line="480" w:lineRule="auto"/>
        <w:rPr>
          <w:rFonts w:cs="Arial"/>
        </w:rPr>
      </w:pPr>
    </w:p>
    <w:p w:rsidR="00994B84" w:rsidRPr="00593545" w:rsidRDefault="00994B84" w:rsidP="00FF0B1C">
      <w:pPr>
        <w:spacing w:line="480" w:lineRule="auto"/>
        <w:rPr>
          <w:rFonts w:cs="Arial"/>
          <w:b/>
        </w:rPr>
      </w:pPr>
      <w:r w:rsidRPr="00593545">
        <w:rPr>
          <w:rFonts w:cs="Arial"/>
          <w:b/>
        </w:rPr>
        <w:t>Theoretical Implications:</w:t>
      </w:r>
    </w:p>
    <w:p w:rsidR="00994B84" w:rsidRPr="00593545" w:rsidRDefault="00994B84" w:rsidP="00FF0B1C">
      <w:pPr>
        <w:spacing w:line="480" w:lineRule="auto"/>
        <w:rPr>
          <w:rFonts w:cs="Arial"/>
        </w:rPr>
      </w:pPr>
      <w:r w:rsidRPr="00593545">
        <w:rPr>
          <w:rFonts w:cs="Arial"/>
        </w:rPr>
        <w:t>These exploratory findings are based on secondary analysis of existing data, and as such any attempt to derive theory form them must be viewed as highly provisional. Nonetheless, in the event that they can be sufficiently replicated, they may suggest a number of interesting theoretical implications.</w:t>
      </w:r>
    </w:p>
    <w:p w:rsidR="001557C5" w:rsidRPr="00593545" w:rsidRDefault="001557C5" w:rsidP="00FF0B1C">
      <w:pPr>
        <w:spacing w:line="480" w:lineRule="auto"/>
        <w:rPr>
          <w:rFonts w:cs="Arial"/>
        </w:rPr>
      </w:pPr>
    </w:p>
    <w:p w:rsidR="001A3A78" w:rsidRPr="00593545" w:rsidRDefault="00B406E5" w:rsidP="00FF0B1C">
      <w:pPr>
        <w:spacing w:line="480" w:lineRule="auto"/>
        <w:rPr>
          <w:rFonts w:cs="Arial"/>
        </w:rPr>
      </w:pPr>
      <w:r w:rsidRPr="00593545">
        <w:rPr>
          <w:rFonts w:cs="Arial"/>
        </w:rPr>
        <w:lastRenderedPageBreak/>
        <w:t>S</w:t>
      </w:r>
      <w:r w:rsidR="002234BF" w:rsidRPr="00593545">
        <w:rPr>
          <w:rFonts w:cs="Arial"/>
        </w:rPr>
        <w:t xml:space="preserve">ubstantial </w:t>
      </w:r>
      <w:r w:rsidR="001A3A78" w:rsidRPr="00593545">
        <w:rPr>
          <w:rFonts w:cs="Arial"/>
        </w:rPr>
        <w:t>difference</w:t>
      </w:r>
      <w:r w:rsidR="002234BF" w:rsidRPr="00593545">
        <w:rPr>
          <w:rFonts w:cs="Arial"/>
        </w:rPr>
        <w:t>s</w:t>
      </w:r>
      <w:r w:rsidR="001A3A78" w:rsidRPr="00593545">
        <w:rPr>
          <w:rFonts w:cs="Arial"/>
        </w:rPr>
        <w:t xml:space="preserve"> </w:t>
      </w:r>
      <w:r w:rsidRPr="00593545">
        <w:rPr>
          <w:rFonts w:cs="Arial"/>
        </w:rPr>
        <w:t xml:space="preserve">occurred </w:t>
      </w:r>
      <w:r w:rsidR="001A3A78" w:rsidRPr="00593545">
        <w:rPr>
          <w:rFonts w:cs="Arial"/>
        </w:rPr>
        <w:t xml:space="preserve">between </w:t>
      </w:r>
      <w:r w:rsidR="002234BF" w:rsidRPr="00593545">
        <w:rPr>
          <w:rFonts w:cs="Arial"/>
        </w:rPr>
        <w:t xml:space="preserve">OSCE </w:t>
      </w:r>
      <w:r w:rsidR="001A3A78" w:rsidRPr="00593545">
        <w:rPr>
          <w:rFonts w:cs="Arial"/>
        </w:rPr>
        <w:t>examiner</w:t>
      </w:r>
      <w:r w:rsidR="002234BF" w:rsidRPr="00593545">
        <w:rPr>
          <w:rFonts w:cs="Arial"/>
        </w:rPr>
        <w:t>s</w:t>
      </w:r>
      <w:r w:rsidR="001A3A78" w:rsidRPr="00593545">
        <w:rPr>
          <w:rFonts w:cs="Arial"/>
        </w:rPr>
        <w:t xml:space="preserve"> in </w:t>
      </w:r>
      <w:r w:rsidR="002234BF" w:rsidRPr="00593545">
        <w:rPr>
          <w:rFonts w:cs="Arial"/>
        </w:rPr>
        <w:t xml:space="preserve">the accuracy of their </w:t>
      </w:r>
      <w:r w:rsidR="001A3A78" w:rsidRPr="00593545">
        <w:rPr>
          <w:rFonts w:cs="Arial"/>
        </w:rPr>
        <w:t>recollection</w:t>
      </w:r>
      <w:r w:rsidR="002234BF" w:rsidRPr="00593545">
        <w:rPr>
          <w:rFonts w:cs="Arial"/>
        </w:rPr>
        <w:t xml:space="preserve">s for a performance. This could potentially </w:t>
      </w:r>
      <w:r w:rsidRPr="00593545">
        <w:rPr>
          <w:rFonts w:cs="Arial"/>
        </w:rPr>
        <w:t xml:space="preserve">have </w:t>
      </w:r>
      <w:r w:rsidR="002234BF" w:rsidRPr="00593545">
        <w:rPr>
          <w:rFonts w:cs="Arial"/>
        </w:rPr>
        <w:t>arise</w:t>
      </w:r>
      <w:r w:rsidRPr="00593545">
        <w:rPr>
          <w:rFonts w:cs="Arial"/>
        </w:rPr>
        <w:t>n</w:t>
      </w:r>
      <w:r w:rsidR="002234BF" w:rsidRPr="00593545">
        <w:rPr>
          <w:rFonts w:cs="Arial"/>
        </w:rPr>
        <w:t xml:space="preserve"> either due to </w:t>
      </w:r>
      <w:r w:rsidR="001A3A78" w:rsidRPr="00593545">
        <w:rPr>
          <w:rFonts w:cs="Arial"/>
        </w:rPr>
        <w:t xml:space="preserve">differences in </w:t>
      </w:r>
      <w:r w:rsidR="002234BF" w:rsidRPr="00593545">
        <w:rPr>
          <w:rFonts w:cs="Arial"/>
        </w:rPr>
        <w:t>the way in which examiners</w:t>
      </w:r>
      <w:r w:rsidRPr="00593545">
        <w:rPr>
          <w:rFonts w:cs="Arial"/>
        </w:rPr>
        <w:t xml:space="preserve"> paid</w:t>
      </w:r>
      <w:r w:rsidR="002234BF" w:rsidRPr="00593545">
        <w:rPr>
          <w:rFonts w:cs="Arial"/>
        </w:rPr>
        <w:t xml:space="preserve"> attention whilst observing performances or their subsequent processing or </w:t>
      </w:r>
      <w:r w:rsidR="001A3A78" w:rsidRPr="00593545">
        <w:rPr>
          <w:rFonts w:cs="Arial"/>
        </w:rPr>
        <w:t>integration</w:t>
      </w:r>
      <w:r w:rsidR="002234BF" w:rsidRPr="00593545">
        <w:rPr>
          <w:rFonts w:cs="Arial"/>
        </w:rPr>
        <w:t xml:space="preserve"> of information. The potential for differences in attention resonate with prior work </w:t>
      </w:r>
      <w:r w:rsidR="0011133E" w:rsidRPr="00593545">
        <w:rPr>
          <w:rFonts w:cs="Arial"/>
        </w:rPr>
        <w:fldChar w:fldCharType="begin" w:fldLock="1"/>
      </w:r>
      <w:r w:rsidR="002019DB" w:rsidRPr="00593545">
        <w:rPr>
          <w:rFonts w:cs="Arial"/>
        </w:rPr>
        <w:instrText>ADDIN CSL_CITATION { "citationItems" : [ { "id" : "ITEM-1", "itemData" : { "DOI" : "10.1007/s10459-012-9372-1", "ISSN" : "1573-1677", "PMID" : "22581567", "abstract" : "Assessors' scores in performance assessments are known to be highly variable. Attempted improvements through training or rating format have achieved minimal gains. The mechanisms that contribute to variability in assessors' scoring remain unclear. This study investigated these mechanisms. We used a qualitative approach to study assessors' judgements whilst they observed common simulated videoed performances of junior doctors obtaining clinical histories. Assessors commented concurrently and retrospectively on performances, provided scores and follow-up interviews. Data were analysed using principles of grounded theory. We developed three themes that help to explain how variability arises: Differential Salience-assessors paid attention to (or valued) different aspects of the performances to different degrees; Criterion Uncertainty-assessors' criteria were differently constructed, uncertain, and were influenced by recent exemplars; Information Integration-assessors described the valence of their comments in their own unique narrative terms, usually forming global impressions. Our results (whilst not precluding the operation of established biases) describe mechanisms by which assessors' judgements become meaningfully-different or unique. Our results have theoretical relevance to understanding the formative educational messages that performance assessments provide. They give insight relevant to assessor training, assessors' ability to be observationally \"objective\" and to the educational value of narrative comments (in contrast to numerical ratings).", "author" : [ { "dropping-particle" : "", "family" : "Yeates", "given" : "Peter", "non-dropping-particle" : "", "parse-names" : false, "suffix" : "" }, { "dropping-particle" : "", "family" : "O'Neill", "given" : "Paul", "non-dropping-particle" : "", "parse-names" : false, "suffix" : "" }, { "dropping-particle" : "", "family" : "Mann", "given" : "Karen", "non-dropping-particle" : "", "parse-names" : false, "suffix" : "" }, { "dropping-particle" : "", "family" : "Eva", "given" : "Kevin", "non-dropping-particle" : "", "parse-names" : false, "suffix" : "" } ], "container-title" : "Advances in health sciences education: theory and practice", "id" : "ITEM-1", "issue" : "3", "issued" : { "date-parts" : [ [ "2013", "8" ] ] }, "page" : "325-41", "title" : "Seeing the same thing differently: Mechanisms that contribute to assessor differences in directly-observed performance assessments.", "type" : "article-journal", "volume" : "18" }, "uris" : [ "http://www.mendeley.com/documents/?uuid=ce738164-f2ae-4b50-a4e5-636d16f06130" ] }, { "id" : "ITEM-2", "itemData" : { "DOI" : "10.1007/s10459-016-9711-8", "ISBN" : "1045901697118", "ISSN" : "1382-4996", "PMID" : "27651046", "abstract" : "Whenever multiple observers provide ratings, even of the same performance, inter-rater variation is prevalent. The resulting \u2018idiosyncratic rater variance\u2019 is considered to be unusable error of measurement in psychometric models and is a threat to the defensibility of our assessments. Prior studies of inter-rater variation in clinical assessments have used open response formats to gather raters\u2019 comments and justifications. This design choice allows participants to use idiosyncratic response styles that could result in a distorted representation of the underlying rater cognition and skew subsequent analyses. In this study we explored rater variability using the structured response format of Q methodology. Physician raters viewed video-recorded clinical performances and provided Mini Clinical Evaluation Exercise (Mini-CEX) assessment ratings through a web-based system. They then shared their assessment impressions by sorting statements that described the most salient aspects of the clinical performance onto a forced quasi-normal distribution ranging from 'most consistent with my impression' to 'most contrary to my impression'. Analysis of the resulting Q-sorts revealed distinct points of view for each performance shared by multiple physicians. The points of view corresponded with the ratings physicians assigned to the performance. Each point of view emphasized different aspects of the performance with either rapport-building and/or medical expertise skills being most salient. It was rare for the points of view to diverge based on disagreements regarding the interpretation of a specific aspect of the performance. As a result, physicians\u2019 divergent points of view on a given clinical performance cannot be easily reconciled into a single coherent assessment judgment that is impacted by measurement error. If inter-rater variability does not wholly reflect error of measurement, it is problematic for our current measurement models and poses challenges for how we are to adequately analyze performance assessment ratings. (PsycINFO Database Record (c) 2016 APA, all rights reserved)", "author" : [ { "dropping-particle" : "", "family" : "Gingerich", "given" : "Andrea", "non-dropping-particle" : "", "parse-names" : false, "suffix" : "" }, { "dropping-particle" : "", "family" : "Ramlo", "given" : "Susan E.", "non-dropping-particle" : "", "parse-names" : false, "suffix" : "" }, { "dropping-particle" : "", "family" : "Vleuten", "given" : "Cees P M", "non-dropping-particle" : "van der", "parse-names" : false, "suffix" : "" }, { "dropping-particle" : "", "family" : "Eva", "given" : "Kevin W.", "non-dropping-particle" : "", "parse-names" : false, "suffix" : "" }, { "dropping-particle" : "", "family" : "Regehr", "given" : "Glenn", "non-dropping-particle" : "", "parse-names" : false, "suffix" : "" } ], "container-title" : "Advances in Health Sciences Education", "id" : "ITEM-2", "issue" : "4", "issued" : { "date-parts" : [ [ "2017", "10", "20" ] ] }, "page" : "819-838", "publisher" : "Springer Netherlands", "title" : "Inter-rater variability as mutual disagreement: identifying raters\u2019 divergent points of view", "type" : "article-journal", "volume" : "22" }, "uris" : [ "http://www.mendeley.com/documents/?uuid=53ab84e1-f8e4-4147-a1bf-21360a49d578" ] } ], "mendeley" : { "formattedCitation" : "(Yeates et al. 2013; Gingerich et al. 2017)", "plainTextFormattedCitation" : "(Yeates et al. 2013; Gingerich et al. 2017)", "previouslyFormattedCitation" : "(Yeates et al. 2013; Gingerich et al. 2017)" }, "properties" : {  }, "schema" : "https://github.com/citation-style-language/schema/raw/master/csl-citation.json" }</w:instrText>
      </w:r>
      <w:r w:rsidR="0011133E" w:rsidRPr="00593545">
        <w:rPr>
          <w:rFonts w:cs="Arial"/>
        </w:rPr>
        <w:fldChar w:fldCharType="separate"/>
      </w:r>
      <w:r w:rsidR="002019DB" w:rsidRPr="00593545">
        <w:rPr>
          <w:rFonts w:cs="Arial"/>
          <w:noProof/>
        </w:rPr>
        <w:t>(Yeates et al. 2013; Gingerich et al. 2017)</w:t>
      </w:r>
      <w:r w:rsidR="0011133E" w:rsidRPr="00593545">
        <w:rPr>
          <w:rFonts w:cs="Arial"/>
        </w:rPr>
        <w:fldChar w:fldCharType="end"/>
      </w:r>
      <w:r w:rsidR="0011133E" w:rsidRPr="00593545">
        <w:rPr>
          <w:rFonts w:cs="Arial"/>
        </w:rPr>
        <w:t>. Either way, it suggests that differences in assessors</w:t>
      </w:r>
      <w:r w:rsidRPr="00593545">
        <w:rPr>
          <w:rFonts w:cs="Arial"/>
        </w:rPr>
        <w:t>’</w:t>
      </w:r>
      <w:r w:rsidR="0011133E" w:rsidRPr="00593545">
        <w:rPr>
          <w:rFonts w:cs="Arial"/>
        </w:rPr>
        <w:t xml:space="preserve"> memory for performances may constitute a point of difference between assessors, which may give a window into attention or processing differences.</w:t>
      </w:r>
    </w:p>
    <w:p w:rsidR="001F4E81" w:rsidRPr="00593545" w:rsidRDefault="00B406E5" w:rsidP="00FF0B1C">
      <w:pPr>
        <w:spacing w:line="480" w:lineRule="auto"/>
        <w:rPr>
          <w:rFonts w:cs="Arial"/>
        </w:rPr>
      </w:pPr>
      <w:r w:rsidRPr="00593545">
        <w:rPr>
          <w:rFonts w:cs="Arial"/>
        </w:rPr>
        <w:t>O</w:t>
      </w:r>
      <w:r w:rsidR="0011133E" w:rsidRPr="00593545">
        <w:rPr>
          <w:rFonts w:cs="Arial"/>
        </w:rPr>
        <w:t xml:space="preserve">ur hypotheses were supported, but only weakly. </w:t>
      </w:r>
      <w:r w:rsidRPr="00593545">
        <w:rPr>
          <w:rFonts w:cs="Arial"/>
        </w:rPr>
        <w:t>Had we found</w:t>
      </w:r>
      <w:r w:rsidR="001A3A78" w:rsidRPr="00593545">
        <w:rPr>
          <w:rFonts w:cs="Arial"/>
        </w:rPr>
        <w:t xml:space="preserve"> stronger relationships we might </w:t>
      </w:r>
      <w:r w:rsidRPr="00593545">
        <w:rPr>
          <w:rFonts w:cs="Arial"/>
        </w:rPr>
        <w:t xml:space="preserve">have </w:t>
      </w:r>
      <w:r w:rsidR="001A3A78" w:rsidRPr="00593545">
        <w:rPr>
          <w:rFonts w:cs="Arial"/>
        </w:rPr>
        <w:t>be</w:t>
      </w:r>
      <w:r w:rsidRPr="00593545">
        <w:rPr>
          <w:rFonts w:cs="Arial"/>
        </w:rPr>
        <w:t>en</w:t>
      </w:r>
      <w:r w:rsidR="001A3A78" w:rsidRPr="00593545">
        <w:rPr>
          <w:rFonts w:cs="Arial"/>
        </w:rPr>
        <w:t xml:space="preserve"> </w:t>
      </w:r>
      <w:r w:rsidRPr="00593545">
        <w:rPr>
          <w:rFonts w:cs="Arial"/>
        </w:rPr>
        <w:t>tempted to tentatively conclude</w:t>
      </w:r>
      <w:r w:rsidR="001A3A78" w:rsidRPr="00593545">
        <w:rPr>
          <w:rFonts w:cs="Arial"/>
        </w:rPr>
        <w:t xml:space="preserve"> that some </w:t>
      </w:r>
      <w:r w:rsidR="0011133E" w:rsidRPr="00593545">
        <w:rPr>
          <w:rFonts w:cs="Arial"/>
        </w:rPr>
        <w:t xml:space="preserve">assessors </w:t>
      </w:r>
      <w:r w:rsidR="001A3A78" w:rsidRPr="00593545">
        <w:rPr>
          <w:rFonts w:cs="Arial"/>
        </w:rPr>
        <w:t>pay attention more fully, process more deeply and as a result</w:t>
      </w:r>
      <w:r w:rsidR="0011133E" w:rsidRPr="00593545">
        <w:rPr>
          <w:rFonts w:cs="Arial"/>
        </w:rPr>
        <w:t>:</w:t>
      </w:r>
      <w:r w:rsidR="001A3A78" w:rsidRPr="00593545">
        <w:rPr>
          <w:rFonts w:cs="Arial"/>
        </w:rPr>
        <w:t xml:space="preserve"> </w:t>
      </w:r>
      <w:r w:rsidR="0011133E" w:rsidRPr="00593545">
        <w:rPr>
          <w:rFonts w:cs="Arial"/>
        </w:rPr>
        <w:t>score performances more accura</w:t>
      </w:r>
      <w:r w:rsidR="001A3A78" w:rsidRPr="00593545">
        <w:rPr>
          <w:rFonts w:cs="Arial"/>
        </w:rPr>
        <w:t>te</w:t>
      </w:r>
      <w:r w:rsidR="0011133E" w:rsidRPr="00593545">
        <w:rPr>
          <w:rFonts w:cs="Arial"/>
        </w:rPr>
        <w:t>ly</w:t>
      </w:r>
      <w:r w:rsidRPr="00593545">
        <w:rPr>
          <w:rFonts w:cs="Arial"/>
        </w:rPr>
        <w:t>;</w:t>
      </w:r>
      <w:r w:rsidR="001A3A78" w:rsidRPr="00593545">
        <w:rPr>
          <w:rFonts w:cs="Arial"/>
        </w:rPr>
        <w:t xml:space="preserve"> </w:t>
      </w:r>
      <w:r w:rsidR="0011133E" w:rsidRPr="00593545">
        <w:rPr>
          <w:rFonts w:cs="Arial"/>
        </w:rPr>
        <w:t>separate</w:t>
      </w:r>
      <w:r w:rsidR="001A3A78" w:rsidRPr="00593545">
        <w:rPr>
          <w:rFonts w:cs="Arial"/>
        </w:rPr>
        <w:t xml:space="preserve"> competencies</w:t>
      </w:r>
      <w:r w:rsidR="0011133E" w:rsidRPr="00593545">
        <w:rPr>
          <w:rFonts w:cs="Arial"/>
        </w:rPr>
        <w:t xml:space="preserve"> more clearly</w:t>
      </w:r>
      <w:r w:rsidRPr="00593545">
        <w:rPr>
          <w:rFonts w:cs="Arial"/>
        </w:rPr>
        <w:t>;</w:t>
      </w:r>
      <w:r w:rsidR="0011133E" w:rsidRPr="00593545">
        <w:rPr>
          <w:rFonts w:cs="Arial"/>
        </w:rPr>
        <w:t xml:space="preserve"> and recollect more fully</w:t>
      </w:r>
      <w:r w:rsidR="001A3A78" w:rsidRPr="00593545">
        <w:rPr>
          <w:rFonts w:cs="Arial"/>
        </w:rPr>
        <w:t xml:space="preserve">. The existence of weak relationships leaves open the potential that this pattern may occur for some examiners, but with relationships of </w:t>
      </w:r>
      <w:r w:rsidRPr="00593545">
        <w:rPr>
          <w:rFonts w:cs="Arial"/>
        </w:rPr>
        <w:t>the</w:t>
      </w:r>
      <w:r w:rsidR="001A3A78" w:rsidRPr="00593545">
        <w:rPr>
          <w:rFonts w:cs="Arial"/>
        </w:rPr>
        <w:t xml:space="preserve"> magnitude</w:t>
      </w:r>
      <w:r w:rsidRPr="00593545">
        <w:rPr>
          <w:rFonts w:cs="Arial"/>
        </w:rPr>
        <w:t>s we observed</w:t>
      </w:r>
      <w:r w:rsidR="001A3A78" w:rsidRPr="00593545">
        <w:rPr>
          <w:rFonts w:cs="Arial"/>
        </w:rPr>
        <w:t xml:space="preserve"> this theory seems insuffi</w:t>
      </w:r>
      <w:r w:rsidR="0011133E" w:rsidRPr="00593545">
        <w:rPr>
          <w:rFonts w:cs="Arial"/>
        </w:rPr>
        <w:t>ci</w:t>
      </w:r>
      <w:r w:rsidR="001A3A78" w:rsidRPr="00593545">
        <w:rPr>
          <w:rFonts w:cs="Arial"/>
        </w:rPr>
        <w:t>ent to</w:t>
      </w:r>
      <w:r w:rsidRPr="00593545">
        <w:rPr>
          <w:rFonts w:cs="Arial"/>
        </w:rPr>
        <w:t xml:space="preserve"> fully</w:t>
      </w:r>
      <w:r w:rsidR="001A3A78" w:rsidRPr="00593545">
        <w:rPr>
          <w:rFonts w:cs="Arial"/>
        </w:rPr>
        <w:t xml:space="preserve"> explain our observations. At least some examiners must have scored accurately and separated domains well, but performed poorly on the recollection test. </w:t>
      </w:r>
      <w:r w:rsidR="0011133E" w:rsidRPr="00593545">
        <w:rPr>
          <w:rFonts w:cs="Arial"/>
        </w:rPr>
        <w:t xml:space="preserve">At least two alternative explanations of this observation may be suggested. </w:t>
      </w:r>
    </w:p>
    <w:p w:rsidR="00FF68CA" w:rsidRPr="00593545" w:rsidRDefault="00FF68CA" w:rsidP="00FF0B1C">
      <w:pPr>
        <w:spacing w:line="480" w:lineRule="auto"/>
        <w:rPr>
          <w:rFonts w:cs="Arial"/>
        </w:rPr>
      </w:pPr>
    </w:p>
    <w:p w:rsidR="001F4E81" w:rsidRPr="00593545" w:rsidRDefault="0011133E" w:rsidP="00FF0B1C">
      <w:pPr>
        <w:spacing w:line="480" w:lineRule="auto"/>
        <w:rPr>
          <w:rFonts w:cs="Arial"/>
        </w:rPr>
      </w:pPr>
      <w:r w:rsidRPr="00593545">
        <w:rPr>
          <w:rFonts w:cs="Arial"/>
        </w:rPr>
        <w:t xml:space="preserve">Firstly </w:t>
      </w:r>
      <w:r w:rsidR="00B406E5" w:rsidRPr="00593545">
        <w:rPr>
          <w:rFonts w:cs="Arial"/>
        </w:rPr>
        <w:t xml:space="preserve">it is conceivable that some examiners were able to judge both the overall ability of performances and appropriately discriminate disparate domains of performances without the detailed processing of information which tends to result in its incorporation into episodic memory </w:t>
      </w:r>
      <w:r w:rsidR="00B406E5" w:rsidRPr="00593545">
        <w:rPr>
          <w:rFonts w:cs="Arial"/>
        </w:rPr>
        <w:fldChar w:fldCharType="begin" w:fldLock="1"/>
      </w:r>
      <w:r w:rsidR="00B406E5" w:rsidRPr="00593545">
        <w:rPr>
          <w:rFonts w:cs="Arial"/>
        </w:rPr>
        <w:instrText>ADDIN CSL_CITATION { "citationItems" : [ { "id" : "ITEM-1", "itemData" : { "author" : [ { "dropping-particle" : "", "family" : "Tulving", "given" : "Endel", "non-dropping-particle" : "", "parse-names" : false, "suffix" : "" } ], "container-title" : "Annual Review of Psychology", "id" : "ITEM-1", "issued" : { "date-parts" : [ [ "2002" ] ] }, "page" : "1-25", "title" : "Episodic Memory: From Mind to Brain", "type" : "article-journal", "volume" : "53" }, "uris" : [ "http://www.mendeley.com/documents/?uuid=06f562ef-cba2-4e10-a6f4-ab63a227c823" ] } ], "mendeley" : { "formattedCitation" : "(Tulving 2002)", "plainTextFormattedCitation" : "(Tulving 2002)", "previouslyFormattedCitation" : "(Tulving 2002)" }, "properties" : {  }, "schema" : "https://github.com/citation-style-language/schema/raw/master/csl-citation.json" }</w:instrText>
      </w:r>
      <w:r w:rsidR="00B406E5" w:rsidRPr="00593545">
        <w:rPr>
          <w:rFonts w:cs="Arial"/>
        </w:rPr>
        <w:fldChar w:fldCharType="separate"/>
      </w:r>
      <w:r w:rsidR="00B406E5" w:rsidRPr="00593545">
        <w:rPr>
          <w:rFonts w:cs="Arial"/>
          <w:noProof/>
        </w:rPr>
        <w:t>(Tulving 2002)</w:t>
      </w:r>
      <w:r w:rsidR="00B406E5" w:rsidRPr="00593545">
        <w:rPr>
          <w:rFonts w:cs="Arial"/>
        </w:rPr>
        <w:fldChar w:fldCharType="end"/>
      </w:r>
      <w:r w:rsidR="00B406E5" w:rsidRPr="00593545">
        <w:rPr>
          <w:rFonts w:cs="Arial"/>
        </w:rPr>
        <w:t xml:space="preserve">. This could </w:t>
      </w:r>
      <w:r w:rsidR="001F0CE6" w:rsidRPr="00593545">
        <w:rPr>
          <w:rFonts w:cs="Arial"/>
        </w:rPr>
        <w:t>have occurred</w:t>
      </w:r>
      <w:r w:rsidR="00B406E5" w:rsidRPr="00593545">
        <w:rPr>
          <w:rFonts w:cs="Arial"/>
        </w:rPr>
        <w:t xml:space="preserve"> if some examiners used a predominantly intuitive (or system 1-based) approach to judgement </w:t>
      </w:r>
      <w:r w:rsidR="00B406E5" w:rsidRPr="00593545">
        <w:rPr>
          <w:rFonts w:cs="Arial"/>
        </w:rPr>
        <w:fldChar w:fldCharType="begin" w:fldLock="1"/>
      </w:r>
      <w:r w:rsidR="00B406E5" w:rsidRPr="00593545">
        <w:rPr>
          <w:rFonts w:cs="Arial"/>
        </w:rPr>
        <w:instrText>ADDIN CSL_CITATION { "citationItems" : [ { "id" : "ITEM-1", "itemData" : { "DOI" : "10.1007/s10459-009-9179-x", "ISSN" : "1573-1677", "PMID" : "19669921", "abstract" : "In this paper, I review evidence from two theories in psychology relevant to diagnosis and diagnostic errors. \"Dual Process\" theories of thinking, frequently mentioned with respect to diagnostic error, propose that categorization decisions can be made with either a fast, unconscious, contextual process called System 1 or a slow, analytical, conscious, and conceptual process, called System 2. Exemplar theories of categorization propose that many category decisions in everyday life are made by unconscious matching to a particular example in memory, and these remain available and retrievable individually. I then review studies of clinical reasoning based on these theories, and show that the two processes are equally effective; System 1, despite its reliance in idiosyncratic, individual experience, is no more prone to cognitive bias or diagnostic error than System 2. Further, I review evidence that instructions directed at encouraging the clinician to explicitly use both strategies can lead to consistent reduction in error rates.", "author" : [ { "dropping-particle" : "", "family" : "Norman", "given" : "Geoff", "non-dropping-particle" : "", "parse-names" : false, "suffix" : "" } ], "container-title" : "Advances in health sciences education : theory and practice", "id" : "ITEM-1", "issued" : { "date-parts" : [ [ "2009", "9" ] ] }, "page" : "37-49", "title" : "Dual processing and diagnostic errors.", "type" : "article-journal", "volume" : "14 Suppl 1" }, "uris" : [ "http://www.mendeley.com/documents/?uuid=7779d6a2-5ea5-4b3c-a231-fb359b8637b5" ] } ], "mendeley" : { "formattedCitation" : "(Norman 2009)", "plainTextFormattedCitation" : "(Norman 2009)", "previouslyFormattedCitation" : "(Norman 2009)" }, "properties" : {  }, "schema" : "https://github.com/citation-style-language/schema/raw/master/csl-citation.json" }</w:instrText>
      </w:r>
      <w:r w:rsidR="00B406E5" w:rsidRPr="00593545">
        <w:rPr>
          <w:rFonts w:cs="Arial"/>
        </w:rPr>
        <w:fldChar w:fldCharType="separate"/>
      </w:r>
      <w:r w:rsidR="00B406E5" w:rsidRPr="00593545">
        <w:rPr>
          <w:rFonts w:cs="Arial"/>
          <w:noProof/>
        </w:rPr>
        <w:t>(Norman 2009)</w:t>
      </w:r>
      <w:r w:rsidR="00B406E5" w:rsidRPr="00593545">
        <w:rPr>
          <w:rFonts w:cs="Arial"/>
        </w:rPr>
        <w:fldChar w:fldCharType="end"/>
      </w:r>
      <w:r w:rsidR="001F0CE6" w:rsidRPr="00593545">
        <w:rPr>
          <w:rFonts w:cs="Arial"/>
        </w:rPr>
        <w:t xml:space="preserve">. Notably </w:t>
      </w:r>
      <w:r w:rsidR="00FF68CA" w:rsidRPr="00593545">
        <w:rPr>
          <w:rFonts w:cs="Arial"/>
        </w:rPr>
        <w:t xml:space="preserve"> this suggestion is</w:t>
      </w:r>
      <w:r w:rsidR="00002B64" w:rsidRPr="00593545">
        <w:rPr>
          <w:rFonts w:cs="Arial"/>
        </w:rPr>
        <w:t xml:space="preserve"> somewhat at odds with the work of Tavares et al </w:t>
      </w:r>
      <w:r w:rsidR="00002B64" w:rsidRPr="00593545">
        <w:rPr>
          <w:rFonts w:cs="Arial"/>
        </w:rPr>
        <w:fldChar w:fldCharType="begin" w:fldLock="1"/>
      </w:r>
      <w:r w:rsidR="00002B64" w:rsidRPr="00593545">
        <w:rPr>
          <w:rFonts w:cs="Arial"/>
        </w:rPr>
        <w:instrText>ADDIN CSL_CITATION { "citationItems" : [ { "id" : "ITEM-1", "itemData" : { "DOI" : "10.1080/10401334.2015.1107489", "ISSN" : "1040-1334", "PMID" : "26787084", "abstract" : "THEORY: Assessment of clinical competence is a complex cognitive task with many mental demands often imposed on raters unintentionally. We were interested in whether this burden might contribute to well-described limitations in assessment judgments. In this study we examine the effect on indicators of rating quality of asking raters to (a) consider multiple competencies and (b) attend to multiple issues. In addition, we explored the cognitive strategies raters engage when asked to consider multiple competencies simultaneously. HYPOTHESES: We hypothesized that indications of rating quality (e.g., interrater reliability) would decline as the number of dimensions raters are expected to consider increases. METHOD: Experienced faculty examiners rated prerecorded clinical performances within a 2 (number of dimensions) x 2 (presence of distracting task) x 3 (number of videos) factorial design. Half of the participants were asked to rate 7 dimensions of performance (7D), and half were asked to rate only 2 (2D). The second factor involved the requirement (or lack thereof) to rate the performance of actors participating in the simulation. We calculated the interrater reliability of the scores assigned and counted the number of relevant behaviors participants identified as informing their ratings. Second, we analyzed data from semistructured posttask interviews to explore the rater strategies associated with rating under conditions designed to broaden raters' focus. RESULTS: Generalizability analyses revealed that the 2D group achieved higher interrater reliability relative to the 7D group (G = .56 and .42, respectively, when the average of 10 raters is calculated). The requirement to complete an additional rating task did not have an effect. Using the 2 dimensions common to both groups, an analysis of variance revealed that participants who were asked to rate only 2 dimensions identified more behaviors of relevance to the focal dimensions than those asked to rate 7 dimensions: procedural skill = 36.2%, 95% confidence interval (CI) [32.5, 40.0] versus 23.5%, 95% CI [20.8, 26.3], respectively; history gathering = 38.6%, 95% CI [33.5, 42.9] versus 24.0%, 95% CI [21.1, 26.9], respectively; ps &lt; .05. During posttask interviews, raters identified many sources of cognitive load and idiosyncratic cognitive strategies used to reduce cognitive load during the rating task. CONCLUSIONS: As intrinsic rating demands increase, indicators of rating quality decline. The strategie\u2026", "author" : [ { "dropping-particle" : "", "family" : "Tavares", "given" : "Walter", "non-dropping-particle" : "", "parse-names" : false, "suffix" : "" }, { "dropping-particle" : "", "family" : "Ginsburg", "given" : "Shiphra", "non-dropping-particle" : "", "parse-names" : false, "suffix" : "" }, { "dropping-particle" : "", "family" : "Eva", "given" : "Kevin W.", "non-dropping-particle" : "", "parse-names" : false, "suffix" : "" } ], "container-title" : "Teaching and Learning in Medicine", "id" : "ITEM-1", "issue" : "1", "issued" : { "date-parts" : [ [ "2016" ] ] }, "page" : "41-51", "title" : "Selecting and Simplifying: Rater Performance and Behavior When Considering Multiple Competencies", "type" : "article-journal", "volume" : "28" }, "suppress-author" : 1, "uris" : [ "http://www.mendeley.com/documents/?uuid=34798401-b62e-4a29-9560-44ce09eb3f00" ] } ], "mendeley" : { "formattedCitation" : "(2016)", "plainTextFormattedCitation" : "(2016)", "previouslyFormattedCitation" : "(2016)" }, "properties" : {  }, "schema" : "https://github.com/citation-style-language/schema/raw/master/csl-citation.json" }</w:instrText>
      </w:r>
      <w:r w:rsidR="00002B64" w:rsidRPr="00593545">
        <w:rPr>
          <w:rFonts w:cs="Arial"/>
        </w:rPr>
        <w:fldChar w:fldCharType="separate"/>
      </w:r>
      <w:r w:rsidR="00002B64" w:rsidRPr="00593545">
        <w:rPr>
          <w:rFonts w:cs="Arial"/>
          <w:noProof/>
        </w:rPr>
        <w:t>(2016)</w:t>
      </w:r>
      <w:r w:rsidR="00002B64" w:rsidRPr="00593545">
        <w:rPr>
          <w:rFonts w:cs="Arial"/>
        </w:rPr>
        <w:fldChar w:fldCharType="end"/>
      </w:r>
      <w:r w:rsidR="00FF68CA" w:rsidRPr="00593545">
        <w:rPr>
          <w:rFonts w:cs="Arial"/>
        </w:rPr>
        <w:t xml:space="preserve"> which suggested</w:t>
      </w:r>
      <w:r w:rsidR="00002B64" w:rsidRPr="00593545">
        <w:rPr>
          <w:rFonts w:cs="Arial"/>
        </w:rPr>
        <w:t xml:space="preserve"> a more deliberative approach.</w:t>
      </w:r>
      <w:r w:rsidR="00B406E5" w:rsidRPr="00593545">
        <w:rPr>
          <w:rFonts w:cs="Arial"/>
        </w:rPr>
        <w:t xml:space="preserve"> </w:t>
      </w:r>
    </w:p>
    <w:p w:rsidR="00FF68CA" w:rsidRPr="00593545" w:rsidRDefault="00FF68CA" w:rsidP="00FF0B1C">
      <w:pPr>
        <w:spacing w:line="480" w:lineRule="auto"/>
        <w:rPr>
          <w:rFonts w:cs="Arial"/>
        </w:rPr>
      </w:pPr>
    </w:p>
    <w:p w:rsidR="009B71EF" w:rsidRPr="00593545" w:rsidRDefault="00B406E5" w:rsidP="00FF0B1C">
      <w:pPr>
        <w:spacing w:line="480" w:lineRule="auto"/>
        <w:rPr>
          <w:rFonts w:cs="Arial"/>
          <w:color w:val="111111"/>
          <w:shd w:val="clear" w:color="auto" w:fill="FFFFFF"/>
        </w:rPr>
      </w:pPr>
      <w:r w:rsidRPr="00593545">
        <w:rPr>
          <w:rFonts w:cs="Arial"/>
        </w:rPr>
        <w:lastRenderedPageBreak/>
        <w:t xml:space="preserve">Alternatively some examiners could conceivable </w:t>
      </w:r>
      <w:r w:rsidR="001F0CE6" w:rsidRPr="00593545">
        <w:rPr>
          <w:rFonts w:cs="Arial"/>
        </w:rPr>
        <w:t xml:space="preserve">have </w:t>
      </w:r>
      <w:r w:rsidRPr="00593545">
        <w:rPr>
          <w:rFonts w:cs="Arial"/>
        </w:rPr>
        <w:t>process</w:t>
      </w:r>
      <w:r w:rsidR="001F0CE6" w:rsidRPr="00593545">
        <w:rPr>
          <w:rFonts w:cs="Arial"/>
        </w:rPr>
        <w:t>ed</w:t>
      </w:r>
      <w:r w:rsidRPr="00593545">
        <w:rPr>
          <w:rFonts w:cs="Arial"/>
        </w:rPr>
        <w:t xml:space="preserve"> information in detail, encode</w:t>
      </w:r>
      <w:r w:rsidR="001F0CE6" w:rsidRPr="00593545">
        <w:rPr>
          <w:rFonts w:cs="Arial"/>
        </w:rPr>
        <w:t>d</w:t>
      </w:r>
      <w:r w:rsidRPr="00593545">
        <w:rPr>
          <w:rFonts w:cs="Arial"/>
        </w:rPr>
        <w:t xml:space="preserve"> it into episodic memory</w:t>
      </w:r>
      <w:r w:rsidR="00002B64" w:rsidRPr="00593545">
        <w:rPr>
          <w:rFonts w:cs="Arial"/>
        </w:rPr>
        <w:t xml:space="preserve"> and use</w:t>
      </w:r>
      <w:r w:rsidR="001F0CE6" w:rsidRPr="00593545">
        <w:rPr>
          <w:rFonts w:cs="Arial"/>
        </w:rPr>
        <w:t>d</w:t>
      </w:r>
      <w:r w:rsidR="00002B64" w:rsidRPr="00593545">
        <w:rPr>
          <w:rFonts w:cs="Arial"/>
        </w:rPr>
        <w:t xml:space="preserve"> this whilst</w:t>
      </w:r>
      <w:r w:rsidR="001F0CE6" w:rsidRPr="00593545">
        <w:rPr>
          <w:rFonts w:cs="Arial"/>
        </w:rPr>
        <w:t xml:space="preserve"> scoring, but then rapidly forgo</w:t>
      </w:r>
      <w:r w:rsidR="00002B64" w:rsidRPr="00593545">
        <w:rPr>
          <w:rFonts w:cs="Arial"/>
        </w:rPr>
        <w:t>t</w:t>
      </w:r>
      <w:r w:rsidR="001F0CE6" w:rsidRPr="00593545">
        <w:rPr>
          <w:rFonts w:cs="Arial"/>
        </w:rPr>
        <w:t>ten</w:t>
      </w:r>
      <w:r w:rsidR="00002B64" w:rsidRPr="00593545">
        <w:rPr>
          <w:rFonts w:cs="Arial"/>
        </w:rPr>
        <w:t xml:space="preserve"> that information as they engage</w:t>
      </w:r>
      <w:r w:rsidR="001F0CE6" w:rsidRPr="00593545">
        <w:rPr>
          <w:rFonts w:cs="Arial"/>
        </w:rPr>
        <w:t>d</w:t>
      </w:r>
      <w:r w:rsidR="00002B64" w:rsidRPr="00593545">
        <w:rPr>
          <w:rFonts w:cs="Arial"/>
        </w:rPr>
        <w:t xml:space="preserve"> in subsequent tasks. This could</w:t>
      </w:r>
      <w:r w:rsidR="001F0CE6" w:rsidRPr="00593545">
        <w:rPr>
          <w:rFonts w:cs="Arial"/>
        </w:rPr>
        <w:t xml:space="preserve"> have</w:t>
      </w:r>
      <w:r w:rsidR="00002B64" w:rsidRPr="00593545">
        <w:rPr>
          <w:rFonts w:cs="Arial"/>
        </w:rPr>
        <w:t xml:space="preserve"> </w:t>
      </w:r>
      <w:proofErr w:type="spellStart"/>
      <w:r w:rsidR="00002B64" w:rsidRPr="00593545">
        <w:rPr>
          <w:rFonts w:cs="Arial"/>
        </w:rPr>
        <w:t>occur</w:t>
      </w:r>
      <w:r w:rsidR="001F0CE6" w:rsidRPr="00593545">
        <w:rPr>
          <w:rFonts w:cs="Arial"/>
        </w:rPr>
        <w:t>ed</w:t>
      </w:r>
      <w:proofErr w:type="spellEnd"/>
      <w:r w:rsidR="00002B64" w:rsidRPr="00593545">
        <w:rPr>
          <w:rFonts w:cs="Arial"/>
        </w:rPr>
        <w:t xml:space="preserve"> due to </w:t>
      </w:r>
      <w:r w:rsidR="009C31C5" w:rsidRPr="00593545">
        <w:rPr>
          <w:rFonts w:cs="Arial"/>
        </w:rPr>
        <w:t>retroactive</w:t>
      </w:r>
      <w:r w:rsidR="00002B64" w:rsidRPr="00593545">
        <w:rPr>
          <w:rFonts w:cs="Arial"/>
        </w:rPr>
        <w:t xml:space="preserve"> interference, in which new information interferes with previously stored information </w:t>
      </w:r>
      <w:r w:rsidR="009C31C5" w:rsidRPr="00593545">
        <w:rPr>
          <w:rFonts w:cs="Arial"/>
        </w:rPr>
        <w:fldChar w:fldCharType="begin" w:fldLock="1"/>
      </w:r>
      <w:r w:rsidR="009C31C5" w:rsidRPr="00593545">
        <w:rPr>
          <w:rFonts w:cs="Arial"/>
        </w:rPr>
        <w:instrText>ADDIN CSL_CITATION { "citationItems" : [ { "id" : "ITEM-1", "itemData" : { "DOI" : "10.3758/BF03210765", "ISSN" : "1069-9384", "abstract" : "Prior research has generally shown that the greater the degree of original learning of a list, the greater the amount of retroactive interference that list suffers. In addition, greater learning of interpolated lists produces more retroactive interference. However, in prior research, the degree of learning has typically been confounded with the amount of retrieval practice on the list. Two free-recall experiments are reported in which subjects studied one original list and then 0, 1, 2, 3, or 4 interpolated lists. The degree of original and of interpolated learning was manipulated by varying exposure time. In Experiment 1, where the typical confounding of retrieval practice and degree of interpolated learning was present, greater interpolated learning induced greater retroactive interference, which is consistent with prior research. However, in Experiment 2, where the degree of interpolated learning was manipulated without concomitant variation in retrieval practice, retroactive interference was the same, whether the interpolated lists had been learned well or poorly. Therefore, greater interpolated learning does not increase the amount of retroactive interference. The results also show that the amount of retroactive interference does not depend on the degree of original learning, in agreement with other work on normal forgetting.", "author" : [ { "dropping-particle" : "", "family" : "B\u00e4uml", "given" : "Karl-heinz", "non-dropping-particle" : "", "parse-names" : false, "suffix" : "" } ], "container-title" : "Psychonomic Bulletin &amp; Review", "id" : "ITEM-1", "issue" : "3", "issued" : { "date-parts" : [ [ "1996" ] ] }, "page" : "380-384", "title" : "Revisiting an old issue: Retroactive interference as a function of the degree of original and interpolated learning", "type" : "article-journal", "volume" : "3" }, "uris" : [ "http://www.mendeley.com/documents/?uuid=bc79bf37-1a7d-4e18-ba57-2a129d35a276" ] } ], "mendeley" : { "formattedCitation" : "(B\u00e4uml 1996)", "plainTextFormattedCitation" : "(B\u00e4uml 1996)", "previouslyFormattedCitation" : "(B\u00e4uml 1996)" }, "properties" : {  }, "schema" : "https://github.com/citation-style-language/schema/raw/master/csl-citation.json" }</w:instrText>
      </w:r>
      <w:r w:rsidR="009C31C5" w:rsidRPr="00593545">
        <w:rPr>
          <w:rFonts w:cs="Arial"/>
        </w:rPr>
        <w:fldChar w:fldCharType="separate"/>
      </w:r>
      <w:r w:rsidR="009C31C5" w:rsidRPr="00593545">
        <w:rPr>
          <w:rFonts w:cs="Arial"/>
          <w:noProof/>
        </w:rPr>
        <w:t>(Bäuml 1996)</w:t>
      </w:r>
      <w:r w:rsidR="009C31C5" w:rsidRPr="00593545">
        <w:rPr>
          <w:rFonts w:cs="Arial"/>
        </w:rPr>
        <w:fldChar w:fldCharType="end"/>
      </w:r>
      <w:r w:rsidR="009C31C5" w:rsidRPr="00593545">
        <w:rPr>
          <w:rFonts w:cs="Arial"/>
        </w:rPr>
        <w:t xml:space="preserve"> </w:t>
      </w:r>
      <w:r w:rsidR="00002B64" w:rsidRPr="00593545">
        <w:rPr>
          <w:rFonts w:cs="Arial"/>
        </w:rPr>
        <w:t>and is consistent with doctors known ability to “task shift”</w:t>
      </w:r>
      <w:r w:rsidR="001F4E81" w:rsidRPr="00593545">
        <w:rPr>
          <w:rFonts w:cs="Arial"/>
        </w:rPr>
        <w:t>(</w:t>
      </w:r>
      <w:r w:rsidR="001F4E81" w:rsidRPr="00593545">
        <w:rPr>
          <w:rFonts w:cs="Arial"/>
          <w:color w:val="111111"/>
          <w:shd w:val="clear" w:color="auto" w:fill="FFFFFF"/>
        </w:rPr>
        <w:t xml:space="preserve"> pausing a task to handle an incoming task)</w:t>
      </w:r>
      <w:r w:rsidR="001F4E81" w:rsidRPr="00593545">
        <w:rPr>
          <w:rFonts w:cs="Arial"/>
          <w:color w:val="111111"/>
          <w:shd w:val="clear" w:color="auto" w:fill="FFFFFF"/>
        </w:rPr>
        <w:fldChar w:fldCharType="begin" w:fldLock="1"/>
      </w:r>
      <w:r w:rsidR="001F4E81" w:rsidRPr="00593545">
        <w:rPr>
          <w:rFonts w:cs="Arial"/>
          <w:color w:val="111111"/>
          <w:shd w:val="clear" w:color="auto" w:fill="FFFFFF"/>
        </w:rPr>
        <w:instrText>ADDIN CSL_CITATION { "citationItems" : [ { "id" : "ITEM-1", "itemData" : { "DOI" : "10.1136/bmjqs-2013-002097", "ISSN" : "2044-5415", "abstract" : "Objective To provide a detailed characterisation of clinicians\u2019 work management strategies. Design 1002.3 h of observational data were derived from three previous studies conducted in a teaching hospital in Sydney, Australia, among emergency department (ED) doctors (n=40), ward doctors (n=57) and ward nurses (n=104). The rates of task-switching (pausing a task to handle an incoming task) and multitasking (adding a task in parallel to an existing task) were compared in each group. Random intercepts logistic regression was used to determine factors significantly associated with clinicians\u2019 use of task-switching over multitasking and to quantify variation between individual clinicians. Results Task-switching rates were higher among ED doctors (6.0 per hour) than ward staff (2.2 and 1.8 per hour for doctors and nurses, respectively) and vice versa for multitasking rates (9.2 vs 17.3 and 14.1 per hour). Clinicians\u2019 strategy use was significantly related to the nature and complexity of work and to the person they were working with. In some settings, time of day, day of the week or previous chosen strategy affected a clinician's strategy. Independent of these factors, there was significant variation between individual clinicians in their use of strategies in a given situation (ED doctors p=0.04, ward staff p=0.03). Conclusions Despite differences in factors associated with work management strategy use among ED doctors, ward doctors and ward nurses, clinicians in all settings appeared to prioritise certain types of tasks over others. Documentation was generally given low priority in all groups, while the arrival of direct care tasks tended to be treated with high priority. These findings suggest that considerations of safety may be implicit in task-switching and multitasking decisions. Although these strategies have been cast in a negative light, future research should consider their role in optimising competing quality and efficiency demands.", "author" : [ { "dropping-particle" : "", "family" : "Walter", "given" : "Scott R", "non-dropping-particle" : "", "parse-names" : false, "suffix" : "" }, { "dropping-particle" : "", "family" : "Li", "given" : "Ling", "non-dropping-particle" : "", "parse-names" : false, "suffix" : "" }, { "dropping-particle" : "", "family" : "Dunsmuir", "given" : "William T M", "non-dropping-particle" : "", "parse-names" : false, "suffix" : "" }, { "dropping-particle" : "", "family" : "Westbrook", "given" : "Johanna I", "non-dropping-particle" : "", "parse-names" : false, "suffix" : "" } ], "container-title" : "BMJ Quality &amp; Safety", "id" : "ITEM-1", "issue" : "3", "issued" : { "date-parts" : [ [ "2014", "3" ] ] }, "page" : "231-241", "title" : "Managing competing demands through task-switching and multitasking: a multi-setting observational study of 200 clinicians over 1000 hours", "type" : "article-journal", "volume" : "23" }, "uris" : [ "http://www.mendeley.com/documents/?uuid=9b4570d7-85f0-42f2-b617-01020970202f" ] } ], "mendeley" : { "formattedCitation" : "(Walter et al. 2014)", "plainTextFormattedCitation" : "(Walter et al. 2014)", "previouslyFormattedCitation" : "(Walter et al. 2014)" }, "properties" : {  }, "schema" : "https://github.com/citation-style-language/schema/raw/master/csl-citation.json" }</w:instrText>
      </w:r>
      <w:r w:rsidR="001F4E81" w:rsidRPr="00593545">
        <w:rPr>
          <w:rFonts w:cs="Arial"/>
          <w:color w:val="111111"/>
          <w:shd w:val="clear" w:color="auto" w:fill="FFFFFF"/>
        </w:rPr>
        <w:fldChar w:fldCharType="separate"/>
      </w:r>
      <w:r w:rsidR="001F4E81" w:rsidRPr="00593545">
        <w:rPr>
          <w:rFonts w:cs="Arial"/>
          <w:noProof/>
          <w:color w:val="111111"/>
          <w:shd w:val="clear" w:color="auto" w:fill="FFFFFF"/>
        </w:rPr>
        <w:t>(Walter et al. 2014)</w:t>
      </w:r>
      <w:r w:rsidR="001F4E81" w:rsidRPr="00593545">
        <w:rPr>
          <w:rFonts w:cs="Arial"/>
          <w:color w:val="111111"/>
          <w:shd w:val="clear" w:color="auto" w:fill="FFFFFF"/>
        </w:rPr>
        <w:fldChar w:fldCharType="end"/>
      </w:r>
      <w:r w:rsidR="001F4E81" w:rsidRPr="00593545">
        <w:rPr>
          <w:rFonts w:cs="Arial"/>
          <w:color w:val="111111"/>
          <w:shd w:val="clear" w:color="auto" w:fill="FFFFFF"/>
        </w:rPr>
        <w:t>.</w:t>
      </w:r>
      <w:r w:rsidR="00FF68CA" w:rsidRPr="00593545">
        <w:rPr>
          <w:rFonts w:cs="Arial"/>
          <w:color w:val="111111"/>
          <w:shd w:val="clear" w:color="auto" w:fill="FFFFFF"/>
        </w:rPr>
        <w:t xml:space="preserve"> Equally it might </w:t>
      </w:r>
      <w:r w:rsidR="001F0CE6" w:rsidRPr="00593545">
        <w:rPr>
          <w:rFonts w:cs="Arial"/>
          <w:color w:val="111111"/>
          <w:shd w:val="clear" w:color="auto" w:fill="FFFFFF"/>
        </w:rPr>
        <w:t xml:space="preserve">be </w:t>
      </w:r>
      <w:r w:rsidR="00FF68CA" w:rsidRPr="00593545">
        <w:rPr>
          <w:rFonts w:cs="Arial"/>
          <w:color w:val="111111"/>
          <w:shd w:val="clear" w:color="auto" w:fill="FFFFFF"/>
        </w:rPr>
        <w:t>tha</w:t>
      </w:r>
      <w:r w:rsidR="001F0CE6" w:rsidRPr="00593545">
        <w:rPr>
          <w:rFonts w:cs="Arial"/>
          <w:color w:val="111111"/>
          <w:shd w:val="clear" w:color="auto" w:fill="FFFFFF"/>
        </w:rPr>
        <w:t>t each of these processes occurred</w:t>
      </w:r>
      <w:r w:rsidR="00FF68CA" w:rsidRPr="00593545">
        <w:rPr>
          <w:rFonts w:cs="Arial"/>
          <w:color w:val="111111"/>
          <w:shd w:val="clear" w:color="auto" w:fill="FFFFFF"/>
        </w:rPr>
        <w:t xml:space="preserve"> to a greater or lesser degree for different examiners.</w:t>
      </w:r>
    </w:p>
    <w:p w:rsidR="00FF68CA" w:rsidRPr="00593545" w:rsidRDefault="00FF68CA" w:rsidP="00FF0B1C">
      <w:pPr>
        <w:spacing w:line="480" w:lineRule="auto"/>
        <w:rPr>
          <w:rFonts w:cs="Arial"/>
        </w:rPr>
      </w:pPr>
    </w:p>
    <w:p w:rsidR="009B71EF" w:rsidRPr="00593545" w:rsidRDefault="009B71EF" w:rsidP="00FF0B1C">
      <w:pPr>
        <w:spacing w:line="480" w:lineRule="auto"/>
        <w:rPr>
          <w:rFonts w:cs="Arial"/>
          <w:b/>
        </w:rPr>
      </w:pPr>
      <w:r w:rsidRPr="00593545">
        <w:rPr>
          <w:rFonts w:cs="Arial"/>
          <w:b/>
        </w:rPr>
        <w:t>Practical implications:</w:t>
      </w:r>
    </w:p>
    <w:p w:rsidR="00C922A6" w:rsidRPr="00593545" w:rsidRDefault="009B71EF" w:rsidP="00FF0B1C">
      <w:pPr>
        <w:spacing w:line="480" w:lineRule="auto"/>
        <w:rPr>
          <w:rFonts w:cs="Arial"/>
        </w:rPr>
      </w:pPr>
      <w:r w:rsidRPr="00593545">
        <w:rPr>
          <w:rFonts w:cs="Arial"/>
        </w:rPr>
        <w:t>Whilst it is premature to make recommendations for practice until further work has been conducted, a few potential implications may be considered.</w:t>
      </w:r>
      <w:r w:rsidR="00C11339" w:rsidRPr="00593545">
        <w:rPr>
          <w:rFonts w:cs="Arial"/>
        </w:rPr>
        <w:t xml:space="preserve"> The observation that assessors memories for performances declines with a fairly small increase in time (17 extra minutes)</w:t>
      </w:r>
      <w:r w:rsidR="001F4E81" w:rsidRPr="00593545">
        <w:rPr>
          <w:rFonts w:cs="Arial"/>
        </w:rPr>
        <w:t>, plus the observation of two further performances,</w:t>
      </w:r>
      <w:r w:rsidR="00C11339" w:rsidRPr="00593545">
        <w:rPr>
          <w:rFonts w:cs="Arial"/>
        </w:rPr>
        <w:t xml:space="preserve"> has implications for as</w:t>
      </w:r>
      <w:r w:rsidR="00410FC8" w:rsidRPr="00593545">
        <w:rPr>
          <w:rFonts w:cs="Arial"/>
        </w:rPr>
        <w:t>sessment practice. Th</w:t>
      </w:r>
      <w:r w:rsidR="001F4E81" w:rsidRPr="00593545">
        <w:rPr>
          <w:rFonts w:cs="Arial"/>
        </w:rPr>
        <w:t>is</w:t>
      </w:r>
      <w:r w:rsidR="00410FC8" w:rsidRPr="00593545">
        <w:rPr>
          <w:rFonts w:cs="Arial"/>
        </w:rPr>
        <w:t xml:space="preserve"> quer</w:t>
      </w:r>
      <w:r w:rsidR="001F4E81" w:rsidRPr="00593545">
        <w:rPr>
          <w:rFonts w:cs="Arial"/>
        </w:rPr>
        <w:t>ies</w:t>
      </w:r>
      <w:r w:rsidR="00C11339" w:rsidRPr="00593545">
        <w:rPr>
          <w:rFonts w:cs="Arial"/>
        </w:rPr>
        <w:t xml:space="preserve"> whether it is reasonable to allow examiners to amend scores or feedback as an OSCE progresses, and underscores the importance in less structured assessments (such as workplace based assessments) of ensuring that feedback is provided shortly after observation </w:t>
      </w:r>
      <w:r w:rsidR="00243816" w:rsidRPr="00593545">
        <w:rPr>
          <w:rFonts w:cs="Arial"/>
        </w:rPr>
        <w:fldChar w:fldCharType="begin" w:fldLock="1"/>
      </w:r>
      <w:r w:rsidR="00243816" w:rsidRPr="00593545">
        <w:rPr>
          <w:rFonts w:cs="Arial"/>
        </w:rPr>
        <w:instrText>ADDIN CSL_CITATION { "citationItems" : [ { "id" : "ITEM-1", "itemData" : { "DOI" : "10.1007/s40037-015-0231-7", "ISBN" : "10.1007/s40037-015-0231-7", "ISSN" : "2212-2761", "PMID" : "26621488", "abstract" : "INTRODUCTION: The guidelines offered in this paper aim to amalgamate the literature on formative feedback into practical Do's, Don'ts and Don't Knows for individual clinical supervisors and for the institutions that support clinical learning. METHODS: The authors built consensus by an iterative process. Do's and Don'ts were proposed based on authors' individual teaching experience and awareness of the literature, and the amalgamated set of guidelines were then refined by all authors and the evidence was summarized for each guideline. Don't Knows were identified as being important questions to this international group of educators which if answered would change practice. The criteria for inclusion of evidence for these guidelines were not those of a systematic review, so indicators of strength of these recommendations were developed which combine the evidence with the authors' consensus. RESULTS: A set of 32 Do and Don't guidelines with the important Don't Knows was compiled along with a summary of the evidence for each. These are divided into guidelines for the individual clinical supervisor giving feedback to their trainee (recommendations about both the process and the content of feedback) and guidelines for the learning culture (what elements of learning culture support the exchange of meaningful feedback, and what elements constrain it?) CONCLUSION: Feedback is not easy to get right, but it is essential to learning in medicine, and there is a wealth of evidence supporting the Do's and warning against the Don'ts. Further research into the critical Don't Knows of feedback is required. A new definition is offered: Helpful feedback is a supportive conversation that clarifies the trainee's awareness of their developing competencies, enhances their self-efficacy for making progress, challenges them to set objectives for improvement, and facilitates their development of strategies to enable that improvement to occur.", "author" : [ { "dropping-particle" : "", "family" : "Lefroy", "given" : "Janet", "non-dropping-particle" : "", "parse-names" : false, "suffix" : "" }, { "dropping-particle" : "", "family" : "Watling", "given" : "Chris", "non-dropping-particle" : "", "parse-names" : false, "suffix" : "" }, { "dropping-particle" : "", "family" : "Teunissen", "given" : "Pim W.", "non-dropping-particle" : "", "parse-names" : false, "suffix" : "" }, { "dropping-particle" : "", "family" : "Brand", "given" : "Paul", "non-dropping-particle" : "", "parse-names" : false, "suffix" : "" } ], "container-title" : "Perspectives on Medical Education", "id" : "ITEM-1", "issue" : "6", "issued" : { "date-parts" : [ [ "2015" ] ] }, "page" : "284-299", "title" : "Guidelines: the do\u2019s, don\u2019ts and don\u2019t knows of feedback for clinical education", "type" : "article-journal", "volume" : "4" }, "uris" : [ "http://www.mendeley.com/documents/?uuid=066a609e-b89b-4e99-be1c-b8bd6a432677" ] } ], "mendeley" : { "formattedCitation" : "(Lefroy et al. 2015)", "plainTextFormattedCitation" : "(Lefroy et al. 2015)", "previouslyFormattedCitation" : "(Lefroy et al. 2015)" }, "properties" : {  }, "schema" : "https://github.com/citation-style-language/schema/raw/master/csl-citation.json" }</w:instrText>
      </w:r>
      <w:r w:rsidR="00243816" w:rsidRPr="00593545">
        <w:rPr>
          <w:rFonts w:cs="Arial"/>
        </w:rPr>
        <w:fldChar w:fldCharType="separate"/>
      </w:r>
      <w:r w:rsidR="00243816" w:rsidRPr="00593545">
        <w:rPr>
          <w:rFonts w:cs="Arial"/>
          <w:noProof/>
        </w:rPr>
        <w:t>(Lefroy et al. 2015)</w:t>
      </w:r>
      <w:r w:rsidR="00243816" w:rsidRPr="00593545">
        <w:rPr>
          <w:rFonts w:cs="Arial"/>
        </w:rPr>
        <w:fldChar w:fldCharType="end"/>
      </w:r>
      <w:r w:rsidR="00C11339" w:rsidRPr="00593545">
        <w:rPr>
          <w:rFonts w:cs="Arial"/>
        </w:rPr>
        <w:t>.</w:t>
      </w:r>
    </w:p>
    <w:p w:rsidR="00410FC8" w:rsidRPr="00593545" w:rsidRDefault="00410FC8" w:rsidP="00FF0B1C">
      <w:pPr>
        <w:spacing w:line="480" w:lineRule="auto"/>
        <w:rPr>
          <w:rFonts w:cs="Arial"/>
        </w:rPr>
      </w:pPr>
    </w:p>
    <w:p w:rsidR="00E62C17" w:rsidRPr="00593545" w:rsidRDefault="00474B73" w:rsidP="00FF0B1C">
      <w:pPr>
        <w:spacing w:line="480" w:lineRule="auto"/>
        <w:rPr>
          <w:rFonts w:cs="Arial"/>
        </w:rPr>
      </w:pPr>
      <w:r w:rsidRPr="00593545">
        <w:rPr>
          <w:rFonts w:cs="Arial"/>
        </w:rPr>
        <w:t>F</w:t>
      </w:r>
      <w:r w:rsidR="00C922A6" w:rsidRPr="00593545">
        <w:rPr>
          <w:rFonts w:cs="Arial"/>
        </w:rPr>
        <w:t>eedback given following the assessment</w:t>
      </w:r>
      <w:r w:rsidRPr="00593545">
        <w:rPr>
          <w:rFonts w:cs="Arial"/>
        </w:rPr>
        <w:t xml:space="preserve"> is an important part of the student learning process </w:t>
      </w:r>
      <w:r w:rsidR="00416068" w:rsidRPr="00593545">
        <w:rPr>
          <w:rFonts w:cs="Arial"/>
        </w:rPr>
        <w:fldChar w:fldCharType="begin" w:fldLock="1"/>
      </w:r>
      <w:r w:rsidR="00416068" w:rsidRPr="00593545">
        <w:rPr>
          <w:rFonts w:cs="Arial"/>
        </w:rPr>
        <w:instrText>ADDIN CSL_CITATION { "citationItems" : [ { "id" : "ITEM-1", "itemData" : { "DOI" : "10.1007/s10459-014-9524-6", "ISSN" : "13824996", "PMID" : "24906462", "abstract" : "Despite calls for feedback to be incorporated in all assessments, a dichotomy exists between formative and summative assessments. When feedback is provided in a summative context, it is not always used effectively by learners. In this study we explored the reasons for this. We conducted individual interviews with 17 students who had recently received web based feedback following a summative assessment. Constant comparative analysis was conducted for recurring themes. The summative assessment culture, with a focus on avoiding failure, was a dominant and negative influence on the use of feedback. Strong emotions were prevalent throughout the period of assessment and feedback, which reinforced the focus on the need to pass, rather than excel. These affective factors were heightened by interactions with others. The influence of prior learning experiences affected expectations about achievement and the need to use feedback. The summative assessment and subsequent feedback appeared disconnected from future clinical workplace learning. Socio-cultural influences and barriers to feedback need to be understood before attempting to provide feedback after all assessments. A move away from the summative assessment culture may be needed in order to maximise the learning potential of assessments.", "author" : [ { "dropping-particle" : "", "family" : "Harrison", "given" : "Christopher J.", "non-dropping-particle" : "", "parse-names" : false, "suffix" : "" }, { "dropping-particle" : "", "family" : "K\u00f6nings", "given" : "Karen D.", "non-dropping-particle" : "", "parse-names" : false, "suffix" : "" }, { "dropping-particle" : "", "family" : "Schuwirth", "given" : "Lambert", "non-dropping-particle" : "", "parse-names" : false, "suffix" : "" }, { "dropping-particle" : "", "family" : "Wass", "given" : "Valerie", "non-dropping-particle" : "", "parse-names" : false, "suffix" : "" }, { "dropping-particle" : "", "family" : "Vleuten", "given" : "Cees", "non-dropping-particle" : "van der", "parse-names" : false, "suffix" : "" } ], "container-title" : "Advances in Health Sciences Education", "id" : "ITEM-1", "issued" : { "date-parts" : [ [ "2014" ] ] }, "page" : "229-245", "title" : "Barriers to the uptake and use of feedback in the context of summative assessment", "type" : "article-journal" }, "uris" : [ "http://www.mendeley.com/documents/?uuid=815570a9-6c78-44b7-93b4-9b2053baa2e3" ] } ], "mendeley" : { "formattedCitation" : "(Harrison et al. 2014)", "plainTextFormattedCitation" : "(Harrison et al. 2014)", "previouslyFormattedCitation" : "(Harrison et al. 2014)" }, "properties" : {  }, "schema" : "https://github.com/citation-style-language/schema/raw/master/csl-citation.json" }</w:instrText>
      </w:r>
      <w:r w:rsidR="00416068" w:rsidRPr="00593545">
        <w:rPr>
          <w:rFonts w:cs="Arial"/>
        </w:rPr>
        <w:fldChar w:fldCharType="separate"/>
      </w:r>
      <w:r w:rsidR="00416068" w:rsidRPr="00593545">
        <w:rPr>
          <w:rFonts w:cs="Arial"/>
          <w:noProof/>
        </w:rPr>
        <w:t>(Harrison et al. 2014)</w:t>
      </w:r>
      <w:r w:rsidR="00416068" w:rsidRPr="00593545">
        <w:rPr>
          <w:rFonts w:cs="Arial"/>
        </w:rPr>
        <w:fldChar w:fldCharType="end"/>
      </w:r>
      <w:r w:rsidR="00C922A6" w:rsidRPr="00593545">
        <w:rPr>
          <w:rFonts w:cs="Arial"/>
        </w:rPr>
        <w:t>. Studies have confirmed that students benefit from specific feedback, particularly looking at communication and professionalism</w:t>
      </w:r>
      <w:r w:rsidR="00F70D85" w:rsidRPr="00593545">
        <w:rPr>
          <w:rFonts w:cs="Arial"/>
        </w:rPr>
        <w:t xml:space="preserve"> </w:t>
      </w:r>
      <w:r w:rsidR="00F74400" w:rsidRPr="00593545">
        <w:rPr>
          <w:rFonts w:cs="Arial"/>
        </w:rPr>
        <w:fldChar w:fldCharType="begin" w:fldLock="1"/>
      </w:r>
      <w:r w:rsidR="00BB436F" w:rsidRPr="00593545">
        <w:rPr>
          <w:rFonts w:cs="Arial"/>
        </w:rPr>
        <w:instrText>ADDIN CSL_CITATION { "citationItems" : [ { "id" : "ITEM-1", "itemData" : { "DOI" : "10.1186/s12909-016-0815-x", "ISSN" : "1472-6920", "PMID" : "27846882", "abstract" : "BACKGROUND During their pre-clinical years, medical students are given the opportunity to practice clinical skills with simulated patients. During these formative objective structured clinical encounters (OSCEs), tutors from various backgrounds give feedback on students' history taking, physical exam, and communication skills. The aim of the study was to evaluate whether the content and process of feedback varied according to the tutors' profile. METHODS During 2013, all 2(nd) and 3(rd) year medical students and tutors involved in three formative OSCEs were asked to fill in questionnaires, and their feedback sessions were audiotaped. Tutors were divided into two groups: 1) generalists: primary care, general internist and educationalist physicians 2) specialists involved in the OSCE related to their field of expertise. Outcome measures included the students' perceptions of feedback quality and utility and objective assessment of feedback quality. RESULTS Participants included 251 medical students and 38 tutors (22 generalists and 16 specialists). Students self-reported that feedback was useful to improve history taking, physical exam and communication skills. Objective assessment showed that feedback content essentially focused on history taking and physical exam skills, and that elaboration on clinical reasoning or communication/professionalism issues was uncommon. Multivariate analyses showed that generalist tutors used more learner-centered feedback skills than specialist tutors (stimulating student's self-assessment (p\u2009&lt;\u2009.001; making the student active in finding solutions, p\u2009&lt;\u2009.001; checking student's understanding, p\u2009&lt;\u2009.001) and elaborated more on communication and professionalism issues (p\u2009&lt;\u20090.001). Specialists reported less training in how to provide feedback than generalists. CONCLUSION These findings suggest that generalist tutors are more learner-centered and pay more attention to communication and professionalism during feedback than specialist tutors. Such differences may be explained by differences in feedback training but also by differences in practice styles and frames of references that should be further explored.", "author" : [ { "dropping-particle" : "", "family" : "Junod Perron", "given" : "Noelle", "non-dropping-particle" : "", "parse-names" : false, "suffix" : "" }, { "dropping-particle" : "", "family" : "Louis-Simonet", "given" : "Martine", "non-dropping-particle" : "", "parse-names" : false, "suffix" : "" }, { "dropping-particle" : "", "family" : "Cerutti", "given" : "Bernard", "non-dropping-particle" : "", "parse-names" : false, "suffix" : "" }, { "dropping-particle" : "", "family" : "Pfarrwaller", "given" : "Eva", "non-dropping-particle" : "", "parse-names" : false, "suffix" : "" }, { "dropping-particle" : "", "family" : "Sommer", "given" : "Johanna", "non-dropping-particle" : "", "parse-names" : false, "suffix" : "" }, { "dropping-particle" : "", "family" : "Nendaz", "given" : "Mathieu", "non-dropping-particle" : "", "parse-names" : false, "suffix" : "" } ], "container-title" : "BMC Medical Education", "id" : "ITEM-1", "issue" : "1", "issued" : { "date-parts" : [ [ "2016" ] ] }, "page" : "293", "publisher" : "BMC Medical Education", "title" : "The quality of feedback during formative OSCEs depends on the tutors\u2019 profile", "type" : "article-journal", "volume" : "16" }, "uris" : [ "http://www.mendeley.com/documents/?uuid=cd47ff71-7262-48f0-8e9c-6d747e36bf87" ] } ], "mendeley" : { "formattedCitation" : "(Junod Perron et al. 2016)", "plainTextFormattedCitation" : "(Junod Perron et al. 2016)", "previouslyFormattedCitation" : "(Junod Perron et al. 2016)" }, "properties" : {  }, "schema" : "https://github.com/citation-style-language/schema/raw/master/csl-citation.json" }</w:instrText>
      </w:r>
      <w:r w:rsidR="00F74400" w:rsidRPr="00593545">
        <w:rPr>
          <w:rFonts w:cs="Arial"/>
        </w:rPr>
        <w:fldChar w:fldCharType="separate"/>
      </w:r>
      <w:r w:rsidR="00BB436F" w:rsidRPr="00593545">
        <w:rPr>
          <w:rFonts w:cs="Arial"/>
          <w:noProof/>
        </w:rPr>
        <w:t>(Junod Perron et al. 2016)</w:t>
      </w:r>
      <w:r w:rsidR="00F74400" w:rsidRPr="00593545">
        <w:rPr>
          <w:rFonts w:cs="Arial"/>
        </w:rPr>
        <w:fldChar w:fldCharType="end"/>
      </w:r>
      <w:r w:rsidR="00C922A6" w:rsidRPr="00593545">
        <w:rPr>
          <w:rFonts w:cs="Arial"/>
        </w:rPr>
        <w:t xml:space="preserve">. </w:t>
      </w:r>
      <w:r w:rsidRPr="00593545">
        <w:rPr>
          <w:rFonts w:cs="Arial"/>
        </w:rPr>
        <w:t xml:space="preserve">Examiners’ episodic memories for performances </w:t>
      </w:r>
      <w:r w:rsidR="00DA72DB" w:rsidRPr="00593545">
        <w:rPr>
          <w:rFonts w:cs="Arial"/>
        </w:rPr>
        <w:t xml:space="preserve">may impact on the quality </w:t>
      </w:r>
      <w:r w:rsidR="009972CE" w:rsidRPr="00593545">
        <w:rPr>
          <w:rFonts w:cs="Arial"/>
        </w:rPr>
        <w:t>of the feedback provided by different examiners</w:t>
      </w:r>
      <w:r w:rsidRPr="00593545">
        <w:rPr>
          <w:rFonts w:cs="Arial"/>
        </w:rPr>
        <w:t>; th</w:t>
      </w:r>
      <w:r w:rsidR="00F74400" w:rsidRPr="00593545">
        <w:rPr>
          <w:rFonts w:cs="Arial"/>
        </w:rPr>
        <w:t>ose with less good recollection</w:t>
      </w:r>
      <w:r w:rsidR="009972CE" w:rsidRPr="00593545">
        <w:rPr>
          <w:rFonts w:cs="Arial"/>
        </w:rPr>
        <w:t xml:space="preserve"> may </w:t>
      </w:r>
      <w:r w:rsidR="001F4E81" w:rsidRPr="00593545">
        <w:rPr>
          <w:rFonts w:cs="Arial"/>
        </w:rPr>
        <w:t xml:space="preserve">potentially </w:t>
      </w:r>
      <w:r w:rsidR="009972CE" w:rsidRPr="00593545">
        <w:rPr>
          <w:rFonts w:cs="Arial"/>
        </w:rPr>
        <w:t xml:space="preserve">struggle to provide </w:t>
      </w:r>
      <w:r w:rsidR="001F4E81" w:rsidRPr="00593545">
        <w:rPr>
          <w:rFonts w:cs="Arial"/>
        </w:rPr>
        <w:t xml:space="preserve">appropriately </w:t>
      </w:r>
      <w:r w:rsidR="009972CE" w:rsidRPr="00593545">
        <w:rPr>
          <w:rFonts w:cs="Arial"/>
        </w:rPr>
        <w:t>specific feedback.</w:t>
      </w:r>
      <w:r w:rsidR="009824D2" w:rsidRPr="00593545">
        <w:rPr>
          <w:rFonts w:cs="Arial"/>
        </w:rPr>
        <w:t xml:space="preserve"> This may lead to </w:t>
      </w:r>
      <w:r w:rsidRPr="00593545">
        <w:rPr>
          <w:rFonts w:cs="Arial"/>
        </w:rPr>
        <w:t xml:space="preserve">unfair variation in feedback quality, and reduced learning. </w:t>
      </w:r>
    </w:p>
    <w:p w:rsidR="00410FC8" w:rsidRPr="00593545" w:rsidRDefault="00410FC8" w:rsidP="00FF0B1C">
      <w:pPr>
        <w:spacing w:line="480" w:lineRule="auto"/>
        <w:rPr>
          <w:rFonts w:cs="Arial"/>
        </w:rPr>
      </w:pPr>
    </w:p>
    <w:p w:rsidR="00882491" w:rsidRPr="00593545" w:rsidRDefault="00882491" w:rsidP="00FF0B1C">
      <w:pPr>
        <w:spacing w:line="480" w:lineRule="auto"/>
        <w:rPr>
          <w:rFonts w:cs="Arial"/>
          <w:b/>
        </w:rPr>
      </w:pPr>
      <w:r w:rsidRPr="00593545">
        <w:rPr>
          <w:rFonts w:cs="Arial"/>
          <w:b/>
        </w:rPr>
        <w:t>Limitations</w:t>
      </w:r>
    </w:p>
    <w:p w:rsidR="00882491" w:rsidRPr="00593545" w:rsidRDefault="00AF53C4" w:rsidP="00FF0B1C">
      <w:pPr>
        <w:tabs>
          <w:tab w:val="num" w:pos="720"/>
        </w:tabs>
        <w:spacing w:line="480" w:lineRule="auto"/>
        <w:rPr>
          <w:rFonts w:cs="Arial"/>
        </w:rPr>
      </w:pPr>
      <w:r w:rsidRPr="00593545">
        <w:rPr>
          <w:rFonts w:cs="Arial"/>
        </w:rPr>
        <w:t>This exploratory study has a number of limitations. It used</w:t>
      </w:r>
      <w:r w:rsidR="00882491" w:rsidRPr="00593545">
        <w:rPr>
          <w:rFonts w:cs="Arial"/>
        </w:rPr>
        <w:t xml:space="preserve"> secondary </w:t>
      </w:r>
      <w:r w:rsidR="00EE1991" w:rsidRPr="00593545">
        <w:rPr>
          <w:rFonts w:cs="Arial"/>
        </w:rPr>
        <w:t>a</w:t>
      </w:r>
      <w:r w:rsidR="00882491" w:rsidRPr="00593545">
        <w:rPr>
          <w:rFonts w:cs="Arial"/>
        </w:rPr>
        <w:t xml:space="preserve">nalysis </w:t>
      </w:r>
      <w:r w:rsidR="00F74400" w:rsidRPr="00593545">
        <w:rPr>
          <w:rFonts w:cs="Arial"/>
        </w:rPr>
        <w:t>of</w:t>
      </w:r>
      <w:r w:rsidR="00882491" w:rsidRPr="00593545">
        <w:rPr>
          <w:rFonts w:cs="Arial"/>
        </w:rPr>
        <w:t xml:space="preserve"> data not specifically intended for this study. </w:t>
      </w:r>
      <w:r w:rsidR="00FF68CA" w:rsidRPr="00593545">
        <w:rPr>
          <w:rFonts w:cs="Arial"/>
        </w:rPr>
        <w:t>Data from the original study were pooled across groups because findings indicated that the groups were identical in all measures. Nonetheless, r</w:t>
      </w:r>
      <w:r w:rsidRPr="00593545">
        <w:rPr>
          <w:rFonts w:cs="Arial"/>
        </w:rPr>
        <w:t xml:space="preserve">eplication of these findings </w:t>
      </w:r>
      <w:r w:rsidR="00F74400" w:rsidRPr="00593545">
        <w:rPr>
          <w:rFonts w:cs="Arial"/>
        </w:rPr>
        <w:t>in a</w:t>
      </w:r>
      <w:r w:rsidR="00882491" w:rsidRPr="00593545">
        <w:rPr>
          <w:rFonts w:cs="Arial"/>
        </w:rPr>
        <w:t xml:space="preserve"> prospective study exploring th</w:t>
      </w:r>
      <w:r w:rsidRPr="00593545">
        <w:rPr>
          <w:rFonts w:cs="Arial"/>
        </w:rPr>
        <w:t>e</w:t>
      </w:r>
      <w:r w:rsidR="00882491" w:rsidRPr="00593545">
        <w:rPr>
          <w:rFonts w:cs="Arial"/>
        </w:rPr>
        <w:t>s</w:t>
      </w:r>
      <w:r w:rsidRPr="00593545">
        <w:rPr>
          <w:rFonts w:cs="Arial"/>
        </w:rPr>
        <w:t>e</w:t>
      </w:r>
      <w:r w:rsidR="00882491" w:rsidRPr="00593545">
        <w:rPr>
          <w:rFonts w:cs="Arial"/>
        </w:rPr>
        <w:t xml:space="preserve"> is</w:t>
      </w:r>
      <w:r w:rsidRPr="00593545">
        <w:rPr>
          <w:rFonts w:cs="Arial"/>
        </w:rPr>
        <w:t>sues is</w:t>
      </w:r>
      <w:r w:rsidR="00882491" w:rsidRPr="00593545">
        <w:rPr>
          <w:rFonts w:cs="Arial"/>
        </w:rPr>
        <w:t xml:space="preserve"> required.</w:t>
      </w:r>
      <w:r w:rsidRPr="00593545">
        <w:rPr>
          <w:rFonts w:cs="Arial"/>
        </w:rPr>
        <w:t xml:space="preserve"> The study tested its hypotheses by examining </w:t>
      </w:r>
      <w:r w:rsidR="009C31C5" w:rsidRPr="00593545">
        <w:rPr>
          <w:rFonts w:cs="Arial"/>
        </w:rPr>
        <w:t>associative relationships</w:t>
      </w:r>
      <w:r w:rsidRPr="00593545">
        <w:rPr>
          <w:rFonts w:cs="Arial"/>
        </w:rPr>
        <w:t>. It is important to note that association does not indicate causation, and as such all theorising from these data is tentative.</w:t>
      </w:r>
    </w:p>
    <w:p w:rsidR="00416068" w:rsidRPr="00593545" w:rsidRDefault="00416068" w:rsidP="00FF0B1C">
      <w:pPr>
        <w:tabs>
          <w:tab w:val="num" w:pos="720"/>
        </w:tabs>
        <w:spacing w:line="480" w:lineRule="auto"/>
        <w:rPr>
          <w:rFonts w:cs="Arial"/>
        </w:rPr>
      </w:pPr>
    </w:p>
    <w:p w:rsidR="00882491" w:rsidRPr="00593545" w:rsidRDefault="00882491" w:rsidP="00FF0B1C">
      <w:pPr>
        <w:spacing w:line="480" w:lineRule="auto"/>
        <w:rPr>
          <w:rFonts w:cs="Arial"/>
        </w:rPr>
      </w:pPr>
      <w:r w:rsidRPr="00593545">
        <w:rPr>
          <w:rFonts w:cs="Arial"/>
        </w:rPr>
        <w:t>In addition, participants only scored 3 videos and so we can only judge participants scoring on a limited amount of data</w:t>
      </w:r>
      <w:r w:rsidR="00AF53C4" w:rsidRPr="00593545">
        <w:rPr>
          <w:rFonts w:cs="Arial"/>
        </w:rPr>
        <w:t>. Participants</w:t>
      </w:r>
      <w:r w:rsidRPr="00593545">
        <w:rPr>
          <w:rFonts w:cs="Arial"/>
        </w:rPr>
        <w:t xml:space="preserve"> only </w:t>
      </w:r>
      <w:r w:rsidR="00AF53C4" w:rsidRPr="00593545">
        <w:rPr>
          <w:rFonts w:cs="Arial"/>
        </w:rPr>
        <w:t xml:space="preserve">scored </w:t>
      </w:r>
      <w:r w:rsidRPr="00593545">
        <w:rPr>
          <w:rFonts w:cs="Arial"/>
        </w:rPr>
        <w:t xml:space="preserve">2 domains </w:t>
      </w:r>
      <w:r w:rsidR="00AF53C4" w:rsidRPr="00593545">
        <w:rPr>
          <w:rFonts w:cs="Arial"/>
        </w:rPr>
        <w:t>of performance</w:t>
      </w:r>
      <w:r w:rsidRPr="00593545">
        <w:rPr>
          <w:rFonts w:cs="Arial"/>
        </w:rPr>
        <w:t xml:space="preserve"> </w:t>
      </w:r>
      <w:r w:rsidR="00AF53C4" w:rsidRPr="00593545">
        <w:rPr>
          <w:rFonts w:cs="Arial"/>
        </w:rPr>
        <w:t>(</w:t>
      </w:r>
      <w:r w:rsidRPr="00593545">
        <w:rPr>
          <w:rFonts w:cs="Arial"/>
        </w:rPr>
        <w:t>knowledge and communication</w:t>
      </w:r>
      <w:r w:rsidR="00AF53C4" w:rsidRPr="00593545">
        <w:rPr>
          <w:rFonts w:cs="Arial"/>
        </w:rPr>
        <w:t>)</w:t>
      </w:r>
      <w:r w:rsidRPr="00593545">
        <w:rPr>
          <w:rFonts w:cs="Arial"/>
        </w:rPr>
        <w:t xml:space="preserve"> whil</w:t>
      </w:r>
      <w:r w:rsidR="00AF53C4" w:rsidRPr="00593545">
        <w:rPr>
          <w:rFonts w:cs="Arial"/>
        </w:rPr>
        <w:t>st</w:t>
      </w:r>
      <w:r w:rsidRPr="00593545">
        <w:rPr>
          <w:rFonts w:cs="Arial"/>
        </w:rPr>
        <w:t xml:space="preserve"> in real life scenarios various other domains such as practicable ability must also be assessed. Future research in this area will require a larger study involving more domains of assessment.</w:t>
      </w:r>
    </w:p>
    <w:p w:rsidR="00416068" w:rsidRPr="00593545" w:rsidRDefault="00416068" w:rsidP="00FF0B1C">
      <w:pPr>
        <w:spacing w:line="480" w:lineRule="auto"/>
        <w:rPr>
          <w:rFonts w:cs="Arial"/>
        </w:rPr>
      </w:pPr>
    </w:p>
    <w:p w:rsidR="00AF53C4" w:rsidRPr="00593545" w:rsidRDefault="00AF53C4" w:rsidP="00FF0B1C">
      <w:pPr>
        <w:spacing w:line="480" w:lineRule="auto"/>
        <w:rPr>
          <w:rFonts w:cs="Arial"/>
        </w:rPr>
      </w:pPr>
      <w:r w:rsidRPr="00593545">
        <w:rPr>
          <w:rFonts w:cs="Arial"/>
        </w:rPr>
        <w:t xml:space="preserve">Participants’ episodic memories for performances were measured with a recognition-based test. Whilst this was useful in that it provided directly comparable responses, it only tested </w:t>
      </w:r>
      <w:r w:rsidR="00F74400" w:rsidRPr="00593545">
        <w:rPr>
          <w:rFonts w:cs="Arial"/>
        </w:rPr>
        <w:t>participants’</w:t>
      </w:r>
      <w:r w:rsidRPr="00593545">
        <w:rPr>
          <w:rFonts w:cs="Arial"/>
        </w:rPr>
        <w:t xml:space="preserve"> memories for the items which were posed; participants may have remembered numerous other features of the performances beyond that which we queried. As a result future research might use an open ended free-recall based method to see whether similar findings occur.</w:t>
      </w:r>
    </w:p>
    <w:p w:rsidR="00416068" w:rsidRPr="00593545" w:rsidRDefault="002F42FE" w:rsidP="00FF0B1C">
      <w:pPr>
        <w:tabs>
          <w:tab w:val="num" w:pos="720"/>
        </w:tabs>
        <w:spacing w:line="480" w:lineRule="auto"/>
        <w:rPr>
          <w:rFonts w:cs="Arial"/>
        </w:rPr>
      </w:pPr>
      <w:r w:rsidRPr="00593545">
        <w:rPr>
          <w:rFonts w:cs="Arial"/>
        </w:rPr>
        <w:t xml:space="preserve"> </w:t>
      </w:r>
    </w:p>
    <w:p w:rsidR="005B4654" w:rsidRPr="00593545" w:rsidRDefault="005B4654" w:rsidP="00FF0B1C">
      <w:pPr>
        <w:tabs>
          <w:tab w:val="num" w:pos="720"/>
        </w:tabs>
        <w:spacing w:line="480" w:lineRule="auto"/>
        <w:rPr>
          <w:rFonts w:cs="Arial"/>
        </w:rPr>
      </w:pPr>
      <w:r w:rsidRPr="00593545">
        <w:rPr>
          <w:rFonts w:cs="Arial"/>
          <w:b/>
        </w:rPr>
        <w:t>Future Research</w:t>
      </w:r>
    </w:p>
    <w:p w:rsidR="009C31C5" w:rsidRPr="00593545" w:rsidRDefault="00F76BEC" w:rsidP="00FF0B1C">
      <w:pPr>
        <w:spacing w:line="480" w:lineRule="auto"/>
        <w:rPr>
          <w:rFonts w:cs="Arial"/>
        </w:rPr>
      </w:pPr>
      <w:r w:rsidRPr="00593545">
        <w:rPr>
          <w:rFonts w:cs="Arial"/>
        </w:rPr>
        <w:lastRenderedPageBreak/>
        <w:t xml:space="preserve">Further research should seek to replicate these findings prospectively, across different stimuli, different marking sheets and with different groups of participants. In particular, experimental research might seek to manipulate examiners memory (potentially by deliberately incurring a delay between viewing and scoring performances, or by means of cognitive interference) to test whether examiners’ episodic memory is causally related to </w:t>
      </w:r>
      <w:r w:rsidR="001F0CE6" w:rsidRPr="00593545">
        <w:rPr>
          <w:rFonts w:cs="Arial"/>
        </w:rPr>
        <w:t xml:space="preserve">either </w:t>
      </w:r>
      <w:r w:rsidR="009C31C5" w:rsidRPr="00593545">
        <w:rPr>
          <w:rFonts w:cs="Arial"/>
        </w:rPr>
        <w:t xml:space="preserve">score accuracy or </w:t>
      </w:r>
      <w:r w:rsidRPr="00593545">
        <w:rPr>
          <w:rFonts w:cs="Arial"/>
        </w:rPr>
        <w:t>domain</w:t>
      </w:r>
      <w:r w:rsidR="009C31C5" w:rsidRPr="00593545">
        <w:rPr>
          <w:rFonts w:cs="Arial"/>
        </w:rPr>
        <w:t xml:space="preserve"> discrimination</w:t>
      </w:r>
      <w:r w:rsidRPr="00593545">
        <w:rPr>
          <w:rFonts w:cs="Arial"/>
        </w:rPr>
        <w:t xml:space="preserve">. </w:t>
      </w:r>
    </w:p>
    <w:p w:rsidR="001C32F1" w:rsidRPr="00593545" w:rsidRDefault="009C31C5" w:rsidP="00FF0B1C">
      <w:pPr>
        <w:spacing w:line="480" w:lineRule="auto"/>
        <w:rPr>
          <w:rFonts w:cs="Arial"/>
        </w:rPr>
      </w:pPr>
      <w:r w:rsidRPr="00593545">
        <w:rPr>
          <w:rFonts w:cs="Arial"/>
        </w:rPr>
        <w:t>As part of research to further understand the processing and integration phases of assessors’ judgements, research</w:t>
      </w:r>
      <w:r w:rsidR="00F76BEC" w:rsidRPr="00593545">
        <w:rPr>
          <w:rFonts w:cs="Arial"/>
        </w:rPr>
        <w:t xml:space="preserve"> could examine the inter-relation of other factors known to influence memory </w:t>
      </w:r>
      <w:r w:rsidR="00416068" w:rsidRPr="00593545">
        <w:rPr>
          <w:rFonts w:cs="Arial"/>
        </w:rPr>
        <w:t xml:space="preserve">such as transience, misattribution </w:t>
      </w:r>
      <w:r w:rsidR="00416068" w:rsidRPr="00593545">
        <w:rPr>
          <w:rFonts w:cs="Arial"/>
        </w:rPr>
        <w:fldChar w:fldCharType="begin" w:fldLock="1"/>
      </w:r>
      <w:r w:rsidR="002019DB" w:rsidRPr="00593545">
        <w:rPr>
          <w:rFonts w:cs="Arial"/>
        </w:rPr>
        <w:instrText>ADDIN CSL_CITATION { "citationItems" : [ { "id" : "ITEM-1", "itemData" : { "abstract" : "A groundbreaking work by one of the world's foremost memory experts that offers the first framework to explain the basic memory miscues that we all encounter. Daniel L. Schacter, chairman of Harvard University's Psychology Department, and internationally recognised as one of the world's authorities on memory explains that just as the seven deadly sins appear routinely in everyday life so do the seven memory sins, and why it is a good thing that they happen and why it is suprisingly vital to a keen mind. The author explain how transience reflects a weakening of memory over time, how absentmindness occurs when failures of attention sabotage memory and how blocking happens when we can't retrieve a name we know well. Three other sins involve distorted memories: misattribution (assigning a memory to the wrong source), suggestibility (implanting false memories), and bias (rewriting the past based on the present beliefs). The seventh sin, persistence, concerns intrusive recollections that we cannot forget - even when we wish we could. Daniel Schacter illustrates decades of research into memory lapses with compelling, and often bizarre, examples - for example, the violinist who placed a priceless Stradivarius on top of his car before driving off and the national memory champion who was plagued by absentmindness. This book also explores recent research, such as the imaging of the brain that actually shows memories being formed. Together the stories and scientific findings examined in \"How the Mind Forgets and Remembers\" will reassure everyone from twenty-somethings who find their livings too busy to those in their fifties and sixties who are worried about early Alzheimers. Beautifully written, this original book provides a fascinating new look at our brains and what we more generally think of as our minds.", "author" : [ { "dropping-particle" : "", "family" : "Schacter", "given" : "DL", "non-dropping-particle" : "", "parse-names" : false, "suffix" : "" } ], "id" : "ITEM-1", "issued" : { "date-parts" : [ [ "2001" ] ] }, "publisher" : "Houghton-Mifflin", "publisher-place" : "New York", "title" : "The seven sins of memory: how the mind forgets and remembers", "type" : "book" }, "uris" : [ "http://www.mendeley.com/documents/?uuid=f352f5d1-9db8-4094-906d-fc7a57a2a640" ] } ], "mendeley" : { "formattedCitation" : "(Schacter 2001)", "manualFormatting" : "(Schacter 2003)", "plainTextFormattedCitation" : "(Schacter 2001)", "previouslyFormattedCitation" : "(Schacter 2001)" }, "properties" : {  }, "schema" : "https://github.com/citation-style-language/schema/raw/master/csl-citation.json" }</w:instrText>
      </w:r>
      <w:r w:rsidR="00416068" w:rsidRPr="00593545">
        <w:rPr>
          <w:rFonts w:cs="Arial"/>
        </w:rPr>
        <w:fldChar w:fldCharType="separate"/>
      </w:r>
      <w:r w:rsidR="00416068" w:rsidRPr="00593545">
        <w:rPr>
          <w:rFonts w:cs="Arial"/>
          <w:noProof/>
        </w:rPr>
        <w:t>(</w:t>
      </w:r>
      <w:r w:rsidR="002019DB" w:rsidRPr="00593545">
        <w:rPr>
          <w:rFonts w:cs="Arial"/>
          <w:noProof/>
        </w:rPr>
        <w:t>Schacter 2003</w:t>
      </w:r>
      <w:r w:rsidR="00416068" w:rsidRPr="00593545">
        <w:rPr>
          <w:rFonts w:cs="Arial"/>
          <w:noProof/>
        </w:rPr>
        <w:t>)</w:t>
      </w:r>
      <w:r w:rsidR="00416068" w:rsidRPr="00593545">
        <w:rPr>
          <w:rFonts w:cs="Arial"/>
        </w:rPr>
        <w:fldChar w:fldCharType="end"/>
      </w:r>
      <w:r w:rsidR="00416068" w:rsidRPr="00593545">
        <w:rPr>
          <w:rFonts w:cs="Arial"/>
        </w:rPr>
        <w:t xml:space="preserve"> or retroactive interference</w:t>
      </w:r>
      <w:r w:rsidR="00F76BEC" w:rsidRPr="00593545">
        <w:rPr>
          <w:rFonts w:cs="Arial"/>
        </w:rPr>
        <w:t xml:space="preserve"> </w:t>
      </w:r>
      <w:r w:rsidR="00416068" w:rsidRPr="00593545">
        <w:rPr>
          <w:rFonts w:cs="Arial"/>
        </w:rPr>
        <w:fldChar w:fldCharType="begin" w:fldLock="1"/>
      </w:r>
      <w:r w:rsidR="00416068" w:rsidRPr="00593545">
        <w:rPr>
          <w:rFonts w:cs="Arial"/>
        </w:rPr>
        <w:instrText>ADDIN CSL_CITATION { "citationItems" : [ { "id" : "ITEM-1", "itemData" : { "DOI" : "10.3758/BF03210765", "ISSN" : "1069-9384", "abstract" : "Prior research has generally shown that the greater the degree of original learning of a list, the greater the amount of retroactive interference that list suffers. In addition, greater learning of interpolated lists produces more retroactive interference. However, in prior research, the degree of learning has typically been confounded with the amount of retrieval practice on the list. Two free-recall experiments are reported in which subjects studied one original list and then 0, 1, 2, 3, or 4 interpolated lists. The degree of original and of interpolated learning was manipulated by varying exposure time. In Experiment 1, where the typical confounding of retrieval practice and degree of interpolated learning was present, greater interpolated learning induced greater retroactive interference, which is consistent with prior research. However, in Experiment 2, where the degree of interpolated learning was manipulated without concomitant variation in retrieval practice, retroactive interference was the same, whether the interpolated lists had been learned well or poorly. Therefore, greater interpolated learning does not increase the amount of retroactive interference. The results also show that the amount of retroactive interference does not depend on the degree of original learning, in agreement with other work on normal forgetting.", "author" : [ { "dropping-particle" : "", "family" : "B\u00e4uml", "given" : "Karl-heinz", "non-dropping-particle" : "", "parse-names" : false, "suffix" : "" } ], "container-title" : "Psychonomic Bulletin &amp; Review", "id" : "ITEM-1", "issue" : "3", "issued" : { "date-parts" : [ [ "1996" ] ] }, "page" : "380-384", "title" : "Revisiting an old issue: Retroactive interference as a function of the degree of original and interpolated learning", "type" : "article-journal", "volume" : "3" }, "uris" : [ "http://www.mendeley.com/documents/?uuid=bc79bf37-1a7d-4e18-ba57-2a129d35a276" ] } ], "mendeley" : { "formattedCitation" : "(B\u00e4uml 1996)", "plainTextFormattedCitation" : "(B\u00e4uml 1996)", "previouslyFormattedCitation" : "(B\u00e4uml 1996)" }, "properties" : {  }, "schema" : "https://github.com/citation-style-language/schema/raw/master/csl-citation.json" }</w:instrText>
      </w:r>
      <w:r w:rsidR="00416068" w:rsidRPr="00593545">
        <w:rPr>
          <w:rFonts w:cs="Arial"/>
        </w:rPr>
        <w:fldChar w:fldCharType="separate"/>
      </w:r>
      <w:r w:rsidR="00416068" w:rsidRPr="00593545">
        <w:rPr>
          <w:rFonts w:cs="Arial"/>
          <w:noProof/>
        </w:rPr>
        <w:t>(Bäuml 1996)</w:t>
      </w:r>
      <w:r w:rsidR="00416068" w:rsidRPr="00593545">
        <w:rPr>
          <w:rFonts w:cs="Arial"/>
        </w:rPr>
        <w:fldChar w:fldCharType="end"/>
      </w:r>
      <w:r w:rsidR="00F76BEC" w:rsidRPr="00593545">
        <w:rPr>
          <w:rFonts w:cs="Arial"/>
        </w:rPr>
        <w:t xml:space="preserve">. </w:t>
      </w:r>
      <w:r w:rsidR="00D81296" w:rsidRPr="00593545">
        <w:rPr>
          <w:rFonts w:cs="Arial"/>
        </w:rPr>
        <w:t xml:space="preserve">All of this will develop our theoretical understanding of the processing and integration phases of assessor judgement. </w:t>
      </w:r>
      <w:r w:rsidR="00F76BEC" w:rsidRPr="00593545">
        <w:rPr>
          <w:rFonts w:cs="Arial"/>
        </w:rPr>
        <w:t>Work to understand the implications of examiners’ episodic memory on their ability to recognise (or forget) important focal a</w:t>
      </w:r>
      <w:r w:rsidR="00D81296" w:rsidRPr="00593545">
        <w:rPr>
          <w:rFonts w:cs="Arial"/>
        </w:rPr>
        <w:t>reas of weak performance and it</w:t>
      </w:r>
      <w:r w:rsidR="00F76BEC" w:rsidRPr="00593545">
        <w:rPr>
          <w:rFonts w:cs="Arial"/>
        </w:rPr>
        <w:t>s implications for feedback</w:t>
      </w:r>
      <w:r w:rsidR="00D81296" w:rsidRPr="00593545">
        <w:rPr>
          <w:rFonts w:cs="Arial"/>
        </w:rPr>
        <w:t xml:space="preserve"> will help to clarify practical implications.</w:t>
      </w:r>
      <w:r w:rsidRPr="00593545">
        <w:rPr>
          <w:rFonts w:cs="Arial"/>
        </w:rPr>
        <w:t xml:space="preserve"> </w:t>
      </w:r>
    </w:p>
    <w:p w:rsidR="00416068" w:rsidRPr="00593545" w:rsidRDefault="00416068" w:rsidP="00FF0B1C">
      <w:pPr>
        <w:spacing w:line="480" w:lineRule="auto"/>
        <w:rPr>
          <w:rFonts w:cs="Arial"/>
        </w:rPr>
      </w:pPr>
    </w:p>
    <w:p w:rsidR="00882491" w:rsidRPr="00593545" w:rsidRDefault="00882491" w:rsidP="00FF0B1C">
      <w:pPr>
        <w:spacing w:line="480" w:lineRule="auto"/>
        <w:rPr>
          <w:rFonts w:cs="Arial"/>
          <w:b/>
        </w:rPr>
      </w:pPr>
      <w:r w:rsidRPr="00593545">
        <w:rPr>
          <w:rFonts w:cs="Arial"/>
          <w:b/>
        </w:rPr>
        <w:t>Conclusions</w:t>
      </w:r>
    </w:p>
    <w:p w:rsidR="003810B7" w:rsidRPr="00593545" w:rsidRDefault="00D81296" w:rsidP="00FF0B1C">
      <w:pPr>
        <w:tabs>
          <w:tab w:val="num" w:pos="720"/>
        </w:tabs>
        <w:spacing w:line="480" w:lineRule="auto"/>
        <w:rPr>
          <w:rFonts w:cs="Arial"/>
        </w:rPr>
      </w:pPr>
      <w:r w:rsidRPr="00593545">
        <w:rPr>
          <w:rFonts w:cs="Arial"/>
        </w:rPr>
        <w:t xml:space="preserve">Examiners vary substantially in how well they can recollect students’ performances, with all examiners showing imperfect recollections. Examiners ability to accurately score performances </w:t>
      </w:r>
      <w:r w:rsidR="009C31C5" w:rsidRPr="00593545">
        <w:rPr>
          <w:rFonts w:cs="Arial"/>
        </w:rPr>
        <w:t xml:space="preserve">and </w:t>
      </w:r>
      <w:r w:rsidRPr="00593545">
        <w:rPr>
          <w:rFonts w:cs="Arial"/>
        </w:rPr>
        <w:t>differentiate disparate domains of students’ performances appears to be weakly related to their ability to recollect</w:t>
      </w:r>
      <w:r w:rsidR="009C31C5" w:rsidRPr="00593545">
        <w:rPr>
          <w:rFonts w:cs="Arial"/>
        </w:rPr>
        <w:t xml:space="preserve"> performances</w:t>
      </w:r>
      <w:r w:rsidRPr="00593545">
        <w:rPr>
          <w:rFonts w:cs="Arial"/>
        </w:rPr>
        <w:t xml:space="preserve">. These exploratory findings should stimulate the assessor cognition community to consider </w:t>
      </w:r>
      <w:r w:rsidR="009C31C5" w:rsidRPr="00593545">
        <w:rPr>
          <w:rFonts w:cs="Arial"/>
        </w:rPr>
        <w:t>how differences in</w:t>
      </w:r>
      <w:r w:rsidRPr="00593545">
        <w:rPr>
          <w:rFonts w:cs="Arial"/>
        </w:rPr>
        <w:t xml:space="preserve"> examiners’ episodic memories for performances </w:t>
      </w:r>
      <w:r w:rsidR="009C31C5" w:rsidRPr="00593545">
        <w:rPr>
          <w:rFonts w:cs="Arial"/>
        </w:rPr>
        <w:t>influence</w:t>
      </w:r>
      <w:r w:rsidRPr="00593545">
        <w:rPr>
          <w:rFonts w:cs="Arial"/>
        </w:rPr>
        <w:t xml:space="preserve"> the processing and integration phases of judgement. </w:t>
      </w:r>
    </w:p>
    <w:p w:rsidR="003F1FDD" w:rsidRPr="00593545" w:rsidRDefault="00A51426" w:rsidP="00FF0B1C">
      <w:pPr>
        <w:spacing w:line="480" w:lineRule="auto"/>
        <w:jc w:val="both"/>
        <w:rPr>
          <w:rFonts w:cs="Arial"/>
          <w:b/>
          <w:bCs/>
        </w:rPr>
      </w:pPr>
      <w:r w:rsidRPr="00593545">
        <w:rPr>
          <w:rFonts w:cs="Arial"/>
          <w:b/>
          <w:bCs/>
        </w:rPr>
        <w:t>Acknowledgments section</w:t>
      </w:r>
    </w:p>
    <w:p w:rsidR="00A51426" w:rsidRPr="00593545" w:rsidRDefault="00A51426" w:rsidP="00FF0B1C">
      <w:pPr>
        <w:spacing w:line="480" w:lineRule="auto"/>
        <w:jc w:val="both"/>
        <w:rPr>
          <w:rFonts w:cs="Arial"/>
          <w:bCs/>
        </w:rPr>
      </w:pPr>
      <w:r w:rsidRPr="00593545">
        <w:rPr>
          <w:rFonts w:cs="Arial"/>
          <w:bCs/>
        </w:rPr>
        <w:t>None</w:t>
      </w:r>
    </w:p>
    <w:p w:rsidR="00A51426" w:rsidRPr="00593545" w:rsidRDefault="00A51426" w:rsidP="00FF0B1C">
      <w:pPr>
        <w:spacing w:line="480" w:lineRule="auto"/>
        <w:jc w:val="both"/>
        <w:rPr>
          <w:rFonts w:cs="Arial"/>
          <w:bCs/>
        </w:rPr>
      </w:pPr>
    </w:p>
    <w:p w:rsidR="00A51426" w:rsidRPr="00593545" w:rsidRDefault="00A51426" w:rsidP="00FF0B1C">
      <w:pPr>
        <w:spacing w:line="480" w:lineRule="auto"/>
        <w:jc w:val="both"/>
        <w:rPr>
          <w:rFonts w:cs="Arial"/>
          <w:b/>
          <w:bCs/>
        </w:rPr>
      </w:pPr>
      <w:r w:rsidRPr="00593545">
        <w:rPr>
          <w:rFonts w:cs="Arial"/>
          <w:b/>
          <w:bCs/>
        </w:rPr>
        <w:t>Declarations of interest</w:t>
      </w:r>
    </w:p>
    <w:p w:rsidR="00A51426" w:rsidRPr="00593545" w:rsidRDefault="00A51426" w:rsidP="00FF0B1C">
      <w:pPr>
        <w:spacing w:line="480" w:lineRule="auto"/>
        <w:jc w:val="both"/>
        <w:rPr>
          <w:rFonts w:cs="Arial"/>
        </w:rPr>
      </w:pPr>
      <w:r w:rsidRPr="00593545">
        <w:rPr>
          <w:rFonts w:cs="Arial"/>
          <w:bCs/>
        </w:rPr>
        <w:lastRenderedPageBreak/>
        <w:t>None declared</w:t>
      </w:r>
    </w:p>
    <w:p w:rsidR="003F1FDD" w:rsidRPr="00593545" w:rsidRDefault="003F1FDD" w:rsidP="00FF0B1C">
      <w:pPr>
        <w:spacing w:line="480" w:lineRule="auto"/>
        <w:jc w:val="both"/>
        <w:rPr>
          <w:rFonts w:cs="Arial"/>
        </w:rPr>
      </w:pPr>
    </w:p>
    <w:p w:rsidR="00416068" w:rsidRPr="00593545" w:rsidRDefault="00416068">
      <w:pPr>
        <w:rPr>
          <w:rFonts w:cs="Arial"/>
          <w:b/>
        </w:rPr>
      </w:pPr>
      <w:r w:rsidRPr="00593545">
        <w:rPr>
          <w:rFonts w:cs="Arial"/>
          <w:b/>
        </w:rPr>
        <w:br w:type="page"/>
      </w:r>
    </w:p>
    <w:p w:rsidR="00416068" w:rsidRPr="00593545" w:rsidRDefault="00BB436F" w:rsidP="003B004D">
      <w:pPr>
        <w:spacing w:line="240" w:lineRule="auto"/>
        <w:jc w:val="both"/>
        <w:rPr>
          <w:rFonts w:cs="Arial"/>
        </w:rPr>
      </w:pPr>
      <w:r w:rsidRPr="00593545">
        <w:rPr>
          <w:rFonts w:cs="Arial"/>
          <w:b/>
        </w:rPr>
        <w:lastRenderedPageBreak/>
        <w:t>References</w:t>
      </w:r>
    </w:p>
    <w:p w:rsidR="003B004D" w:rsidRPr="00593545" w:rsidRDefault="003B004D" w:rsidP="003B004D">
      <w:pPr>
        <w:widowControl w:val="0"/>
        <w:autoSpaceDE w:val="0"/>
        <w:autoSpaceDN w:val="0"/>
        <w:adjustRightInd w:val="0"/>
        <w:spacing w:line="240" w:lineRule="auto"/>
        <w:ind w:left="480" w:hanging="480"/>
        <w:rPr>
          <w:rFonts w:cs="Arial"/>
        </w:rPr>
      </w:pPr>
      <w:r w:rsidRPr="00593545">
        <w:rPr>
          <w:rFonts w:cs="Arial"/>
        </w:rPr>
        <w:t xml:space="preserve">Baddeley A. 1992. </w:t>
      </w:r>
      <w:proofErr w:type="gramStart"/>
      <w:r w:rsidRPr="00593545">
        <w:rPr>
          <w:rFonts w:cs="Arial"/>
        </w:rPr>
        <w:t>Working Memory - the Interface between Memory and Cognition.</w:t>
      </w:r>
      <w:proofErr w:type="gramEnd"/>
      <w:r w:rsidRPr="00593545">
        <w:rPr>
          <w:rFonts w:cs="Arial"/>
        </w:rPr>
        <w:t xml:space="preserve"> </w:t>
      </w:r>
      <w:proofErr w:type="gramStart"/>
      <w:r w:rsidRPr="00593545">
        <w:rPr>
          <w:rFonts w:cs="Arial"/>
        </w:rPr>
        <w:t xml:space="preserve">J </w:t>
      </w:r>
      <w:proofErr w:type="spellStart"/>
      <w:r w:rsidRPr="00593545">
        <w:rPr>
          <w:rFonts w:cs="Arial"/>
        </w:rPr>
        <w:t>Cogn</w:t>
      </w:r>
      <w:proofErr w:type="spellEnd"/>
      <w:r w:rsidRPr="00593545">
        <w:rPr>
          <w:rFonts w:cs="Arial"/>
        </w:rPr>
        <w:t xml:space="preserve"> </w:t>
      </w:r>
      <w:proofErr w:type="spellStart"/>
      <w:r w:rsidRPr="00593545">
        <w:rPr>
          <w:rFonts w:cs="Arial"/>
        </w:rPr>
        <w:t>Neurosci</w:t>
      </w:r>
      <w:proofErr w:type="spellEnd"/>
      <w:r w:rsidRPr="00593545">
        <w:rPr>
          <w:rFonts w:cs="Arial"/>
        </w:rPr>
        <w:t>.</w:t>
      </w:r>
      <w:proofErr w:type="gramEnd"/>
      <w:r w:rsidRPr="00593545">
        <w:rPr>
          <w:rFonts w:cs="Arial"/>
        </w:rPr>
        <w:t xml:space="preserve"> 4:281–288.</w:t>
      </w:r>
    </w:p>
    <w:p w:rsidR="003B004D" w:rsidRPr="00593545" w:rsidRDefault="003B004D" w:rsidP="003B004D">
      <w:pPr>
        <w:widowControl w:val="0"/>
        <w:autoSpaceDE w:val="0"/>
        <w:autoSpaceDN w:val="0"/>
        <w:adjustRightInd w:val="0"/>
        <w:spacing w:line="240" w:lineRule="auto"/>
        <w:ind w:left="480" w:hanging="480"/>
        <w:rPr>
          <w:rFonts w:cs="Arial"/>
        </w:rPr>
      </w:pPr>
      <w:proofErr w:type="gramStart"/>
      <w:r w:rsidRPr="00593545">
        <w:rPr>
          <w:rFonts w:cs="Arial"/>
        </w:rPr>
        <w:t>Baddeley A, Eysenck M, Anderson M. 2015.</w:t>
      </w:r>
      <w:proofErr w:type="gramEnd"/>
      <w:r w:rsidRPr="00593545">
        <w:rPr>
          <w:rFonts w:cs="Arial"/>
        </w:rPr>
        <w:t xml:space="preserve"> </w:t>
      </w:r>
      <w:proofErr w:type="gramStart"/>
      <w:r w:rsidRPr="00593545">
        <w:rPr>
          <w:rFonts w:cs="Arial"/>
        </w:rPr>
        <w:t>Memory.</w:t>
      </w:r>
      <w:proofErr w:type="gramEnd"/>
      <w:r w:rsidRPr="00593545">
        <w:rPr>
          <w:rFonts w:cs="Arial"/>
        </w:rPr>
        <w:t xml:space="preserve"> 2nd ed. London and New York: Taylor Francis.</w:t>
      </w:r>
    </w:p>
    <w:p w:rsidR="003B004D" w:rsidRPr="00593545" w:rsidRDefault="003B004D" w:rsidP="003B004D">
      <w:pPr>
        <w:widowControl w:val="0"/>
        <w:autoSpaceDE w:val="0"/>
        <w:autoSpaceDN w:val="0"/>
        <w:adjustRightInd w:val="0"/>
        <w:spacing w:line="240" w:lineRule="auto"/>
        <w:ind w:left="480" w:hanging="480"/>
        <w:rPr>
          <w:rFonts w:cs="Arial"/>
        </w:rPr>
      </w:pPr>
      <w:proofErr w:type="spellStart"/>
      <w:r w:rsidRPr="00593545">
        <w:rPr>
          <w:rFonts w:cs="Arial"/>
        </w:rPr>
        <w:t>Bäuml</w:t>
      </w:r>
      <w:proofErr w:type="spellEnd"/>
      <w:r w:rsidRPr="00593545">
        <w:rPr>
          <w:rFonts w:cs="Arial"/>
        </w:rPr>
        <w:t xml:space="preserve"> K. 1996. </w:t>
      </w:r>
      <w:proofErr w:type="gramStart"/>
      <w:r w:rsidRPr="00593545">
        <w:rPr>
          <w:rFonts w:cs="Arial"/>
        </w:rPr>
        <w:t>Revisiting an old issue: Retroactive interference as a function of the degree of original and interpolated learning.</w:t>
      </w:r>
      <w:proofErr w:type="gramEnd"/>
      <w:r w:rsidRPr="00593545">
        <w:rPr>
          <w:rFonts w:cs="Arial"/>
        </w:rPr>
        <w:t xml:space="preserve"> </w:t>
      </w:r>
      <w:proofErr w:type="spellStart"/>
      <w:proofErr w:type="gramStart"/>
      <w:r w:rsidRPr="00593545">
        <w:rPr>
          <w:rFonts w:cs="Arial"/>
        </w:rPr>
        <w:t>Psychon</w:t>
      </w:r>
      <w:proofErr w:type="spellEnd"/>
      <w:r w:rsidRPr="00593545">
        <w:rPr>
          <w:rFonts w:cs="Arial"/>
        </w:rPr>
        <w:t xml:space="preserve"> Bull Rev. 3:380–384.</w:t>
      </w:r>
      <w:proofErr w:type="gramEnd"/>
    </w:p>
    <w:p w:rsidR="003B004D" w:rsidRPr="00593545" w:rsidRDefault="003B004D" w:rsidP="003B004D">
      <w:pPr>
        <w:widowControl w:val="0"/>
        <w:autoSpaceDE w:val="0"/>
        <w:autoSpaceDN w:val="0"/>
        <w:adjustRightInd w:val="0"/>
        <w:spacing w:line="240" w:lineRule="auto"/>
        <w:ind w:left="480" w:hanging="480"/>
        <w:rPr>
          <w:rFonts w:cs="Arial"/>
        </w:rPr>
      </w:pPr>
      <w:proofErr w:type="spellStart"/>
      <w:proofErr w:type="gramStart"/>
      <w:r w:rsidRPr="00593545">
        <w:rPr>
          <w:rFonts w:cs="Arial"/>
        </w:rPr>
        <w:t>Brannick</w:t>
      </w:r>
      <w:proofErr w:type="spellEnd"/>
      <w:r w:rsidRPr="00593545">
        <w:rPr>
          <w:rFonts w:cs="Arial"/>
        </w:rPr>
        <w:t xml:space="preserve"> MT, </w:t>
      </w:r>
      <w:proofErr w:type="spellStart"/>
      <w:r w:rsidRPr="00593545">
        <w:rPr>
          <w:rFonts w:cs="Arial"/>
        </w:rPr>
        <w:t>Erol-Korkmaz</w:t>
      </w:r>
      <w:proofErr w:type="spellEnd"/>
      <w:r w:rsidRPr="00593545">
        <w:rPr>
          <w:rFonts w:cs="Arial"/>
        </w:rPr>
        <w:t xml:space="preserve"> HT, </w:t>
      </w:r>
      <w:proofErr w:type="spellStart"/>
      <w:r w:rsidRPr="00593545">
        <w:rPr>
          <w:rFonts w:cs="Arial"/>
        </w:rPr>
        <w:t>Prewett</w:t>
      </w:r>
      <w:proofErr w:type="spellEnd"/>
      <w:r w:rsidRPr="00593545">
        <w:rPr>
          <w:rFonts w:cs="Arial"/>
        </w:rPr>
        <w:t xml:space="preserve"> M. 2011.</w:t>
      </w:r>
      <w:proofErr w:type="gramEnd"/>
      <w:r w:rsidRPr="00593545">
        <w:rPr>
          <w:rFonts w:cs="Arial"/>
        </w:rPr>
        <w:t xml:space="preserve"> A systematic review of the reliability of objective structured clinical examination scores. Med Educ. 45:1181–1189. </w:t>
      </w:r>
    </w:p>
    <w:p w:rsidR="003B004D" w:rsidRPr="00593545" w:rsidRDefault="003B004D" w:rsidP="003B004D">
      <w:pPr>
        <w:widowControl w:val="0"/>
        <w:autoSpaceDE w:val="0"/>
        <w:autoSpaceDN w:val="0"/>
        <w:adjustRightInd w:val="0"/>
        <w:spacing w:line="240" w:lineRule="auto"/>
        <w:ind w:left="480" w:hanging="480"/>
        <w:rPr>
          <w:rFonts w:cs="Arial"/>
        </w:rPr>
      </w:pPr>
      <w:r w:rsidRPr="00593545">
        <w:rPr>
          <w:rFonts w:cs="Arial"/>
        </w:rPr>
        <w:t xml:space="preserve">Cook D a, Beckman TJ, </w:t>
      </w:r>
      <w:proofErr w:type="spellStart"/>
      <w:r w:rsidRPr="00593545">
        <w:rPr>
          <w:rFonts w:cs="Arial"/>
        </w:rPr>
        <w:t>Mandrekar</w:t>
      </w:r>
      <w:proofErr w:type="spellEnd"/>
      <w:r w:rsidRPr="00593545">
        <w:rPr>
          <w:rFonts w:cs="Arial"/>
        </w:rPr>
        <w:t xml:space="preserve"> JN, </w:t>
      </w:r>
      <w:proofErr w:type="spellStart"/>
      <w:r w:rsidRPr="00593545">
        <w:rPr>
          <w:rFonts w:cs="Arial"/>
        </w:rPr>
        <w:t>Pankratz</w:t>
      </w:r>
      <w:proofErr w:type="spellEnd"/>
      <w:r w:rsidRPr="00593545">
        <w:rPr>
          <w:rFonts w:cs="Arial"/>
        </w:rPr>
        <w:t xml:space="preserve"> VS. 2010. Internal structure of mini-CEX scores for internal medicine residents: factor analysis and generalizability. </w:t>
      </w:r>
      <w:proofErr w:type="spellStart"/>
      <w:r w:rsidRPr="00593545">
        <w:rPr>
          <w:rFonts w:cs="Arial"/>
        </w:rPr>
        <w:t>Adv</w:t>
      </w:r>
      <w:proofErr w:type="spellEnd"/>
      <w:r w:rsidRPr="00593545">
        <w:rPr>
          <w:rFonts w:cs="Arial"/>
        </w:rPr>
        <w:t xml:space="preserve"> Health </w:t>
      </w:r>
      <w:proofErr w:type="spellStart"/>
      <w:r w:rsidRPr="00593545">
        <w:rPr>
          <w:rFonts w:cs="Arial"/>
        </w:rPr>
        <w:t>Sci</w:t>
      </w:r>
      <w:proofErr w:type="spellEnd"/>
      <w:r w:rsidRPr="00593545">
        <w:rPr>
          <w:rFonts w:cs="Arial"/>
        </w:rPr>
        <w:t xml:space="preserve"> Educ.; 15:633–45.</w:t>
      </w:r>
    </w:p>
    <w:p w:rsidR="003B004D" w:rsidRPr="00593545" w:rsidRDefault="003B004D" w:rsidP="003B004D">
      <w:pPr>
        <w:widowControl w:val="0"/>
        <w:autoSpaceDE w:val="0"/>
        <w:autoSpaceDN w:val="0"/>
        <w:adjustRightInd w:val="0"/>
        <w:spacing w:line="240" w:lineRule="auto"/>
        <w:ind w:left="480" w:hanging="480"/>
        <w:rPr>
          <w:rFonts w:cs="Arial"/>
        </w:rPr>
      </w:pPr>
      <w:r w:rsidRPr="00593545">
        <w:rPr>
          <w:rFonts w:cs="Arial"/>
        </w:rPr>
        <w:t xml:space="preserve">Cook DA, </w:t>
      </w:r>
      <w:proofErr w:type="spellStart"/>
      <w:r w:rsidRPr="00593545">
        <w:rPr>
          <w:rFonts w:cs="Arial"/>
        </w:rPr>
        <w:t>Dupras</w:t>
      </w:r>
      <w:proofErr w:type="spellEnd"/>
      <w:r w:rsidRPr="00593545">
        <w:rPr>
          <w:rFonts w:cs="Arial"/>
        </w:rPr>
        <w:t xml:space="preserve"> DM, Beckman TJ, Thomas KG, </w:t>
      </w:r>
      <w:proofErr w:type="spellStart"/>
      <w:r w:rsidRPr="00593545">
        <w:rPr>
          <w:rFonts w:cs="Arial"/>
        </w:rPr>
        <w:t>Pankratz</w:t>
      </w:r>
      <w:proofErr w:type="spellEnd"/>
      <w:r w:rsidRPr="00593545">
        <w:rPr>
          <w:rFonts w:cs="Arial"/>
        </w:rPr>
        <w:t xml:space="preserve"> VS. 2009. Effect of </w:t>
      </w:r>
      <w:proofErr w:type="spellStart"/>
      <w:r w:rsidRPr="00593545">
        <w:rPr>
          <w:rFonts w:cs="Arial"/>
        </w:rPr>
        <w:t>rater</w:t>
      </w:r>
      <w:proofErr w:type="spellEnd"/>
      <w:r w:rsidRPr="00593545">
        <w:rPr>
          <w:rFonts w:cs="Arial"/>
        </w:rPr>
        <w:t xml:space="preserve"> training on reliability and accuracy of mini-CEX scores: a randomized, controlled trial. J Gen Intern Med. 24:74–9.</w:t>
      </w:r>
    </w:p>
    <w:p w:rsidR="003B004D" w:rsidRPr="00593545" w:rsidRDefault="003B004D" w:rsidP="003B004D">
      <w:pPr>
        <w:widowControl w:val="0"/>
        <w:autoSpaceDE w:val="0"/>
        <w:autoSpaceDN w:val="0"/>
        <w:adjustRightInd w:val="0"/>
        <w:spacing w:line="240" w:lineRule="auto"/>
        <w:ind w:left="480" w:hanging="480"/>
        <w:rPr>
          <w:rFonts w:cs="Arial"/>
        </w:rPr>
      </w:pPr>
      <w:r w:rsidRPr="00593545">
        <w:rPr>
          <w:rFonts w:cs="Arial"/>
        </w:rPr>
        <w:t xml:space="preserve">Cooke M, Irby DM, Sullivan W, </w:t>
      </w:r>
      <w:proofErr w:type="spellStart"/>
      <w:r w:rsidRPr="00593545">
        <w:rPr>
          <w:rFonts w:cs="Arial"/>
        </w:rPr>
        <w:t>Ludmerer</w:t>
      </w:r>
      <w:proofErr w:type="spellEnd"/>
      <w:r w:rsidRPr="00593545">
        <w:rPr>
          <w:rFonts w:cs="Arial"/>
        </w:rPr>
        <w:t xml:space="preserve"> KM. 2006. </w:t>
      </w:r>
      <w:proofErr w:type="gramStart"/>
      <w:r w:rsidRPr="00593545">
        <w:rPr>
          <w:rFonts w:cs="Arial"/>
        </w:rPr>
        <w:t>American medical education 100 years after the Flexner report.</w:t>
      </w:r>
      <w:proofErr w:type="gramEnd"/>
      <w:r w:rsidRPr="00593545">
        <w:rPr>
          <w:rFonts w:cs="Arial"/>
        </w:rPr>
        <w:t xml:space="preserve"> N </w:t>
      </w:r>
      <w:proofErr w:type="spellStart"/>
      <w:r w:rsidRPr="00593545">
        <w:rPr>
          <w:rFonts w:cs="Arial"/>
        </w:rPr>
        <w:t>Engl</w:t>
      </w:r>
      <w:proofErr w:type="spellEnd"/>
      <w:r w:rsidRPr="00593545">
        <w:rPr>
          <w:rFonts w:cs="Arial"/>
        </w:rPr>
        <w:t xml:space="preserve"> J Med. 355:1339–44.</w:t>
      </w:r>
    </w:p>
    <w:p w:rsidR="005F5600" w:rsidRPr="00593545" w:rsidRDefault="005F5600" w:rsidP="003B004D">
      <w:pPr>
        <w:widowControl w:val="0"/>
        <w:autoSpaceDE w:val="0"/>
        <w:autoSpaceDN w:val="0"/>
        <w:adjustRightInd w:val="0"/>
        <w:spacing w:line="240" w:lineRule="auto"/>
        <w:ind w:left="480" w:hanging="480"/>
        <w:rPr>
          <w:rFonts w:cs="Arial"/>
        </w:rPr>
      </w:pPr>
      <w:proofErr w:type="gramStart"/>
      <w:r w:rsidRPr="00593545">
        <w:t>Development Core Team, R. (2017).</w:t>
      </w:r>
      <w:proofErr w:type="gramEnd"/>
      <w:r w:rsidRPr="00593545">
        <w:t xml:space="preserve"> R: A Language and Environment for Statistical Computing. Vienna, Austria: R Foundation for Statistical Computing. Retrieved from https://www.r-project.org/</w:t>
      </w:r>
    </w:p>
    <w:p w:rsidR="003B004D" w:rsidRPr="00593545" w:rsidRDefault="003B004D" w:rsidP="003B004D">
      <w:pPr>
        <w:widowControl w:val="0"/>
        <w:autoSpaceDE w:val="0"/>
        <w:autoSpaceDN w:val="0"/>
        <w:adjustRightInd w:val="0"/>
        <w:spacing w:line="240" w:lineRule="auto"/>
        <w:ind w:left="480" w:hanging="480"/>
        <w:rPr>
          <w:rFonts w:cs="Arial"/>
        </w:rPr>
      </w:pPr>
      <w:r w:rsidRPr="00593545">
        <w:rPr>
          <w:rFonts w:cs="Arial"/>
        </w:rPr>
        <w:t xml:space="preserve">Dickerson BC, </w:t>
      </w:r>
      <w:proofErr w:type="spellStart"/>
      <w:r w:rsidRPr="00593545">
        <w:rPr>
          <w:rFonts w:cs="Arial"/>
        </w:rPr>
        <w:t>Eichenbaum</w:t>
      </w:r>
      <w:proofErr w:type="spellEnd"/>
      <w:r w:rsidRPr="00593545">
        <w:rPr>
          <w:rFonts w:cs="Arial"/>
        </w:rPr>
        <w:t xml:space="preserve"> H. 2010. The episodic memory system: </w:t>
      </w:r>
      <w:proofErr w:type="spellStart"/>
      <w:r w:rsidRPr="00593545">
        <w:rPr>
          <w:rFonts w:cs="Arial"/>
        </w:rPr>
        <w:t>Neurocircuitry</w:t>
      </w:r>
      <w:proofErr w:type="spellEnd"/>
      <w:r w:rsidRPr="00593545">
        <w:rPr>
          <w:rFonts w:cs="Arial"/>
        </w:rPr>
        <w:t xml:space="preserve"> and disorders. </w:t>
      </w:r>
      <w:proofErr w:type="spellStart"/>
      <w:proofErr w:type="gramStart"/>
      <w:r w:rsidRPr="00593545">
        <w:rPr>
          <w:rFonts w:cs="Arial"/>
        </w:rPr>
        <w:t>Neuropsychopharmacology</w:t>
      </w:r>
      <w:proofErr w:type="spellEnd"/>
      <w:r w:rsidRPr="00593545">
        <w:rPr>
          <w:rFonts w:cs="Arial"/>
        </w:rPr>
        <w:t>.</w:t>
      </w:r>
      <w:proofErr w:type="gramEnd"/>
      <w:r w:rsidRPr="00593545">
        <w:rPr>
          <w:rFonts w:cs="Arial"/>
        </w:rPr>
        <w:t xml:space="preserve"> 35:86–104.</w:t>
      </w:r>
    </w:p>
    <w:p w:rsidR="003B004D" w:rsidRPr="00593545" w:rsidRDefault="003B004D" w:rsidP="003B004D">
      <w:pPr>
        <w:widowControl w:val="0"/>
        <w:autoSpaceDE w:val="0"/>
        <w:autoSpaceDN w:val="0"/>
        <w:adjustRightInd w:val="0"/>
        <w:spacing w:line="240" w:lineRule="auto"/>
        <w:ind w:left="480" w:hanging="480"/>
        <w:rPr>
          <w:rFonts w:cs="Arial"/>
        </w:rPr>
      </w:pPr>
      <w:r w:rsidRPr="00593545">
        <w:rPr>
          <w:rFonts w:cs="Arial"/>
        </w:rPr>
        <w:t xml:space="preserve">Donato AA, </w:t>
      </w:r>
      <w:proofErr w:type="spellStart"/>
      <w:r w:rsidRPr="00593545">
        <w:rPr>
          <w:rFonts w:cs="Arial"/>
        </w:rPr>
        <w:t>Pangaro</w:t>
      </w:r>
      <w:proofErr w:type="spellEnd"/>
      <w:r w:rsidRPr="00593545">
        <w:rPr>
          <w:rFonts w:cs="Arial"/>
        </w:rPr>
        <w:t xml:space="preserve"> L, Smith C, </w:t>
      </w:r>
      <w:proofErr w:type="spellStart"/>
      <w:r w:rsidRPr="00593545">
        <w:rPr>
          <w:rFonts w:cs="Arial"/>
        </w:rPr>
        <w:t>Rencic</w:t>
      </w:r>
      <w:proofErr w:type="spellEnd"/>
      <w:r w:rsidRPr="00593545">
        <w:rPr>
          <w:rFonts w:cs="Arial"/>
        </w:rPr>
        <w:t xml:space="preserve"> J, Diaz Y, </w:t>
      </w:r>
      <w:proofErr w:type="spellStart"/>
      <w:r w:rsidRPr="00593545">
        <w:rPr>
          <w:rFonts w:cs="Arial"/>
        </w:rPr>
        <w:t>Mensinger</w:t>
      </w:r>
      <w:proofErr w:type="spellEnd"/>
      <w:r w:rsidRPr="00593545">
        <w:rPr>
          <w:rFonts w:cs="Arial"/>
        </w:rPr>
        <w:t xml:space="preserve"> J, </w:t>
      </w:r>
      <w:proofErr w:type="spellStart"/>
      <w:r w:rsidRPr="00593545">
        <w:rPr>
          <w:rFonts w:cs="Arial"/>
        </w:rPr>
        <w:t>Holmboe</w:t>
      </w:r>
      <w:proofErr w:type="spellEnd"/>
      <w:r w:rsidRPr="00593545">
        <w:rPr>
          <w:rFonts w:cs="Arial"/>
        </w:rPr>
        <w:t xml:space="preserve"> E. 2008. Evaluation of a novel assessment form for observing medical residents: a randomised, controlled trial. Med Educ.; 42:1234–42.</w:t>
      </w:r>
    </w:p>
    <w:p w:rsidR="003B004D" w:rsidRPr="00593545" w:rsidRDefault="003B004D" w:rsidP="003B004D">
      <w:pPr>
        <w:widowControl w:val="0"/>
        <w:autoSpaceDE w:val="0"/>
        <w:autoSpaceDN w:val="0"/>
        <w:adjustRightInd w:val="0"/>
        <w:spacing w:line="240" w:lineRule="auto"/>
        <w:ind w:left="480" w:hanging="480"/>
        <w:rPr>
          <w:rFonts w:cs="Arial"/>
        </w:rPr>
      </w:pPr>
      <w:r w:rsidRPr="00593545">
        <w:rPr>
          <w:rFonts w:cs="Arial"/>
        </w:rPr>
        <w:t xml:space="preserve">Gauthier G, St-Onge C, Tavares W. 2016. </w:t>
      </w:r>
      <w:proofErr w:type="spellStart"/>
      <w:r w:rsidRPr="00593545">
        <w:rPr>
          <w:rFonts w:cs="Arial"/>
        </w:rPr>
        <w:t>Rater</w:t>
      </w:r>
      <w:proofErr w:type="spellEnd"/>
      <w:r w:rsidRPr="00593545">
        <w:rPr>
          <w:rFonts w:cs="Arial"/>
        </w:rPr>
        <w:t xml:space="preserve"> cognition: review and integration of research findings. Med Educ. 50:511–522.</w:t>
      </w:r>
    </w:p>
    <w:p w:rsidR="003B004D" w:rsidRPr="00593545" w:rsidRDefault="003B004D" w:rsidP="003B004D">
      <w:pPr>
        <w:widowControl w:val="0"/>
        <w:autoSpaceDE w:val="0"/>
        <w:autoSpaceDN w:val="0"/>
        <w:adjustRightInd w:val="0"/>
        <w:spacing w:line="240" w:lineRule="auto"/>
        <w:ind w:left="480" w:hanging="480"/>
        <w:rPr>
          <w:rFonts w:cs="Arial"/>
        </w:rPr>
      </w:pPr>
      <w:r w:rsidRPr="00593545">
        <w:rPr>
          <w:rFonts w:cs="Arial"/>
        </w:rPr>
        <w:t>General Medical Council. 2017. Outcomes for Graduates [Internet]. Available from: https://www.gmc-uk.org/education/undergraduate/undergrad_outcomes_overarching.asp</w:t>
      </w:r>
    </w:p>
    <w:p w:rsidR="003B004D" w:rsidRPr="00593545" w:rsidRDefault="003B004D" w:rsidP="003B004D">
      <w:pPr>
        <w:widowControl w:val="0"/>
        <w:autoSpaceDE w:val="0"/>
        <w:autoSpaceDN w:val="0"/>
        <w:adjustRightInd w:val="0"/>
        <w:spacing w:line="240" w:lineRule="auto"/>
        <w:ind w:left="480" w:hanging="480"/>
        <w:rPr>
          <w:rFonts w:cs="Arial"/>
        </w:rPr>
      </w:pPr>
      <w:proofErr w:type="spellStart"/>
      <w:r w:rsidRPr="00593545">
        <w:rPr>
          <w:rFonts w:cs="Arial"/>
        </w:rPr>
        <w:t>Gingerich</w:t>
      </w:r>
      <w:proofErr w:type="spellEnd"/>
      <w:r w:rsidRPr="00593545">
        <w:rPr>
          <w:rFonts w:cs="Arial"/>
        </w:rPr>
        <w:t xml:space="preserve"> A, </w:t>
      </w:r>
      <w:proofErr w:type="spellStart"/>
      <w:r w:rsidRPr="00593545">
        <w:rPr>
          <w:rFonts w:cs="Arial"/>
        </w:rPr>
        <w:t>Kogan</w:t>
      </w:r>
      <w:proofErr w:type="spellEnd"/>
      <w:r w:rsidRPr="00593545">
        <w:rPr>
          <w:rFonts w:cs="Arial"/>
        </w:rPr>
        <w:t xml:space="preserve"> J, </w:t>
      </w:r>
      <w:proofErr w:type="spellStart"/>
      <w:r w:rsidRPr="00593545">
        <w:rPr>
          <w:rFonts w:cs="Arial"/>
        </w:rPr>
        <w:t>Yeates</w:t>
      </w:r>
      <w:proofErr w:type="spellEnd"/>
      <w:r w:rsidRPr="00593545">
        <w:rPr>
          <w:rFonts w:cs="Arial"/>
        </w:rPr>
        <w:t xml:space="preserve"> P, </w:t>
      </w:r>
      <w:proofErr w:type="spellStart"/>
      <w:r w:rsidRPr="00593545">
        <w:rPr>
          <w:rFonts w:cs="Arial"/>
        </w:rPr>
        <w:t>Govaerts</w:t>
      </w:r>
      <w:proofErr w:type="spellEnd"/>
      <w:r w:rsidRPr="00593545">
        <w:rPr>
          <w:rFonts w:cs="Arial"/>
        </w:rPr>
        <w:t xml:space="preserve"> M, </w:t>
      </w:r>
      <w:proofErr w:type="spellStart"/>
      <w:r w:rsidRPr="00593545">
        <w:rPr>
          <w:rFonts w:cs="Arial"/>
        </w:rPr>
        <w:t>Holmboe</w:t>
      </w:r>
      <w:proofErr w:type="spellEnd"/>
      <w:r w:rsidRPr="00593545">
        <w:rPr>
          <w:rFonts w:cs="Arial"/>
        </w:rPr>
        <w:t xml:space="preserve"> E. 2014. </w:t>
      </w:r>
      <w:proofErr w:type="gramStart"/>
      <w:r w:rsidRPr="00593545">
        <w:rPr>
          <w:rFonts w:cs="Arial"/>
        </w:rPr>
        <w:t>Seeing the “black box” differently: assessor cognition from three research perspectives.</w:t>
      </w:r>
      <w:proofErr w:type="gramEnd"/>
      <w:r w:rsidRPr="00593545">
        <w:rPr>
          <w:rFonts w:cs="Arial"/>
        </w:rPr>
        <w:t xml:space="preserve"> Med Educ. 48:1055–68.</w:t>
      </w:r>
    </w:p>
    <w:p w:rsidR="003B004D" w:rsidRPr="00593545" w:rsidRDefault="003B004D" w:rsidP="003B004D">
      <w:pPr>
        <w:widowControl w:val="0"/>
        <w:autoSpaceDE w:val="0"/>
        <w:autoSpaceDN w:val="0"/>
        <w:adjustRightInd w:val="0"/>
        <w:spacing w:line="240" w:lineRule="auto"/>
        <w:ind w:left="480" w:hanging="480"/>
        <w:rPr>
          <w:rFonts w:cs="Arial"/>
        </w:rPr>
      </w:pPr>
      <w:proofErr w:type="spellStart"/>
      <w:proofErr w:type="gramStart"/>
      <w:r w:rsidRPr="00593545">
        <w:rPr>
          <w:rFonts w:cs="Arial"/>
        </w:rPr>
        <w:t>Gingerich</w:t>
      </w:r>
      <w:proofErr w:type="spellEnd"/>
      <w:r w:rsidRPr="00593545">
        <w:rPr>
          <w:rFonts w:cs="Arial"/>
        </w:rPr>
        <w:t xml:space="preserve"> A, </w:t>
      </w:r>
      <w:proofErr w:type="spellStart"/>
      <w:r w:rsidRPr="00593545">
        <w:rPr>
          <w:rFonts w:cs="Arial"/>
        </w:rPr>
        <w:t>Ramlo</w:t>
      </w:r>
      <w:proofErr w:type="spellEnd"/>
      <w:r w:rsidRPr="00593545">
        <w:rPr>
          <w:rFonts w:cs="Arial"/>
        </w:rPr>
        <w:t xml:space="preserve"> SE, van der </w:t>
      </w:r>
      <w:proofErr w:type="spellStart"/>
      <w:r w:rsidRPr="00593545">
        <w:rPr>
          <w:rFonts w:cs="Arial"/>
        </w:rPr>
        <w:t>Vleuten</w:t>
      </w:r>
      <w:proofErr w:type="spellEnd"/>
      <w:r w:rsidRPr="00593545">
        <w:rPr>
          <w:rFonts w:cs="Arial"/>
        </w:rPr>
        <w:t xml:space="preserve"> CPM, Eva KW, </w:t>
      </w:r>
      <w:proofErr w:type="spellStart"/>
      <w:r w:rsidRPr="00593545">
        <w:rPr>
          <w:rFonts w:cs="Arial"/>
        </w:rPr>
        <w:t>Regehr</w:t>
      </w:r>
      <w:proofErr w:type="spellEnd"/>
      <w:r w:rsidRPr="00593545">
        <w:rPr>
          <w:rFonts w:cs="Arial"/>
        </w:rPr>
        <w:t xml:space="preserve"> G. 2017.</w:t>
      </w:r>
      <w:proofErr w:type="gramEnd"/>
      <w:r w:rsidRPr="00593545">
        <w:rPr>
          <w:rFonts w:cs="Arial"/>
        </w:rPr>
        <w:t xml:space="preserve"> Inter-rater variability as mutual disagreement: identifying </w:t>
      </w:r>
      <w:proofErr w:type="spellStart"/>
      <w:r w:rsidRPr="00593545">
        <w:rPr>
          <w:rFonts w:cs="Arial"/>
        </w:rPr>
        <w:t>raters’</w:t>
      </w:r>
      <w:proofErr w:type="spellEnd"/>
      <w:r w:rsidRPr="00593545">
        <w:rPr>
          <w:rFonts w:cs="Arial"/>
        </w:rPr>
        <w:t xml:space="preserve"> divergent points of view. </w:t>
      </w:r>
      <w:proofErr w:type="spellStart"/>
      <w:r w:rsidRPr="00593545">
        <w:rPr>
          <w:rFonts w:cs="Arial"/>
        </w:rPr>
        <w:t>Adv</w:t>
      </w:r>
      <w:proofErr w:type="spellEnd"/>
      <w:r w:rsidRPr="00593545">
        <w:rPr>
          <w:rFonts w:cs="Arial"/>
        </w:rPr>
        <w:t xml:space="preserve"> Heal </w:t>
      </w:r>
      <w:proofErr w:type="spellStart"/>
      <w:r w:rsidRPr="00593545">
        <w:rPr>
          <w:rFonts w:cs="Arial"/>
        </w:rPr>
        <w:t>Sci</w:t>
      </w:r>
      <w:proofErr w:type="spellEnd"/>
      <w:r w:rsidRPr="00593545">
        <w:rPr>
          <w:rFonts w:cs="Arial"/>
        </w:rPr>
        <w:t xml:space="preserve"> </w:t>
      </w:r>
      <w:proofErr w:type="gramStart"/>
      <w:r w:rsidRPr="00593545">
        <w:rPr>
          <w:rFonts w:cs="Arial"/>
        </w:rPr>
        <w:t>Educ.22(</w:t>
      </w:r>
      <w:proofErr w:type="gramEnd"/>
      <w:r w:rsidRPr="00593545">
        <w:rPr>
          <w:rFonts w:cs="Arial"/>
        </w:rPr>
        <w:t>4):819-838.</w:t>
      </w:r>
    </w:p>
    <w:p w:rsidR="001F0CE6" w:rsidRPr="00593545" w:rsidRDefault="001F0CE6" w:rsidP="003B004D">
      <w:pPr>
        <w:widowControl w:val="0"/>
        <w:autoSpaceDE w:val="0"/>
        <w:autoSpaceDN w:val="0"/>
        <w:adjustRightInd w:val="0"/>
        <w:spacing w:line="240" w:lineRule="auto"/>
        <w:ind w:left="480" w:hanging="480"/>
        <w:rPr>
          <w:rFonts w:cs="Arial"/>
        </w:rPr>
      </w:pPr>
      <w:proofErr w:type="spellStart"/>
      <w:r w:rsidRPr="00593545">
        <w:t>Grömping</w:t>
      </w:r>
      <w:proofErr w:type="spellEnd"/>
      <w:r w:rsidRPr="00593545">
        <w:t xml:space="preserve">, U. (2006). Relative Importance for Linear Regression in </w:t>
      </w:r>
      <w:proofErr w:type="gramStart"/>
      <w:r w:rsidRPr="00593545">
        <w:t>R :</w:t>
      </w:r>
      <w:proofErr w:type="gramEnd"/>
      <w:r w:rsidRPr="00593545">
        <w:t xml:space="preserve"> The Package </w:t>
      </w:r>
      <w:proofErr w:type="spellStart"/>
      <w:r w:rsidRPr="00593545">
        <w:t>relaimpo</w:t>
      </w:r>
      <w:proofErr w:type="spellEnd"/>
      <w:r w:rsidRPr="00593545">
        <w:t xml:space="preserve">. </w:t>
      </w:r>
      <w:proofErr w:type="gramStart"/>
      <w:r w:rsidRPr="00593545">
        <w:t>Journal of Statistical Software, 17(1).</w:t>
      </w:r>
      <w:proofErr w:type="gramEnd"/>
    </w:p>
    <w:p w:rsidR="003B004D" w:rsidRPr="00593545" w:rsidRDefault="003B004D" w:rsidP="003B004D">
      <w:pPr>
        <w:widowControl w:val="0"/>
        <w:autoSpaceDE w:val="0"/>
        <w:autoSpaceDN w:val="0"/>
        <w:adjustRightInd w:val="0"/>
        <w:spacing w:line="240" w:lineRule="auto"/>
        <w:ind w:left="480" w:hanging="480"/>
        <w:rPr>
          <w:rFonts w:cs="Arial"/>
        </w:rPr>
      </w:pPr>
      <w:proofErr w:type="spellStart"/>
      <w:r w:rsidRPr="00593545">
        <w:rPr>
          <w:rFonts w:cs="Arial"/>
        </w:rPr>
        <w:t>Harasym</w:t>
      </w:r>
      <w:proofErr w:type="spellEnd"/>
      <w:r w:rsidRPr="00593545">
        <w:rPr>
          <w:rFonts w:cs="Arial"/>
        </w:rPr>
        <w:t xml:space="preserve"> PH, </w:t>
      </w:r>
      <w:proofErr w:type="spellStart"/>
      <w:r w:rsidRPr="00593545">
        <w:rPr>
          <w:rFonts w:cs="Arial"/>
        </w:rPr>
        <w:t>Woloschuk</w:t>
      </w:r>
      <w:proofErr w:type="spellEnd"/>
      <w:r w:rsidRPr="00593545">
        <w:rPr>
          <w:rFonts w:cs="Arial"/>
        </w:rPr>
        <w:t xml:space="preserve"> W, Cunning L. 2008. </w:t>
      </w:r>
      <w:proofErr w:type="gramStart"/>
      <w:r w:rsidRPr="00593545">
        <w:rPr>
          <w:rFonts w:cs="Arial"/>
        </w:rPr>
        <w:t>Undesired variance due to examiner stringency/leniency effect in communication skill scores assessed in OSCEs.</w:t>
      </w:r>
      <w:proofErr w:type="gramEnd"/>
      <w:r w:rsidRPr="00593545">
        <w:rPr>
          <w:rFonts w:cs="Arial"/>
        </w:rPr>
        <w:t xml:space="preserve"> </w:t>
      </w:r>
      <w:proofErr w:type="spellStart"/>
      <w:r w:rsidRPr="00593545">
        <w:rPr>
          <w:rFonts w:cs="Arial"/>
        </w:rPr>
        <w:t>Adv</w:t>
      </w:r>
      <w:proofErr w:type="spellEnd"/>
      <w:r w:rsidRPr="00593545">
        <w:rPr>
          <w:rFonts w:cs="Arial"/>
        </w:rPr>
        <w:t xml:space="preserve"> Health </w:t>
      </w:r>
      <w:proofErr w:type="spellStart"/>
      <w:r w:rsidRPr="00593545">
        <w:rPr>
          <w:rFonts w:cs="Arial"/>
        </w:rPr>
        <w:t>Sci</w:t>
      </w:r>
      <w:proofErr w:type="spellEnd"/>
      <w:r w:rsidRPr="00593545">
        <w:rPr>
          <w:rFonts w:cs="Arial"/>
        </w:rPr>
        <w:t xml:space="preserve"> Educ. 13 (5):617–32.</w:t>
      </w:r>
    </w:p>
    <w:p w:rsidR="003B004D" w:rsidRPr="00593545" w:rsidRDefault="003B004D" w:rsidP="003B004D">
      <w:pPr>
        <w:widowControl w:val="0"/>
        <w:autoSpaceDE w:val="0"/>
        <w:autoSpaceDN w:val="0"/>
        <w:adjustRightInd w:val="0"/>
        <w:spacing w:line="240" w:lineRule="auto"/>
        <w:ind w:left="480" w:hanging="480"/>
        <w:rPr>
          <w:rFonts w:cs="Arial"/>
        </w:rPr>
      </w:pPr>
      <w:r w:rsidRPr="00593545">
        <w:rPr>
          <w:rFonts w:cs="Arial"/>
        </w:rPr>
        <w:t xml:space="preserve">Harrison CJ, </w:t>
      </w:r>
      <w:proofErr w:type="spellStart"/>
      <w:r w:rsidRPr="00593545">
        <w:rPr>
          <w:rFonts w:cs="Arial"/>
        </w:rPr>
        <w:t>Könings</w:t>
      </w:r>
      <w:proofErr w:type="spellEnd"/>
      <w:r w:rsidRPr="00593545">
        <w:rPr>
          <w:rFonts w:cs="Arial"/>
        </w:rPr>
        <w:t xml:space="preserve"> KD, </w:t>
      </w:r>
      <w:proofErr w:type="spellStart"/>
      <w:r w:rsidRPr="00593545">
        <w:rPr>
          <w:rFonts w:cs="Arial"/>
        </w:rPr>
        <w:t>Schuwirth</w:t>
      </w:r>
      <w:proofErr w:type="spellEnd"/>
      <w:r w:rsidRPr="00593545">
        <w:rPr>
          <w:rFonts w:cs="Arial"/>
        </w:rPr>
        <w:t xml:space="preserve"> L, </w:t>
      </w:r>
      <w:proofErr w:type="spellStart"/>
      <w:r w:rsidRPr="00593545">
        <w:rPr>
          <w:rFonts w:cs="Arial"/>
        </w:rPr>
        <w:t>Wass</w:t>
      </w:r>
      <w:proofErr w:type="spellEnd"/>
      <w:r w:rsidRPr="00593545">
        <w:rPr>
          <w:rFonts w:cs="Arial"/>
        </w:rPr>
        <w:t xml:space="preserve"> V, van der </w:t>
      </w:r>
      <w:proofErr w:type="spellStart"/>
      <w:r w:rsidRPr="00593545">
        <w:rPr>
          <w:rFonts w:cs="Arial"/>
        </w:rPr>
        <w:t>Vleuten</w:t>
      </w:r>
      <w:proofErr w:type="spellEnd"/>
      <w:r w:rsidRPr="00593545">
        <w:rPr>
          <w:rFonts w:cs="Arial"/>
        </w:rPr>
        <w:t xml:space="preserve"> C. 2014. </w:t>
      </w:r>
      <w:proofErr w:type="gramStart"/>
      <w:r w:rsidRPr="00593545">
        <w:rPr>
          <w:rFonts w:cs="Arial"/>
        </w:rPr>
        <w:t>Barriers to the uptake and use of feedback in the context of summative assessment.</w:t>
      </w:r>
      <w:proofErr w:type="gramEnd"/>
      <w:r w:rsidRPr="00593545">
        <w:rPr>
          <w:rFonts w:cs="Arial"/>
        </w:rPr>
        <w:t xml:space="preserve"> </w:t>
      </w:r>
      <w:proofErr w:type="spellStart"/>
      <w:r w:rsidRPr="00593545">
        <w:rPr>
          <w:rFonts w:cs="Arial"/>
        </w:rPr>
        <w:t>Adv</w:t>
      </w:r>
      <w:proofErr w:type="spellEnd"/>
      <w:r w:rsidRPr="00593545">
        <w:rPr>
          <w:rFonts w:cs="Arial"/>
        </w:rPr>
        <w:t xml:space="preserve"> Heal </w:t>
      </w:r>
      <w:proofErr w:type="spellStart"/>
      <w:r w:rsidRPr="00593545">
        <w:rPr>
          <w:rFonts w:cs="Arial"/>
        </w:rPr>
        <w:t>Sci</w:t>
      </w:r>
      <w:proofErr w:type="spellEnd"/>
      <w:r w:rsidRPr="00593545">
        <w:rPr>
          <w:rFonts w:cs="Arial"/>
        </w:rPr>
        <w:t xml:space="preserve"> Educ.:229–245.</w:t>
      </w:r>
    </w:p>
    <w:p w:rsidR="009C4BEB" w:rsidRPr="00593545" w:rsidRDefault="009C4BEB" w:rsidP="009C4BEB">
      <w:proofErr w:type="spellStart"/>
      <w:proofErr w:type="gramStart"/>
      <w:r w:rsidRPr="00593545">
        <w:lastRenderedPageBreak/>
        <w:t>Herlitz</w:t>
      </w:r>
      <w:proofErr w:type="spellEnd"/>
      <w:r w:rsidRPr="00593545">
        <w:t xml:space="preserve">  A</w:t>
      </w:r>
      <w:proofErr w:type="gramEnd"/>
      <w:r w:rsidRPr="00593545">
        <w:t xml:space="preserve">, Nilsson LG, </w:t>
      </w:r>
      <w:proofErr w:type="spellStart"/>
      <w:r w:rsidRPr="00593545">
        <w:t>Bäckman</w:t>
      </w:r>
      <w:proofErr w:type="spellEnd"/>
      <w:r w:rsidRPr="00593545">
        <w:t xml:space="preserve"> L. 1997. </w:t>
      </w:r>
      <w:proofErr w:type="gramStart"/>
      <w:r w:rsidRPr="00593545">
        <w:t>Gender differences in episodic memory.</w:t>
      </w:r>
      <w:proofErr w:type="gramEnd"/>
      <w:r w:rsidRPr="00593545">
        <w:t xml:space="preserve"> </w:t>
      </w:r>
      <w:proofErr w:type="gramStart"/>
      <w:r w:rsidRPr="00593545">
        <w:t xml:space="preserve">Mem </w:t>
      </w:r>
      <w:proofErr w:type="spellStart"/>
      <w:r w:rsidRPr="00593545">
        <w:t>Cognit</w:t>
      </w:r>
      <w:proofErr w:type="spellEnd"/>
      <w:r w:rsidRPr="00593545">
        <w:t>.</w:t>
      </w:r>
      <w:proofErr w:type="gramEnd"/>
      <w:r w:rsidRPr="00593545">
        <w:t xml:space="preserve"> 25:801–811.</w:t>
      </w:r>
    </w:p>
    <w:p w:rsidR="003B004D" w:rsidRPr="00593545" w:rsidRDefault="003B004D" w:rsidP="003B004D">
      <w:pPr>
        <w:widowControl w:val="0"/>
        <w:autoSpaceDE w:val="0"/>
        <w:autoSpaceDN w:val="0"/>
        <w:adjustRightInd w:val="0"/>
        <w:spacing w:line="240" w:lineRule="auto"/>
        <w:ind w:left="480" w:hanging="480"/>
        <w:rPr>
          <w:rFonts w:cs="Arial"/>
        </w:rPr>
      </w:pPr>
      <w:proofErr w:type="spellStart"/>
      <w:r w:rsidRPr="00593545">
        <w:rPr>
          <w:rFonts w:cs="Arial"/>
        </w:rPr>
        <w:t>Junod</w:t>
      </w:r>
      <w:proofErr w:type="spellEnd"/>
      <w:r w:rsidRPr="00593545">
        <w:rPr>
          <w:rFonts w:cs="Arial"/>
        </w:rPr>
        <w:t xml:space="preserve"> </w:t>
      </w:r>
      <w:proofErr w:type="spellStart"/>
      <w:r w:rsidRPr="00593545">
        <w:rPr>
          <w:rFonts w:cs="Arial"/>
        </w:rPr>
        <w:t>Perron</w:t>
      </w:r>
      <w:proofErr w:type="spellEnd"/>
      <w:r w:rsidRPr="00593545">
        <w:rPr>
          <w:rFonts w:cs="Arial"/>
        </w:rPr>
        <w:t xml:space="preserve"> N, Louis-</w:t>
      </w:r>
      <w:proofErr w:type="spellStart"/>
      <w:r w:rsidRPr="00593545">
        <w:rPr>
          <w:rFonts w:cs="Arial"/>
        </w:rPr>
        <w:t>Simonet</w:t>
      </w:r>
      <w:proofErr w:type="spellEnd"/>
      <w:r w:rsidRPr="00593545">
        <w:rPr>
          <w:rFonts w:cs="Arial"/>
        </w:rPr>
        <w:t xml:space="preserve"> M, </w:t>
      </w:r>
      <w:proofErr w:type="spellStart"/>
      <w:r w:rsidRPr="00593545">
        <w:rPr>
          <w:rFonts w:cs="Arial"/>
        </w:rPr>
        <w:t>Cerutti</w:t>
      </w:r>
      <w:proofErr w:type="spellEnd"/>
      <w:r w:rsidRPr="00593545">
        <w:rPr>
          <w:rFonts w:cs="Arial"/>
        </w:rPr>
        <w:t xml:space="preserve"> B, </w:t>
      </w:r>
      <w:proofErr w:type="spellStart"/>
      <w:r w:rsidRPr="00593545">
        <w:rPr>
          <w:rFonts w:cs="Arial"/>
        </w:rPr>
        <w:t>Pfarrwaller</w:t>
      </w:r>
      <w:proofErr w:type="spellEnd"/>
      <w:r w:rsidRPr="00593545">
        <w:rPr>
          <w:rFonts w:cs="Arial"/>
        </w:rPr>
        <w:t xml:space="preserve"> E, Sommer J, </w:t>
      </w:r>
      <w:proofErr w:type="spellStart"/>
      <w:r w:rsidRPr="00593545">
        <w:rPr>
          <w:rFonts w:cs="Arial"/>
        </w:rPr>
        <w:t>Nendaz</w:t>
      </w:r>
      <w:proofErr w:type="spellEnd"/>
      <w:r w:rsidRPr="00593545">
        <w:rPr>
          <w:rFonts w:cs="Arial"/>
        </w:rPr>
        <w:t xml:space="preserve"> M. 2016. The quality of feedback during formative OSCEs depends on the tutors’ profile. BMC Med Educ. 16:293. Available from: http://bmcmededuc.biomedcentral.com/articles/10.1186/s12909-016-0815-x</w:t>
      </w:r>
    </w:p>
    <w:p w:rsidR="003B004D" w:rsidRPr="00593545" w:rsidRDefault="003B004D" w:rsidP="003B004D">
      <w:pPr>
        <w:widowControl w:val="0"/>
        <w:autoSpaceDE w:val="0"/>
        <w:autoSpaceDN w:val="0"/>
        <w:adjustRightInd w:val="0"/>
        <w:spacing w:line="240" w:lineRule="auto"/>
        <w:ind w:left="480" w:hanging="480"/>
        <w:rPr>
          <w:rFonts w:cs="Arial"/>
        </w:rPr>
      </w:pPr>
      <w:r w:rsidRPr="00593545">
        <w:rPr>
          <w:rFonts w:cs="Arial"/>
        </w:rPr>
        <w:t xml:space="preserve">Lee V, Brain K, Martin J. 2017. </w:t>
      </w:r>
      <w:proofErr w:type="gramStart"/>
      <w:r w:rsidRPr="00593545">
        <w:rPr>
          <w:rFonts w:cs="Arial"/>
        </w:rPr>
        <w:t xml:space="preserve">Factors Influencing Mini-CEX </w:t>
      </w:r>
      <w:proofErr w:type="spellStart"/>
      <w:r w:rsidRPr="00593545">
        <w:rPr>
          <w:rFonts w:cs="Arial"/>
        </w:rPr>
        <w:t>Rater</w:t>
      </w:r>
      <w:proofErr w:type="spellEnd"/>
      <w:r w:rsidRPr="00593545">
        <w:rPr>
          <w:rFonts w:cs="Arial"/>
        </w:rPr>
        <w:t xml:space="preserve"> Judgments and Their Practical Implications.</w:t>
      </w:r>
      <w:proofErr w:type="gramEnd"/>
      <w:r w:rsidRPr="00593545">
        <w:rPr>
          <w:rFonts w:cs="Arial"/>
        </w:rPr>
        <w:t xml:space="preserve"> </w:t>
      </w:r>
      <w:proofErr w:type="spellStart"/>
      <w:r w:rsidRPr="00593545">
        <w:rPr>
          <w:rFonts w:cs="Arial"/>
        </w:rPr>
        <w:t>Acad</w:t>
      </w:r>
      <w:proofErr w:type="spellEnd"/>
      <w:r w:rsidRPr="00593545">
        <w:rPr>
          <w:rFonts w:cs="Arial"/>
        </w:rPr>
        <w:t xml:space="preserve"> Med. 92:880–887. </w:t>
      </w:r>
    </w:p>
    <w:p w:rsidR="003B004D" w:rsidRPr="00593545" w:rsidRDefault="003B004D" w:rsidP="003B004D">
      <w:pPr>
        <w:widowControl w:val="0"/>
        <w:autoSpaceDE w:val="0"/>
        <w:autoSpaceDN w:val="0"/>
        <w:adjustRightInd w:val="0"/>
        <w:spacing w:line="240" w:lineRule="auto"/>
        <w:ind w:left="480" w:hanging="480"/>
        <w:rPr>
          <w:rFonts w:cs="Arial"/>
        </w:rPr>
      </w:pPr>
      <w:proofErr w:type="spellStart"/>
      <w:r w:rsidRPr="00593545">
        <w:rPr>
          <w:rFonts w:cs="Arial"/>
        </w:rPr>
        <w:t>Lefroy</w:t>
      </w:r>
      <w:proofErr w:type="spellEnd"/>
      <w:r w:rsidRPr="00593545">
        <w:rPr>
          <w:rFonts w:cs="Arial"/>
        </w:rPr>
        <w:t xml:space="preserve"> J, Watling C, </w:t>
      </w:r>
      <w:proofErr w:type="spellStart"/>
      <w:r w:rsidRPr="00593545">
        <w:rPr>
          <w:rFonts w:cs="Arial"/>
        </w:rPr>
        <w:t>Teunissen</w:t>
      </w:r>
      <w:proofErr w:type="spellEnd"/>
      <w:r w:rsidRPr="00593545">
        <w:rPr>
          <w:rFonts w:cs="Arial"/>
        </w:rPr>
        <w:t xml:space="preserve"> PW, Brand P. 2015. Guidelines: the do’s, don’ts and don’t knows of feedback for clinical education. </w:t>
      </w:r>
      <w:proofErr w:type="spellStart"/>
      <w:r w:rsidRPr="00593545">
        <w:rPr>
          <w:rFonts w:cs="Arial"/>
        </w:rPr>
        <w:t>Perspect</w:t>
      </w:r>
      <w:proofErr w:type="spellEnd"/>
      <w:r w:rsidRPr="00593545">
        <w:rPr>
          <w:rFonts w:cs="Arial"/>
        </w:rPr>
        <w:t xml:space="preserve"> Med Educ. 4:284–299.</w:t>
      </w:r>
    </w:p>
    <w:p w:rsidR="003B004D" w:rsidRPr="00593545" w:rsidRDefault="003B004D" w:rsidP="003B004D">
      <w:pPr>
        <w:widowControl w:val="0"/>
        <w:autoSpaceDE w:val="0"/>
        <w:autoSpaceDN w:val="0"/>
        <w:adjustRightInd w:val="0"/>
        <w:spacing w:line="240" w:lineRule="auto"/>
        <w:ind w:left="480" w:hanging="480"/>
        <w:rPr>
          <w:rFonts w:cs="Arial"/>
        </w:rPr>
      </w:pPr>
      <w:r w:rsidRPr="00593545">
        <w:rPr>
          <w:rFonts w:cs="Arial"/>
        </w:rPr>
        <w:t xml:space="preserve">McKinley DW, Boulet JR. 2005. </w:t>
      </w:r>
      <w:proofErr w:type="gramStart"/>
      <w:r w:rsidRPr="00593545">
        <w:rPr>
          <w:rFonts w:cs="Arial"/>
        </w:rPr>
        <w:t>Using factor analysis to evaluate checklist items.</w:t>
      </w:r>
      <w:proofErr w:type="gramEnd"/>
      <w:r w:rsidRPr="00593545">
        <w:rPr>
          <w:rFonts w:cs="Arial"/>
        </w:rPr>
        <w:t xml:space="preserve"> </w:t>
      </w:r>
      <w:proofErr w:type="spellStart"/>
      <w:r w:rsidRPr="00593545">
        <w:rPr>
          <w:rFonts w:cs="Arial"/>
        </w:rPr>
        <w:t>Acad</w:t>
      </w:r>
      <w:proofErr w:type="spellEnd"/>
      <w:r w:rsidRPr="00593545">
        <w:rPr>
          <w:rFonts w:cs="Arial"/>
        </w:rPr>
        <w:t xml:space="preserve"> Med</w:t>
      </w:r>
      <w:r w:rsidR="002019DB" w:rsidRPr="00593545">
        <w:rPr>
          <w:rFonts w:cs="Arial"/>
        </w:rPr>
        <w:t>. 80:S102-5.</w:t>
      </w:r>
    </w:p>
    <w:p w:rsidR="003B004D" w:rsidRPr="00593545" w:rsidRDefault="003B004D" w:rsidP="003B004D">
      <w:pPr>
        <w:widowControl w:val="0"/>
        <w:autoSpaceDE w:val="0"/>
        <w:autoSpaceDN w:val="0"/>
        <w:adjustRightInd w:val="0"/>
        <w:spacing w:line="240" w:lineRule="auto"/>
        <w:ind w:left="480" w:hanging="480"/>
        <w:rPr>
          <w:rFonts w:cs="Arial"/>
        </w:rPr>
      </w:pPr>
      <w:r w:rsidRPr="00593545">
        <w:rPr>
          <w:rFonts w:cs="Arial"/>
        </w:rPr>
        <w:t xml:space="preserve">McManus IC, Thompson M, </w:t>
      </w:r>
      <w:proofErr w:type="spellStart"/>
      <w:r w:rsidRPr="00593545">
        <w:rPr>
          <w:rFonts w:cs="Arial"/>
        </w:rPr>
        <w:t>Mollon</w:t>
      </w:r>
      <w:proofErr w:type="spellEnd"/>
      <w:r w:rsidRPr="00593545">
        <w:rPr>
          <w:rFonts w:cs="Arial"/>
        </w:rPr>
        <w:t xml:space="preserve"> J. 2006. Assessment of examiner leniency and stringency (’hawk-dove effect’) in the </w:t>
      </w:r>
      <w:proofErr w:type="gramStart"/>
      <w:r w:rsidRPr="00593545">
        <w:rPr>
          <w:rFonts w:cs="Arial"/>
        </w:rPr>
        <w:t>MRCP(</w:t>
      </w:r>
      <w:proofErr w:type="gramEnd"/>
      <w:r w:rsidRPr="00593545">
        <w:rPr>
          <w:rFonts w:cs="Arial"/>
        </w:rPr>
        <w:t xml:space="preserve">UK) clinical examination (PACES) using multi-facet </w:t>
      </w:r>
      <w:proofErr w:type="spellStart"/>
      <w:r w:rsidRPr="00593545">
        <w:rPr>
          <w:rFonts w:cs="Arial"/>
        </w:rPr>
        <w:t>Rasch</w:t>
      </w:r>
      <w:proofErr w:type="spellEnd"/>
      <w:r w:rsidRPr="00593545">
        <w:rPr>
          <w:rFonts w:cs="Arial"/>
        </w:rPr>
        <w:t xml:space="preserve"> modelling. </w:t>
      </w:r>
      <w:proofErr w:type="gramStart"/>
      <w:r w:rsidRPr="00593545">
        <w:rPr>
          <w:rFonts w:cs="Arial"/>
        </w:rPr>
        <w:t>BMC Med Educ. 6</w:t>
      </w:r>
      <w:r w:rsidR="002019DB" w:rsidRPr="00593545">
        <w:rPr>
          <w:rFonts w:cs="Arial"/>
        </w:rPr>
        <w:t xml:space="preserve"> (42)</w:t>
      </w:r>
      <w:r w:rsidR="009E6C42" w:rsidRPr="00593545">
        <w:rPr>
          <w:rFonts w:cs="Arial"/>
        </w:rPr>
        <w:t>.</w:t>
      </w:r>
      <w:proofErr w:type="gramEnd"/>
      <w:r w:rsidR="009E6C42" w:rsidRPr="00593545">
        <w:rPr>
          <w:rFonts w:cs="Arial"/>
        </w:rPr>
        <w:t xml:space="preserve"> Available from: </w:t>
      </w:r>
      <w:r w:rsidRPr="00593545">
        <w:rPr>
          <w:rFonts w:cs="Arial"/>
        </w:rPr>
        <w:t>http://www.pubmedcentral.nih.gov/articlerender.fcgi?artid=1569374&amp;tool=pmcentrez&amp;rendertype=abstract</w:t>
      </w:r>
    </w:p>
    <w:p w:rsidR="003B004D" w:rsidRPr="00593545" w:rsidRDefault="003B004D" w:rsidP="003B004D">
      <w:pPr>
        <w:widowControl w:val="0"/>
        <w:autoSpaceDE w:val="0"/>
        <w:autoSpaceDN w:val="0"/>
        <w:adjustRightInd w:val="0"/>
        <w:spacing w:line="240" w:lineRule="auto"/>
        <w:ind w:left="480" w:hanging="480"/>
        <w:rPr>
          <w:rFonts w:cs="Arial"/>
        </w:rPr>
      </w:pPr>
      <w:proofErr w:type="spellStart"/>
      <w:proofErr w:type="gramStart"/>
      <w:r w:rsidRPr="00593545">
        <w:rPr>
          <w:rFonts w:cs="Arial"/>
        </w:rPr>
        <w:t>Newble</w:t>
      </w:r>
      <w:proofErr w:type="spellEnd"/>
      <w:r w:rsidRPr="00593545">
        <w:rPr>
          <w:rFonts w:cs="Arial"/>
        </w:rPr>
        <w:t xml:space="preserve"> D. 2004.</w:t>
      </w:r>
      <w:proofErr w:type="gramEnd"/>
      <w:r w:rsidRPr="00593545">
        <w:rPr>
          <w:rFonts w:cs="Arial"/>
        </w:rPr>
        <w:t xml:space="preserve"> Techniques for measuring clinical competence : objective structured clinical examinations. Med Educ. 38:199–203.</w:t>
      </w:r>
    </w:p>
    <w:p w:rsidR="003B004D" w:rsidRPr="00593545" w:rsidRDefault="003B004D" w:rsidP="003B004D">
      <w:pPr>
        <w:widowControl w:val="0"/>
        <w:autoSpaceDE w:val="0"/>
        <w:autoSpaceDN w:val="0"/>
        <w:adjustRightInd w:val="0"/>
        <w:spacing w:line="240" w:lineRule="auto"/>
        <w:ind w:left="480" w:hanging="480"/>
        <w:rPr>
          <w:rFonts w:cs="Arial"/>
        </w:rPr>
      </w:pPr>
      <w:r w:rsidRPr="00593545">
        <w:rPr>
          <w:rFonts w:cs="Arial"/>
        </w:rPr>
        <w:t xml:space="preserve">Norman G. 2009. </w:t>
      </w:r>
      <w:proofErr w:type="gramStart"/>
      <w:r w:rsidRPr="00593545">
        <w:rPr>
          <w:rFonts w:cs="Arial"/>
        </w:rPr>
        <w:t>Dual processing and diagnostic errors.</w:t>
      </w:r>
      <w:proofErr w:type="gramEnd"/>
      <w:r w:rsidRPr="00593545">
        <w:rPr>
          <w:rFonts w:cs="Arial"/>
        </w:rPr>
        <w:t xml:space="preserve"> </w:t>
      </w:r>
      <w:proofErr w:type="spellStart"/>
      <w:proofErr w:type="gramStart"/>
      <w:r w:rsidRPr="00593545">
        <w:rPr>
          <w:rFonts w:cs="Arial"/>
        </w:rPr>
        <w:t>Adv</w:t>
      </w:r>
      <w:proofErr w:type="spellEnd"/>
      <w:r w:rsidRPr="00593545">
        <w:rPr>
          <w:rFonts w:cs="Arial"/>
        </w:rPr>
        <w:t xml:space="preserve"> Health </w:t>
      </w:r>
      <w:proofErr w:type="spellStart"/>
      <w:r w:rsidRPr="00593545">
        <w:rPr>
          <w:rFonts w:cs="Arial"/>
        </w:rPr>
        <w:t>Sci</w:t>
      </w:r>
      <w:proofErr w:type="spellEnd"/>
      <w:r w:rsidRPr="00593545">
        <w:rPr>
          <w:rFonts w:cs="Arial"/>
        </w:rPr>
        <w:t xml:space="preserve"> </w:t>
      </w:r>
      <w:proofErr w:type="spellStart"/>
      <w:r w:rsidRPr="00593545">
        <w:rPr>
          <w:rFonts w:cs="Arial"/>
        </w:rPr>
        <w:t>Educ</w:t>
      </w:r>
      <w:proofErr w:type="spellEnd"/>
      <w:r w:rsidRPr="00593545">
        <w:rPr>
          <w:rFonts w:cs="Arial"/>
        </w:rPr>
        <w:t xml:space="preserve"> Theory </w:t>
      </w:r>
      <w:proofErr w:type="spellStart"/>
      <w:r w:rsidRPr="00593545">
        <w:rPr>
          <w:rFonts w:cs="Arial"/>
        </w:rPr>
        <w:t>Pract</w:t>
      </w:r>
      <w:proofErr w:type="spellEnd"/>
      <w:r w:rsidR="002019DB" w:rsidRPr="00593545">
        <w:rPr>
          <w:rFonts w:cs="Arial"/>
        </w:rPr>
        <w:t>.</w:t>
      </w:r>
      <w:proofErr w:type="gramEnd"/>
      <w:r w:rsidR="002019DB" w:rsidRPr="00593545">
        <w:rPr>
          <w:rFonts w:cs="Arial"/>
        </w:rPr>
        <w:t xml:space="preserve"> 14 </w:t>
      </w:r>
      <w:proofErr w:type="spellStart"/>
      <w:r w:rsidR="002019DB" w:rsidRPr="00593545">
        <w:rPr>
          <w:rFonts w:cs="Arial"/>
        </w:rPr>
        <w:t>Suppl</w:t>
      </w:r>
      <w:proofErr w:type="spellEnd"/>
      <w:r w:rsidR="002019DB" w:rsidRPr="00593545">
        <w:rPr>
          <w:rFonts w:cs="Arial"/>
        </w:rPr>
        <w:t xml:space="preserve"> 1:37–49.</w:t>
      </w:r>
    </w:p>
    <w:p w:rsidR="003B004D" w:rsidRPr="00593545" w:rsidRDefault="003B004D" w:rsidP="003B004D">
      <w:pPr>
        <w:widowControl w:val="0"/>
        <w:autoSpaceDE w:val="0"/>
        <w:autoSpaceDN w:val="0"/>
        <w:adjustRightInd w:val="0"/>
        <w:spacing w:line="240" w:lineRule="auto"/>
        <w:ind w:left="480" w:hanging="480"/>
        <w:rPr>
          <w:rFonts w:cs="Arial"/>
        </w:rPr>
      </w:pPr>
      <w:proofErr w:type="gramStart"/>
      <w:r w:rsidRPr="00593545">
        <w:rPr>
          <w:rFonts w:cs="Arial"/>
        </w:rPr>
        <w:t>Pell G, Homer MS, Roberts TE.</w:t>
      </w:r>
      <w:proofErr w:type="gramEnd"/>
      <w:r w:rsidRPr="00593545">
        <w:rPr>
          <w:rFonts w:cs="Arial"/>
        </w:rPr>
        <w:t xml:space="preserve"> 2008. Assessor training: its effects on criterion‐based assessment in a medical context. </w:t>
      </w:r>
      <w:proofErr w:type="spellStart"/>
      <w:r w:rsidRPr="00593545">
        <w:rPr>
          <w:rFonts w:cs="Arial"/>
        </w:rPr>
        <w:t>Int</w:t>
      </w:r>
      <w:proofErr w:type="spellEnd"/>
      <w:r w:rsidRPr="00593545">
        <w:rPr>
          <w:rFonts w:cs="Arial"/>
        </w:rPr>
        <w:t xml:space="preserve"> J Res Method Educ. Available from: http://www.tandfonline.com/doi/abs/10.1080/17437270802124525</w:t>
      </w:r>
    </w:p>
    <w:p w:rsidR="002019DB" w:rsidRPr="00593545" w:rsidRDefault="002019DB" w:rsidP="002019DB">
      <w:pPr>
        <w:ind w:left="426" w:hanging="426"/>
      </w:pPr>
      <w:proofErr w:type="spellStart"/>
      <w:r w:rsidRPr="00593545">
        <w:t>Schacter</w:t>
      </w:r>
      <w:proofErr w:type="spellEnd"/>
      <w:r w:rsidRPr="00593545">
        <w:t xml:space="preserve"> DL, </w:t>
      </w:r>
      <w:proofErr w:type="spellStart"/>
      <w:r w:rsidRPr="00593545">
        <w:t>Chiao</w:t>
      </w:r>
      <w:proofErr w:type="spellEnd"/>
      <w:r w:rsidRPr="00593545">
        <w:t xml:space="preserve"> JY, Mitchell JP. 2003. The Seven Sins of Memory Implications for Self. Ann N Y </w:t>
      </w:r>
      <w:proofErr w:type="spellStart"/>
      <w:r w:rsidRPr="00593545">
        <w:t>Acad</w:t>
      </w:r>
      <w:proofErr w:type="spellEnd"/>
      <w:r w:rsidRPr="00593545">
        <w:t xml:space="preserve"> Sci. 7:226–239.</w:t>
      </w:r>
    </w:p>
    <w:p w:rsidR="003B004D" w:rsidRPr="00593545" w:rsidRDefault="003B004D" w:rsidP="003B004D">
      <w:pPr>
        <w:widowControl w:val="0"/>
        <w:autoSpaceDE w:val="0"/>
        <w:autoSpaceDN w:val="0"/>
        <w:adjustRightInd w:val="0"/>
        <w:spacing w:line="240" w:lineRule="auto"/>
        <w:ind w:left="480" w:hanging="480"/>
        <w:rPr>
          <w:rFonts w:cs="Arial"/>
        </w:rPr>
      </w:pPr>
      <w:r w:rsidRPr="00593545">
        <w:rPr>
          <w:rFonts w:cs="Arial"/>
        </w:rPr>
        <w:t xml:space="preserve">Sinclair L, </w:t>
      </w:r>
      <w:proofErr w:type="spellStart"/>
      <w:r w:rsidRPr="00593545">
        <w:rPr>
          <w:rFonts w:cs="Arial"/>
        </w:rPr>
        <w:t>Kunda</w:t>
      </w:r>
      <w:proofErr w:type="spellEnd"/>
      <w:r w:rsidRPr="00593545">
        <w:rPr>
          <w:rFonts w:cs="Arial"/>
        </w:rPr>
        <w:t xml:space="preserve"> Z. 1999. Reactions to a black professional: motivated inhibition and activation of conflicting stereotypes. J </w:t>
      </w:r>
      <w:proofErr w:type="spellStart"/>
      <w:r w:rsidRPr="00593545">
        <w:rPr>
          <w:rFonts w:cs="Arial"/>
        </w:rPr>
        <w:t>Pers</w:t>
      </w:r>
      <w:proofErr w:type="spellEnd"/>
      <w:r w:rsidRPr="00593545">
        <w:rPr>
          <w:rFonts w:cs="Arial"/>
        </w:rPr>
        <w:t xml:space="preserve"> </w:t>
      </w:r>
      <w:proofErr w:type="spellStart"/>
      <w:r w:rsidRPr="00593545">
        <w:rPr>
          <w:rFonts w:cs="Arial"/>
        </w:rPr>
        <w:t>Soc</w:t>
      </w:r>
      <w:proofErr w:type="spellEnd"/>
      <w:r w:rsidRPr="00593545">
        <w:rPr>
          <w:rFonts w:cs="Arial"/>
        </w:rPr>
        <w:t xml:space="preserve"> Psychol. 77:885–904.</w:t>
      </w:r>
    </w:p>
    <w:p w:rsidR="003B004D" w:rsidRPr="00593545" w:rsidRDefault="003B004D" w:rsidP="003B004D">
      <w:pPr>
        <w:widowControl w:val="0"/>
        <w:autoSpaceDE w:val="0"/>
        <w:autoSpaceDN w:val="0"/>
        <w:adjustRightInd w:val="0"/>
        <w:spacing w:line="240" w:lineRule="auto"/>
        <w:ind w:left="480" w:hanging="480"/>
        <w:rPr>
          <w:rFonts w:cs="Arial"/>
        </w:rPr>
      </w:pPr>
      <w:proofErr w:type="spellStart"/>
      <w:r w:rsidRPr="00593545">
        <w:rPr>
          <w:rFonts w:cs="Arial"/>
        </w:rPr>
        <w:t>Streiner</w:t>
      </w:r>
      <w:proofErr w:type="spellEnd"/>
      <w:r w:rsidRPr="00593545">
        <w:rPr>
          <w:rFonts w:cs="Arial"/>
        </w:rPr>
        <w:t xml:space="preserve"> D, Norman G. 2008. </w:t>
      </w:r>
      <w:proofErr w:type="gramStart"/>
      <w:r w:rsidRPr="00593545">
        <w:rPr>
          <w:rFonts w:cs="Arial"/>
        </w:rPr>
        <w:t>Health Measurement Scales.</w:t>
      </w:r>
      <w:proofErr w:type="gramEnd"/>
      <w:r w:rsidRPr="00593545">
        <w:rPr>
          <w:rFonts w:cs="Arial"/>
        </w:rPr>
        <w:t xml:space="preserve"> 4th ed. Oxford: Oxford University Press.</w:t>
      </w:r>
    </w:p>
    <w:p w:rsidR="003B004D" w:rsidRPr="00593545" w:rsidRDefault="003B004D" w:rsidP="003B004D">
      <w:pPr>
        <w:widowControl w:val="0"/>
        <w:autoSpaceDE w:val="0"/>
        <w:autoSpaceDN w:val="0"/>
        <w:adjustRightInd w:val="0"/>
        <w:spacing w:line="240" w:lineRule="auto"/>
        <w:ind w:left="480" w:hanging="480"/>
        <w:rPr>
          <w:rFonts w:cs="Arial"/>
        </w:rPr>
      </w:pPr>
      <w:r w:rsidRPr="00593545">
        <w:rPr>
          <w:rFonts w:cs="Arial"/>
        </w:rPr>
        <w:t xml:space="preserve">Tavares W, Eva KW. 2014. Impact of rating demands on </w:t>
      </w:r>
      <w:proofErr w:type="spellStart"/>
      <w:r w:rsidRPr="00593545">
        <w:rPr>
          <w:rFonts w:cs="Arial"/>
        </w:rPr>
        <w:t>rater</w:t>
      </w:r>
      <w:proofErr w:type="spellEnd"/>
      <w:r w:rsidRPr="00593545">
        <w:rPr>
          <w:rFonts w:cs="Arial"/>
        </w:rPr>
        <w:t xml:space="preserve">-based assessments of clinical competence. </w:t>
      </w:r>
      <w:proofErr w:type="spellStart"/>
      <w:r w:rsidRPr="00593545">
        <w:rPr>
          <w:rFonts w:cs="Arial"/>
        </w:rPr>
        <w:t>Educ</w:t>
      </w:r>
      <w:proofErr w:type="spellEnd"/>
      <w:r w:rsidRPr="00593545">
        <w:rPr>
          <w:rFonts w:cs="Arial"/>
        </w:rPr>
        <w:t xml:space="preserve"> Prim care</w:t>
      </w:r>
      <w:r w:rsidR="002019DB" w:rsidRPr="00593545">
        <w:rPr>
          <w:rFonts w:cs="Arial"/>
        </w:rPr>
        <w:t>. 25:308–18.</w:t>
      </w:r>
    </w:p>
    <w:p w:rsidR="003B004D" w:rsidRPr="00593545" w:rsidRDefault="003B004D" w:rsidP="003B004D">
      <w:pPr>
        <w:widowControl w:val="0"/>
        <w:autoSpaceDE w:val="0"/>
        <w:autoSpaceDN w:val="0"/>
        <w:adjustRightInd w:val="0"/>
        <w:spacing w:line="240" w:lineRule="auto"/>
        <w:ind w:left="480" w:hanging="480"/>
        <w:rPr>
          <w:rFonts w:cs="Arial"/>
        </w:rPr>
      </w:pPr>
      <w:r w:rsidRPr="00593545">
        <w:rPr>
          <w:rFonts w:cs="Arial"/>
        </w:rPr>
        <w:t xml:space="preserve">Tavares W, Ginsburg S, Eva KW. 2016. Selecting and Simplifying: </w:t>
      </w:r>
      <w:proofErr w:type="spellStart"/>
      <w:r w:rsidRPr="00593545">
        <w:rPr>
          <w:rFonts w:cs="Arial"/>
        </w:rPr>
        <w:t>Rater</w:t>
      </w:r>
      <w:proofErr w:type="spellEnd"/>
      <w:r w:rsidRPr="00593545">
        <w:rPr>
          <w:rFonts w:cs="Arial"/>
        </w:rPr>
        <w:t xml:space="preserve"> Performance and </w:t>
      </w:r>
      <w:proofErr w:type="spellStart"/>
      <w:r w:rsidRPr="00593545">
        <w:rPr>
          <w:rFonts w:cs="Arial"/>
        </w:rPr>
        <w:t>Behavior</w:t>
      </w:r>
      <w:proofErr w:type="spellEnd"/>
      <w:r w:rsidRPr="00593545">
        <w:rPr>
          <w:rFonts w:cs="Arial"/>
        </w:rPr>
        <w:t xml:space="preserve"> When Considering Multiple Competencies. Teach Learn Med</w:t>
      </w:r>
      <w:r w:rsidR="002019DB" w:rsidRPr="00593545">
        <w:rPr>
          <w:rFonts w:cs="Arial"/>
        </w:rPr>
        <w:t>. 28:41–51.</w:t>
      </w:r>
    </w:p>
    <w:p w:rsidR="003B004D" w:rsidRPr="00593545" w:rsidRDefault="003B004D" w:rsidP="003B004D">
      <w:pPr>
        <w:widowControl w:val="0"/>
        <w:autoSpaceDE w:val="0"/>
        <w:autoSpaceDN w:val="0"/>
        <w:adjustRightInd w:val="0"/>
        <w:spacing w:line="240" w:lineRule="auto"/>
        <w:ind w:left="480" w:hanging="480"/>
        <w:rPr>
          <w:rFonts w:cs="Arial"/>
        </w:rPr>
      </w:pPr>
      <w:proofErr w:type="spellStart"/>
      <w:r w:rsidRPr="00593545">
        <w:rPr>
          <w:rFonts w:cs="Arial"/>
        </w:rPr>
        <w:t>Tulving</w:t>
      </w:r>
      <w:proofErr w:type="spellEnd"/>
      <w:r w:rsidRPr="00593545">
        <w:rPr>
          <w:rFonts w:cs="Arial"/>
        </w:rPr>
        <w:t xml:space="preserve"> E. 2002. Episodic Memory: From Mind to Brain. </w:t>
      </w:r>
      <w:proofErr w:type="spellStart"/>
      <w:r w:rsidRPr="00593545">
        <w:rPr>
          <w:rFonts w:cs="Arial"/>
        </w:rPr>
        <w:t>Annu</w:t>
      </w:r>
      <w:proofErr w:type="spellEnd"/>
      <w:r w:rsidRPr="00593545">
        <w:rPr>
          <w:rFonts w:cs="Arial"/>
        </w:rPr>
        <w:t xml:space="preserve"> Rev Psychol. 53:1–25.</w:t>
      </w:r>
    </w:p>
    <w:p w:rsidR="003B004D" w:rsidRPr="00593545" w:rsidRDefault="003B004D" w:rsidP="003B004D">
      <w:pPr>
        <w:widowControl w:val="0"/>
        <w:autoSpaceDE w:val="0"/>
        <w:autoSpaceDN w:val="0"/>
        <w:adjustRightInd w:val="0"/>
        <w:spacing w:line="240" w:lineRule="auto"/>
        <w:ind w:left="480" w:hanging="480"/>
        <w:rPr>
          <w:rFonts w:cs="Arial"/>
        </w:rPr>
      </w:pPr>
      <w:proofErr w:type="spellStart"/>
      <w:r w:rsidRPr="00593545">
        <w:rPr>
          <w:rFonts w:cs="Arial"/>
        </w:rPr>
        <w:t>Volkan</w:t>
      </w:r>
      <w:proofErr w:type="spellEnd"/>
      <w:r w:rsidRPr="00593545">
        <w:rPr>
          <w:rFonts w:cs="Arial"/>
        </w:rPr>
        <w:t xml:space="preserve"> K, Simon SR, Baker H, </w:t>
      </w:r>
      <w:proofErr w:type="spellStart"/>
      <w:r w:rsidRPr="00593545">
        <w:rPr>
          <w:rFonts w:cs="Arial"/>
        </w:rPr>
        <w:t>Todres</w:t>
      </w:r>
      <w:proofErr w:type="spellEnd"/>
      <w:r w:rsidRPr="00593545">
        <w:rPr>
          <w:rFonts w:cs="Arial"/>
        </w:rPr>
        <w:t xml:space="preserve"> ID. 2004. Psychometric structure of a comprehensive objective structured clinical examination: a factor analytic approach. </w:t>
      </w:r>
      <w:proofErr w:type="spellStart"/>
      <w:r w:rsidRPr="00593545">
        <w:rPr>
          <w:rFonts w:cs="Arial"/>
        </w:rPr>
        <w:t>Adv</w:t>
      </w:r>
      <w:proofErr w:type="spellEnd"/>
      <w:r w:rsidRPr="00593545">
        <w:rPr>
          <w:rFonts w:cs="Arial"/>
        </w:rPr>
        <w:t xml:space="preserve"> Health </w:t>
      </w:r>
      <w:proofErr w:type="spellStart"/>
      <w:r w:rsidRPr="00593545">
        <w:rPr>
          <w:rFonts w:cs="Arial"/>
        </w:rPr>
        <w:t>Sci</w:t>
      </w:r>
      <w:proofErr w:type="spellEnd"/>
      <w:r w:rsidRPr="00593545">
        <w:rPr>
          <w:rFonts w:cs="Arial"/>
        </w:rPr>
        <w:t xml:space="preserve"> Educ</w:t>
      </w:r>
      <w:r w:rsidR="002019DB" w:rsidRPr="00593545">
        <w:rPr>
          <w:rFonts w:cs="Arial"/>
        </w:rPr>
        <w:t>. 9:83–92.</w:t>
      </w:r>
    </w:p>
    <w:p w:rsidR="003B004D" w:rsidRPr="00593545" w:rsidRDefault="003B004D" w:rsidP="003B004D">
      <w:pPr>
        <w:widowControl w:val="0"/>
        <w:autoSpaceDE w:val="0"/>
        <w:autoSpaceDN w:val="0"/>
        <w:adjustRightInd w:val="0"/>
        <w:spacing w:line="240" w:lineRule="auto"/>
        <w:ind w:left="480" w:hanging="480"/>
        <w:rPr>
          <w:rFonts w:cs="Arial"/>
        </w:rPr>
      </w:pPr>
      <w:r w:rsidRPr="00593545">
        <w:rPr>
          <w:rFonts w:cs="Arial"/>
        </w:rPr>
        <w:t xml:space="preserve">Walter SR, Li L, Dunsmuir WTM, Westbrook JI. 2014. Managing competing demands through task-switching and multitasking: a multi-setting observational study of 200 clinicians over 1000 hours. </w:t>
      </w:r>
      <w:proofErr w:type="gramStart"/>
      <w:r w:rsidRPr="00593545">
        <w:rPr>
          <w:rFonts w:cs="Arial"/>
        </w:rPr>
        <w:t xml:space="preserve">BMJ </w:t>
      </w:r>
      <w:proofErr w:type="spellStart"/>
      <w:r w:rsidRPr="00593545">
        <w:rPr>
          <w:rFonts w:cs="Arial"/>
        </w:rPr>
        <w:t>Qual</w:t>
      </w:r>
      <w:proofErr w:type="spellEnd"/>
      <w:r w:rsidRPr="00593545">
        <w:rPr>
          <w:rFonts w:cs="Arial"/>
        </w:rPr>
        <w:t xml:space="preserve"> </w:t>
      </w:r>
      <w:proofErr w:type="spellStart"/>
      <w:r w:rsidRPr="00593545">
        <w:rPr>
          <w:rFonts w:cs="Arial"/>
        </w:rPr>
        <w:t>Saf</w:t>
      </w:r>
      <w:proofErr w:type="spellEnd"/>
      <w:r w:rsidR="002019DB" w:rsidRPr="00593545">
        <w:rPr>
          <w:rFonts w:cs="Arial"/>
        </w:rPr>
        <w:t>.</w:t>
      </w:r>
      <w:proofErr w:type="gramEnd"/>
      <w:r w:rsidR="002019DB" w:rsidRPr="00593545">
        <w:rPr>
          <w:rFonts w:cs="Arial"/>
        </w:rPr>
        <w:t xml:space="preserve"> 23:231–241.</w:t>
      </w:r>
    </w:p>
    <w:p w:rsidR="003B004D" w:rsidRPr="00593545" w:rsidRDefault="003B004D" w:rsidP="003B004D">
      <w:pPr>
        <w:widowControl w:val="0"/>
        <w:autoSpaceDE w:val="0"/>
        <w:autoSpaceDN w:val="0"/>
        <w:adjustRightInd w:val="0"/>
        <w:spacing w:line="240" w:lineRule="auto"/>
        <w:ind w:left="480" w:hanging="480"/>
        <w:rPr>
          <w:rFonts w:cs="Arial"/>
        </w:rPr>
      </w:pPr>
      <w:r w:rsidRPr="00593545">
        <w:rPr>
          <w:rFonts w:cs="Arial"/>
        </w:rPr>
        <w:t xml:space="preserve">Wang B. 2014. Effect of time delay on recognition memory for pictures: The modulatory role of emotion. </w:t>
      </w:r>
      <w:proofErr w:type="spellStart"/>
      <w:proofErr w:type="gramStart"/>
      <w:r w:rsidRPr="00593545">
        <w:rPr>
          <w:rFonts w:cs="Arial"/>
        </w:rPr>
        <w:t>PLoS</w:t>
      </w:r>
      <w:proofErr w:type="spellEnd"/>
      <w:r w:rsidRPr="00593545">
        <w:rPr>
          <w:rFonts w:cs="Arial"/>
        </w:rPr>
        <w:t xml:space="preserve"> One.</w:t>
      </w:r>
      <w:proofErr w:type="gramEnd"/>
      <w:r w:rsidRPr="00593545">
        <w:rPr>
          <w:rFonts w:cs="Arial"/>
        </w:rPr>
        <w:t xml:space="preserve"> 9</w:t>
      </w:r>
      <w:r w:rsidR="002019DB" w:rsidRPr="00593545">
        <w:rPr>
          <w:rFonts w:cs="Arial"/>
        </w:rPr>
        <w:t xml:space="preserve"> (6):</w:t>
      </w:r>
      <w:r w:rsidR="002019DB" w:rsidRPr="00593545">
        <w:t xml:space="preserve"> </w:t>
      </w:r>
      <w:r w:rsidR="002019DB" w:rsidRPr="00593545">
        <w:rPr>
          <w:rFonts w:cs="Arial"/>
        </w:rPr>
        <w:t>e100238.</w:t>
      </w:r>
    </w:p>
    <w:p w:rsidR="003B004D" w:rsidRPr="00593545" w:rsidRDefault="003B004D" w:rsidP="003B004D">
      <w:pPr>
        <w:widowControl w:val="0"/>
        <w:autoSpaceDE w:val="0"/>
        <w:autoSpaceDN w:val="0"/>
        <w:adjustRightInd w:val="0"/>
        <w:spacing w:line="240" w:lineRule="auto"/>
        <w:ind w:left="480" w:hanging="480"/>
        <w:rPr>
          <w:rFonts w:cs="Arial"/>
        </w:rPr>
      </w:pPr>
      <w:proofErr w:type="spellStart"/>
      <w:r w:rsidRPr="00593545">
        <w:rPr>
          <w:rFonts w:cs="Arial"/>
        </w:rPr>
        <w:lastRenderedPageBreak/>
        <w:t>Yeates</w:t>
      </w:r>
      <w:proofErr w:type="spellEnd"/>
      <w:r w:rsidRPr="00593545">
        <w:rPr>
          <w:rFonts w:cs="Arial"/>
        </w:rPr>
        <w:t xml:space="preserve"> P, O’Neill P, Mann K, Eva K. 2013. </w:t>
      </w:r>
      <w:proofErr w:type="gramStart"/>
      <w:r w:rsidRPr="00593545">
        <w:rPr>
          <w:rFonts w:cs="Arial"/>
        </w:rPr>
        <w:t>Seeing the same thing differently: Mechanisms that contribute to assessor differences in directly-observed performance assessments.</w:t>
      </w:r>
      <w:proofErr w:type="gramEnd"/>
      <w:r w:rsidRPr="00593545">
        <w:rPr>
          <w:rFonts w:cs="Arial"/>
        </w:rPr>
        <w:t xml:space="preserve"> </w:t>
      </w:r>
      <w:proofErr w:type="spellStart"/>
      <w:r w:rsidRPr="00593545">
        <w:rPr>
          <w:rFonts w:cs="Arial"/>
        </w:rPr>
        <w:t>Adv</w:t>
      </w:r>
      <w:proofErr w:type="spellEnd"/>
      <w:r w:rsidRPr="00593545">
        <w:rPr>
          <w:rFonts w:cs="Arial"/>
        </w:rPr>
        <w:t xml:space="preserve"> Heal Sci. </w:t>
      </w:r>
      <w:r w:rsidR="002019DB" w:rsidRPr="00593545">
        <w:rPr>
          <w:rFonts w:cs="Arial"/>
        </w:rPr>
        <w:t>18:325–41.</w:t>
      </w:r>
    </w:p>
    <w:p w:rsidR="003B004D" w:rsidRPr="00593545" w:rsidRDefault="003B004D" w:rsidP="003B004D">
      <w:pPr>
        <w:widowControl w:val="0"/>
        <w:autoSpaceDE w:val="0"/>
        <w:autoSpaceDN w:val="0"/>
        <w:adjustRightInd w:val="0"/>
        <w:spacing w:line="240" w:lineRule="auto"/>
        <w:ind w:left="480" w:hanging="480"/>
        <w:rPr>
          <w:rFonts w:cs="Arial"/>
        </w:rPr>
      </w:pPr>
      <w:proofErr w:type="spellStart"/>
      <w:r w:rsidRPr="00593545">
        <w:rPr>
          <w:rFonts w:cs="Arial"/>
        </w:rPr>
        <w:t>Yeates</w:t>
      </w:r>
      <w:proofErr w:type="spellEnd"/>
      <w:r w:rsidRPr="00593545">
        <w:rPr>
          <w:rFonts w:cs="Arial"/>
        </w:rPr>
        <w:t xml:space="preserve"> P, Woolf K, </w:t>
      </w:r>
      <w:proofErr w:type="spellStart"/>
      <w:r w:rsidRPr="00593545">
        <w:rPr>
          <w:rFonts w:cs="Arial"/>
        </w:rPr>
        <w:t>Benbow</w:t>
      </w:r>
      <w:proofErr w:type="spellEnd"/>
      <w:r w:rsidRPr="00593545">
        <w:rPr>
          <w:rFonts w:cs="Arial"/>
        </w:rPr>
        <w:t xml:space="preserve"> E, Davies B, </w:t>
      </w:r>
      <w:proofErr w:type="spellStart"/>
      <w:r w:rsidRPr="00593545">
        <w:rPr>
          <w:rFonts w:cs="Arial"/>
        </w:rPr>
        <w:t>Boohan</w:t>
      </w:r>
      <w:proofErr w:type="spellEnd"/>
      <w:r w:rsidRPr="00593545">
        <w:rPr>
          <w:rFonts w:cs="Arial"/>
        </w:rPr>
        <w:t xml:space="preserve"> M, Eva K. 2017. </w:t>
      </w:r>
      <w:proofErr w:type="gramStart"/>
      <w:r w:rsidRPr="00593545">
        <w:rPr>
          <w:rFonts w:cs="Arial"/>
        </w:rPr>
        <w:t>A randomised trial of the influence of racial stereotype bias on examiners’ scores, feedback and recollections in undergraduate clinical exams.</w:t>
      </w:r>
      <w:proofErr w:type="gramEnd"/>
      <w:r w:rsidRPr="00593545">
        <w:rPr>
          <w:rFonts w:cs="Arial"/>
        </w:rPr>
        <w:t xml:space="preserve"> BMC Med. 15:179. Available from: http://bmcmedicine.biomedcentral.com/articles/10.1186/s12916-017-0943-0</w:t>
      </w:r>
    </w:p>
    <w:p w:rsidR="003B004D" w:rsidRPr="00593545" w:rsidRDefault="003B004D" w:rsidP="002F108C">
      <w:pPr>
        <w:widowControl w:val="0"/>
        <w:autoSpaceDE w:val="0"/>
        <w:autoSpaceDN w:val="0"/>
        <w:adjustRightInd w:val="0"/>
        <w:spacing w:line="240" w:lineRule="auto"/>
        <w:ind w:left="480" w:hanging="480"/>
        <w:rPr>
          <w:rFonts w:cs="Arial"/>
        </w:rPr>
      </w:pPr>
    </w:p>
    <w:p w:rsidR="001F0CE6" w:rsidRPr="00593545" w:rsidRDefault="001F0CE6">
      <w:pPr>
        <w:rPr>
          <w:rFonts w:cs="Arial"/>
          <w:b/>
        </w:rPr>
      </w:pPr>
      <w:r w:rsidRPr="00593545">
        <w:rPr>
          <w:rFonts w:cs="Arial"/>
          <w:b/>
        </w:rPr>
        <w:br w:type="page"/>
      </w:r>
    </w:p>
    <w:p w:rsidR="003F1FDD" w:rsidRPr="00593545" w:rsidRDefault="00416068" w:rsidP="00FF0B1C">
      <w:pPr>
        <w:rPr>
          <w:rFonts w:cs="Arial"/>
        </w:rPr>
      </w:pPr>
      <w:r w:rsidRPr="00593545">
        <w:rPr>
          <w:rFonts w:cs="Arial"/>
          <w:b/>
        </w:rPr>
        <w:lastRenderedPageBreak/>
        <w:t>Tables and Figures:</w:t>
      </w:r>
    </w:p>
    <w:p w:rsidR="00416068" w:rsidRPr="00593545" w:rsidRDefault="00416068" w:rsidP="00416068">
      <w:pPr>
        <w:widowControl w:val="0"/>
        <w:autoSpaceDE w:val="0"/>
        <w:autoSpaceDN w:val="0"/>
        <w:adjustRightInd w:val="0"/>
        <w:spacing w:line="240" w:lineRule="auto"/>
        <w:ind w:left="480" w:hanging="480"/>
        <w:rPr>
          <w:rFonts w:cs="Arial"/>
          <w:b/>
        </w:rPr>
      </w:pPr>
      <w:r w:rsidRPr="00593545">
        <w:rPr>
          <w:rFonts w:cs="Arial"/>
          <w:b/>
        </w:rPr>
        <w:t>Table 1</w:t>
      </w:r>
      <w:r w:rsidR="00FC780C" w:rsidRPr="00593545">
        <w:rPr>
          <w:rFonts w:cs="Arial"/>
          <w:b/>
        </w:rPr>
        <w:t xml:space="preserve">: </w:t>
      </w:r>
      <w:r w:rsidR="00EC18E2" w:rsidRPr="00593545">
        <w:rPr>
          <w:rFonts w:cs="Arial"/>
          <w:b/>
        </w:rPr>
        <w:t xml:space="preserve">Regression coefficients </w:t>
      </w:r>
      <w:r w:rsidR="00FC780C" w:rsidRPr="00593545">
        <w:rPr>
          <w:rFonts w:cs="Arial"/>
          <w:b/>
        </w:rPr>
        <w:t xml:space="preserve">between overall score variance and </w:t>
      </w:r>
      <w:r w:rsidR="00EC18E2" w:rsidRPr="00593545">
        <w:rPr>
          <w:rFonts w:cs="Arial"/>
          <w:b/>
        </w:rPr>
        <w:t xml:space="preserve">listed predictor variables. </w:t>
      </w:r>
    </w:p>
    <w:p w:rsidR="00AF35A5" w:rsidRPr="00593545" w:rsidRDefault="00AF35A5" w:rsidP="00416068">
      <w:pPr>
        <w:widowControl w:val="0"/>
        <w:autoSpaceDE w:val="0"/>
        <w:autoSpaceDN w:val="0"/>
        <w:adjustRightInd w:val="0"/>
        <w:spacing w:line="240" w:lineRule="auto"/>
        <w:ind w:left="480" w:hanging="480"/>
        <w:rPr>
          <w:rFonts w:cs="Arial"/>
          <w:b/>
        </w:rPr>
      </w:pPr>
    </w:p>
    <w:tbl>
      <w:tblPr>
        <w:tblStyle w:val="TableGrid"/>
        <w:tblW w:w="0" w:type="auto"/>
        <w:tblInd w:w="480" w:type="dxa"/>
        <w:tblLook w:val="04A0" w:firstRow="1" w:lastRow="0" w:firstColumn="1" w:lastColumn="0" w:noHBand="0" w:noVBand="1"/>
      </w:tblPr>
      <w:tblGrid>
        <w:gridCol w:w="1376"/>
        <w:gridCol w:w="1228"/>
        <w:gridCol w:w="1228"/>
        <w:gridCol w:w="1211"/>
        <w:gridCol w:w="1228"/>
        <w:gridCol w:w="1212"/>
        <w:gridCol w:w="1279"/>
      </w:tblGrid>
      <w:tr w:rsidR="002867E2" w:rsidRPr="00593545" w:rsidTr="008C42C7">
        <w:tc>
          <w:tcPr>
            <w:tcW w:w="1376" w:type="dxa"/>
          </w:tcPr>
          <w:p w:rsidR="00EC18E2" w:rsidRPr="00593545" w:rsidRDefault="00EC18E2" w:rsidP="00416068">
            <w:pPr>
              <w:widowControl w:val="0"/>
              <w:autoSpaceDE w:val="0"/>
              <w:autoSpaceDN w:val="0"/>
              <w:adjustRightInd w:val="0"/>
              <w:rPr>
                <w:rFonts w:cs="Arial"/>
                <w:b/>
              </w:rPr>
            </w:pPr>
            <w:r w:rsidRPr="00593545">
              <w:rPr>
                <w:rFonts w:cs="Arial"/>
                <w:b/>
              </w:rPr>
              <w:t>Predictor</w:t>
            </w:r>
          </w:p>
        </w:tc>
        <w:tc>
          <w:tcPr>
            <w:tcW w:w="1228" w:type="dxa"/>
          </w:tcPr>
          <w:p w:rsidR="00EC18E2" w:rsidRPr="00593545" w:rsidRDefault="00EC18E2" w:rsidP="00416068">
            <w:pPr>
              <w:widowControl w:val="0"/>
              <w:autoSpaceDE w:val="0"/>
              <w:autoSpaceDN w:val="0"/>
              <w:adjustRightInd w:val="0"/>
              <w:rPr>
                <w:rFonts w:cs="Arial"/>
                <w:b/>
              </w:rPr>
            </w:pPr>
            <w:r w:rsidRPr="00593545">
              <w:rPr>
                <w:rFonts w:cs="Arial"/>
                <w:b/>
              </w:rPr>
              <w:t>β</w:t>
            </w:r>
          </w:p>
        </w:tc>
        <w:tc>
          <w:tcPr>
            <w:tcW w:w="1228" w:type="dxa"/>
          </w:tcPr>
          <w:p w:rsidR="00EC18E2" w:rsidRPr="00593545" w:rsidRDefault="00EC18E2" w:rsidP="00416068">
            <w:pPr>
              <w:widowControl w:val="0"/>
              <w:autoSpaceDE w:val="0"/>
              <w:autoSpaceDN w:val="0"/>
              <w:adjustRightInd w:val="0"/>
              <w:rPr>
                <w:rFonts w:cs="Arial"/>
                <w:b/>
              </w:rPr>
            </w:pPr>
            <w:r w:rsidRPr="00593545">
              <w:rPr>
                <w:rFonts w:cs="Arial"/>
                <w:b/>
              </w:rPr>
              <w:t>St Err</w:t>
            </w:r>
          </w:p>
        </w:tc>
        <w:tc>
          <w:tcPr>
            <w:tcW w:w="1211" w:type="dxa"/>
          </w:tcPr>
          <w:p w:rsidR="00EC18E2" w:rsidRPr="00593545" w:rsidRDefault="001F0CE6" w:rsidP="00416068">
            <w:pPr>
              <w:widowControl w:val="0"/>
              <w:autoSpaceDE w:val="0"/>
              <w:autoSpaceDN w:val="0"/>
              <w:adjustRightInd w:val="0"/>
              <w:rPr>
                <w:rFonts w:cs="Arial"/>
                <w:b/>
              </w:rPr>
            </w:pPr>
            <w:r w:rsidRPr="00593545">
              <w:rPr>
                <w:rFonts w:cs="Arial"/>
                <w:b/>
              </w:rPr>
              <w:t>Pearson’s r</w:t>
            </w:r>
          </w:p>
        </w:tc>
        <w:tc>
          <w:tcPr>
            <w:tcW w:w="1228" w:type="dxa"/>
          </w:tcPr>
          <w:p w:rsidR="00EC18E2" w:rsidRPr="00593545" w:rsidRDefault="001F0CE6" w:rsidP="00416068">
            <w:pPr>
              <w:widowControl w:val="0"/>
              <w:autoSpaceDE w:val="0"/>
              <w:autoSpaceDN w:val="0"/>
              <w:adjustRightInd w:val="0"/>
              <w:rPr>
                <w:rFonts w:cs="Arial"/>
                <w:b/>
                <w:vertAlign w:val="superscript"/>
              </w:rPr>
            </w:pPr>
            <w:r w:rsidRPr="00593545">
              <w:rPr>
                <w:rFonts w:cs="Arial"/>
                <w:b/>
              </w:rPr>
              <w:t>Relative R</w:t>
            </w:r>
            <w:r w:rsidR="00EC18E2" w:rsidRPr="00593545">
              <w:rPr>
                <w:rFonts w:cs="Arial"/>
                <w:b/>
                <w:vertAlign w:val="superscript"/>
              </w:rPr>
              <w:t>2</w:t>
            </w:r>
          </w:p>
        </w:tc>
        <w:tc>
          <w:tcPr>
            <w:tcW w:w="1212" w:type="dxa"/>
          </w:tcPr>
          <w:p w:rsidR="00EC18E2" w:rsidRPr="00593545" w:rsidRDefault="00EC18E2" w:rsidP="00416068">
            <w:pPr>
              <w:widowControl w:val="0"/>
              <w:autoSpaceDE w:val="0"/>
              <w:autoSpaceDN w:val="0"/>
              <w:adjustRightInd w:val="0"/>
              <w:rPr>
                <w:rFonts w:cs="Arial"/>
                <w:b/>
              </w:rPr>
            </w:pPr>
            <w:r w:rsidRPr="00593545">
              <w:rPr>
                <w:rFonts w:cs="Arial"/>
                <w:b/>
              </w:rPr>
              <w:t>t</w:t>
            </w:r>
          </w:p>
        </w:tc>
        <w:tc>
          <w:tcPr>
            <w:tcW w:w="1279" w:type="dxa"/>
          </w:tcPr>
          <w:p w:rsidR="00EC18E2" w:rsidRPr="00593545" w:rsidRDefault="00EC18E2" w:rsidP="00416068">
            <w:pPr>
              <w:widowControl w:val="0"/>
              <w:autoSpaceDE w:val="0"/>
              <w:autoSpaceDN w:val="0"/>
              <w:adjustRightInd w:val="0"/>
              <w:rPr>
                <w:rFonts w:cs="Arial"/>
                <w:b/>
              </w:rPr>
            </w:pPr>
            <w:r w:rsidRPr="00593545">
              <w:rPr>
                <w:rFonts w:cs="Arial"/>
                <w:b/>
              </w:rPr>
              <w:t>p</w:t>
            </w:r>
          </w:p>
        </w:tc>
      </w:tr>
      <w:tr w:rsidR="002867E2" w:rsidRPr="00593545" w:rsidTr="008C42C7">
        <w:tc>
          <w:tcPr>
            <w:tcW w:w="1376" w:type="dxa"/>
          </w:tcPr>
          <w:p w:rsidR="00EC18E2" w:rsidRPr="00593545" w:rsidRDefault="00EC18E2" w:rsidP="00416068">
            <w:pPr>
              <w:widowControl w:val="0"/>
              <w:autoSpaceDE w:val="0"/>
              <w:autoSpaceDN w:val="0"/>
              <w:adjustRightInd w:val="0"/>
              <w:rPr>
                <w:rFonts w:cs="Arial"/>
              </w:rPr>
            </w:pPr>
            <w:r w:rsidRPr="00593545">
              <w:rPr>
                <w:rFonts w:cs="Arial"/>
              </w:rPr>
              <w:t>Intercept</w:t>
            </w:r>
          </w:p>
        </w:tc>
        <w:tc>
          <w:tcPr>
            <w:tcW w:w="1228" w:type="dxa"/>
          </w:tcPr>
          <w:p w:rsidR="00EC18E2" w:rsidRPr="00593545" w:rsidRDefault="00EC18E2" w:rsidP="00416068">
            <w:pPr>
              <w:widowControl w:val="0"/>
              <w:autoSpaceDE w:val="0"/>
              <w:autoSpaceDN w:val="0"/>
              <w:adjustRightInd w:val="0"/>
              <w:rPr>
                <w:rFonts w:cs="Arial"/>
              </w:rPr>
            </w:pPr>
            <w:r w:rsidRPr="00593545">
              <w:rPr>
                <w:rFonts w:cs="Arial"/>
              </w:rPr>
              <w:t>1.09</w:t>
            </w:r>
          </w:p>
          <w:p w:rsidR="005C2DF3" w:rsidRPr="00593545" w:rsidRDefault="005C2DF3" w:rsidP="00416068">
            <w:pPr>
              <w:widowControl w:val="0"/>
              <w:autoSpaceDE w:val="0"/>
              <w:autoSpaceDN w:val="0"/>
              <w:adjustRightInd w:val="0"/>
              <w:rPr>
                <w:rFonts w:cs="Arial"/>
              </w:rPr>
            </w:pPr>
          </w:p>
        </w:tc>
        <w:tc>
          <w:tcPr>
            <w:tcW w:w="1228" w:type="dxa"/>
          </w:tcPr>
          <w:p w:rsidR="00EC18E2" w:rsidRPr="00593545" w:rsidRDefault="00EC18E2" w:rsidP="00416068">
            <w:pPr>
              <w:widowControl w:val="0"/>
              <w:autoSpaceDE w:val="0"/>
              <w:autoSpaceDN w:val="0"/>
              <w:adjustRightInd w:val="0"/>
              <w:rPr>
                <w:rFonts w:cs="Arial"/>
              </w:rPr>
            </w:pPr>
            <w:r w:rsidRPr="00593545">
              <w:rPr>
                <w:rFonts w:cs="Arial"/>
              </w:rPr>
              <w:t>0.12</w:t>
            </w:r>
          </w:p>
        </w:tc>
        <w:tc>
          <w:tcPr>
            <w:tcW w:w="1211" w:type="dxa"/>
          </w:tcPr>
          <w:p w:rsidR="00EC18E2" w:rsidRPr="00593545" w:rsidRDefault="00EC18E2" w:rsidP="00416068">
            <w:pPr>
              <w:widowControl w:val="0"/>
              <w:autoSpaceDE w:val="0"/>
              <w:autoSpaceDN w:val="0"/>
              <w:adjustRightInd w:val="0"/>
              <w:rPr>
                <w:rFonts w:cs="Arial"/>
              </w:rPr>
            </w:pPr>
          </w:p>
        </w:tc>
        <w:tc>
          <w:tcPr>
            <w:tcW w:w="1228" w:type="dxa"/>
          </w:tcPr>
          <w:p w:rsidR="00EC18E2" w:rsidRPr="00593545" w:rsidRDefault="00EC18E2" w:rsidP="00416068">
            <w:pPr>
              <w:widowControl w:val="0"/>
              <w:autoSpaceDE w:val="0"/>
              <w:autoSpaceDN w:val="0"/>
              <w:adjustRightInd w:val="0"/>
              <w:rPr>
                <w:rFonts w:cs="Arial"/>
              </w:rPr>
            </w:pPr>
          </w:p>
        </w:tc>
        <w:tc>
          <w:tcPr>
            <w:tcW w:w="1212" w:type="dxa"/>
          </w:tcPr>
          <w:p w:rsidR="00EC18E2" w:rsidRPr="00593545" w:rsidRDefault="002867E2" w:rsidP="00416068">
            <w:pPr>
              <w:widowControl w:val="0"/>
              <w:autoSpaceDE w:val="0"/>
              <w:autoSpaceDN w:val="0"/>
              <w:adjustRightInd w:val="0"/>
              <w:rPr>
                <w:rFonts w:cs="Arial"/>
              </w:rPr>
            </w:pPr>
            <w:r w:rsidRPr="00593545">
              <w:rPr>
                <w:rFonts w:cs="Arial"/>
              </w:rPr>
              <w:t>9.0</w:t>
            </w:r>
          </w:p>
        </w:tc>
        <w:tc>
          <w:tcPr>
            <w:tcW w:w="1279" w:type="dxa"/>
          </w:tcPr>
          <w:p w:rsidR="00EC18E2" w:rsidRPr="00593545" w:rsidRDefault="002867E2" w:rsidP="00416068">
            <w:pPr>
              <w:widowControl w:val="0"/>
              <w:autoSpaceDE w:val="0"/>
              <w:autoSpaceDN w:val="0"/>
              <w:adjustRightInd w:val="0"/>
              <w:rPr>
                <w:rFonts w:cs="Arial"/>
              </w:rPr>
            </w:pPr>
            <w:r w:rsidRPr="00593545">
              <w:rPr>
                <w:rFonts w:cs="Arial"/>
              </w:rPr>
              <w:t>&lt;0.001</w:t>
            </w:r>
            <w:r w:rsidR="00AB5DDE" w:rsidRPr="00593545">
              <w:rPr>
                <w:rFonts w:cs="Arial"/>
              </w:rPr>
              <w:t>**</w:t>
            </w:r>
          </w:p>
        </w:tc>
      </w:tr>
      <w:tr w:rsidR="005C2DF3" w:rsidRPr="00593545" w:rsidTr="008C42C7">
        <w:tc>
          <w:tcPr>
            <w:tcW w:w="1376" w:type="dxa"/>
          </w:tcPr>
          <w:p w:rsidR="005C2DF3" w:rsidRPr="00593545" w:rsidRDefault="005C2DF3" w:rsidP="005C2DF3">
            <w:pPr>
              <w:widowControl w:val="0"/>
              <w:autoSpaceDE w:val="0"/>
              <w:autoSpaceDN w:val="0"/>
              <w:adjustRightInd w:val="0"/>
              <w:rPr>
                <w:rFonts w:cs="Arial"/>
              </w:rPr>
            </w:pPr>
            <w:r w:rsidRPr="00593545">
              <w:rPr>
                <w:rFonts w:cs="Arial"/>
              </w:rPr>
              <w:t xml:space="preserve">Delay </w:t>
            </w:r>
          </w:p>
          <w:p w:rsidR="005C2DF3" w:rsidRPr="00593545" w:rsidRDefault="005C2DF3" w:rsidP="005C2DF3">
            <w:pPr>
              <w:widowControl w:val="0"/>
              <w:autoSpaceDE w:val="0"/>
              <w:autoSpaceDN w:val="0"/>
              <w:adjustRightInd w:val="0"/>
              <w:jc w:val="right"/>
              <w:rPr>
                <w:rFonts w:cs="Arial"/>
              </w:rPr>
            </w:pPr>
            <w:r w:rsidRPr="00593545">
              <w:rPr>
                <w:rFonts w:cs="Arial"/>
              </w:rPr>
              <w:t>(Short)</w:t>
            </w:r>
          </w:p>
        </w:tc>
        <w:tc>
          <w:tcPr>
            <w:tcW w:w="1228" w:type="dxa"/>
          </w:tcPr>
          <w:p w:rsidR="005C2DF3" w:rsidRPr="00593545" w:rsidRDefault="005C2DF3" w:rsidP="00416068">
            <w:pPr>
              <w:widowControl w:val="0"/>
              <w:autoSpaceDE w:val="0"/>
              <w:autoSpaceDN w:val="0"/>
              <w:adjustRightInd w:val="0"/>
              <w:rPr>
                <w:rFonts w:cs="Arial"/>
              </w:rPr>
            </w:pPr>
            <w:r w:rsidRPr="00593545">
              <w:rPr>
                <w:rFonts w:cs="Arial"/>
              </w:rPr>
              <w:t>-</w:t>
            </w:r>
          </w:p>
        </w:tc>
        <w:tc>
          <w:tcPr>
            <w:tcW w:w="1228" w:type="dxa"/>
          </w:tcPr>
          <w:p w:rsidR="005C2DF3" w:rsidRPr="00593545" w:rsidRDefault="005C2DF3" w:rsidP="00416068">
            <w:pPr>
              <w:widowControl w:val="0"/>
              <w:autoSpaceDE w:val="0"/>
              <w:autoSpaceDN w:val="0"/>
              <w:adjustRightInd w:val="0"/>
              <w:rPr>
                <w:rFonts w:cs="Arial"/>
              </w:rPr>
            </w:pPr>
            <w:r w:rsidRPr="00593545">
              <w:rPr>
                <w:rFonts w:cs="Arial"/>
              </w:rPr>
              <w:t>-</w:t>
            </w:r>
          </w:p>
        </w:tc>
        <w:tc>
          <w:tcPr>
            <w:tcW w:w="1211" w:type="dxa"/>
          </w:tcPr>
          <w:p w:rsidR="005C2DF3" w:rsidRPr="00593545" w:rsidRDefault="005C2DF3" w:rsidP="00416068">
            <w:pPr>
              <w:widowControl w:val="0"/>
              <w:autoSpaceDE w:val="0"/>
              <w:autoSpaceDN w:val="0"/>
              <w:adjustRightInd w:val="0"/>
              <w:rPr>
                <w:rFonts w:cs="Arial"/>
              </w:rPr>
            </w:pPr>
            <w:r w:rsidRPr="00593545">
              <w:rPr>
                <w:rFonts w:cs="Arial"/>
              </w:rPr>
              <w:t>-</w:t>
            </w:r>
          </w:p>
        </w:tc>
        <w:tc>
          <w:tcPr>
            <w:tcW w:w="1228" w:type="dxa"/>
          </w:tcPr>
          <w:p w:rsidR="005C2DF3" w:rsidRPr="00593545" w:rsidRDefault="005C2DF3" w:rsidP="00416068">
            <w:pPr>
              <w:widowControl w:val="0"/>
              <w:autoSpaceDE w:val="0"/>
              <w:autoSpaceDN w:val="0"/>
              <w:adjustRightInd w:val="0"/>
              <w:rPr>
                <w:rFonts w:cs="Arial"/>
              </w:rPr>
            </w:pPr>
            <w:r w:rsidRPr="00593545">
              <w:rPr>
                <w:rFonts w:cs="Arial"/>
              </w:rPr>
              <w:t>-</w:t>
            </w:r>
          </w:p>
        </w:tc>
        <w:tc>
          <w:tcPr>
            <w:tcW w:w="1212" w:type="dxa"/>
          </w:tcPr>
          <w:p w:rsidR="005C2DF3" w:rsidRPr="00593545" w:rsidRDefault="005C2DF3" w:rsidP="00416068">
            <w:pPr>
              <w:widowControl w:val="0"/>
              <w:autoSpaceDE w:val="0"/>
              <w:autoSpaceDN w:val="0"/>
              <w:adjustRightInd w:val="0"/>
              <w:rPr>
                <w:rFonts w:cs="Arial"/>
              </w:rPr>
            </w:pPr>
            <w:r w:rsidRPr="00593545">
              <w:rPr>
                <w:rFonts w:cs="Arial"/>
              </w:rPr>
              <w:t>-</w:t>
            </w:r>
          </w:p>
        </w:tc>
        <w:tc>
          <w:tcPr>
            <w:tcW w:w="1279" w:type="dxa"/>
          </w:tcPr>
          <w:p w:rsidR="005C2DF3" w:rsidRPr="00593545" w:rsidRDefault="005C2DF3" w:rsidP="00416068">
            <w:pPr>
              <w:widowControl w:val="0"/>
              <w:autoSpaceDE w:val="0"/>
              <w:autoSpaceDN w:val="0"/>
              <w:adjustRightInd w:val="0"/>
              <w:rPr>
                <w:rFonts w:cs="Arial"/>
              </w:rPr>
            </w:pPr>
            <w:r w:rsidRPr="00593545">
              <w:rPr>
                <w:rFonts w:cs="Arial"/>
              </w:rPr>
              <w:t>-</w:t>
            </w:r>
          </w:p>
        </w:tc>
      </w:tr>
      <w:tr w:rsidR="002867E2" w:rsidRPr="00593545" w:rsidTr="008C42C7">
        <w:tc>
          <w:tcPr>
            <w:tcW w:w="1376" w:type="dxa"/>
          </w:tcPr>
          <w:p w:rsidR="005C2DF3" w:rsidRPr="00593545" w:rsidRDefault="00EC18E2" w:rsidP="00416068">
            <w:pPr>
              <w:widowControl w:val="0"/>
              <w:autoSpaceDE w:val="0"/>
              <w:autoSpaceDN w:val="0"/>
              <w:adjustRightInd w:val="0"/>
              <w:rPr>
                <w:rFonts w:cs="Arial"/>
              </w:rPr>
            </w:pPr>
            <w:r w:rsidRPr="00593545">
              <w:rPr>
                <w:rFonts w:cs="Arial"/>
              </w:rPr>
              <w:t>Delay</w:t>
            </w:r>
            <w:r w:rsidR="005C2DF3" w:rsidRPr="00593545">
              <w:rPr>
                <w:rFonts w:cs="Arial"/>
              </w:rPr>
              <w:t xml:space="preserve"> </w:t>
            </w:r>
          </w:p>
          <w:p w:rsidR="00EC18E2" w:rsidRPr="00593545" w:rsidRDefault="005C2DF3" w:rsidP="005C2DF3">
            <w:pPr>
              <w:widowControl w:val="0"/>
              <w:autoSpaceDE w:val="0"/>
              <w:autoSpaceDN w:val="0"/>
              <w:adjustRightInd w:val="0"/>
              <w:jc w:val="right"/>
              <w:rPr>
                <w:rFonts w:cs="Arial"/>
              </w:rPr>
            </w:pPr>
            <w:r w:rsidRPr="00593545">
              <w:rPr>
                <w:rFonts w:cs="Arial"/>
              </w:rPr>
              <w:t>(Long)</w:t>
            </w:r>
          </w:p>
        </w:tc>
        <w:tc>
          <w:tcPr>
            <w:tcW w:w="1228" w:type="dxa"/>
          </w:tcPr>
          <w:p w:rsidR="00EC18E2" w:rsidRPr="00593545" w:rsidRDefault="002867E2" w:rsidP="00416068">
            <w:pPr>
              <w:widowControl w:val="0"/>
              <w:autoSpaceDE w:val="0"/>
              <w:autoSpaceDN w:val="0"/>
              <w:adjustRightInd w:val="0"/>
              <w:rPr>
                <w:rFonts w:cs="Arial"/>
              </w:rPr>
            </w:pPr>
            <w:r w:rsidRPr="00593545">
              <w:rPr>
                <w:rFonts w:cs="Arial"/>
              </w:rPr>
              <w:t>0.04</w:t>
            </w:r>
          </w:p>
        </w:tc>
        <w:tc>
          <w:tcPr>
            <w:tcW w:w="1228" w:type="dxa"/>
          </w:tcPr>
          <w:p w:rsidR="00EC18E2" w:rsidRPr="00593545" w:rsidRDefault="002867E2" w:rsidP="00416068">
            <w:pPr>
              <w:widowControl w:val="0"/>
              <w:autoSpaceDE w:val="0"/>
              <w:autoSpaceDN w:val="0"/>
              <w:adjustRightInd w:val="0"/>
              <w:rPr>
                <w:rFonts w:cs="Arial"/>
              </w:rPr>
            </w:pPr>
            <w:r w:rsidRPr="00593545">
              <w:rPr>
                <w:rFonts w:cs="Arial"/>
              </w:rPr>
              <w:t>0.06</w:t>
            </w:r>
          </w:p>
        </w:tc>
        <w:tc>
          <w:tcPr>
            <w:tcW w:w="1211" w:type="dxa"/>
          </w:tcPr>
          <w:p w:rsidR="00EC18E2" w:rsidRPr="00593545" w:rsidRDefault="002867E2" w:rsidP="00416068">
            <w:pPr>
              <w:widowControl w:val="0"/>
              <w:autoSpaceDE w:val="0"/>
              <w:autoSpaceDN w:val="0"/>
              <w:adjustRightInd w:val="0"/>
              <w:rPr>
                <w:rFonts w:cs="Arial"/>
              </w:rPr>
            </w:pPr>
            <w:r w:rsidRPr="00593545">
              <w:rPr>
                <w:rFonts w:cs="Arial"/>
              </w:rPr>
              <w:t>0.06</w:t>
            </w:r>
          </w:p>
        </w:tc>
        <w:tc>
          <w:tcPr>
            <w:tcW w:w="1228" w:type="dxa"/>
          </w:tcPr>
          <w:p w:rsidR="00EC18E2" w:rsidRPr="00593545" w:rsidRDefault="002867E2" w:rsidP="00416068">
            <w:pPr>
              <w:widowControl w:val="0"/>
              <w:autoSpaceDE w:val="0"/>
              <w:autoSpaceDN w:val="0"/>
              <w:adjustRightInd w:val="0"/>
              <w:rPr>
                <w:rFonts w:cs="Arial"/>
              </w:rPr>
            </w:pPr>
            <w:r w:rsidRPr="00593545">
              <w:rPr>
                <w:rFonts w:cs="Arial"/>
              </w:rPr>
              <w:t>0.004</w:t>
            </w:r>
          </w:p>
        </w:tc>
        <w:tc>
          <w:tcPr>
            <w:tcW w:w="1212" w:type="dxa"/>
          </w:tcPr>
          <w:p w:rsidR="00EC18E2" w:rsidRPr="00593545" w:rsidRDefault="002867E2" w:rsidP="00416068">
            <w:pPr>
              <w:widowControl w:val="0"/>
              <w:autoSpaceDE w:val="0"/>
              <w:autoSpaceDN w:val="0"/>
              <w:adjustRightInd w:val="0"/>
              <w:rPr>
                <w:rFonts w:cs="Arial"/>
              </w:rPr>
            </w:pPr>
            <w:r w:rsidRPr="00593545">
              <w:rPr>
                <w:rFonts w:cs="Arial"/>
              </w:rPr>
              <w:t>0.66</w:t>
            </w:r>
          </w:p>
        </w:tc>
        <w:tc>
          <w:tcPr>
            <w:tcW w:w="1279" w:type="dxa"/>
          </w:tcPr>
          <w:p w:rsidR="00EC18E2" w:rsidRPr="00593545" w:rsidRDefault="002867E2" w:rsidP="00416068">
            <w:pPr>
              <w:widowControl w:val="0"/>
              <w:autoSpaceDE w:val="0"/>
              <w:autoSpaceDN w:val="0"/>
              <w:adjustRightInd w:val="0"/>
              <w:rPr>
                <w:rFonts w:cs="Arial"/>
              </w:rPr>
            </w:pPr>
            <w:r w:rsidRPr="00593545">
              <w:rPr>
                <w:rFonts w:cs="Arial"/>
              </w:rPr>
              <w:t>0.51</w:t>
            </w:r>
          </w:p>
        </w:tc>
      </w:tr>
      <w:tr w:rsidR="005C2DF3" w:rsidRPr="00593545" w:rsidTr="008C42C7">
        <w:tc>
          <w:tcPr>
            <w:tcW w:w="1376" w:type="dxa"/>
          </w:tcPr>
          <w:p w:rsidR="005C2DF3" w:rsidRPr="00593545" w:rsidRDefault="005C2DF3" w:rsidP="00416068">
            <w:pPr>
              <w:widowControl w:val="0"/>
              <w:autoSpaceDE w:val="0"/>
              <w:autoSpaceDN w:val="0"/>
              <w:adjustRightInd w:val="0"/>
              <w:rPr>
                <w:rFonts w:cs="Arial"/>
              </w:rPr>
            </w:pPr>
            <w:r w:rsidRPr="00593545">
              <w:rPr>
                <w:rFonts w:cs="Arial"/>
              </w:rPr>
              <w:t xml:space="preserve">Performance </w:t>
            </w:r>
          </w:p>
          <w:p w:rsidR="005C2DF3" w:rsidRPr="00593545" w:rsidRDefault="005C2DF3" w:rsidP="005C2DF3">
            <w:pPr>
              <w:widowControl w:val="0"/>
              <w:autoSpaceDE w:val="0"/>
              <w:autoSpaceDN w:val="0"/>
              <w:adjustRightInd w:val="0"/>
              <w:jc w:val="right"/>
              <w:rPr>
                <w:rFonts w:cs="Arial"/>
              </w:rPr>
            </w:pPr>
            <w:r w:rsidRPr="00593545">
              <w:rPr>
                <w:rFonts w:cs="Arial"/>
              </w:rPr>
              <w:t>(K+/C-)</w:t>
            </w:r>
          </w:p>
        </w:tc>
        <w:tc>
          <w:tcPr>
            <w:tcW w:w="1228" w:type="dxa"/>
          </w:tcPr>
          <w:p w:rsidR="005C2DF3" w:rsidRPr="00593545" w:rsidRDefault="005C2DF3" w:rsidP="00416068">
            <w:pPr>
              <w:widowControl w:val="0"/>
              <w:autoSpaceDE w:val="0"/>
              <w:autoSpaceDN w:val="0"/>
              <w:adjustRightInd w:val="0"/>
              <w:rPr>
                <w:rFonts w:cs="Arial"/>
              </w:rPr>
            </w:pPr>
            <w:r w:rsidRPr="00593545">
              <w:rPr>
                <w:rFonts w:cs="Arial"/>
              </w:rPr>
              <w:t>-</w:t>
            </w:r>
          </w:p>
        </w:tc>
        <w:tc>
          <w:tcPr>
            <w:tcW w:w="1228" w:type="dxa"/>
          </w:tcPr>
          <w:p w:rsidR="005C2DF3" w:rsidRPr="00593545" w:rsidRDefault="005C2DF3" w:rsidP="00416068">
            <w:pPr>
              <w:widowControl w:val="0"/>
              <w:autoSpaceDE w:val="0"/>
              <w:autoSpaceDN w:val="0"/>
              <w:adjustRightInd w:val="0"/>
              <w:rPr>
                <w:rFonts w:cs="Arial"/>
              </w:rPr>
            </w:pPr>
            <w:r w:rsidRPr="00593545">
              <w:rPr>
                <w:rFonts w:cs="Arial"/>
              </w:rPr>
              <w:t>-</w:t>
            </w:r>
          </w:p>
        </w:tc>
        <w:tc>
          <w:tcPr>
            <w:tcW w:w="1211" w:type="dxa"/>
          </w:tcPr>
          <w:p w:rsidR="005C2DF3" w:rsidRPr="00593545" w:rsidRDefault="005C2DF3" w:rsidP="00416068">
            <w:pPr>
              <w:widowControl w:val="0"/>
              <w:autoSpaceDE w:val="0"/>
              <w:autoSpaceDN w:val="0"/>
              <w:adjustRightInd w:val="0"/>
              <w:rPr>
                <w:rFonts w:cs="Arial"/>
              </w:rPr>
            </w:pPr>
            <w:r w:rsidRPr="00593545">
              <w:rPr>
                <w:rFonts w:cs="Arial"/>
              </w:rPr>
              <w:t>-</w:t>
            </w:r>
          </w:p>
        </w:tc>
        <w:tc>
          <w:tcPr>
            <w:tcW w:w="1228" w:type="dxa"/>
          </w:tcPr>
          <w:p w:rsidR="005C2DF3" w:rsidRPr="00593545" w:rsidRDefault="005C2DF3" w:rsidP="00416068">
            <w:pPr>
              <w:widowControl w:val="0"/>
              <w:autoSpaceDE w:val="0"/>
              <w:autoSpaceDN w:val="0"/>
              <w:adjustRightInd w:val="0"/>
              <w:rPr>
                <w:rFonts w:cs="Arial"/>
              </w:rPr>
            </w:pPr>
            <w:r w:rsidRPr="00593545">
              <w:rPr>
                <w:rFonts w:cs="Arial"/>
              </w:rPr>
              <w:t>-</w:t>
            </w:r>
          </w:p>
        </w:tc>
        <w:tc>
          <w:tcPr>
            <w:tcW w:w="1212" w:type="dxa"/>
          </w:tcPr>
          <w:p w:rsidR="005C2DF3" w:rsidRPr="00593545" w:rsidRDefault="005C2DF3" w:rsidP="00416068">
            <w:pPr>
              <w:widowControl w:val="0"/>
              <w:autoSpaceDE w:val="0"/>
              <w:autoSpaceDN w:val="0"/>
              <w:adjustRightInd w:val="0"/>
              <w:rPr>
                <w:rFonts w:cs="Arial"/>
              </w:rPr>
            </w:pPr>
            <w:r w:rsidRPr="00593545">
              <w:rPr>
                <w:rFonts w:cs="Arial"/>
              </w:rPr>
              <w:t>-</w:t>
            </w:r>
          </w:p>
        </w:tc>
        <w:tc>
          <w:tcPr>
            <w:tcW w:w="1279" w:type="dxa"/>
          </w:tcPr>
          <w:p w:rsidR="005C2DF3" w:rsidRPr="00593545" w:rsidRDefault="005C2DF3" w:rsidP="00416068">
            <w:pPr>
              <w:widowControl w:val="0"/>
              <w:autoSpaceDE w:val="0"/>
              <w:autoSpaceDN w:val="0"/>
              <w:adjustRightInd w:val="0"/>
              <w:rPr>
                <w:rFonts w:cs="Arial"/>
              </w:rPr>
            </w:pPr>
            <w:r w:rsidRPr="00593545">
              <w:rPr>
                <w:rFonts w:cs="Arial"/>
              </w:rPr>
              <w:t>-</w:t>
            </w:r>
          </w:p>
        </w:tc>
      </w:tr>
      <w:tr w:rsidR="005C2DF3" w:rsidRPr="00593545" w:rsidTr="008C42C7">
        <w:tc>
          <w:tcPr>
            <w:tcW w:w="1376" w:type="dxa"/>
          </w:tcPr>
          <w:p w:rsidR="005C2DF3" w:rsidRPr="00593545" w:rsidRDefault="005C2DF3" w:rsidP="00416068">
            <w:pPr>
              <w:widowControl w:val="0"/>
              <w:autoSpaceDE w:val="0"/>
              <w:autoSpaceDN w:val="0"/>
              <w:adjustRightInd w:val="0"/>
              <w:rPr>
                <w:rFonts w:cs="Arial"/>
              </w:rPr>
            </w:pPr>
            <w:r w:rsidRPr="00593545">
              <w:rPr>
                <w:rFonts w:cs="Arial"/>
              </w:rPr>
              <w:t xml:space="preserve">Performance </w:t>
            </w:r>
          </w:p>
          <w:p w:rsidR="005C2DF3" w:rsidRPr="00593545" w:rsidRDefault="005C2DF3" w:rsidP="005C2DF3">
            <w:pPr>
              <w:widowControl w:val="0"/>
              <w:autoSpaceDE w:val="0"/>
              <w:autoSpaceDN w:val="0"/>
              <w:adjustRightInd w:val="0"/>
              <w:jc w:val="right"/>
              <w:rPr>
                <w:rFonts w:cs="Arial"/>
              </w:rPr>
            </w:pPr>
            <w:r w:rsidRPr="00593545">
              <w:rPr>
                <w:rFonts w:cs="Arial"/>
              </w:rPr>
              <w:t>(K-C+)</w:t>
            </w:r>
          </w:p>
        </w:tc>
        <w:tc>
          <w:tcPr>
            <w:tcW w:w="1228" w:type="dxa"/>
          </w:tcPr>
          <w:p w:rsidR="005C2DF3" w:rsidRPr="00593545" w:rsidRDefault="005C2DF3" w:rsidP="00416068">
            <w:pPr>
              <w:widowControl w:val="0"/>
              <w:autoSpaceDE w:val="0"/>
              <w:autoSpaceDN w:val="0"/>
              <w:adjustRightInd w:val="0"/>
              <w:rPr>
                <w:rFonts w:cs="Arial"/>
              </w:rPr>
            </w:pPr>
            <w:r w:rsidRPr="00593545">
              <w:rPr>
                <w:rFonts w:cs="Arial"/>
              </w:rPr>
              <w:t>0.17</w:t>
            </w:r>
          </w:p>
        </w:tc>
        <w:tc>
          <w:tcPr>
            <w:tcW w:w="1228" w:type="dxa"/>
          </w:tcPr>
          <w:p w:rsidR="005C2DF3" w:rsidRPr="00593545" w:rsidRDefault="005C2DF3" w:rsidP="00416068">
            <w:pPr>
              <w:widowControl w:val="0"/>
              <w:autoSpaceDE w:val="0"/>
              <w:autoSpaceDN w:val="0"/>
              <w:adjustRightInd w:val="0"/>
              <w:rPr>
                <w:rFonts w:cs="Arial"/>
              </w:rPr>
            </w:pPr>
            <w:r w:rsidRPr="00593545">
              <w:rPr>
                <w:rFonts w:cs="Arial"/>
              </w:rPr>
              <w:t>0.07</w:t>
            </w:r>
          </w:p>
        </w:tc>
        <w:tc>
          <w:tcPr>
            <w:tcW w:w="1211" w:type="dxa"/>
          </w:tcPr>
          <w:p w:rsidR="005C2DF3" w:rsidRPr="00593545" w:rsidRDefault="005C2DF3" w:rsidP="00416068">
            <w:pPr>
              <w:widowControl w:val="0"/>
              <w:autoSpaceDE w:val="0"/>
              <w:autoSpaceDN w:val="0"/>
              <w:adjustRightInd w:val="0"/>
              <w:rPr>
                <w:rFonts w:cs="Arial"/>
              </w:rPr>
            </w:pPr>
          </w:p>
        </w:tc>
        <w:tc>
          <w:tcPr>
            <w:tcW w:w="1228" w:type="dxa"/>
          </w:tcPr>
          <w:p w:rsidR="005C2DF3" w:rsidRPr="00593545" w:rsidRDefault="005C2DF3" w:rsidP="00416068">
            <w:pPr>
              <w:widowControl w:val="0"/>
              <w:autoSpaceDE w:val="0"/>
              <w:autoSpaceDN w:val="0"/>
              <w:adjustRightInd w:val="0"/>
              <w:rPr>
                <w:rFonts w:cs="Arial"/>
              </w:rPr>
            </w:pPr>
          </w:p>
        </w:tc>
        <w:tc>
          <w:tcPr>
            <w:tcW w:w="1212" w:type="dxa"/>
          </w:tcPr>
          <w:p w:rsidR="005C2DF3" w:rsidRPr="00593545" w:rsidRDefault="005C2DF3" w:rsidP="00416068">
            <w:pPr>
              <w:widowControl w:val="0"/>
              <w:autoSpaceDE w:val="0"/>
              <w:autoSpaceDN w:val="0"/>
              <w:adjustRightInd w:val="0"/>
              <w:rPr>
                <w:rFonts w:cs="Arial"/>
              </w:rPr>
            </w:pPr>
            <w:r w:rsidRPr="00593545">
              <w:rPr>
                <w:rFonts w:cs="Arial"/>
              </w:rPr>
              <w:t>2.33</w:t>
            </w:r>
          </w:p>
        </w:tc>
        <w:tc>
          <w:tcPr>
            <w:tcW w:w="1279" w:type="dxa"/>
          </w:tcPr>
          <w:p w:rsidR="005C2DF3" w:rsidRPr="00593545" w:rsidRDefault="005C2DF3" w:rsidP="00416068">
            <w:pPr>
              <w:widowControl w:val="0"/>
              <w:autoSpaceDE w:val="0"/>
              <w:autoSpaceDN w:val="0"/>
              <w:adjustRightInd w:val="0"/>
              <w:rPr>
                <w:rFonts w:cs="Arial"/>
              </w:rPr>
            </w:pPr>
            <w:r w:rsidRPr="00593545">
              <w:rPr>
                <w:rFonts w:cs="Arial"/>
              </w:rPr>
              <w:t>0.020</w:t>
            </w:r>
            <w:r w:rsidR="00AB5DDE" w:rsidRPr="00593545">
              <w:rPr>
                <w:rFonts w:cs="Arial"/>
              </w:rPr>
              <w:t>*</w:t>
            </w:r>
          </w:p>
        </w:tc>
      </w:tr>
      <w:tr w:rsidR="002867E2" w:rsidRPr="00593545" w:rsidTr="008C42C7">
        <w:tc>
          <w:tcPr>
            <w:tcW w:w="1376" w:type="dxa"/>
          </w:tcPr>
          <w:p w:rsidR="005C2DF3" w:rsidRPr="00593545" w:rsidRDefault="00EC18E2" w:rsidP="00416068">
            <w:pPr>
              <w:widowControl w:val="0"/>
              <w:autoSpaceDE w:val="0"/>
              <w:autoSpaceDN w:val="0"/>
              <w:adjustRightInd w:val="0"/>
              <w:rPr>
                <w:rFonts w:cs="Arial"/>
              </w:rPr>
            </w:pPr>
            <w:r w:rsidRPr="00593545">
              <w:rPr>
                <w:rFonts w:cs="Arial"/>
              </w:rPr>
              <w:t>Performance</w:t>
            </w:r>
            <w:r w:rsidR="005C2DF3" w:rsidRPr="00593545">
              <w:rPr>
                <w:rFonts w:cs="Arial"/>
              </w:rPr>
              <w:t xml:space="preserve"> </w:t>
            </w:r>
          </w:p>
          <w:p w:rsidR="00EC18E2" w:rsidRPr="00593545" w:rsidRDefault="005C2DF3" w:rsidP="005C2DF3">
            <w:pPr>
              <w:widowControl w:val="0"/>
              <w:autoSpaceDE w:val="0"/>
              <w:autoSpaceDN w:val="0"/>
              <w:adjustRightInd w:val="0"/>
              <w:jc w:val="right"/>
              <w:rPr>
                <w:rFonts w:cs="Arial"/>
              </w:rPr>
            </w:pPr>
            <w:r w:rsidRPr="00593545">
              <w:rPr>
                <w:rFonts w:cs="Arial"/>
              </w:rPr>
              <w:t>(mixed)</w:t>
            </w:r>
          </w:p>
        </w:tc>
        <w:tc>
          <w:tcPr>
            <w:tcW w:w="1228" w:type="dxa"/>
          </w:tcPr>
          <w:p w:rsidR="00EC18E2" w:rsidRPr="00593545" w:rsidRDefault="005C2DF3" w:rsidP="00416068">
            <w:pPr>
              <w:widowControl w:val="0"/>
              <w:autoSpaceDE w:val="0"/>
              <w:autoSpaceDN w:val="0"/>
              <w:adjustRightInd w:val="0"/>
              <w:rPr>
                <w:rFonts w:cs="Arial"/>
              </w:rPr>
            </w:pPr>
            <w:r w:rsidRPr="00593545">
              <w:rPr>
                <w:rFonts w:cs="Arial"/>
              </w:rPr>
              <w:t>-0.14</w:t>
            </w:r>
          </w:p>
        </w:tc>
        <w:tc>
          <w:tcPr>
            <w:tcW w:w="1228" w:type="dxa"/>
          </w:tcPr>
          <w:p w:rsidR="00EC18E2" w:rsidRPr="00593545" w:rsidRDefault="002867E2" w:rsidP="00416068">
            <w:pPr>
              <w:widowControl w:val="0"/>
              <w:autoSpaceDE w:val="0"/>
              <w:autoSpaceDN w:val="0"/>
              <w:adjustRightInd w:val="0"/>
              <w:rPr>
                <w:rFonts w:cs="Arial"/>
              </w:rPr>
            </w:pPr>
            <w:r w:rsidRPr="00593545">
              <w:rPr>
                <w:rFonts w:cs="Arial"/>
              </w:rPr>
              <w:t>0.07</w:t>
            </w:r>
          </w:p>
        </w:tc>
        <w:tc>
          <w:tcPr>
            <w:tcW w:w="1211" w:type="dxa"/>
          </w:tcPr>
          <w:p w:rsidR="00EC18E2" w:rsidRPr="00593545" w:rsidRDefault="00EC18E2" w:rsidP="00416068">
            <w:pPr>
              <w:widowControl w:val="0"/>
              <w:autoSpaceDE w:val="0"/>
              <w:autoSpaceDN w:val="0"/>
              <w:adjustRightInd w:val="0"/>
              <w:rPr>
                <w:rFonts w:cs="Arial"/>
              </w:rPr>
            </w:pPr>
          </w:p>
        </w:tc>
        <w:tc>
          <w:tcPr>
            <w:tcW w:w="1228" w:type="dxa"/>
          </w:tcPr>
          <w:p w:rsidR="00EC18E2" w:rsidRPr="00593545" w:rsidRDefault="002867E2" w:rsidP="00416068">
            <w:pPr>
              <w:widowControl w:val="0"/>
              <w:autoSpaceDE w:val="0"/>
              <w:autoSpaceDN w:val="0"/>
              <w:adjustRightInd w:val="0"/>
              <w:rPr>
                <w:rFonts w:cs="Arial"/>
              </w:rPr>
            </w:pPr>
            <w:r w:rsidRPr="00593545">
              <w:rPr>
                <w:rFonts w:cs="Arial"/>
              </w:rPr>
              <w:t>0.038</w:t>
            </w:r>
          </w:p>
        </w:tc>
        <w:tc>
          <w:tcPr>
            <w:tcW w:w="1212" w:type="dxa"/>
          </w:tcPr>
          <w:p w:rsidR="00EC18E2" w:rsidRPr="00593545" w:rsidRDefault="002867E2" w:rsidP="00416068">
            <w:pPr>
              <w:widowControl w:val="0"/>
              <w:autoSpaceDE w:val="0"/>
              <w:autoSpaceDN w:val="0"/>
              <w:adjustRightInd w:val="0"/>
              <w:rPr>
                <w:rFonts w:cs="Arial"/>
              </w:rPr>
            </w:pPr>
            <w:r w:rsidRPr="00593545">
              <w:rPr>
                <w:rFonts w:cs="Arial"/>
              </w:rPr>
              <w:t>-2.00</w:t>
            </w:r>
          </w:p>
        </w:tc>
        <w:tc>
          <w:tcPr>
            <w:tcW w:w="1279" w:type="dxa"/>
          </w:tcPr>
          <w:p w:rsidR="00EC18E2" w:rsidRPr="00593545" w:rsidRDefault="002867E2" w:rsidP="00416068">
            <w:pPr>
              <w:widowControl w:val="0"/>
              <w:autoSpaceDE w:val="0"/>
              <w:autoSpaceDN w:val="0"/>
              <w:adjustRightInd w:val="0"/>
              <w:rPr>
                <w:rFonts w:cs="Arial"/>
              </w:rPr>
            </w:pPr>
            <w:r w:rsidRPr="00593545">
              <w:rPr>
                <w:rFonts w:cs="Arial"/>
              </w:rPr>
              <w:t>0.046</w:t>
            </w:r>
            <w:r w:rsidR="00AB5DDE" w:rsidRPr="00593545">
              <w:rPr>
                <w:rFonts w:cs="Arial"/>
              </w:rPr>
              <w:t>*</w:t>
            </w:r>
          </w:p>
        </w:tc>
      </w:tr>
      <w:tr w:rsidR="002867E2" w:rsidRPr="00593545" w:rsidTr="008C42C7">
        <w:tc>
          <w:tcPr>
            <w:tcW w:w="1376" w:type="dxa"/>
          </w:tcPr>
          <w:p w:rsidR="00EC18E2" w:rsidRPr="00593545" w:rsidRDefault="00EC18E2" w:rsidP="00416068">
            <w:pPr>
              <w:widowControl w:val="0"/>
              <w:autoSpaceDE w:val="0"/>
              <w:autoSpaceDN w:val="0"/>
              <w:adjustRightInd w:val="0"/>
              <w:rPr>
                <w:rFonts w:cs="Arial"/>
              </w:rPr>
            </w:pPr>
            <w:r w:rsidRPr="00593545">
              <w:rPr>
                <w:rFonts w:cs="Arial"/>
              </w:rPr>
              <w:t>Duration</w:t>
            </w:r>
          </w:p>
        </w:tc>
        <w:tc>
          <w:tcPr>
            <w:tcW w:w="1228" w:type="dxa"/>
          </w:tcPr>
          <w:p w:rsidR="00EC18E2" w:rsidRPr="00593545" w:rsidRDefault="002867E2" w:rsidP="00416068">
            <w:pPr>
              <w:widowControl w:val="0"/>
              <w:autoSpaceDE w:val="0"/>
              <w:autoSpaceDN w:val="0"/>
              <w:adjustRightInd w:val="0"/>
              <w:rPr>
                <w:rFonts w:cs="Arial"/>
              </w:rPr>
            </w:pPr>
            <w:r w:rsidRPr="00593545">
              <w:rPr>
                <w:rFonts w:cs="Arial"/>
              </w:rPr>
              <w:t>0.004</w:t>
            </w:r>
          </w:p>
          <w:p w:rsidR="005C2DF3" w:rsidRPr="00593545" w:rsidRDefault="005C2DF3" w:rsidP="00416068">
            <w:pPr>
              <w:widowControl w:val="0"/>
              <w:autoSpaceDE w:val="0"/>
              <w:autoSpaceDN w:val="0"/>
              <w:adjustRightInd w:val="0"/>
              <w:rPr>
                <w:rFonts w:cs="Arial"/>
              </w:rPr>
            </w:pPr>
          </w:p>
        </w:tc>
        <w:tc>
          <w:tcPr>
            <w:tcW w:w="1228" w:type="dxa"/>
          </w:tcPr>
          <w:p w:rsidR="00EC18E2" w:rsidRPr="00593545" w:rsidRDefault="002867E2" w:rsidP="00416068">
            <w:pPr>
              <w:widowControl w:val="0"/>
              <w:autoSpaceDE w:val="0"/>
              <w:autoSpaceDN w:val="0"/>
              <w:adjustRightInd w:val="0"/>
              <w:rPr>
                <w:rFonts w:cs="Arial"/>
              </w:rPr>
            </w:pPr>
            <w:r w:rsidRPr="00593545">
              <w:rPr>
                <w:rFonts w:cs="Arial"/>
              </w:rPr>
              <w:t>0.006</w:t>
            </w:r>
          </w:p>
        </w:tc>
        <w:tc>
          <w:tcPr>
            <w:tcW w:w="1211" w:type="dxa"/>
          </w:tcPr>
          <w:p w:rsidR="00EC18E2" w:rsidRPr="00593545" w:rsidRDefault="002867E2" w:rsidP="00416068">
            <w:pPr>
              <w:widowControl w:val="0"/>
              <w:autoSpaceDE w:val="0"/>
              <w:autoSpaceDN w:val="0"/>
              <w:adjustRightInd w:val="0"/>
              <w:rPr>
                <w:rFonts w:cs="Arial"/>
              </w:rPr>
            </w:pPr>
            <w:r w:rsidRPr="00593545">
              <w:rPr>
                <w:rFonts w:cs="Arial"/>
              </w:rPr>
              <w:t>0.05</w:t>
            </w:r>
          </w:p>
        </w:tc>
        <w:tc>
          <w:tcPr>
            <w:tcW w:w="1228" w:type="dxa"/>
          </w:tcPr>
          <w:p w:rsidR="00EC18E2" w:rsidRPr="00593545" w:rsidRDefault="002867E2" w:rsidP="002867E2">
            <w:pPr>
              <w:widowControl w:val="0"/>
              <w:autoSpaceDE w:val="0"/>
              <w:autoSpaceDN w:val="0"/>
              <w:adjustRightInd w:val="0"/>
              <w:rPr>
                <w:rFonts w:cs="Arial"/>
              </w:rPr>
            </w:pPr>
            <w:r w:rsidRPr="00593545">
              <w:t>0.003</w:t>
            </w:r>
          </w:p>
        </w:tc>
        <w:tc>
          <w:tcPr>
            <w:tcW w:w="1212" w:type="dxa"/>
          </w:tcPr>
          <w:p w:rsidR="00EC18E2" w:rsidRPr="00593545" w:rsidRDefault="002867E2" w:rsidP="00416068">
            <w:pPr>
              <w:widowControl w:val="0"/>
              <w:autoSpaceDE w:val="0"/>
              <w:autoSpaceDN w:val="0"/>
              <w:adjustRightInd w:val="0"/>
              <w:rPr>
                <w:rFonts w:cs="Arial"/>
              </w:rPr>
            </w:pPr>
            <w:r w:rsidRPr="00593545">
              <w:rPr>
                <w:rFonts w:cs="Arial"/>
              </w:rPr>
              <w:t>0.64</w:t>
            </w:r>
          </w:p>
        </w:tc>
        <w:tc>
          <w:tcPr>
            <w:tcW w:w="1279" w:type="dxa"/>
          </w:tcPr>
          <w:p w:rsidR="00EC18E2" w:rsidRPr="00593545" w:rsidRDefault="002867E2" w:rsidP="00416068">
            <w:pPr>
              <w:widowControl w:val="0"/>
              <w:autoSpaceDE w:val="0"/>
              <w:autoSpaceDN w:val="0"/>
              <w:adjustRightInd w:val="0"/>
              <w:rPr>
                <w:rFonts w:cs="Arial"/>
              </w:rPr>
            </w:pPr>
            <w:r w:rsidRPr="00593545">
              <w:rPr>
                <w:rFonts w:cs="Arial"/>
              </w:rPr>
              <w:t>0.52</w:t>
            </w:r>
          </w:p>
        </w:tc>
      </w:tr>
      <w:tr w:rsidR="002867E2" w:rsidRPr="00593545" w:rsidTr="008C42C7">
        <w:tc>
          <w:tcPr>
            <w:tcW w:w="1376" w:type="dxa"/>
          </w:tcPr>
          <w:p w:rsidR="00EC18E2" w:rsidRPr="00593545" w:rsidRDefault="00EC18E2" w:rsidP="00416068">
            <w:pPr>
              <w:widowControl w:val="0"/>
              <w:autoSpaceDE w:val="0"/>
              <w:autoSpaceDN w:val="0"/>
              <w:adjustRightInd w:val="0"/>
              <w:rPr>
                <w:rFonts w:cs="Arial"/>
              </w:rPr>
            </w:pPr>
            <w:r w:rsidRPr="00593545">
              <w:rPr>
                <w:rFonts w:cs="Arial"/>
              </w:rPr>
              <w:t>Recollection</w:t>
            </w:r>
          </w:p>
        </w:tc>
        <w:tc>
          <w:tcPr>
            <w:tcW w:w="1228" w:type="dxa"/>
          </w:tcPr>
          <w:p w:rsidR="00EC18E2" w:rsidRPr="00593545" w:rsidRDefault="002867E2" w:rsidP="00416068">
            <w:pPr>
              <w:widowControl w:val="0"/>
              <w:autoSpaceDE w:val="0"/>
              <w:autoSpaceDN w:val="0"/>
              <w:adjustRightInd w:val="0"/>
              <w:rPr>
                <w:rFonts w:cs="Arial"/>
              </w:rPr>
            </w:pPr>
            <w:r w:rsidRPr="00593545">
              <w:rPr>
                <w:rFonts w:cs="Arial"/>
              </w:rPr>
              <w:t>-0.007</w:t>
            </w:r>
          </w:p>
          <w:p w:rsidR="005C2DF3" w:rsidRPr="00593545" w:rsidRDefault="005C2DF3" w:rsidP="00416068">
            <w:pPr>
              <w:widowControl w:val="0"/>
              <w:autoSpaceDE w:val="0"/>
              <w:autoSpaceDN w:val="0"/>
              <w:adjustRightInd w:val="0"/>
              <w:rPr>
                <w:rFonts w:cs="Arial"/>
              </w:rPr>
            </w:pPr>
          </w:p>
        </w:tc>
        <w:tc>
          <w:tcPr>
            <w:tcW w:w="1228" w:type="dxa"/>
          </w:tcPr>
          <w:p w:rsidR="00EC18E2" w:rsidRPr="00593545" w:rsidRDefault="002867E2" w:rsidP="00416068">
            <w:pPr>
              <w:widowControl w:val="0"/>
              <w:autoSpaceDE w:val="0"/>
              <w:autoSpaceDN w:val="0"/>
              <w:adjustRightInd w:val="0"/>
              <w:rPr>
                <w:rFonts w:cs="Arial"/>
              </w:rPr>
            </w:pPr>
            <w:r w:rsidRPr="00593545">
              <w:rPr>
                <w:rFonts w:cs="Arial"/>
              </w:rPr>
              <w:t>0.002</w:t>
            </w:r>
          </w:p>
        </w:tc>
        <w:tc>
          <w:tcPr>
            <w:tcW w:w="1211" w:type="dxa"/>
          </w:tcPr>
          <w:p w:rsidR="00EC18E2" w:rsidRPr="00593545" w:rsidRDefault="002867E2" w:rsidP="00416068">
            <w:pPr>
              <w:widowControl w:val="0"/>
              <w:autoSpaceDE w:val="0"/>
              <w:autoSpaceDN w:val="0"/>
              <w:adjustRightInd w:val="0"/>
              <w:rPr>
                <w:rFonts w:cs="Arial"/>
              </w:rPr>
            </w:pPr>
            <w:r w:rsidRPr="00593545">
              <w:rPr>
                <w:rFonts w:cs="Arial"/>
              </w:rPr>
              <w:t>-0.17</w:t>
            </w:r>
          </w:p>
        </w:tc>
        <w:tc>
          <w:tcPr>
            <w:tcW w:w="1228" w:type="dxa"/>
          </w:tcPr>
          <w:p w:rsidR="00EC18E2" w:rsidRPr="00593545" w:rsidRDefault="002867E2" w:rsidP="002867E2">
            <w:pPr>
              <w:widowControl w:val="0"/>
              <w:autoSpaceDE w:val="0"/>
              <w:autoSpaceDN w:val="0"/>
              <w:adjustRightInd w:val="0"/>
              <w:rPr>
                <w:rFonts w:cs="Arial"/>
              </w:rPr>
            </w:pPr>
            <w:r w:rsidRPr="00593545">
              <w:t>0.028</w:t>
            </w:r>
          </w:p>
        </w:tc>
        <w:tc>
          <w:tcPr>
            <w:tcW w:w="1212" w:type="dxa"/>
          </w:tcPr>
          <w:p w:rsidR="00EC18E2" w:rsidRPr="00593545" w:rsidRDefault="005C2DF3" w:rsidP="00416068">
            <w:pPr>
              <w:widowControl w:val="0"/>
              <w:autoSpaceDE w:val="0"/>
              <w:autoSpaceDN w:val="0"/>
              <w:adjustRightInd w:val="0"/>
              <w:rPr>
                <w:rFonts w:cs="Arial"/>
              </w:rPr>
            </w:pPr>
            <w:r w:rsidRPr="00593545">
              <w:rPr>
                <w:rFonts w:cs="Arial"/>
              </w:rPr>
              <w:t>-3.44</w:t>
            </w:r>
          </w:p>
        </w:tc>
        <w:tc>
          <w:tcPr>
            <w:tcW w:w="1279" w:type="dxa"/>
          </w:tcPr>
          <w:p w:rsidR="00EC18E2" w:rsidRPr="00593545" w:rsidRDefault="005C2DF3" w:rsidP="00416068">
            <w:pPr>
              <w:widowControl w:val="0"/>
              <w:autoSpaceDE w:val="0"/>
              <w:autoSpaceDN w:val="0"/>
              <w:adjustRightInd w:val="0"/>
              <w:rPr>
                <w:rFonts w:cs="Arial"/>
              </w:rPr>
            </w:pPr>
            <w:r w:rsidRPr="00593545">
              <w:rPr>
                <w:rFonts w:cs="Arial"/>
              </w:rPr>
              <w:t>&lt;0.001**</w:t>
            </w:r>
          </w:p>
        </w:tc>
      </w:tr>
    </w:tbl>
    <w:p w:rsidR="008C42C7" w:rsidRPr="00593545" w:rsidRDefault="008C42C7" w:rsidP="008C42C7">
      <w:pPr>
        <w:widowControl w:val="0"/>
        <w:autoSpaceDE w:val="0"/>
        <w:autoSpaceDN w:val="0"/>
        <w:adjustRightInd w:val="0"/>
        <w:spacing w:after="0" w:line="240" w:lineRule="auto"/>
        <w:ind w:left="482" w:hanging="482"/>
        <w:rPr>
          <w:rFonts w:cs="Arial"/>
        </w:rPr>
      </w:pPr>
      <w:r w:rsidRPr="00593545">
        <w:rPr>
          <w:rFonts w:cs="Arial"/>
        </w:rPr>
        <w:t>* = significant at p&lt;0.05</w:t>
      </w:r>
    </w:p>
    <w:p w:rsidR="00FC780C" w:rsidRPr="00593545" w:rsidRDefault="008C42C7" w:rsidP="00FC780C">
      <w:pPr>
        <w:rPr>
          <w:rFonts w:ascii="Calibri" w:eastAsia="Times New Roman" w:hAnsi="Calibri" w:cs="Times New Roman"/>
          <w:color w:val="000000"/>
          <w:lang w:eastAsia="en-GB"/>
        </w:rPr>
      </w:pPr>
      <w:r w:rsidRPr="00593545">
        <w:rPr>
          <w:rFonts w:cs="Arial"/>
        </w:rPr>
        <w:t>** = significant at p&lt;0.001</w:t>
      </w:r>
    </w:p>
    <w:p w:rsidR="00FC780C" w:rsidRPr="00593545" w:rsidRDefault="00FC780C" w:rsidP="00FC780C">
      <w:pPr>
        <w:widowControl w:val="0"/>
        <w:autoSpaceDE w:val="0"/>
        <w:autoSpaceDN w:val="0"/>
        <w:adjustRightInd w:val="0"/>
        <w:spacing w:line="240" w:lineRule="auto"/>
        <w:ind w:left="480" w:hanging="480"/>
        <w:rPr>
          <w:rFonts w:cs="Arial"/>
          <w:b/>
        </w:rPr>
      </w:pPr>
      <w:proofErr w:type="gramStart"/>
      <w:r w:rsidRPr="00593545">
        <w:rPr>
          <w:rFonts w:cs="Arial"/>
          <w:b/>
        </w:rPr>
        <w:t xml:space="preserve">Table 2: </w:t>
      </w:r>
      <w:r w:rsidR="005C2DF3" w:rsidRPr="00593545">
        <w:rPr>
          <w:rFonts w:cs="Arial"/>
          <w:b/>
        </w:rPr>
        <w:t>Regression coefficients</w:t>
      </w:r>
      <w:r w:rsidR="008C42C7" w:rsidRPr="00593545">
        <w:rPr>
          <w:rFonts w:cs="Arial"/>
          <w:b/>
        </w:rPr>
        <w:t xml:space="preserve"> </w:t>
      </w:r>
      <w:r w:rsidRPr="00593545">
        <w:rPr>
          <w:rFonts w:cs="Arial"/>
          <w:b/>
        </w:rPr>
        <w:t xml:space="preserve">between domain separation and </w:t>
      </w:r>
      <w:r w:rsidR="005C2DF3" w:rsidRPr="00593545">
        <w:rPr>
          <w:rFonts w:cs="Arial"/>
          <w:b/>
        </w:rPr>
        <w:t>listed predictor variables.</w:t>
      </w:r>
      <w:proofErr w:type="gramEnd"/>
    </w:p>
    <w:tbl>
      <w:tblPr>
        <w:tblStyle w:val="TableGrid"/>
        <w:tblW w:w="0" w:type="auto"/>
        <w:tblInd w:w="480" w:type="dxa"/>
        <w:tblLook w:val="04A0" w:firstRow="1" w:lastRow="0" w:firstColumn="1" w:lastColumn="0" w:noHBand="0" w:noVBand="1"/>
      </w:tblPr>
      <w:tblGrid>
        <w:gridCol w:w="1375"/>
        <w:gridCol w:w="1233"/>
        <w:gridCol w:w="1234"/>
        <w:gridCol w:w="1218"/>
        <w:gridCol w:w="1234"/>
        <w:gridCol w:w="1218"/>
        <w:gridCol w:w="1250"/>
      </w:tblGrid>
      <w:tr w:rsidR="005C2DF3" w:rsidRPr="00593545" w:rsidTr="008C42C7">
        <w:tc>
          <w:tcPr>
            <w:tcW w:w="1375" w:type="dxa"/>
          </w:tcPr>
          <w:p w:rsidR="005C2DF3" w:rsidRPr="00593545" w:rsidRDefault="005C2DF3" w:rsidP="00AB5DDE">
            <w:pPr>
              <w:widowControl w:val="0"/>
              <w:autoSpaceDE w:val="0"/>
              <w:autoSpaceDN w:val="0"/>
              <w:adjustRightInd w:val="0"/>
              <w:rPr>
                <w:rFonts w:cs="Arial"/>
                <w:b/>
              </w:rPr>
            </w:pPr>
            <w:r w:rsidRPr="00593545">
              <w:rPr>
                <w:rFonts w:cs="Arial"/>
                <w:b/>
              </w:rPr>
              <w:t>Predictor</w:t>
            </w:r>
          </w:p>
        </w:tc>
        <w:tc>
          <w:tcPr>
            <w:tcW w:w="1233" w:type="dxa"/>
          </w:tcPr>
          <w:p w:rsidR="005C2DF3" w:rsidRPr="00593545" w:rsidRDefault="005C2DF3" w:rsidP="00AB5DDE">
            <w:pPr>
              <w:widowControl w:val="0"/>
              <w:autoSpaceDE w:val="0"/>
              <w:autoSpaceDN w:val="0"/>
              <w:adjustRightInd w:val="0"/>
              <w:rPr>
                <w:rFonts w:cs="Arial"/>
                <w:b/>
              </w:rPr>
            </w:pPr>
            <w:r w:rsidRPr="00593545">
              <w:rPr>
                <w:rFonts w:cs="Arial"/>
                <w:b/>
              </w:rPr>
              <w:t>β</w:t>
            </w:r>
          </w:p>
        </w:tc>
        <w:tc>
          <w:tcPr>
            <w:tcW w:w="1234" w:type="dxa"/>
          </w:tcPr>
          <w:p w:rsidR="005C2DF3" w:rsidRPr="00593545" w:rsidRDefault="005C2DF3" w:rsidP="00AB5DDE">
            <w:pPr>
              <w:widowControl w:val="0"/>
              <w:autoSpaceDE w:val="0"/>
              <w:autoSpaceDN w:val="0"/>
              <w:adjustRightInd w:val="0"/>
              <w:rPr>
                <w:rFonts w:cs="Arial"/>
                <w:b/>
              </w:rPr>
            </w:pPr>
            <w:r w:rsidRPr="00593545">
              <w:rPr>
                <w:rFonts w:cs="Arial"/>
                <w:b/>
              </w:rPr>
              <w:t>St Err</w:t>
            </w:r>
          </w:p>
        </w:tc>
        <w:tc>
          <w:tcPr>
            <w:tcW w:w="1218" w:type="dxa"/>
          </w:tcPr>
          <w:p w:rsidR="005C2DF3" w:rsidRPr="00593545" w:rsidRDefault="001F0CE6" w:rsidP="00AB5DDE">
            <w:pPr>
              <w:widowControl w:val="0"/>
              <w:autoSpaceDE w:val="0"/>
              <w:autoSpaceDN w:val="0"/>
              <w:adjustRightInd w:val="0"/>
              <w:rPr>
                <w:rFonts w:cs="Arial"/>
                <w:b/>
              </w:rPr>
            </w:pPr>
            <w:r w:rsidRPr="00593545">
              <w:rPr>
                <w:rFonts w:cs="Arial"/>
                <w:b/>
              </w:rPr>
              <w:t>Pearson’s r</w:t>
            </w:r>
          </w:p>
        </w:tc>
        <w:tc>
          <w:tcPr>
            <w:tcW w:w="1234" w:type="dxa"/>
          </w:tcPr>
          <w:p w:rsidR="005C2DF3" w:rsidRPr="00593545" w:rsidRDefault="001F0CE6" w:rsidP="00AB5DDE">
            <w:pPr>
              <w:widowControl w:val="0"/>
              <w:autoSpaceDE w:val="0"/>
              <w:autoSpaceDN w:val="0"/>
              <w:adjustRightInd w:val="0"/>
              <w:rPr>
                <w:rFonts w:cs="Arial"/>
                <w:b/>
                <w:vertAlign w:val="superscript"/>
              </w:rPr>
            </w:pPr>
            <w:r w:rsidRPr="00593545">
              <w:rPr>
                <w:rFonts w:cs="Arial"/>
                <w:b/>
              </w:rPr>
              <w:t>Relative R</w:t>
            </w:r>
            <w:r w:rsidR="005C2DF3" w:rsidRPr="00593545">
              <w:rPr>
                <w:rFonts w:cs="Arial"/>
                <w:b/>
                <w:vertAlign w:val="superscript"/>
              </w:rPr>
              <w:t>2</w:t>
            </w:r>
          </w:p>
        </w:tc>
        <w:tc>
          <w:tcPr>
            <w:tcW w:w="1218" w:type="dxa"/>
          </w:tcPr>
          <w:p w:rsidR="005C2DF3" w:rsidRPr="00593545" w:rsidRDefault="005C2DF3" w:rsidP="00AB5DDE">
            <w:pPr>
              <w:widowControl w:val="0"/>
              <w:autoSpaceDE w:val="0"/>
              <w:autoSpaceDN w:val="0"/>
              <w:adjustRightInd w:val="0"/>
              <w:rPr>
                <w:rFonts w:cs="Arial"/>
                <w:b/>
              </w:rPr>
            </w:pPr>
            <w:r w:rsidRPr="00593545">
              <w:rPr>
                <w:rFonts w:cs="Arial"/>
                <w:b/>
              </w:rPr>
              <w:t>t</w:t>
            </w:r>
          </w:p>
        </w:tc>
        <w:tc>
          <w:tcPr>
            <w:tcW w:w="1250" w:type="dxa"/>
          </w:tcPr>
          <w:p w:rsidR="005C2DF3" w:rsidRPr="00593545" w:rsidRDefault="005C2DF3" w:rsidP="00AB5DDE">
            <w:pPr>
              <w:widowControl w:val="0"/>
              <w:autoSpaceDE w:val="0"/>
              <w:autoSpaceDN w:val="0"/>
              <w:adjustRightInd w:val="0"/>
              <w:rPr>
                <w:rFonts w:cs="Arial"/>
                <w:b/>
              </w:rPr>
            </w:pPr>
            <w:r w:rsidRPr="00593545">
              <w:rPr>
                <w:rFonts w:cs="Arial"/>
                <w:b/>
              </w:rPr>
              <w:t>p</w:t>
            </w:r>
          </w:p>
        </w:tc>
      </w:tr>
      <w:tr w:rsidR="00AB5DDE" w:rsidRPr="00593545" w:rsidTr="005C2DF3">
        <w:tc>
          <w:tcPr>
            <w:tcW w:w="1375" w:type="dxa"/>
          </w:tcPr>
          <w:p w:rsidR="005C2DF3" w:rsidRPr="00593545" w:rsidRDefault="005C2DF3" w:rsidP="00AB5DDE">
            <w:pPr>
              <w:widowControl w:val="0"/>
              <w:autoSpaceDE w:val="0"/>
              <w:autoSpaceDN w:val="0"/>
              <w:adjustRightInd w:val="0"/>
              <w:rPr>
                <w:rFonts w:cs="Arial"/>
              </w:rPr>
            </w:pPr>
            <w:r w:rsidRPr="00593545">
              <w:rPr>
                <w:rFonts w:cs="Arial"/>
              </w:rPr>
              <w:t>Intercept</w:t>
            </w:r>
          </w:p>
        </w:tc>
        <w:tc>
          <w:tcPr>
            <w:tcW w:w="1233" w:type="dxa"/>
          </w:tcPr>
          <w:p w:rsidR="005C2DF3" w:rsidRPr="00593545" w:rsidRDefault="00AB5DDE" w:rsidP="00AB5DDE">
            <w:pPr>
              <w:widowControl w:val="0"/>
              <w:autoSpaceDE w:val="0"/>
              <w:autoSpaceDN w:val="0"/>
              <w:adjustRightInd w:val="0"/>
              <w:rPr>
                <w:rFonts w:cs="Arial"/>
              </w:rPr>
            </w:pPr>
            <w:r w:rsidRPr="00593545">
              <w:rPr>
                <w:rFonts w:cs="Arial"/>
              </w:rPr>
              <w:t>2.61</w:t>
            </w:r>
          </w:p>
        </w:tc>
        <w:tc>
          <w:tcPr>
            <w:tcW w:w="1234" w:type="dxa"/>
          </w:tcPr>
          <w:p w:rsidR="005C2DF3" w:rsidRPr="00593545" w:rsidRDefault="00AB5DDE" w:rsidP="00AB5DDE">
            <w:pPr>
              <w:widowControl w:val="0"/>
              <w:autoSpaceDE w:val="0"/>
              <w:autoSpaceDN w:val="0"/>
              <w:adjustRightInd w:val="0"/>
              <w:rPr>
                <w:rFonts w:cs="Arial"/>
              </w:rPr>
            </w:pPr>
            <w:r w:rsidRPr="00593545">
              <w:rPr>
                <w:rFonts w:cs="Arial"/>
              </w:rPr>
              <w:t>0.308</w:t>
            </w:r>
          </w:p>
        </w:tc>
        <w:tc>
          <w:tcPr>
            <w:tcW w:w="1218" w:type="dxa"/>
          </w:tcPr>
          <w:p w:rsidR="005C2DF3" w:rsidRPr="00593545" w:rsidRDefault="005C2DF3" w:rsidP="00AB5DDE">
            <w:pPr>
              <w:widowControl w:val="0"/>
              <w:autoSpaceDE w:val="0"/>
              <w:autoSpaceDN w:val="0"/>
              <w:adjustRightInd w:val="0"/>
              <w:rPr>
                <w:rFonts w:cs="Arial"/>
              </w:rPr>
            </w:pPr>
          </w:p>
        </w:tc>
        <w:tc>
          <w:tcPr>
            <w:tcW w:w="1234" w:type="dxa"/>
          </w:tcPr>
          <w:p w:rsidR="005C2DF3" w:rsidRPr="00593545" w:rsidRDefault="005C2DF3" w:rsidP="00AB5DDE">
            <w:pPr>
              <w:widowControl w:val="0"/>
              <w:autoSpaceDE w:val="0"/>
              <w:autoSpaceDN w:val="0"/>
              <w:adjustRightInd w:val="0"/>
              <w:rPr>
                <w:rFonts w:cs="Arial"/>
              </w:rPr>
            </w:pPr>
          </w:p>
        </w:tc>
        <w:tc>
          <w:tcPr>
            <w:tcW w:w="1218" w:type="dxa"/>
          </w:tcPr>
          <w:p w:rsidR="005C2DF3" w:rsidRPr="00593545" w:rsidRDefault="00AB5DDE" w:rsidP="00AB5DDE">
            <w:pPr>
              <w:widowControl w:val="0"/>
              <w:autoSpaceDE w:val="0"/>
              <w:autoSpaceDN w:val="0"/>
              <w:adjustRightInd w:val="0"/>
              <w:rPr>
                <w:rFonts w:cs="Arial"/>
              </w:rPr>
            </w:pPr>
            <w:r w:rsidRPr="00593545">
              <w:rPr>
                <w:rFonts w:cs="Arial"/>
              </w:rPr>
              <w:t>8.5</w:t>
            </w:r>
          </w:p>
        </w:tc>
        <w:tc>
          <w:tcPr>
            <w:tcW w:w="1250" w:type="dxa"/>
          </w:tcPr>
          <w:p w:rsidR="005C2DF3" w:rsidRPr="00593545" w:rsidRDefault="00AB5DDE" w:rsidP="00AB5DDE">
            <w:pPr>
              <w:widowControl w:val="0"/>
              <w:autoSpaceDE w:val="0"/>
              <w:autoSpaceDN w:val="0"/>
              <w:adjustRightInd w:val="0"/>
              <w:rPr>
                <w:rFonts w:cs="Arial"/>
              </w:rPr>
            </w:pPr>
            <w:r w:rsidRPr="00593545">
              <w:rPr>
                <w:rFonts w:cs="Arial"/>
              </w:rPr>
              <w:t>&lt;0.001</w:t>
            </w:r>
            <w:r w:rsidR="008C42C7" w:rsidRPr="00593545">
              <w:rPr>
                <w:rFonts w:cs="Arial"/>
              </w:rPr>
              <w:t>**</w:t>
            </w:r>
          </w:p>
        </w:tc>
      </w:tr>
      <w:tr w:rsidR="00AB5DDE" w:rsidRPr="00593545" w:rsidTr="005C2DF3">
        <w:tc>
          <w:tcPr>
            <w:tcW w:w="1375" w:type="dxa"/>
          </w:tcPr>
          <w:p w:rsidR="005C2DF3" w:rsidRPr="00593545" w:rsidRDefault="005C2DF3" w:rsidP="00AB5DDE">
            <w:pPr>
              <w:widowControl w:val="0"/>
              <w:autoSpaceDE w:val="0"/>
              <w:autoSpaceDN w:val="0"/>
              <w:adjustRightInd w:val="0"/>
              <w:rPr>
                <w:rFonts w:cs="Arial"/>
              </w:rPr>
            </w:pPr>
            <w:r w:rsidRPr="00593545">
              <w:rPr>
                <w:rFonts w:cs="Arial"/>
              </w:rPr>
              <w:t xml:space="preserve">Delay </w:t>
            </w:r>
          </w:p>
          <w:p w:rsidR="005C2DF3" w:rsidRPr="00593545" w:rsidRDefault="005C2DF3" w:rsidP="00AB5DDE">
            <w:pPr>
              <w:widowControl w:val="0"/>
              <w:autoSpaceDE w:val="0"/>
              <w:autoSpaceDN w:val="0"/>
              <w:adjustRightInd w:val="0"/>
              <w:jc w:val="right"/>
              <w:rPr>
                <w:rFonts w:cs="Arial"/>
              </w:rPr>
            </w:pPr>
            <w:r w:rsidRPr="00593545">
              <w:rPr>
                <w:rFonts w:cs="Arial"/>
              </w:rPr>
              <w:t>(Short)</w:t>
            </w:r>
          </w:p>
        </w:tc>
        <w:tc>
          <w:tcPr>
            <w:tcW w:w="1233" w:type="dxa"/>
          </w:tcPr>
          <w:p w:rsidR="005C2DF3" w:rsidRPr="00593545" w:rsidRDefault="005C2DF3" w:rsidP="00AB5DDE">
            <w:pPr>
              <w:widowControl w:val="0"/>
              <w:autoSpaceDE w:val="0"/>
              <w:autoSpaceDN w:val="0"/>
              <w:adjustRightInd w:val="0"/>
              <w:rPr>
                <w:rFonts w:cs="Arial"/>
              </w:rPr>
            </w:pPr>
            <w:r w:rsidRPr="00593545">
              <w:rPr>
                <w:rFonts w:cs="Arial"/>
              </w:rPr>
              <w:t>-</w:t>
            </w:r>
          </w:p>
        </w:tc>
        <w:tc>
          <w:tcPr>
            <w:tcW w:w="1234" w:type="dxa"/>
          </w:tcPr>
          <w:p w:rsidR="005C2DF3" w:rsidRPr="00593545" w:rsidRDefault="005C2DF3" w:rsidP="00AB5DDE">
            <w:pPr>
              <w:widowControl w:val="0"/>
              <w:autoSpaceDE w:val="0"/>
              <w:autoSpaceDN w:val="0"/>
              <w:adjustRightInd w:val="0"/>
              <w:rPr>
                <w:rFonts w:cs="Arial"/>
              </w:rPr>
            </w:pPr>
            <w:r w:rsidRPr="00593545">
              <w:rPr>
                <w:rFonts w:cs="Arial"/>
              </w:rPr>
              <w:t>-</w:t>
            </w:r>
          </w:p>
        </w:tc>
        <w:tc>
          <w:tcPr>
            <w:tcW w:w="1218" w:type="dxa"/>
          </w:tcPr>
          <w:p w:rsidR="005C2DF3" w:rsidRPr="00593545" w:rsidRDefault="005C2DF3" w:rsidP="00AB5DDE">
            <w:pPr>
              <w:widowControl w:val="0"/>
              <w:autoSpaceDE w:val="0"/>
              <w:autoSpaceDN w:val="0"/>
              <w:adjustRightInd w:val="0"/>
              <w:rPr>
                <w:rFonts w:cs="Arial"/>
              </w:rPr>
            </w:pPr>
            <w:r w:rsidRPr="00593545">
              <w:rPr>
                <w:rFonts w:cs="Arial"/>
              </w:rPr>
              <w:t>-</w:t>
            </w:r>
          </w:p>
        </w:tc>
        <w:tc>
          <w:tcPr>
            <w:tcW w:w="1234" w:type="dxa"/>
          </w:tcPr>
          <w:p w:rsidR="005C2DF3" w:rsidRPr="00593545" w:rsidRDefault="005C2DF3" w:rsidP="00AB5DDE">
            <w:pPr>
              <w:widowControl w:val="0"/>
              <w:autoSpaceDE w:val="0"/>
              <w:autoSpaceDN w:val="0"/>
              <w:adjustRightInd w:val="0"/>
              <w:rPr>
                <w:rFonts w:cs="Arial"/>
              </w:rPr>
            </w:pPr>
            <w:r w:rsidRPr="00593545">
              <w:rPr>
                <w:rFonts w:cs="Arial"/>
              </w:rPr>
              <w:t>-</w:t>
            </w:r>
          </w:p>
        </w:tc>
        <w:tc>
          <w:tcPr>
            <w:tcW w:w="1218" w:type="dxa"/>
          </w:tcPr>
          <w:p w:rsidR="005C2DF3" w:rsidRPr="00593545" w:rsidRDefault="005C2DF3" w:rsidP="00AB5DDE">
            <w:pPr>
              <w:widowControl w:val="0"/>
              <w:autoSpaceDE w:val="0"/>
              <w:autoSpaceDN w:val="0"/>
              <w:adjustRightInd w:val="0"/>
              <w:rPr>
                <w:rFonts w:cs="Arial"/>
              </w:rPr>
            </w:pPr>
            <w:r w:rsidRPr="00593545">
              <w:rPr>
                <w:rFonts w:cs="Arial"/>
              </w:rPr>
              <w:t>-</w:t>
            </w:r>
          </w:p>
        </w:tc>
        <w:tc>
          <w:tcPr>
            <w:tcW w:w="1250" w:type="dxa"/>
          </w:tcPr>
          <w:p w:rsidR="005C2DF3" w:rsidRPr="00593545" w:rsidRDefault="005C2DF3" w:rsidP="00AB5DDE">
            <w:pPr>
              <w:widowControl w:val="0"/>
              <w:autoSpaceDE w:val="0"/>
              <w:autoSpaceDN w:val="0"/>
              <w:adjustRightInd w:val="0"/>
              <w:rPr>
                <w:rFonts w:cs="Arial"/>
              </w:rPr>
            </w:pPr>
            <w:r w:rsidRPr="00593545">
              <w:rPr>
                <w:rFonts w:cs="Arial"/>
              </w:rPr>
              <w:t>-</w:t>
            </w:r>
          </w:p>
        </w:tc>
      </w:tr>
      <w:tr w:rsidR="005C2DF3" w:rsidRPr="00593545" w:rsidTr="008C42C7">
        <w:tc>
          <w:tcPr>
            <w:tcW w:w="1375" w:type="dxa"/>
          </w:tcPr>
          <w:p w:rsidR="005C2DF3" w:rsidRPr="00593545" w:rsidRDefault="005C2DF3" w:rsidP="00AB5DDE">
            <w:pPr>
              <w:widowControl w:val="0"/>
              <w:autoSpaceDE w:val="0"/>
              <w:autoSpaceDN w:val="0"/>
              <w:adjustRightInd w:val="0"/>
              <w:rPr>
                <w:rFonts w:cs="Arial"/>
              </w:rPr>
            </w:pPr>
            <w:r w:rsidRPr="00593545">
              <w:rPr>
                <w:rFonts w:cs="Arial"/>
              </w:rPr>
              <w:t xml:space="preserve">Delay </w:t>
            </w:r>
          </w:p>
          <w:p w:rsidR="005C2DF3" w:rsidRPr="00593545" w:rsidRDefault="005C2DF3" w:rsidP="00AB5DDE">
            <w:pPr>
              <w:widowControl w:val="0"/>
              <w:autoSpaceDE w:val="0"/>
              <w:autoSpaceDN w:val="0"/>
              <w:adjustRightInd w:val="0"/>
              <w:jc w:val="right"/>
              <w:rPr>
                <w:rFonts w:cs="Arial"/>
              </w:rPr>
            </w:pPr>
            <w:r w:rsidRPr="00593545">
              <w:rPr>
                <w:rFonts w:cs="Arial"/>
              </w:rPr>
              <w:t>(Long)</w:t>
            </w:r>
          </w:p>
        </w:tc>
        <w:tc>
          <w:tcPr>
            <w:tcW w:w="1233" w:type="dxa"/>
          </w:tcPr>
          <w:p w:rsidR="005C2DF3" w:rsidRPr="00593545" w:rsidRDefault="00AB5DDE" w:rsidP="00AB5DDE">
            <w:pPr>
              <w:widowControl w:val="0"/>
              <w:autoSpaceDE w:val="0"/>
              <w:autoSpaceDN w:val="0"/>
              <w:adjustRightInd w:val="0"/>
              <w:rPr>
                <w:rFonts w:cs="Arial"/>
              </w:rPr>
            </w:pPr>
            <w:r w:rsidRPr="00593545">
              <w:rPr>
                <w:rFonts w:cs="Arial"/>
              </w:rPr>
              <w:t>-0.18</w:t>
            </w:r>
          </w:p>
        </w:tc>
        <w:tc>
          <w:tcPr>
            <w:tcW w:w="1234" w:type="dxa"/>
          </w:tcPr>
          <w:p w:rsidR="005C2DF3" w:rsidRPr="00593545" w:rsidRDefault="00AB5DDE" w:rsidP="00AB5DDE">
            <w:pPr>
              <w:widowControl w:val="0"/>
              <w:autoSpaceDE w:val="0"/>
              <w:autoSpaceDN w:val="0"/>
              <w:adjustRightInd w:val="0"/>
              <w:rPr>
                <w:rFonts w:cs="Arial"/>
              </w:rPr>
            </w:pPr>
            <w:r w:rsidRPr="00593545">
              <w:rPr>
                <w:rFonts w:cs="Arial"/>
              </w:rPr>
              <w:t>0.16</w:t>
            </w:r>
          </w:p>
        </w:tc>
        <w:tc>
          <w:tcPr>
            <w:tcW w:w="1218" w:type="dxa"/>
          </w:tcPr>
          <w:p w:rsidR="005C2DF3" w:rsidRPr="00593545" w:rsidRDefault="005C2DF3" w:rsidP="00AB5DDE">
            <w:pPr>
              <w:widowControl w:val="0"/>
              <w:autoSpaceDE w:val="0"/>
              <w:autoSpaceDN w:val="0"/>
              <w:adjustRightInd w:val="0"/>
              <w:rPr>
                <w:rFonts w:cs="Arial"/>
              </w:rPr>
            </w:pPr>
          </w:p>
        </w:tc>
        <w:tc>
          <w:tcPr>
            <w:tcW w:w="1234" w:type="dxa"/>
          </w:tcPr>
          <w:p w:rsidR="005C2DF3" w:rsidRPr="00593545" w:rsidRDefault="00AB5DDE" w:rsidP="008C42C7">
            <w:pPr>
              <w:rPr>
                <w:rFonts w:cs="Arial"/>
              </w:rPr>
            </w:pPr>
            <w:r w:rsidRPr="00593545">
              <w:t xml:space="preserve">0.011 </w:t>
            </w:r>
          </w:p>
        </w:tc>
        <w:tc>
          <w:tcPr>
            <w:tcW w:w="1218" w:type="dxa"/>
          </w:tcPr>
          <w:p w:rsidR="005C2DF3" w:rsidRPr="00593545" w:rsidRDefault="00AB5DDE" w:rsidP="00AB5DDE">
            <w:pPr>
              <w:widowControl w:val="0"/>
              <w:autoSpaceDE w:val="0"/>
              <w:autoSpaceDN w:val="0"/>
              <w:adjustRightInd w:val="0"/>
              <w:rPr>
                <w:rFonts w:cs="Arial"/>
              </w:rPr>
            </w:pPr>
            <w:r w:rsidRPr="00593545">
              <w:rPr>
                <w:rFonts w:cs="Arial"/>
              </w:rPr>
              <w:t>-1.10</w:t>
            </w:r>
          </w:p>
        </w:tc>
        <w:tc>
          <w:tcPr>
            <w:tcW w:w="1250" w:type="dxa"/>
          </w:tcPr>
          <w:p w:rsidR="005C2DF3" w:rsidRPr="00593545" w:rsidRDefault="00AB5DDE" w:rsidP="00AB5DDE">
            <w:pPr>
              <w:widowControl w:val="0"/>
              <w:autoSpaceDE w:val="0"/>
              <w:autoSpaceDN w:val="0"/>
              <w:adjustRightInd w:val="0"/>
              <w:rPr>
                <w:rFonts w:cs="Arial"/>
              </w:rPr>
            </w:pPr>
            <w:r w:rsidRPr="00593545">
              <w:rPr>
                <w:rFonts w:cs="Arial"/>
              </w:rPr>
              <w:t>0.27</w:t>
            </w:r>
          </w:p>
        </w:tc>
      </w:tr>
      <w:tr w:rsidR="00AB5DDE" w:rsidRPr="00593545" w:rsidTr="005C2DF3">
        <w:tc>
          <w:tcPr>
            <w:tcW w:w="1375" w:type="dxa"/>
          </w:tcPr>
          <w:p w:rsidR="005C2DF3" w:rsidRPr="00593545" w:rsidRDefault="005C2DF3" w:rsidP="00AB5DDE">
            <w:pPr>
              <w:widowControl w:val="0"/>
              <w:autoSpaceDE w:val="0"/>
              <w:autoSpaceDN w:val="0"/>
              <w:adjustRightInd w:val="0"/>
              <w:rPr>
                <w:rFonts w:cs="Arial"/>
              </w:rPr>
            </w:pPr>
            <w:r w:rsidRPr="00593545">
              <w:rPr>
                <w:rFonts w:cs="Arial"/>
              </w:rPr>
              <w:t xml:space="preserve">Performance </w:t>
            </w:r>
          </w:p>
          <w:p w:rsidR="005C2DF3" w:rsidRPr="00593545" w:rsidRDefault="005C2DF3" w:rsidP="00AB5DDE">
            <w:pPr>
              <w:widowControl w:val="0"/>
              <w:autoSpaceDE w:val="0"/>
              <w:autoSpaceDN w:val="0"/>
              <w:adjustRightInd w:val="0"/>
              <w:jc w:val="right"/>
              <w:rPr>
                <w:rFonts w:cs="Arial"/>
              </w:rPr>
            </w:pPr>
            <w:r w:rsidRPr="00593545">
              <w:rPr>
                <w:rFonts w:cs="Arial"/>
              </w:rPr>
              <w:t>(K+/C-)</w:t>
            </w:r>
          </w:p>
        </w:tc>
        <w:tc>
          <w:tcPr>
            <w:tcW w:w="1233" w:type="dxa"/>
          </w:tcPr>
          <w:p w:rsidR="005C2DF3" w:rsidRPr="00593545" w:rsidRDefault="005C2DF3" w:rsidP="00AB5DDE">
            <w:pPr>
              <w:widowControl w:val="0"/>
              <w:autoSpaceDE w:val="0"/>
              <w:autoSpaceDN w:val="0"/>
              <w:adjustRightInd w:val="0"/>
              <w:rPr>
                <w:rFonts w:cs="Arial"/>
              </w:rPr>
            </w:pPr>
            <w:r w:rsidRPr="00593545">
              <w:rPr>
                <w:rFonts w:cs="Arial"/>
              </w:rPr>
              <w:t>-</w:t>
            </w:r>
          </w:p>
        </w:tc>
        <w:tc>
          <w:tcPr>
            <w:tcW w:w="1234" w:type="dxa"/>
          </w:tcPr>
          <w:p w:rsidR="005C2DF3" w:rsidRPr="00593545" w:rsidRDefault="005C2DF3" w:rsidP="00AB5DDE">
            <w:pPr>
              <w:widowControl w:val="0"/>
              <w:autoSpaceDE w:val="0"/>
              <w:autoSpaceDN w:val="0"/>
              <w:adjustRightInd w:val="0"/>
              <w:rPr>
                <w:rFonts w:cs="Arial"/>
              </w:rPr>
            </w:pPr>
            <w:r w:rsidRPr="00593545">
              <w:rPr>
                <w:rFonts w:cs="Arial"/>
              </w:rPr>
              <w:t>-</w:t>
            </w:r>
          </w:p>
        </w:tc>
        <w:tc>
          <w:tcPr>
            <w:tcW w:w="1218" w:type="dxa"/>
          </w:tcPr>
          <w:p w:rsidR="005C2DF3" w:rsidRPr="00593545" w:rsidRDefault="005C2DF3" w:rsidP="00AB5DDE">
            <w:pPr>
              <w:widowControl w:val="0"/>
              <w:autoSpaceDE w:val="0"/>
              <w:autoSpaceDN w:val="0"/>
              <w:adjustRightInd w:val="0"/>
              <w:rPr>
                <w:rFonts w:cs="Arial"/>
              </w:rPr>
            </w:pPr>
            <w:r w:rsidRPr="00593545">
              <w:rPr>
                <w:rFonts w:cs="Arial"/>
              </w:rPr>
              <w:t>-</w:t>
            </w:r>
          </w:p>
        </w:tc>
        <w:tc>
          <w:tcPr>
            <w:tcW w:w="1234" w:type="dxa"/>
          </w:tcPr>
          <w:p w:rsidR="005C2DF3" w:rsidRPr="00593545" w:rsidRDefault="005C2DF3" w:rsidP="00AB5DDE">
            <w:pPr>
              <w:widowControl w:val="0"/>
              <w:autoSpaceDE w:val="0"/>
              <w:autoSpaceDN w:val="0"/>
              <w:adjustRightInd w:val="0"/>
              <w:rPr>
                <w:rFonts w:cs="Arial"/>
              </w:rPr>
            </w:pPr>
            <w:r w:rsidRPr="00593545">
              <w:rPr>
                <w:rFonts w:cs="Arial"/>
              </w:rPr>
              <w:t>-</w:t>
            </w:r>
          </w:p>
        </w:tc>
        <w:tc>
          <w:tcPr>
            <w:tcW w:w="1218" w:type="dxa"/>
          </w:tcPr>
          <w:p w:rsidR="005C2DF3" w:rsidRPr="00593545" w:rsidRDefault="005C2DF3" w:rsidP="00AB5DDE">
            <w:pPr>
              <w:widowControl w:val="0"/>
              <w:autoSpaceDE w:val="0"/>
              <w:autoSpaceDN w:val="0"/>
              <w:adjustRightInd w:val="0"/>
              <w:rPr>
                <w:rFonts w:cs="Arial"/>
              </w:rPr>
            </w:pPr>
            <w:r w:rsidRPr="00593545">
              <w:rPr>
                <w:rFonts w:cs="Arial"/>
              </w:rPr>
              <w:t>-</w:t>
            </w:r>
          </w:p>
        </w:tc>
        <w:tc>
          <w:tcPr>
            <w:tcW w:w="1250" w:type="dxa"/>
          </w:tcPr>
          <w:p w:rsidR="005C2DF3" w:rsidRPr="00593545" w:rsidRDefault="005C2DF3" w:rsidP="00AB5DDE">
            <w:pPr>
              <w:widowControl w:val="0"/>
              <w:autoSpaceDE w:val="0"/>
              <w:autoSpaceDN w:val="0"/>
              <w:adjustRightInd w:val="0"/>
              <w:rPr>
                <w:rFonts w:cs="Arial"/>
              </w:rPr>
            </w:pPr>
            <w:r w:rsidRPr="00593545">
              <w:rPr>
                <w:rFonts w:cs="Arial"/>
              </w:rPr>
              <w:t>-</w:t>
            </w:r>
          </w:p>
        </w:tc>
      </w:tr>
      <w:tr w:rsidR="00AB5DDE" w:rsidRPr="00593545" w:rsidTr="005C2DF3">
        <w:tc>
          <w:tcPr>
            <w:tcW w:w="1375" w:type="dxa"/>
          </w:tcPr>
          <w:p w:rsidR="005C2DF3" w:rsidRPr="00593545" w:rsidRDefault="005C2DF3" w:rsidP="00AB5DDE">
            <w:pPr>
              <w:widowControl w:val="0"/>
              <w:autoSpaceDE w:val="0"/>
              <w:autoSpaceDN w:val="0"/>
              <w:adjustRightInd w:val="0"/>
              <w:rPr>
                <w:rFonts w:cs="Arial"/>
              </w:rPr>
            </w:pPr>
            <w:r w:rsidRPr="00593545">
              <w:rPr>
                <w:rFonts w:cs="Arial"/>
              </w:rPr>
              <w:t xml:space="preserve">Performance </w:t>
            </w:r>
          </w:p>
          <w:p w:rsidR="005C2DF3" w:rsidRPr="00593545" w:rsidRDefault="005C2DF3" w:rsidP="00AB5DDE">
            <w:pPr>
              <w:widowControl w:val="0"/>
              <w:autoSpaceDE w:val="0"/>
              <w:autoSpaceDN w:val="0"/>
              <w:adjustRightInd w:val="0"/>
              <w:jc w:val="right"/>
              <w:rPr>
                <w:rFonts w:cs="Arial"/>
              </w:rPr>
            </w:pPr>
            <w:r w:rsidRPr="00593545">
              <w:rPr>
                <w:rFonts w:cs="Arial"/>
              </w:rPr>
              <w:t>(K-C+)</w:t>
            </w:r>
          </w:p>
        </w:tc>
        <w:tc>
          <w:tcPr>
            <w:tcW w:w="1233" w:type="dxa"/>
          </w:tcPr>
          <w:p w:rsidR="005C2DF3" w:rsidRPr="00593545" w:rsidRDefault="00AB5DDE" w:rsidP="00AB5DDE">
            <w:pPr>
              <w:widowControl w:val="0"/>
              <w:autoSpaceDE w:val="0"/>
              <w:autoSpaceDN w:val="0"/>
              <w:adjustRightInd w:val="0"/>
              <w:rPr>
                <w:rFonts w:cs="Arial"/>
              </w:rPr>
            </w:pPr>
            <w:r w:rsidRPr="00593545">
              <w:rPr>
                <w:rFonts w:cs="Arial"/>
              </w:rPr>
              <w:t>-0.52</w:t>
            </w:r>
          </w:p>
        </w:tc>
        <w:tc>
          <w:tcPr>
            <w:tcW w:w="1234" w:type="dxa"/>
          </w:tcPr>
          <w:p w:rsidR="005C2DF3" w:rsidRPr="00593545" w:rsidRDefault="00AB5DDE" w:rsidP="00AB5DDE">
            <w:pPr>
              <w:widowControl w:val="0"/>
              <w:autoSpaceDE w:val="0"/>
              <w:autoSpaceDN w:val="0"/>
              <w:adjustRightInd w:val="0"/>
              <w:rPr>
                <w:rFonts w:cs="Arial"/>
              </w:rPr>
            </w:pPr>
            <w:r w:rsidRPr="00593545">
              <w:rPr>
                <w:rFonts w:cs="Arial"/>
              </w:rPr>
              <w:t>0.15</w:t>
            </w:r>
          </w:p>
        </w:tc>
        <w:tc>
          <w:tcPr>
            <w:tcW w:w="1218" w:type="dxa"/>
          </w:tcPr>
          <w:p w:rsidR="005C2DF3" w:rsidRPr="00593545" w:rsidRDefault="005C2DF3" w:rsidP="00AB5DDE">
            <w:pPr>
              <w:widowControl w:val="0"/>
              <w:autoSpaceDE w:val="0"/>
              <w:autoSpaceDN w:val="0"/>
              <w:adjustRightInd w:val="0"/>
              <w:rPr>
                <w:rFonts w:cs="Arial"/>
              </w:rPr>
            </w:pPr>
          </w:p>
        </w:tc>
        <w:tc>
          <w:tcPr>
            <w:tcW w:w="1234" w:type="dxa"/>
          </w:tcPr>
          <w:p w:rsidR="005C2DF3" w:rsidRPr="00593545" w:rsidRDefault="00AB5DDE" w:rsidP="008C42C7">
            <w:pPr>
              <w:widowControl w:val="0"/>
              <w:autoSpaceDE w:val="0"/>
              <w:autoSpaceDN w:val="0"/>
              <w:adjustRightInd w:val="0"/>
              <w:rPr>
                <w:rFonts w:cs="Arial"/>
              </w:rPr>
            </w:pPr>
            <w:r w:rsidRPr="00593545">
              <w:t>0.032</w:t>
            </w:r>
          </w:p>
        </w:tc>
        <w:tc>
          <w:tcPr>
            <w:tcW w:w="1218" w:type="dxa"/>
          </w:tcPr>
          <w:p w:rsidR="005C2DF3" w:rsidRPr="00593545" w:rsidRDefault="00AB5DDE" w:rsidP="00AB5DDE">
            <w:pPr>
              <w:widowControl w:val="0"/>
              <w:autoSpaceDE w:val="0"/>
              <w:autoSpaceDN w:val="0"/>
              <w:adjustRightInd w:val="0"/>
              <w:rPr>
                <w:rFonts w:cs="Arial"/>
              </w:rPr>
            </w:pPr>
            <w:r w:rsidRPr="00593545">
              <w:rPr>
                <w:rFonts w:cs="Arial"/>
              </w:rPr>
              <w:t>-3.37</w:t>
            </w:r>
          </w:p>
        </w:tc>
        <w:tc>
          <w:tcPr>
            <w:tcW w:w="1250" w:type="dxa"/>
          </w:tcPr>
          <w:p w:rsidR="005C2DF3" w:rsidRPr="00593545" w:rsidRDefault="00AB5DDE" w:rsidP="00AB5DDE">
            <w:pPr>
              <w:widowControl w:val="0"/>
              <w:autoSpaceDE w:val="0"/>
              <w:autoSpaceDN w:val="0"/>
              <w:adjustRightInd w:val="0"/>
              <w:rPr>
                <w:rFonts w:cs="Arial"/>
              </w:rPr>
            </w:pPr>
            <w:r w:rsidRPr="00593545">
              <w:rPr>
                <w:rFonts w:cs="Arial"/>
              </w:rPr>
              <w:t>&lt;0.001</w:t>
            </w:r>
            <w:r w:rsidR="008C42C7" w:rsidRPr="00593545">
              <w:rPr>
                <w:rFonts w:cs="Arial"/>
              </w:rPr>
              <w:t>**</w:t>
            </w:r>
          </w:p>
        </w:tc>
      </w:tr>
      <w:tr w:rsidR="005C2DF3" w:rsidRPr="00593545" w:rsidTr="008C42C7">
        <w:tc>
          <w:tcPr>
            <w:tcW w:w="1375" w:type="dxa"/>
          </w:tcPr>
          <w:p w:rsidR="005C2DF3" w:rsidRPr="00593545" w:rsidRDefault="005C2DF3" w:rsidP="00AB5DDE">
            <w:pPr>
              <w:widowControl w:val="0"/>
              <w:autoSpaceDE w:val="0"/>
              <w:autoSpaceDN w:val="0"/>
              <w:adjustRightInd w:val="0"/>
              <w:rPr>
                <w:rFonts w:cs="Arial"/>
              </w:rPr>
            </w:pPr>
            <w:r w:rsidRPr="00593545">
              <w:rPr>
                <w:rFonts w:cs="Arial"/>
              </w:rPr>
              <w:t>Duration</w:t>
            </w:r>
          </w:p>
        </w:tc>
        <w:tc>
          <w:tcPr>
            <w:tcW w:w="1233" w:type="dxa"/>
          </w:tcPr>
          <w:p w:rsidR="005C2DF3" w:rsidRPr="00593545" w:rsidRDefault="00AB5DDE" w:rsidP="00AB5DDE">
            <w:pPr>
              <w:widowControl w:val="0"/>
              <w:autoSpaceDE w:val="0"/>
              <w:autoSpaceDN w:val="0"/>
              <w:adjustRightInd w:val="0"/>
              <w:rPr>
                <w:rFonts w:cs="Arial"/>
              </w:rPr>
            </w:pPr>
            <w:r w:rsidRPr="00593545">
              <w:rPr>
                <w:rFonts w:cs="Arial"/>
              </w:rPr>
              <w:t>-0.03</w:t>
            </w:r>
          </w:p>
        </w:tc>
        <w:tc>
          <w:tcPr>
            <w:tcW w:w="1234" w:type="dxa"/>
          </w:tcPr>
          <w:p w:rsidR="005C2DF3" w:rsidRPr="00593545" w:rsidRDefault="00AB5DDE" w:rsidP="00AB5DDE">
            <w:pPr>
              <w:widowControl w:val="0"/>
              <w:autoSpaceDE w:val="0"/>
              <w:autoSpaceDN w:val="0"/>
              <w:adjustRightInd w:val="0"/>
              <w:rPr>
                <w:rFonts w:cs="Arial"/>
              </w:rPr>
            </w:pPr>
            <w:r w:rsidRPr="00593545">
              <w:rPr>
                <w:rFonts w:cs="Arial"/>
              </w:rPr>
              <w:t>0.017</w:t>
            </w:r>
          </w:p>
        </w:tc>
        <w:tc>
          <w:tcPr>
            <w:tcW w:w="1218" w:type="dxa"/>
          </w:tcPr>
          <w:p w:rsidR="005C2DF3" w:rsidRPr="00593545" w:rsidRDefault="008C42C7" w:rsidP="00AB5DDE">
            <w:pPr>
              <w:widowControl w:val="0"/>
              <w:autoSpaceDE w:val="0"/>
              <w:autoSpaceDN w:val="0"/>
              <w:adjustRightInd w:val="0"/>
              <w:rPr>
                <w:rFonts w:cs="Arial"/>
              </w:rPr>
            </w:pPr>
            <w:r w:rsidRPr="00593545">
              <w:rPr>
                <w:rFonts w:cs="Arial"/>
              </w:rPr>
              <w:t>-0.13</w:t>
            </w:r>
          </w:p>
        </w:tc>
        <w:tc>
          <w:tcPr>
            <w:tcW w:w="1234" w:type="dxa"/>
          </w:tcPr>
          <w:p w:rsidR="005C2DF3" w:rsidRPr="00593545" w:rsidRDefault="008C42C7" w:rsidP="008C42C7">
            <w:pPr>
              <w:widowControl w:val="0"/>
              <w:autoSpaceDE w:val="0"/>
              <w:autoSpaceDN w:val="0"/>
              <w:adjustRightInd w:val="0"/>
            </w:pPr>
            <w:r w:rsidRPr="00593545">
              <w:t xml:space="preserve">0.017 </w:t>
            </w:r>
          </w:p>
          <w:p w:rsidR="008C42C7" w:rsidRPr="00593545" w:rsidRDefault="008C42C7" w:rsidP="008C42C7">
            <w:pPr>
              <w:widowControl w:val="0"/>
              <w:autoSpaceDE w:val="0"/>
              <w:autoSpaceDN w:val="0"/>
              <w:adjustRightInd w:val="0"/>
              <w:rPr>
                <w:rFonts w:cs="Arial"/>
              </w:rPr>
            </w:pPr>
          </w:p>
        </w:tc>
        <w:tc>
          <w:tcPr>
            <w:tcW w:w="1218" w:type="dxa"/>
          </w:tcPr>
          <w:p w:rsidR="005C2DF3" w:rsidRPr="00593545" w:rsidRDefault="00AB5DDE" w:rsidP="00AB5DDE">
            <w:pPr>
              <w:widowControl w:val="0"/>
              <w:autoSpaceDE w:val="0"/>
              <w:autoSpaceDN w:val="0"/>
              <w:adjustRightInd w:val="0"/>
              <w:rPr>
                <w:rFonts w:cs="Arial"/>
              </w:rPr>
            </w:pPr>
            <w:r w:rsidRPr="00593545">
              <w:rPr>
                <w:rFonts w:cs="Arial"/>
              </w:rPr>
              <w:t>-1.85</w:t>
            </w:r>
          </w:p>
        </w:tc>
        <w:tc>
          <w:tcPr>
            <w:tcW w:w="1250" w:type="dxa"/>
          </w:tcPr>
          <w:p w:rsidR="005C2DF3" w:rsidRPr="00593545" w:rsidRDefault="00AB5DDE" w:rsidP="00AB5DDE">
            <w:pPr>
              <w:widowControl w:val="0"/>
              <w:autoSpaceDE w:val="0"/>
              <w:autoSpaceDN w:val="0"/>
              <w:adjustRightInd w:val="0"/>
              <w:rPr>
                <w:rFonts w:cs="Arial"/>
              </w:rPr>
            </w:pPr>
            <w:r w:rsidRPr="00593545">
              <w:rPr>
                <w:rFonts w:cs="Arial"/>
              </w:rPr>
              <w:t>0.07</w:t>
            </w:r>
          </w:p>
        </w:tc>
      </w:tr>
      <w:tr w:rsidR="005C2DF3" w:rsidRPr="00593545" w:rsidTr="008C42C7">
        <w:tc>
          <w:tcPr>
            <w:tcW w:w="1375" w:type="dxa"/>
          </w:tcPr>
          <w:p w:rsidR="005C2DF3" w:rsidRPr="00593545" w:rsidRDefault="005C2DF3" w:rsidP="00AB5DDE">
            <w:pPr>
              <w:widowControl w:val="0"/>
              <w:autoSpaceDE w:val="0"/>
              <w:autoSpaceDN w:val="0"/>
              <w:adjustRightInd w:val="0"/>
              <w:rPr>
                <w:rFonts w:cs="Arial"/>
              </w:rPr>
            </w:pPr>
            <w:r w:rsidRPr="00593545">
              <w:rPr>
                <w:rFonts w:cs="Arial"/>
              </w:rPr>
              <w:t>Recollection</w:t>
            </w:r>
          </w:p>
        </w:tc>
        <w:tc>
          <w:tcPr>
            <w:tcW w:w="1233" w:type="dxa"/>
          </w:tcPr>
          <w:p w:rsidR="005C2DF3" w:rsidRPr="00593545" w:rsidRDefault="00AB5DDE" w:rsidP="00AB5DDE">
            <w:pPr>
              <w:widowControl w:val="0"/>
              <w:autoSpaceDE w:val="0"/>
              <w:autoSpaceDN w:val="0"/>
              <w:adjustRightInd w:val="0"/>
              <w:rPr>
                <w:rFonts w:cs="Arial"/>
              </w:rPr>
            </w:pPr>
            <w:r w:rsidRPr="00593545">
              <w:rPr>
                <w:rFonts w:cs="Arial"/>
              </w:rPr>
              <w:t>0.02</w:t>
            </w:r>
          </w:p>
        </w:tc>
        <w:tc>
          <w:tcPr>
            <w:tcW w:w="1234" w:type="dxa"/>
          </w:tcPr>
          <w:p w:rsidR="005C2DF3" w:rsidRPr="00593545" w:rsidRDefault="00AB5DDE" w:rsidP="00AB5DDE">
            <w:pPr>
              <w:widowControl w:val="0"/>
              <w:autoSpaceDE w:val="0"/>
              <w:autoSpaceDN w:val="0"/>
              <w:adjustRightInd w:val="0"/>
              <w:rPr>
                <w:rFonts w:cs="Arial"/>
              </w:rPr>
            </w:pPr>
            <w:r w:rsidRPr="00593545">
              <w:rPr>
                <w:rFonts w:cs="Arial"/>
              </w:rPr>
              <w:t>0.005</w:t>
            </w:r>
          </w:p>
        </w:tc>
        <w:tc>
          <w:tcPr>
            <w:tcW w:w="1218" w:type="dxa"/>
          </w:tcPr>
          <w:p w:rsidR="005C2DF3" w:rsidRPr="00593545" w:rsidRDefault="008C42C7" w:rsidP="00AB5DDE">
            <w:pPr>
              <w:widowControl w:val="0"/>
              <w:autoSpaceDE w:val="0"/>
              <w:autoSpaceDN w:val="0"/>
              <w:adjustRightInd w:val="0"/>
              <w:rPr>
                <w:rFonts w:cs="Arial"/>
              </w:rPr>
            </w:pPr>
            <w:r w:rsidRPr="00593545">
              <w:rPr>
                <w:rFonts w:cs="Arial"/>
              </w:rPr>
              <w:t>0.25</w:t>
            </w:r>
          </w:p>
        </w:tc>
        <w:tc>
          <w:tcPr>
            <w:tcW w:w="1234" w:type="dxa"/>
          </w:tcPr>
          <w:p w:rsidR="008C42C7" w:rsidRPr="00593545" w:rsidRDefault="008C42C7" w:rsidP="00AB5DDE">
            <w:pPr>
              <w:widowControl w:val="0"/>
              <w:autoSpaceDE w:val="0"/>
              <w:autoSpaceDN w:val="0"/>
              <w:adjustRightInd w:val="0"/>
            </w:pPr>
            <w:r w:rsidRPr="00593545">
              <w:t>0.062</w:t>
            </w:r>
          </w:p>
          <w:p w:rsidR="005C2DF3" w:rsidRPr="00593545" w:rsidRDefault="005C2DF3" w:rsidP="00AB5DDE">
            <w:pPr>
              <w:widowControl w:val="0"/>
              <w:autoSpaceDE w:val="0"/>
              <w:autoSpaceDN w:val="0"/>
              <w:adjustRightInd w:val="0"/>
              <w:rPr>
                <w:rFonts w:cs="Arial"/>
              </w:rPr>
            </w:pPr>
          </w:p>
        </w:tc>
        <w:tc>
          <w:tcPr>
            <w:tcW w:w="1218" w:type="dxa"/>
          </w:tcPr>
          <w:p w:rsidR="005C2DF3" w:rsidRPr="00593545" w:rsidRDefault="00AB5DDE" w:rsidP="00AB5DDE">
            <w:pPr>
              <w:widowControl w:val="0"/>
              <w:autoSpaceDE w:val="0"/>
              <w:autoSpaceDN w:val="0"/>
              <w:adjustRightInd w:val="0"/>
              <w:rPr>
                <w:rFonts w:cs="Arial"/>
              </w:rPr>
            </w:pPr>
            <w:r w:rsidRPr="00593545">
              <w:rPr>
                <w:rFonts w:cs="Arial"/>
              </w:rPr>
              <w:t>4.12</w:t>
            </w:r>
          </w:p>
        </w:tc>
        <w:tc>
          <w:tcPr>
            <w:tcW w:w="1250" w:type="dxa"/>
          </w:tcPr>
          <w:p w:rsidR="005C2DF3" w:rsidRPr="00593545" w:rsidRDefault="00AB5DDE" w:rsidP="00AB5DDE">
            <w:pPr>
              <w:widowControl w:val="0"/>
              <w:autoSpaceDE w:val="0"/>
              <w:autoSpaceDN w:val="0"/>
              <w:adjustRightInd w:val="0"/>
              <w:rPr>
                <w:rFonts w:cs="Arial"/>
              </w:rPr>
            </w:pPr>
            <w:r w:rsidRPr="00593545">
              <w:rPr>
                <w:rFonts w:cs="Arial"/>
              </w:rPr>
              <w:t>&lt;0.001</w:t>
            </w:r>
            <w:r w:rsidR="008C42C7" w:rsidRPr="00593545">
              <w:rPr>
                <w:rFonts w:cs="Arial"/>
              </w:rPr>
              <w:t>**</w:t>
            </w:r>
          </w:p>
        </w:tc>
      </w:tr>
    </w:tbl>
    <w:p w:rsidR="008C42C7" w:rsidRPr="00593545" w:rsidRDefault="008C42C7" w:rsidP="008C42C7">
      <w:pPr>
        <w:widowControl w:val="0"/>
        <w:autoSpaceDE w:val="0"/>
        <w:autoSpaceDN w:val="0"/>
        <w:adjustRightInd w:val="0"/>
        <w:spacing w:after="0" w:line="240" w:lineRule="auto"/>
        <w:ind w:left="482" w:hanging="482"/>
        <w:rPr>
          <w:rFonts w:cs="Arial"/>
        </w:rPr>
      </w:pPr>
      <w:r w:rsidRPr="00593545">
        <w:rPr>
          <w:rFonts w:cs="Arial"/>
        </w:rPr>
        <w:t>* = significant at p&lt;0.05</w:t>
      </w:r>
    </w:p>
    <w:p w:rsidR="008C42C7" w:rsidRPr="008C42C7" w:rsidRDefault="008C42C7" w:rsidP="008C42C7">
      <w:pPr>
        <w:widowControl w:val="0"/>
        <w:autoSpaceDE w:val="0"/>
        <w:autoSpaceDN w:val="0"/>
        <w:adjustRightInd w:val="0"/>
        <w:spacing w:after="0" w:line="240" w:lineRule="auto"/>
        <w:ind w:left="482" w:hanging="482"/>
        <w:rPr>
          <w:rFonts w:cs="Arial"/>
        </w:rPr>
      </w:pPr>
      <w:r w:rsidRPr="00593545">
        <w:rPr>
          <w:rFonts w:cs="Arial"/>
        </w:rPr>
        <w:t>** = significant at p&lt;0.001</w:t>
      </w:r>
      <w:bookmarkStart w:id="0" w:name="_GoBack"/>
      <w:bookmarkEnd w:id="0"/>
    </w:p>
    <w:sectPr w:rsidR="008C42C7" w:rsidRPr="008C42C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6D6" w:rsidRDefault="009526D6" w:rsidP="00A215C4">
      <w:pPr>
        <w:spacing w:after="0" w:line="240" w:lineRule="auto"/>
      </w:pPr>
      <w:r>
        <w:separator/>
      </w:r>
    </w:p>
  </w:endnote>
  <w:endnote w:type="continuationSeparator" w:id="0">
    <w:p w:rsidR="009526D6" w:rsidRDefault="009526D6" w:rsidP="00A21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6D6" w:rsidRDefault="009526D6" w:rsidP="00A215C4">
      <w:pPr>
        <w:spacing w:after="0" w:line="240" w:lineRule="auto"/>
      </w:pPr>
      <w:r>
        <w:separator/>
      </w:r>
    </w:p>
  </w:footnote>
  <w:footnote w:type="continuationSeparator" w:id="0">
    <w:p w:rsidR="009526D6" w:rsidRDefault="009526D6" w:rsidP="00A215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55976"/>
    <w:multiLevelType w:val="hybridMultilevel"/>
    <w:tmpl w:val="A26ED9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F56EDF"/>
    <w:multiLevelType w:val="hybridMultilevel"/>
    <w:tmpl w:val="514E9D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5854FE0"/>
    <w:multiLevelType w:val="hybridMultilevel"/>
    <w:tmpl w:val="FE70D8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92B49AB"/>
    <w:multiLevelType w:val="hybridMultilevel"/>
    <w:tmpl w:val="DD2A32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2113037F"/>
    <w:multiLevelType w:val="hybridMultilevel"/>
    <w:tmpl w:val="9CAC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D55989"/>
    <w:multiLevelType w:val="hybridMultilevel"/>
    <w:tmpl w:val="70FCE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495A69"/>
    <w:multiLevelType w:val="hybridMultilevel"/>
    <w:tmpl w:val="16A4FF80"/>
    <w:lvl w:ilvl="0" w:tplc="8A30ED02">
      <w:start w:val="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54447C"/>
    <w:multiLevelType w:val="hybridMultilevel"/>
    <w:tmpl w:val="2DC66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99974C4"/>
    <w:multiLevelType w:val="hybridMultilevel"/>
    <w:tmpl w:val="9EA0C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1DB271F"/>
    <w:multiLevelType w:val="hybridMultilevel"/>
    <w:tmpl w:val="5AA60D12"/>
    <w:lvl w:ilvl="0" w:tplc="5E36AE8A">
      <w:start w:val="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283BF7"/>
    <w:multiLevelType w:val="hybridMultilevel"/>
    <w:tmpl w:val="CACC6E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7F71460"/>
    <w:multiLevelType w:val="hybridMultilevel"/>
    <w:tmpl w:val="DB585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E0A1FA1"/>
    <w:multiLevelType w:val="hybridMultilevel"/>
    <w:tmpl w:val="23222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C4B63F3"/>
    <w:multiLevelType w:val="hybridMultilevel"/>
    <w:tmpl w:val="775A3C4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nsid w:val="690E1DEB"/>
    <w:multiLevelType w:val="hybridMultilevel"/>
    <w:tmpl w:val="CACC6E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C067A36"/>
    <w:multiLevelType w:val="hybridMultilevel"/>
    <w:tmpl w:val="9ACC03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6E2B3AFE"/>
    <w:multiLevelType w:val="hybridMultilevel"/>
    <w:tmpl w:val="CACC6E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E6D1DDB"/>
    <w:multiLevelType w:val="hybridMultilevel"/>
    <w:tmpl w:val="2500D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06E6F83"/>
    <w:multiLevelType w:val="hybridMultilevel"/>
    <w:tmpl w:val="907C6F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7A1C5F5C"/>
    <w:multiLevelType w:val="hybridMultilevel"/>
    <w:tmpl w:val="961637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AF309D4"/>
    <w:multiLevelType w:val="hybridMultilevel"/>
    <w:tmpl w:val="50842ED8"/>
    <w:lvl w:ilvl="0" w:tplc="5CC0CD9C">
      <w:start w:val="1"/>
      <w:numFmt w:val="bullet"/>
      <w:lvlText w:val="•"/>
      <w:lvlJc w:val="left"/>
      <w:pPr>
        <w:tabs>
          <w:tab w:val="num" w:pos="720"/>
        </w:tabs>
        <w:ind w:left="720" w:hanging="360"/>
      </w:pPr>
      <w:rPr>
        <w:rFonts w:ascii="Arial" w:hAnsi="Arial" w:hint="default"/>
      </w:rPr>
    </w:lvl>
    <w:lvl w:ilvl="1" w:tplc="6A7E0210" w:tentative="1">
      <w:start w:val="1"/>
      <w:numFmt w:val="bullet"/>
      <w:lvlText w:val="•"/>
      <w:lvlJc w:val="left"/>
      <w:pPr>
        <w:tabs>
          <w:tab w:val="num" w:pos="1440"/>
        </w:tabs>
        <w:ind w:left="1440" w:hanging="360"/>
      </w:pPr>
      <w:rPr>
        <w:rFonts w:ascii="Arial" w:hAnsi="Arial" w:hint="default"/>
      </w:rPr>
    </w:lvl>
    <w:lvl w:ilvl="2" w:tplc="56CC20A2" w:tentative="1">
      <w:start w:val="1"/>
      <w:numFmt w:val="bullet"/>
      <w:lvlText w:val="•"/>
      <w:lvlJc w:val="left"/>
      <w:pPr>
        <w:tabs>
          <w:tab w:val="num" w:pos="2160"/>
        </w:tabs>
        <w:ind w:left="2160" w:hanging="360"/>
      </w:pPr>
      <w:rPr>
        <w:rFonts w:ascii="Arial" w:hAnsi="Arial" w:hint="default"/>
      </w:rPr>
    </w:lvl>
    <w:lvl w:ilvl="3" w:tplc="55086CEC" w:tentative="1">
      <w:start w:val="1"/>
      <w:numFmt w:val="bullet"/>
      <w:lvlText w:val="•"/>
      <w:lvlJc w:val="left"/>
      <w:pPr>
        <w:tabs>
          <w:tab w:val="num" w:pos="2880"/>
        </w:tabs>
        <w:ind w:left="2880" w:hanging="360"/>
      </w:pPr>
      <w:rPr>
        <w:rFonts w:ascii="Arial" w:hAnsi="Arial" w:hint="default"/>
      </w:rPr>
    </w:lvl>
    <w:lvl w:ilvl="4" w:tplc="F202E462" w:tentative="1">
      <w:start w:val="1"/>
      <w:numFmt w:val="bullet"/>
      <w:lvlText w:val="•"/>
      <w:lvlJc w:val="left"/>
      <w:pPr>
        <w:tabs>
          <w:tab w:val="num" w:pos="3600"/>
        </w:tabs>
        <w:ind w:left="3600" w:hanging="360"/>
      </w:pPr>
      <w:rPr>
        <w:rFonts w:ascii="Arial" w:hAnsi="Arial" w:hint="default"/>
      </w:rPr>
    </w:lvl>
    <w:lvl w:ilvl="5" w:tplc="2B6E9F8C" w:tentative="1">
      <w:start w:val="1"/>
      <w:numFmt w:val="bullet"/>
      <w:lvlText w:val="•"/>
      <w:lvlJc w:val="left"/>
      <w:pPr>
        <w:tabs>
          <w:tab w:val="num" w:pos="4320"/>
        </w:tabs>
        <w:ind w:left="4320" w:hanging="360"/>
      </w:pPr>
      <w:rPr>
        <w:rFonts w:ascii="Arial" w:hAnsi="Arial" w:hint="default"/>
      </w:rPr>
    </w:lvl>
    <w:lvl w:ilvl="6" w:tplc="699E5E32" w:tentative="1">
      <w:start w:val="1"/>
      <w:numFmt w:val="bullet"/>
      <w:lvlText w:val="•"/>
      <w:lvlJc w:val="left"/>
      <w:pPr>
        <w:tabs>
          <w:tab w:val="num" w:pos="5040"/>
        </w:tabs>
        <w:ind w:left="5040" w:hanging="360"/>
      </w:pPr>
      <w:rPr>
        <w:rFonts w:ascii="Arial" w:hAnsi="Arial" w:hint="default"/>
      </w:rPr>
    </w:lvl>
    <w:lvl w:ilvl="7" w:tplc="3F9251B2" w:tentative="1">
      <w:start w:val="1"/>
      <w:numFmt w:val="bullet"/>
      <w:lvlText w:val="•"/>
      <w:lvlJc w:val="left"/>
      <w:pPr>
        <w:tabs>
          <w:tab w:val="num" w:pos="5760"/>
        </w:tabs>
        <w:ind w:left="5760" w:hanging="360"/>
      </w:pPr>
      <w:rPr>
        <w:rFonts w:ascii="Arial" w:hAnsi="Arial" w:hint="default"/>
      </w:rPr>
    </w:lvl>
    <w:lvl w:ilvl="8" w:tplc="78F4CE7E" w:tentative="1">
      <w:start w:val="1"/>
      <w:numFmt w:val="bullet"/>
      <w:lvlText w:val="•"/>
      <w:lvlJc w:val="left"/>
      <w:pPr>
        <w:tabs>
          <w:tab w:val="num" w:pos="6480"/>
        </w:tabs>
        <w:ind w:left="6480" w:hanging="360"/>
      </w:pPr>
      <w:rPr>
        <w:rFonts w:ascii="Arial" w:hAnsi="Arial" w:hint="default"/>
      </w:rPr>
    </w:lvl>
  </w:abstractNum>
  <w:abstractNum w:abstractNumId="21">
    <w:nsid w:val="7E9E4289"/>
    <w:multiLevelType w:val="hybridMultilevel"/>
    <w:tmpl w:val="81AAF238"/>
    <w:lvl w:ilvl="0" w:tplc="01A208A2">
      <w:start w:val="1"/>
      <w:numFmt w:val="bullet"/>
      <w:lvlText w:val="•"/>
      <w:lvlJc w:val="left"/>
      <w:pPr>
        <w:tabs>
          <w:tab w:val="num" w:pos="720"/>
        </w:tabs>
        <w:ind w:left="720" w:hanging="360"/>
      </w:pPr>
      <w:rPr>
        <w:rFonts w:ascii="Arial" w:hAnsi="Arial" w:hint="default"/>
      </w:rPr>
    </w:lvl>
    <w:lvl w:ilvl="1" w:tplc="756060A8" w:tentative="1">
      <w:start w:val="1"/>
      <w:numFmt w:val="bullet"/>
      <w:lvlText w:val="•"/>
      <w:lvlJc w:val="left"/>
      <w:pPr>
        <w:tabs>
          <w:tab w:val="num" w:pos="1440"/>
        </w:tabs>
        <w:ind w:left="1440" w:hanging="360"/>
      </w:pPr>
      <w:rPr>
        <w:rFonts w:ascii="Arial" w:hAnsi="Arial" w:hint="default"/>
      </w:rPr>
    </w:lvl>
    <w:lvl w:ilvl="2" w:tplc="9B66158A" w:tentative="1">
      <w:start w:val="1"/>
      <w:numFmt w:val="bullet"/>
      <w:lvlText w:val="•"/>
      <w:lvlJc w:val="left"/>
      <w:pPr>
        <w:tabs>
          <w:tab w:val="num" w:pos="2160"/>
        </w:tabs>
        <w:ind w:left="2160" w:hanging="360"/>
      </w:pPr>
      <w:rPr>
        <w:rFonts w:ascii="Arial" w:hAnsi="Arial" w:hint="default"/>
      </w:rPr>
    </w:lvl>
    <w:lvl w:ilvl="3" w:tplc="C570DC72" w:tentative="1">
      <w:start w:val="1"/>
      <w:numFmt w:val="bullet"/>
      <w:lvlText w:val="•"/>
      <w:lvlJc w:val="left"/>
      <w:pPr>
        <w:tabs>
          <w:tab w:val="num" w:pos="2880"/>
        </w:tabs>
        <w:ind w:left="2880" w:hanging="360"/>
      </w:pPr>
      <w:rPr>
        <w:rFonts w:ascii="Arial" w:hAnsi="Arial" w:hint="default"/>
      </w:rPr>
    </w:lvl>
    <w:lvl w:ilvl="4" w:tplc="AD2E66E0" w:tentative="1">
      <w:start w:val="1"/>
      <w:numFmt w:val="bullet"/>
      <w:lvlText w:val="•"/>
      <w:lvlJc w:val="left"/>
      <w:pPr>
        <w:tabs>
          <w:tab w:val="num" w:pos="3600"/>
        </w:tabs>
        <w:ind w:left="3600" w:hanging="360"/>
      </w:pPr>
      <w:rPr>
        <w:rFonts w:ascii="Arial" w:hAnsi="Arial" w:hint="default"/>
      </w:rPr>
    </w:lvl>
    <w:lvl w:ilvl="5" w:tplc="F6CE0502" w:tentative="1">
      <w:start w:val="1"/>
      <w:numFmt w:val="bullet"/>
      <w:lvlText w:val="•"/>
      <w:lvlJc w:val="left"/>
      <w:pPr>
        <w:tabs>
          <w:tab w:val="num" w:pos="4320"/>
        </w:tabs>
        <w:ind w:left="4320" w:hanging="360"/>
      </w:pPr>
      <w:rPr>
        <w:rFonts w:ascii="Arial" w:hAnsi="Arial" w:hint="default"/>
      </w:rPr>
    </w:lvl>
    <w:lvl w:ilvl="6" w:tplc="6F20B992" w:tentative="1">
      <w:start w:val="1"/>
      <w:numFmt w:val="bullet"/>
      <w:lvlText w:val="•"/>
      <w:lvlJc w:val="left"/>
      <w:pPr>
        <w:tabs>
          <w:tab w:val="num" w:pos="5040"/>
        </w:tabs>
        <w:ind w:left="5040" w:hanging="360"/>
      </w:pPr>
      <w:rPr>
        <w:rFonts w:ascii="Arial" w:hAnsi="Arial" w:hint="default"/>
      </w:rPr>
    </w:lvl>
    <w:lvl w:ilvl="7" w:tplc="BCA6CDBE" w:tentative="1">
      <w:start w:val="1"/>
      <w:numFmt w:val="bullet"/>
      <w:lvlText w:val="•"/>
      <w:lvlJc w:val="left"/>
      <w:pPr>
        <w:tabs>
          <w:tab w:val="num" w:pos="5760"/>
        </w:tabs>
        <w:ind w:left="5760" w:hanging="360"/>
      </w:pPr>
      <w:rPr>
        <w:rFonts w:ascii="Arial" w:hAnsi="Arial" w:hint="default"/>
      </w:rPr>
    </w:lvl>
    <w:lvl w:ilvl="8" w:tplc="8924BE98"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10"/>
  </w:num>
  <w:num w:numId="3">
    <w:abstractNumId w:val="16"/>
  </w:num>
  <w:num w:numId="4">
    <w:abstractNumId w:val="15"/>
  </w:num>
  <w:num w:numId="5">
    <w:abstractNumId w:val="3"/>
  </w:num>
  <w:num w:numId="6">
    <w:abstractNumId w:val="0"/>
  </w:num>
  <w:num w:numId="7">
    <w:abstractNumId w:val="1"/>
  </w:num>
  <w:num w:numId="8">
    <w:abstractNumId w:val="2"/>
  </w:num>
  <w:num w:numId="9">
    <w:abstractNumId w:val="18"/>
  </w:num>
  <w:num w:numId="10">
    <w:abstractNumId w:val="19"/>
  </w:num>
  <w:num w:numId="11">
    <w:abstractNumId w:val="17"/>
  </w:num>
  <w:num w:numId="12">
    <w:abstractNumId w:val="8"/>
  </w:num>
  <w:num w:numId="13">
    <w:abstractNumId w:val="7"/>
  </w:num>
  <w:num w:numId="14">
    <w:abstractNumId w:val="13"/>
  </w:num>
  <w:num w:numId="15">
    <w:abstractNumId w:val="11"/>
  </w:num>
  <w:num w:numId="16">
    <w:abstractNumId w:val="21"/>
  </w:num>
  <w:num w:numId="17">
    <w:abstractNumId w:val="20"/>
  </w:num>
  <w:num w:numId="18">
    <w:abstractNumId w:val="12"/>
  </w:num>
  <w:num w:numId="19">
    <w:abstractNumId w:val="5"/>
  </w:num>
  <w:num w:numId="20">
    <w:abstractNumId w:val="4"/>
  </w:num>
  <w:num w:numId="21">
    <w:abstractNumId w:val="6"/>
  </w:num>
  <w:num w:numId="2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sha Cleaton">
    <w15:presenceInfo w15:providerId="None" w15:userId="Tasha Clea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088"/>
    <w:rsid w:val="00002B64"/>
    <w:rsid w:val="00003972"/>
    <w:rsid w:val="00014DC5"/>
    <w:rsid w:val="0001584E"/>
    <w:rsid w:val="00037C20"/>
    <w:rsid w:val="00040881"/>
    <w:rsid w:val="00050DAF"/>
    <w:rsid w:val="00050E6D"/>
    <w:rsid w:val="00051257"/>
    <w:rsid w:val="00056722"/>
    <w:rsid w:val="0006617A"/>
    <w:rsid w:val="00067136"/>
    <w:rsid w:val="00072A9C"/>
    <w:rsid w:val="00072E3B"/>
    <w:rsid w:val="00084798"/>
    <w:rsid w:val="00094448"/>
    <w:rsid w:val="00095F5A"/>
    <w:rsid w:val="00097E37"/>
    <w:rsid w:val="000A1B1E"/>
    <w:rsid w:val="000A5392"/>
    <w:rsid w:val="000A62C6"/>
    <w:rsid w:val="000A6E41"/>
    <w:rsid w:val="000A763C"/>
    <w:rsid w:val="000B3D42"/>
    <w:rsid w:val="000B60C1"/>
    <w:rsid w:val="000B76A4"/>
    <w:rsid w:val="000D1E40"/>
    <w:rsid w:val="000D4E40"/>
    <w:rsid w:val="000E38B2"/>
    <w:rsid w:val="000E427B"/>
    <w:rsid w:val="000F5B74"/>
    <w:rsid w:val="00106F34"/>
    <w:rsid w:val="0011133E"/>
    <w:rsid w:val="001142FF"/>
    <w:rsid w:val="00126C45"/>
    <w:rsid w:val="00131481"/>
    <w:rsid w:val="00147727"/>
    <w:rsid w:val="00150FAE"/>
    <w:rsid w:val="00152543"/>
    <w:rsid w:val="001547FB"/>
    <w:rsid w:val="001557C5"/>
    <w:rsid w:val="001578FB"/>
    <w:rsid w:val="00164A2E"/>
    <w:rsid w:val="00165037"/>
    <w:rsid w:val="00174E29"/>
    <w:rsid w:val="00175CB5"/>
    <w:rsid w:val="00184416"/>
    <w:rsid w:val="00187F32"/>
    <w:rsid w:val="00193584"/>
    <w:rsid w:val="0019441F"/>
    <w:rsid w:val="00197088"/>
    <w:rsid w:val="001A3A78"/>
    <w:rsid w:val="001A7F1D"/>
    <w:rsid w:val="001B6232"/>
    <w:rsid w:val="001C32F1"/>
    <w:rsid w:val="001D243F"/>
    <w:rsid w:val="001F0CE6"/>
    <w:rsid w:val="001F4518"/>
    <w:rsid w:val="001F451F"/>
    <w:rsid w:val="001F4E76"/>
    <w:rsid w:val="001F4E81"/>
    <w:rsid w:val="002019DB"/>
    <w:rsid w:val="00215947"/>
    <w:rsid w:val="002221E7"/>
    <w:rsid w:val="002234BF"/>
    <w:rsid w:val="00227299"/>
    <w:rsid w:val="00227696"/>
    <w:rsid w:val="00230943"/>
    <w:rsid w:val="002336E8"/>
    <w:rsid w:val="002376A1"/>
    <w:rsid w:val="00240C46"/>
    <w:rsid w:val="00240CC8"/>
    <w:rsid w:val="00241388"/>
    <w:rsid w:val="00243816"/>
    <w:rsid w:val="002500F2"/>
    <w:rsid w:val="00254F35"/>
    <w:rsid w:val="00262F26"/>
    <w:rsid w:val="00264C0D"/>
    <w:rsid w:val="00266092"/>
    <w:rsid w:val="00274C54"/>
    <w:rsid w:val="002867E2"/>
    <w:rsid w:val="0029605B"/>
    <w:rsid w:val="00297651"/>
    <w:rsid w:val="002A30C2"/>
    <w:rsid w:val="002A5A26"/>
    <w:rsid w:val="002A7AA8"/>
    <w:rsid w:val="002A7EB5"/>
    <w:rsid w:val="002B06E8"/>
    <w:rsid w:val="002B0799"/>
    <w:rsid w:val="002B2E51"/>
    <w:rsid w:val="002B69DA"/>
    <w:rsid w:val="002B7B3C"/>
    <w:rsid w:val="002D5B58"/>
    <w:rsid w:val="002E4CC5"/>
    <w:rsid w:val="002E6832"/>
    <w:rsid w:val="002E7EF2"/>
    <w:rsid w:val="002F108C"/>
    <w:rsid w:val="002F12D2"/>
    <w:rsid w:val="002F42FE"/>
    <w:rsid w:val="002F757B"/>
    <w:rsid w:val="00303787"/>
    <w:rsid w:val="00312218"/>
    <w:rsid w:val="0031322F"/>
    <w:rsid w:val="0031367B"/>
    <w:rsid w:val="00322BCA"/>
    <w:rsid w:val="0033724B"/>
    <w:rsid w:val="003455DE"/>
    <w:rsid w:val="00365E23"/>
    <w:rsid w:val="00366A3B"/>
    <w:rsid w:val="00370CB5"/>
    <w:rsid w:val="0037190E"/>
    <w:rsid w:val="00375C8E"/>
    <w:rsid w:val="003774BC"/>
    <w:rsid w:val="00380272"/>
    <w:rsid w:val="003810B7"/>
    <w:rsid w:val="0038423A"/>
    <w:rsid w:val="00384C6B"/>
    <w:rsid w:val="00386801"/>
    <w:rsid w:val="0039427D"/>
    <w:rsid w:val="0039430D"/>
    <w:rsid w:val="003A5EC5"/>
    <w:rsid w:val="003B004D"/>
    <w:rsid w:val="003B0A96"/>
    <w:rsid w:val="003B2D6D"/>
    <w:rsid w:val="003C0722"/>
    <w:rsid w:val="003C08AE"/>
    <w:rsid w:val="003C3AC9"/>
    <w:rsid w:val="003C3CF2"/>
    <w:rsid w:val="003C68F2"/>
    <w:rsid w:val="003D2220"/>
    <w:rsid w:val="003D2AB9"/>
    <w:rsid w:val="003D3673"/>
    <w:rsid w:val="003D586F"/>
    <w:rsid w:val="003D5B8C"/>
    <w:rsid w:val="003E256F"/>
    <w:rsid w:val="003E317B"/>
    <w:rsid w:val="003F1FDD"/>
    <w:rsid w:val="003F3969"/>
    <w:rsid w:val="00404527"/>
    <w:rsid w:val="00404683"/>
    <w:rsid w:val="00410FC8"/>
    <w:rsid w:val="00415462"/>
    <w:rsid w:val="00416068"/>
    <w:rsid w:val="00417DC5"/>
    <w:rsid w:val="004207E2"/>
    <w:rsid w:val="004234C5"/>
    <w:rsid w:val="004236B8"/>
    <w:rsid w:val="004356E9"/>
    <w:rsid w:val="004422B9"/>
    <w:rsid w:val="004422D2"/>
    <w:rsid w:val="004468A1"/>
    <w:rsid w:val="00447378"/>
    <w:rsid w:val="00460CD9"/>
    <w:rsid w:val="00460FAB"/>
    <w:rsid w:val="0046713F"/>
    <w:rsid w:val="0046778B"/>
    <w:rsid w:val="00474B73"/>
    <w:rsid w:val="004765C2"/>
    <w:rsid w:val="00476842"/>
    <w:rsid w:val="00481F22"/>
    <w:rsid w:val="004823D3"/>
    <w:rsid w:val="004834B9"/>
    <w:rsid w:val="00485458"/>
    <w:rsid w:val="00486236"/>
    <w:rsid w:val="004913D8"/>
    <w:rsid w:val="004A2ABB"/>
    <w:rsid w:val="004A37BA"/>
    <w:rsid w:val="004A7380"/>
    <w:rsid w:val="004A7E39"/>
    <w:rsid w:val="004B06FC"/>
    <w:rsid w:val="004B311C"/>
    <w:rsid w:val="004B7745"/>
    <w:rsid w:val="004B7F04"/>
    <w:rsid w:val="004D7233"/>
    <w:rsid w:val="004E3AEC"/>
    <w:rsid w:val="004E7B7D"/>
    <w:rsid w:val="004F26B8"/>
    <w:rsid w:val="004F2BD6"/>
    <w:rsid w:val="00500671"/>
    <w:rsid w:val="00505709"/>
    <w:rsid w:val="00516B16"/>
    <w:rsid w:val="005207D3"/>
    <w:rsid w:val="00524AC4"/>
    <w:rsid w:val="00530ACF"/>
    <w:rsid w:val="005310A3"/>
    <w:rsid w:val="00550E33"/>
    <w:rsid w:val="00555D66"/>
    <w:rsid w:val="00556650"/>
    <w:rsid w:val="0055724F"/>
    <w:rsid w:val="005579C0"/>
    <w:rsid w:val="00570284"/>
    <w:rsid w:val="00574FB3"/>
    <w:rsid w:val="00581819"/>
    <w:rsid w:val="00584235"/>
    <w:rsid w:val="00584958"/>
    <w:rsid w:val="00585886"/>
    <w:rsid w:val="00593545"/>
    <w:rsid w:val="005A09CE"/>
    <w:rsid w:val="005B40BC"/>
    <w:rsid w:val="005B4654"/>
    <w:rsid w:val="005C19E2"/>
    <w:rsid w:val="005C2C09"/>
    <w:rsid w:val="005C2DF3"/>
    <w:rsid w:val="005D000D"/>
    <w:rsid w:val="005D5D54"/>
    <w:rsid w:val="005F3422"/>
    <w:rsid w:val="005F3AAC"/>
    <w:rsid w:val="005F5232"/>
    <w:rsid w:val="005F5600"/>
    <w:rsid w:val="005F687C"/>
    <w:rsid w:val="005F72B1"/>
    <w:rsid w:val="00600139"/>
    <w:rsid w:val="006028CB"/>
    <w:rsid w:val="006044C1"/>
    <w:rsid w:val="0060753C"/>
    <w:rsid w:val="00612DD5"/>
    <w:rsid w:val="00613E04"/>
    <w:rsid w:val="00625860"/>
    <w:rsid w:val="0063578B"/>
    <w:rsid w:val="00636726"/>
    <w:rsid w:val="00640F09"/>
    <w:rsid w:val="00654401"/>
    <w:rsid w:val="00656346"/>
    <w:rsid w:val="00657B50"/>
    <w:rsid w:val="00664CC0"/>
    <w:rsid w:val="00672021"/>
    <w:rsid w:val="00684FF1"/>
    <w:rsid w:val="0069242A"/>
    <w:rsid w:val="0069270A"/>
    <w:rsid w:val="00694C9A"/>
    <w:rsid w:val="00696E57"/>
    <w:rsid w:val="006A5FFC"/>
    <w:rsid w:val="006B77F1"/>
    <w:rsid w:val="006C0609"/>
    <w:rsid w:val="006C2481"/>
    <w:rsid w:val="006D0A69"/>
    <w:rsid w:val="006D5599"/>
    <w:rsid w:val="006D7291"/>
    <w:rsid w:val="006E04E6"/>
    <w:rsid w:val="006E438E"/>
    <w:rsid w:val="006E67D7"/>
    <w:rsid w:val="00701956"/>
    <w:rsid w:val="00705D03"/>
    <w:rsid w:val="0070664D"/>
    <w:rsid w:val="00712F5A"/>
    <w:rsid w:val="00715299"/>
    <w:rsid w:val="00715E6B"/>
    <w:rsid w:val="00716D02"/>
    <w:rsid w:val="0071716D"/>
    <w:rsid w:val="0072210B"/>
    <w:rsid w:val="00722803"/>
    <w:rsid w:val="00724233"/>
    <w:rsid w:val="00726B38"/>
    <w:rsid w:val="00734121"/>
    <w:rsid w:val="0074050A"/>
    <w:rsid w:val="007474C4"/>
    <w:rsid w:val="007518E7"/>
    <w:rsid w:val="00757A2C"/>
    <w:rsid w:val="007628BC"/>
    <w:rsid w:val="007634F3"/>
    <w:rsid w:val="00771478"/>
    <w:rsid w:val="00773D3E"/>
    <w:rsid w:val="00775C1D"/>
    <w:rsid w:val="00780A10"/>
    <w:rsid w:val="00780DA6"/>
    <w:rsid w:val="0078122A"/>
    <w:rsid w:val="007849A1"/>
    <w:rsid w:val="00785FC7"/>
    <w:rsid w:val="007905FC"/>
    <w:rsid w:val="007953F0"/>
    <w:rsid w:val="0079730B"/>
    <w:rsid w:val="007A40A8"/>
    <w:rsid w:val="007A53B1"/>
    <w:rsid w:val="007A5CAC"/>
    <w:rsid w:val="007A6F56"/>
    <w:rsid w:val="007B0194"/>
    <w:rsid w:val="007B1194"/>
    <w:rsid w:val="007B18B5"/>
    <w:rsid w:val="007B7E46"/>
    <w:rsid w:val="007C3422"/>
    <w:rsid w:val="007C3521"/>
    <w:rsid w:val="007C49D2"/>
    <w:rsid w:val="007C54B9"/>
    <w:rsid w:val="007D55EB"/>
    <w:rsid w:val="007E25F8"/>
    <w:rsid w:val="007E6AF1"/>
    <w:rsid w:val="007F3CB5"/>
    <w:rsid w:val="007F6302"/>
    <w:rsid w:val="0080030B"/>
    <w:rsid w:val="00800A3F"/>
    <w:rsid w:val="0080112A"/>
    <w:rsid w:val="00811169"/>
    <w:rsid w:val="0081138A"/>
    <w:rsid w:val="00812356"/>
    <w:rsid w:val="008236C7"/>
    <w:rsid w:val="00827CA0"/>
    <w:rsid w:val="00830F0E"/>
    <w:rsid w:val="008342AD"/>
    <w:rsid w:val="008356AB"/>
    <w:rsid w:val="00836472"/>
    <w:rsid w:val="00837571"/>
    <w:rsid w:val="00845F9E"/>
    <w:rsid w:val="0084613C"/>
    <w:rsid w:val="00860C9E"/>
    <w:rsid w:val="00862FC6"/>
    <w:rsid w:val="0086356E"/>
    <w:rsid w:val="00863D27"/>
    <w:rsid w:val="0087457C"/>
    <w:rsid w:val="0087473A"/>
    <w:rsid w:val="00882491"/>
    <w:rsid w:val="00886504"/>
    <w:rsid w:val="008A1C71"/>
    <w:rsid w:val="008A5125"/>
    <w:rsid w:val="008A6E92"/>
    <w:rsid w:val="008A7E6C"/>
    <w:rsid w:val="008B5DD6"/>
    <w:rsid w:val="008C0D74"/>
    <w:rsid w:val="008C42C7"/>
    <w:rsid w:val="008D20CB"/>
    <w:rsid w:val="008D2E6C"/>
    <w:rsid w:val="008D5C3B"/>
    <w:rsid w:val="008D65FD"/>
    <w:rsid w:val="008D68A3"/>
    <w:rsid w:val="008D7001"/>
    <w:rsid w:val="008E14EC"/>
    <w:rsid w:val="008E33E4"/>
    <w:rsid w:val="00902C6E"/>
    <w:rsid w:val="00912843"/>
    <w:rsid w:val="00917C3D"/>
    <w:rsid w:val="00920923"/>
    <w:rsid w:val="00920960"/>
    <w:rsid w:val="0092512F"/>
    <w:rsid w:val="00931B19"/>
    <w:rsid w:val="00932ECA"/>
    <w:rsid w:val="009333D2"/>
    <w:rsid w:val="009414DE"/>
    <w:rsid w:val="009526D6"/>
    <w:rsid w:val="009551AD"/>
    <w:rsid w:val="009615D3"/>
    <w:rsid w:val="0096466A"/>
    <w:rsid w:val="00965CA0"/>
    <w:rsid w:val="00971DB8"/>
    <w:rsid w:val="009759D8"/>
    <w:rsid w:val="009824D2"/>
    <w:rsid w:val="00992ADF"/>
    <w:rsid w:val="00994B84"/>
    <w:rsid w:val="00994D45"/>
    <w:rsid w:val="009972CE"/>
    <w:rsid w:val="0099753F"/>
    <w:rsid w:val="009A30AD"/>
    <w:rsid w:val="009A5AD8"/>
    <w:rsid w:val="009B222B"/>
    <w:rsid w:val="009B71EF"/>
    <w:rsid w:val="009C31C5"/>
    <w:rsid w:val="009C4BEB"/>
    <w:rsid w:val="009D1597"/>
    <w:rsid w:val="009D44D9"/>
    <w:rsid w:val="009D50D5"/>
    <w:rsid w:val="009E106D"/>
    <w:rsid w:val="009E3E04"/>
    <w:rsid w:val="009E634D"/>
    <w:rsid w:val="009E6C42"/>
    <w:rsid w:val="009F58E0"/>
    <w:rsid w:val="009F6840"/>
    <w:rsid w:val="009F7188"/>
    <w:rsid w:val="00A060FC"/>
    <w:rsid w:val="00A065D0"/>
    <w:rsid w:val="00A1257F"/>
    <w:rsid w:val="00A15FA0"/>
    <w:rsid w:val="00A17B98"/>
    <w:rsid w:val="00A215C4"/>
    <w:rsid w:val="00A21807"/>
    <w:rsid w:val="00A21CFA"/>
    <w:rsid w:val="00A253B3"/>
    <w:rsid w:val="00A26991"/>
    <w:rsid w:val="00A3000D"/>
    <w:rsid w:val="00A31205"/>
    <w:rsid w:val="00A42255"/>
    <w:rsid w:val="00A43085"/>
    <w:rsid w:val="00A439BA"/>
    <w:rsid w:val="00A45860"/>
    <w:rsid w:val="00A50B27"/>
    <w:rsid w:val="00A51426"/>
    <w:rsid w:val="00A60881"/>
    <w:rsid w:val="00A80234"/>
    <w:rsid w:val="00A903B8"/>
    <w:rsid w:val="00A915FE"/>
    <w:rsid w:val="00AB1B6F"/>
    <w:rsid w:val="00AB46A2"/>
    <w:rsid w:val="00AB5DDE"/>
    <w:rsid w:val="00AC185C"/>
    <w:rsid w:val="00AC25BC"/>
    <w:rsid w:val="00AC27C2"/>
    <w:rsid w:val="00AC4B4F"/>
    <w:rsid w:val="00AC5AED"/>
    <w:rsid w:val="00AD5A10"/>
    <w:rsid w:val="00AF13D8"/>
    <w:rsid w:val="00AF35A5"/>
    <w:rsid w:val="00AF53C4"/>
    <w:rsid w:val="00AF7AF1"/>
    <w:rsid w:val="00B0358D"/>
    <w:rsid w:val="00B1219E"/>
    <w:rsid w:val="00B12E6F"/>
    <w:rsid w:val="00B162C0"/>
    <w:rsid w:val="00B26643"/>
    <w:rsid w:val="00B3089D"/>
    <w:rsid w:val="00B31F0C"/>
    <w:rsid w:val="00B34727"/>
    <w:rsid w:val="00B406E5"/>
    <w:rsid w:val="00B44966"/>
    <w:rsid w:val="00B4523C"/>
    <w:rsid w:val="00B46205"/>
    <w:rsid w:val="00B5125A"/>
    <w:rsid w:val="00B64788"/>
    <w:rsid w:val="00B745DD"/>
    <w:rsid w:val="00B7637A"/>
    <w:rsid w:val="00B90420"/>
    <w:rsid w:val="00B94243"/>
    <w:rsid w:val="00B975CC"/>
    <w:rsid w:val="00BA2D60"/>
    <w:rsid w:val="00BA2EE2"/>
    <w:rsid w:val="00BA70A9"/>
    <w:rsid w:val="00BB0E0B"/>
    <w:rsid w:val="00BB10E2"/>
    <w:rsid w:val="00BB1A1E"/>
    <w:rsid w:val="00BB2368"/>
    <w:rsid w:val="00BB436F"/>
    <w:rsid w:val="00BB7666"/>
    <w:rsid w:val="00BC591B"/>
    <w:rsid w:val="00BC75F7"/>
    <w:rsid w:val="00BD3DAA"/>
    <w:rsid w:val="00BD66F3"/>
    <w:rsid w:val="00BD797C"/>
    <w:rsid w:val="00BE07FE"/>
    <w:rsid w:val="00BE6514"/>
    <w:rsid w:val="00BE7949"/>
    <w:rsid w:val="00BF0F0D"/>
    <w:rsid w:val="00BF22A4"/>
    <w:rsid w:val="00BF691D"/>
    <w:rsid w:val="00C02B87"/>
    <w:rsid w:val="00C02E38"/>
    <w:rsid w:val="00C067B8"/>
    <w:rsid w:val="00C0687F"/>
    <w:rsid w:val="00C11339"/>
    <w:rsid w:val="00C20344"/>
    <w:rsid w:val="00C20D22"/>
    <w:rsid w:val="00C2251A"/>
    <w:rsid w:val="00C2314E"/>
    <w:rsid w:val="00C313A2"/>
    <w:rsid w:val="00C3165B"/>
    <w:rsid w:val="00C41ED8"/>
    <w:rsid w:val="00C428D2"/>
    <w:rsid w:val="00C43946"/>
    <w:rsid w:val="00C50FFF"/>
    <w:rsid w:val="00C53DEC"/>
    <w:rsid w:val="00C56541"/>
    <w:rsid w:val="00C572FD"/>
    <w:rsid w:val="00C722F8"/>
    <w:rsid w:val="00C90BD4"/>
    <w:rsid w:val="00C922A6"/>
    <w:rsid w:val="00C93C34"/>
    <w:rsid w:val="00CB15A1"/>
    <w:rsid w:val="00CB22DE"/>
    <w:rsid w:val="00CB3167"/>
    <w:rsid w:val="00CB39B7"/>
    <w:rsid w:val="00CC2A9C"/>
    <w:rsid w:val="00CC3150"/>
    <w:rsid w:val="00CC3213"/>
    <w:rsid w:val="00CD09E0"/>
    <w:rsid w:val="00CD26C3"/>
    <w:rsid w:val="00CD327E"/>
    <w:rsid w:val="00CD4A68"/>
    <w:rsid w:val="00CD6088"/>
    <w:rsid w:val="00CD6A15"/>
    <w:rsid w:val="00CD7F60"/>
    <w:rsid w:val="00CE1275"/>
    <w:rsid w:val="00CE1296"/>
    <w:rsid w:val="00CE68BA"/>
    <w:rsid w:val="00CF0C48"/>
    <w:rsid w:val="00CF4A13"/>
    <w:rsid w:val="00D13CDE"/>
    <w:rsid w:val="00D21486"/>
    <w:rsid w:val="00D21BF7"/>
    <w:rsid w:val="00D22736"/>
    <w:rsid w:val="00D23779"/>
    <w:rsid w:val="00D30088"/>
    <w:rsid w:val="00D35501"/>
    <w:rsid w:val="00D55B44"/>
    <w:rsid w:val="00D565BE"/>
    <w:rsid w:val="00D61C1A"/>
    <w:rsid w:val="00D6638B"/>
    <w:rsid w:val="00D669AE"/>
    <w:rsid w:val="00D72360"/>
    <w:rsid w:val="00D72AF4"/>
    <w:rsid w:val="00D73374"/>
    <w:rsid w:val="00D74A38"/>
    <w:rsid w:val="00D75C82"/>
    <w:rsid w:val="00D81296"/>
    <w:rsid w:val="00D937C0"/>
    <w:rsid w:val="00DA72DB"/>
    <w:rsid w:val="00DA7A52"/>
    <w:rsid w:val="00DB02A4"/>
    <w:rsid w:val="00DC4B08"/>
    <w:rsid w:val="00DC5AC6"/>
    <w:rsid w:val="00DD11EB"/>
    <w:rsid w:val="00DD18C2"/>
    <w:rsid w:val="00DD5373"/>
    <w:rsid w:val="00DE0FE5"/>
    <w:rsid w:val="00DE5825"/>
    <w:rsid w:val="00DF2C0B"/>
    <w:rsid w:val="00DF7F50"/>
    <w:rsid w:val="00E0654A"/>
    <w:rsid w:val="00E2224A"/>
    <w:rsid w:val="00E258D5"/>
    <w:rsid w:val="00E3580B"/>
    <w:rsid w:val="00E371E0"/>
    <w:rsid w:val="00E4593F"/>
    <w:rsid w:val="00E5053B"/>
    <w:rsid w:val="00E52AE7"/>
    <w:rsid w:val="00E62C17"/>
    <w:rsid w:val="00E638A4"/>
    <w:rsid w:val="00E66FC0"/>
    <w:rsid w:val="00E71B8E"/>
    <w:rsid w:val="00E743C6"/>
    <w:rsid w:val="00E7695A"/>
    <w:rsid w:val="00E91D27"/>
    <w:rsid w:val="00E9519F"/>
    <w:rsid w:val="00E95B09"/>
    <w:rsid w:val="00EA1179"/>
    <w:rsid w:val="00EB5E33"/>
    <w:rsid w:val="00EC18E2"/>
    <w:rsid w:val="00ED2262"/>
    <w:rsid w:val="00ED2283"/>
    <w:rsid w:val="00ED3927"/>
    <w:rsid w:val="00ED41A9"/>
    <w:rsid w:val="00ED469A"/>
    <w:rsid w:val="00ED626D"/>
    <w:rsid w:val="00EE0114"/>
    <w:rsid w:val="00EE1991"/>
    <w:rsid w:val="00EE7DFB"/>
    <w:rsid w:val="00EF28FF"/>
    <w:rsid w:val="00EF3916"/>
    <w:rsid w:val="00F01AE3"/>
    <w:rsid w:val="00F02521"/>
    <w:rsid w:val="00F07677"/>
    <w:rsid w:val="00F1300F"/>
    <w:rsid w:val="00F23DBA"/>
    <w:rsid w:val="00F30D67"/>
    <w:rsid w:val="00F317C8"/>
    <w:rsid w:val="00F35037"/>
    <w:rsid w:val="00F47EB1"/>
    <w:rsid w:val="00F70D85"/>
    <w:rsid w:val="00F72257"/>
    <w:rsid w:val="00F74400"/>
    <w:rsid w:val="00F76BEC"/>
    <w:rsid w:val="00F85030"/>
    <w:rsid w:val="00F87639"/>
    <w:rsid w:val="00F94D33"/>
    <w:rsid w:val="00F95A4F"/>
    <w:rsid w:val="00FA374D"/>
    <w:rsid w:val="00FC03EA"/>
    <w:rsid w:val="00FC780C"/>
    <w:rsid w:val="00FE160C"/>
    <w:rsid w:val="00FF0B1C"/>
    <w:rsid w:val="00FF6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121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922A6"/>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8D2"/>
    <w:pPr>
      <w:ind w:left="720"/>
      <w:contextualSpacing/>
    </w:pPr>
  </w:style>
  <w:style w:type="paragraph" w:styleId="FootnoteText">
    <w:name w:val="footnote text"/>
    <w:basedOn w:val="Normal"/>
    <w:link w:val="FootnoteTextChar"/>
    <w:uiPriority w:val="99"/>
    <w:semiHidden/>
    <w:unhideWhenUsed/>
    <w:rsid w:val="00A215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15C4"/>
    <w:rPr>
      <w:sz w:val="20"/>
      <w:szCs w:val="20"/>
    </w:rPr>
  </w:style>
  <w:style w:type="character" w:styleId="FootnoteReference">
    <w:name w:val="footnote reference"/>
    <w:basedOn w:val="DefaultParagraphFont"/>
    <w:uiPriority w:val="99"/>
    <w:semiHidden/>
    <w:unhideWhenUsed/>
    <w:rsid w:val="00A215C4"/>
    <w:rPr>
      <w:vertAlign w:val="superscript"/>
    </w:rPr>
  </w:style>
  <w:style w:type="character" w:customStyle="1" w:styleId="apple-converted-space">
    <w:name w:val="apple-converted-space"/>
    <w:basedOn w:val="DefaultParagraphFont"/>
    <w:rsid w:val="00A215C4"/>
  </w:style>
  <w:style w:type="character" w:customStyle="1" w:styleId="ref-journal">
    <w:name w:val="ref-journal"/>
    <w:basedOn w:val="DefaultParagraphFont"/>
    <w:rsid w:val="00A215C4"/>
  </w:style>
  <w:style w:type="table" w:styleId="TableGrid">
    <w:name w:val="Table Grid"/>
    <w:basedOn w:val="TableNormal"/>
    <w:uiPriority w:val="59"/>
    <w:rsid w:val="00A21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vol">
    <w:name w:val="ref-vol"/>
    <w:basedOn w:val="DefaultParagraphFont"/>
    <w:rsid w:val="00417DC5"/>
  </w:style>
  <w:style w:type="character" w:customStyle="1" w:styleId="author">
    <w:name w:val="author"/>
    <w:basedOn w:val="DefaultParagraphFont"/>
    <w:rsid w:val="000E427B"/>
  </w:style>
  <w:style w:type="character" w:customStyle="1" w:styleId="journaltitle">
    <w:name w:val="journaltitle"/>
    <w:basedOn w:val="DefaultParagraphFont"/>
    <w:rsid w:val="000E427B"/>
  </w:style>
  <w:style w:type="character" w:customStyle="1" w:styleId="pubyear">
    <w:name w:val="pubyear"/>
    <w:basedOn w:val="DefaultParagraphFont"/>
    <w:rsid w:val="000E427B"/>
  </w:style>
  <w:style w:type="character" w:customStyle="1" w:styleId="vol">
    <w:name w:val="vol"/>
    <w:basedOn w:val="DefaultParagraphFont"/>
    <w:rsid w:val="000E427B"/>
  </w:style>
  <w:style w:type="paragraph" w:styleId="BalloonText">
    <w:name w:val="Balloon Text"/>
    <w:basedOn w:val="Normal"/>
    <w:link w:val="BalloonTextChar"/>
    <w:uiPriority w:val="99"/>
    <w:semiHidden/>
    <w:unhideWhenUsed/>
    <w:rsid w:val="000B60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0C1"/>
    <w:rPr>
      <w:rFonts w:ascii="Tahoma" w:hAnsi="Tahoma" w:cs="Tahoma"/>
      <w:sz w:val="16"/>
      <w:szCs w:val="16"/>
    </w:rPr>
  </w:style>
  <w:style w:type="character" w:styleId="CommentReference">
    <w:name w:val="annotation reference"/>
    <w:basedOn w:val="DefaultParagraphFont"/>
    <w:uiPriority w:val="99"/>
    <w:semiHidden/>
    <w:unhideWhenUsed/>
    <w:rsid w:val="0038423A"/>
    <w:rPr>
      <w:sz w:val="16"/>
      <w:szCs w:val="16"/>
    </w:rPr>
  </w:style>
  <w:style w:type="paragraph" w:styleId="CommentText">
    <w:name w:val="annotation text"/>
    <w:basedOn w:val="Normal"/>
    <w:link w:val="CommentTextChar"/>
    <w:uiPriority w:val="99"/>
    <w:semiHidden/>
    <w:unhideWhenUsed/>
    <w:rsid w:val="0038423A"/>
    <w:pPr>
      <w:spacing w:line="240" w:lineRule="auto"/>
    </w:pPr>
    <w:rPr>
      <w:sz w:val="20"/>
      <w:szCs w:val="20"/>
    </w:rPr>
  </w:style>
  <w:style w:type="character" w:customStyle="1" w:styleId="CommentTextChar">
    <w:name w:val="Comment Text Char"/>
    <w:basedOn w:val="DefaultParagraphFont"/>
    <w:link w:val="CommentText"/>
    <w:uiPriority w:val="99"/>
    <w:semiHidden/>
    <w:rsid w:val="0038423A"/>
    <w:rPr>
      <w:sz w:val="20"/>
      <w:szCs w:val="20"/>
    </w:rPr>
  </w:style>
  <w:style w:type="paragraph" w:styleId="CommentSubject">
    <w:name w:val="annotation subject"/>
    <w:basedOn w:val="CommentText"/>
    <w:next w:val="CommentText"/>
    <w:link w:val="CommentSubjectChar"/>
    <w:uiPriority w:val="99"/>
    <w:semiHidden/>
    <w:unhideWhenUsed/>
    <w:rsid w:val="0038423A"/>
    <w:rPr>
      <w:b/>
      <w:bCs/>
    </w:rPr>
  </w:style>
  <w:style w:type="character" w:customStyle="1" w:styleId="CommentSubjectChar">
    <w:name w:val="Comment Subject Char"/>
    <w:basedOn w:val="CommentTextChar"/>
    <w:link w:val="CommentSubject"/>
    <w:uiPriority w:val="99"/>
    <w:semiHidden/>
    <w:rsid w:val="0038423A"/>
    <w:rPr>
      <w:b/>
      <w:bCs/>
      <w:sz w:val="20"/>
      <w:szCs w:val="20"/>
    </w:rPr>
  </w:style>
  <w:style w:type="character" w:customStyle="1" w:styleId="hlfld-contribauthor">
    <w:name w:val="hlfld-contribauthor"/>
    <w:basedOn w:val="DefaultParagraphFont"/>
    <w:rsid w:val="007F6302"/>
  </w:style>
  <w:style w:type="character" w:customStyle="1" w:styleId="nlmgiven-names">
    <w:name w:val="nlm_given-names"/>
    <w:basedOn w:val="DefaultParagraphFont"/>
    <w:rsid w:val="007F6302"/>
  </w:style>
  <w:style w:type="character" w:customStyle="1" w:styleId="nlmarticle-title">
    <w:name w:val="nlm_article-title"/>
    <w:basedOn w:val="DefaultParagraphFont"/>
    <w:rsid w:val="007F6302"/>
  </w:style>
  <w:style w:type="character" w:customStyle="1" w:styleId="nlmyear">
    <w:name w:val="nlm_year"/>
    <w:basedOn w:val="DefaultParagraphFont"/>
    <w:rsid w:val="007F6302"/>
  </w:style>
  <w:style w:type="character" w:customStyle="1" w:styleId="nlmfpage">
    <w:name w:val="nlm_fpage"/>
    <w:basedOn w:val="DefaultParagraphFont"/>
    <w:rsid w:val="007F6302"/>
  </w:style>
  <w:style w:type="character" w:customStyle="1" w:styleId="nlmlpage">
    <w:name w:val="nlm_lpage"/>
    <w:basedOn w:val="DefaultParagraphFont"/>
    <w:rsid w:val="007F6302"/>
  </w:style>
  <w:style w:type="character" w:customStyle="1" w:styleId="Heading1Char">
    <w:name w:val="Heading 1 Char"/>
    <w:basedOn w:val="DefaultParagraphFont"/>
    <w:link w:val="Heading1"/>
    <w:uiPriority w:val="9"/>
    <w:rsid w:val="00B1219E"/>
    <w:rPr>
      <w:rFonts w:asciiTheme="majorHAnsi" w:eastAsiaTheme="majorEastAsia" w:hAnsiTheme="majorHAnsi" w:cstheme="majorBidi"/>
      <w:color w:val="2E74B5" w:themeColor="accent1" w:themeShade="BF"/>
      <w:sz w:val="32"/>
      <w:szCs w:val="32"/>
    </w:rPr>
  </w:style>
  <w:style w:type="paragraph" w:styleId="EndnoteText">
    <w:name w:val="endnote text"/>
    <w:basedOn w:val="Normal"/>
    <w:link w:val="EndnoteTextChar"/>
    <w:uiPriority w:val="99"/>
    <w:semiHidden/>
    <w:unhideWhenUsed/>
    <w:rsid w:val="00C922A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22A6"/>
    <w:rPr>
      <w:sz w:val="20"/>
      <w:szCs w:val="20"/>
    </w:rPr>
  </w:style>
  <w:style w:type="character" w:styleId="EndnoteReference">
    <w:name w:val="endnote reference"/>
    <w:basedOn w:val="DefaultParagraphFont"/>
    <w:uiPriority w:val="99"/>
    <w:semiHidden/>
    <w:unhideWhenUsed/>
    <w:rsid w:val="00C922A6"/>
    <w:rPr>
      <w:vertAlign w:val="superscript"/>
    </w:rPr>
  </w:style>
  <w:style w:type="character" w:customStyle="1" w:styleId="Heading2Char">
    <w:name w:val="Heading 2 Char"/>
    <w:basedOn w:val="DefaultParagraphFont"/>
    <w:link w:val="Heading2"/>
    <w:uiPriority w:val="9"/>
    <w:rsid w:val="00C922A6"/>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unhideWhenUsed/>
    <w:rsid w:val="006E67D7"/>
    <w:rPr>
      <w:color w:val="0563C1" w:themeColor="hyperlink"/>
      <w:u w:val="single"/>
    </w:rPr>
  </w:style>
  <w:style w:type="paragraph" w:styleId="Header">
    <w:name w:val="header"/>
    <w:basedOn w:val="Normal"/>
    <w:link w:val="HeaderChar"/>
    <w:uiPriority w:val="99"/>
    <w:unhideWhenUsed/>
    <w:rsid w:val="00097E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E37"/>
  </w:style>
  <w:style w:type="paragraph" w:styleId="Footer">
    <w:name w:val="footer"/>
    <w:basedOn w:val="Normal"/>
    <w:link w:val="FooterChar"/>
    <w:uiPriority w:val="99"/>
    <w:unhideWhenUsed/>
    <w:rsid w:val="00097E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E37"/>
  </w:style>
  <w:style w:type="table" w:styleId="LightShading">
    <w:name w:val="Light Shading"/>
    <w:basedOn w:val="TableNormal"/>
    <w:uiPriority w:val="60"/>
    <w:rsid w:val="00FC780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UnresolvedMention1">
    <w:name w:val="Unresolved Mention1"/>
    <w:basedOn w:val="DefaultParagraphFont"/>
    <w:uiPriority w:val="99"/>
    <w:semiHidden/>
    <w:unhideWhenUsed/>
    <w:rsid w:val="00AF13D8"/>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121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922A6"/>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8D2"/>
    <w:pPr>
      <w:ind w:left="720"/>
      <w:contextualSpacing/>
    </w:pPr>
  </w:style>
  <w:style w:type="paragraph" w:styleId="FootnoteText">
    <w:name w:val="footnote text"/>
    <w:basedOn w:val="Normal"/>
    <w:link w:val="FootnoteTextChar"/>
    <w:uiPriority w:val="99"/>
    <w:semiHidden/>
    <w:unhideWhenUsed/>
    <w:rsid w:val="00A215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15C4"/>
    <w:rPr>
      <w:sz w:val="20"/>
      <w:szCs w:val="20"/>
    </w:rPr>
  </w:style>
  <w:style w:type="character" w:styleId="FootnoteReference">
    <w:name w:val="footnote reference"/>
    <w:basedOn w:val="DefaultParagraphFont"/>
    <w:uiPriority w:val="99"/>
    <w:semiHidden/>
    <w:unhideWhenUsed/>
    <w:rsid w:val="00A215C4"/>
    <w:rPr>
      <w:vertAlign w:val="superscript"/>
    </w:rPr>
  </w:style>
  <w:style w:type="character" w:customStyle="1" w:styleId="apple-converted-space">
    <w:name w:val="apple-converted-space"/>
    <w:basedOn w:val="DefaultParagraphFont"/>
    <w:rsid w:val="00A215C4"/>
  </w:style>
  <w:style w:type="character" w:customStyle="1" w:styleId="ref-journal">
    <w:name w:val="ref-journal"/>
    <w:basedOn w:val="DefaultParagraphFont"/>
    <w:rsid w:val="00A215C4"/>
  </w:style>
  <w:style w:type="table" w:styleId="TableGrid">
    <w:name w:val="Table Grid"/>
    <w:basedOn w:val="TableNormal"/>
    <w:uiPriority w:val="59"/>
    <w:rsid w:val="00A21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vol">
    <w:name w:val="ref-vol"/>
    <w:basedOn w:val="DefaultParagraphFont"/>
    <w:rsid w:val="00417DC5"/>
  </w:style>
  <w:style w:type="character" w:customStyle="1" w:styleId="author">
    <w:name w:val="author"/>
    <w:basedOn w:val="DefaultParagraphFont"/>
    <w:rsid w:val="000E427B"/>
  </w:style>
  <w:style w:type="character" w:customStyle="1" w:styleId="journaltitle">
    <w:name w:val="journaltitle"/>
    <w:basedOn w:val="DefaultParagraphFont"/>
    <w:rsid w:val="000E427B"/>
  </w:style>
  <w:style w:type="character" w:customStyle="1" w:styleId="pubyear">
    <w:name w:val="pubyear"/>
    <w:basedOn w:val="DefaultParagraphFont"/>
    <w:rsid w:val="000E427B"/>
  </w:style>
  <w:style w:type="character" w:customStyle="1" w:styleId="vol">
    <w:name w:val="vol"/>
    <w:basedOn w:val="DefaultParagraphFont"/>
    <w:rsid w:val="000E427B"/>
  </w:style>
  <w:style w:type="paragraph" w:styleId="BalloonText">
    <w:name w:val="Balloon Text"/>
    <w:basedOn w:val="Normal"/>
    <w:link w:val="BalloonTextChar"/>
    <w:uiPriority w:val="99"/>
    <w:semiHidden/>
    <w:unhideWhenUsed/>
    <w:rsid w:val="000B60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0C1"/>
    <w:rPr>
      <w:rFonts w:ascii="Tahoma" w:hAnsi="Tahoma" w:cs="Tahoma"/>
      <w:sz w:val="16"/>
      <w:szCs w:val="16"/>
    </w:rPr>
  </w:style>
  <w:style w:type="character" w:styleId="CommentReference">
    <w:name w:val="annotation reference"/>
    <w:basedOn w:val="DefaultParagraphFont"/>
    <w:uiPriority w:val="99"/>
    <w:semiHidden/>
    <w:unhideWhenUsed/>
    <w:rsid w:val="0038423A"/>
    <w:rPr>
      <w:sz w:val="16"/>
      <w:szCs w:val="16"/>
    </w:rPr>
  </w:style>
  <w:style w:type="paragraph" w:styleId="CommentText">
    <w:name w:val="annotation text"/>
    <w:basedOn w:val="Normal"/>
    <w:link w:val="CommentTextChar"/>
    <w:uiPriority w:val="99"/>
    <w:semiHidden/>
    <w:unhideWhenUsed/>
    <w:rsid w:val="0038423A"/>
    <w:pPr>
      <w:spacing w:line="240" w:lineRule="auto"/>
    </w:pPr>
    <w:rPr>
      <w:sz w:val="20"/>
      <w:szCs w:val="20"/>
    </w:rPr>
  </w:style>
  <w:style w:type="character" w:customStyle="1" w:styleId="CommentTextChar">
    <w:name w:val="Comment Text Char"/>
    <w:basedOn w:val="DefaultParagraphFont"/>
    <w:link w:val="CommentText"/>
    <w:uiPriority w:val="99"/>
    <w:semiHidden/>
    <w:rsid w:val="0038423A"/>
    <w:rPr>
      <w:sz w:val="20"/>
      <w:szCs w:val="20"/>
    </w:rPr>
  </w:style>
  <w:style w:type="paragraph" w:styleId="CommentSubject">
    <w:name w:val="annotation subject"/>
    <w:basedOn w:val="CommentText"/>
    <w:next w:val="CommentText"/>
    <w:link w:val="CommentSubjectChar"/>
    <w:uiPriority w:val="99"/>
    <w:semiHidden/>
    <w:unhideWhenUsed/>
    <w:rsid w:val="0038423A"/>
    <w:rPr>
      <w:b/>
      <w:bCs/>
    </w:rPr>
  </w:style>
  <w:style w:type="character" w:customStyle="1" w:styleId="CommentSubjectChar">
    <w:name w:val="Comment Subject Char"/>
    <w:basedOn w:val="CommentTextChar"/>
    <w:link w:val="CommentSubject"/>
    <w:uiPriority w:val="99"/>
    <w:semiHidden/>
    <w:rsid w:val="0038423A"/>
    <w:rPr>
      <w:b/>
      <w:bCs/>
      <w:sz w:val="20"/>
      <w:szCs w:val="20"/>
    </w:rPr>
  </w:style>
  <w:style w:type="character" w:customStyle="1" w:styleId="hlfld-contribauthor">
    <w:name w:val="hlfld-contribauthor"/>
    <w:basedOn w:val="DefaultParagraphFont"/>
    <w:rsid w:val="007F6302"/>
  </w:style>
  <w:style w:type="character" w:customStyle="1" w:styleId="nlmgiven-names">
    <w:name w:val="nlm_given-names"/>
    <w:basedOn w:val="DefaultParagraphFont"/>
    <w:rsid w:val="007F6302"/>
  </w:style>
  <w:style w:type="character" w:customStyle="1" w:styleId="nlmarticle-title">
    <w:name w:val="nlm_article-title"/>
    <w:basedOn w:val="DefaultParagraphFont"/>
    <w:rsid w:val="007F6302"/>
  </w:style>
  <w:style w:type="character" w:customStyle="1" w:styleId="nlmyear">
    <w:name w:val="nlm_year"/>
    <w:basedOn w:val="DefaultParagraphFont"/>
    <w:rsid w:val="007F6302"/>
  </w:style>
  <w:style w:type="character" w:customStyle="1" w:styleId="nlmfpage">
    <w:name w:val="nlm_fpage"/>
    <w:basedOn w:val="DefaultParagraphFont"/>
    <w:rsid w:val="007F6302"/>
  </w:style>
  <w:style w:type="character" w:customStyle="1" w:styleId="nlmlpage">
    <w:name w:val="nlm_lpage"/>
    <w:basedOn w:val="DefaultParagraphFont"/>
    <w:rsid w:val="007F6302"/>
  </w:style>
  <w:style w:type="character" w:customStyle="1" w:styleId="Heading1Char">
    <w:name w:val="Heading 1 Char"/>
    <w:basedOn w:val="DefaultParagraphFont"/>
    <w:link w:val="Heading1"/>
    <w:uiPriority w:val="9"/>
    <w:rsid w:val="00B1219E"/>
    <w:rPr>
      <w:rFonts w:asciiTheme="majorHAnsi" w:eastAsiaTheme="majorEastAsia" w:hAnsiTheme="majorHAnsi" w:cstheme="majorBidi"/>
      <w:color w:val="2E74B5" w:themeColor="accent1" w:themeShade="BF"/>
      <w:sz w:val="32"/>
      <w:szCs w:val="32"/>
    </w:rPr>
  </w:style>
  <w:style w:type="paragraph" w:styleId="EndnoteText">
    <w:name w:val="endnote text"/>
    <w:basedOn w:val="Normal"/>
    <w:link w:val="EndnoteTextChar"/>
    <w:uiPriority w:val="99"/>
    <w:semiHidden/>
    <w:unhideWhenUsed/>
    <w:rsid w:val="00C922A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22A6"/>
    <w:rPr>
      <w:sz w:val="20"/>
      <w:szCs w:val="20"/>
    </w:rPr>
  </w:style>
  <w:style w:type="character" w:styleId="EndnoteReference">
    <w:name w:val="endnote reference"/>
    <w:basedOn w:val="DefaultParagraphFont"/>
    <w:uiPriority w:val="99"/>
    <w:semiHidden/>
    <w:unhideWhenUsed/>
    <w:rsid w:val="00C922A6"/>
    <w:rPr>
      <w:vertAlign w:val="superscript"/>
    </w:rPr>
  </w:style>
  <w:style w:type="character" w:customStyle="1" w:styleId="Heading2Char">
    <w:name w:val="Heading 2 Char"/>
    <w:basedOn w:val="DefaultParagraphFont"/>
    <w:link w:val="Heading2"/>
    <w:uiPriority w:val="9"/>
    <w:rsid w:val="00C922A6"/>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unhideWhenUsed/>
    <w:rsid w:val="006E67D7"/>
    <w:rPr>
      <w:color w:val="0563C1" w:themeColor="hyperlink"/>
      <w:u w:val="single"/>
    </w:rPr>
  </w:style>
  <w:style w:type="paragraph" w:styleId="Header">
    <w:name w:val="header"/>
    <w:basedOn w:val="Normal"/>
    <w:link w:val="HeaderChar"/>
    <w:uiPriority w:val="99"/>
    <w:unhideWhenUsed/>
    <w:rsid w:val="00097E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E37"/>
  </w:style>
  <w:style w:type="paragraph" w:styleId="Footer">
    <w:name w:val="footer"/>
    <w:basedOn w:val="Normal"/>
    <w:link w:val="FooterChar"/>
    <w:uiPriority w:val="99"/>
    <w:unhideWhenUsed/>
    <w:rsid w:val="00097E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E37"/>
  </w:style>
  <w:style w:type="table" w:styleId="LightShading">
    <w:name w:val="Light Shading"/>
    <w:basedOn w:val="TableNormal"/>
    <w:uiPriority w:val="60"/>
    <w:rsid w:val="00FC780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UnresolvedMention1">
    <w:name w:val="Unresolved Mention1"/>
    <w:basedOn w:val="DefaultParagraphFont"/>
    <w:uiPriority w:val="99"/>
    <w:semiHidden/>
    <w:unhideWhenUsed/>
    <w:rsid w:val="00AF13D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86755">
      <w:bodyDiv w:val="1"/>
      <w:marLeft w:val="0"/>
      <w:marRight w:val="0"/>
      <w:marTop w:val="0"/>
      <w:marBottom w:val="0"/>
      <w:divBdr>
        <w:top w:val="none" w:sz="0" w:space="0" w:color="auto"/>
        <w:left w:val="none" w:sz="0" w:space="0" w:color="auto"/>
        <w:bottom w:val="none" w:sz="0" w:space="0" w:color="auto"/>
        <w:right w:val="none" w:sz="0" w:space="0" w:color="auto"/>
      </w:divBdr>
    </w:div>
    <w:div w:id="113596908">
      <w:bodyDiv w:val="1"/>
      <w:marLeft w:val="0"/>
      <w:marRight w:val="0"/>
      <w:marTop w:val="0"/>
      <w:marBottom w:val="0"/>
      <w:divBdr>
        <w:top w:val="none" w:sz="0" w:space="0" w:color="auto"/>
        <w:left w:val="none" w:sz="0" w:space="0" w:color="auto"/>
        <w:bottom w:val="none" w:sz="0" w:space="0" w:color="auto"/>
        <w:right w:val="none" w:sz="0" w:space="0" w:color="auto"/>
      </w:divBdr>
    </w:div>
    <w:div w:id="134613026">
      <w:bodyDiv w:val="1"/>
      <w:marLeft w:val="0"/>
      <w:marRight w:val="0"/>
      <w:marTop w:val="0"/>
      <w:marBottom w:val="0"/>
      <w:divBdr>
        <w:top w:val="none" w:sz="0" w:space="0" w:color="auto"/>
        <w:left w:val="none" w:sz="0" w:space="0" w:color="auto"/>
        <w:bottom w:val="none" w:sz="0" w:space="0" w:color="auto"/>
        <w:right w:val="none" w:sz="0" w:space="0" w:color="auto"/>
      </w:divBdr>
    </w:div>
    <w:div w:id="267350899">
      <w:bodyDiv w:val="1"/>
      <w:marLeft w:val="0"/>
      <w:marRight w:val="0"/>
      <w:marTop w:val="0"/>
      <w:marBottom w:val="0"/>
      <w:divBdr>
        <w:top w:val="none" w:sz="0" w:space="0" w:color="auto"/>
        <w:left w:val="none" w:sz="0" w:space="0" w:color="auto"/>
        <w:bottom w:val="none" w:sz="0" w:space="0" w:color="auto"/>
        <w:right w:val="none" w:sz="0" w:space="0" w:color="auto"/>
      </w:divBdr>
      <w:divsChild>
        <w:div w:id="394547566">
          <w:marLeft w:val="274"/>
          <w:marRight w:val="0"/>
          <w:marTop w:val="0"/>
          <w:marBottom w:val="0"/>
          <w:divBdr>
            <w:top w:val="none" w:sz="0" w:space="0" w:color="auto"/>
            <w:left w:val="none" w:sz="0" w:space="0" w:color="auto"/>
            <w:bottom w:val="none" w:sz="0" w:space="0" w:color="auto"/>
            <w:right w:val="none" w:sz="0" w:space="0" w:color="auto"/>
          </w:divBdr>
        </w:div>
        <w:div w:id="1381436856">
          <w:marLeft w:val="274"/>
          <w:marRight w:val="0"/>
          <w:marTop w:val="0"/>
          <w:marBottom w:val="0"/>
          <w:divBdr>
            <w:top w:val="none" w:sz="0" w:space="0" w:color="auto"/>
            <w:left w:val="none" w:sz="0" w:space="0" w:color="auto"/>
            <w:bottom w:val="none" w:sz="0" w:space="0" w:color="auto"/>
            <w:right w:val="none" w:sz="0" w:space="0" w:color="auto"/>
          </w:divBdr>
        </w:div>
        <w:div w:id="993606237">
          <w:marLeft w:val="274"/>
          <w:marRight w:val="0"/>
          <w:marTop w:val="0"/>
          <w:marBottom w:val="0"/>
          <w:divBdr>
            <w:top w:val="none" w:sz="0" w:space="0" w:color="auto"/>
            <w:left w:val="none" w:sz="0" w:space="0" w:color="auto"/>
            <w:bottom w:val="none" w:sz="0" w:space="0" w:color="auto"/>
            <w:right w:val="none" w:sz="0" w:space="0" w:color="auto"/>
          </w:divBdr>
        </w:div>
      </w:divsChild>
    </w:div>
    <w:div w:id="656541345">
      <w:bodyDiv w:val="1"/>
      <w:marLeft w:val="0"/>
      <w:marRight w:val="0"/>
      <w:marTop w:val="0"/>
      <w:marBottom w:val="0"/>
      <w:divBdr>
        <w:top w:val="none" w:sz="0" w:space="0" w:color="auto"/>
        <w:left w:val="none" w:sz="0" w:space="0" w:color="auto"/>
        <w:bottom w:val="none" w:sz="0" w:space="0" w:color="auto"/>
        <w:right w:val="none" w:sz="0" w:space="0" w:color="auto"/>
      </w:divBdr>
      <w:divsChild>
        <w:div w:id="355934001">
          <w:marLeft w:val="274"/>
          <w:marRight w:val="0"/>
          <w:marTop w:val="0"/>
          <w:marBottom w:val="0"/>
          <w:divBdr>
            <w:top w:val="none" w:sz="0" w:space="0" w:color="auto"/>
            <w:left w:val="none" w:sz="0" w:space="0" w:color="auto"/>
            <w:bottom w:val="none" w:sz="0" w:space="0" w:color="auto"/>
            <w:right w:val="none" w:sz="0" w:space="0" w:color="auto"/>
          </w:divBdr>
        </w:div>
        <w:div w:id="67193191">
          <w:marLeft w:val="274"/>
          <w:marRight w:val="0"/>
          <w:marTop w:val="0"/>
          <w:marBottom w:val="0"/>
          <w:divBdr>
            <w:top w:val="none" w:sz="0" w:space="0" w:color="auto"/>
            <w:left w:val="none" w:sz="0" w:space="0" w:color="auto"/>
            <w:bottom w:val="none" w:sz="0" w:space="0" w:color="auto"/>
            <w:right w:val="none" w:sz="0" w:space="0" w:color="auto"/>
          </w:divBdr>
        </w:div>
        <w:div w:id="107435719">
          <w:marLeft w:val="274"/>
          <w:marRight w:val="0"/>
          <w:marTop w:val="0"/>
          <w:marBottom w:val="0"/>
          <w:divBdr>
            <w:top w:val="none" w:sz="0" w:space="0" w:color="auto"/>
            <w:left w:val="none" w:sz="0" w:space="0" w:color="auto"/>
            <w:bottom w:val="none" w:sz="0" w:space="0" w:color="auto"/>
            <w:right w:val="none" w:sz="0" w:space="0" w:color="auto"/>
          </w:divBdr>
        </w:div>
        <w:div w:id="1602491019">
          <w:marLeft w:val="274"/>
          <w:marRight w:val="0"/>
          <w:marTop w:val="0"/>
          <w:marBottom w:val="0"/>
          <w:divBdr>
            <w:top w:val="none" w:sz="0" w:space="0" w:color="auto"/>
            <w:left w:val="none" w:sz="0" w:space="0" w:color="auto"/>
            <w:bottom w:val="none" w:sz="0" w:space="0" w:color="auto"/>
            <w:right w:val="none" w:sz="0" w:space="0" w:color="auto"/>
          </w:divBdr>
        </w:div>
        <w:div w:id="335573936">
          <w:marLeft w:val="274"/>
          <w:marRight w:val="0"/>
          <w:marTop w:val="0"/>
          <w:marBottom w:val="0"/>
          <w:divBdr>
            <w:top w:val="none" w:sz="0" w:space="0" w:color="auto"/>
            <w:left w:val="none" w:sz="0" w:space="0" w:color="auto"/>
            <w:bottom w:val="none" w:sz="0" w:space="0" w:color="auto"/>
            <w:right w:val="none" w:sz="0" w:space="0" w:color="auto"/>
          </w:divBdr>
        </w:div>
        <w:div w:id="160658938">
          <w:marLeft w:val="274"/>
          <w:marRight w:val="0"/>
          <w:marTop w:val="0"/>
          <w:marBottom w:val="0"/>
          <w:divBdr>
            <w:top w:val="none" w:sz="0" w:space="0" w:color="auto"/>
            <w:left w:val="none" w:sz="0" w:space="0" w:color="auto"/>
            <w:bottom w:val="none" w:sz="0" w:space="0" w:color="auto"/>
            <w:right w:val="none" w:sz="0" w:space="0" w:color="auto"/>
          </w:divBdr>
        </w:div>
        <w:div w:id="1900750274">
          <w:marLeft w:val="274"/>
          <w:marRight w:val="0"/>
          <w:marTop w:val="0"/>
          <w:marBottom w:val="0"/>
          <w:divBdr>
            <w:top w:val="none" w:sz="0" w:space="0" w:color="auto"/>
            <w:left w:val="none" w:sz="0" w:space="0" w:color="auto"/>
            <w:bottom w:val="none" w:sz="0" w:space="0" w:color="auto"/>
            <w:right w:val="none" w:sz="0" w:space="0" w:color="auto"/>
          </w:divBdr>
        </w:div>
        <w:div w:id="699208034">
          <w:marLeft w:val="274"/>
          <w:marRight w:val="0"/>
          <w:marTop w:val="0"/>
          <w:marBottom w:val="0"/>
          <w:divBdr>
            <w:top w:val="none" w:sz="0" w:space="0" w:color="auto"/>
            <w:left w:val="none" w:sz="0" w:space="0" w:color="auto"/>
            <w:bottom w:val="none" w:sz="0" w:space="0" w:color="auto"/>
            <w:right w:val="none" w:sz="0" w:space="0" w:color="auto"/>
          </w:divBdr>
        </w:div>
        <w:div w:id="1704163105">
          <w:marLeft w:val="274"/>
          <w:marRight w:val="0"/>
          <w:marTop w:val="0"/>
          <w:marBottom w:val="0"/>
          <w:divBdr>
            <w:top w:val="none" w:sz="0" w:space="0" w:color="auto"/>
            <w:left w:val="none" w:sz="0" w:space="0" w:color="auto"/>
            <w:bottom w:val="none" w:sz="0" w:space="0" w:color="auto"/>
            <w:right w:val="none" w:sz="0" w:space="0" w:color="auto"/>
          </w:divBdr>
        </w:div>
        <w:div w:id="1450973387">
          <w:marLeft w:val="274"/>
          <w:marRight w:val="0"/>
          <w:marTop w:val="0"/>
          <w:marBottom w:val="0"/>
          <w:divBdr>
            <w:top w:val="none" w:sz="0" w:space="0" w:color="auto"/>
            <w:left w:val="none" w:sz="0" w:space="0" w:color="auto"/>
            <w:bottom w:val="none" w:sz="0" w:space="0" w:color="auto"/>
            <w:right w:val="none" w:sz="0" w:space="0" w:color="auto"/>
          </w:divBdr>
        </w:div>
      </w:divsChild>
    </w:div>
    <w:div w:id="1105922292">
      <w:bodyDiv w:val="1"/>
      <w:marLeft w:val="0"/>
      <w:marRight w:val="0"/>
      <w:marTop w:val="0"/>
      <w:marBottom w:val="0"/>
      <w:divBdr>
        <w:top w:val="none" w:sz="0" w:space="0" w:color="auto"/>
        <w:left w:val="none" w:sz="0" w:space="0" w:color="auto"/>
        <w:bottom w:val="none" w:sz="0" w:space="0" w:color="auto"/>
        <w:right w:val="none" w:sz="0" w:space="0" w:color="auto"/>
      </w:divBdr>
    </w:div>
    <w:div w:id="1763528101">
      <w:bodyDiv w:val="1"/>
      <w:marLeft w:val="0"/>
      <w:marRight w:val="0"/>
      <w:marTop w:val="0"/>
      <w:marBottom w:val="0"/>
      <w:divBdr>
        <w:top w:val="none" w:sz="0" w:space="0" w:color="auto"/>
        <w:left w:val="none" w:sz="0" w:space="0" w:color="auto"/>
        <w:bottom w:val="none" w:sz="0" w:space="0" w:color="auto"/>
        <w:right w:val="none" w:sz="0" w:space="0" w:color="auto"/>
      </w:divBdr>
    </w:div>
    <w:div w:id="2056346018">
      <w:bodyDiv w:val="1"/>
      <w:marLeft w:val="0"/>
      <w:marRight w:val="0"/>
      <w:marTop w:val="0"/>
      <w:marBottom w:val="0"/>
      <w:divBdr>
        <w:top w:val="none" w:sz="0" w:space="0" w:color="auto"/>
        <w:left w:val="none" w:sz="0" w:space="0" w:color="auto"/>
        <w:bottom w:val="none" w:sz="0" w:space="0" w:color="auto"/>
        <w:right w:val="none" w:sz="0" w:space="0" w:color="auto"/>
      </w:divBdr>
      <w:divsChild>
        <w:div w:id="1460344052">
          <w:marLeft w:val="274"/>
          <w:marRight w:val="0"/>
          <w:marTop w:val="0"/>
          <w:marBottom w:val="0"/>
          <w:divBdr>
            <w:top w:val="none" w:sz="0" w:space="0" w:color="auto"/>
            <w:left w:val="none" w:sz="0" w:space="0" w:color="auto"/>
            <w:bottom w:val="none" w:sz="0" w:space="0" w:color="auto"/>
            <w:right w:val="none" w:sz="0" w:space="0" w:color="auto"/>
          </w:divBdr>
        </w:div>
        <w:div w:id="1878815402">
          <w:marLeft w:val="274"/>
          <w:marRight w:val="0"/>
          <w:marTop w:val="0"/>
          <w:marBottom w:val="0"/>
          <w:divBdr>
            <w:top w:val="none" w:sz="0" w:space="0" w:color="auto"/>
            <w:left w:val="none" w:sz="0" w:space="0" w:color="auto"/>
            <w:bottom w:val="none" w:sz="0" w:space="0" w:color="auto"/>
            <w:right w:val="none" w:sz="0" w:space="0" w:color="auto"/>
          </w:divBdr>
        </w:div>
        <w:div w:id="51046009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p.yeates@keele.ac.uk" TargetMode="External"/><Relationship Id="rId4" Type="http://schemas.microsoft.com/office/2007/relationships/stylesWithEffects" Target="stylesWithEffects.xml"/><Relationship Id="rId9" Type="http://schemas.openxmlformats.org/officeDocument/2006/relationships/hyperlink" Target="https://doi.org/10.1080/0142159X.2018.14630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5C040-F99A-4F97-A9DE-1EBB63383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21290</Words>
  <Characters>121357</Characters>
  <Application>Microsoft Office Word</Application>
  <DocSecurity>0</DocSecurity>
  <Lines>1011</Lines>
  <Paragraphs>284</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142363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Cleaton</dc:creator>
  <cp:lastModifiedBy>hfk66</cp:lastModifiedBy>
  <cp:revision>2</cp:revision>
  <dcterms:created xsi:type="dcterms:W3CDTF">2018-04-11T17:50:00Z</dcterms:created>
  <dcterms:modified xsi:type="dcterms:W3CDTF">2018-04-11T17:50:00Z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http://www.zotero.org/styles/taylor-and-francis-council-of-science-editors-author-date</vt:lpwstr>
  </property>
  <property fmtid="{D5CDD505-2E9C-101B-9397-08002B2CF9AE}" pid="21" name="Mendeley Recent Style Name 9_1">
    <vt:lpwstr>Taylor &amp; Francis - Council of Science Editors (author-date)</vt:lpwstr>
  </property>
  <property fmtid="{D5CDD505-2E9C-101B-9397-08002B2CF9AE}" pid="22" name="Mendeley Document_1">
    <vt:lpwstr>True</vt:lpwstr>
  </property>
  <property fmtid="{D5CDD505-2E9C-101B-9397-08002B2CF9AE}" pid="23" name="Mendeley Unique User Id_1">
    <vt:lpwstr>8caab72d-9d99-3ae6-ba55-583936c68ba6</vt:lpwstr>
  </property>
  <property fmtid="{D5CDD505-2E9C-101B-9397-08002B2CF9AE}" pid="24" name="Mendeley Citation Style_1">
    <vt:lpwstr>http://www.zotero.org/styles/taylor-and-francis-council-of-science-editors-author-date</vt:lpwstr>
  </property>
</Properties>
</file>