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51C6" w14:textId="77777777" w:rsidR="00F75AA3" w:rsidRPr="00322C6C" w:rsidRDefault="00F75AA3" w:rsidP="009A6907">
      <w:pPr>
        <w:pStyle w:val="Unindented"/>
        <w:jc w:val="center"/>
      </w:pPr>
      <w:r w:rsidRPr="00322C6C">
        <w:t xml:space="preserve">Uneasy Passions: </w:t>
      </w:r>
      <w:r w:rsidRPr="00322C6C">
        <w:rPr>
          <w:i/>
        </w:rPr>
        <w:t>The Spectator</w:t>
      </w:r>
      <w:r w:rsidRPr="00322C6C">
        <w:t>’s Divergent Interpretatio</w:t>
      </w:r>
      <w:r w:rsidR="00A63CCA" w:rsidRPr="00322C6C">
        <w:t>ns of Locke’s Theory of Emotion</w:t>
      </w:r>
    </w:p>
    <w:p w14:paraId="53A10B75" w14:textId="3C6B3131" w:rsidR="00322C6C" w:rsidRPr="00395DCD" w:rsidRDefault="00322C6C" w:rsidP="009A6907">
      <w:pPr>
        <w:pStyle w:val="Unindented"/>
        <w:jc w:val="center"/>
      </w:pPr>
      <w:r w:rsidRPr="00395DCD">
        <w:t>Joel P. Sodano</w:t>
      </w:r>
    </w:p>
    <w:p w14:paraId="64416922" w14:textId="02A3778B" w:rsidR="00322C6C" w:rsidRDefault="00322C6C" w:rsidP="009A6907">
      <w:pPr>
        <w:pStyle w:val="Unindented"/>
        <w:jc w:val="center"/>
      </w:pPr>
      <w:r>
        <w:t xml:space="preserve">University at Albany, </w:t>
      </w:r>
      <w:r w:rsidR="00326BBF">
        <w:t>State University of New York</w:t>
      </w:r>
    </w:p>
    <w:p w14:paraId="111D7C6B" w14:textId="77777777" w:rsidR="00F6541B" w:rsidRDefault="00F6541B" w:rsidP="009A6907">
      <w:pPr>
        <w:pStyle w:val="Unindented"/>
      </w:pPr>
    </w:p>
    <w:p w14:paraId="3FB35019" w14:textId="77777777" w:rsidR="00F6541B" w:rsidRDefault="00F6541B" w:rsidP="009A6907">
      <w:pPr>
        <w:pStyle w:val="Unindented"/>
      </w:pPr>
    </w:p>
    <w:p w14:paraId="4425B9BB" w14:textId="00032824" w:rsidR="00253EAB" w:rsidRDefault="00253EAB" w:rsidP="00F6541B">
      <w:pPr>
        <w:pStyle w:val="Unindented"/>
      </w:pPr>
      <w:r w:rsidRPr="00320DD6">
        <w:t xml:space="preserve">In </w:t>
      </w:r>
      <w:r>
        <w:rPr>
          <w:i/>
        </w:rPr>
        <w:t>An Essay Concerning Human Understanding</w:t>
      </w:r>
      <w:r>
        <w:t xml:space="preserve"> (1690)</w:t>
      </w:r>
      <w:r w:rsidR="009A6907">
        <w:t>,</w:t>
      </w:r>
      <w:r>
        <w:t xml:space="preserve"> John Locke makes a bold claim about the passions. Flying in the face of centuries of conventional wisdom, he assures us that we can train our minds to keep our passions under control. He implores readers not to let “any one say, he cannot govern his Passions, nor hinder them from breaking out, and carrying him into action; for what he can do before a Prince, or a great Man, he can do alone, or in the presence of God, if he will.”</w:t>
      </w:r>
      <w:r w:rsidRPr="00C63F5A">
        <w:rPr>
          <w:rStyle w:val="EndnoteReference"/>
          <w:rFonts w:cs="Times New Roman"/>
          <w:szCs w:val="24"/>
        </w:rPr>
        <w:endnoteReference w:id="1"/>
      </w:r>
      <w:r w:rsidRPr="003154F4">
        <w:t xml:space="preserve"> </w:t>
      </w:r>
      <w:r>
        <w:t>This rather famous presentation of passion’s “extreme disturbance” as secondary to the mind’</w:t>
      </w:r>
      <w:r w:rsidR="00D5380B">
        <w:t>s active, intellectual powers for</w:t>
      </w:r>
      <w:r>
        <w:t xml:space="preserve"> determining human </w:t>
      </w:r>
      <w:r w:rsidR="00BA0052">
        <w:t>action</w:t>
      </w:r>
      <w:r>
        <w:t xml:space="preserve"> has perhaps </w:t>
      </w:r>
      <w:r w:rsidR="009A6907">
        <w:t xml:space="preserve">lent </w:t>
      </w:r>
      <w:r>
        <w:t>credence to the idea that “t</w:t>
      </w:r>
      <w:r w:rsidR="000B74F2">
        <w:t>he passions scarcely figure in</w:t>
      </w:r>
      <w:r>
        <w:t xml:space="preserve"> John Locke’s reasonable, sensible, and faithful investigation of the human mind.”</w:t>
      </w:r>
      <w:r>
        <w:rPr>
          <w:rStyle w:val="EndnoteReference"/>
          <w:rFonts w:cs="Times New Roman"/>
          <w:szCs w:val="24"/>
        </w:rPr>
        <w:endnoteReference w:id="2"/>
      </w:r>
    </w:p>
    <w:p w14:paraId="76530FE6" w14:textId="6EC4ED97" w:rsidR="00253EAB" w:rsidRPr="00EA7B4D" w:rsidRDefault="00253EAB" w:rsidP="00253EAB">
      <w:pPr>
        <w:rPr>
          <w:rFonts w:cs="Times New Roman"/>
          <w:szCs w:val="24"/>
        </w:rPr>
      </w:pPr>
      <w:r>
        <w:rPr>
          <w:rFonts w:cs="Times New Roman"/>
          <w:szCs w:val="24"/>
        </w:rPr>
        <w:t xml:space="preserve">To the contrary, I will argue here that Locke’s </w:t>
      </w:r>
      <w:r>
        <w:rPr>
          <w:rFonts w:cs="Times New Roman"/>
          <w:i/>
          <w:szCs w:val="24"/>
        </w:rPr>
        <w:t>Essay</w:t>
      </w:r>
      <w:r>
        <w:rPr>
          <w:rFonts w:cs="Times New Roman"/>
          <w:szCs w:val="24"/>
        </w:rPr>
        <w:t xml:space="preserve"> was quite concerned with the passions—not</w:t>
      </w:r>
      <w:r w:rsidR="009A6907">
        <w:rPr>
          <w:rFonts w:cs="Times New Roman"/>
          <w:szCs w:val="24"/>
        </w:rPr>
        <w:t>, perhaps,</w:t>
      </w:r>
      <w:r>
        <w:rPr>
          <w:rFonts w:cs="Times New Roman"/>
          <w:szCs w:val="24"/>
        </w:rPr>
        <w:t xml:space="preserve"> with whether they have the capacity to carry us beyond the control of our will but certainly with questions that are more fundamental: What are they? How do we come to know them? What purpose do they serve? Moreover, Locke</w:t>
      </w:r>
      <w:r>
        <w:rPr>
          <w:rFonts w:cs="Times New Roman"/>
          <w:i/>
          <w:szCs w:val="24"/>
        </w:rPr>
        <w:t xml:space="preserve"> </w:t>
      </w:r>
      <w:r>
        <w:rPr>
          <w:rFonts w:cs="Times New Roman"/>
          <w:szCs w:val="24"/>
        </w:rPr>
        <w:t xml:space="preserve">is not always consistent in answering these questions, and the eighteenth-century inheritance of his contradictory positions is the subject of this essay. Specifically, I will look to </w:t>
      </w:r>
      <w:r w:rsidR="009A6907">
        <w:rPr>
          <w:rFonts w:cs="Times New Roman"/>
          <w:szCs w:val="24"/>
        </w:rPr>
        <w:t xml:space="preserve">Joseph </w:t>
      </w:r>
      <w:r>
        <w:rPr>
          <w:rFonts w:cs="Times New Roman"/>
          <w:szCs w:val="24"/>
        </w:rPr>
        <w:t xml:space="preserve">Addison and </w:t>
      </w:r>
      <w:r w:rsidR="009A6907">
        <w:rPr>
          <w:rFonts w:cs="Times New Roman"/>
          <w:szCs w:val="24"/>
        </w:rPr>
        <w:t xml:space="preserve">Sir Richard </w:t>
      </w:r>
      <w:r>
        <w:rPr>
          <w:rFonts w:cs="Times New Roman"/>
          <w:szCs w:val="24"/>
        </w:rPr>
        <w:t xml:space="preserve">Steele’s </w:t>
      </w:r>
      <w:r>
        <w:rPr>
          <w:rFonts w:cs="Times New Roman"/>
          <w:i/>
          <w:szCs w:val="24"/>
        </w:rPr>
        <w:t>The Spectator</w:t>
      </w:r>
      <w:r>
        <w:rPr>
          <w:rFonts w:cs="Times New Roman"/>
          <w:szCs w:val="24"/>
        </w:rPr>
        <w:t xml:space="preserve"> (1711</w:t>
      </w:r>
      <w:r w:rsidR="009A6907">
        <w:rPr>
          <w:rFonts w:cs="Times New Roman"/>
          <w:szCs w:val="24"/>
        </w:rPr>
        <w:t>–</w:t>
      </w:r>
      <w:r>
        <w:rPr>
          <w:rFonts w:cs="Times New Roman"/>
          <w:szCs w:val="24"/>
        </w:rPr>
        <w:t>12) for evidence of an intricate, and conflicted, contemporary conversation regarding the nature, function, and value of the pass</w:t>
      </w:r>
      <w:r w:rsidR="00A37DAB">
        <w:rPr>
          <w:rFonts w:cs="Times New Roman"/>
          <w:szCs w:val="24"/>
        </w:rPr>
        <w:t>ions.</w:t>
      </w:r>
    </w:p>
    <w:p w14:paraId="530D2E9D" w14:textId="13DBB50A" w:rsidR="005B29CF" w:rsidRDefault="0020269F" w:rsidP="00D06145">
      <w:r>
        <w:lastRenderedPageBreak/>
        <w:t>Locke’s influence o</w:t>
      </w:r>
      <w:r w:rsidR="00904079">
        <w:t xml:space="preserve">n </w:t>
      </w:r>
      <w:r w:rsidR="00904079">
        <w:rPr>
          <w:i/>
        </w:rPr>
        <w:t xml:space="preserve">The </w:t>
      </w:r>
      <w:r w:rsidR="00904079" w:rsidRPr="00904079">
        <w:rPr>
          <w:i/>
        </w:rPr>
        <w:t>Spectator</w:t>
      </w:r>
      <w:r>
        <w:t>’s treatments of</w:t>
      </w:r>
      <w:r w:rsidR="00904079">
        <w:t xml:space="preserve"> the passions</w:t>
      </w:r>
      <w:r>
        <w:t xml:space="preserve"> is palpable</w:t>
      </w:r>
      <w:r w:rsidR="00904079">
        <w:t xml:space="preserve">. Both Addison and Steele agree that emotions are controllable feelings; they differ, however, on the question of whether or not one </w:t>
      </w:r>
      <w:r w:rsidR="00904079">
        <w:rPr>
          <w:i/>
        </w:rPr>
        <w:t xml:space="preserve">ought </w:t>
      </w:r>
      <w:r w:rsidR="00904079">
        <w:t>always to control them.</w:t>
      </w:r>
      <w:r w:rsidR="004262AB">
        <w:rPr>
          <w:rStyle w:val="EndnoteReference"/>
        </w:rPr>
        <w:endnoteReference w:id="3"/>
      </w:r>
      <w:r w:rsidR="00011909">
        <w:t xml:space="preserve"> </w:t>
      </w:r>
      <w:r w:rsidR="00253EAB">
        <w:t>T</w:t>
      </w:r>
      <w:r w:rsidR="00904079">
        <w:t>hese differences</w:t>
      </w:r>
      <w:r w:rsidR="000748AC">
        <w:t xml:space="preserve"> are the result of separate</w:t>
      </w:r>
      <w:r w:rsidR="00904079">
        <w:t xml:space="preserve"> theoretical interpretations of the “</w:t>
      </w:r>
      <w:r w:rsidR="00904079" w:rsidRPr="00904079">
        <w:t>uneasiness</w:t>
      </w:r>
      <w:r w:rsidR="00904079">
        <w:t xml:space="preserve">” at the center of Locke’s model of the passions. Uneasiness in </w:t>
      </w:r>
      <w:r w:rsidR="00904079">
        <w:rPr>
          <w:i/>
        </w:rPr>
        <w:t xml:space="preserve">An Essay </w:t>
      </w:r>
      <w:r w:rsidR="00904079">
        <w:t>is best described as the psychological discomfort associated with physical pain; it is also the disturbance that motivates people to act. Along with delight (its pleasant counterpart), uneasiness is the key to understanding how passions w</w:t>
      </w:r>
      <w:r w:rsidR="00A37DAB">
        <w:t xml:space="preserve">ork in the Lockean model of </w:t>
      </w:r>
      <w:r w:rsidR="00904079">
        <w:t xml:space="preserve">mind. Addison takes a conservative interpretive line, and his conceptualization is in keeping </w:t>
      </w:r>
      <w:r w:rsidR="00E61D58">
        <w:t xml:space="preserve">with </w:t>
      </w:r>
      <w:r w:rsidR="00904079">
        <w:t>what Peter Schouls identifies as the moral backbone of Lockean passions</w:t>
      </w:r>
      <w:r w:rsidR="00E61D58">
        <w:t>:</w:t>
      </w:r>
      <w:r w:rsidR="00FD3BBE">
        <w:t xml:space="preserve"> namely,</w:t>
      </w:r>
      <w:r w:rsidR="005B29CF">
        <w:t xml:space="preserve"> </w:t>
      </w:r>
      <w:r w:rsidR="009E2F2B">
        <w:t>they</w:t>
      </w:r>
      <w:r w:rsidR="005B29CF">
        <w:t xml:space="preserve"> exist to drive </w:t>
      </w:r>
      <w:r w:rsidR="00904079">
        <w:t>one</w:t>
      </w:r>
      <w:r w:rsidR="005B29CF">
        <w:t xml:space="preserve"> to</w:t>
      </w:r>
      <w:r w:rsidR="008D2583">
        <w:t>ward the “moral Truths”</w:t>
      </w:r>
      <w:r w:rsidR="005B29CF">
        <w:t xml:space="preserve"> exposed </w:t>
      </w:r>
      <w:r w:rsidR="008D2583">
        <w:t>by</w:t>
      </w:r>
      <w:r w:rsidR="005B29CF">
        <w:t xml:space="preserve"> rational reflection</w:t>
      </w:r>
      <w:r w:rsidR="00FD3BBE">
        <w:t>.</w:t>
      </w:r>
      <w:r w:rsidR="007E30F0">
        <w:rPr>
          <w:rStyle w:val="EndnoteReference"/>
        </w:rPr>
        <w:endnoteReference w:id="4"/>
      </w:r>
      <w:r w:rsidR="00FD3BBE">
        <w:t xml:space="preserve"> I</w:t>
      </w:r>
      <w:r w:rsidR="005B29CF">
        <w:t xml:space="preserve">t also coincides with Alan McKenzie’s assertion that </w:t>
      </w:r>
      <w:r w:rsidR="005B29CF">
        <w:rPr>
          <w:i/>
        </w:rPr>
        <w:t>The Spectator</w:t>
      </w:r>
      <w:r w:rsidR="005B29CF">
        <w:t>’s mission was to teach readers how to train their passions so as to better bring them into company.</w:t>
      </w:r>
      <w:r w:rsidR="005B29CF">
        <w:rPr>
          <w:rStyle w:val="EndnoteReference"/>
        </w:rPr>
        <w:endnoteReference w:id="5"/>
      </w:r>
      <w:r w:rsidR="004C2791">
        <w:t xml:space="preserve"> </w:t>
      </w:r>
      <w:r w:rsidR="00904079">
        <w:t>Addison treats the passions as if their uneasy feelings are encoded communications from Go</w:t>
      </w:r>
      <w:r>
        <w:t>d that only need to be judg</w:t>
      </w:r>
      <w:r w:rsidR="00904079">
        <w:t>ed correctly. By contrast, Steele’s interpretation of the uneasy nature of emotional experience turns on a</w:t>
      </w:r>
      <w:r>
        <w:t xml:space="preserve"> more skeptical reading of Lock</w:t>
      </w:r>
      <w:r w:rsidR="00D06145">
        <w:t>ean empiricism</w:t>
      </w:r>
      <w:r w:rsidR="00904079">
        <w:t>,</w:t>
      </w:r>
      <w:r>
        <w:t xml:space="preserve"> and</w:t>
      </w:r>
      <w:r w:rsidR="00904079">
        <w:t xml:space="preserve"> his essays on envy and grief expose the indeterminacy that resides at the heart of a modern epistemological model of the passions.</w:t>
      </w:r>
      <w:r w:rsidR="004779C2">
        <w:t xml:space="preserve"> </w:t>
      </w:r>
      <w:r w:rsidR="005B29CF">
        <w:t xml:space="preserve">Thus, </w:t>
      </w:r>
      <w:r w:rsidR="00FD3BBE">
        <w:t>my argument</w:t>
      </w:r>
      <w:r w:rsidR="005B29CF">
        <w:t xml:space="preserve"> operates on the assumption that within the normative eighteenth-century view of the passions as a controllable, if enigmatic, conduit to psychological self-mastery there lies a necessary kernel of affective susceptibility, a capacity for being moved by our feelings that </w:t>
      </w:r>
      <w:r w:rsidR="00002062">
        <w:t>has value, in and of itself. In essence,</w:t>
      </w:r>
      <w:r w:rsidR="004779C2">
        <w:t xml:space="preserve"> Addison’s essays downplay the affective implications of modern emotional experience while Steele’s essays accentuate them.</w:t>
      </w:r>
      <w:r w:rsidR="00D06145">
        <w:t xml:space="preserve"> </w:t>
      </w:r>
      <w:r w:rsidR="004779C2">
        <w:t>Before going further,</w:t>
      </w:r>
      <w:r w:rsidR="00002062">
        <w:t xml:space="preserve"> however,</w:t>
      </w:r>
      <w:r w:rsidR="004779C2">
        <w:t xml:space="preserve"> </w:t>
      </w:r>
      <w:r w:rsidR="009E2F2B">
        <w:t xml:space="preserve">it is important to situate </w:t>
      </w:r>
      <w:r w:rsidR="004779C2">
        <w:t>this argument</w:t>
      </w:r>
      <w:r w:rsidR="009E2F2B">
        <w:t xml:space="preserve"> within th</w:t>
      </w:r>
      <w:r w:rsidR="004C2791">
        <w:t>e philosophical</w:t>
      </w:r>
      <w:r w:rsidR="009E2F2B">
        <w:t xml:space="preserve"> history of “the </w:t>
      </w:r>
      <w:r w:rsidR="009E2F2B">
        <w:lastRenderedPageBreak/>
        <w:t>passions,” for when Locke, Addison, and Steele take up the question of emotion, the</w:t>
      </w:r>
      <w:r w:rsidR="00FD3BBE">
        <w:t>y</w:t>
      </w:r>
      <w:r w:rsidR="009E2F2B">
        <w:t xml:space="preserve"> do so fully aware of the long line </w:t>
      </w:r>
      <w:r w:rsidR="00C62AF3">
        <w:t>of Western thought preceding</w:t>
      </w:r>
      <w:r w:rsidR="009E2F2B">
        <w:t xml:space="preserve"> them.</w:t>
      </w:r>
      <w:r w:rsidR="000941E8">
        <w:rPr>
          <w:rStyle w:val="EndnoteReference"/>
        </w:rPr>
        <w:endnoteReference w:id="6"/>
      </w:r>
    </w:p>
    <w:p w14:paraId="40DDFDF5" w14:textId="77777777" w:rsidR="008F697D" w:rsidRDefault="008F697D" w:rsidP="00D06145"/>
    <w:p w14:paraId="3BC22ACE" w14:textId="77777777" w:rsidR="001025D3" w:rsidRPr="00326BBF" w:rsidRDefault="001025D3" w:rsidP="00326BBF">
      <w:pPr>
        <w:jc w:val="center"/>
        <w:rPr>
          <w:caps/>
        </w:rPr>
      </w:pPr>
      <w:r w:rsidRPr="00326BBF">
        <w:rPr>
          <w:caps/>
        </w:rPr>
        <w:t>The History of Modern Passions: From “Disease” to “Uneasiness”</w:t>
      </w:r>
    </w:p>
    <w:p w14:paraId="22F0FEA6" w14:textId="6EBD0BC9" w:rsidR="00D06145" w:rsidRDefault="004779C2" w:rsidP="00102395">
      <w:pPr>
        <w:pStyle w:val="Unindented"/>
      </w:pPr>
      <w:r>
        <w:t>Describing conceptual shifts across time in terms of binaries is always risky, especially when those concepts are loosely analogous to either side of the ancient/mode</w:t>
      </w:r>
      <w:r w:rsidR="00D43E9E">
        <w:t>rn divide. I run that risk here, in part,</w:t>
      </w:r>
      <w:r>
        <w:t xml:space="preserve"> because the passions have always invited binary comparison—Plato posited passion as an oppositional force to reason, for instance. More important th</w:t>
      </w:r>
      <w:r w:rsidR="00D06145">
        <w:t>an historical precedent</w:t>
      </w:r>
      <w:r>
        <w:t xml:space="preserve"> is the fact that the passions function as a sp</w:t>
      </w:r>
      <w:r w:rsidR="00D43E9E">
        <w:t>ecial limit case</w:t>
      </w:r>
      <w:r w:rsidR="0020269F">
        <w:t>. T</w:t>
      </w:r>
      <w:r>
        <w:t xml:space="preserve">heir central trope of instability inherently maintains a fluid, permeable border between the seemingly polar oppositions that are often employed to define them. Lexicographically, “the passions” is a term of </w:t>
      </w:r>
      <w:r w:rsidR="00D43E9E">
        <w:t>mainly classic</w:t>
      </w:r>
      <w:r>
        <w:t>al import.</w:t>
      </w:r>
      <w:r>
        <w:rPr>
          <w:rStyle w:val="EndnoteReference"/>
        </w:rPr>
        <w:endnoteReference w:id="7"/>
      </w:r>
      <w:r>
        <w:t xml:space="preserve"> Classical passions are ungovernable, external, extra-rational determin</w:t>
      </w:r>
      <w:r w:rsidR="00542526">
        <w:t>ants</w:t>
      </w:r>
      <w:r>
        <w:t xml:space="preserve"> of the human will; their source is certain, and their effects are immediate—Cupid </w:t>
      </w:r>
      <w:r w:rsidR="00E61D58">
        <w:t>with</w:t>
      </w:r>
      <w:r>
        <w:t xml:space="preserve"> his quiver of arrows is their poster-boy. The modern, and our own contemporary, counterpart to “the passions” is emotion, a fully rational and internalized psychological concept.</w:t>
      </w:r>
      <w:r>
        <w:rPr>
          <w:rStyle w:val="EndnoteReference"/>
        </w:rPr>
        <w:endnoteReference w:id="8"/>
      </w:r>
      <w:r>
        <w:t xml:space="preserve"> Susan James</w:t>
      </w:r>
      <w:r w:rsidR="00D06145">
        <w:t>’</w:t>
      </w:r>
      <w:r w:rsidR="008F697D">
        <w:t>s</w:t>
      </w:r>
      <w:r>
        <w:t xml:space="preserve"> work on this subject </w:t>
      </w:r>
      <w:r w:rsidR="00D43E9E">
        <w:t>in the field of early</w:t>
      </w:r>
      <w:r w:rsidR="009A6907">
        <w:t xml:space="preserve"> </w:t>
      </w:r>
      <w:r>
        <w:t>modern studies has explored the shift from classical passi</w:t>
      </w:r>
      <w:r w:rsidR="0020269F">
        <w:t>on to modern emotion through the corollary</w:t>
      </w:r>
      <w:r w:rsidR="00D43E9E">
        <w:t xml:space="preserve"> binary</w:t>
      </w:r>
      <w:r>
        <w:t xml:space="preserve"> of </w:t>
      </w:r>
      <w:r w:rsidRPr="004779C2">
        <w:t>passivity and activity</w:t>
      </w:r>
      <w:r>
        <w:t>, wherein</w:t>
      </w:r>
      <w:r w:rsidRPr="004779C2">
        <w:t xml:space="preserve"> passivity</w:t>
      </w:r>
      <w:r w:rsidR="001025D3">
        <w:rPr>
          <w:i/>
        </w:rPr>
        <w:t xml:space="preserve"> </w:t>
      </w:r>
      <w:r w:rsidR="001025D3">
        <w:t xml:space="preserve">is the capacity to be acted upon or to be changed by an agent, and </w:t>
      </w:r>
      <w:r w:rsidR="001025D3" w:rsidRPr="004779C2">
        <w:t>activity</w:t>
      </w:r>
      <w:r w:rsidR="001025D3">
        <w:rPr>
          <w:i/>
        </w:rPr>
        <w:t xml:space="preserve"> </w:t>
      </w:r>
      <w:r w:rsidR="001025D3">
        <w:t>is the capacity to be an agent, to have the power to act upon or change something else.</w:t>
      </w:r>
      <w:r w:rsidR="001025D3">
        <w:rPr>
          <w:rStyle w:val="EndnoteReference"/>
        </w:rPr>
        <w:endnoteReference w:id="9"/>
      </w:r>
      <w:r w:rsidR="001025D3">
        <w:t xml:space="preserve"> </w:t>
      </w:r>
      <w:r>
        <w:t>James describes the classical relationship between a subject and his/her passions as one of passivity</w:t>
      </w:r>
      <w:r w:rsidR="00D06145">
        <w:t>: w</w:t>
      </w:r>
      <w:r>
        <w:t>e are passive with regard to our passions because they function as “forces that are at once extremely powerful and actually or potentially beyond our control.”</w:t>
      </w:r>
      <w:r w:rsidR="00641158">
        <w:rPr>
          <w:rStyle w:val="EndnoteReference"/>
        </w:rPr>
        <w:endnoteReference w:id="10"/>
      </w:r>
      <w:r>
        <w:rPr>
          <w:rStyle w:val="EndnoteReference"/>
        </w:rPr>
        <w:t xml:space="preserve"> </w:t>
      </w:r>
      <w:r w:rsidR="00002062">
        <w:t xml:space="preserve">The modernizing move </w:t>
      </w:r>
      <w:r>
        <w:t>comes when empirical models of epistemology begin to insist that emotional feelings are predicated upon active, cognitive functions and</w:t>
      </w:r>
      <w:r w:rsidR="007E5602">
        <w:t xml:space="preserve"> are</w:t>
      </w:r>
      <w:r w:rsidR="00094D07">
        <w:t xml:space="preserve">, </w:t>
      </w:r>
      <w:r w:rsidR="00094D07">
        <w:lastRenderedPageBreak/>
        <w:t>thus,</w:t>
      </w:r>
      <w:r>
        <w:t xml:space="preserve"> within the subject’s realm of responsibility. </w:t>
      </w:r>
      <w:r w:rsidR="006657F8">
        <w:t xml:space="preserve">The most significant implication of </w:t>
      </w:r>
      <w:r w:rsidR="004C2791">
        <w:t>James’</w:t>
      </w:r>
      <w:r w:rsidR="008F697D">
        <w:t>s</w:t>
      </w:r>
      <w:r w:rsidR="004C2791">
        <w:t xml:space="preserve"> </w:t>
      </w:r>
      <w:r w:rsidR="006657F8">
        <w:t xml:space="preserve">work, </w:t>
      </w:r>
      <w:r w:rsidR="0020269F">
        <w:t>however,</w:t>
      </w:r>
      <w:r>
        <w:t xml:space="preserve"> </w:t>
      </w:r>
      <w:r w:rsidR="006657F8">
        <w:t>lies in her analysis of instances where the</w:t>
      </w:r>
      <w:r>
        <w:t xml:space="preserve"> passive/active </w:t>
      </w:r>
      <w:r w:rsidR="00D06145">
        <w:t>and classical</w:t>
      </w:r>
      <w:r>
        <w:t>/modern binaries become unstable.</w:t>
      </w:r>
    </w:p>
    <w:p w14:paraId="1265E9AB" w14:textId="33E09FF7" w:rsidR="004779C2" w:rsidRDefault="001025D3" w:rsidP="001F57BF">
      <w:r>
        <w:t>Ralph Cudworth,</w:t>
      </w:r>
      <w:r w:rsidR="008105D2">
        <w:t xml:space="preserve"> the esteemed Cambridge Platonist </w:t>
      </w:r>
      <w:r w:rsidR="002C7C15">
        <w:t>, asserted that “this</w:t>
      </w:r>
      <w:r>
        <w:t xml:space="preserve"> passion of the soul in sensation [is not] a mere naked passion or suffering; because it is a cogitation or perception which hath something of active vigor in it.”</w:t>
      </w:r>
      <w:r>
        <w:rPr>
          <w:rStyle w:val="EndnoteReference"/>
        </w:rPr>
        <w:endnoteReference w:id="11"/>
      </w:r>
      <w:r>
        <w:t xml:space="preserve"> </w:t>
      </w:r>
      <w:r w:rsidR="0020269F">
        <w:t>Cudworth here</w:t>
      </w:r>
      <w:r w:rsidR="004C2791">
        <w:t xml:space="preserve"> puts his finger on the crux of the</w:t>
      </w:r>
      <w:r>
        <w:t xml:space="preserve"> tradition that eighteenth-century writers will inherit. The newly modern view retains </w:t>
      </w:r>
      <w:r w:rsidR="004C2791">
        <w:t>an element of passivity</w:t>
      </w:r>
      <w:r>
        <w:t xml:space="preserve"> in the sense that objects of perception engage our capacity to be moved, but subjects can never be </w:t>
      </w:r>
      <w:r>
        <w:rPr>
          <w:i/>
        </w:rPr>
        <w:t>merely</w:t>
      </w:r>
      <w:r>
        <w:t xml:space="preserve"> passive because the patient has some cognitive role to play in how</w:t>
      </w:r>
      <w:r w:rsidR="004C2791">
        <w:t xml:space="preserve"> those feelings are registered</w:t>
      </w:r>
      <w:r w:rsidR="00002062">
        <w:t xml:space="preserve"> and the degrees to which they are acted upon</w:t>
      </w:r>
      <w:r w:rsidR="004C2791">
        <w:t>.</w:t>
      </w:r>
      <w:r>
        <w:rPr>
          <w:rStyle w:val="EndnoteReference"/>
        </w:rPr>
        <w:endnoteReference w:id="12"/>
      </w:r>
      <w:r>
        <w:t xml:space="preserve"> </w:t>
      </w:r>
      <w:r w:rsidR="004779C2">
        <w:t>Through</w:t>
      </w:r>
      <w:r w:rsidR="00FD3BBE">
        <w:t xml:space="preserve"> this lens</w:t>
      </w:r>
      <w:r w:rsidR="00002062">
        <w:t>,</w:t>
      </w:r>
      <w:r w:rsidR="00FD3BBE">
        <w:t xml:space="preserve"> early</w:t>
      </w:r>
      <w:r w:rsidR="009A6907">
        <w:t xml:space="preserve"> </w:t>
      </w:r>
      <w:r w:rsidR="005265AD">
        <w:t>modern th</w:t>
      </w:r>
      <w:r w:rsidR="00D403D9">
        <w:t>ought</w:t>
      </w:r>
      <w:r w:rsidR="005265AD">
        <w:t xml:space="preserve"> envisioned a new model of emotion where</w:t>
      </w:r>
      <w:r w:rsidR="008F697D">
        <w:t xml:space="preserve"> it is the case that</w:t>
      </w:r>
      <w:r w:rsidR="005265AD">
        <w:t xml:space="preserve"> “passion is </w:t>
      </w:r>
      <w:r w:rsidR="005265AD">
        <w:rPr>
          <w:i/>
        </w:rPr>
        <w:t>not</w:t>
      </w:r>
      <w:r w:rsidR="005265AD">
        <w:t xml:space="preserve"> just something experienced passively, but that passionate experiences</w:t>
      </w:r>
      <w:r w:rsidR="008F697D">
        <w:t xml:space="preserve"> </w:t>
      </w:r>
      <w:r w:rsidR="005265AD">
        <w:t>…</w:t>
      </w:r>
      <w:r w:rsidR="008F697D">
        <w:t xml:space="preserve"> </w:t>
      </w:r>
      <w:r w:rsidR="005265AD">
        <w:t>contain in themselves a ratiocinative element</w:t>
      </w:r>
      <w:r w:rsidR="00E5053A">
        <w:t xml:space="preserve"> </w:t>
      </w:r>
      <w:r w:rsidR="005265AD">
        <w:t>…</w:t>
      </w:r>
      <w:r w:rsidR="00E5053A">
        <w:t xml:space="preserve"> </w:t>
      </w:r>
      <w:r w:rsidR="005265AD">
        <w:t xml:space="preserve">that they </w:t>
      </w:r>
      <w:r w:rsidR="005265AD">
        <w:rPr>
          <w:i/>
        </w:rPr>
        <w:t xml:space="preserve">are </w:t>
      </w:r>
      <w:r w:rsidR="005265AD">
        <w:t>in themselves a form of cognition.”</w:t>
      </w:r>
      <w:r w:rsidR="005265AD">
        <w:rPr>
          <w:rStyle w:val="EndnoteReference"/>
        </w:rPr>
        <w:endnoteReference w:id="13"/>
      </w:r>
      <w:r w:rsidR="00D06145">
        <w:t xml:space="preserve"> Cudworth’s representation of </w:t>
      </w:r>
      <w:r w:rsidR="004779C2">
        <w:t>early</w:t>
      </w:r>
      <w:r w:rsidR="009A6907">
        <w:t xml:space="preserve"> </w:t>
      </w:r>
      <w:r w:rsidR="004779C2">
        <w:t xml:space="preserve">modern </w:t>
      </w:r>
      <w:r w:rsidR="00D06145">
        <w:t>thinking</w:t>
      </w:r>
      <w:r w:rsidR="004779C2">
        <w:t xml:space="preserve"> also demonstrates the fluidity of evolutionary adjustments involving constructs of emotion, for the shift from passivity to activity</w:t>
      </w:r>
      <w:r>
        <w:t xml:space="preserve"> d</w:t>
      </w:r>
      <w:r w:rsidR="004779C2">
        <w:t>id</w:t>
      </w:r>
      <w:r w:rsidR="00A63CCA">
        <w:t xml:space="preserve"> no</w:t>
      </w:r>
      <w:r>
        <w:t>t, in itself, divest the passions of th</w:t>
      </w:r>
      <w:r w:rsidR="005265AD">
        <w:t>eir disruptive p</w:t>
      </w:r>
      <w:r w:rsidR="00D06145">
        <w:t>otential; it merely reconfigured</w:t>
      </w:r>
      <w:r w:rsidR="005265AD">
        <w:t xml:space="preserve"> an external force as</w:t>
      </w:r>
      <w:r>
        <w:t xml:space="preserve"> an internal one.</w:t>
      </w:r>
      <w:r w:rsidR="004779C2">
        <w:t xml:space="preserve"> As such, when it comes to emotional experience, theoretical binaries seem to function more like negotiation</w:t>
      </w:r>
      <w:r w:rsidR="00D43E9E">
        <w:t>s</w:t>
      </w:r>
      <w:r w:rsidR="004779C2">
        <w:t>.</w:t>
      </w:r>
    </w:p>
    <w:p w14:paraId="6AC203E9" w14:textId="4B6589F1" w:rsidR="004779C2" w:rsidRDefault="004779C2" w:rsidP="001F57BF">
      <w:r>
        <w:t>When</w:t>
      </w:r>
      <w:r w:rsidR="004C2791">
        <w:t xml:space="preserve"> </w:t>
      </w:r>
      <w:r w:rsidR="00D403D9">
        <w:t>Locke</w:t>
      </w:r>
      <w:r w:rsidR="005265AD">
        <w:rPr>
          <w:i/>
        </w:rPr>
        <w:t xml:space="preserve"> </w:t>
      </w:r>
      <w:r>
        <w:t>weighs in on the passions</w:t>
      </w:r>
      <w:r w:rsidR="00E5053A">
        <w:t>,</w:t>
      </w:r>
      <w:r>
        <w:t xml:space="preserve"> he creates another binary relationship by presenting their agitational component in terms of “uneasiness</w:t>
      </w:r>
      <w:r w:rsidR="00D06145">
        <w:t>,</w:t>
      </w:r>
      <w:r>
        <w:t>” as opposed to their much more common formulation as “diseases of the mind” that one finds</w:t>
      </w:r>
      <w:r w:rsidR="008A513F">
        <w:t xml:space="preserve"> </w:t>
      </w:r>
      <w:r>
        <w:t>in</w:t>
      </w:r>
      <w:r w:rsidR="005265AD">
        <w:t xml:space="preserve"> Robert Burton’s </w:t>
      </w:r>
      <w:r w:rsidR="005265AD">
        <w:rPr>
          <w:i/>
        </w:rPr>
        <w:t xml:space="preserve">Anatomy of Melancholy </w:t>
      </w:r>
      <w:r w:rsidR="005265AD">
        <w:t>(1621)</w:t>
      </w:r>
      <w:r w:rsidR="00D06145">
        <w:t>.</w:t>
      </w:r>
      <w:r w:rsidR="005265AD">
        <w:rPr>
          <w:rStyle w:val="EndnoteReference"/>
        </w:rPr>
        <w:endnoteReference w:id="14"/>
      </w:r>
      <w:r w:rsidR="005265AD">
        <w:t xml:space="preserve"> </w:t>
      </w:r>
      <w:r>
        <w:t>It</w:t>
      </w:r>
      <w:r w:rsidR="008A513F">
        <w:t xml:space="preserve"> is worth briefly exploring</w:t>
      </w:r>
      <w:r>
        <w:t xml:space="preserve"> the comparison between Locke and Burton to </w:t>
      </w:r>
      <w:r>
        <w:lastRenderedPageBreak/>
        <w:t>illustrate the importance of the cautiously negotiated shift from early</w:t>
      </w:r>
      <w:r w:rsidR="009A6907">
        <w:t xml:space="preserve"> </w:t>
      </w:r>
      <w:r>
        <w:t>modern passions-as-disease to modern passions-as-uneasiness.</w:t>
      </w:r>
    </w:p>
    <w:p w14:paraId="301CE3BA" w14:textId="43B02292" w:rsidR="009C2BF9" w:rsidRDefault="004779C2" w:rsidP="001F57BF">
      <w:r>
        <w:t>Burton’s conceptualization of melancholy as disease</w:t>
      </w:r>
      <w:r w:rsidR="0056499D">
        <w:t xml:space="preserve"> is closely contingent on</w:t>
      </w:r>
      <w:r w:rsidR="00A63CCA">
        <w:t xml:space="preserve"> passivity</w:t>
      </w:r>
      <w:r w:rsidR="00FD3BBE">
        <w:t>, for</w:t>
      </w:r>
      <w:r w:rsidR="0056499D">
        <w:t xml:space="preserve"> it is a condition wherein one is subject to th</w:t>
      </w:r>
      <w:r>
        <w:t>e whims of irrational emotions, and it is rooted in a</w:t>
      </w:r>
      <w:r w:rsidR="0056499D">
        <w:t xml:space="preserve"> faulty imagination </w:t>
      </w:r>
      <w:r w:rsidR="00FD3BBE">
        <w:t>that</w:t>
      </w:r>
      <w:r>
        <w:t xml:space="preserve"> turns agents into patients</w:t>
      </w:r>
      <w:r w:rsidR="0056499D">
        <w:t>.</w:t>
      </w:r>
      <w:r w:rsidR="00E5053A">
        <w:rPr>
          <w:rStyle w:val="EndnoteReference"/>
        </w:rPr>
        <w:endnoteReference w:id="15"/>
      </w:r>
      <w:r w:rsidR="0056499D">
        <w:t xml:space="preserve"> </w:t>
      </w:r>
      <w:r>
        <w:t>Because m</w:t>
      </w:r>
      <w:r w:rsidR="0056499D">
        <w:t>elancholics are ever in danger of having their reason</w:t>
      </w:r>
      <w:r w:rsidR="004C2791">
        <w:t xml:space="preserve"> overcome by their passions</w:t>
      </w:r>
      <w:r>
        <w:t xml:space="preserve">, the doctor of melancholy is </w:t>
      </w:r>
      <w:r w:rsidR="009C2BF9">
        <w:t>pitted against</w:t>
      </w:r>
      <w:r w:rsidR="0056499D">
        <w:t xml:space="preserve"> ancient foes of sorrow and fear </w:t>
      </w:r>
      <w:r w:rsidR="004C2791">
        <w:t>in order to save his patient from utter dissolution. Burton’s passions are figured as adversarial actors that must be held at bay. Sorrow is not a feeling but a</w:t>
      </w:r>
      <w:r w:rsidR="0056499D">
        <w:t xml:space="preserve"> “po</w:t>
      </w:r>
      <w:r w:rsidR="00B45500">
        <w:t>y</w:t>
      </w:r>
      <w:r w:rsidR="0056499D">
        <w:t>soned worm</w:t>
      </w:r>
      <w:r w:rsidR="004332AA">
        <w:t>e</w:t>
      </w:r>
      <w:r w:rsidR="0056499D">
        <w:t>, consuming body and soul</w:t>
      </w:r>
      <w:r w:rsidR="004332AA">
        <w:t>e,</w:t>
      </w:r>
      <w:r w:rsidR="0056499D">
        <w:t xml:space="preserve"> and gnawing the very</w:t>
      </w:r>
      <w:r w:rsidR="004C2791">
        <w:t xml:space="preserve"> heart”</w:t>
      </w:r>
      <w:r w:rsidR="004332AA">
        <w:rPr>
          <w:rStyle w:val="EndnoteReference"/>
        </w:rPr>
        <w:endnoteReference w:id="16"/>
      </w:r>
      <w:r w:rsidR="004C2791">
        <w:t xml:space="preserve"> and fear</w:t>
      </w:r>
      <w:r w:rsidR="0056499D">
        <w:t xml:space="preserve"> “an assistant and a principa</w:t>
      </w:r>
      <w:r w:rsidR="004332AA">
        <w:t>l</w:t>
      </w:r>
      <w:r w:rsidR="0056499D">
        <w:t>l agent in procuring of this mischief</w:t>
      </w:r>
      <w:r w:rsidR="004332AA">
        <w:t>e</w:t>
      </w:r>
      <w:r w:rsidR="0056499D">
        <w:t>,” a sad “monster,” and a “fo</w:t>
      </w:r>
      <w:r w:rsidR="004332AA">
        <w:t>w</w:t>
      </w:r>
      <w:r w:rsidR="0056499D">
        <w:t>l</w:t>
      </w:r>
      <w:r w:rsidR="004332AA">
        <w:t>e</w:t>
      </w:r>
      <w:r w:rsidR="0056499D">
        <w:t xml:space="preserve"> fiend</w:t>
      </w:r>
      <w:r w:rsidR="00E5053A">
        <w:t>.</w:t>
      </w:r>
      <w:r w:rsidR="0056499D">
        <w:t>”</w:t>
      </w:r>
      <w:r w:rsidR="00E5053A">
        <w:rPr>
          <w:rStyle w:val="EndnoteReference"/>
        </w:rPr>
        <w:endnoteReference w:id="17"/>
      </w:r>
      <w:r w:rsidR="0056499D">
        <w:t xml:space="preserve"> As both symptom an</w:t>
      </w:r>
      <w:r w:rsidR="004C2791">
        <w:t>d cause of melancholy</w:t>
      </w:r>
      <w:r w:rsidR="0056499D">
        <w:t>, there’s an overriding sense that the passions need to be remedied, rectifi</w:t>
      </w:r>
      <w:r w:rsidR="00FD3BBE">
        <w:t>ed, or</w:t>
      </w:r>
      <w:r w:rsidR="0056499D">
        <w:t xml:space="preserve"> extirpated in order to </w:t>
      </w:r>
      <w:r w:rsidR="004C2791">
        <w:t>cure the disease</w:t>
      </w:r>
      <w:r w:rsidR="00FD3BBE">
        <w:t>.</w:t>
      </w:r>
    </w:p>
    <w:p w14:paraId="5F59277E" w14:textId="6EC8B4F2" w:rsidR="0056499D" w:rsidRDefault="004779C2" w:rsidP="001F57BF">
      <w:r>
        <w:t>Burton</w:t>
      </w:r>
      <w:r w:rsidR="00D06145">
        <w:t>, however,</w:t>
      </w:r>
      <w:r w:rsidR="004C2791" w:rsidRPr="004C2791">
        <w:t xml:space="preserve"> also demonstrates a curious illustration of</w:t>
      </w:r>
      <w:r w:rsidR="00FD3BBE">
        <w:t xml:space="preserve"> the modernizing intersection of James’</w:t>
      </w:r>
      <w:r w:rsidR="00377107">
        <w:t>s</w:t>
      </w:r>
      <w:r w:rsidR="004C2791" w:rsidRPr="004C2791">
        <w:t xml:space="preserve"> passivity and</w:t>
      </w:r>
      <w:r w:rsidR="004C2791">
        <w:t xml:space="preserve"> activity</w:t>
      </w:r>
      <w:r w:rsidR="00BE234A">
        <w:t xml:space="preserve"> by positing</w:t>
      </w:r>
      <w:r w:rsidR="0056499D">
        <w:t xml:space="preserve"> melancholy as an </w:t>
      </w:r>
      <w:r w:rsidR="0056499D">
        <w:rPr>
          <w:i/>
        </w:rPr>
        <w:t xml:space="preserve">irrational </w:t>
      </w:r>
      <w:r w:rsidR="0056499D">
        <w:t>passion</w:t>
      </w:r>
      <w:r w:rsidR="000320F6">
        <w:t>,</w:t>
      </w:r>
      <w:r w:rsidR="0056499D">
        <w:t xml:space="preserve"> the r</w:t>
      </w:r>
      <w:r w:rsidR="000320F6">
        <w:t>esult of faulty imagining. In this formulation,</w:t>
      </w:r>
      <w:r w:rsidR="00FD3BBE">
        <w:t xml:space="preserve"> </w:t>
      </w:r>
      <w:r w:rsidR="0056499D">
        <w:t>cognitive</w:t>
      </w:r>
      <w:r w:rsidR="000320F6">
        <w:t xml:space="preserve"> function must</w:t>
      </w:r>
      <w:r w:rsidR="0020269F">
        <w:t xml:space="preserve"> play a role in how </w:t>
      </w:r>
      <w:r w:rsidR="0056499D">
        <w:t xml:space="preserve">passions are translated from sensation to action. If, as Angus Gowland explains, </w:t>
      </w:r>
      <w:r>
        <w:rPr>
          <w:i/>
        </w:rPr>
        <w:t>T</w:t>
      </w:r>
      <w:r w:rsidR="0056499D" w:rsidRPr="004779C2">
        <w:rPr>
          <w:i/>
        </w:rPr>
        <w:t>he</w:t>
      </w:r>
      <w:r w:rsidR="0056499D">
        <w:t xml:space="preserve"> </w:t>
      </w:r>
      <w:r w:rsidR="0056499D">
        <w:rPr>
          <w:i/>
        </w:rPr>
        <w:t xml:space="preserve">Anatomy </w:t>
      </w:r>
      <w:r w:rsidR="0056499D">
        <w:t xml:space="preserve">presents melancholics as “irrationally fearful and sad about things, because their rational power did not overrule their crazed fantasies,” </w:t>
      </w:r>
      <w:r w:rsidR="0056499D">
        <w:rPr>
          <w:i/>
        </w:rPr>
        <w:t>and</w:t>
      </w:r>
      <w:r w:rsidR="0056499D">
        <w:t xml:space="preserve"> </w:t>
      </w:r>
      <w:r w:rsidR="00B43BD6">
        <w:t xml:space="preserve">if </w:t>
      </w:r>
      <w:r w:rsidR="0056499D">
        <w:t xml:space="preserve">it is the case that there is such a thing as a </w:t>
      </w:r>
      <w:r w:rsidR="0056499D">
        <w:rPr>
          <w:i/>
        </w:rPr>
        <w:t>rational</w:t>
      </w:r>
      <w:r w:rsidR="00FD3BBE">
        <w:t xml:space="preserve"> passion (</w:t>
      </w:r>
      <w:r w:rsidR="0056499D">
        <w:t>that for which one has good reason to be affecte</w:t>
      </w:r>
      <w:r w:rsidR="00FD3BBE">
        <w:t>d)</w:t>
      </w:r>
      <w:r w:rsidR="00B43BD6">
        <w:t>,</w:t>
      </w:r>
      <w:r w:rsidR="00FD3BBE">
        <w:t xml:space="preserve"> </w:t>
      </w:r>
      <w:r w:rsidR="004C2791">
        <w:t xml:space="preserve">then </w:t>
      </w:r>
      <w:r>
        <w:t xml:space="preserve">the </w:t>
      </w:r>
      <w:r w:rsidR="00D06145">
        <w:t>best prevention would be to</w:t>
      </w:r>
      <w:r w:rsidR="0056499D">
        <w:t xml:space="preserve"> strengthen</w:t>
      </w:r>
      <w:r w:rsidR="00D06145">
        <w:t xml:space="preserve"> one’s ability</w:t>
      </w:r>
      <w:r w:rsidR="00FD3BBE">
        <w:t xml:space="preserve"> to correctly</w:t>
      </w:r>
      <w:r w:rsidR="0056499D">
        <w:t xml:space="preserve"> judg</w:t>
      </w:r>
      <w:r w:rsidR="00FD3BBE">
        <w:t>e</w:t>
      </w:r>
      <w:r w:rsidR="0056499D">
        <w:t xml:space="preserve"> the difference between the two.</w:t>
      </w:r>
      <w:r>
        <w:rPr>
          <w:rStyle w:val="EndnoteReference"/>
        </w:rPr>
        <w:endnoteReference w:id="18"/>
      </w:r>
      <w:r w:rsidR="0056499D">
        <w:t xml:space="preserve"> Thus, even within Burton’s classically rooted system, passivity and activity perform overlapping conceptual functions, and this overlap is the site at which Burton’s </w:t>
      </w:r>
      <w:r w:rsidR="0056499D">
        <w:rPr>
          <w:i/>
        </w:rPr>
        <w:t xml:space="preserve">Anatomy </w:t>
      </w:r>
      <w:r w:rsidR="0056499D">
        <w:t>“is a bridge between medieval and modern thought.”</w:t>
      </w:r>
      <w:r w:rsidR="0056499D">
        <w:rPr>
          <w:rStyle w:val="EndnoteReference"/>
        </w:rPr>
        <w:endnoteReference w:id="19"/>
      </w:r>
    </w:p>
    <w:p w14:paraId="7A4CED34" w14:textId="49634192" w:rsidR="00022E4D" w:rsidRDefault="006A3869" w:rsidP="001F57BF">
      <w:r>
        <w:lastRenderedPageBreak/>
        <w:t>The same questions of passivity and activity</w:t>
      </w:r>
      <w:r w:rsidR="00542526">
        <w:t>—</w:t>
      </w:r>
      <w:r>
        <w:t>of compulsion, of will, and of the understanding’s role in</w:t>
      </w:r>
      <w:r w:rsidR="00FD3BBE">
        <w:t xml:space="preserve"> regulating the passions</w:t>
      </w:r>
      <w:r w:rsidR="00542526">
        <w:t>—a</w:t>
      </w:r>
      <w:r w:rsidR="00FD3BBE">
        <w:t>re</w:t>
      </w:r>
      <w:r>
        <w:t xml:space="preserve"> a</w:t>
      </w:r>
      <w:r w:rsidR="004C2791">
        <w:t xml:space="preserve">t issue in </w:t>
      </w:r>
      <w:r w:rsidR="004C2791">
        <w:rPr>
          <w:i/>
        </w:rPr>
        <w:t>An Essa</w:t>
      </w:r>
      <w:r w:rsidR="004779C2">
        <w:rPr>
          <w:i/>
        </w:rPr>
        <w:t>y Concerning Human Understanding</w:t>
      </w:r>
      <w:r w:rsidR="009A33F1">
        <w:t>.</w:t>
      </w:r>
      <w:r w:rsidR="004779C2">
        <w:t xml:space="preserve"> </w:t>
      </w:r>
      <w:r w:rsidR="009A33F1">
        <w:t>W</w:t>
      </w:r>
      <w:r w:rsidR="004C2791">
        <w:t xml:space="preserve">hile it is easy to see the ways </w:t>
      </w:r>
      <w:r w:rsidR="004779C2">
        <w:t xml:space="preserve">Locke’s work </w:t>
      </w:r>
      <w:r w:rsidR="004C2791">
        <w:t xml:space="preserve">functions as a corrective </w:t>
      </w:r>
      <w:r w:rsidR="004779C2">
        <w:t>to that which came before,</w:t>
      </w:r>
      <w:r w:rsidR="009A33F1">
        <w:t xml:space="preserve"> it would be a mistake to suggest that he resolves</w:t>
      </w:r>
      <w:r>
        <w:t xml:space="preserve">, in one fell swoop, the classical/modern, </w:t>
      </w:r>
      <w:r w:rsidR="004779C2">
        <w:t xml:space="preserve">immediate/mediate, </w:t>
      </w:r>
      <w:r>
        <w:t>external/internal, passive/active confl</w:t>
      </w:r>
      <w:r w:rsidR="00D43E9E">
        <w:t>icts embedded</w:t>
      </w:r>
      <w:r w:rsidR="00FD3BBE">
        <w:t xml:space="preserve"> in the</w:t>
      </w:r>
      <w:r w:rsidR="004779C2">
        <w:t xml:space="preserve"> epistemological</w:t>
      </w:r>
      <w:r w:rsidR="0020269F">
        <w:t xml:space="preserve"> tradition that his legacy</w:t>
      </w:r>
      <w:r w:rsidR="00FD3BBE">
        <w:t xml:space="preserve"> would eventually</w:t>
      </w:r>
      <w:r w:rsidR="004C2791">
        <w:t xml:space="preserve"> upend.</w:t>
      </w:r>
      <w:r>
        <w:t xml:space="preserve"> </w:t>
      </w:r>
      <w:r w:rsidR="004C2791">
        <w:t xml:space="preserve">The subtle but important distinction </w:t>
      </w:r>
      <w:r w:rsidR="00022E4D">
        <w:t xml:space="preserve">is that when Locke introduces a metaphorical </w:t>
      </w:r>
      <w:r>
        <w:t xml:space="preserve">“uneasiness” </w:t>
      </w:r>
      <w:r w:rsidR="00022E4D">
        <w:t>to replace “disease”</w:t>
      </w:r>
      <w:r>
        <w:t xml:space="preserve"> as the fundamental component of emotional experience, the tension between passivity </w:t>
      </w:r>
      <w:r w:rsidR="00022E4D">
        <w:t>and activity still remains even as the balance of power shifts</w:t>
      </w:r>
      <w:r>
        <w:t xml:space="preserve"> to the</w:t>
      </w:r>
      <w:r w:rsidR="00022E4D">
        <w:t xml:space="preserve"> active </w:t>
      </w:r>
      <w:r w:rsidR="00D06145">
        <w:t>processes of rational thought.</w:t>
      </w:r>
    </w:p>
    <w:p w14:paraId="7434DB53" w14:textId="572B236A" w:rsidR="006A3869" w:rsidRDefault="006A3869" w:rsidP="001F57BF">
      <w:r>
        <w:t xml:space="preserve">Jonathan Kramnick has most recently addressed this conundrum of modern feelings by illustrating how the Lockean framework for explaining human motivation changed substantially between </w:t>
      </w:r>
      <w:r>
        <w:rPr>
          <w:i/>
        </w:rPr>
        <w:t>An Essay</w:t>
      </w:r>
      <w:r>
        <w:t>’s first and second editions</w:t>
      </w:r>
      <w:r w:rsidR="00377107">
        <w:t xml:space="preserve"> (1690 and 1694, respectively)</w:t>
      </w:r>
      <w:r>
        <w:t>.</w:t>
      </w:r>
      <w:r>
        <w:rPr>
          <w:rStyle w:val="EndnoteReference"/>
        </w:rPr>
        <w:endnoteReference w:id="20"/>
      </w:r>
      <w:r>
        <w:t xml:space="preserve"> Influenced by his now-famous correspondence with William Moly</w:t>
      </w:r>
      <w:r w:rsidR="00295264">
        <w:t>neux, Locke backpedaled from the</w:t>
      </w:r>
      <w:r w:rsidR="00022E4D">
        <w:t xml:space="preserve"> original position</w:t>
      </w:r>
      <w:r>
        <w:t xml:space="preserve"> that knowledge of the “external verities” of good and evil is the provocation that determines th</w:t>
      </w:r>
      <w:r w:rsidR="00295264">
        <w:t>e will. The revisions he made in</w:t>
      </w:r>
      <w:r>
        <w:t xml:space="preserve"> the second edition account for Molyneux’s objection that experience (i.e.</w:t>
      </w:r>
      <w:r w:rsidR="003D4FA5">
        <w:t>,</w:t>
      </w:r>
      <w:r>
        <w:t xml:space="preserve"> a feeling of what it is like to be faced with a choice of action) must factor into our desires and, thus, </w:t>
      </w:r>
      <w:r w:rsidR="00022E4D">
        <w:t xml:space="preserve">influence </w:t>
      </w:r>
      <w:r>
        <w:t>our actions upon those desires.</w:t>
      </w:r>
      <w:r w:rsidR="004779C2">
        <w:t xml:space="preserve"> I</w:t>
      </w:r>
      <w:r w:rsidR="00FD3BBE">
        <w:t>n the 1690</w:t>
      </w:r>
      <w:r>
        <w:t xml:space="preserve"> edition of Book II,</w:t>
      </w:r>
      <w:r w:rsidR="00022E4D">
        <w:t xml:space="preserve"> chapter xxi</w:t>
      </w:r>
      <w:r w:rsidR="00377107">
        <w:t>,</w:t>
      </w:r>
      <w:r>
        <w:t xml:space="preserve"> the greater good “is both a contingent estimation, subject to error, and something that lies outside of us, with lasting consequences for our happiness. In either case, the good has a causal role with respect to our actions.”</w:t>
      </w:r>
      <w:r>
        <w:rPr>
          <w:rStyle w:val="EndnoteReference"/>
        </w:rPr>
        <w:endnoteReference w:id="21"/>
      </w:r>
      <w:r>
        <w:t xml:space="preserve"> Thus, Locke’s initial estimation that “</w:t>
      </w:r>
      <w:r w:rsidRPr="006A3869">
        <w:rPr>
          <w:i/>
        </w:rPr>
        <w:t>the greater Good</w:t>
      </w:r>
      <w:r w:rsidR="0020269F">
        <w:rPr>
          <w:i/>
        </w:rPr>
        <w:t xml:space="preserve"> </w:t>
      </w:r>
      <w:r w:rsidRPr="006A3869">
        <w:rPr>
          <w:i/>
        </w:rPr>
        <w:t xml:space="preserve">is </w:t>
      </w:r>
      <w:r w:rsidR="006C70C4">
        <w:rPr>
          <w:i/>
        </w:rPr>
        <w:t xml:space="preserve">that alone which </w:t>
      </w:r>
      <w:r>
        <w:rPr>
          <w:i/>
        </w:rPr>
        <w:t>determines the W</w:t>
      </w:r>
      <w:r w:rsidRPr="006A3869">
        <w:rPr>
          <w:i/>
        </w:rPr>
        <w:t>ill</w:t>
      </w:r>
      <w:r w:rsidR="007A097F">
        <w:t>” effectively</w:t>
      </w:r>
      <w:r w:rsidR="00022E4D">
        <w:t xml:space="preserve"> situates</w:t>
      </w:r>
      <w:r>
        <w:t xml:space="preserve"> human actors in </w:t>
      </w:r>
      <w:r w:rsidR="00022E4D">
        <w:t>a position of passivity</w:t>
      </w:r>
      <w:r>
        <w:t>.</w:t>
      </w:r>
      <w:r>
        <w:rPr>
          <w:rStyle w:val="EndnoteReference"/>
        </w:rPr>
        <w:endnoteReference w:id="22"/>
      </w:r>
      <w:r w:rsidR="004779C2">
        <w:t xml:space="preserve"> </w:t>
      </w:r>
      <w:r>
        <w:t>The second edition reflects a distinct rethinking of his position and a shift from passive to active articulations of human action. By</w:t>
      </w:r>
      <w:r w:rsidR="009C2BF9">
        <w:t xml:space="preserve"> 1694</w:t>
      </w:r>
      <w:r w:rsidR="00045F9D">
        <w:t>,</w:t>
      </w:r>
      <w:r w:rsidR="009C2BF9">
        <w:t xml:space="preserve"> it is no longer </w:t>
      </w:r>
      <w:r w:rsidR="009C2BF9" w:rsidRPr="009C2BF9">
        <w:rPr>
          <w:i/>
        </w:rPr>
        <w:t>the good</w:t>
      </w:r>
      <w:r>
        <w:t xml:space="preserve"> but </w:t>
      </w:r>
      <w:r w:rsidRPr="009C2BF9">
        <w:rPr>
          <w:i/>
        </w:rPr>
        <w:t xml:space="preserve">the </w:t>
      </w:r>
      <w:r w:rsidR="009C2BF9" w:rsidRPr="009C2BF9">
        <w:rPr>
          <w:i/>
        </w:rPr>
        <w:lastRenderedPageBreak/>
        <w:t>mind</w:t>
      </w:r>
      <w:r w:rsidR="00022E4D">
        <w:t xml:space="preserve"> that determines the will when we feel uneasy upon finding ourselves in an </w:t>
      </w:r>
      <w:r>
        <w:t>adverse relationship to som</w:t>
      </w:r>
      <w:r w:rsidR="00022E4D">
        <w:t>e good. If in the first formulation</w:t>
      </w:r>
      <w:r>
        <w:t xml:space="preserve"> we are moved by knowl</w:t>
      </w:r>
      <w:r w:rsidR="009C2BF9">
        <w:t>edge of good/evil itself, Locke’s</w:t>
      </w:r>
      <w:r>
        <w:t xml:space="preserve"> “second thoughts” </w:t>
      </w:r>
      <w:r w:rsidR="004779C2">
        <w:t>amount to a repositioning wherein</w:t>
      </w:r>
      <w:r>
        <w:t xml:space="preserve"> “mental states and attitudes have a causal role to play in a person’s activity.”</w:t>
      </w:r>
      <w:r>
        <w:rPr>
          <w:rStyle w:val="EndnoteReference"/>
        </w:rPr>
        <w:endnoteReference w:id="23"/>
      </w:r>
      <w:r w:rsidR="004779C2">
        <w:t xml:space="preserve"> This renegotiation of the function of mental states (including emotional ones) is illustrative of the provisional nature of passions at the beginning of the eighteenth century.</w:t>
      </w:r>
    </w:p>
    <w:p w14:paraId="2ACEEDAC" w14:textId="25C6DC37" w:rsidR="00D43E9E" w:rsidRDefault="004779C2" w:rsidP="004779C2">
      <w:r>
        <w:t>On the one hand</w:t>
      </w:r>
      <w:r w:rsidR="009C2BF9">
        <w:t>, Locke</w:t>
      </w:r>
      <w:r>
        <w:t xml:space="preserve"> poses a fundamental challenge to</w:t>
      </w:r>
      <w:r w:rsidR="006A3869">
        <w:t xml:space="preserve"> the paradigm of passivity. </w:t>
      </w:r>
      <w:r w:rsidR="00641158">
        <w:t xml:space="preserve">Agents are no longer held captive to their feelings because they are freed by the mind’s ability (power) to assent to or forbear acting upon the desires that uneasiness elicits. </w:t>
      </w:r>
      <w:r w:rsidR="006A3869">
        <w:t>In this light, Peter Schouls is correct in arguing that the fail-safe of Locke</w:t>
      </w:r>
      <w:r w:rsidR="00022E4D">
        <w:t>an emotions is</w:t>
      </w:r>
      <w:r w:rsidR="006A3869">
        <w:t xml:space="preserve"> the assumption </w:t>
      </w:r>
      <w:r w:rsidR="00022E4D">
        <w:t xml:space="preserve">that </w:t>
      </w:r>
      <w:r>
        <w:t>subjects</w:t>
      </w:r>
      <w:r w:rsidR="00022E4D">
        <w:t xml:space="preserve"> are able to </w:t>
      </w:r>
      <w:r w:rsidR="006A3869">
        <w:t>“give full reign to</w:t>
      </w:r>
      <w:r w:rsidR="00377107">
        <w:t xml:space="preserve"> </w:t>
      </w:r>
      <w:r w:rsidR="006A3869">
        <w:t>…</w:t>
      </w:r>
      <w:r w:rsidR="00377107">
        <w:t xml:space="preserve"> </w:t>
      </w:r>
      <w:r w:rsidR="006A3869">
        <w:t>the ‘master passion’: a person’s passion for [self-</w:t>
      </w:r>
      <w:r w:rsidR="00641158">
        <w:t>] mastery</w:t>
      </w:r>
      <w:r w:rsidR="006A3869">
        <w:t>,” and it is only when the mind is “negligently imploid</w:t>
      </w:r>
      <w:r w:rsidR="003D4FA5">
        <w:t>,</w:t>
      </w:r>
      <w:r w:rsidR="006A3869">
        <w:t xml:space="preserve">” as Locke puts it in </w:t>
      </w:r>
      <w:r w:rsidR="006A3869">
        <w:rPr>
          <w:i/>
        </w:rPr>
        <w:t>Of the Conduct of the Understanding</w:t>
      </w:r>
      <w:r w:rsidR="00295264">
        <w:rPr>
          <w:i/>
        </w:rPr>
        <w:t xml:space="preserve"> </w:t>
      </w:r>
      <w:r w:rsidR="00295264">
        <w:t>(1704)</w:t>
      </w:r>
      <w:r w:rsidR="006A3869">
        <w:t>, that we tend to get carried away by the disease-like violence of our passions.</w:t>
      </w:r>
      <w:r w:rsidR="006A3869">
        <w:rPr>
          <w:rStyle w:val="EndnoteReference"/>
        </w:rPr>
        <w:endnoteReference w:id="24"/>
      </w:r>
      <w:r w:rsidR="006A3869">
        <w:t xml:space="preserve"> </w:t>
      </w:r>
      <w:r w:rsidR="007B6694">
        <w:t>Because uneasiness i</w:t>
      </w:r>
      <w:r w:rsidR="006A3869">
        <w:t>s</w:t>
      </w:r>
      <w:r w:rsidR="00022E4D">
        <w:t xml:space="preserve"> internal and controllable</w:t>
      </w:r>
      <w:r w:rsidR="006A3869">
        <w:t>, it is foolish for anyone to say he cannot govern</w:t>
      </w:r>
      <w:r w:rsidR="00281400">
        <w:t xml:space="preserve"> his</w:t>
      </w:r>
      <w:r w:rsidR="00022E4D">
        <w:t xml:space="preserve"> passions if he wills </w:t>
      </w:r>
      <w:r w:rsidR="00FD3BBE">
        <w:t>to do so.</w:t>
      </w:r>
    </w:p>
    <w:p w14:paraId="5F80B653" w14:textId="2973B242" w:rsidR="004779C2" w:rsidRPr="004779C2" w:rsidRDefault="00067F66" w:rsidP="004779C2">
      <w:r>
        <w:t xml:space="preserve">On the other hand, uneasiness is not an unproblematic epistemological construct. </w:t>
      </w:r>
      <w:r w:rsidR="007B6694">
        <w:t>W</w:t>
      </w:r>
      <w:r>
        <w:t>hen Locke posits it as the key to answering the problem of the passions, he leaves emotional experience open to an indeterminacy that would have been unthinkable in a classical context. For the newly modern turn has at its core an unsettled compulsion that can only be glanced at indirectly and must be sorted out by the mind’s active reflection—that is, in retrospect.</w:t>
      </w:r>
      <w:r>
        <w:rPr>
          <w:rStyle w:val="EndnoteReference"/>
        </w:rPr>
        <w:endnoteReference w:id="25"/>
      </w:r>
      <w:r w:rsidR="004779C2">
        <w:rPr>
          <w:i/>
        </w:rPr>
        <w:t xml:space="preserve">An Essay </w:t>
      </w:r>
      <w:r w:rsidR="004779C2">
        <w:t xml:space="preserve">never resolves the conflict between uneasiness as a solution and uneasiness as a problematic, but the contradiction itself is fruitful. Classical passions were unmistakable because they were figured as immediate—in Humean terms, the classical model assumed a necessary </w:t>
      </w:r>
      <w:r w:rsidR="004779C2">
        <w:lastRenderedPageBreak/>
        <w:t>connection between what one felt and the emotion one attached to it.</w:t>
      </w:r>
      <w:r w:rsidR="00D43E9E">
        <w:rPr>
          <w:rStyle w:val="EndnoteReference"/>
        </w:rPr>
        <w:endnoteReference w:id="26"/>
      </w:r>
      <w:r w:rsidR="004779C2">
        <w:t xml:space="preserve"> </w:t>
      </w:r>
      <w:r w:rsidR="00641158">
        <w:t xml:space="preserve">On the whole, Locke’s epistemological model lays waste to the construct of immediate perceptions. There are, however, places where </w:t>
      </w:r>
      <w:r w:rsidR="00641158">
        <w:rPr>
          <w:i/>
        </w:rPr>
        <w:t>An Essay</w:t>
      </w:r>
      <w:r w:rsidR="00641158">
        <w:t xml:space="preserve"> comes down on both sides of the immediate/mediate divide, and those places, not coincidentally, are also conceptually relevant to his arguments regarding the passions.</w:t>
      </w:r>
    </w:p>
    <w:p w14:paraId="67DF7BFF" w14:textId="26650A41" w:rsidR="006A3869" w:rsidRDefault="004779C2" w:rsidP="001F57BF">
      <w:r>
        <w:t>The crux of Locke’s own cognitive dissonance lies in the question of whether the transmission of ideas through the senses is, at any level, directed by God or if all Lockean ideas come from experience alone.</w:t>
      </w:r>
      <w:r w:rsidR="006E0C37">
        <w:t xml:space="preserve"> While</w:t>
      </w:r>
      <w:r>
        <w:t xml:space="preserve"> Nancy</w:t>
      </w:r>
      <w:r w:rsidR="006E0C37">
        <w:t xml:space="preserve"> Armstrong and</w:t>
      </w:r>
      <w:r>
        <w:t xml:space="preserve"> Leonard</w:t>
      </w:r>
      <w:r w:rsidR="006E0C37">
        <w:t xml:space="preserve"> Tennenhouse suggest that Locke’s argument against innate ideas also constitutes a fully executed theoretical move, “primarily intent on taking the concepts of good and evil away from God and placing them squarely in the domain of human understanding,” when i</w:t>
      </w:r>
      <w:r w:rsidR="009C2BF9">
        <w:t>t comes to the passions, this assertion goes</w:t>
      </w:r>
      <w:r w:rsidR="006E0C37">
        <w:t xml:space="preserve"> one step too far.</w:t>
      </w:r>
      <w:r w:rsidR="00A64EAF">
        <w:rPr>
          <w:rStyle w:val="EndnoteReference"/>
        </w:rPr>
        <w:endnoteReference w:id="27"/>
      </w:r>
      <w:r w:rsidR="006E0C37">
        <w:t xml:space="preserve"> </w:t>
      </w:r>
      <w:r w:rsidR="00173296">
        <w:t>E</w:t>
      </w:r>
      <w:r w:rsidR="006E0C37">
        <w:t xml:space="preserve">ven as </w:t>
      </w:r>
      <w:r w:rsidR="00FD3BBE">
        <w:t>Locke</w:t>
      </w:r>
      <w:r w:rsidR="00022E4D">
        <w:t xml:space="preserve"> sets in motion</w:t>
      </w:r>
      <w:r w:rsidR="006E0C37">
        <w:t xml:space="preserve"> a systematic secularization of emotional experience</w:t>
      </w:r>
      <w:r w:rsidR="003D4FA5">
        <w:t>,</w:t>
      </w:r>
      <w:r w:rsidR="006E0C37">
        <w:t xml:space="preserve"> </w:t>
      </w:r>
      <w:r>
        <w:t>he</w:t>
      </w:r>
      <w:r w:rsidR="00FD3BBE">
        <w:t xml:space="preserve"> problematizes a</w:t>
      </w:r>
      <w:r w:rsidR="006E0C37">
        <w:t xml:space="preserve"> wholly skeptical reading </w:t>
      </w:r>
      <w:r w:rsidR="00A64EAF">
        <w:t>by</w:t>
      </w:r>
      <w:r w:rsidR="006E0C37">
        <w:t xml:space="preserve"> mai</w:t>
      </w:r>
      <w:r w:rsidR="00022E4D">
        <w:t xml:space="preserve">ntaining that some qualities </w:t>
      </w:r>
      <w:r w:rsidR="00022E4D">
        <w:rPr>
          <w:i/>
        </w:rPr>
        <w:t>are</w:t>
      </w:r>
      <w:r w:rsidR="006E0C37">
        <w:t xml:space="preserve"> woven into the fabric of </w:t>
      </w:r>
      <w:r>
        <w:t>sensation</w:t>
      </w:r>
      <w:r w:rsidR="006E0C37">
        <w:t>. In chapter vii of Book II, for instance, he attributes the immediacy of such communication to “The infinite Wise Author of our being,” who:</w:t>
      </w:r>
    </w:p>
    <w:p w14:paraId="03A4CA6B" w14:textId="2CFA7453" w:rsidR="006E0C37" w:rsidRDefault="006E0C37" w:rsidP="00377107">
      <w:pPr>
        <w:pStyle w:val="BlockQuote"/>
      </w:pPr>
      <w:r>
        <w:t>having given us</w:t>
      </w:r>
      <w:r w:rsidR="00377107">
        <w:t xml:space="preserve"> </w:t>
      </w:r>
      <w:r>
        <w:t>…</w:t>
      </w:r>
      <w:r w:rsidR="00377107">
        <w:t xml:space="preserve"> </w:t>
      </w:r>
      <w:r>
        <w:t xml:space="preserve">a power to our </w:t>
      </w:r>
      <w:r w:rsidR="008D7107">
        <w:t>M</w:t>
      </w:r>
      <w:r>
        <w:t xml:space="preserve">inds in several Instances, to chuse amongst its </w:t>
      </w:r>
      <w:r>
        <w:rPr>
          <w:i/>
        </w:rPr>
        <w:t>Ideas</w:t>
      </w:r>
      <w:r>
        <w:t xml:space="preserve">, which it will think on, and to pursue the enquiry of this or that Subject with consideration and attention, to excite us to these Actions of thinking and motion, that we are capable of, has been pleased to join to several Thoughts, and several Sensations, a </w:t>
      </w:r>
      <w:r>
        <w:rPr>
          <w:i/>
        </w:rPr>
        <w:t>perception of Delight</w:t>
      </w:r>
      <w:r w:rsidR="003D4FA5">
        <w:t>.</w:t>
      </w:r>
      <w:r w:rsidR="00377107">
        <w:rPr>
          <w:rStyle w:val="EndnoteReference"/>
        </w:rPr>
        <w:endnoteReference w:id="28"/>
      </w:r>
      <w:r>
        <w:t xml:space="preserve"> </w:t>
      </w:r>
    </w:p>
    <w:p w14:paraId="63F62A1C" w14:textId="7B8C3D28" w:rsidR="006E0C37" w:rsidRDefault="0020269F" w:rsidP="00377107">
      <w:r>
        <w:t>Locke begins from</w:t>
      </w:r>
      <w:r w:rsidR="006E0C37">
        <w:t xml:space="preserve"> a premise of activity, wherein it is within the power of the mind to choose which of the ideas it will pursue and which it will eschew. As such, the mind judges on its own how to act in relation to the things that move our passions (i.e.</w:t>
      </w:r>
      <w:r w:rsidR="003D4FA5">
        <w:t>,</w:t>
      </w:r>
      <w:r w:rsidR="006E0C37">
        <w:t xml:space="preserve"> objects of sensation). But the power to choose is ultimately preempted by the pleasure of the Deity, who has made sure to </w:t>
      </w:r>
      <w:r w:rsidR="006E0C37">
        <w:lastRenderedPageBreak/>
        <w:t xml:space="preserve">hardwire the relationship between “several Sensations” and our perceptions of pleasure/delight and pain/uneasiness. Thus, the active powers of the mind are underwritten (at least in some instances) by a passive foundation, a deistic fail-safe buried within his empiricist approach to emotional feelings. Certain things </w:t>
      </w:r>
      <w:r w:rsidR="006E0C37">
        <w:rPr>
          <w:i/>
        </w:rPr>
        <w:t>must</w:t>
      </w:r>
      <w:r w:rsidR="006E0C37">
        <w:t xml:space="preserve"> give us pleasure and others </w:t>
      </w:r>
      <w:r w:rsidR="006E0C37">
        <w:rPr>
          <w:i/>
        </w:rPr>
        <w:t>must</w:t>
      </w:r>
      <w:r w:rsidR="006E0C37">
        <w:t xml:space="preserve"> produce pain in order for the system to work without either completely abandoning or who</w:t>
      </w:r>
      <w:r w:rsidR="00022E4D">
        <w:t>lly resorting to the premise of the first edition</w:t>
      </w:r>
      <w:r w:rsidR="00FD3BBE">
        <w:t>—</w:t>
      </w:r>
      <w:r w:rsidR="00022E4D">
        <w:t xml:space="preserve">the assumption </w:t>
      </w:r>
      <w:r w:rsidR="006E0C37">
        <w:t>that our wills are determined by a quasi-innate appreciation for the eternal truths of good and evil.</w:t>
      </w:r>
      <w:r w:rsidR="006E0C37">
        <w:rPr>
          <w:rStyle w:val="EndnoteReference"/>
        </w:rPr>
        <w:endnoteReference w:id="29"/>
      </w:r>
      <w:r w:rsidR="006E0C37">
        <w:t xml:space="preserve"> Locke splits the difference</w:t>
      </w:r>
      <w:r w:rsidR="00022E4D">
        <w:t xml:space="preserve"> in the second edition</w:t>
      </w:r>
      <w:r w:rsidR="006E0C37">
        <w:t xml:space="preserve"> by maintaining the existence of unquestioned good and evil while asserting that only in a select (but unidentified) set of objects is the relationship immediate, and it is on this account that it has “pleased our Wise Creator”</w:t>
      </w:r>
    </w:p>
    <w:p w14:paraId="75BA59B2" w14:textId="4E132B41" w:rsidR="006E0C37" w:rsidRDefault="006E0C37" w:rsidP="00102395">
      <w:pPr>
        <w:pStyle w:val="BlockQuote"/>
      </w:pPr>
      <w:r>
        <w:t xml:space="preserve">to annex to several Objects, and to the </w:t>
      </w:r>
      <w:r>
        <w:rPr>
          <w:i/>
        </w:rPr>
        <w:t xml:space="preserve">Ideas </w:t>
      </w:r>
      <w:r>
        <w:t>which we receive from them, as also to several of our Thoughts, a concomitant pleasure, and that in several Objects, to several degrees, that those Faculties which he had endowed us with, might not remain wholly idle, and unemploy’d by us</w:t>
      </w:r>
      <w:r w:rsidR="00060583">
        <w:t>.</w:t>
      </w:r>
      <w:r w:rsidR="00377107">
        <w:rPr>
          <w:rStyle w:val="EndnoteReference"/>
        </w:rPr>
        <w:endnoteReference w:id="30"/>
      </w:r>
      <w:r>
        <w:t xml:space="preserve"> </w:t>
      </w:r>
    </w:p>
    <w:p w14:paraId="09100697" w14:textId="576BBC16" w:rsidR="006E0C37" w:rsidRPr="009C2BF9" w:rsidRDefault="006E0C37" w:rsidP="00102395">
      <w:pPr>
        <w:pStyle w:val="Unindented"/>
        <w:rPr>
          <w:highlight w:val="yellow"/>
        </w:rPr>
      </w:pPr>
      <w:r>
        <w:t xml:space="preserve">Notice that the pleasure of the deity and </w:t>
      </w:r>
      <w:r w:rsidR="004779C2">
        <w:t>one’s</w:t>
      </w:r>
      <w:r>
        <w:t xml:space="preserve"> own pleasure are locked together in a chain of concomitancy from objects, to ideas, to thoughts. The wise creator has endowed objects with his/her pleasure and age</w:t>
      </w:r>
      <w:r w:rsidR="00D06145">
        <w:t>nts with faculties to discern that pleasure</w:t>
      </w:r>
      <w:r>
        <w:t xml:space="preserve"> correctly and to act accordingly. Moreover, “</w:t>
      </w:r>
      <w:r>
        <w:rPr>
          <w:i/>
        </w:rPr>
        <w:t>Pain</w:t>
      </w:r>
      <w:r>
        <w:t xml:space="preserve"> has the same efficacy and use to set us on work, that Pleasure has, we being as ready to employ our Faculties to avoid that, as to pursue this</w:t>
      </w:r>
      <w:r w:rsidR="00377107">
        <w:t>.</w:t>
      </w:r>
      <w:r>
        <w:t>”</w:t>
      </w:r>
      <w:r w:rsidR="00377107">
        <w:rPr>
          <w:rStyle w:val="EndnoteReference"/>
        </w:rPr>
        <w:endnoteReference w:id="31"/>
      </w:r>
      <w:r>
        <w:t xml:space="preserve"> This is significant because Locke identifies an explicit relationship between pleasure and pain, good and evil, and the passions, for “</w:t>
      </w:r>
      <w:r>
        <w:rPr>
          <w:i/>
        </w:rPr>
        <w:t xml:space="preserve">Pleasure </w:t>
      </w:r>
      <w:r>
        <w:t xml:space="preserve">and </w:t>
      </w:r>
      <w:r>
        <w:rPr>
          <w:i/>
        </w:rPr>
        <w:t>Pain</w:t>
      </w:r>
      <w:r>
        <w:t xml:space="preserve">, and that which causes them, Good and Evil, are the hinges on which our </w:t>
      </w:r>
      <w:r>
        <w:rPr>
          <w:i/>
        </w:rPr>
        <w:t xml:space="preserve">Passions </w:t>
      </w:r>
      <w:r>
        <w:t>tur</w:t>
      </w:r>
      <w:r w:rsidR="004779C2">
        <w:t>n</w:t>
      </w:r>
      <w:r w:rsidR="00377107">
        <w:t>.</w:t>
      </w:r>
      <w:r w:rsidR="004779C2">
        <w:t>”</w:t>
      </w:r>
      <w:r w:rsidR="00377107">
        <w:rPr>
          <w:rStyle w:val="EndnoteReference"/>
        </w:rPr>
        <w:endnoteReference w:id="32"/>
      </w:r>
      <w:r w:rsidR="004779C2">
        <w:t xml:space="preserve"> On these grounds, one</w:t>
      </w:r>
      <w:r>
        <w:t xml:space="preserve"> could make the case for an </w:t>
      </w:r>
      <w:r w:rsidR="004779C2">
        <w:t>undergirding organization of the</w:t>
      </w:r>
      <w:r>
        <w:t xml:space="preserve"> feelings of joy and sorrow because </w:t>
      </w:r>
      <w:r w:rsidR="00022E4D">
        <w:t>God</w:t>
      </w:r>
      <w:r>
        <w:t xml:space="preserve"> has given us faculties for correctly </w:t>
      </w:r>
      <w:r>
        <w:lastRenderedPageBreak/>
        <w:t xml:space="preserve">judging the </w:t>
      </w:r>
      <w:r w:rsidR="00022E4D">
        <w:t xml:space="preserve">good/evil and pleasure/pain inherent in </w:t>
      </w:r>
      <w:r w:rsidR="004779C2">
        <w:t xml:space="preserve">objects. </w:t>
      </w:r>
      <w:r>
        <w:t>This would be plain if Loc</w:t>
      </w:r>
      <w:r w:rsidR="00022E4D">
        <w:t>ke used pleasure/pain and</w:t>
      </w:r>
      <w:r>
        <w:t xml:space="preserve"> good</w:t>
      </w:r>
      <w:r w:rsidR="00022E4D">
        <w:t>/</w:t>
      </w:r>
      <w:r>
        <w:t xml:space="preserve">evil as the </w:t>
      </w:r>
      <w:r w:rsidR="00022E4D">
        <w:t xml:space="preserve">only </w:t>
      </w:r>
      <w:r>
        <w:t>measure</w:t>
      </w:r>
      <w:r w:rsidR="00022E4D">
        <w:t>s for</w:t>
      </w:r>
      <w:r>
        <w:t xml:space="preserve"> our ideas of the passions, but he adds a level of abstraction by introducing “uneasiness”</w:t>
      </w:r>
      <w:r w:rsidR="00022E4D">
        <w:t xml:space="preserve"> and “delight”</w:t>
      </w:r>
      <w:r>
        <w:t xml:space="preserve"> as loosely analogous to pain and</w:t>
      </w:r>
      <w:r w:rsidR="00022E4D">
        <w:t xml:space="preserve"> pleasure, respectively.</w:t>
      </w:r>
    </w:p>
    <w:p w14:paraId="46D98B53" w14:textId="5B1B6F95" w:rsidR="00AC3606" w:rsidRDefault="00D25414" w:rsidP="001F57BF">
      <w:r w:rsidRPr="00D25414">
        <w:t>Prior to describing the motivations of the will and causes of human action in chapter xxi, Locke sets aside five pages for a discussion “Of Modes of Pleasure and Pain”</w:t>
      </w:r>
      <w:r w:rsidR="00C56874">
        <w:t xml:space="preserve"> (Book II, chapter xx),</w:t>
      </w:r>
      <w:r w:rsidRPr="00D25414">
        <w:t xml:space="preserve"> the intent of which is to explain how simple ideas</w:t>
      </w:r>
      <w:r w:rsidR="00FD3BBE">
        <w:t xml:space="preserve"> coalesce to form complex ones</w:t>
      </w:r>
      <w:r w:rsidR="00291A01">
        <w:t>,</w:t>
      </w:r>
      <w:r w:rsidR="00C56874">
        <w:t xml:space="preserve"> through</w:t>
      </w:r>
      <w:r w:rsidR="00291A01">
        <w:t xml:space="preserve"> a</w:t>
      </w:r>
      <w:r w:rsidR="00FD3BBE">
        <w:t xml:space="preserve"> </w:t>
      </w:r>
      <w:r w:rsidRPr="00D25414">
        <w:t xml:space="preserve">process </w:t>
      </w:r>
      <w:r w:rsidR="00C56874">
        <w:t xml:space="preserve">of </w:t>
      </w:r>
      <w:r w:rsidRPr="00D25414">
        <w:t>sensation, ref</w:t>
      </w:r>
      <w:r w:rsidR="00C56874">
        <w:t>lection, and denomination.</w:t>
      </w:r>
      <w:r w:rsidR="00E73670">
        <w:rPr>
          <w:rStyle w:val="EndnoteReference"/>
        </w:rPr>
        <w:endnoteReference w:id="33"/>
      </w:r>
      <w:r w:rsidR="00C56874">
        <w:t xml:space="preserve"> </w:t>
      </w:r>
      <w:r w:rsidR="000F4955">
        <w:t>A</w:t>
      </w:r>
      <w:r w:rsidR="005757A7">
        <w:t>ll the examples he provides deal with the passions</w:t>
      </w:r>
      <w:r w:rsidRPr="00D25414">
        <w:t>.</w:t>
      </w:r>
      <w:r>
        <w:t xml:space="preserve"> I</w:t>
      </w:r>
      <w:r w:rsidR="00711AC0">
        <w:t>n chapter xx</w:t>
      </w:r>
      <w:r>
        <w:t>,</w:t>
      </w:r>
      <w:r w:rsidR="00711AC0">
        <w:t xml:space="preserve"> the initial sensations that </w:t>
      </w:r>
      <w:r w:rsidR="008D7107">
        <w:t xml:space="preserve">will </w:t>
      </w:r>
      <w:r w:rsidR="00711AC0">
        <w:t>eventually become our passions “cannot be described, nor their Names defined</w:t>
      </w:r>
      <w:r w:rsidR="00AA3855">
        <w:t>.</w:t>
      </w:r>
      <w:r>
        <w:t>”</w:t>
      </w:r>
      <w:r w:rsidR="00AA3855">
        <w:rPr>
          <w:rStyle w:val="EndnoteReference"/>
        </w:rPr>
        <w:endnoteReference w:id="34"/>
      </w:r>
      <w:r>
        <w:t xml:space="preserve"> As such</w:t>
      </w:r>
      <w:r w:rsidR="00524A91">
        <w:t>, w</w:t>
      </w:r>
      <w:r w:rsidR="00C56874">
        <w:t>hat one</w:t>
      </w:r>
      <w:r w:rsidR="00711AC0">
        <w:t xml:space="preserve"> </w:t>
      </w:r>
      <w:r w:rsidR="00711AC0" w:rsidRPr="00711AC0">
        <w:t>feel</w:t>
      </w:r>
      <w:r w:rsidR="00C56874">
        <w:t>s</w:t>
      </w:r>
      <w:r w:rsidR="00711AC0">
        <w:t xml:space="preserve"> in the agitational moment of uneasiness or delight is never exactly the same </w:t>
      </w:r>
      <w:r w:rsidR="00524A91">
        <w:t xml:space="preserve">as the </w:t>
      </w:r>
      <w:r w:rsidR="00711AC0">
        <w:t xml:space="preserve">thing </w:t>
      </w:r>
      <w:r w:rsidR="00C56874">
        <w:t>to which one</w:t>
      </w:r>
      <w:r w:rsidR="00524A91">
        <w:t xml:space="preserve"> r</w:t>
      </w:r>
      <w:r>
        <w:t>efer</w:t>
      </w:r>
      <w:r w:rsidR="00C56874">
        <w:t>s</w:t>
      </w:r>
      <w:r>
        <w:t xml:space="preserve"> with the </w:t>
      </w:r>
      <w:r w:rsidR="00524A91">
        <w:t xml:space="preserve">signifier </w:t>
      </w:r>
      <w:r w:rsidR="00C56874">
        <w:t>of love, hate, joy, sorrow, etc</w:t>
      </w:r>
      <w:r w:rsidR="00711AC0">
        <w:t>.</w:t>
      </w:r>
    </w:p>
    <w:p w14:paraId="22C2B909" w14:textId="343C596C" w:rsidR="009C2BF9" w:rsidRPr="009C2BF9" w:rsidRDefault="00711AC0" w:rsidP="00D25414">
      <w:pPr>
        <w:rPr>
          <w:highlight w:val="yellow"/>
        </w:rPr>
      </w:pPr>
      <w:r>
        <w:t xml:space="preserve">Take love, for example: “any one reflecting upon the thought he has of the Delight, which any present, or absent thing is apt to produce in him, has the </w:t>
      </w:r>
      <w:r>
        <w:rPr>
          <w:i/>
        </w:rPr>
        <w:t xml:space="preserve">Idea </w:t>
      </w:r>
      <w:r>
        <w:t xml:space="preserve">we call </w:t>
      </w:r>
      <w:r>
        <w:rPr>
          <w:i/>
        </w:rPr>
        <w:t>Love</w:t>
      </w:r>
      <w:r w:rsidR="00AA3855">
        <w:t>.</w:t>
      </w:r>
      <w:r>
        <w:t>”</w:t>
      </w:r>
      <w:r w:rsidR="00AA3855">
        <w:rPr>
          <w:rStyle w:val="EndnoteReference"/>
        </w:rPr>
        <w:endnoteReference w:id="35"/>
      </w:r>
      <w:r>
        <w:t xml:space="preserve"> While this is offered as a self-explanatory d</w:t>
      </w:r>
      <w:r w:rsidR="005E6466">
        <w:t>efinition</w:t>
      </w:r>
      <w:r>
        <w:t>, the full extent of</w:t>
      </w:r>
      <w:r w:rsidR="00FD3BBE">
        <w:t xml:space="preserve"> the conceptual model it</w:t>
      </w:r>
      <w:r>
        <w:t xml:space="preserve"> suggests is only evident after some unpacking. Note that </w:t>
      </w:r>
      <w:r w:rsidR="0020269F">
        <w:t xml:space="preserve">Locke’s </w:t>
      </w:r>
      <w:r>
        <w:t>“love” is not a passion in the c</w:t>
      </w:r>
      <w:r w:rsidR="00524A91">
        <w:t>lassical sense</w:t>
      </w:r>
      <w:r w:rsidR="00C56874">
        <w:t xml:space="preserve"> of an immediate perception</w:t>
      </w:r>
      <w:r w:rsidR="00524A91">
        <w:t>; it is</w:t>
      </w:r>
      <w:r>
        <w:t xml:space="preserve"> a name for the endpoint of a logical process wherein a thing (by virtue of its presence, if good, or absence, if evil) triggers in us an “internal Sensation” as we reflect upon the quality of the thing and our relationship to it</w:t>
      </w:r>
      <w:r w:rsidR="00D06145">
        <w:t xml:space="preserve">, “for when a Man declares in Autumn, when he is eating them, or in Spring, when there are none, that he </w:t>
      </w:r>
      <w:r w:rsidR="00D06145">
        <w:rPr>
          <w:i/>
        </w:rPr>
        <w:t>loves</w:t>
      </w:r>
      <w:r w:rsidR="00D06145">
        <w:t xml:space="preserve"> Grapes, it is no more, but that the taste of Grapes delights him; let an alteration of Health or Constitution destroy the delight of their Taste, and he then can be said to </w:t>
      </w:r>
      <w:r w:rsidR="00D06145">
        <w:rPr>
          <w:i/>
        </w:rPr>
        <w:t xml:space="preserve">love </w:t>
      </w:r>
      <w:r w:rsidR="00D06145">
        <w:t>Grapes no longer</w:t>
      </w:r>
      <w:r w:rsidR="00AA3855">
        <w:t>.</w:t>
      </w:r>
      <w:r w:rsidR="00D06145">
        <w:t>”</w:t>
      </w:r>
      <w:r w:rsidR="00AA3855">
        <w:rPr>
          <w:rStyle w:val="EndnoteReference"/>
        </w:rPr>
        <w:endnoteReference w:id="36"/>
      </w:r>
      <w:r w:rsidR="00D06145">
        <w:t xml:space="preserve"> </w:t>
      </w:r>
      <w:r>
        <w:t>In the case of sorrow, the relationship is stated more directly</w:t>
      </w:r>
      <w:r w:rsidR="00291A01">
        <w:t>:</w:t>
      </w:r>
      <w:r>
        <w:t xml:space="preserve"> “</w:t>
      </w:r>
      <w:r>
        <w:rPr>
          <w:i/>
        </w:rPr>
        <w:t>Sorrow</w:t>
      </w:r>
      <w:r>
        <w:t xml:space="preserve"> is uneasiness in the Mind, upon the </w:t>
      </w:r>
      <w:r>
        <w:lastRenderedPageBreak/>
        <w:t>thought of a Good lost, which might have been enjoy’d longer; or the sense of a present Evil</w:t>
      </w:r>
      <w:r w:rsidR="00FB6C70">
        <w:t>.</w:t>
      </w:r>
      <w:r>
        <w:t>”</w:t>
      </w:r>
      <w:r w:rsidR="00FB6C70">
        <w:rPr>
          <w:rStyle w:val="EndnoteReference"/>
        </w:rPr>
        <w:endnoteReference w:id="37"/>
      </w:r>
      <w:r>
        <w:t xml:space="preserve"> The indescribable moment of delight/uneasiness in either case is prioritized as the </w:t>
      </w:r>
      <w:r w:rsidR="009C2BF9">
        <w:t>impetus that compels us to</w:t>
      </w:r>
      <w:r>
        <w:t xml:space="preserve"> “form to ourselves the </w:t>
      </w:r>
      <w:r>
        <w:rPr>
          <w:i/>
        </w:rPr>
        <w:t>Ideas</w:t>
      </w:r>
      <w:r w:rsidR="00DF7CF5">
        <w:t xml:space="preserve"> of our</w:t>
      </w:r>
      <w:r>
        <w:t xml:space="preserve"> </w:t>
      </w:r>
      <w:r>
        <w:rPr>
          <w:i/>
        </w:rPr>
        <w:t>Passions</w:t>
      </w:r>
      <w:r w:rsidR="00FB6C70">
        <w:t>.</w:t>
      </w:r>
      <w:r>
        <w:t>”</w:t>
      </w:r>
      <w:r w:rsidR="00FB6C70">
        <w:rPr>
          <w:rStyle w:val="EndnoteReference"/>
        </w:rPr>
        <w:endnoteReference w:id="38"/>
      </w:r>
      <w:r>
        <w:t xml:space="preserve"> In Locke’s analysis, love and sorrow are expressly not agents that direct our action; they are</w:t>
      </w:r>
      <w:r w:rsidR="00DE5D63">
        <w:t xml:space="preserve"> instead</w:t>
      </w:r>
      <w:r>
        <w:t xml:space="preserve"> the names we use for coming to terms with the agitational uncertainties</w:t>
      </w:r>
      <w:r w:rsidR="00524A91">
        <w:t xml:space="preserve"> </w:t>
      </w:r>
      <w:r>
        <w:t>inhere</w:t>
      </w:r>
      <w:r w:rsidR="009C2BF9">
        <w:t>nt to experience itself</w:t>
      </w:r>
      <w:r>
        <w:t>,</w:t>
      </w:r>
      <w:r w:rsidR="009C2BF9">
        <w:t xml:space="preserve"> and</w:t>
      </w:r>
      <w:r>
        <w:t xml:space="preserve"> we only </w:t>
      </w:r>
      <w:r w:rsidRPr="00711AC0">
        <w:t>know</w:t>
      </w:r>
      <w:r w:rsidR="00D06145">
        <w:t xml:space="preserve"> what to call the </w:t>
      </w:r>
      <w:r>
        <w:t xml:space="preserve">uneasiness after we have assembled the associational relationships that allow us to make </w:t>
      </w:r>
      <w:r w:rsidR="00524A91">
        <w:t>a determination</w:t>
      </w:r>
      <w:r>
        <w:t xml:space="preserve">. If the “Wise Author of our being” has, indeed, predetermined the quality that </w:t>
      </w:r>
      <w:r w:rsidR="00C56874">
        <w:t>one is</w:t>
      </w:r>
      <w:r>
        <w:t xml:space="preserve"> supposed to receive from the things that move </w:t>
      </w:r>
      <w:r w:rsidR="00C56874">
        <w:t>the</w:t>
      </w:r>
      <w:r>
        <w:t xml:space="preserve"> passions (and Locke never rules out the possibility that </w:t>
      </w:r>
      <w:r w:rsidR="00F253EE">
        <w:t>h</w:t>
      </w:r>
      <w:r>
        <w:t>e has), there’s no way to tell, at the point of agitation</w:t>
      </w:r>
      <w:r w:rsidR="009C2BF9">
        <w:t>al uneasiness/delight</w:t>
      </w:r>
      <w:r>
        <w:t xml:space="preserve">, what it is. Only after </w:t>
      </w:r>
      <w:r w:rsidR="00C56874">
        <w:t>the</w:t>
      </w:r>
      <w:r>
        <w:t xml:space="preserve"> faculties of </w:t>
      </w:r>
      <w:r w:rsidR="00C56874">
        <w:t>understanding and</w:t>
      </w:r>
      <w:r>
        <w:t xml:space="preserve"> will</w:t>
      </w:r>
      <w:r w:rsidR="00C56874">
        <w:t xml:space="preserve"> are employed</w:t>
      </w:r>
      <w:r>
        <w:t xml:space="preserve"> can </w:t>
      </w:r>
      <w:r w:rsidR="00C56874">
        <w:t>one recognize the idea that uneasiness harbors</w:t>
      </w:r>
      <w:r>
        <w:t xml:space="preserve"> (a lost good or apparent evil) and assign</w:t>
      </w:r>
      <w:r w:rsidR="00DE5D63">
        <w:t xml:space="preserve"> to</w:t>
      </w:r>
      <w:r>
        <w:t xml:space="preserve"> it an emotional appellation—</w:t>
      </w:r>
      <w:r w:rsidR="00524A91">
        <w:t>“</w:t>
      </w:r>
      <w:r>
        <w:t>love</w:t>
      </w:r>
      <w:r w:rsidR="00524A91">
        <w:t>”</w:t>
      </w:r>
      <w:r>
        <w:t xml:space="preserve"> or </w:t>
      </w:r>
      <w:r w:rsidR="00524A91">
        <w:t>“</w:t>
      </w:r>
      <w:r>
        <w:t>sorrow</w:t>
      </w:r>
      <w:r w:rsidR="00524A91">
        <w:t>.”</w:t>
      </w:r>
    </w:p>
    <w:p w14:paraId="2341457E" w14:textId="34D3F488" w:rsidR="00711AC0" w:rsidRPr="00711AC0" w:rsidRDefault="00711AC0" w:rsidP="001F57BF">
      <w:pPr>
        <w:rPr>
          <w:rFonts w:cs="Times New Roman"/>
          <w:color w:val="auto"/>
          <w:szCs w:val="24"/>
        </w:rPr>
      </w:pPr>
      <w:r w:rsidRPr="00711AC0">
        <w:rPr>
          <w:rFonts w:cs="Times New Roman"/>
          <w:color w:val="auto"/>
          <w:szCs w:val="24"/>
        </w:rPr>
        <w:t>The L</w:t>
      </w:r>
      <w:r w:rsidR="00524A91">
        <w:rPr>
          <w:rFonts w:cs="Times New Roman"/>
          <w:color w:val="auto"/>
          <w:szCs w:val="24"/>
        </w:rPr>
        <w:t>ockean mode I describe</w:t>
      </w:r>
      <w:r w:rsidRPr="00711AC0">
        <w:rPr>
          <w:rFonts w:cs="Times New Roman"/>
          <w:color w:val="auto"/>
          <w:szCs w:val="24"/>
        </w:rPr>
        <w:t xml:space="preserve"> is the modern epistemological procedure for how emotions work—from sensation to deno</w:t>
      </w:r>
      <w:r>
        <w:rPr>
          <w:rFonts w:cs="Times New Roman"/>
          <w:color w:val="auto"/>
          <w:szCs w:val="24"/>
        </w:rPr>
        <w:t>mination</w:t>
      </w:r>
      <w:r w:rsidR="00120D94">
        <w:rPr>
          <w:rFonts w:cs="Times New Roman"/>
          <w:color w:val="auto"/>
          <w:szCs w:val="24"/>
        </w:rPr>
        <w:t>,</w:t>
      </w:r>
      <w:r>
        <w:rPr>
          <w:rFonts w:cs="Times New Roman"/>
          <w:color w:val="auto"/>
          <w:szCs w:val="24"/>
        </w:rPr>
        <w:t xml:space="preserve"> by way of reflection.</w:t>
      </w:r>
      <w:r w:rsidRPr="00711AC0">
        <w:rPr>
          <w:rFonts w:cs="Times New Roman"/>
          <w:color w:val="auto"/>
          <w:szCs w:val="24"/>
        </w:rPr>
        <w:t xml:space="preserve"> Yet, this summative evaluation is not the most important consequence of paying closer attention to </w:t>
      </w:r>
      <w:r w:rsidR="00DF7CF5">
        <w:rPr>
          <w:rFonts w:cs="Times New Roman"/>
          <w:color w:val="auto"/>
          <w:szCs w:val="24"/>
        </w:rPr>
        <w:t xml:space="preserve">Locke’s theory of emotion in </w:t>
      </w:r>
      <w:r w:rsidR="00524A91">
        <w:rPr>
          <w:rFonts w:cs="Times New Roman"/>
          <w:color w:val="auto"/>
          <w:szCs w:val="24"/>
        </w:rPr>
        <w:t>Book II</w:t>
      </w:r>
      <w:r w:rsidR="00045F9D">
        <w:rPr>
          <w:rFonts w:cs="Times New Roman"/>
          <w:color w:val="auto"/>
          <w:szCs w:val="24"/>
        </w:rPr>
        <w:t>,</w:t>
      </w:r>
      <w:r w:rsidR="00524A91">
        <w:rPr>
          <w:rFonts w:cs="Times New Roman"/>
          <w:color w:val="auto"/>
          <w:szCs w:val="24"/>
        </w:rPr>
        <w:t xml:space="preserve"> </w:t>
      </w:r>
      <w:r w:rsidRPr="00711AC0">
        <w:rPr>
          <w:rFonts w:cs="Times New Roman"/>
          <w:color w:val="auto"/>
          <w:szCs w:val="24"/>
        </w:rPr>
        <w:t>chapter xx, for implicit within the process of passion’s modern logic is its problematic dependence upon uneasiness as an indeterminate agitation that, nonetheless, determines the will to form for itself the meaning and nature of things. In that fraught relationship between the freedom of uneasiness and the strictures of rational judgment, passivity and activity lose some</w:t>
      </w:r>
      <w:r>
        <w:rPr>
          <w:rFonts w:cs="Times New Roman"/>
          <w:color w:val="auto"/>
          <w:szCs w:val="24"/>
        </w:rPr>
        <w:t>thing of their polar opposition as</w:t>
      </w:r>
      <w:r w:rsidRPr="00711AC0">
        <w:rPr>
          <w:rFonts w:cs="Times New Roman"/>
          <w:color w:val="auto"/>
          <w:szCs w:val="24"/>
        </w:rPr>
        <w:t xml:space="preserve"> agents become patients and patients </w:t>
      </w:r>
      <w:r>
        <w:rPr>
          <w:rFonts w:cs="Times New Roman"/>
          <w:color w:val="auto"/>
          <w:szCs w:val="24"/>
        </w:rPr>
        <w:t>assume agency</w:t>
      </w:r>
      <w:r w:rsidRPr="00711AC0">
        <w:rPr>
          <w:rFonts w:cs="Times New Roman"/>
          <w:color w:val="auto"/>
          <w:szCs w:val="24"/>
        </w:rPr>
        <w:t>.</w:t>
      </w:r>
      <w:r>
        <w:rPr>
          <w:rFonts w:cs="Times New Roman"/>
          <w:color w:val="auto"/>
          <w:szCs w:val="24"/>
        </w:rPr>
        <w:t xml:space="preserve"> Moreover</w:t>
      </w:r>
      <w:r w:rsidRPr="00711AC0">
        <w:rPr>
          <w:rFonts w:cs="Times New Roman"/>
          <w:color w:val="auto"/>
          <w:szCs w:val="24"/>
        </w:rPr>
        <w:t>, emotional experiences lose their distinguishing “feels”</w:t>
      </w:r>
      <w:r w:rsidRPr="00524A91">
        <w:t xml:space="preserve"> in the </w:t>
      </w:r>
      <w:r w:rsidR="00524A91">
        <w:t xml:space="preserve">reflexive relationship </w:t>
      </w:r>
      <w:r w:rsidRPr="00524A91">
        <w:t>of delight/uneasiness</w:t>
      </w:r>
      <w:r w:rsidR="00524A91">
        <w:t xml:space="preserve">; </w:t>
      </w:r>
      <w:r w:rsidRPr="00524A91">
        <w:t xml:space="preserve">it is now not only possible but </w:t>
      </w:r>
      <w:r w:rsidR="001D6962">
        <w:t xml:space="preserve">also </w:t>
      </w:r>
      <w:r w:rsidRPr="00524A91">
        <w:t>natural for emotions to overlap</w:t>
      </w:r>
      <w:r w:rsidRPr="00711AC0">
        <w:rPr>
          <w:rFonts w:cs="Times New Roman"/>
          <w:color w:val="auto"/>
          <w:szCs w:val="24"/>
        </w:rPr>
        <w:t xml:space="preserve"> under extreme conditions.</w:t>
      </w:r>
    </w:p>
    <w:p w14:paraId="1A13C798" w14:textId="2C3E3019" w:rsidR="00711AC0" w:rsidRDefault="00C56874" w:rsidP="001F57BF">
      <w:pPr>
        <w:rPr>
          <w:rFonts w:cs="Times New Roman"/>
          <w:color w:val="auto"/>
          <w:szCs w:val="24"/>
        </w:rPr>
      </w:pPr>
      <w:r>
        <w:rPr>
          <w:rFonts w:cs="Times New Roman"/>
          <w:color w:val="auto"/>
          <w:szCs w:val="24"/>
        </w:rPr>
        <w:lastRenderedPageBreak/>
        <w:t>In turning to analy</w:t>
      </w:r>
      <w:r w:rsidR="001D6962">
        <w:rPr>
          <w:rFonts w:cs="Times New Roman"/>
          <w:color w:val="auto"/>
          <w:szCs w:val="24"/>
        </w:rPr>
        <w:t>ze</w:t>
      </w:r>
      <w:r>
        <w:rPr>
          <w:rFonts w:cs="Times New Roman"/>
          <w:color w:val="auto"/>
          <w:szCs w:val="24"/>
        </w:rPr>
        <w:t xml:space="preserve"> </w:t>
      </w:r>
      <w:r w:rsidR="00711AC0">
        <w:rPr>
          <w:rFonts w:cs="Times New Roman"/>
          <w:i/>
          <w:color w:val="auto"/>
          <w:szCs w:val="24"/>
        </w:rPr>
        <w:t>The Spectator</w:t>
      </w:r>
      <w:r w:rsidR="00711AC0">
        <w:rPr>
          <w:rFonts w:cs="Times New Roman"/>
          <w:color w:val="auto"/>
          <w:szCs w:val="24"/>
        </w:rPr>
        <w:t xml:space="preserve"> </w:t>
      </w:r>
      <w:r>
        <w:rPr>
          <w:rFonts w:cs="Times New Roman"/>
          <w:color w:val="auto"/>
          <w:szCs w:val="24"/>
        </w:rPr>
        <w:t>as a pivotal text for</w:t>
      </w:r>
      <w:r w:rsidR="00D43E9E">
        <w:rPr>
          <w:rFonts w:cs="Times New Roman"/>
          <w:color w:val="auto"/>
          <w:szCs w:val="24"/>
        </w:rPr>
        <w:t xml:space="preserve"> observing</w:t>
      </w:r>
      <w:r>
        <w:rPr>
          <w:rFonts w:cs="Times New Roman"/>
          <w:color w:val="auto"/>
          <w:szCs w:val="24"/>
        </w:rPr>
        <w:t xml:space="preserve"> the development of</w:t>
      </w:r>
      <w:r w:rsidR="00524A91">
        <w:rPr>
          <w:rFonts w:cs="Times New Roman"/>
          <w:color w:val="auto"/>
          <w:szCs w:val="24"/>
        </w:rPr>
        <w:t xml:space="preserve"> eighteenth-century</w:t>
      </w:r>
      <w:r>
        <w:rPr>
          <w:rFonts w:cs="Times New Roman"/>
          <w:color w:val="auto"/>
          <w:szCs w:val="24"/>
        </w:rPr>
        <w:t xml:space="preserve"> theorizations of the passions,</w:t>
      </w:r>
      <w:r w:rsidR="00711AC0">
        <w:rPr>
          <w:rFonts w:cs="Times New Roman"/>
          <w:color w:val="auto"/>
          <w:szCs w:val="24"/>
        </w:rPr>
        <w:t xml:space="preserve"> we </w:t>
      </w:r>
      <w:r>
        <w:rPr>
          <w:rFonts w:cs="Times New Roman"/>
          <w:color w:val="auto"/>
          <w:szCs w:val="24"/>
        </w:rPr>
        <w:t>might</w:t>
      </w:r>
      <w:r w:rsidR="00711AC0">
        <w:rPr>
          <w:rFonts w:cs="Times New Roman"/>
          <w:color w:val="auto"/>
          <w:szCs w:val="24"/>
        </w:rPr>
        <w:t xml:space="preserve"> also rephrase</w:t>
      </w:r>
      <w:r w:rsidR="00524A91">
        <w:rPr>
          <w:rFonts w:cs="Times New Roman"/>
          <w:color w:val="auto"/>
          <w:szCs w:val="24"/>
        </w:rPr>
        <w:t xml:space="preserve"> the question of </w:t>
      </w:r>
      <w:r>
        <w:rPr>
          <w:rFonts w:cs="Times New Roman"/>
          <w:color w:val="auto"/>
          <w:szCs w:val="24"/>
        </w:rPr>
        <w:t>this</w:t>
      </w:r>
      <w:r w:rsidR="00524A91">
        <w:rPr>
          <w:rFonts w:cs="Times New Roman"/>
          <w:color w:val="auto"/>
          <w:szCs w:val="24"/>
        </w:rPr>
        <w:t xml:space="preserve"> inquiry to</w:t>
      </w:r>
      <w:r>
        <w:rPr>
          <w:rFonts w:cs="Times New Roman"/>
          <w:color w:val="auto"/>
          <w:szCs w:val="24"/>
        </w:rPr>
        <w:t xml:space="preserve"> better</w:t>
      </w:r>
      <w:r w:rsidR="00524A91">
        <w:rPr>
          <w:rFonts w:cs="Times New Roman"/>
          <w:color w:val="auto"/>
          <w:szCs w:val="24"/>
        </w:rPr>
        <w:t xml:space="preserve"> reflect the implications</w:t>
      </w:r>
      <w:r w:rsidR="00711AC0">
        <w:rPr>
          <w:rFonts w:cs="Times New Roman"/>
          <w:color w:val="auto"/>
          <w:szCs w:val="24"/>
        </w:rPr>
        <w:t xml:space="preserve"> of Locke’s modal u</w:t>
      </w:r>
      <w:r>
        <w:rPr>
          <w:rFonts w:cs="Times New Roman"/>
          <w:color w:val="auto"/>
          <w:szCs w:val="24"/>
        </w:rPr>
        <w:t xml:space="preserve">neasiness, for </w:t>
      </w:r>
      <w:r w:rsidR="00D25414">
        <w:rPr>
          <w:rFonts w:cs="Times New Roman"/>
          <w:i/>
          <w:color w:val="auto"/>
          <w:szCs w:val="24"/>
        </w:rPr>
        <w:t>An Essay</w:t>
      </w:r>
      <w:r w:rsidR="00D018D4">
        <w:rPr>
          <w:rFonts w:cs="Times New Roman"/>
          <w:color w:val="auto"/>
          <w:szCs w:val="24"/>
        </w:rPr>
        <w:t>’s paradoxical</w:t>
      </w:r>
      <w:r w:rsidR="00711AC0">
        <w:rPr>
          <w:rFonts w:cs="Times New Roman"/>
          <w:color w:val="auto"/>
          <w:szCs w:val="24"/>
        </w:rPr>
        <w:t xml:space="preserve"> denial</w:t>
      </w:r>
      <w:r w:rsidR="00D018D4">
        <w:rPr>
          <w:rFonts w:cs="Times New Roman"/>
          <w:color w:val="auto"/>
          <w:szCs w:val="24"/>
        </w:rPr>
        <w:t xml:space="preserve"> and admission</w:t>
      </w:r>
      <w:r w:rsidR="00711AC0">
        <w:rPr>
          <w:rFonts w:cs="Times New Roman"/>
          <w:color w:val="auto"/>
          <w:szCs w:val="24"/>
        </w:rPr>
        <w:t xml:space="preserve"> of the fluidity of emotional exp</w:t>
      </w:r>
      <w:r w:rsidR="00524A91">
        <w:rPr>
          <w:rFonts w:cs="Times New Roman"/>
          <w:color w:val="auto"/>
          <w:szCs w:val="24"/>
        </w:rPr>
        <w:t xml:space="preserve">erience </w:t>
      </w:r>
      <w:r w:rsidR="00DF7CF5">
        <w:rPr>
          <w:rFonts w:cs="Times New Roman"/>
          <w:color w:val="auto"/>
          <w:szCs w:val="24"/>
        </w:rPr>
        <w:t>is</w:t>
      </w:r>
      <w:r w:rsidR="00524A91">
        <w:rPr>
          <w:rFonts w:cs="Times New Roman"/>
          <w:color w:val="auto"/>
          <w:szCs w:val="24"/>
        </w:rPr>
        <w:t xml:space="preserve"> apropos</w:t>
      </w:r>
      <w:r w:rsidR="00D25414">
        <w:rPr>
          <w:rFonts w:cs="Times New Roman"/>
          <w:color w:val="auto"/>
          <w:szCs w:val="24"/>
        </w:rPr>
        <w:t xml:space="preserve"> of the problem that eighteenth-</w:t>
      </w:r>
      <w:r w:rsidR="00711AC0">
        <w:rPr>
          <w:rFonts w:cs="Times New Roman"/>
          <w:color w:val="auto"/>
          <w:szCs w:val="24"/>
        </w:rPr>
        <w:t xml:space="preserve">century writers </w:t>
      </w:r>
      <w:r w:rsidR="00D25414">
        <w:rPr>
          <w:rFonts w:cs="Times New Roman"/>
          <w:color w:val="auto"/>
          <w:szCs w:val="24"/>
        </w:rPr>
        <w:t xml:space="preserve">faced in dealing with the </w:t>
      </w:r>
      <w:r w:rsidR="00711AC0">
        <w:rPr>
          <w:rFonts w:cs="Times New Roman"/>
          <w:color w:val="auto"/>
          <w:szCs w:val="24"/>
        </w:rPr>
        <w:t xml:space="preserve">passions. The question we must ask, then, </w:t>
      </w:r>
      <w:r>
        <w:rPr>
          <w:rFonts w:cs="Times New Roman"/>
          <w:color w:val="auto"/>
          <w:szCs w:val="24"/>
        </w:rPr>
        <w:t>is: How much attention should one</w:t>
      </w:r>
      <w:r w:rsidR="00711AC0">
        <w:rPr>
          <w:rFonts w:cs="Times New Roman"/>
          <w:color w:val="auto"/>
          <w:szCs w:val="24"/>
        </w:rPr>
        <w:t xml:space="preserve"> pay to the “sticky entanglements” of affect that are</w:t>
      </w:r>
      <w:r w:rsidR="00524A91">
        <w:rPr>
          <w:rFonts w:cs="Times New Roman"/>
          <w:color w:val="auto"/>
          <w:szCs w:val="24"/>
        </w:rPr>
        <w:t xml:space="preserve"> laced into </w:t>
      </w:r>
      <w:r w:rsidR="00711AC0">
        <w:rPr>
          <w:rFonts w:cs="Times New Roman"/>
          <w:color w:val="auto"/>
          <w:szCs w:val="24"/>
        </w:rPr>
        <w:t>early/modern evocat</w:t>
      </w:r>
      <w:r w:rsidR="00524A91">
        <w:rPr>
          <w:rFonts w:cs="Times New Roman"/>
          <w:color w:val="auto"/>
          <w:szCs w:val="24"/>
        </w:rPr>
        <w:t>io</w:t>
      </w:r>
      <w:r w:rsidR="00D25414">
        <w:rPr>
          <w:rFonts w:cs="Times New Roman"/>
          <w:color w:val="auto"/>
          <w:szCs w:val="24"/>
        </w:rPr>
        <w:t>ns of the</w:t>
      </w:r>
      <w:r w:rsidR="00524A91">
        <w:rPr>
          <w:rFonts w:cs="Times New Roman"/>
          <w:color w:val="auto"/>
          <w:szCs w:val="24"/>
        </w:rPr>
        <w:t xml:space="preserve"> </w:t>
      </w:r>
      <w:r w:rsidR="00711AC0">
        <w:rPr>
          <w:rFonts w:cs="Times New Roman"/>
          <w:color w:val="auto"/>
          <w:szCs w:val="24"/>
        </w:rPr>
        <w:t>passions?</w:t>
      </w:r>
      <w:r w:rsidR="00711AC0">
        <w:rPr>
          <w:rStyle w:val="EndnoteReference"/>
          <w:rFonts w:cs="Times New Roman"/>
          <w:color w:val="auto"/>
          <w:szCs w:val="24"/>
        </w:rPr>
        <w:endnoteReference w:id="39"/>
      </w:r>
      <w:r w:rsidR="00711AC0">
        <w:rPr>
          <w:rFonts w:cs="Times New Roman"/>
          <w:color w:val="auto"/>
          <w:szCs w:val="24"/>
        </w:rPr>
        <w:t xml:space="preserve"> </w:t>
      </w:r>
      <w:r w:rsidR="00FB6C70">
        <w:rPr>
          <w:rFonts w:cs="Times New Roman"/>
          <w:color w:val="auto"/>
          <w:szCs w:val="24"/>
        </w:rPr>
        <w:t xml:space="preserve">And further: </w:t>
      </w:r>
      <w:r w:rsidR="00711AC0">
        <w:rPr>
          <w:rFonts w:cs="Times New Roman"/>
          <w:color w:val="auto"/>
          <w:szCs w:val="24"/>
        </w:rPr>
        <w:t>What do</w:t>
      </w:r>
      <w:r>
        <w:rPr>
          <w:rFonts w:cs="Times New Roman"/>
          <w:color w:val="auto"/>
          <w:szCs w:val="24"/>
        </w:rPr>
        <w:t>es one</w:t>
      </w:r>
      <w:r w:rsidR="00524A91">
        <w:rPr>
          <w:rFonts w:cs="Times New Roman"/>
          <w:color w:val="auto"/>
          <w:szCs w:val="24"/>
        </w:rPr>
        <w:t xml:space="preserve"> lose, or gain, by ignoring them</w:t>
      </w:r>
      <w:r w:rsidR="00711AC0" w:rsidRPr="00711AC0">
        <w:rPr>
          <w:rFonts w:cs="Times New Roman"/>
          <w:color w:val="auto"/>
          <w:szCs w:val="24"/>
        </w:rPr>
        <w:t>? What do</w:t>
      </w:r>
      <w:r>
        <w:rPr>
          <w:rFonts w:cs="Times New Roman"/>
          <w:color w:val="auto"/>
          <w:szCs w:val="24"/>
        </w:rPr>
        <w:t>es one</w:t>
      </w:r>
      <w:r w:rsidR="00711AC0" w:rsidRPr="00711AC0">
        <w:rPr>
          <w:rFonts w:cs="Times New Roman"/>
          <w:color w:val="auto"/>
          <w:szCs w:val="24"/>
        </w:rPr>
        <w:t xml:space="preserve"> g</w:t>
      </w:r>
      <w:r w:rsidR="00524A91">
        <w:rPr>
          <w:rFonts w:cs="Times New Roman"/>
          <w:color w:val="auto"/>
          <w:szCs w:val="24"/>
        </w:rPr>
        <w:t>ain, or risk, by taking their</w:t>
      </w:r>
      <w:r w:rsidR="00FD3BBE">
        <w:rPr>
          <w:rFonts w:cs="Times New Roman"/>
          <w:color w:val="auto"/>
          <w:szCs w:val="24"/>
        </w:rPr>
        <w:t xml:space="preserve"> measure? </w:t>
      </w:r>
      <w:r w:rsidR="00711AC0" w:rsidRPr="00711AC0">
        <w:rPr>
          <w:rFonts w:cs="Times New Roman"/>
          <w:color w:val="auto"/>
          <w:szCs w:val="24"/>
        </w:rPr>
        <w:t xml:space="preserve">In the </w:t>
      </w:r>
      <w:r w:rsidR="00FD3BBE">
        <w:rPr>
          <w:rFonts w:cs="Times New Roman"/>
          <w:color w:val="auto"/>
          <w:szCs w:val="24"/>
        </w:rPr>
        <w:t xml:space="preserve">remaining </w:t>
      </w:r>
      <w:r w:rsidR="00D018D4">
        <w:rPr>
          <w:rFonts w:cs="Times New Roman"/>
          <w:color w:val="auto"/>
          <w:szCs w:val="24"/>
        </w:rPr>
        <w:t>pages, I will offer</w:t>
      </w:r>
      <w:r w:rsidR="00711AC0" w:rsidRPr="00711AC0">
        <w:rPr>
          <w:rFonts w:cs="Times New Roman"/>
          <w:color w:val="auto"/>
          <w:szCs w:val="24"/>
        </w:rPr>
        <w:t xml:space="preserve"> </w:t>
      </w:r>
      <w:r w:rsidR="00711AC0" w:rsidRPr="00711AC0">
        <w:rPr>
          <w:rFonts w:cs="Times New Roman"/>
          <w:i/>
          <w:color w:val="auto"/>
          <w:szCs w:val="24"/>
        </w:rPr>
        <w:t>The Spectator</w:t>
      </w:r>
      <w:r w:rsidR="00711AC0" w:rsidRPr="00711AC0">
        <w:rPr>
          <w:rFonts w:cs="Times New Roman"/>
          <w:color w:val="auto"/>
          <w:szCs w:val="24"/>
        </w:rPr>
        <w:t xml:space="preserve"> as </w:t>
      </w:r>
      <w:r w:rsidR="00711AC0">
        <w:rPr>
          <w:rFonts w:cs="Times New Roman"/>
          <w:color w:val="auto"/>
          <w:szCs w:val="24"/>
        </w:rPr>
        <w:t>one</w:t>
      </w:r>
      <w:r w:rsidR="00711AC0" w:rsidRPr="00711AC0">
        <w:rPr>
          <w:rFonts w:cs="Times New Roman"/>
          <w:color w:val="auto"/>
          <w:szCs w:val="24"/>
        </w:rPr>
        <w:t xml:space="preserve"> ex</w:t>
      </w:r>
      <w:r w:rsidR="00711AC0">
        <w:rPr>
          <w:rFonts w:cs="Times New Roman"/>
          <w:color w:val="auto"/>
          <w:szCs w:val="24"/>
        </w:rPr>
        <w:t>ample of how those questions were</w:t>
      </w:r>
      <w:r w:rsidR="00711AC0" w:rsidRPr="00711AC0">
        <w:rPr>
          <w:rFonts w:cs="Times New Roman"/>
          <w:color w:val="auto"/>
          <w:szCs w:val="24"/>
        </w:rPr>
        <w:t xml:space="preserve"> being asked and essayed in </w:t>
      </w:r>
      <w:r w:rsidR="00711AC0">
        <w:rPr>
          <w:rFonts w:cs="Times New Roman"/>
          <w:color w:val="auto"/>
          <w:szCs w:val="24"/>
        </w:rPr>
        <w:t xml:space="preserve">the </w:t>
      </w:r>
      <w:r w:rsidR="00711AC0" w:rsidRPr="00711AC0">
        <w:rPr>
          <w:rFonts w:cs="Times New Roman"/>
          <w:color w:val="auto"/>
          <w:szCs w:val="24"/>
        </w:rPr>
        <w:t>popular prose</w:t>
      </w:r>
      <w:r w:rsidR="00D018D4">
        <w:rPr>
          <w:rFonts w:cs="Times New Roman"/>
          <w:color w:val="auto"/>
          <w:szCs w:val="24"/>
        </w:rPr>
        <w:t xml:space="preserve"> of </w:t>
      </w:r>
      <w:r w:rsidR="001D6962">
        <w:rPr>
          <w:rFonts w:cs="Times New Roman"/>
          <w:color w:val="auto"/>
          <w:szCs w:val="24"/>
        </w:rPr>
        <w:t xml:space="preserve">early </w:t>
      </w:r>
      <w:r w:rsidR="00D018D4">
        <w:rPr>
          <w:rFonts w:cs="Times New Roman"/>
          <w:color w:val="auto"/>
          <w:szCs w:val="24"/>
        </w:rPr>
        <w:t>eighteenth-century England.</w:t>
      </w:r>
    </w:p>
    <w:p w14:paraId="68C7FF8E" w14:textId="77777777" w:rsidR="00FB6C70" w:rsidRDefault="00FB6C70" w:rsidP="001F57BF">
      <w:pPr>
        <w:rPr>
          <w:rFonts w:cs="Times New Roman"/>
          <w:color w:val="auto"/>
          <w:szCs w:val="24"/>
        </w:rPr>
      </w:pPr>
    </w:p>
    <w:p w14:paraId="03DCDD60" w14:textId="5BA3C792" w:rsidR="00D018D4" w:rsidRPr="00C95F6F" w:rsidRDefault="00D018D4" w:rsidP="00322C6C">
      <w:pPr>
        <w:jc w:val="center"/>
        <w:rPr>
          <w:rFonts w:cs="Times New Roman"/>
          <w:caps/>
          <w:color w:val="auto"/>
          <w:szCs w:val="24"/>
        </w:rPr>
      </w:pPr>
      <w:r w:rsidRPr="00C95F6F">
        <w:rPr>
          <w:rFonts w:cs="Times New Roman"/>
          <w:i/>
          <w:caps/>
          <w:color w:val="auto"/>
          <w:szCs w:val="24"/>
        </w:rPr>
        <w:t>The Spectator</w:t>
      </w:r>
      <w:r w:rsidR="00FD3BBE" w:rsidRPr="00C95F6F">
        <w:rPr>
          <w:rFonts w:cs="Times New Roman"/>
          <w:caps/>
          <w:color w:val="auto"/>
          <w:szCs w:val="24"/>
        </w:rPr>
        <w:t xml:space="preserve"> and</w:t>
      </w:r>
      <w:r w:rsidRPr="00C95F6F">
        <w:rPr>
          <w:rFonts w:cs="Times New Roman"/>
          <w:caps/>
          <w:color w:val="auto"/>
          <w:szCs w:val="24"/>
        </w:rPr>
        <w:t xml:space="preserve"> Modern Passions</w:t>
      </w:r>
    </w:p>
    <w:p w14:paraId="4B256678" w14:textId="0A3F43A1" w:rsidR="00524A91" w:rsidRDefault="00D018D4" w:rsidP="00102395">
      <w:pPr>
        <w:pStyle w:val="Unindented"/>
      </w:pPr>
      <w:r>
        <w:t xml:space="preserve">In his introduction to the Clarendon edition of </w:t>
      </w:r>
      <w:r>
        <w:rPr>
          <w:i/>
        </w:rPr>
        <w:t>The Spectator</w:t>
      </w:r>
      <w:r>
        <w:t>, Donald Bond privileges Addison’s contributions over those of Steele because, he claims, more of Addison’s essays contained original content (rather than reprinted letters from readers) and his writing was of a superior quality.</w:t>
      </w:r>
      <w:r>
        <w:rPr>
          <w:rStyle w:val="EndnoteReference"/>
        </w:rPr>
        <w:endnoteReference w:id="40"/>
      </w:r>
      <w:r>
        <w:t xml:space="preserve"> In favoring the high-spirited and comedic air of Addison’</w:t>
      </w:r>
      <w:r w:rsidR="00120D94">
        <w:t>s prose, Bond</w:t>
      </w:r>
      <w:r>
        <w:t xml:space="preserve"> </w:t>
      </w:r>
      <w:r w:rsidR="00FD3BBE">
        <w:t>presents</w:t>
      </w:r>
      <w:r>
        <w:t xml:space="preserve"> Steele’s serious and str</w:t>
      </w:r>
      <w:r w:rsidR="00FD3BBE">
        <w:t>aightforward style as indicative of his</w:t>
      </w:r>
      <w:r w:rsidR="00524A91">
        <w:t xml:space="preserve"> limited rhetorical ability</w:t>
      </w:r>
      <w:r w:rsidR="00FD3BBE">
        <w:t>. F</w:t>
      </w:r>
      <w:r>
        <w:t>or the purposes of the present argument,</w:t>
      </w:r>
      <w:r w:rsidR="00FD3BBE">
        <w:t xml:space="preserve"> however,</w:t>
      </w:r>
      <w:r>
        <w:t xml:space="preserve"> Addison’s supposed literary superiority actually makes him the aut</w:t>
      </w:r>
      <w:r w:rsidR="00120D94">
        <w:t>hor of less</w:t>
      </w:r>
      <w:r w:rsidR="00524A91">
        <w:t>er</w:t>
      </w:r>
      <w:r w:rsidR="00C56874">
        <w:t xml:space="preserve"> concern because the</w:t>
      </w:r>
      <w:r>
        <w:t xml:space="preserve"> prefer</w:t>
      </w:r>
      <w:r w:rsidR="00120D94">
        <w:t>ment of</w:t>
      </w:r>
      <w:r w:rsidR="00524A91">
        <w:t xml:space="preserve"> fluency and humor to</w:t>
      </w:r>
      <w:r>
        <w:t xml:space="preserve"> scrupulous questioning and laborious elaboration also places distinct limitations on Addison’s approach to invest</w:t>
      </w:r>
      <w:r w:rsidR="00FD3BBE">
        <w:t>igating the passions. M</w:t>
      </w:r>
      <w:r>
        <w:t xml:space="preserve">y </w:t>
      </w:r>
      <w:r w:rsidR="00FC1CA8">
        <w:t>intent</w:t>
      </w:r>
      <w:r w:rsidR="00C56874">
        <w:t xml:space="preserve"> is to perform a rhetorical </w:t>
      </w:r>
      <w:r>
        <w:t>analysis</w:t>
      </w:r>
      <w:r w:rsidR="00C56874">
        <w:t xml:space="preserve"> of the distinction between Addison and Steele that</w:t>
      </w:r>
      <w:r w:rsidR="006638D5">
        <w:t xml:space="preserve"> will enable us to </w:t>
      </w:r>
      <w:r w:rsidR="0062721D">
        <w:t>reevaluate</w:t>
      </w:r>
      <w:r w:rsidR="006638D5">
        <w:t xml:space="preserve"> Steele’s</w:t>
      </w:r>
      <w:r w:rsidR="00C56874">
        <w:t xml:space="preserve"> </w:t>
      </w:r>
      <w:r w:rsidR="00C56874">
        <w:rPr>
          <w:i/>
        </w:rPr>
        <w:t>Spectator</w:t>
      </w:r>
      <w:r w:rsidR="00641158">
        <w:t xml:space="preserve"> contributions</w:t>
      </w:r>
      <w:r w:rsidR="00C56874">
        <w:t xml:space="preserve"> in light of his theoretical claims on the passions.</w:t>
      </w:r>
      <w:r w:rsidR="00E31E20">
        <w:t xml:space="preserve"> While Addison establishes a</w:t>
      </w:r>
      <w:r w:rsidR="00C56874">
        <w:t xml:space="preserve"> </w:t>
      </w:r>
      <w:r w:rsidR="00C56874">
        <w:lastRenderedPageBreak/>
        <w:t>baseline</w:t>
      </w:r>
      <w:r w:rsidR="00E31E20">
        <w:t xml:space="preserve"> for understanding mainstream</w:t>
      </w:r>
      <w:r w:rsidR="00641158">
        <w:t xml:space="preserve"> eighteenth-century</w:t>
      </w:r>
      <w:r w:rsidR="00E31E20">
        <w:t xml:space="preserve"> view</w:t>
      </w:r>
      <w:r w:rsidR="00641158">
        <w:t>s</w:t>
      </w:r>
      <w:r w:rsidR="00E31E20">
        <w:t xml:space="preserve"> </w:t>
      </w:r>
      <w:r w:rsidR="00641158">
        <w:t>on</w:t>
      </w:r>
      <w:r w:rsidR="00C56874">
        <w:t xml:space="preserve"> the subject, Steele’s essays on jealousy a</w:t>
      </w:r>
      <w:r w:rsidR="00E31E20">
        <w:t xml:space="preserve">nd grief </w:t>
      </w:r>
      <w:r w:rsidR="00D06145">
        <w:t>are significant for</w:t>
      </w:r>
      <w:r w:rsidR="00E31E20">
        <w:t xml:space="preserve"> their willingness to</w:t>
      </w:r>
      <w:r>
        <w:t xml:space="preserve"> tarry with the </w:t>
      </w:r>
      <w:r w:rsidR="00641158">
        <w:t>impossible</w:t>
      </w:r>
      <w:r w:rsidR="00E31E20">
        <w:t xml:space="preserve"> task of</w:t>
      </w:r>
      <w:r>
        <w:t xml:space="preserve"> putting the</w:t>
      </w:r>
      <w:r w:rsidR="00524A91">
        <w:t xml:space="preserve"> passions’</w:t>
      </w:r>
      <w:r>
        <w:t xml:space="preserve"> agitational</w:t>
      </w:r>
      <w:r w:rsidR="00524A91">
        <w:t xml:space="preserve"> instability</w:t>
      </w:r>
      <w:r w:rsidR="00120D94">
        <w:t xml:space="preserve"> </w:t>
      </w:r>
      <w:r>
        <w:t>into words.</w:t>
      </w:r>
    </w:p>
    <w:p w14:paraId="74D8E514" w14:textId="6D00C7F4" w:rsidR="00524A91" w:rsidRDefault="00120D94" w:rsidP="001F57BF">
      <w:r>
        <w:t>Addison</w:t>
      </w:r>
      <w:r w:rsidR="00FD3BBE">
        <w:t xml:space="preserve">’s essays on the passions are intended as </w:t>
      </w:r>
      <w:r>
        <w:t>spirit</w:t>
      </w:r>
      <w:r w:rsidR="00FD3BBE">
        <w:t>ed</w:t>
      </w:r>
      <w:r>
        <w:t xml:space="preserve"> diversion</w:t>
      </w:r>
      <w:r w:rsidR="00FD3BBE">
        <w:t>s</w:t>
      </w:r>
      <w:r>
        <w:t xml:space="preserve"> </w:t>
      </w:r>
      <w:r w:rsidR="00FD3BBE">
        <w:t>rather than theoretical inquiries</w:t>
      </w:r>
      <w:r>
        <w:t>, and this is illustrated in a satire upon coquettes often referred to as “The Passions of the Fan.” The essay</w:t>
      </w:r>
      <w:r w:rsidR="00E56CCB">
        <w:t xml:space="preserve">, </w:t>
      </w:r>
      <w:r w:rsidR="00FB6C70">
        <w:t>N</w:t>
      </w:r>
      <w:r w:rsidR="00E56CCB">
        <w:t>o. 102,</w:t>
      </w:r>
      <w:r>
        <w:t xml:space="preserve"> consists of a</w:t>
      </w:r>
      <w:r w:rsidR="00D25414">
        <w:t>n epistolary fiction</w:t>
      </w:r>
      <w:r>
        <w:t xml:space="preserve">, ostensibly penned by the headmistress of “an Academy for the training up of young Women in the </w:t>
      </w:r>
      <w:r>
        <w:rPr>
          <w:i/>
        </w:rPr>
        <w:t>Exercise of the Fan</w:t>
      </w:r>
      <w:r>
        <w:t>, according to the most fashionable Airs and Motions that are now practised at Court</w:t>
      </w:r>
      <w:r w:rsidR="00FB6C70">
        <w:t>.</w:t>
      </w:r>
      <w:r>
        <w:t>”</w:t>
      </w:r>
      <w:r w:rsidR="00FB6C70">
        <w:rPr>
          <w:rStyle w:val="EndnoteReference"/>
        </w:rPr>
        <w:endnoteReference w:id="41"/>
      </w:r>
      <w:r w:rsidR="00E56CCB">
        <w:t xml:space="preserve"> </w:t>
      </w:r>
      <w:r>
        <w:t>Through mock military drills, she trains aspiring courtiers “in the Use of their Arms,” and as the ladies handle, unfurl, discharge, ground, and recover their fans, the essay takes aim at modish obsessions with “foppish and fantastic Ornaments” by comparing strict observance of social protocol to the skill and trade of a marksman.</w:t>
      </w:r>
      <w:r w:rsidR="00FB6C70">
        <w:rPr>
          <w:rStyle w:val="EndnoteReference"/>
        </w:rPr>
        <w:endnoteReference w:id="42"/>
      </w:r>
    </w:p>
    <w:p w14:paraId="3FD92827" w14:textId="6D365745" w:rsidR="00CE6CFB" w:rsidRDefault="00524A91" w:rsidP="001F57BF">
      <w:r>
        <w:t>However, this whimsical farce</w:t>
      </w:r>
      <w:r w:rsidR="00120D94">
        <w:t xml:space="preserve"> </w:t>
      </w:r>
      <w:r>
        <w:t xml:space="preserve">also </w:t>
      </w:r>
      <w:r w:rsidR="00120D94">
        <w:t xml:space="preserve">contains a </w:t>
      </w:r>
      <w:r w:rsidR="00FD3BBE">
        <w:t>model for Addison’s theory</w:t>
      </w:r>
      <w:r w:rsidR="00120D94">
        <w:t xml:space="preserve"> of the passions</w:t>
      </w:r>
      <w:r>
        <w:t>, for</w:t>
      </w:r>
      <w:r w:rsidR="00120D94">
        <w:t xml:space="preserve"> the main function of the headmistress’</w:t>
      </w:r>
      <w:r w:rsidR="00FB6C70">
        <w:t>s</w:t>
      </w:r>
      <w:r w:rsidR="00120D94">
        <w:t xml:space="preserve"> academy is to teach coquettes how to communicate their internal sensations with deadly accuracy</w:t>
      </w:r>
      <w:r w:rsidR="00FD3BBE">
        <w:t>. This skill is mastered by</w:t>
      </w:r>
      <w:r w:rsidR="00120D94">
        <w:t xml:space="preserve"> producing and interpreting “</w:t>
      </w:r>
      <w:r w:rsidR="00120D94">
        <w:rPr>
          <w:i/>
        </w:rPr>
        <w:t>The Fluttering of the Fan</w:t>
      </w:r>
      <w:r w:rsidR="00FB6C70">
        <w:t>,</w:t>
      </w:r>
      <w:r w:rsidR="00CE6CFB">
        <w:t>” and</w:t>
      </w:r>
      <w:r w:rsidR="00120D94">
        <w:t xml:space="preserve"> she indicates the primary value of</w:t>
      </w:r>
      <w:r w:rsidR="00FD3BBE">
        <w:t xml:space="preserve"> her pedagogy</w:t>
      </w:r>
      <w:r w:rsidR="00120D94">
        <w:t xml:space="preserve"> t</w:t>
      </w:r>
      <w:r w:rsidR="00FD3BBE">
        <w:t>hrough</w:t>
      </w:r>
      <w:r w:rsidR="00120D94">
        <w:t xml:space="preserve"> a hermeneut</w:t>
      </w:r>
      <w:r>
        <w:t>ics of self-discipline.</w:t>
      </w:r>
      <w:r w:rsidR="00FB6C70">
        <w:rPr>
          <w:rStyle w:val="EndnoteReference"/>
        </w:rPr>
        <w:endnoteReference w:id="43"/>
      </w:r>
      <w:r>
        <w:t xml:space="preserve"> S</w:t>
      </w:r>
      <w:r w:rsidR="00120D94">
        <w:t>tudents are taught to assume a deliberate relationship between the fan’s “flutters” and the passions they r</w:t>
      </w:r>
      <w:r w:rsidR="00CE6CFB">
        <w:t>epresent. “There is,” Addison ventriloquizes</w:t>
      </w:r>
      <w:r w:rsidR="00120D94">
        <w:t xml:space="preserve">, “an infinite Variety of Motions to be made use of in the </w:t>
      </w:r>
      <w:r w:rsidR="00120D94">
        <w:rPr>
          <w:i/>
        </w:rPr>
        <w:t>Flutter of a Fan</w:t>
      </w:r>
      <w:r w:rsidR="00120D94">
        <w:t>: There is the angry Flutter, the modest Flutter, the timorous Flutter</w:t>
      </w:r>
      <w:r w:rsidR="009B73E1">
        <w:t xml:space="preserve"> </w:t>
      </w:r>
      <w:r w:rsidR="00120D94">
        <w:t>…</w:t>
      </w:r>
      <w:r w:rsidR="009B73E1">
        <w:t>. T</w:t>
      </w:r>
      <w:r w:rsidR="00120D94">
        <w:t>here is scarce any Emo</w:t>
      </w:r>
      <w:r w:rsidR="00281400">
        <w:t>tion in the Mind which does not</w:t>
      </w:r>
      <w:r w:rsidR="00120D94">
        <w:t xml:space="preserve"> produce a suitable Agitation in the Fan; insomuch</w:t>
      </w:r>
      <w:r w:rsidR="00027490">
        <w:t>,</w:t>
      </w:r>
      <w:r w:rsidR="00120D94">
        <w:t xml:space="preserve"> that if I only see the Fan of a diciplin’d Lady, I know very well whether she laughs, frowns, or blushes</w:t>
      </w:r>
      <w:r w:rsidR="00FB6C70">
        <w:t>.</w:t>
      </w:r>
      <w:r w:rsidR="00120D94">
        <w:t>”</w:t>
      </w:r>
      <w:r w:rsidR="00FB6C70">
        <w:rPr>
          <w:rStyle w:val="EndnoteReference"/>
        </w:rPr>
        <w:endnoteReference w:id="44"/>
      </w:r>
      <w:r w:rsidR="00120D94">
        <w:t xml:space="preserve"> Most significantly, the education in question is not so much about the fan as instrument but, rather, </w:t>
      </w:r>
      <w:r w:rsidR="00120D94">
        <w:lastRenderedPageBreak/>
        <w:t xml:space="preserve">about the passions it is assumed to </w:t>
      </w:r>
      <w:r>
        <w:t>communicate</w:t>
      </w:r>
      <w:r w:rsidR="00120D94">
        <w:t xml:space="preserve">. Where the uninitiated see an infinite variety of motions, the well-trained eye perceives a litany of specific, objective </w:t>
      </w:r>
      <w:r>
        <w:t>relays</w:t>
      </w:r>
      <w:r w:rsidR="00120D94">
        <w:t xml:space="preserve"> of emotion. Like Addison’s tireless attent</w:t>
      </w:r>
      <w:r w:rsidR="00FD3BBE">
        <w:t>ion to improving</w:t>
      </w:r>
      <w:r w:rsidR="00120D94">
        <w:t xml:space="preserve"> his style</w:t>
      </w:r>
      <w:r w:rsidR="00657E1A">
        <w:t>,</w:t>
      </w:r>
      <w:r w:rsidR="00120D94">
        <w:t xml:space="preserve"> which, as Bond has it, “attained</w:t>
      </w:r>
      <w:r w:rsidR="009B73E1">
        <w:t xml:space="preserve"> </w:t>
      </w:r>
      <w:r w:rsidR="00120D94">
        <w:t>…</w:t>
      </w:r>
      <w:r w:rsidR="009B73E1">
        <w:t xml:space="preserve"> </w:t>
      </w:r>
      <w:r w:rsidR="00120D94">
        <w:t xml:space="preserve">the perfect adaptation of language to subject-matter without too obvious effect,” the disciplined young lady can achieve an agitation </w:t>
      </w:r>
      <w:r w:rsidR="00CE6CFB">
        <w:t>of her fan to match the subject-</w:t>
      </w:r>
      <w:r>
        <w:t>matter of her mind.</w:t>
      </w:r>
      <w:r w:rsidR="009B73E1">
        <w:rPr>
          <w:rStyle w:val="EndnoteReference"/>
        </w:rPr>
        <w:endnoteReference w:id="45"/>
      </w:r>
      <w:r>
        <w:t xml:space="preserve"> What’s most at</w:t>
      </w:r>
      <w:r w:rsidR="00CE6CFB">
        <w:t xml:space="preserve"> stake </w:t>
      </w:r>
      <w:r>
        <w:t xml:space="preserve">in </w:t>
      </w:r>
      <w:r w:rsidR="009B73E1">
        <w:t>N</w:t>
      </w:r>
      <w:r>
        <w:t>o. 102 is the ability to adjudicate</w:t>
      </w:r>
      <w:r w:rsidR="00CE6CFB">
        <w:t xml:space="preserve"> </w:t>
      </w:r>
      <w:r w:rsidR="00657E1A">
        <w:t xml:space="preserve">properly </w:t>
      </w:r>
      <w:r w:rsidR="00CE6CFB">
        <w:t>the emotion that lies hid</w:t>
      </w:r>
      <w:r>
        <w:t>den in any extreme disturbance</w:t>
      </w:r>
      <w:r w:rsidR="00CE6CFB">
        <w:t xml:space="preserve"> of the mind</w:t>
      </w:r>
      <w:r>
        <w:t xml:space="preserve">, and, thus, within </w:t>
      </w:r>
      <w:r w:rsidR="00CE6CFB">
        <w:t>Addison’s</w:t>
      </w:r>
      <w:r>
        <w:t xml:space="preserve"> essays on </w:t>
      </w:r>
      <w:r w:rsidR="00CE6CFB">
        <w:t xml:space="preserve">the passions, what that disturbance is, </w:t>
      </w:r>
      <w:r w:rsidR="00CE6CFB" w:rsidRPr="00CE6CFB">
        <w:rPr>
          <w:i/>
        </w:rPr>
        <w:t>per se</w:t>
      </w:r>
      <w:r w:rsidR="00CE6CFB">
        <w:t>, is beside the point.</w:t>
      </w:r>
    </w:p>
    <w:p w14:paraId="08E62BA0" w14:textId="414D48E6" w:rsidR="00CE6CFB" w:rsidRDefault="00120D94" w:rsidP="001F57BF">
      <w:r>
        <w:t xml:space="preserve">If </w:t>
      </w:r>
      <w:r w:rsidR="00CE6CFB">
        <w:t>an</w:t>
      </w:r>
      <w:r>
        <w:t xml:space="preserve"> outline of Addison’s position exists in </w:t>
      </w:r>
      <w:r w:rsidR="00D25414">
        <w:t>“The Passions of the Fan,”</w:t>
      </w:r>
      <w:r w:rsidR="00CE6CFB">
        <w:t xml:space="preserve"> its full figure is more evident in</w:t>
      </w:r>
      <w:r w:rsidR="009B73E1">
        <w:t xml:space="preserve"> </w:t>
      </w:r>
      <w:r w:rsidR="009B73E1">
        <w:rPr>
          <w:i/>
        </w:rPr>
        <w:t>Spectator</w:t>
      </w:r>
      <w:r w:rsidR="00CE6CFB">
        <w:t xml:space="preserve"> </w:t>
      </w:r>
      <w:r w:rsidR="009B73E1">
        <w:t>N</w:t>
      </w:r>
      <w:r>
        <w:t>o. 170</w:t>
      </w:r>
      <w:r w:rsidR="00CE6CFB">
        <w:t>,</w:t>
      </w:r>
      <w:r>
        <w:t xml:space="preserve"> on jealousy</w:t>
      </w:r>
      <w:r w:rsidR="00CE6CFB">
        <w:t>,</w:t>
      </w:r>
      <w:r>
        <w:t xml:space="preserve"> where </w:t>
      </w:r>
      <w:r w:rsidR="00CE6CFB">
        <w:t>the difference between</w:t>
      </w:r>
      <w:r>
        <w:t xml:space="preserve"> chaos</w:t>
      </w:r>
      <w:r w:rsidR="00CE6CFB">
        <w:t xml:space="preserve"> and order, when it comes to the passions,</w:t>
      </w:r>
      <w:r>
        <w:t xml:space="preserve"> rests in the difference between misrecognition and viewing “Truth nakedly.”</w:t>
      </w:r>
      <w:r>
        <w:rPr>
          <w:rStyle w:val="EndnoteReference"/>
        </w:rPr>
        <w:endnoteReference w:id="46"/>
      </w:r>
      <w:r w:rsidR="00FD3BBE">
        <w:t xml:space="preserve"> No. 170 extends the </w:t>
      </w:r>
      <w:r>
        <w:t xml:space="preserve">theme of </w:t>
      </w:r>
      <w:r w:rsidR="00FD3BBE">
        <w:t>self-training</w:t>
      </w:r>
      <w:r w:rsidR="00524A91">
        <w:t xml:space="preserve"> through an illustration of the</w:t>
      </w:r>
      <w:r w:rsidR="00CE6CFB">
        <w:t xml:space="preserve"> </w:t>
      </w:r>
      <w:r>
        <w:t>peculiar characteristics that manifest in the jealous man’s mind and the dangers that result from giving oneself over to them.</w:t>
      </w:r>
      <w:r w:rsidR="00FD3BBE">
        <w:t xml:space="preserve"> </w:t>
      </w:r>
      <w:r>
        <w:t xml:space="preserve">Not only does the passion destroy marriages and torture those who suffer it, </w:t>
      </w:r>
      <w:r w:rsidR="00657E1A">
        <w:t xml:space="preserve">but </w:t>
      </w:r>
      <w:r>
        <w:t xml:space="preserve">jealousy </w:t>
      </w:r>
      <w:r w:rsidR="00657E1A">
        <w:t xml:space="preserve">also </w:t>
      </w:r>
      <w:r>
        <w:t xml:space="preserve">proves to be most pernicious for its being caused by an improper communication between our perceptions and our feelings. Thus, “Jealousy </w:t>
      </w:r>
      <w:r w:rsidRPr="00CE6CFB">
        <w:t>is</w:t>
      </w:r>
      <w:r>
        <w:t xml:space="preserve"> that Pain which a Man feels from the </w:t>
      </w:r>
      <w:r w:rsidRPr="00120D94">
        <w:t xml:space="preserve">Apprehension </w:t>
      </w:r>
      <w:r>
        <w:t>that he is not equally beloved by the Person whom he entirely lo</w:t>
      </w:r>
      <w:r w:rsidR="00CE6CFB">
        <w:t>ves</w:t>
      </w:r>
      <w:r w:rsidR="009B73E1">
        <w:t>,</w:t>
      </w:r>
      <w:r w:rsidR="00657E1A">
        <w:t>”</w:t>
      </w:r>
      <w:r w:rsidR="009B73E1">
        <w:rPr>
          <w:rStyle w:val="EndnoteReference"/>
        </w:rPr>
        <w:endnoteReference w:id="47"/>
      </w:r>
      <w:r w:rsidR="00CE6CFB">
        <w:t xml:space="preserve"> and its danger is attributed to the jealous man’s having mistake</w:t>
      </w:r>
      <w:r w:rsidR="00D25414">
        <w:t>n “imaginary for real happiness</w:t>
      </w:r>
      <w:r w:rsidR="009B73E1">
        <w:t>.</w:t>
      </w:r>
      <w:r w:rsidR="00CE6CFB">
        <w:t>”</w:t>
      </w:r>
      <w:r w:rsidR="009B73E1">
        <w:rPr>
          <w:rStyle w:val="EndnoteReference"/>
        </w:rPr>
        <w:endnoteReference w:id="48"/>
      </w:r>
      <w:r w:rsidR="00CE6CFB">
        <w:t xml:space="preserve"> The sufferer has improperly assumed the foundation of his own happiness to reside in the apprehension of something about which he can never </w:t>
      </w:r>
      <w:r w:rsidR="00524A91">
        <w:t>be certain—a perfectly equitable</w:t>
      </w:r>
      <w:r w:rsidR="00CE6CFB">
        <w:t xml:space="preserve"> love between himself and his beloved. Not only is his happiness ever in doubt, but every step he takes to rectify his own apprehensions with reality actually results in the inverse of the</w:t>
      </w:r>
      <w:r w:rsidR="00524A91">
        <w:t xml:space="preserve"> </w:t>
      </w:r>
      <w:r w:rsidR="00CE6CFB">
        <w:t xml:space="preserve">ends of </w:t>
      </w:r>
      <w:r w:rsidR="00CE6CFB">
        <w:lastRenderedPageBreak/>
        <w:t>our passions</w:t>
      </w:r>
      <w:r w:rsidR="00FD3BBE">
        <w:t>, as Locke would have them</w:t>
      </w:r>
      <w:r w:rsidR="00524A91">
        <w:t>, for the jealous man consistently avoids pleasure to pursue pain</w:t>
      </w:r>
      <w:r w:rsidR="00FD3BBE">
        <w:t>.</w:t>
      </w:r>
    </w:p>
    <w:p w14:paraId="0124493C" w14:textId="4B9ADD3E" w:rsidR="00524A91" w:rsidRDefault="00CE6CFB" w:rsidP="001F57BF">
      <w:r>
        <w:t>Most heinous of all, jealousy has a fundamental misrecognition at its</w:t>
      </w:r>
      <w:r w:rsidR="00D77BC3">
        <w:t xml:space="preserve"> root, for “if we consider the e</w:t>
      </w:r>
      <w:r>
        <w:t>ffects of this Passion, one would rather think it proceeded from an inveterate Hatred than an excessive Love</w:t>
      </w:r>
      <w:r w:rsidR="009B73E1">
        <w:t>.</w:t>
      </w:r>
      <w:r>
        <w:t>”</w:t>
      </w:r>
      <w:r w:rsidR="009B73E1">
        <w:rPr>
          <w:rStyle w:val="EndnoteReference"/>
        </w:rPr>
        <w:endnoteReference w:id="49"/>
      </w:r>
      <w:r>
        <w:t xml:space="preserve"> </w:t>
      </w:r>
      <w:r w:rsidR="00524A91">
        <w:t>I</w:t>
      </w:r>
      <w:r>
        <w:t xml:space="preserve">ts nagging malignancy lies in its potential to dissimulate the difference between love and hate. </w:t>
      </w:r>
      <w:r w:rsidR="007B24A7">
        <w:t>Like an interloping spirit reminiscent of Burton’s melancholy via demonic possession, jealousy interferes with a person’s otherwise</w:t>
      </w:r>
      <w:r w:rsidR="004114EC">
        <w:t>-</w:t>
      </w:r>
      <w:r w:rsidR="007B24A7">
        <w:t>unimpeded motive for action</w:t>
      </w:r>
      <w:r w:rsidR="00A31946">
        <w:t>,</w:t>
      </w:r>
      <w:r w:rsidR="00FD3BBE">
        <w:t xml:space="preserve"> </w:t>
      </w:r>
      <w:r w:rsidR="007B24A7">
        <w:t xml:space="preserve">and </w:t>
      </w:r>
      <w:r w:rsidR="00A31946">
        <w:t>therefore</w:t>
      </w:r>
      <w:r w:rsidR="007B24A7">
        <w:t xml:space="preserve"> it brings us pain by improperly converging incompatible emotional states into a monstrous hybrid.</w:t>
      </w:r>
      <w:r w:rsidR="00D77BC3">
        <w:rPr>
          <w:rStyle w:val="EndnoteReference"/>
        </w:rPr>
        <w:endnoteReference w:id="50"/>
      </w:r>
      <w:r w:rsidR="007B24A7">
        <w:t xml:space="preserve"> </w:t>
      </w:r>
      <w:r w:rsidR="004114EC">
        <w:t>T</w:t>
      </w:r>
      <w:r w:rsidR="007B24A7">
        <w:t xml:space="preserve">he analysis of </w:t>
      </w:r>
      <w:r w:rsidR="009B73E1">
        <w:t>N</w:t>
      </w:r>
      <w:r w:rsidR="007B24A7">
        <w:t xml:space="preserve">o. 170 takes for granted that passions are derived from fundamentally distinct “flutters” of feeling, and if we were to imagine a theory of the passions, that </w:t>
      </w:r>
      <w:r w:rsidR="00A31946">
        <w:t xml:space="preserve">premise </w:t>
      </w:r>
      <w:r w:rsidR="007B24A7">
        <w:t>would be its underlying assumption.</w:t>
      </w:r>
      <w:r w:rsidR="007B24A7">
        <w:rPr>
          <w:rStyle w:val="EndnoteReference"/>
        </w:rPr>
        <w:endnoteReference w:id="51"/>
      </w:r>
      <w:r w:rsidR="007B24A7" w:rsidRPr="006A3869">
        <w:t xml:space="preserve"> </w:t>
      </w:r>
      <w:r w:rsidR="007B24A7">
        <w:t xml:space="preserve">Addisonian jealousy has love as its primary cause, and it is only by miscalculation that it has the appearance of hatred. The responsibility </w:t>
      </w:r>
      <w:r w:rsidR="00524A91">
        <w:t>falls upon</w:t>
      </w:r>
      <w:r w:rsidR="007B24A7">
        <w:t xml:space="preserve"> the jealous man to discipline his mind to “enlighten the Understanding and </w:t>
      </w:r>
      <w:r w:rsidR="007B24A7" w:rsidRPr="007B24A7">
        <w:t>rectify the Passions</w:t>
      </w:r>
      <w:r w:rsidR="009B73E1">
        <w:t>.</w:t>
      </w:r>
      <w:r w:rsidR="007B24A7">
        <w:t>”</w:t>
      </w:r>
      <w:r w:rsidR="009B73E1">
        <w:rPr>
          <w:rStyle w:val="EndnoteReference"/>
        </w:rPr>
        <w:endnoteReference w:id="52"/>
      </w:r>
      <w:r w:rsidR="007B24A7">
        <w:t xml:space="preserve"> </w:t>
      </w:r>
    </w:p>
    <w:p w14:paraId="681A276F" w14:textId="5083575A" w:rsidR="007B24A7" w:rsidRDefault="00524A91" w:rsidP="001F57BF">
      <w:r>
        <w:t>By comparison,</w:t>
      </w:r>
      <w:r w:rsidR="007B24A7">
        <w:t xml:space="preserve"> Steele’s take on the passions</w:t>
      </w:r>
      <w:r>
        <w:t xml:space="preserve"> provide</w:t>
      </w:r>
      <w:r w:rsidR="00FD3BBE">
        <w:t>s</w:t>
      </w:r>
      <w:r>
        <w:t xml:space="preserve"> a stark theoretical contrast</w:t>
      </w:r>
      <w:r w:rsidR="007B24A7">
        <w:t xml:space="preserve">, </w:t>
      </w:r>
      <w:r w:rsidR="007E3F7D">
        <w:t>for rather than training readers</w:t>
      </w:r>
      <w:r w:rsidR="007B24A7">
        <w:t xml:space="preserve"> to s</w:t>
      </w:r>
      <w:r w:rsidR="00290494">
        <w:t>ense “properly,” he</w:t>
      </w:r>
      <w:r w:rsidR="007B24A7">
        <w:t xml:space="preserve"> merely </w:t>
      </w:r>
      <w:r w:rsidR="007E3F7D">
        <w:t xml:space="preserve">asks them </w:t>
      </w:r>
      <w:r w:rsidR="007B24A7">
        <w:t>to pay attention</w:t>
      </w:r>
      <w:r w:rsidR="00E31E20">
        <w:t xml:space="preserve"> t</w:t>
      </w:r>
      <w:r w:rsidR="007E3F7D">
        <w:t>heir</w:t>
      </w:r>
      <w:r w:rsidR="007B24A7">
        <w:t xml:space="preserve"> mental processes at m</w:t>
      </w:r>
      <w:r>
        <w:t>oments of extreme disturbance</w:t>
      </w:r>
      <w:r w:rsidR="007B24A7">
        <w:t>.</w:t>
      </w:r>
      <w:r>
        <w:t xml:space="preserve"> </w:t>
      </w:r>
      <w:r w:rsidR="007B24A7">
        <w:t>In</w:t>
      </w:r>
      <w:r w:rsidR="009B73E1">
        <w:t xml:space="preserve"> </w:t>
      </w:r>
      <w:r w:rsidR="009B73E1">
        <w:rPr>
          <w:i/>
        </w:rPr>
        <w:t>Spectator</w:t>
      </w:r>
      <w:r w:rsidR="007B24A7">
        <w:t xml:space="preserve"> </w:t>
      </w:r>
      <w:r w:rsidR="009B73E1">
        <w:t>N</w:t>
      </w:r>
      <w:r w:rsidR="007B24A7">
        <w:t>o. 19, on envy</w:t>
      </w:r>
      <w:r>
        <w:t>, Steele takes up an</w:t>
      </w:r>
      <w:r w:rsidR="007B24A7">
        <w:t xml:space="preserve"> investigation </w:t>
      </w:r>
      <w:r>
        <w:t>that is similar to</w:t>
      </w:r>
      <w:r w:rsidR="007B24A7">
        <w:t xml:space="preserve"> Addison’s consideration o</w:t>
      </w:r>
      <w:r w:rsidR="00FD3BBE">
        <w:t xml:space="preserve">f jealousy, but he is more determined to avoid </w:t>
      </w:r>
      <w:r w:rsidR="007B24A7">
        <w:t xml:space="preserve">dependence upon preconceived emotional concepts </w:t>
      </w:r>
      <w:r w:rsidR="004E1BC0">
        <w:t>and</w:t>
      </w:r>
      <w:r w:rsidR="007B24A7">
        <w:t xml:space="preserve"> examine only the empirical evidence. Rather than consulting “the many excellent Things which one might collect out of Authors u</w:t>
      </w:r>
      <w:r>
        <w:t>pon this miserable Affection,</w:t>
      </w:r>
      <w:r w:rsidR="00FA4893">
        <w:t xml:space="preserve">” </w:t>
      </w:r>
      <w:r w:rsidR="009B73E1">
        <w:t>N</w:t>
      </w:r>
      <w:r w:rsidR="00FA4893">
        <w:t>o. 19</w:t>
      </w:r>
      <w:r w:rsidR="007B24A7">
        <w:t xml:space="preserve"> relies instead on a consideration of what passes in the mind of the envious m</w:t>
      </w:r>
      <w:r>
        <w:t>an himself. T</w:t>
      </w:r>
      <w:r w:rsidR="007B24A7">
        <w:t>he crux of Steele’s analysis is contained in his description of envy’s pains:</w:t>
      </w:r>
    </w:p>
    <w:p w14:paraId="4E67C6B5" w14:textId="25E8337B" w:rsidR="00263578" w:rsidRDefault="007B24A7" w:rsidP="00102395">
      <w:pPr>
        <w:pStyle w:val="BlockQuote"/>
      </w:pPr>
      <w:r>
        <w:lastRenderedPageBreak/>
        <w:t>The Envious Man is in Pain upon all Occasions which ought to give him Pleasure. The Relish of his Life is inverted, and the Objects which administer the highest Satisfaction to those who are exempt from this Passion, give the quickest Pangs to Persons who are subject to it.</w:t>
      </w:r>
      <w:r w:rsidR="00263578">
        <w:t xml:space="preserve"> All the Perfections of their Fellow-Creatures are odious: Youth, Beauty, Valour and Wisdom are Provocations of their Displeasure</w:t>
      </w:r>
      <w:r w:rsidR="00F27D37">
        <w:t>.</w:t>
      </w:r>
      <w:r w:rsidR="009B73E1">
        <w:rPr>
          <w:rStyle w:val="EndnoteReference"/>
        </w:rPr>
        <w:endnoteReference w:id="53"/>
      </w:r>
      <w:r w:rsidR="00263578">
        <w:t xml:space="preserve"> </w:t>
      </w:r>
    </w:p>
    <w:p w14:paraId="69A9AFFB" w14:textId="6BD7F86E" w:rsidR="00475EB3" w:rsidRDefault="00263578" w:rsidP="00102395">
      <w:pPr>
        <w:pStyle w:val="Unindented"/>
      </w:pPr>
      <w:r>
        <w:t>This b</w:t>
      </w:r>
      <w:r w:rsidR="00524A91">
        <w:t xml:space="preserve">ears a resemblance to the analysis of Addison’s </w:t>
      </w:r>
      <w:r w:rsidR="009B73E1">
        <w:t>N</w:t>
      </w:r>
      <w:r w:rsidR="00524A91">
        <w:t xml:space="preserve">o. 170 </w:t>
      </w:r>
      <w:r w:rsidRPr="00A33B10">
        <w:t xml:space="preserve">in the sense that the envious man’s pain stems from a complete inversion of seemingly opposite emotional </w:t>
      </w:r>
      <w:r w:rsidR="00C63DDD">
        <w:t>s</w:t>
      </w:r>
      <w:r w:rsidR="000A2DC7">
        <w:t>tates. The important difference</w:t>
      </w:r>
      <w:r w:rsidRPr="00A33B10">
        <w:t xml:space="preserve"> is that </w:t>
      </w:r>
      <w:r w:rsidR="009B73E1">
        <w:t>N</w:t>
      </w:r>
      <w:r w:rsidRPr="00A33B10">
        <w:t xml:space="preserve">o. 19 </w:t>
      </w:r>
      <w:r w:rsidR="00524A91">
        <w:t xml:space="preserve">accepts, as an observed fact, that the envious man </w:t>
      </w:r>
      <w:r w:rsidR="00D25414">
        <w:t xml:space="preserve">is </w:t>
      </w:r>
      <w:r w:rsidRPr="00A33B10">
        <w:t>“incapable of rejoicing in another’s Merit or Success</w:t>
      </w:r>
      <w:r w:rsidR="009B73E1">
        <w:t>.</w:t>
      </w:r>
      <w:r w:rsidRPr="00A33B10">
        <w:t>”</w:t>
      </w:r>
      <w:r w:rsidR="009B73E1">
        <w:rPr>
          <w:rStyle w:val="EndnoteReference"/>
        </w:rPr>
        <w:endnoteReference w:id="54"/>
      </w:r>
      <w:r w:rsidRPr="00A33B10">
        <w:t xml:space="preserve"> </w:t>
      </w:r>
      <w:r>
        <w:t>As a result,</w:t>
      </w:r>
      <w:r w:rsidRPr="00A33B10">
        <w:t xml:space="preserve"> Steele does not pose the probl</w:t>
      </w:r>
      <w:r>
        <w:t xml:space="preserve">em of the passions in terms of </w:t>
      </w:r>
      <w:r w:rsidRPr="00A33B10">
        <w:t>appropriately manifesting an intransigent truth of experience</w:t>
      </w:r>
      <w:r>
        <w:t>; instead, he provides a more complicated consideration, one where the pains of envy arise from an incongruous relationsh</w:t>
      </w:r>
      <w:r w:rsidR="00FD3BBE">
        <w:t>ip between feelings and normative</w:t>
      </w:r>
      <w:r>
        <w:t xml:space="preserve"> “oughts.” </w:t>
      </w:r>
      <w:r w:rsidR="00F27D37">
        <w:t>Although t</w:t>
      </w:r>
      <w:r>
        <w:t>he comme</w:t>
      </w:r>
      <w:r w:rsidR="00524A91">
        <w:t xml:space="preserve">ntary of </w:t>
      </w:r>
      <w:r w:rsidR="009B73E1">
        <w:t>N</w:t>
      </w:r>
      <w:r w:rsidR="00524A91">
        <w:t>o. 19 does not contest</w:t>
      </w:r>
      <w:r>
        <w:t xml:space="preserve"> the social conventions that establish youth, beauty, valor and </w:t>
      </w:r>
      <w:r w:rsidR="00524A91">
        <w:t>wisdom as worthy of approbation</w:t>
      </w:r>
      <w:r w:rsidR="00F27D37">
        <w:t>, they are also not</w:t>
      </w:r>
      <w:r>
        <w:t xml:space="preserve"> its main focus. </w:t>
      </w:r>
      <w:r w:rsidR="00524A91">
        <w:t xml:space="preserve">Steele, rather, centers the essay </w:t>
      </w:r>
      <w:r>
        <w:t>on a discussion of how the pain of envy works through a signature inversion wherein what ought to cause the envious man pleasure actually causes him pain</w:t>
      </w:r>
      <w:r w:rsidR="00610867">
        <w:t>.</w:t>
      </w:r>
      <w:r w:rsidR="001002FA">
        <w:t xml:space="preserve"> </w:t>
      </w:r>
      <w:r w:rsidR="00071128">
        <w:t>C</w:t>
      </w:r>
      <w:r w:rsidR="00FD3BBE">
        <w:t xml:space="preserve">onsequently, </w:t>
      </w:r>
      <w:r w:rsidR="009B73E1">
        <w:t>N</w:t>
      </w:r>
      <w:r w:rsidR="00FD3BBE">
        <w:t>o. 19 calls into question a necessary</w:t>
      </w:r>
      <w:r>
        <w:t xml:space="preserve"> relationship between things, percept</w:t>
      </w:r>
      <w:r w:rsidR="00475EB3">
        <w:t>ions</w:t>
      </w:r>
      <w:r w:rsidR="009B73E1">
        <w:t>,</w:t>
      </w:r>
      <w:r w:rsidR="00475EB3">
        <w:t xml:space="preserve"> and passions.</w:t>
      </w:r>
      <w:r w:rsidR="00A57C51">
        <w:t xml:space="preserve"> </w:t>
      </w:r>
    </w:p>
    <w:p w14:paraId="27CE384D" w14:textId="09A68747" w:rsidR="00B15EE6" w:rsidRDefault="00641158" w:rsidP="00B15EE6">
      <w:pPr>
        <w:rPr>
          <w:szCs w:val="24"/>
        </w:rPr>
      </w:pPr>
      <w:r>
        <w:rPr>
          <w:szCs w:val="24"/>
        </w:rPr>
        <w:t>Here Steele</w:t>
      </w:r>
      <w:r w:rsidR="00263578">
        <w:rPr>
          <w:szCs w:val="24"/>
        </w:rPr>
        <w:t xml:space="preserve"> </w:t>
      </w:r>
      <w:r w:rsidR="00FD3BBE">
        <w:rPr>
          <w:szCs w:val="24"/>
        </w:rPr>
        <w:t xml:space="preserve">offers a </w:t>
      </w:r>
      <w:r w:rsidR="00263578">
        <w:rPr>
          <w:szCs w:val="24"/>
        </w:rPr>
        <w:t>counter to Addison’s interpretation of the Lockean morality that undergirds experience, for Locke</w:t>
      </w:r>
      <w:r w:rsidR="00104234">
        <w:rPr>
          <w:szCs w:val="24"/>
        </w:rPr>
        <w:t>,</w:t>
      </w:r>
      <w:r w:rsidR="00263578">
        <w:rPr>
          <w:szCs w:val="24"/>
        </w:rPr>
        <w:t xml:space="preserve"> too</w:t>
      </w:r>
      <w:r w:rsidR="00104234">
        <w:rPr>
          <w:szCs w:val="24"/>
        </w:rPr>
        <w:t>,</w:t>
      </w:r>
      <w:r w:rsidR="00263578">
        <w:rPr>
          <w:szCs w:val="24"/>
        </w:rPr>
        <w:t xml:space="preserve"> takes into consideration instances where we find our sense of “relish” </w:t>
      </w:r>
      <w:r w:rsidR="00067F66">
        <w:rPr>
          <w:szCs w:val="24"/>
        </w:rPr>
        <w:t>to be</w:t>
      </w:r>
      <w:r w:rsidR="00263578">
        <w:rPr>
          <w:szCs w:val="24"/>
        </w:rPr>
        <w:t xml:space="preserve"> out of </w:t>
      </w:r>
      <w:r w:rsidR="00104234">
        <w:rPr>
          <w:szCs w:val="24"/>
        </w:rPr>
        <w:t>calibration. The</w:t>
      </w:r>
      <w:r w:rsidR="00263578">
        <w:rPr>
          <w:szCs w:val="24"/>
        </w:rPr>
        <w:t xml:space="preserve"> envious man is in the most “Apostate State” not because he misdirects his esteem </w:t>
      </w:r>
      <w:r w:rsidR="00FD3BBE">
        <w:rPr>
          <w:szCs w:val="24"/>
        </w:rPr>
        <w:t>so that it mimics contempt</w:t>
      </w:r>
      <w:r w:rsidR="000B2C3F">
        <w:rPr>
          <w:szCs w:val="24"/>
        </w:rPr>
        <w:t>,</w:t>
      </w:r>
      <w:r w:rsidR="00FD3BBE">
        <w:rPr>
          <w:szCs w:val="24"/>
        </w:rPr>
        <w:t xml:space="preserve"> but </w:t>
      </w:r>
      <w:r w:rsidR="00263578">
        <w:rPr>
          <w:szCs w:val="24"/>
        </w:rPr>
        <w:t xml:space="preserve">because his perception of the figure that others approve </w:t>
      </w:r>
      <w:r w:rsidR="00263578">
        <w:rPr>
          <w:i/>
          <w:szCs w:val="24"/>
        </w:rPr>
        <w:t>does</w:t>
      </w:r>
      <w:r w:rsidR="00263578">
        <w:rPr>
          <w:szCs w:val="24"/>
        </w:rPr>
        <w:t xml:space="preserve"> cause him pain and that pain </w:t>
      </w:r>
      <w:r w:rsidR="00263578">
        <w:rPr>
          <w:i/>
          <w:szCs w:val="24"/>
        </w:rPr>
        <w:t>does</w:t>
      </w:r>
      <w:r w:rsidR="00263578">
        <w:rPr>
          <w:szCs w:val="24"/>
        </w:rPr>
        <w:t xml:space="preserve"> move him to hatred. </w:t>
      </w:r>
      <w:r w:rsidR="00067F66">
        <w:rPr>
          <w:szCs w:val="24"/>
        </w:rPr>
        <w:t>On this level, Steele echoes Locke’s assertion that</w:t>
      </w:r>
      <w:r w:rsidR="00263578">
        <w:rPr>
          <w:szCs w:val="24"/>
        </w:rPr>
        <w:t xml:space="preserve"> “the relish of the mind</w:t>
      </w:r>
      <w:r w:rsidR="00C455E1">
        <w:rPr>
          <w:szCs w:val="24"/>
        </w:rPr>
        <w:t xml:space="preserve"> </w:t>
      </w:r>
      <w:r w:rsidR="00263578">
        <w:rPr>
          <w:szCs w:val="24"/>
        </w:rPr>
        <w:t>…</w:t>
      </w:r>
      <w:r w:rsidR="00C455E1">
        <w:rPr>
          <w:szCs w:val="24"/>
        </w:rPr>
        <w:t xml:space="preserve"> </w:t>
      </w:r>
      <w:r w:rsidR="00263578">
        <w:rPr>
          <w:szCs w:val="24"/>
        </w:rPr>
        <w:t xml:space="preserve">may be alter’d; and </w:t>
      </w:r>
      <w:r w:rsidR="00C455E1">
        <w:rPr>
          <w:szCs w:val="24"/>
        </w:rPr>
        <w:t>’</w:t>
      </w:r>
      <w:r w:rsidR="00263578">
        <w:rPr>
          <w:szCs w:val="24"/>
        </w:rPr>
        <w:t xml:space="preserve">tis a mistake to </w:t>
      </w:r>
      <w:r w:rsidR="00263578">
        <w:rPr>
          <w:szCs w:val="24"/>
        </w:rPr>
        <w:lastRenderedPageBreak/>
        <w:t>think, that Men cannot change the displeasing</w:t>
      </w:r>
      <w:r w:rsidR="00D25414">
        <w:rPr>
          <w:szCs w:val="24"/>
        </w:rPr>
        <w:t>n</w:t>
      </w:r>
      <w:r w:rsidR="00263578">
        <w:rPr>
          <w:szCs w:val="24"/>
        </w:rPr>
        <w:t>ess, or indifferency, that is in actions</w:t>
      </w:r>
      <w:r w:rsidR="00D25414">
        <w:rPr>
          <w:szCs w:val="24"/>
        </w:rPr>
        <w:t>,</w:t>
      </w:r>
      <w:r w:rsidR="00263578">
        <w:rPr>
          <w:szCs w:val="24"/>
        </w:rPr>
        <w:t xml:space="preserve"> into pleasure and desire, if they will do but what is in their power</w:t>
      </w:r>
      <w:r w:rsidR="00C455E1">
        <w:rPr>
          <w:szCs w:val="24"/>
        </w:rPr>
        <w:t>.</w:t>
      </w:r>
      <w:r w:rsidR="00263578">
        <w:rPr>
          <w:szCs w:val="24"/>
        </w:rPr>
        <w:t>”</w:t>
      </w:r>
      <w:r w:rsidR="00C455E1">
        <w:rPr>
          <w:rStyle w:val="EndnoteReference"/>
          <w:szCs w:val="24"/>
        </w:rPr>
        <w:endnoteReference w:id="55"/>
      </w:r>
      <w:r w:rsidR="00263578">
        <w:rPr>
          <w:szCs w:val="24"/>
        </w:rPr>
        <w:t xml:space="preserve"> </w:t>
      </w:r>
      <w:r w:rsidR="00067F66">
        <w:rPr>
          <w:szCs w:val="24"/>
        </w:rPr>
        <w:t xml:space="preserve">While Steele doesn’t quibble with the idea that one could train oneself to readjust </w:t>
      </w:r>
      <w:r w:rsidR="00C455E1">
        <w:rPr>
          <w:szCs w:val="24"/>
        </w:rPr>
        <w:t>one’s</w:t>
      </w:r>
      <w:r w:rsidR="00067F66">
        <w:rPr>
          <w:szCs w:val="24"/>
        </w:rPr>
        <w:t xml:space="preserve"> sense of pleasure or desire, the general inquiry of his essays is more cautious on the question of whether or not one </w:t>
      </w:r>
      <w:r w:rsidR="00067F66">
        <w:rPr>
          <w:i/>
          <w:szCs w:val="24"/>
        </w:rPr>
        <w:t xml:space="preserve">ought </w:t>
      </w:r>
      <w:r w:rsidR="00B15EE6">
        <w:rPr>
          <w:szCs w:val="24"/>
        </w:rPr>
        <w:t xml:space="preserve">to do so. </w:t>
      </w:r>
      <w:r w:rsidR="00067F66">
        <w:rPr>
          <w:szCs w:val="24"/>
        </w:rPr>
        <w:t>Again, taking a Lockean tack, o</w:t>
      </w:r>
      <w:r w:rsidR="00263578">
        <w:rPr>
          <w:szCs w:val="24"/>
        </w:rPr>
        <w:t xml:space="preserve">ne must look inward, not to social </w:t>
      </w:r>
      <w:r w:rsidR="00B15EE6">
        <w:rPr>
          <w:szCs w:val="24"/>
        </w:rPr>
        <w:t>convention, to find the answer.</w:t>
      </w:r>
    </w:p>
    <w:p w14:paraId="6CFF7E21" w14:textId="65395CBC" w:rsidR="00263578" w:rsidRDefault="00263578" w:rsidP="00B15EE6">
      <w:pPr>
        <w:rPr>
          <w:szCs w:val="24"/>
        </w:rPr>
      </w:pPr>
      <w:r>
        <w:rPr>
          <w:szCs w:val="24"/>
        </w:rPr>
        <w:t xml:space="preserve">Locke warns that “Fashion and the common Opinion having settled wrong Notions, </w:t>
      </w:r>
      <w:r w:rsidR="00D25414">
        <w:rPr>
          <w:szCs w:val="24"/>
        </w:rPr>
        <w:t>and education and custom ill habits, t</w:t>
      </w:r>
      <w:r>
        <w:rPr>
          <w:szCs w:val="24"/>
        </w:rPr>
        <w:t>he just values of things are misplaced</w:t>
      </w:r>
      <w:r w:rsidR="00475EB3">
        <w:rPr>
          <w:szCs w:val="24"/>
        </w:rPr>
        <w:t>,</w:t>
      </w:r>
      <w:r>
        <w:rPr>
          <w:szCs w:val="24"/>
        </w:rPr>
        <w:t xml:space="preserve"> and the palates of Men corrupted</w:t>
      </w:r>
      <w:r w:rsidR="00C455E1">
        <w:rPr>
          <w:szCs w:val="24"/>
        </w:rPr>
        <w:t>.</w:t>
      </w:r>
      <w:r>
        <w:rPr>
          <w:szCs w:val="24"/>
        </w:rPr>
        <w:t>”</w:t>
      </w:r>
      <w:r w:rsidR="00C455E1">
        <w:rPr>
          <w:rStyle w:val="EndnoteReference"/>
          <w:szCs w:val="24"/>
        </w:rPr>
        <w:endnoteReference w:id="56"/>
      </w:r>
      <w:r w:rsidR="00C455E1">
        <w:rPr>
          <w:szCs w:val="24"/>
        </w:rPr>
        <w:t xml:space="preserve"> </w:t>
      </w:r>
      <w:r>
        <w:rPr>
          <w:szCs w:val="24"/>
        </w:rPr>
        <w:t xml:space="preserve">So we must rectify our palates not </w:t>
      </w:r>
      <w:r w:rsidR="000B2C3F">
        <w:rPr>
          <w:szCs w:val="24"/>
        </w:rPr>
        <w:t>according to</w:t>
      </w:r>
      <w:r>
        <w:rPr>
          <w:szCs w:val="24"/>
        </w:rPr>
        <w:t xml:space="preserve"> what “custom has endear’d” but to what we judge, without prejudice, to be in service</w:t>
      </w:r>
      <w:r w:rsidR="00D25414">
        <w:rPr>
          <w:szCs w:val="24"/>
        </w:rPr>
        <w:t xml:space="preserve"> </w:t>
      </w:r>
      <w:r w:rsidR="00067F66">
        <w:rPr>
          <w:szCs w:val="24"/>
        </w:rPr>
        <w:t>of</w:t>
      </w:r>
      <w:r w:rsidR="00D25414">
        <w:rPr>
          <w:szCs w:val="24"/>
        </w:rPr>
        <w:t xml:space="preserve"> the “greatest apparent good</w:t>
      </w:r>
      <w:r w:rsidR="00C455E1">
        <w:rPr>
          <w:szCs w:val="24"/>
        </w:rPr>
        <w:t>.</w:t>
      </w:r>
      <w:r>
        <w:rPr>
          <w:szCs w:val="24"/>
        </w:rPr>
        <w:t>”</w:t>
      </w:r>
      <w:r w:rsidR="008A0B00">
        <w:rPr>
          <w:rStyle w:val="EndnoteReference"/>
          <w:szCs w:val="24"/>
        </w:rPr>
        <w:endnoteReference w:id="57"/>
      </w:r>
      <w:r w:rsidR="00D25414">
        <w:rPr>
          <w:szCs w:val="24"/>
        </w:rPr>
        <w:t xml:space="preserve"> </w:t>
      </w:r>
      <w:r w:rsidR="00067F66">
        <w:rPr>
          <w:szCs w:val="24"/>
        </w:rPr>
        <w:t>Achieving such a level of understanding</w:t>
      </w:r>
      <w:r w:rsidR="006638D5">
        <w:rPr>
          <w:szCs w:val="24"/>
        </w:rPr>
        <w:t>,</w:t>
      </w:r>
      <w:r>
        <w:rPr>
          <w:szCs w:val="24"/>
        </w:rPr>
        <w:t xml:space="preserve"> as I </w:t>
      </w:r>
      <w:r w:rsidR="00067F66">
        <w:rPr>
          <w:szCs w:val="24"/>
        </w:rPr>
        <w:t xml:space="preserve">have </w:t>
      </w:r>
      <w:r>
        <w:rPr>
          <w:szCs w:val="24"/>
        </w:rPr>
        <w:t>show</w:t>
      </w:r>
      <w:r w:rsidR="00067F66">
        <w:rPr>
          <w:szCs w:val="24"/>
        </w:rPr>
        <w:t>n</w:t>
      </w:r>
      <w:r>
        <w:rPr>
          <w:szCs w:val="24"/>
        </w:rPr>
        <w:t xml:space="preserve"> above, </w:t>
      </w:r>
      <w:r w:rsidR="004D6A62">
        <w:rPr>
          <w:szCs w:val="24"/>
        </w:rPr>
        <w:t>would require</w:t>
      </w:r>
      <w:r w:rsidR="00067F66">
        <w:rPr>
          <w:szCs w:val="24"/>
        </w:rPr>
        <w:t xml:space="preserve"> an</w:t>
      </w:r>
      <w:r w:rsidR="00D25414">
        <w:rPr>
          <w:szCs w:val="24"/>
        </w:rPr>
        <w:t xml:space="preserve"> </w:t>
      </w:r>
      <w:r w:rsidR="000B2C3F">
        <w:rPr>
          <w:szCs w:val="24"/>
        </w:rPr>
        <w:t>at</w:t>
      </w:r>
      <w:r w:rsidR="00D25414">
        <w:rPr>
          <w:szCs w:val="24"/>
        </w:rPr>
        <w:t>tune</w:t>
      </w:r>
      <w:r w:rsidR="00067F66">
        <w:rPr>
          <w:szCs w:val="24"/>
        </w:rPr>
        <w:t>ment</w:t>
      </w:r>
      <w:r>
        <w:rPr>
          <w:szCs w:val="24"/>
        </w:rPr>
        <w:t xml:space="preserve"> to the intrinsic good or evil in things </w:t>
      </w:r>
      <w:r w:rsidR="00067F66">
        <w:rPr>
          <w:szCs w:val="24"/>
        </w:rPr>
        <w:t xml:space="preserve">which reveals </w:t>
      </w:r>
      <w:r>
        <w:rPr>
          <w:szCs w:val="24"/>
        </w:rPr>
        <w:t>the “inexorable law of being” underwritten by the pleasure of God.</w:t>
      </w:r>
      <w:r>
        <w:rPr>
          <w:rStyle w:val="EndnoteReference"/>
          <w:szCs w:val="24"/>
        </w:rPr>
        <w:endnoteReference w:id="58"/>
      </w:r>
      <w:r w:rsidR="006638D5">
        <w:rPr>
          <w:szCs w:val="24"/>
        </w:rPr>
        <w:t xml:space="preserve"> </w:t>
      </w:r>
      <w:r>
        <w:rPr>
          <w:szCs w:val="24"/>
        </w:rPr>
        <w:t>This is the point at which Steele’s inquiries diverge from Addison’s</w:t>
      </w:r>
      <w:r w:rsidR="00D25414">
        <w:rPr>
          <w:szCs w:val="24"/>
        </w:rPr>
        <w:t>, via Locke</w:t>
      </w:r>
      <w:r w:rsidR="000B2C3F">
        <w:rPr>
          <w:szCs w:val="24"/>
        </w:rPr>
        <w:t>.</w:t>
      </w:r>
      <w:r>
        <w:rPr>
          <w:szCs w:val="24"/>
        </w:rPr>
        <w:t xml:space="preserve"> While </w:t>
      </w:r>
      <w:r w:rsidR="00D25414">
        <w:rPr>
          <w:szCs w:val="24"/>
        </w:rPr>
        <w:t>Addison, Steele</w:t>
      </w:r>
      <w:r w:rsidR="008A0B00">
        <w:rPr>
          <w:szCs w:val="24"/>
        </w:rPr>
        <w:t>,</w:t>
      </w:r>
      <w:r w:rsidR="00D25414">
        <w:rPr>
          <w:szCs w:val="24"/>
        </w:rPr>
        <w:t xml:space="preserve"> and Locke </w:t>
      </w:r>
      <w:r w:rsidR="00FD3BBE">
        <w:rPr>
          <w:szCs w:val="24"/>
        </w:rPr>
        <w:t>all</w:t>
      </w:r>
      <w:r w:rsidR="00D25414">
        <w:rPr>
          <w:szCs w:val="24"/>
        </w:rPr>
        <w:t xml:space="preserve"> </w:t>
      </w:r>
      <w:r>
        <w:rPr>
          <w:szCs w:val="24"/>
        </w:rPr>
        <w:t>share</w:t>
      </w:r>
      <w:r w:rsidR="00D25414">
        <w:rPr>
          <w:szCs w:val="24"/>
        </w:rPr>
        <w:t xml:space="preserve"> a</w:t>
      </w:r>
      <w:r>
        <w:rPr>
          <w:szCs w:val="24"/>
        </w:rPr>
        <w:t xml:space="preserve"> distrust of “Fashion and the common Opinion,” Steele places more value on testing what it </w:t>
      </w:r>
      <w:r>
        <w:rPr>
          <w:i/>
          <w:szCs w:val="24"/>
        </w:rPr>
        <w:t>feels like</w:t>
      </w:r>
      <w:r>
        <w:rPr>
          <w:szCs w:val="24"/>
        </w:rPr>
        <w:t xml:space="preserve"> to experie</w:t>
      </w:r>
      <w:r w:rsidR="00D25414">
        <w:rPr>
          <w:szCs w:val="24"/>
        </w:rPr>
        <w:t>nce happiness and misery than on deriving</w:t>
      </w:r>
      <w:r>
        <w:rPr>
          <w:szCs w:val="24"/>
        </w:rPr>
        <w:t xml:space="preserve"> judgment</w:t>
      </w:r>
      <w:r w:rsidR="00D25414">
        <w:rPr>
          <w:szCs w:val="24"/>
        </w:rPr>
        <w:t>s</w:t>
      </w:r>
      <w:r w:rsidR="00AA5BF9">
        <w:rPr>
          <w:szCs w:val="24"/>
        </w:rPr>
        <w:t xml:space="preserve"> of human action from</w:t>
      </w:r>
      <w:r>
        <w:rPr>
          <w:szCs w:val="24"/>
        </w:rPr>
        <w:t xml:space="preserve"> those feelings. When he turns his attention to grief, we get a full pic</w:t>
      </w:r>
      <w:r w:rsidR="00D25414">
        <w:rPr>
          <w:szCs w:val="24"/>
        </w:rPr>
        <w:t>ture of how he imagines passions</w:t>
      </w:r>
      <w:r>
        <w:rPr>
          <w:szCs w:val="24"/>
        </w:rPr>
        <w:t xml:space="preserve"> to func</w:t>
      </w:r>
      <w:r w:rsidR="00D25414">
        <w:rPr>
          <w:szCs w:val="24"/>
        </w:rPr>
        <w:t>tion within the</w:t>
      </w:r>
      <w:r>
        <w:rPr>
          <w:szCs w:val="24"/>
        </w:rPr>
        <w:t xml:space="preserve"> newly </w:t>
      </w:r>
      <w:r w:rsidR="00D25414">
        <w:rPr>
          <w:szCs w:val="24"/>
        </w:rPr>
        <w:t>interrog</w:t>
      </w:r>
      <w:r>
        <w:rPr>
          <w:szCs w:val="24"/>
        </w:rPr>
        <w:t xml:space="preserve">ated space </w:t>
      </w:r>
      <w:r w:rsidR="00E97D69">
        <w:rPr>
          <w:szCs w:val="24"/>
        </w:rPr>
        <w:t>b</w:t>
      </w:r>
      <w:r w:rsidR="00D25414">
        <w:rPr>
          <w:szCs w:val="24"/>
        </w:rPr>
        <w:t>etween agitation and motivation</w:t>
      </w:r>
      <w:r w:rsidR="00FD3BBE">
        <w:rPr>
          <w:szCs w:val="24"/>
        </w:rPr>
        <w:t>.</w:t>
      </w:r>
    </w:p>
    <w:p w14:paraId="2096AB3B" w14:textId="16B73742" w:rsidR="00263578" w:rsidRDefault="00263578" w:rsidP="001F57BF">
      <w:pPr>
        <w:rPr>
          <w:szCs w:val="24"/>
        </w:rPr>
      </w:pPr>
      <w:r>
        <w:rPr>
          <w:szCs w:val="24"/>
        </w:rPr>
        <w:t>In a letter</w:t>
      </w:r>
      <w:r w:rsidR="00E97D69">
        <w:rPr>
          <w:szCs w:val="24"/>
        </w:rPr>
        <w:t xml:space="preserve"> signed </w:t>
      </w:r>
      <w:r w:rsidR="00E41A54">
        <w:rPr>
          <w:szCs w:val="24"/>
        </w:rPr>
        <w:t>by “</w:t>
      </w:r>
      <w:r w:rsidR="00E97D69">
        <w:rPr>
          <w:szCs w:val="24"/>
        </w:rPr>
        <w:t>B.D.</w:t>
      </w:r>
      <w:r w:rsidR="00E41A54">
        <w:rPr>
          <w:szCs w:val="24"/>
        </w:rPr>
        <w:t>”</w:t>
      </w:r>
      <w:r>
        <w:rPr>
          <w:szCs w:val="24"/>
        </w:rPr>
        <w:t xml:space="preserve"> that ma</w:t>
      </w:r>
      <w:r w:rsidR="00E97D69">
        <w:rPr>
          <w:szCs w:val="24"/>
        </w:rPr>
        <w:t xml:space="preserve">kes up half of </w:t>
      </w:r>
      <w:r w:rsidR="008A0B00" w:rsidRPr="008A0B00">
        <w:rPr>
          <w:i/>
          <w:szCs w:val="24"/>
        </w:rPr>
        <w:t>S</w:t>
      </w:r>
      <w:r w:rsidR="008A0B00" w:rsidRPr="00102395">
        <w:rPr>
          <w:i/>
          <w:szCs w:val="24"/>
        </w:rPr>
        <w:t>p</w:t>
      </w:r>
      <w:r w:rsidR="008A0B00" w:rsidRPr="008A0B00">
        <w:rPr>
          <w:i/>
          <w:szCs w:val="24"/>
        </w:rPr>
        <w:t>ectator</w:t>
      </w:r>
      <w:r w:rsidR="008A0B00">
        <w:rPr>
          <w:szCs w:val="24"/>
        </w:rPr>
        <w:t xml:space="preserve"> N</w:t>
      </w:r>
      <w:r w:rsidR="00E97D69" w:rsidRPr="008A0B00">
        <w:rPr>
          <w:szCs w:val="24"/>
        </w:rPr>
        <w:t>o</w:t>
      </w:r>
      <w:r w:rsidR="00E97D69">
        <w:rPr>
          <w:szCs w:val="24"/>
        </w:rPr>
        <w:t>. 95’s content, the writer asks Mr. Spectator to “enter into the Matter [of mourning] more deeply” and comment on those “who prescribe Rules and Fashions to the most solemn Affliction</w:t>
      </w:r>
      <w:r w:rsidR="008A0B00">
        <w:rPr>
          <w:szCs w:val="24"/>
        </w:rPr>
        <w:t>.</w:t>
      </w:r>
      <w:r w:rsidR="00E97D69">
        <w:rPr>
          <w:szCs w:val="24"/>
        </w:rPr>
        <w:t>”</w:t>
      </w:r>
      <w:r w:rsidR="00E97D69">
        <w:rPr>
          <w:rStyle w:val="EndnoteReference"/>
          <w:szCs w:val="24"/>
        </w:rPr>
        <w:endnoteReference w:id="59"/>
      </w:r>
      <w:r w:rsidR="00D25414">
        <w:rPr>
          <w:szCs w:val="24"/>
        </w:rPr>
        <w:t xml:space="preserve"> Since there is no reply from Mr. Spectator, </w:t>
      </w:r>
      <w:r w:rsidR="00E97D69">
        <w:rPr>
          <w:szCs w:val="24"/>
        </w:rPr>
        <w:t>the letter stands alone as it</w:t>
      </w:r>
      <w:r w:rsidR="00D25414">
        <w:rPr>
          <w:szCs w:val="24"/>
        </w:rPr>
        <w:t>s own commentary on the subject, and</w:t>
      </w:r>
      <w:r w:rsidR="00E97D69">
        <w:rPr>
          <w:szCs w:val="24"/>
        </w:rPr>
        <w:t xml:space="preserve"> B.D.’s request makes plain </w:t>
      </w:r>
      <w:r w:rsidR="00D25414">
        <w:rPr>
          <w:szCs w:val="24"/>
        </w:rPr>
        <w:t>the risk we run when social norms codify responses to</w:t>
      </w:r>
      <w:r w:rsidR="00E97D69">
        <w:rPr>
          <w:szCs w:val="24"/>
        </w:rPr>
        <w:t xml:space="preserve"> deeply per</w:t>
      </w:r>
      <w:r w:rsidR="00FD3BBE">
        <w:rPr>
          <w:szCs w:val="24"/>
        </w:rPr>
        <w:t>sonal experiences</w:t>
      </w:r>
      <w:r w:rsidR="00E97D69">
        <w:rPr>
          <w:szCs w:val="24"/>
        </w:rPr>
        <w:t xml:space="preserve">. </w:t>
      </w:r>
      <w:r w:rsidR="00D25414">
        <w:rPr>
          <w:szCs w:val="24"/>
        </w:rPr>
        <w:t>The essay</w:t>
      </w:r>
      <w:r w:rsidR="00E97D69">
        <w:rPr>
          <w:szCs w:val="24"/>
        </w:rPr>
        <w:t xml:space="preserve"> implies t</w:t>
      </w:r>
      <w:r w:rsidR="00FD3BBE">
        <w:rPr>
          <w:szCs w:val="24"/>
        </w:rPr>
        <w:t>hat when all of the social capital of mourning is attached to</w:t>
      </w:r>
      <w:r w:rsidR="00E97D69">
        <w:rPr>
          <w:szCs w:val="24"/>
        </w:rPr>
        <w:t xml:space="preserve"> predetermined </w:t>
      </w:r>
      <w:r w:rsidR="00E97D69">
        <w:rPr>
          <w:szCs w:val="24"/>
        </w:rPr>
        <w:lastRenderedPageBreak/>
        <w:t>set</w:t>
      </w:r>
      <w:r w:rsidR="00FD3BBE">
        <w:rPr>
          <w:szCs w:val="24"/>
        </w:rPr>
        <w:t>s</w:t>
      </w:r>
      <w:r w:rsidR="00E97D69">
        <w:rPr>
          <w:szCs w:val="24"/>
        </w:rPr>
        <w:t xml:space="preserve"> of physical reactions, there is little incentive to contemplate what actually passes in the mind and, thus, the very concept of passion is reduced to superficiality. No. 95 asks us instead to pay attention to what is beneath the </w:t>
      </w:r>
      <w:r w:rsidR="00FD3BBE">
        <w:rPr>
          <w:szCs w:val="24"/>
        </w:rPr>
        <w:t>injunction</w:t>
      </w:r>
      <w:r w:rsidR="00E97D69">
        <w:rPr>
          <w:szCs w:val="24"/>
        </w:rPr>
        <w:t xml:space="preserve"> </w:t>
      </w:r>
      <w:r w:rsidR="00FD3BBE">
        <w:rPr>
          <w:szCs w:val="24"/>
        </w:rPr>
        <w:t>to adjudicate</w:t>
      </w:r>
      <w:r w:rsidR="00E97D69">
        <w:rPr>
          <w:szCs w:val="24"/>
        </w:rPr>
        <w:t xml:space="preserve"> </w:t>
      </w:r>
      <w:r w:rsidR="00E41A54">
        <w:rPr>
          <w:szCs w:val="24"/>
        </w:rPr>
        <w:t xml:space="preserve">properly </w:t>
      </w:r>
      <w:r w:rsidR="00E97D69">
        <w:rPr>
          <w:szCs w:val="24"/>
        </w:rPr>
        <w:t>the relationship between one’s feelings and behaviors. After calling into question the supposedly immediate link of sorrow to tears, B.D. finds his own occasion to dive deeper than the “common Sense the ordinary People have</w:t>
      </w:r>
      <w:r w:rsidR="00D537E6">
        <w:rPr>
          <w:szCs w:val="24"/>
        </w:rPr>
        <w:t>.</w:t>
      </w:r>
      <w:r w:rsidR="00E97D69">
        <w:rPr>
          <w:szCs w:val="24"/>
        </w:rPr>
        <w:t>”</w:t>
      </w:r>
      <w:r w:rsidR="00D537E6">
        <w:rPr>
          <w:rStyle w:val="EndnoteReference"/>
          <w:szCs w:val="24"/>
        </w:rPr>
        <w:endnoteReference w:id="60"/>
      </w:r>
      <w:r w:rsidR="00E97D69">
        <w:rPr>
          <w:szCs w:val="24"/>
        </w:rPr>
        <w:t xml:space="preserve"> Citing the authority of scientific di</w:t>
      </w:r>
      <w:r w:rsidR="00D25414">
        <w:rPr>
          <w:szCs w:val="24"/>
        </w:rPr>
        <w:t>sciplines, B.D. asserts</w:t>
      </w:r>
      <w:r w:rsidR="00E97D69">
        <w:rPr>
          <w:szCs w:val="24"/>
        </w:rPr>
        <w:t xml:space="preserve">: </w:t>
      </w:r>
      <w:r w:rsidR="00D25414">
        <w:rPr>
          <w:szCs w:val="24"/>
        </w:rPr>
        <w:t>“</w:t>
      </w:r>
      <w:r w:rsidR="00E97D69">
        <w:rPr>
          <w:szCs w:val="24"/>
        </w:rPr>
        <w:t>Experience has told us nothing is so fallacious as this outward S</w:t>
      </w:r>
      <w:r w:rsidR="009266C5">
        <w:rPr>
          <w:szCs w:val="24"/>
        </w:rPr>
        <w:t>ign of Sorrow; and the natural H</w:t>
      </w:r>
      <w:r w:rsidR="00E97D69">
        <w:rPr>
          <w:szCs w:val="24"/>
        </w:rPr>
        <w:t>istory of our Bodies will teach us, that this Flux of the Eyes, this Faculty of weeping is peculiar only to s</w:t>
      </w:r>
      <w:r w:rsidR="00E31E20">
        <w:rPr>
          <w:szCs w:val="24"/>
        </w:rPr>
        <w:t>ome Constitutions</w:t>
      </w:r>
      <w:r w:rsidR="00D537E6">
        <w:rPr>
          <w:szCs w:val="24"/>
        </w:rPr>
        <w:t>.</w:t>
      </w:r>
      <w:r w:rsidR="00E31E20">
        <w:rPr>
          <w:szCs w:val="24"/>
        </w:rPr>
        <w:t>”</w:t>
      </w:r>
      <w:r w:rsidR="00D537E6">
        <w:rPr>
          <w:rStyle w:val="EndnoteReference"/>
          <w:szCs w:val="24"/>
        </w:rPr>
        <w:endnoteReference w:id="61"/>
      </w:r>
      <w:r w:rsidR="00E31E20">
        <w:rPr>
          <w:szCs w:val="24"/>
        </w:rPr>
        <w:t xml:space="preserve"> B.D.’s</w:t>
      </w:r>
      <w:r w:rsidR="00E97D69">
        <w:rPr>
          <w:szCs w:val="24"/>
        </w:rPr>
        <w:t xml:space="preserve"> observation that the quintessential nature of the passions is m</w:t>
      </w:r>
      <w:r w:rsidR="00D25414">
        <w:rPr>
          <w:szCs w:val="24"/>
        </w:rPr>
        <w:t>o</w:t>
      </w:r>
      <w:r w:rsidR="00E97D69">
        <w:rPr>
          <w:szCs w:val="24"/>
        </w:rPr>
        <w:t xml:space="preserve">st evident at their point of greatest excess </w:t>
      </w:r>
      <w:r w:rsidR="00FD3BBE">
        <w:rPr>
          <w:szCs w:val="24"/>
        </w:rPr>
        <w:t>is</w:t>
      </w:r>
      <w:r w:rsidR="00E97D69">
        <w:rPr>
          <w:szCs w:val="24"/>
        </w:rPr>
        <w:t xml:space="preserve"> the </w:t>
      </w:r>
      <w:r w:rsidR="00FD3BBE">
        <w:rPr>
          <w:szCs w:val="24"/>
        </w:rPr>
        <w:t xml:space="preserve">heart of Steele’s </w:t>
      </w:r>
      <w:r w:rsidR="00E97D69">
        <w:rPr>
          <w:szCs w:val="24"/>
        </w:rPr>
        <w:t>model.</w:t>
      </w:r>
    </w:p>
    <w:p w14:paraId="4F33B7FF" w14:textId="147B9138" w:rsidR="00E97D69" w:rsidRDefault="00E41A54" w:rsidP="001F57BF">
      <w:pPr>
        <w:rPr>
          <w:szCs w:val="24"/>
        </w:rPr>
      </w:pPr>
      <w:r>
        <w:rPr>
          <w:szCs w:val="24"/>
        </w:rPr>
        <w:t>By employing m</w:t>
      </w:r>
      <w:r w:rsidR="00E97D69">
        <w:rPr>
          <w:szCs w:val="24"/>
        </w:rPr>
        <w:t>ore than cautionary rhetoric, B.D.’s observation calls attention to the conundrum underlying modern conceptions of emotion: How can we account for the anomalous uneasiness that inheres in the passions, one that the “natural History of our Bodies” has always made known to us</w:t>
      </w:r>
      <w:r w:rsidR="00D25414">
        <w:rPr>
          <w:szCs w:val="24"/>
        </w:rPr>
        <w:t xml:space="preserve"> but </w:t>
      </w:r>
      <w:r>
        <w:rPr>
          <w:szCs w:val="24"/>
        </w:rPr>
        <w:t xml:space="preserve">that </w:t>
      </w:r>
      <w:r w:rsidR="00D25414">
        <w:rPr>
          <w:szCs w:val="24"/>
        </w:rPr>
        <w:t>philosophy has never explained</w:t>
      </w:r>
      <w:r w:rsidR="00E97D69">
        <w:rPr>
          <w:szCs w:val="24"/>
        </w:rPr>
        <w:t>?</w:t>
      </w:r>
      <w:r w:rsidR="00D25414">
        <w:rPr>
          <w:szCs w:val="24"/>
        </w:rPr>
        <w:t xml:space="preserve"> The point I want to emphasize here is that, precisely because of their inherent</w:t>
      </w:r>
      <w:r w:rsidR="00D537E6">
        <w:rPr>
          <w:szCs w:val="24"/>
        </w:rPr>
        <w:t>ly</w:t>
      </w:r>
      <w:r w:rsidR="00D25414">
        <w:rPr>
          <w:szCs w:val="24"/>
        </w:rPr>
        <w:t xml:space="preserve"> disruptive quality,</w:t>
      </w:r>
      <w:r w:rsidR="00C22625">
        <w:rPr>
          <w:szCs w:val="24"/>
        </w:rPr>
        <w:t xml:space="preserve"> our passions</w:t>
      </w:r>
      <w:r w:rsidR="00D25414">
        <w:rPr>
          <w:szCs w:val="24"/>
        </w:rPr>
        <w:t xml:space="preserve"> allow us</w:t>
      </w:r>
      <w:r w:rsidR="00FD3BBE">
        <w:rPr>
          <w:szCs w:val="24"/>
        </w:rPr>
        <w:t xml:space="preserve"> to access</w:t>
      </w:r>
      <w:r w:rsidR="00D25414">
        <w:rPr>
          <w:szCs w:val="24"/>
        </w:rPr>
        <w:t xml:space="preserve"> a feature of experience</w:t>
      </w:r>
      <w:r w:rsidR="00FD3BBE">
        <w:rPr>
          <w:szCs w:val="24"/>
        </w:rPr>
        <w:t xml:space="preserve"> that is “profound”</w:t>
      </w:r>
      <w:r w:rsidR="00D25414">
        <w:rPr>
          <w:szCs w:val="24"/>
        </w:rPr>
        <w:t xml:space="preserve"> </w:t>
      </w:r>
      <w:r w:rsidR="00FD3BBE">
        <w:rPr>
          <w:szCs w:val="24"/>
        </w:rPr>
        <w:t xml:space="preserve">because it is intensely felt and at the same time ineffable. It is </w:t>
      </w:r>
      <w:r w:rsidR="00D25414">
        <w:rPr>
          <w:szCs w:val="24"/>
        </w:rPr>
        <w:t xml:space="preserve">not translatable into outward </w:t>
      </w:r>
      <w:r w:rsidR="00641158">
        <w:rPr>
          <w:szCs w:val="24"/>
        </w:rPr>
        <w:t>shows</w:t>
      </w:r>
      <w:r w:rsidR="00D25414">
        <w:rPr>
          <w:szCs w:val="24"/>
        </w:rPr>
        <w:t xml:space="preserve"> or</w:t>
      </w:r>
      <w:r w:rsidR="00FD3BBE">
        <w:rPr>
          <w:szCs w:val="24"/>
        </w:rPr>
        <w:t xml:space="preserve"> descriptive language until it</w:t>
      </w:r>
      <w:r w:rsidR="00D25414">
        <w:rPr>
          <w:szCs w:val="24"/>
        </w:rPr>
        <w:t xml:space="preserve"> lose</w:t>
      </w:r>
      <w:r w:rsidR="00FD3BBE">
        <w:rPr>
          <w:szCs w:val="24"/>
        </w:rPr>
        <w:t>s</w:t>
      </w:r>
      <w:r w:rsidR="00D25414">
        <w:rPr>
          <w:szCs w:val="24"/>
        </w:rPr>
        <w:t xml:space="preserve"> something of </w:t>
      </w:r>
      <w:r w:rsidR="00FD3BBE">
        <w:rPr>
          <w:szCs w:val="24"/>
        </w:rPr>
        <w:t>its</w:t>
      </w:r>
      <w:r w:rsidR="00D25414">
        <w:rPr>
          <w:szCs w:val="24"/>
        </w:rPr>
        <w:t xml:space="preserve"> intensity.</w:t>
      </w:r>
      <w:r w:rsidR="00E97D69">
        <w:rPr>
          <w:szCs w:val="24"/>
        </w:rPr>
        <w:t xml:space="preserve"> Moreover, the act of experiencing a passion is a split event such that the articulable feelings of “joy” and “sorrow” precipitate from an imbricated, ur-state of mental activity where both are drawn from the same turbulent source</w:t>
      </w:r>
      <w:r w:rsidR="00FD3BBE">
        <w:rPr>
          <w:szCs w:val="24"/>
        </w:rPr>
        <w:t>. T</w:t>
      </w:r>
      <w:r w:rsidR="00E97D69">
        <w:rPr>
          <w:szCs w:val="24"/>
        </w:rPr>
        <w:t>he distinctions between them only develop through the process of</w:t>
      </w:r>
      <w:r w:rsidR="00FD3BBE">
        <w:rPr>
          <w:szCs w:val="24"/>
        </w:rPr>
        <w:t xml:space="preserve"> assessment and categorization.</w:t>
      </w:r>
    </w:p>
    <w:p w14:paraId="742AC409" w14:textId="0DCF8C29" w:rsidR="0028166D" w:rsidRDefault="00E97D69" w:rsidP="001F57BF">
      <w:pPr>
        <w:rPr>
          <w:szCs w:val="24"/>
        </w:rPr>
      </w:pPr>
      <w:r>
        <w:rPr>
          <w:szCs w:val="24"/>
        </w:rPr>
        <w:t>To emphasize the departure of this view from Addison’s,</w:t>
      </w:r>
      <w:r w:rsidR="00E31E20">
        <w:rPr>
          <w:szCs w:val="24"/>
        </w:rPr>
        <w:t xml:space="preserve"> the </w:t>
      </w:r>
      <w:r>
        <w:rPr>
          <w:szCs w:val="24"/>
        </w:rPr>
        <w:t>theorization</w:t>
      </w:r>
      <w:r w:rsidR="00E31E20">
        <w:rPr>
          <w:szCs w:val="24"/>
        </w:rPr>
        <w:t xml:space="preserve"> of </w:t>
      </w:r>
      <w:r w:rsidR="00D537E6">
        <w:rPr>
          <w:szCs w:val="24"/>
        </w:rPr>
        <w:t>N</w:t>
      </w:r>
      <w:r w:rsidR="00E31E20">
        <w:rPr>
          <w:szCs w:val="24"/>
        </w:rPr>
        <w:t>o. 95</w:t>
      </w:r>
      <w:r>
        <w:rPr>
          <w:szCs w:val="24"/>
        </w:rPr>
        <w:t xml:space="preserve"> challenge</w:t>
      </w:r>
      <w:r w:rsidR="00FD3BBE">
        <w:rPr>
          <w:szCs w:val="24"/>
        </w:rPr>
        <w:t>s</w:t>
      </w:r>
      <w:r>
        <w:rPr>
          <w:szCs w:val="24"/>
        </w:rPr>
        <w:t xml:space="preserve"> altogether the idea that the structure of experience has been organized according </w:t>
      </w:r>
      <w:r w:rsidR="00FD3BBE">
        <w:rPr>
          <w:szCs w:val="24"/>
        </w:rPr>
        <w:t xml:space="preserve">to </w:t>
      </w:r>
      <w:r w:rsidR="00FD3BBE">
        <w:rPr>
          <w:szCs w:val="24"/>
        </w:rPr>
        <w:lastRenderedPageBreak/>
        <w:t>“Final Causes</w:t>
      </w:r>
      <w:r>
        <w:rPr>
          <w:szCs w:val="24"/>
        </w:rPr>
        <w:t xml:space="preserve">” that allow us to “naturally [and thus </w:t>
      </w:r>
      <w:r>
        <w:rPr>
          <w:i/>
          <w:szCs w:val="24"/>
        </w:rPr>
        <w:t>immediately</w:t>
      </w:r>
      <w:r>
        <w:rPr>
          <w:szCs w:val="24"/>
        </w:rPr>
        <w:t>] delight” in the perception of some objects and “naturally” be disgusted with others.</w:t>
      </w:r>
      <w:r>
        <w:rPr>
          <w:rStyle w:val="EndnoteReference"/>
          <w:szCs w:val="24"/>
        </w:rPr>
        <w:endnoteReference w:id="62"/>
      </w:r>
      <w:r>
        <w:rPr>
          <w:szCs w:val="24"/>
        </w:rPr>
        <w:t xml:space="preserve"> Most importantly, rather than skipping over the difficult indeterminacy pos</w:t>
      </w:r>
      <w:r w:rsidR="00FD3BBE">
        <w:rPr>
          <w:szCs w:val="24"/>
        </w:rPr>
        <w:t>ed</w:t>
      </w:r>
      <w:r>
        <w:rPr>
          <w:szCs w:val="24"/>
        </w:rPr>
        <w:t xml:space="preserve"> by the</w:t>
      </w:r>
      <w:r w:rsidR="00D25414">
        <w:rPr>
          <w:szCs w:val="24"/>
        </w:rPr>
        <w:t xml:space="preserve"> Lockean</w:t>
      </w:r>
      <w:r>
        <w:rPr>
          <w:szCs w:val="24"/>
        </w:rPr>
        <w:t xml:space="preserve"> formulation of uneasiness, Steele’s illust</w:t>
      </w:r>
      <w:r w:rsidR="00FD3BBE">
        <w:rPr>
          <w:szCs w:val="24"/>
        </w:rPr>
        <w:t>ration</w:t>
      </w:r>
      <w:r>
        <w:rPr>
          <w:szCs w:val="24"/>
        </w:rPr>
        <w:t xml:space="preserve"> does well to draw out its more radical implications.</w:t>
      </w:r>
    </w:p>
    <w:p w14:paraId="0E268902" w14:textId="6E1C4C78" w:rsidR="00E97D69" w:rsidRDefault="00E97D69" w:rsidP="001F57BF">
      <w:pPr>
        <w:rPr>
          <w:szCs w:val="24"/>
        </w:rPr>
      </w:pPr>
      <w:r>
        <w:rPr>
          <w:szCs w:val="24"/>
        </w:rPr>
        <w:t>Locke pays special attention to the passions because, unlike more visceral modes of pleasure and pain, the ideas we</w:t>
      </w:r>
      <w:r w:rsidR="00FD3BBE">
        <w:rPr>
          <w:szCs w:val="24"/>
        </w:rPr>
        <w:t xml:space="preserve"> have of them</w:t>
      </w:r>
      <w:r>
        <w:rPr>
          <w:szCs w:val="24"/>
        </w:rPr>
        <w:t xml:space="preserve"> are a product of both sensation </w:t>
      </w:r>
      <w:r>
        <w:rPr>
          <w:i/>
          <w:szCs w:val="24"/>
        </w:rPr>
        <w:t>and</w:t>
      </w:r>
      <w:r>
        <w:rPr>
          <w:szCs w:val="24"/>
        </w:rPr>
        <w:t xml:space="preserve"> reflecti</w:t>
      </w:r>
      <w:r w:rsidR="009266C5">
        <w:rPr>
          <w:szCs w:val="24"/>
        </w:rPr>
        <w:t xml:space="preserve">on—they invite us to “reflect </w:t>
      </w:r>
      <w:r>
        <w:rPr>
          <w:szCs w:val="24"/>
        </w:rPr>
        <w:t>on our</w:t>
      </w:r>
      <w:r w:rsidR="009266C5">
        <w:rPr>
          <w:szCs w:val="24"/>
        </w:rPr>
        <w:t xml:space="preserve"> </w:t>
      </w:r>
      <w:r>
        <w:rPr>
          <w:szCs w:val="24"/>
        </w:rPr>
        <w:t>selves, and observe how [pleasure and pain], under various Considerations, operate in us; what Modifications or Tempers of the Mind, what internal Sensations, (if I may so call them,) they produce in us</w:t>
      </w:r>
      <w:r w:rsidR="002507DF">
        <w:rPr>
          <w:szCs w:val="24"/>
        </w:rPr>
        <w:t>.</w:t>
      </w:r>
      <w:r>
        <w:rPr>
          <w:szCs w:val="24"/>
        </w:rPr>
        <w:t>”</w:t>
      </w:r>
      <w:r w:rsidR="002507DF">
        <w:rPr>
          <w:rStyle w:val="EndnoteReference"/>
          <w:szCs w:val="24"/>
        </w:rPr>
        <w:endnoteReference w:id="63"/>
      </w:r>
      <w:r>
        <w:rPr>
          <w:szCs w:val="24"/>
        </w:rPr>
        <w:t xml:space="preserve"> </w:t>
      </w:r>
      <w:r w:rsidR="00D25414">
        <w:rPr>
          <w:szCs w:val="24"/>
        </w:rPr>
        <w:t>Thus</w:t>
      </w:r>
      <w:r>
        <w:rPr>
          <w:szCs w:val="24"/>
        </w:rPr>
        <w:t>, the value Locke places on the passions</w:t>
      </w:r>
      <w:r w:rsidR="00FD3BBE">
        <w:rPr>
          <w:szCs w:val="24"/>
        </w:rPr>
        <w:t xml:space="preserve"> in Book II, chapter xx</w:t>
      </w:r>
      <w:r w:rsidR="002507DF">
        <w:rPr>
          <w:szCs w:val="24"/>
        </w:rPr>
        <w:t>,</w:t>
      </w:r>
      <w:r>
        <w:rPr>
          <w:szCs w:val="24"/>
        </w:rPr>
        <w:t xml:space="preserve"> is tied to their function as a problematic, for they resist categorization in terms of a simple immediacy and demand a more thorough investigation into the interplay between sensation and idea. Locke attempts to describe the mental processes through which “we form </w:t>
      </w:r>
      <w:r w:rsidR="006962B8">
        <w:rPr>
          <w:szCs w:val="24"/>
        </w:rPr>
        <w:t>to</w:t>
      </w:r>
      <w:r>
        <w:rPr>
          <w:szCs w:val="24"/>
        </w:rPr>
        <w:t xml:space="preserve"> our</w:t>
      </w:r>
      <w:r w:rsidR="006962B8">
        <w:rPr>
          <w:szCs w:val="24"/>
        </w:rPr>
        <w:t xml:space="preserve"> </w:t>
      </w:r>
      <w:r>
        <w:rPr>
          <w:szCs w:val="24"/>
        </w:rPr>
        <w:t xml:space="preserve">selves the </w:t>
      </w:r>
      <w:r>
        <w:rPr>
          <w:i/>
          <w:szCs w:val="24"/>
        </w:rPr>
        <w:t>Ideas</w:t>
      </w:r>
      <w:r>
        <w:rPr>
          <w:szCs w:val="24"/>
        </w:rPr>
        <w:t xml:space="preserve"> of our </w:t>
      </w:r>
      <w:r>
        <w:rPr>
          <w:i/>
          <w:szCs w:val="24"/>
        </w:rPr>
        <w:t>Passions</w:t>
      </w:r>
      <w:r>
        <w:rPr>
          <w:szCs w:val="24"/>
        </w:rPr>
        <w:t>” because doing so is one step toward attaining “the highest perfection of intellectual nature”</w:t>
      </w:r>
      <w:r w:rsidR="00C22625">
        <w:rPr>
          <w:szCs w:val="24"/>
        </w:rPr>
        <w:t>;</w:t>
      </w:r>
      <w:r>
        <w:rPr>
          <w:szCs w:val="24"/>
        </w:rPr>
        <w:t xml:space="preserve"> </w:t>
      </w:r>
      <w:r>
        <w:rPr>
          <w:i/>
          <w:szCs w:val="24"/>
        </w:rPr>
        <w:t xml:space="preserve">An Essay </w:t>
      </w:r>
      <w:r w:rsidR="00D25414">
        <w:rPr>
          <w:szCs w:val="24"/>
        </w:rPr>
        <w:t xml:space="preserve">must </w:t>
      </w:r>
      <w:r w:rsidR="00C22625">
        <w:rPr>
          <w:szCs w:val="24"/>
        </w:rPr>
        <w:t xml:space="preserve">therefore </w:t>
      </w:r>
      <w:r>
        <w:rPr>
          <w:szCs w:val="24"/>
        </w:rPr>
        <w:t xml:space="preserve">take on the first challenge </w:t>
      </w:r>
      <w:r w:rsidR="00D25414">
        <w:rPr>
          <w:szCs w:val="24"/>
        </w:rPr>
        <w:t xml:space="preserve">as a primer for </w:t>
      </w:r>
      <w:r>
        <w:rPr>
          <w:szCs w:val="24"/>
        </w:rPr>
        <w:t>the second.</w:t>
      </w:r>
      <w:r w:rsidR="002507DF">
        <w:rPr>
          <w:rStyle w:val="EndnoteReference"/>
          <w:szCs w:val="24"/>
        </w:rPr>
        <w:endnoteReference w:id="64"/>
      </w:r>
    </w:p>
    <w:p w14:paraId="7762BD42" w14:textId="7E4EFB58" w:rsidR="00E97D69" w:rsidRDefault="00E97D69" w:rsidP="001F57BF">
      <w:pPr>
        <w:rPr>
          <w:szCs w:val="24"/>
        </w:rPr>
      </w:pPr>
      <w:r>
        <w:rPr>
          <w:szCs w:val="24"/>
        </w:rPr>
        <w:t xml:space="preserve">In the preface to chapter xx, Locke emphasizes the tension between sensual intensity and cognition to which </w:t>
      </w:r>
      <w:r w:rsidR="002507DF">
        <w:rPr>
          <w:i/>
          <w:szCs w:val="24"/>
        </w:rPr>
        <w:t xml:space="preserve">Spectator </w:t>
      </w:r>
      <w:r w:rsidR="002507DF">
        <w:rPr>
          <w:szCs w:val="24"/>
        </w:rPr>
        <w:t>N</w:t>
      </w:r>
      <w:r>
        <w:rPr>
          <w:szCs w:val="24"/>
        </w:rPr>
        <w:t>o. 95 alludes by p</w:t>
      </w:r>
      <w:r w:rsidR="00030119">
        <w:rPr>
          <w:szCs w:val="24"/>
        </w:rPr>
        <w:t>resenting</w:t>
      </w:r>
      <w:r>
        <w:rPr>
          <w:szCs w:val="24"/>
        </w:rPr>
        <w:t xml:space="preserve"> </w:t>
      </w:r>
      <w:r w:rsidR="00D25414">
        <w:rPr>
          <w:szCs w:val="24"/>
        </w:rPr>
        <w:t xml:space="preserve">what </w:t>
      </w:r>
      <w:r>
        <w:rPr>
          <w:szCs w:val="24"/>
        </w:rPr>
        <w:t xml:space="preserve">we </w:t>
      </w:r>
      <w:r w:rsidR="00C7765E">
        <w:rPr>
          <w:szCs w:val="24"/>
        </w:rPr>
        <w:t>might</w:t>
      </w:r>
      <w:r w:rsidR="00415B30">
        <w:rPr>
          <w:szCs w:val="24"/>
        </w:rPr>
        <w:t xml:space="preserve"> call</w:t>
      </w:r>
      <w:r>
        <w:rPr>
          <w:szCs w:val="24"/>
        </w:rPr>
        <w:t xml:space="preserve"> </w:t>
      </w:r>
      <w:r>
        <w:rPr>
          <w:i/>
          <w:szCs w:val="24"/>
        </w:rPr>
        <w:t>unqualified experience</w:t>
      </w:r>
      <w:r w:rsidR="00D25414">
        <w:rPr>
          <w:szCs w:val="24"/>
        </w:rPr>
        <w:t xml:space="preserve"> </w:t>
      </w:r>
      <w:r w:rsidR="00415B30">
        <w:rPr>
          <w:szCs w:val="24"/>
        </w:rPr>
        <w:t>a</w:t>
      </w:r>
      <w:r w:rsidR="00D25414">
        <w:rPr>
          <w:szCs w:val="24"/>
        </w:rPr>
        <w:t>s integral to perception itself</w:t>
      </w:r>
      <w:r>
        <w:rPr>
          <w:szCs w:val="24"/>
        </w:rPr>
        <w:t xml:space="preserve">: “For as in the Body, there is Sensation </w:t>
      </w:r>
      <w:r>
        <w:rPr>
          <w:b/>
          <w:szCs w:val="24"/>
        </w:rPr>
        <w:t>barely in it self</w:t>
      </w:r>
      <w:r>
        <w:rPr>
          <w:szCs w:val="24"/>
        </w:rPr>
        <w:t xml:space="preserve">, or accompanied with </w:t>
      </w:r>
      <w:r>
        <w:rPr>
          <w:i/>
          <w:szCs w:val="24"/>
        </w:rPr>
        <w:t xml:space="preserve">Pain </w:t>
      </w:r>
      <w:r>
        <w:rPr>
          <w:szCs w:val="24"/>
        </w:rPr>
        <w:t xml:space="preserve">or </w:t>
      </w:r>
      <w:r>
        <w:rPr>
          <w:i/>
          <w:szCs w:val="24"/>
        </w:rPr>
        <w:t>Pleasure</w:t>
      </w:r>
      <w:r>
        <w:rPr>
          <w:szCs w:val="24"/>
        </w:rPr>
        <w:t xml:space="preserve">; so the Thought, or </w:t>
      </w:r>
      <w:r w:rsidR="001F57BF">
        <w:rPr>
          <w:szCs w:val="24"/>
        </w:rPr>
        <w:t xml:space="preserve">Perception of the Mind is </w:t>
      </w:r>
      <w:r w:rsidR="001F57BF">
        <w:rPr>
          <w:b/>
          <w:szCs w:val="24"/>
        </w:rPr>
        <w:t>simply so</w:t>
      </w:r>
      <w:r w:rsidR="001F57BF">
        <w:rPr>
          <w:szCs w:val="24"/>
        </w:rPr>
        <w:t xml:space="preserve">, or else accompanied also with </w:t>
      </w:r>
      <w:r w:rsidR="001F57BF">
        <w:rPr>
          <w:i/>
          <w:szCs w:val="24"/>
        </w:rPr>
        <w:t>Pleasure</w:t>
      </w:r>
      <w:r w:rsidR="001F57BF">
        <w:rPr>
          <w:szCs w:val="24"/>
        </w:rPr>
        <w:t xml:space="preserve"> or </w:t>
      </w:r>
      <w:r w:rsidR="001F57BF" w:rsidRPr="001F57BF">
        <w:rPr>
          <w:i/>
          <w:szCs w:val="24"/>
        </w:rPr>
        <w:t>Pain</w:t>
      </w:r>
      <w:r w:rsidR="002507DF">
        <w:rPr>
          <w:i/>
          <w:szCs w:val="24"/>
        </w:rPr>
        <w:t>.</w:t>
      </w:r>
      <w:r w:rsidR="001F57BF">
        <w:rPr>
          <w:szCs w:val="24"/>
        </w:rPr>
        <w:t>”</w:t>
      </w:r>
      <w:r w:rsidR="002507DF">
        <w:rPr>
          <w:rStyle w:val="EndnoteReference"/>
          <w:szCs w:val="24"/>
        </w:rPr>
        <w:endnoteReference w:id="65"/>
      </w:r>
      <w:r w:rsidR="001F57BF">
        <w:rPr>
          <w:szCs w:val="24"/>
        </w:rPr>
        <w:t xml:space="preserve"> </w:t>
      </w:r>
      <w:r w:rsidR="00FD3BBE">
        <w:rPr>
          <w:szCs w:val="24"/>
        </w:rPr>
        <w:t xml:space="preserve">Though Locke gives </w:t>
      </w:r>
      <w:r w:rsidR="001F57BF">
        <w:rPr>
          <w:szCs w:val="24"/>
        </w:rPr>
        <w:t>little indication of what the barest sensation or the simplest perception mig</w:t>
      </w:r>
      <w:r w:rsidR="00FD3BBE">
        <w:rPr>
          <w:szCs w:val="24"/>
        </w:rPr>
        <w:t>ht be, he is clear on what they are</w:t>
      </w:r>
      <w:r w:rsidR="001F57BF">
        <w:rPr>
          <w:szCs w:val="24"/>
        </w:rPr>
        <w:t xml:space="preserve"> not: “These like other simple </w:t>
      </w:r>
      <w:r w:rsidR="001F57BF">
        <w:rPr>
          <w:i/>
          <w:szCs w:val="24"/>
        </w:rPr>
        <w:t>Ideas</w:t>
      </w:r>
      <w:r w:rsidR="001F57BF">
        <w:rPr>
          <w:szCs w:val="24"/>
        </w:rPr>
        <w:t xml:space="preserve"> cannot be described, nor their Names defined; the way of knowing them is</w:t>
      </w:r>
      <w:r w:rsidR="002507DF">
        <w:rPr>
          <w:szCs w:val="24"/>
        </w:rPr>
        <w:t xml:space="preserve"> </w:t>
      </w:r>
      <w:r w:rsidR="001F57BF">
        <w:rPr>
          <w:szCs w:val="24"/>
        </w:rPr>
        <w:t>…</w:t>
      </w:r>
      <w:r w:rsidR="002507DF">
        <w:rPr>
          <w:szCs w:val="24"/>
        </w:rPr>
        <w:t xml:space="preserve"> </w:t>
      </w:r>
      <w:r w:rsidR="001F57BF">
        <w:rPr>
          <w:szCs w:val="24"/>
        </w:rPr>
        <w:t>only by Experience</w:t>
      </w:r>
      <w:r w:rsidR="002507DF">
        <w:rPr>
          <w:szCs w:val="24"/>
        </w:rPr>
        <w:t>.</w:t>
      </w:r>
      <w:r w:rsidR="001F57BF">
        <w:rPr>
          <w:szCs w:val="24"/>
        </w:rPr>
        <w:t>”</w:t>
      </w:r>
      <w:r w:rsidR="002507DF">
        <w:rPr>
          <w:rStyle w:val="EndnoteReference"/>
          <w:szCs w:val="24"/>
        </w:rPr>
        <w:endnoteReference w:id="66"/>
      </w:r>
      <w:r w:rsidR="001F57BF">
        <w:rPr>
          <w:szCs w:val="24"/>
        </w:rPr>
        <w:t xml:space="preserve"> He goes out of his way to establish an enigmatic </w:t>
      </w:r>
      <w:r w:rsidR="001F57BF">
        <w:rPr>
          <w:szCs w:val="24"/>
        </w:rPr>
        <w:lastRenderedPageBreak/>
        <w:t xml:space="preserve">moment in the cognitive process where what one receives from the senses is intensely </w:t>
      </w:r>
      <w:r w:rsidR="001F57BF">
        <w:rPr>
          <w:i/>
          <w:szCs w:val="24"/>
        </w:rPr>
        <w:t>known</w:t>
      </w:r>
      <w:r w:rsidR="001F57BF">
        <w:rPr>
          <w:szCs w:val="24"/>
        </w:rPr>
        <w:t xml:space="preserve"> and at the same time profoundly </w:t>
      </w:r>
      <w:r w:rsidR="001F57BF">
        <w:rPr>
          <w:i/>
          <w:szCs w:val="24"/>
        </w:rPr>
        <w:t>inexpressible</w:t>
      </w:r>
      <w:r w:rsidR="001F57BF">
        <w:rPr>
          <w:szCs w:val="24"/>
        </w:rPr>
        <w:t>. Such unqualified experience is the kernel of uneasiness around which we form more concrete ideas of our passions through the process of reflection, description</w:t>
      </w:r>
      <w:r w:rsidR="00282101">
        <w:rPr>
          <w:szCs w:val="24"/>
        </w:rPr>
        <w:t>,</w:t>
      </w:r>
      <w:r w:rsidR="001F57BF">
        <w:rPr>
          <w:szCs w:val="24"/>
        </w:rPr>
        <w:t xml:space="preserve"> and definition. </w:t>
      </w:r>
      <w:r w:rsidR="00C22625">
        <w:rPr>
          <w:szCs w:val="24"/>
        </w:rPr>
        <w:t>T</w:t>
      </w:r>
      <w:r w:rsidR="001F57BF">
        <w:rPr>
          <w:szCs w:val="24"/>
        </w:rPr>
        <w:t>he kernel itself</w:t>
      </w:r>
      <w:r w:rsidR="00C22625">
        <w:rPr>
          <w:szCs w:val="24"/>
        </w:rPr>
        <w:t>, however,</w:t>
      </w:r>
      <w:r w:rsidR="001F57BF">
        <w:rPr>
          <w:szCs w:val="24"/>
        </w:rPr>
        <w:t xml:space="preserve"> is nothing more than agitation, bare stimulus, </w:t>
      </w:r>
      <w:r w:rsidR="00C22625">
        <w:rPr>
          <w:szCs w:val="24"/>
        </w:rPr>
        <w:t>which</w:t>
      </w:r>
      <w:r w:rsidR="001F57BF">
        <w:rPr>
          <w:szCs w:val="24"/>
        </w:rPr>
        <w:t xml:space="preserve"> we immediately “know” and only later come to “understand.”</w:t>
      </w:r>
    </w:p>
    <w:p w14:paraId="22037B46" w14:textId="4C5A0064" w:rsidR="001F57BF" w:rsidRDefault="001F57BF" w:rsidP="001F57BF">
      <w:pPr>
        <w:rPr>
          <w:szCs w:val="24"/>
        </w:rPr>
      </w:pPr>
      <w:r>
        <w:rPr>
          <w:szCs w:val="24"/>
        </w:rPr>
        <w:t xml:space="preserve">Steele’s argument about grief follows from the same logic: what we know can in no </w:t>
      </w:r>
      <w:r w:rsidR="008030E0">
        <w:rPr>
          <w:szCs w:val="24"/>
        </w:rPr>
        <w:t>w</w:t>
      </w:r>
      <w:r>
        <w:rPr>
          <w:szCs w:val="24"/>
        </w:rPr>
        <w:t xml:space="preserve">ay be said to be the same thing as what we show or even articulate with regard to our passions. Yet the most fruitful correlation to be made between Locke’s description of the modes of pleasure and pain and a Steelian theory of the passions is that both put more emphasis on the problem of bearing witness to the simply knowable than on the task of making it conform to what is expressible. In this light, Steele’s essays on the passions </w:t>
      </w:r>
      <w:r w:rsidR="00067F66">
        <w:rPr>
          <w:szCs w:val="24"/>
        </w:rPr>
        <w:t>evince</w:t>
      </w:r>
      <w:r w:rsidR="002C5688">
        <w:rPr>
          <w:szCs w:val="24"/>
        </w:rPr>
        <w:t xml:space="preserve"> </w:t>
      </w:r>
      <w:r>
        <w:rPr>
          <w:szCs w:val="24"/>
        </w:rPr>
        <w:t xml:space="preserve">his reluctance to frame them explicitly in terms of </w:t>
      </w:r>
      <w:r>
        <w:rPr>
          <w:i/>
          <w:szCs w:val="24"/>
        </w:rPr>
        <w:t>The Spec</w:t>
      </w:r>
      <w:r w:rsidR="002C5688">
        <w:rPr>
          <w:i/>
          <w:szCs w:val="24"/>
        </w:rPr>
        <w:t>t</w:t>
      </w:r>
      <w:r>
        <w:rPr>
          <w:i/>
          <w:szCs w:val="24"/>
        </w:rPr>
        <w:t>ator</w:t>
      </w:r>
      <w:r>
        <w:rPr>
          <w:szCs w:val="24"/>
        </w:rPr>
        <w:t xml:space="preserve">’s (or Locke’s, for that matter) dominant mode of self-mastery, for </w:t>
      </w:r>
      <w:r w:rsidR="00067F66">
        <w:rPr>
          <w:szCs w:val="24"/>
        </w:rPr>
        <w:t>Steele’s inquiries</w:t>
      </w:r>
      <w:r>
        <w:rPr>
          <w:szCs w:val="24"/>
        </w:rPr>
        <w:t xml:space="preserve"> signal an entirely different conceptual function of the passions—as an apparatus for bearing witness to our capacity for feeling. As such, </w:t>
      </w:r>
      <w:r w:rsidR="00067F66">
        <w:rPr>
          <w:szCs w:val="24"/>
        </w:rPr>
        <w:t xml:space="preserve">they </w:t>
      </w:r>
      <w:r>
        <w:rPr>
          <w:szCs w:val="24"/>
        </w:rPr>
        <w:t xml:space="preserve">present readers with small nudges that hint more toward exploratory awareness than direct instruction, and essay </w:t>
      </w:r>
      <w:r w:rsidR="00282101">
        <w:rPr>
          <w:szCs w:val="24"/>
        </w:rPr>
        <w:t>N</w:t>
      </w:r>
      <w:r>
        <w:rPr>
          <w:szCs w:val="24"/>
        </w:rPr>
        <w:t>o. 520 (another take on immoderate grief) stands as a culmination of this theoretical work.</w:t>
      </w:r>
    </w:p>
    <w:p w14:paraId="7A9CEE4A" w14:textId="18078037" w:rsidR="001F57BF" w:rsidRDefault="001F57BF" w:rsidP="001F57BF">
      <w:pPr>
        <w:rPr>
          <w:szCs w:val="24"/>
        </w:rPr>
      </w:pPr>
      <w:r>
        <w:rPr>
          <w:szCs w:val="24"/>
        </w:rPr>
        <w:t xml:space="preserve">Modeling </w:t>
      </w:r>
      <w:r w:rsidR="00DA70C4">
        <w:rPr>
          <w:szCs w:val="24"/>
        </w:rPr>
        <w:t>this essay</w:t>
      </w:r>
      <w:r>
        <w:rPr>
          <w:szCs w:val="24"/>
        </w:rPr>
        <w:t xml:space="preserve"> on a letter from an “F.J.” of Norwich (dated Oct. </w:t>
      </w:r>
      <w:r w:rsidRPr="00282101">
        <w:rPr>
          <w:szCs w:val="24"/>
        </w:rPr>
        <w:t>7</w:t>
      </w:r>
      <w:r w:rsidRPr="00102395">
        <w:rPr>
          <w:szCs w:val="24"/>
        </w:rPr>
        <w:t>th</w:t>
      </w:r>
      <w:r w:rsidR="00DA70C4">
        <w:rPr>
          <w:szCs w:val="24"/>
        </w:rPr>
        <w:t xml:space="preserve">, </w:t>
      </w:r>
      <w:r>
        <w:rPr>
          <w:szCs w:val="24"/>
        </w:rPr>
        <w:t>1712), Steele enlarges the author’s original ideas into a treatise on male widowhood</w:t>
      </w:r>
      <w:r w:rsidR="00067F66">
        <w:rPr>
          <w:szCs w:val="24"/>
        </w:rPr>
        <w:t xml:space="preserve"> whose take on the act of grieving is quite different from </w:t>
      </w:r>
      <w:r>
        <w:rPr>
          <w:szCs w:val="24"/>
        </w:rPr>
        <w:t xml:space="preserve">the assessment </w:t>
      </w:r>
      <w:r w:rsidR="00067F66">
        <w:rPr>
          <w:szCs w:val="24"/>
        </w:rPr>
        <w:t>offered in</w:t>
      </w:r>
      <w:r>
        <w:rPr>
          <w:szCs w:val="24"/>
        </w:rPr>
        <w:t xml:space="preserve"> </w:t>
      </w:r>
      <w:r w:rsidR="00282101">
        <w:rPr>
          <w:szCs w:val="24"/>
        </w:rPr>
        <w:t>N</w:t>
      </w:r>
      <w:r>
        <w:rPr>
          <w:szCs w:val="24"/>
        </w:rPr>
        <w:t>o. 95. Whereas B.D. complains of the false excesses demonstrated by would-be mourners, F.J. overcomes his fear of “being ridiculous” to admit his frequent crying fits “upon any Circumstance that revives” the memory of his deceased wife. They are especially troublesome for occurring “often, in the midst of Company</w:t>
      </w:r>
      <w:r w:rsidR="00282101">
        <w:rPr>
          <w:szCs w:val="24"/>
        </w:rPr>
        <w:t>.</w:t>
      </w:r>
      <w:r>
        <w:rPr>
          <w:szCs w:val="24"/>
        </w:rPr>
        <w:t>”</w:t>
      </w:r>
      <w:r w:rsidR="00282101">
        <w:rPr>
          <w:rStyle w:val="EndnoteReference"/>
          <w:szCs w:val="24"/>
        </w:rPr>
        <w:endnoteReference w:id="67"/>
      </w:r>
      <w:r>
        <w:rPr>
          <w:szCs w:val="24"/>
        </w:rPr>
        <w:t xml:space="preserve"> Yet F.J. makes no apology for his condition in the original letter</w:t>
      </w:r>
      <w:r w:rsidR="00FD3BBE">
        <w:rPr>
          <w:szCs w:val="24"/>
        </w:rPr>
        <w:t>, and Steele does</w:t>
      </w:r>
      <w:r w:rsidR="00DA70C4">
        <w:rPr>
          <w:szCs w:val="24"/>
        </w:rPr>
        <w:t xml:space="preserve"> </w:t>
      </w:r>
      <w:r w:rsidR="00DA70C4">
        <w:rPr>
          <w:szCs w:val="24"/>
        </w:rPr>
        <w:lastRenderedPageBreak/>
        <w:t>no</w:t>
      </w:r>
      <w:r w:rsidR="00FD3BBE">
        <w:rPr>
          <w:szCs w:val="24"/>
        </w:rPr>
        <w:t>t</w:t>
      </w:r>
      <w:r>
        <w:rPr>
          <w:szCs w:val="24"/>
        </w:rPr>
        <w:t xml:space="preserve"> manufact</w:t>
      </w:r>
      <w:r w:rsidR="008030E0">
        <w:rPr>
          <w:szCs w:val="24"/>
        </w:rPr>
        <w:t>ure one in his essay. W</w:t>
      </w:r>
      <w:r>
        <w:rPr>
          <w:szCs w:val="24"/>
        </w:rPr>
        <w:t>e find</w:t>
      </w:r>
      <w:r w:rsidR="008030E0">
        <w:rPr>
          <w:szCs w:val="24"/>
        </w:rPr>
        <w:t>, instead,</w:t>
      </w:r>
      <w:r>
        <w:rPr>
          <w:szCs w:val="24"/>
        </w:rPr>
        <w:t xml:space="preserve"> that candid observation occupies a central position in both texts. Though</w:t>
      </w:r>
      <w:r w:rsidR="00FD3BBE">
        <w:rPr>
          <w:szCs w:val="24"/>
        </w:rPr>
        <w:t xml:space="preserve"> the details </w:t>
      </w:r>
      <w:r w:rsidR="00917769">
        <w:rPr>
          <w:szCs w:val="24"/>
        </w:rPr>
        <w:t xml:space="preserve">of their accounts </w:t>
      </w:r>
      <w:r w:rsidR="00FD3BBE">
        <w:rPr>
          <w:szCs w:val="24"/>
        </w:rPr>
        <w:t>differ</w:t>
      </w:r>
      <w:r>
        <w:rPr>
          <w:szCs w:val="24"/>
        </w:rPr>
        <w:t>, both F.J. and Steele depict a</w:t>
      </w:r>
      <w:r w:rsidR="00FD3BBE">
        <w:rPr>
          <w:szCs w:val="24"/>
        </w:rPr>
        <w:t>n</w:t>
      </w:r>
      <w:r>
        <w:rPr>
          <w:szCs w:val="24"/>
        </w:rPr>
        <w:t xml:space="preserve"> inconsolable instance of sorrow, and both are remarkable for their attention to the slippages that occur during excessive emotional stress.</w:t>
      </w:r>
      <w:r w:rsidR="00843776">
        <w:rPr>
          <w:rStyle w:val="EndnoteReference"/>
          <w:szCs w:val="24"/>
        </w:rPr>
        <w:endnoteReference w:id="68"/>
      </w:r>
    </w:p>
    <w:p w14:paraId="716E801F" w14:textId="77777777" w:rsidR="001F57BF" w:rsidRDefault="001F57BF" w:rsidP="001F57BF">
      <w:pPr>
        <w:rPr>
          <w:szCs w:val="24"/>
        </w:rPr>
      </w:pPr>
      <w:r>
        <w:rPr>
          <w:szCs w:val="24"/>
        </w:rPr>
        <w:t>No. 520 recreates a portion of F.J’s letter wherein his private sorrow is interrupted</w:t>
      </w:r>
    </w:p>
    <w:p w14:paraId="37360D30" w14:textId="351C65AE" w:rsidR="001F57BF" w:rsidRDefault="00415B30" w:rsidP="00102395">
      <w:pPr>
        <w:pStyle w:val="BlockQuote"/>
      </w:pPr>
      <w:r>
        <w:t>by a charming young Woman, my D</w:t>
      </w:r>
      <w:r w:rsidR="001F57BF">
        <w:t xml:space="preserve">aughter, </w:t>
      </w:r>
      <w:r>
        <w:t>who is the Picture of what her M</w:t>
      </w:r>
      <w:r w:rsidR="001F57BF">
        <w:t>other wa</w:t>
      </w:r>
      <w:r w:rsidR="003E7E00">
        <w:t>s on her Wedding-Day. The good G</w:t>
      </w:r>
      <w:r w:rsidR="001F57BF">
        <w:t xml:space="preserve">irl strives to comfort me; but how shall I let </w:t>
      </w:r>
      <w:r w:rsidR="003E7E00">
        <w:t>you know that all the C</w:t>
      </w:r>
      <w:r w:rsidR="001F57BF">
        <w:t xml:space="preserve">omfort she gives me is to make </w:t>
      </w:r>
      <w:r w:rsidR="003E7E00">
        <w:t>my Tears flow more easily? The C</w:t>
      </w:r>
      <w:r w:rsidR="001F57BF">
        <w:t>hi</w:t>
      </w:r>
      <w:r w:rsidR="003E7E00">
        <w:t>ld knows she quickens my Sorrow</w:t>
      </w:r>
      <w:r w:rsidR="001F57BF">
        <w:t>, and</w:t>
      </w:r>
      <w:r w:rsidR="00F90E51">
        <w:t xml:space="preserve"> rejoices my </w:t>
      </w:r>
      <w:r w:rsidR="003E7E00">
        <w:t>H</w:t>
      </w:r>
      <w:r w:rsidR="00F90E51">
        <w:t>eart at the same T</w:t>
      </w:r>
      <w:r w:rsidR="001F57BF">
        <w:t>ime. O</w:t>
      </w:r>
      <w:r w:rsidR="00F90E51">
        <w:t>h,</w:t>
      </w:r>
      <w:r w:rsidR="001F57BF">
        <w:t xml:space="preserve"> ye learned</w:t>
      </w:r>
      <w:r w:rsidR="00F90E51">
        <w:t>,</w:t>
      </w:r>
      <w:r w:rsidR="001F57BF">
        <w:t xml:space="preserve"> tell me by what </w:t>
      </w:r>
      <w:r w:rsidR="00F90E51">
        <w:t>Word to speak a Motion of the S</w:t>
      </w:r>
      <w:r w:rsidR="001F57BF">
        <w:t xml:space="preserve">oul for which there is no </w:t>
      </w:r>
      <w:r w:rsidR="00F90E51">
        <w:t>N</w:t>
      </w:r>
      <w:r w:rsidR="001F57BF">
        <w:t>ame</w:t>
      </w:r>
      <w:r w:rsidR="00917769">
        <w:t>.</w:t>
      </w:r>
      <w:r w:rsidR="00CC2E63">
        <w:rPr>
          <w:rStyle w:val="EndnoteReference"/>
        </w:rPr>
        <w:endnoteReference w:id="69"/>
      </w:r>
      <w:r w:rsidR="001F57BF">
        <w:t xml:space="preserve"> </w:t>
      </w:r>
    </w:p>
    <w:p w14:paraId="2FA4C1E1" w14:textId="1D758E51" w:rsidR="008030E0" w:rsidRDefault="001F57BF" w:rsidP="00102395">
      <w:pPr>
        <w:pStyle w:val="Unindented"/>
      </w:pPr>
      <w:r>
        <w:t xml:space="preserve">The scene is remarkable </w:t>
      </w:r>
      <w:r w:rsidR="00917769">
        <w:t xml:space="preserve">not only </w:t>
      </w:r>
      <w:r>
        <w:t>for its depiction of affective extremity but also for how well F.J.’s assessment illustrates the intermediary moment of uneasy</w:t>
      </w:r>
      <w:r w:rsidR="00917769">
        <w:t>,</w:t>
      </w:r>
      <w:r>
        <w:t xml:space="preserve"> bare sensation tha</w:t>
      </w:r>
      <w:r w:rsidR="00526DFF">
        <w:t>t Locke posits between perception</w:t>
      </w:r>
      <w:r>
        <w:t xml:space="preserve"> and idea. The point that </w:t>
      </w:r>
      <w:r w:rsidR="00CC2E63">
        <w:t>N</w:t>
      </w:r>
      <w:r>
        <w:t>o. 520 absolutely insists upon is that th</w:t>
      </w:r>
      <w:r w:rsidR="00526DFF">
        <w:t>e very same object</w:t>
      </w:r>
      <w:r>
        <w:t xml:space="preserve"> elicits from F.J. simultaneous and seemingly opposite emotional responses, and Steele will illustrate in the conclusion that there is a virtue in being able to feel </w:t>
      </w:r>
      <w:r w:rsidR="00067F66">
        <w:t xml:space="preserve">deeply </w:t>
      </w:r>
      <w:r w:rsidR="00917769">
        <w:t>such a disparity</w:t>
      </w:r>
      <w:r>
        <w:t>, even to the point of excess</w:t>
      </w:r>
      <w:r w:rsidR="00C737CF">
        <w:t>. For</w:t>
      </w:r>
      <w:r>
        <w:t xml:space="preserve"> to do so is also to recognize that happin</w:t>
      </w:r>
      <w:r w:rsidR="008030E0">
        <w:t>ess itself is unachievable with</w:t>
      </w:r>
      <w:r w:rsidR="00C737CF">
        <w:t xml:space="preserve">out sorrow; </w:t>
      </w:r>
      <w:r>
        <w:t>the full measure of each is embedded in the other.</w:t>
      </w:r>
    </w:p>
    <w:p w14:paraId="5EAEAD9A" w14:textId="5C451822" w:rsidR="001F57BF" w:rsidRDefault="001F57BF" w:rsidP="008030E0">
      <w:pPr>
        <w:rPr>
          <w:szCs w:val="24"/>
        </w:rPr>
      </w:pPr>
      <w:r>
        <w:rPr>
          <w:szCs w:val="24"/>
        </w:rPr>
        <w:t>The description of F.J.’s paroxysm becomes all the more significant w</w:t>
      </w:r>
      <w:r w:rsidR="008030E0">
        <w:rPr>
          <w:szCs w:val="24"/>
        </w:rPr>
        <w:t>h</w:t>
      </w:r>
      <w:r>
        <w:rPr>
          <w:szCs w:val="24"/>
        </w:rPr>
        <w:t>en we map each of the emotional states he addresses (</w:t>
      </w:r>
      <w:r w:rsidR="008030E0">
        <w:rPr>
          <w:szCs w:val="24"/>
        </w:rPr>
        <w:t xml:space="preserve">love, sorrow, and joy) onto Locke’s </w:t>
      </w:r>
      <w:r>
        <w:rPr>
          <w:szCs w:val="24"/>
        </w:rPr>
        <w:t>definitions of these terms</w:t>
      </w:r>
      <w:r w:rsidR="008030E0">
        <w:rPr>
          <w:szCs w:val="24"/>
        </w:rPr>
        <w:t xml:space="preserve"> in</w:t>
      </w:r>
      <w:r>
        <w:rPr>
          <w:szCs w:val="24"/>
        </w:rPr>
        <w:t xml:space="preserve"> chapter xx of Book II. Love is the key term at play, for he loves both his living</w:t>
      </w:r>
      <w:r w:rsidR="009B671F">
        <w:rPr>
          <w:szCs w:val="24"/>
        </w:rPr>
        <w:t xml:space="preserve"> daughter and his deceased wife</w:t>
      </w:r>
      <w:r>
        <w:rPr>
          <w:szCs w:val="24"/>
        </w:rPr>
        <w:t xml:space="preserve"> and he does so in a way that is consistent with Locke’s definition as the result of one’s “reflecting upon the thought he has of the Delight, which any present, or absent thing is apt to produce in him</w:t>
      </w:r>
      <w:r w:rsidR="00204489">
        <w:rPr>
          <w:szCs w:val="24"/>
        </w:rPr>
        <w:t>.</w:t>
      </w:r>
      <w:r>
        <w:rPr>
          <w:szCs w:val="24"/>
        </w:rPr>
        <w:t>”</w:t>
      </w:r>
      <w:r w:rsidR="00204489">
        <w:rPr>
          <w:rStyle w:val="EndnoteReference"/>
          <w:szCs w:val="24"/>
        </w:rPr>
        <w:endnoteReference w:id="70"/>
      </w:r>
      <w:r>
        <w:rPr>
          <w:szCs w:val="24"/>
        </w:rPr>
        <w:t xml:space="preserve"> However, the simultaneity of presence and absence at work in </w:t>
      </w:r>
      <w:r>
        <w:rPr>
          <w:szCs w:val="24"/>
        </w:rPr>
        <w:lastRenderedPageBreak/>
        <w:t>the letter posits the experience of love as a challenge to the distinction between the categories of both joy and sorrow. Because sorrow is defined as an “uneasiness in the Mind, upon the thought of a Good lost, which might have been enjoy’d longer</w:t>
      </w:r>
      <w:r w:rsidR="00204489">
        <w:rPr>
          <w:szCs w:val="24"/>
        </w:rPr>
        <w:t>,</w:t>
      </w:r>
      <w:r>
        <w:rPr>
          <w:szCs w:val="24"/>
        </w:rPr>
        <w:t>” his daughter’s act of “comfort” fills the condition of sorrow by reminding him of the irrevocable absence of hi</w:t>
      </w:r>
      <w:r w:rsidR="009B671F">
        <w:rPr>
          <w:szCs w:val="24"/>
        </w:rPr>
        <w:t>s wife</w:t>
      </w:r>
      <w:r w:rsidR="008030E0">
        <w:rPr>
          <w:szCs w:val="24"/>
        </w:rPr>
        <w:t>.</w:t>
      </w:r>
      <w:r w:rsidR="00204489">
        <w:rPr>
          <w:rStyle w:val="EndnoteReference"/>
          <w:szCs w:val="24"/>
        </w:rPr>
        <w:endnoteReference w:id="71"/>
      </w:r>
      <w:r w:rsidR="008030E0">
        <w:rPr>
          <w:szCs w:val="24"/>
        </w:rPr>
        <w:t xml:space="preserve"> Yet the very same act</w:t>
      </w:r>
      <w:r>
        <w:rPr>
          <w:szCs w:val="24"/>
        </w:rPr>
        <w:t xml:space="preserve"> </w:t>
      </w:r>
      <w:r w:rsidR="008030E0">
        <w:rPr>
          <w:szCs w:val="24"/>
        </w:rPr>
        <w:t xml:space="preserve">also </w:t>
      </w:r>
      <w:r>
        <w:rPr>
          <w:szCs w:val="24"/>
        </w:rPr>
        <w:t>engages the conditions for joy as a “delight of the Mind, from the consideration of the present</w:t>
      </w:r>
      <w:r w:rsidR="00204489">
        <w:rPr>
          <w:szCs w:val="24"/>
        </w:rPr>
        <w:t xml:space="preserve"> </w:t>
      </w:r>
      <w:r>
        <w:rPr>
          <w:szCs w:val="24"/>
        </w:rPr>
        <w:t>…</w:t>
      </w:r>
      <w:r w:rsidR="00204489">
        <w:rPr>
          <w:szCs w:val="24"/>
        </w:rPr>
        <w:t xml:space="preserve"> </w:t>
      </w:r>
      <w:r>
        <w:rPr>
          <w:szCs w:val="24"/>
        </w:rPr>
        <w:t>possession of a Good</w:t>
      </w:r>
      <w:r w:rsidR="00204489">
        <w:rPr>
          <w:szCs w:val="24"/>
        </w:rPr>
        <w:t>.</w:t>
      </w:r>
      <w:r>
        <w:rPr>
          <w:szCs w:val="24"/>
        </w:rPr>
        <w:t>”</w:t>
      </w:r>
      <w:r w:rsidR="00204489">
        <w:rPr>
          <w:rStyle w:val="EndnoteReference"/>
          <w:szCs w:val="24"/>
        </w:rPr>
        <w:endnoteReference w:id="72"/>
      </w:r>
      <w:r>
        <w:rPr>
          <w:szCs w:val="24"/>
        </w:rPr>
        <w:t xml:space="preserve"> The present </w:t>
      </w:r>
      <w:r w:rsidR="008030E0">
        <w:rPr>
          <w:szCs w:val="24"/>
        </w:rPr>
        <w:t xml:space="preserve">sensation of his daughter’s </w:t>
      </w:r>
      <w:r>
        <w:rPr>
          <w:szCs w:val="24"/>
        </w:rPr>
        <w:t>embrace is simultaneously cause for his joy and sorrow because it engages the concept of love on multiple levels, and, importantly, this moment of emotional distress brings about an experiential knowledge that outpaces the mind’s capacity for classification.</w:t>
      </w:r>
    </w:p>
    <w:p w14:paraId="6E46D71E" w14:textId="78AEA391" w:rsidR="001F57BF" w:rsidRDefault="00C3707D" w:rsidP="001F57BF">
      <w:pPr>
        <w:rPr>
          <w:szCs w:val="24"/>
        </w:rPr>
      </w:pPr>
      <w:r>
        <w:rPr>
          <w:szCs w:val="24"/>
        </w:rPr>
        <w:t>In this way, Steele takes up</w:t>
      </w:r>
      <w:r w:rsidR="001F57BF">
        <w:rPr>
          <w:szCs w:val="24"/>
        </w:rPr>
        <w:t xml:space="preserve"> the passions not so much </w:t>
      </w:r>
      <w:r w:rsidR="00917769">
        <w:rPr>
          <w:szCs w:val="24"/>
        </w:rPr>
        <w:t xml:space="preserve">in order </w:t>
      </w:r>
      <w:r w:rsidR="001F57BF">
        <w:rPr>
          <w:szCs w:val="24"/>
        </w:rPr>
        <w:t xml:space="preserve">to make them the proper subject for company but, rather, to </w:t>
      </w:r>
      <w:r w:rsidR="009B671F">
        <w:rPr>
          <w:szCs w:val="24"/>
        </w:rPr>
        <w:t>test them and, thus, to test the foundations of the relationship between feeling and knowing</w:t>
      </w:r>
      <w:r w:rsidR="001F57BF">
        <w:rPr>
          <w:szCs w:val="24"/>
        </w:rPr>
        <w:t xml:space="preserve">. The result is somewhat surprising. For if it is a commonplace thesis of epistemology in the wake of Locke’s </w:t>
      </w:r>
      <w:r w:rsidR="001F57BF">
        <w:rPr>
          <w:i/>
          <w:szCs w:val="24"/>
        </w:rPr>
        <w:t>Essay</w:t>
      </w:r>
      <w:r w:rsidR="001F57BF">
        <w:rPr>
          <w:szCs w:val="24"/>
        </w:rPr>
        <w:t xml:space="preserve"> that what we </w:t>
      </w:r>
      <w:r w:rsidR="001F57BF">
        <w:rPr>
          <w:i/>
          <w:szCs w:val="24"/>
        </w:rPr>
        <w:t>know</w:t>
      </w:r>
      <w:r w:rsidR="001F57BF">
        <w:rPr>
          <w:szCs w:val="24"/>
        </w:rPr>
        <w:t xml:space="preserve"> </w:t>
      </w:r>
      <w:r w:rsidR="008030E0">
        <w:rPr>
          <w:szCs w:val="24"/>
        </w:rPr>
        <w:t>(</w:t>
      </w:r>
      <w:r w:rsidR="001F57BF">
        <w:rPr>
          <w:szCs w:val="24"/>
        </w:rPr>
        <w:t>“only by Experience”</w:t>
      </w:r>
      <w:r w:rsidR="008030E0">
        <w:rPr>
          <w:szCs w:val="24"/>
        </w:rPr>
        <w:t>)</w:t>
      </w:r>
      <w:r w:rsidR="001F57BF">
        <w:rPr>
          <w:szCs w:val="24"/>
        </w:rPr>
        <w:t xml:space="preserve"> and what we </w:t>
      </w:r>
      <w:r w:rsidR="001F57BF" w:rsidRPr="001F57BF">
        <w:rPr>
          <w:i/>
          <w:szCs w:val="24"/>
        </w:rPr>
        <w:t>understand</w:t>
      </w:r>
      <w:r w:rsidR="001F57BF">
        <w:rPr>
          <w:szCs w:val="24"/>
        </w:rPr>
        <w:t xml:space="preserve"> </w:t>
      </w:r>
      <w:r w:rsidR="008030E0">
        <w:rPr>
          <w:szCs w:val="24"/>
        </w:rPr>
        <w:t>(through the formation of ideas) need not share a fundamental resemblance</w:t>
      </w:r>
      <w:r w:rsidR="001F57BF">
        <w:rPr>
          <w:szCs w:val="24"/>
        </w:rPr>
        <w:t>,</w:t>
      </w:r>
      <w:r w:rsidR="008030E0">
        <w:rPr>
          <w:szCs w:val="24"/>
        </w:rPr>
        <w:t xml:space="preserve"> Steele</w:t>
      </w:r>
      <w:r w:rsidR="001F57BF">
        <w:rPr>
          <w:szCs w:val="24"/>
        </w:rPr>
        <w:t xml:space="preserve"> highlights the </w:t>
      </w:r>
      <w:r w:rsidR="001F57BF" w:rsidRPr="00067F66">
        <w:rPr>
          <w:szCs w:val="24"/>
        </w:rPr>
        <w:t>subjective openness</w:t>
      </w:r>
      <w:r w:rsidR="001F57BF">
        <w:rPr>
          <w:szCs w:val="24"/>
        </w:rPr>
        <w:t xml:space="preserve"> that is implicit </w:t>
      </w:r>
      <w:r w:rsidR="008030E0">
        <w:rPr>
          <w:szCs w:val="24"/>
        </w:rPr>
        <w:t>in the in-between space of</w:t>
      </w:r>
      <w:r w:rsidR="001F57BF">
        <w:rPr>
          <w:szCs w:val="24"/>
        </w:rPr>
        <w:t xml:space="preserve"> Locke’s </w:t>
      </w:r>
      <w:r w:rsidR="001F57BF" w:rsidRPr="008030E0">
        <w:rPr>
          <w:szCs w:val="24"/>
        </w:rPr>
        <w:t>unqualified experience</w:t>
      </w:r>
      <w:r w:rsidR="001F57BF">
        <w:rPr>
          <w:szCs w:val="24"/>
        </w:rPr>
        <w:t>. Under these conditions</w:t>
      </w:r>
      <w:r w:rsidR="008030E0">
        <w:rPr>
          <w:szCs w:val="24"/>
        </w:rPr>
        <w:t>,</w:t>
      </w:r>
      <w:r w:rsidR="001F57BF">
        <w:rPr>
          <w:szCs w:val="24"/>
        </w:rPr>
        <w:t xml:space="preserve"> the meaning of F.J.’s grief can only be provisional; subject to circumstantial changes, it must be negotiated continuously: “When she kneels and bids me be comforted, she is m</w:t>
      </w:r>
      <w:r w:rsidR="000C4C79">
        <w:rPr>
          <w:szCs w:val="24"/>
        </w:rPr>
        <w:t>y Child; when I take her in my A</w:t>
      </w:r>
      <w:r w:rsidR="001F57BF">
        <w:rPr>
          <w:szCs w:val="24"/>
        </w:rPr>
        <w:t>rms, and bid h</w:t>
      </w:r>
      <w:r w:rsidR="000C4C79">
        <w:rPr>
          <w:szCs w:val="24"/>
        </w:rPr>
        <w:t>er say no more, she is my very W</w:t>
      </w:r>
      <w:r w:rsidR="001F57BF">
        <w:rPr>
          <w:szCs w:val="24"/>
        </w:rPr>
        <w:t>ife and is t</w:t>
      </w:r>
      <w:r w:rsidR="008030DC">
        <w:rPr>
          <w:szCs w:val="24"/>
        </w:rPr>
        <w:t>he very Comforter I lament the L</w:t>
      </w:r>
      <w:r w:rsidR="001F57BF">
        <w:rPr>
          <w:szCs w:val="24"/>
        </w:rPr>
        <w:t>oss of</w:t>
      </w:r>
      <w:r w:rsidR="004F79B1">
        <w:rPr>
          <w:szCs w:val="24"/>
        </w:rPr>
        <w:t>.</w:t>
      </w:r>
      <w:r w:rsidR="001F57BF">
        <w:rPr>
          <w:szCs w:val="24"/>
        </w:rPr>
        <w:t>”</w:t>
      </w:r>
      <w:r w:rsidR="004F79B1">
        <w:rPr>
          <w:rStyle w:val="EndnoteReference"/>
          <w:szCs w:val="24"/>
        </w:rPr>
        <w:endnoteReference w:id="73"/>
      </w:r>
      <w:r w:rsidR="001F57BF">
        <w:rPr>
          <w:szCs w:val="24"/>
        </w:rPr>
        <w:t xml:space="preserve"> In this provisional exploration of </w:t>
      </w:r>
      <w:r w:rsidR="008030E0">
        <w:rPr>
          <w:szCs w:val="24"/>
        </w:rPr>
        <w:t xml:space="preserve">how </w:t>
      </w:r>
      <w:r w:rsidR="001F57BF">
        <w:rPr>
          <w:szCs w:val="24"/>
        </w:rPr>
        <w:t xml:space="preserve">passions </w:t>
      </w:r>
      <w:r w:rsidR="008030E0">
        <w:rPr>
          <w:szCs w:val="24"/>
        </w:rPr>
        <w:t xml:space="preserve">function </w:t>
      </w:r>
      <w:r w:rsidR="001F57BF">
        <w:rPr>
          <w:szCs w:val="24"/>
        </w:rPr>
        <w:t>a</w:t>
      </w:r>
      <w:r w:rsidR="008030E0">
        <w:rPr>
          <w:szCs w:val="24"/>
        </w:rPr>
        <w:t xml:space="preserve">t the limits </w:t>
      </w:r>
      <w:r w:rsidR="001F57BF">
        <w:rPr>
          <w:szCs w:val="24"/>
        </w:rPr>
        <w:t xml:space="preserve">of comprehension, the figure of F.J. occupies a theoretically novel space. Neither agent nor patient, exactly, he is instead a participant in a negotiation—one that the classical paradigm could never abide and </w:t>
      </w:r>
      <w:r w:rsidR="00917769">
        <w:rPr>
          <w:szCs w:val="24"/>
        </w:rPr>
        <w:t>one that</w:t>
      </w:r>
      <w:r w:rsidR="001F57BF">
        <w:rPr>
          <w:szCs w:val="24"/>
        </w:rPr>
        <w:t xml:space="preserve"> the dominant thread of modern interpretations of the passions would implore him to control. Steele, </w:t>
      </w:r>
      <w:r w:rsidR="001F57BF">
        <w:rPr>
          <w:szCs w:val="24"/>
        </w:rPr>
        <w:lastRenderedPageBreak/>
        <w:t xml:space="preserve">instead, seems most insistent that there is something to be gained by maintaining an ambivalence of activity and passivity. In admitting the impossibility of finding words to “speak a Motion of the </w:t>
      </w:r>
      <w:r w:rsidR="008030E0">
        <w:rPr>
          <w:szCs w:val="24"/>
        </w:rPr>
        <w:t>Soul for which there is no Name</w:t>
      </w:r>
      <w:r w:rsidR="00917769">
        <w:rPr>
          <w:szCs w:val="24"/>
        </w:rPr>
        <w:t>,</w:t>
      </w:r>
      <w:r w:rsidR="001F57BF">
        <w:rPr>
          <w:szCs w:val="24"/>
        </w:rPr>
        <w:t>” F.J. can only wish t</w:t>
      </w:r>
      <w:r w:rsidR="008030DC">
        <w:rPr>
          <w:szCs w:val="24"/>
        </w:rPr>
        <w:t>hat his audience could “have a S</w:t>
      </w:r>
      <w:r w:rsidR="001F57BF">
        <w:rPr>
          <w:szCs w:val="24"/>
        </w:rPr>
        <w:t xml:space="preserve">ense of these pleasing </w:t>
      </w:r>
      <w:r w:rsidR="008030DC">
        <w:rPr>
          <w:szCs w:val="24"/>
        </w:rPr>
        <w:t>P</w:t>
      </w:r>
      <w:r w:rsidR="001F57BF">
        <w:rPr>
          <w:szCs w:val="24"/>
        </w:rPr>
        <w:t>erplexities</w:t>
      </w:r>
      <w:r w:rsidR="004F79B1">
        <w:rPr>
          <w:szCs w:val="24"/>
        </w:rPr>
        <w:t>.</w:t>
      </w:r>
      <w:r w:rsidR="001F57BF">
        <w:rPr>
          <w:szCs w:val="24"/>
        </w:rPr>
        <w:t>”</w:t>
      </w:r>
      <w:r w:rsidR="004F79B1">
        <w:rPr>
          <w:rStyle w:val="EndnoteReference"/>
          <w:szCs w:val="24"/>
        </w:rPr>
        <w:endnoteReference w:id="74"/>
      </w:r>
      <w:r w:rsidR="001F57BF">
        <w:rPr>
          <w:szCs w:val="24"/>
        </w:rPr>
        <w:t xml:space="preserve"> We can only do so if we resist the compulsion to relieve our uneasiness by mastering our thoughts.</w:t>
      </w:r>
    </w:p>
    <w:p w14:paraId="2EB78280" w14:textId="56259593" w:rsidR="00E31E20" w:rsidRDefault="001F57BF" w:rsidP="001F57BF">
      <w:pPr>
        <w:rPr>
          <w:szCs w:val="24"/>
        </w:rPr>
      </w:pPr>
      <w:r>
        <w:rPr>
          <w:szCs w:val="24"/>
        </w:rPr>
        <w:t>Thus, when Steele finally addre</w:t>
      </w:r>
      <w:r w:rsidR="008030E0">
        <w:rPr>
          <w:szCs w:val="24"/>
        </w:rPr>
        <w:t>sses the question of “ought</w:t>
      </w:r>
      <w:r w:rsidR="00917769">
        <w:rPr>
          <w:szCs w:val="24"/>
        </w:rPr>
        <w:t>,</w:t>
      </w:r>
      <w:r w:rsidR="008030E0">
        <w:rPr>
          <w:szCs w:val="24"/>
        </w:rPr>
        <w:t>” his</w:t>
      </w:r>
      <w:r>
        <w:rPr>
          <w:szCs w:val="24"/>
        </w:rPr>
        <w:t xml:space="preserve"> answer flies in the face of what every seasoned </w:t>
      </w:r>
      <w:r>
        <w:rPr>
          <w:i/>
          <w:szCs w:val="24"/>
        </w:rPr>
        <w:t xml:space="preserve">Spectator </w:t>
      </w:r>
      <w:r>
        <w:rPr>
          <w:szCs w:val="24"/>
        </w:rPr>
        <w:t>reader (and by October, 1712</w:t>
      </w:r>
      <w:r w:rsidR="004F79B1">
        <w:rPr>
          <w:szCs w:val="24"/>
        </w:rPr>
        <w:t>,</w:t>
      </w:r>
      <w:r>
        <w:rPr>
          <w:szCs w:val="24"/>
        </w:rPr>
        <w:t xml:space="preserve"> there were thousands) would </w:t>
      </w:r>
      <w:r w:rsidR="008030E0">
        <w:rPr>
          <w:szCs w:val="24"/>
        </w:rPr>
        <w:t xml:space="preserve">have </w:t>
      </w:r>
      <w:r>
        <w:rPr>
          <w:szCs w:val="24"/>
        </w:rPr>
        <w:t>expect</w:t>
      </w:r>
      <w:r w:rsidR="008030E0">
        <w:rPr>
          <w:szCs w:val="24"/>
        </w:rPr>
        <w:t>ed</w:t>
      </w:r>
      <w:r>
        <w:rPr>
          <w:szCs w:val="24"/>
        </w:rPr>
        <w:t>. F.J. concludes: “I sate down with a Design to put you [Mr. Spectator] upon giving us Rules how to overcome such Griefs as these; but I should rather advise you to teach Men to be capable of them</w:t>
      </w:r>
      <w:r w:rsidR="004F79B1">
        <w:rPr>
          <w:szCs w:val="24"/>
        </w:rPr>
        <w:t>.</w:t>
      </w:r>
      <w:r>
        <w:rPr>
          <w:szCs w:val="24"/>
        </w:rPr>
        <w:t>”</w:t>
      </w:r>
      <w:r w:rsidR="004F79B1">
        <w:rPr>
          <w:rStyle w:val="EndnoteReference"/>
          <w:szCs w:val="24"/>
        </w:rPr>
        <w:endnoteReference w:id="75"/>
      </w:r>
      <w:r>
        <w:rPr>
          <w:szCs w:val="24"/>
        </w:rPr>
        <w:t xml:space="preserve"> On this point, a full challenge to </w:t>
      </w:r>
      <w:r>
        <w:rPr>
          <w:i/>
          <w:szCs w:val="24"/>
        </w:rPr>
        <w:t>The Spectator</w:t>
      </w:r>
      <w:r w:rsidRPr="001F57BF">
        <w:rPr>
          <w:szCs w:val="24"/>
        </w:rPr>
        <w:t>’s</w:t>
      </w:r>
      <w:r>
        <w:rPr>
          <w:i/>
          <w:szCs w:val="24"/>
        </w:rPr>
        <w:t xml:space="preserve"> </w:t>
      </w:r>
      <w:r>
        <w:rPr>
          <w:szCs w:val="24"/>
        </w:rPr>
        <w:t>notorious conservatism is palpable, a challenge achieved, nonetheless, on Lockean premises.</w:t>
      </w:r>
      <w:r w:rsidR="002A265A">
        <w:rPr>
          <w:rStyle w:val="EndnoteReference"/>
        </w:rPr>
        <w:endnoteReference w:id="76"/>
      </w:r>
      <w:r>
        <w:rPr>
          <w:szCs w:val="24"/>
        </w:rPr>
        <w:t xml:space="preserve"> This injunction seems to suggest that creating a regulatory system for defining and controlling the passion</w:t>
      </w:r>
      <w:r w:rsidR="008030E0">
        <w:rPr>
          <w:szCs w:val="24"/>
        </w:rPr>
        <w:t>s</w:t>
      </w:r>
      <w:r>
        <w:rPr>
          <w:szCs w:val="24"/>
        </w:rPr>
        <w:t xml:space="preserve"> is not only arbitrary but, at best, ethically questionable. Moreover, the end to </w:t>
      </w:r>
      <w:r w:rsidR="008030E0">
        <w:rPr>
          <w:szCs w:val="24"/>
        </w:rPr>
        <w:t>which F.J. would have us strive (</w:t>
      </w:r>
      <w:r>
        <w:rPr>
          <w:szCs w:val="24"/>
        </w:rPr>
        <w:t>to learn to be capable of e</w:t>
      </w:r>
      <w:r w:rsidR="008030E0">
        <w:rPr>
          <w:szCs w:val="24"/>
        </w:rPr>
        <w:t>xtreme sorrow, or joy, or love)</w:t>
      </w:r>
      <w:r>
        <w:rPr>
          <w:szCs w:val="24"/>
        </w:rPr>
        <w:t xml:space="preserve"> cannot be met through training but, rather, </w:t>
      </w:r>
      <w:r w:rsidR="004F79B1">
        <w:rPr>
          <w:szCs w:val="24"/>
        </w:rPr>
        <w:t xml:space="preserve">only </w:t>
      </w:r>
      <w:r>
        <w:rPr>
          <w:szCs w:val="24"/>
        </w:rPr>
        <w:t>through exposure to the frailties of o</w:t>
      </w:r>
      <w:r w:rsidR="00653E4C">
        <w:rPr>
          <w:szCs w:val="24"/>
        </w:rPr>
        <w:t>ur own subjective consistency.</w:t>
      </w:r>
    </w:p>
    <w:p w14:paraId="511631DB" w14:textId="2CB897F7" w:rsidR="008030E0" w:rsidRDefault="004F79B1" w:rsidP="001F57BF">
      <w:pPr>
        <w:rPr>
          <w:szCs w:val="24"/>
        </w:rPr>
      </w:pPr>
      <w:r>
        <w:rPr>
          <w:i/>
          <w:szCs w:val="24"/>
        </w:rPr>
        <w:t xml:space="preserve">Spectator </w:t>
      </w:r>
      <w:r w:rsidR="001F57BF">
        <w:rPr>
          <w:szCs w:val="24"/>
        </w:rPr>
        <w:t>No. 520, then, is an aesthetic demons</w:t>
      </w:r>
      <w:r w:rsidR="00641158">
        <w:rPr>
          <w:szCs w:val="24"/>
        </w:rPr>
        <w:t>tration of the lesson it asks readers</w:t>
      </w:r>
      <w:r w:rsidR="001F57BF">
        <w:rPr>
          <w:szCs w:val="24"/>
        </w:rPr>
        <w:t xml:space="preserve"> to learn, for it makes an attempt, however feeble, </w:t>
      </w:r>
      <w:r w:rsidR="00917769">
        <w:rPr>
          <w:szCs w:val="24"/>
        </w:rPr>
        <w:t>to</w:t>
      </w:r>
      <w:r w:rsidR="001F57BF">
        <w:rPr>
          <w:szCs w:val="24"/>
        </w:rPr>
        <w:t xml:space="preserve"> expos</w:t>
      </w:r>
      <w:r w:rsidR="00917769">
        <w:rPr>
          <w:szCs w:val="24"/>
        </w:rPr>
        <w:t>e</w:t>
      </w:r>
      <w:r w:rsidR="001F57BF">
        <w:rPr>
          <w:szCs w:val="24"/>
        </w:rPr>
        <w:t xml:space="preserve"> the space of bare sensation as a gesture or a nudge for others to bear witness to the unnamable motions of their own passions.</w:t>
      </w:r>
      <w:r w:rsidR="008030E0">
        <w:rPr>
          <w:szCs w:val="24"/>
        </w:rPr>
        <w:t xml:space="preserve"> In doing so, we</w:t>
      </w:r>
      <w:r w:rsidR="00E31E20">
        <w:rPr>
          <w:szCs w:val="24"/>
        </w:rPr>
        <w:t>, as readers, might</w:t>
      </w:r>
      <w:r w:rsidR="008030E0">
        <w:rPr>
          <w:szCs w:val="24"/>
        </w:rPr>
        <w:t xml:space="preserve"> become capable of “pass[ing] through Afflictions in common with all who are in humane </w:t>
      </w:r>
      <w:r w:rsidR="008030DC">
        <w:rPr>
          <w:szCs w:val="24"/>
        </w:rPr>
        <w:t>N</w:t>
      </w:r>
      <w:r w:rsidR="009B671F">
        <w:rPr>
          <w:szCs w:val="24"/>
        </w:rPr>
        <w:t>ature</w:t>
      </w:r>
      <w:r>
        <w:rPr>
          <w:szCs w:val="24"/>
        </w:rPr>
        <w:t>.</w:t>
      </w:r>
      <w:r w:rsidR="009B671F">
        <w:rPr>
          <w:szCs w:val="24"/>
        </w:rPr>
        <w:t>”</w:t>
      </w:r>
      <w:r>
        <w:rPr>
          <w:rStyle w:val="EndnoteReference"/>
          <w:szCs w:val="24"/>
        </w:rPr>
        <w:endnoteReference w:id="77"/>
      </w:r>
      <w:r w:rsidR="009B671F">
        <w:rPr>
          <w:szCs w:val="24"/>
        </w:rPr>
        <w:t xml:space="preserve"> Th</w:t>
      </w:r>
      <w:r w:rsidR="00067F66">
        <w:rPr>
          <w:szCs w:val="24"/>
        </w:rPr>
        <w:t>e call for such awareness</w:t>
      </w:r>
      <w:r w:rsidR="009B671F">
        <w:rPr>
          <w:szCs w:val="24"/>
        </w:rPr>
        <w:t xml:space="preserve"> contains</w:t>
      </w:r>
      <w:r w:rsidR="00067F66">
        <w:rPr>
          <w:szCs w:val="24"/>
        </w:rPr>
        <w:t xml:space="preserve"> within it</w:t>
      </w:r>
      <w:r w:rsidR="009B671F">
        <w:rPr>
          <w:szCs w:val="24"/>
        </w:rPr>
        <w:t xml:space="preserve"> seeds of an ethics of feeling, one that </w:t>
      </w:r>
      <w:r w:rsidR="008030E0">
        <w:rPr>
          <w:szCs w:val="24"/>
        </w:rPr>
        <w:t>is not interpretive but affective, wherein close attention to one’s own capacity for sorrow may offer an access point for imagining, without fetishizing, the suffering of others.</w:t>
      </w:r>
      <w:r w:rsidR="008030E0">
        <w:rPr>
          <w:rStyle w:val="EndnoteReference"/>
          <w:szCs w:val="24"/>
        </w:rPr>
        <w:endnoteReference w:id="78"/>
      </w:r>
    </w:p>
    <w:p w14:paraId="5B8371BA" w14:textId="5FB3D324" w:rsidR="001F57BF" w:rsidRDefault="009B671F" w:rsidP="001F57BF">
      <w:pPr>
        <w:rPr>
          <w:szCs w:val="24"/>
        </w:rPr>
      </w:pPr>
      <w:r>
        <w:rPr>
          <w:szCs w:val="24"/>
        </w:rPr>
        <w:lastRenderedPageBreak/>
        <w:t xml:space="preserve">In sum, </w:t>
      </w:r>
      <w:r w:rsidR="008030E0">
        <w:rPr>
          <w:szCs w:val="24"/>
        </w:rPr>
        <w:t xml:space="preserve">it is not </w:t>
      </w:r>
      <w:r w:rsidR="00067F66">
        <w:rPr>
          <w:szCs w:val="24"/>
        </w:rPr>
        <w:t xml:space="preserve">enough </w:t>
      </w:r>
      <w:r w:rsidR="008030E0">
        <w:rPr>
          <w:szCs w:val="24"/>
        </w:rPr>
        <w:t xml:space="preserve">merely to demonstrate the fact that Addison and Steele represent two, obviously divergent, trajectories of eighteenth-century conceptualizations of the passions. </w:t>
      </w:r>
      <w:r>
        <w:rPr>
          <w:szCs w:val="24"/>
        </w:rPr>
        <w:t>For, w</w:t>
      </w:r>
      <w:r w:rsidR="008030E0">
        <w:rPr>
          <w:szCs w:val="24"/>
        </w:rPr>
        <w:t>hile recent scholarship has done well to recognize the “psychological machinery” of the modern self “as the rationalized product of a long history of theorizing the passions,” the intricacy of that development has not been sufficiently appreciated.</w:t>
      </w:r>
      <w:r w:rsidR="008030E0">
        <w:rPr>
          <w:rStyle w:val="EndnoteReference"/>
          <w:szCs w:val="24"/>
        </w:rPr>
        <w:endnoteReference w:id="79"/>
      </w:r>
      <w:r w:rsidR="008030E0">
        <w:rPr>
          <w:szCs w:val="24"/>
        </w:rPr>
        <w:t xml:space="preserve"> </w:t>
      </w:r>
      <w:r w:rsidR="00067F66">
        <w:rPr>
          <w:szCs w:val="24"/>
        </w:rPr>
        <w:t xml:space="preserve">We should, therefore, acknowledge the importance of </w:t>
      </w:r>
      <w:r w:rsidR="008030E0">
        <w:rPr>
          <w:szCs w:val="24"/>
        </w:rPr>
        <w:t>pay</w:t>
      </w:r>
      <w:r w:rsidR="00067F66">
        <w:rPr>
          <w:szCs w:val="24"/>
        </w:rPr>
        <w:t>ing</w:t>
      </w:r>
      <w:r w:rsidR="008030E0">
        <w:rPr>
          <w:szCs w:val="24"/>
        </w:rPr>
        <w:t xml:space="preserve"> attention to the countervailing narratives embedded within that long history of rationalization, narratives that bear witness to the passions’</w:t>
      </w:r>
      <w:r>
        <w:rPr>
          <w:szCs w:val="24"/>
        </w:rPr>
        <w:t xml:space="preserve"> capacity to be otherwise. O</w:t>
      </w:r>
      <w:r w:rsidR="008030E0">
        <w:rPr>
          <w:szCs w:val="24"/>
        </w:rPr>
        <w:t>nly then do we get a full sense of what it means to talk about “the passions” in the eighteenth century and the theoretically salient implications that arise out of the negotiation between classical and modern epistemology that is implicit when passion is evoked in a newly modern context.</w:t>
      </w:r>
    </w:p>
    <w:p w14:paraId="0CEFA84F" w14:textId="77777777" w:rsidR="004F79B1" w:rsidRDefault="004F79B1" w:rsidP="001F57BF">
      <w:pPr>
        <w:rPr>
          <w:szCs w:val="24"/>
        </w:rPr>
      </w:pPr>
    </w:p>
    <w:p w14:paraId="61189E9D" w14:textId="0889C48E" w:rsidR="004F79B1" w:rsidRPr="001F57BF" w:rsidRDefault="004F79B1" w:rsidP="001F57BF">
      <w:pPr>
        <w:rPr>
          <w:szCs w:val="24"/>
        </w:rPr>
      </w:pPr>
      <w:r>
        <w:rPr>
          <w:szCs w:val="24"/>
        </w:rPr>
        <w:t>NOTES</w:t>
      </w:r>
    </w:p>
    <w:sectPr w:rsidR="004F79B1" w:rsidRPr="001F57BF" w:rsidSect="00A619AC">
      <w:headerReference w:type="default" r:id="rId8"/>
      <w:endnotePr>
        <w:numFmt w:val="decimal"/>
      </w:endnotePr>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EFF67" w16cid:durableId="1D3C2D36"/>
  <w16cid:commentId w16cid:paraId="25078F55" w16cid:durableId="1D3C2D37"/>
  <w16cid:commentId w16cid:paraId="5709F334" w16cid:durableId="1D3C2D38"/>
  <w16cid:commentId w16cid:paraId="6454E293" w16cid:durableId="1D3C2D39"/>
  <w16cid:commentId w16cid:paraId="224553FC" w16cid:durableId="1D3C4510"/>
  <w16cid:commentId w16cid:paraId="69C66B9B" w16cid:durableId="1D3C2D3A"/>
  <w16cid:commentId w16cid:paraId="7E9346C8" w16cid:durableId="1D3C45A1"/>
  <w16cid:commentId w16cid:paraId="6BB7D1CF" w16cid:durableId="1D3C4909"/>
  <w16cid:commentId w16cid:paraId="28E0EBDB" w16cid:durableId="1D3C6BDC"/>
  <w16cid:commentId w16cid:paraId="6F1717FA" w16cid:durableId="1D3C2D3B"/>
  <w16cid:commentId w16cid:paraId="46C98538" w16cid:durableId="1D3C2D3C"/>
  <w16cid:commentId w16cid:paraId="240107AE" w16cid:durableId="1D3C2D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F28D" w14:textId="77777777" w:rsidR="00FB33A4" w:rsidRDefault="00FB33A4" w:rsidP="00536BBE">
      <w:r>
        <w:separator/>
      </w:r>
    </w:p>
  </w:endnote>
  <w:endnote w:type="continuationSeparator" w:id="0">
    <w:p w14:paraId="1B007E54" w14:textId="77777777" w:rsidR="00FB33A4" w:rsidRDefault="00FB33A4" w:rsidP="00536BBE">
      <w:r>
        <w:continuationSeparator/>
      </w:r>
    </w:p>
  </w:endnote>
  <w:endnote w:id="1">
    <w:p w14:paraId="6B95EA01" w14:textId="1E4426BD" w:rsidR="00FB33A4" w:rsidRDefault="00FB33A4" w:rsidP="00857AF0">
      <w:r w:rsidRPr="007A3D22">
        <w:rPr>
          <w:rStyle w:val="EndnoteReference"/>
          <w:vertAlign w:val="baseline"/>
        </w:rPr>
        <w:endnoteRef/>
      </w:r>
      <w:r>
        <w:t>.</w:t>
      </w:r>
      <w:r w:rsidRPr="007A3D22">
        <w:t xml:space="preserve"> </w:t>
      </w:r>
      <w:r>
        <w:rPr>
          <w:noProof/>
        </w:rPr>
        <w:t xml:space="preserve">John Locke, </w:t>
      </w:r>
      <w:r>
        <w:rPr>
          <w:i/>
          <w:iCs/>
          <w:noProof/>
        </w:rPr>
        <w:t>An Essay Concerning Human Understanding</w:t>
      </w:r>
      <w:r>
        <w:rPr>
          <w:iCs/>
          <w:noProof/>
        </w:rPr>
        <w:t xml:space="preserve"> [1690],</w:t>
      </w:r>
      <w:r>
        <w:rPr>
          <w:i/>
          <w:iCs/>
          <w:noProof/>
        </w:rPr>
        <w:t xml:space="preserve"> </w:t>
      </w:r>
      <w:r>
        <w:rPr>
          <w:iCs/>
          <w:noProof/>
        </w:rPr>
        <w:t>e</w:t>
      </w:r>
      <w:r>
        <w:rPr>
          <w:noProof/>
        </w:rPr>
        <w:t>d. Peter H. Nidditch (Oxford, 1975), Book II, chap. xxi, section 53. Unless otherwise noted, all emphasis is original to Locke.</w:t>
      </w:r>
    </w:p>
  </w:endnote>
  <w:endnote w:id="2">
    <w:p w14:paraId="713F2784" w14:textId="378ED81C" w:rsidR="00FB33A4" w:rsidRPr="00E308BA" w:rsidRDefault="00FB33A4" w:rsidP="00857AF0">
      <w:pPr>
        <w:rPr>
          <w:rFonts w:cs="Times New Roman"/>
        </w:rPr>
      </w:pPr>
      <w:r w:rsidRPr="007A3D22">
        <w:rPr>
          <w:rStyle w:val="EndnoteReference"/>
          <w:rFonts w:cs="Times New Roman"/>
          <w:vertAlign w:val="baseline"/>
        </w:rPr>
        <w:endnoteRef/>
      </w:r>
      <w:r>
        <w:rPr>
          <w:rFonts w:cs="Times New Roman"/>
        </w:rPr>
        <w:t>.</w:t>
      </w:r>
      <w:r w:rsidRPr="00E308BA">
        <w:rPr>
          <w:rFonts w:cs="Times New Roman"/>
        </w:rPr>
        <w:t xml:space="preserve"> Alan T. Mc</w:t>
      </w:r>
      <w:r>
        <w:rPr>
          <w:rFonts w:cs="Times New Roman"/>
        </w:rPr>
        <w:t>K</w:t>
      </w:r>
      <w:r w:rsidRPr="00E308BA">
        <w:rPr>
          <w:rFonts w:cs="Times New Roman"/>
        </w:rPr>
        <w:t xml:space="preserve">enzie, </w:t>
      </w:r>
      <w:r w:rsidRPr="00E308BA">
        <w:rPr>
          <w:rFonts w:cs="Times New Roman"/>
          <w:i/>
          <w:iCs/>
          <w:noProof/>
        </w:rPr>
        <w:t>Certain, Lively Episodes</w:t>
      </w:r>
      <w:r w:rsidRPr="00E308BA">
        <w:rPr>
          <w:rFonts w:cs="Times New Roman"/>
        </w:rPr>
        <w:t xml:space="preserve"> (Athens, G</w:t>
      </w:r>
      <w:r>
        <w:rPr>
          <w:rFonts w:cs="Times New Roman"/>
        </w:rPr>
        <w:t>a.</w:t>
      </w:r>
      <w:r w:rsidRPr="00E308BA">
        <w:rPr>
          <w:rFonts w:cs="Times New Roman"/>
        </w:rPr>
        <w:t>, 1990), 73.</w:t>
      </w:r>
    </w:p>
  </w:endnote>
  <w:endnote w:id="3">
    <w:p w14:paraId="696CBEB3" w14:textId="307BEA92" w:rsidR="00FB33A4" w:rsidRDefault="00FB33A4" w:rsidP="00857AF0">
      <w:r w:rsidRPr="007A3D22">
        <w:rPr>
          <w:rStyle w:val="EndnoteReference"/>
          <w:vertAlign w:val="baseline"/>
        </w:rPr>
        <w:endnoteRef/>
      </w:r>
      <w:r>
        <w:t xml:space="preserve">. While I offer a general corrective to scholars who, mistakenly, refer to “Addison and Steele” as if they were of the same mind, my argument is in specific opposition to McKenzie’s claim that </w:t>
      </w:r>
      <w:r>
        <w:rPr>
          <w:i/>
        </w:rPr>
        <w:t xml:space="preserve">Spectator </w:t>
      </w:r>
      <w:r>
        <w:t>essays on the passions are interchangeable in terms of their authorship: “I have not attempted to establish differences between Addison and Steele in their application. I doubt very much that such a distinction could be made”</w:t>
      </w:r>
      <w:r w:rsidRPr="00011909">
        <w:t xml:space="preserve"> </w:t>
      </w:r>
      <w:r>
        <w:t>(243n1).</w:t>
      </w:r>
    </w:p>
  </w:endnote>
  <w:endnote w:id="4">
    <w:p w14:paraId="581B0489" w14:textId="45752839" w:rsidR="00FB33A4" w:rsidRPr="007E30F0" w:rsidRDefault="00FB33A4" w:rsidP="007E30F0">
      <w:r w:rsidRPr="007E30F0">
        <w:rPr>
          <w:rStyle w:val="EndnoteReference"/>
          <w:vertAlign w:val="baseline"/>
        </w:rPr>
        <w:endnoteRef/>
      </w:r>
      <w:r>
        <w:t xml:space="preserve">. Locke, </w:t>
      </w:r>
      <w:r>
        <w:rPr>
          <w:i/>
        </w:rPr>
        <w:t>Essay</w:t>
      </w:r>
      <w:r>
        <w:t>, IV.iii.20.</w:t>
      </w:r>
    </w:p>
  </w:endnote>
  <w:endnote w:id="5">
    <w:p w14:paraId="0BDCC6BA" w14:textId="671E4D70" w:rsidR="00FB33A4" w:rsidRPr="004C2791" w:rsidRDefault="00FB33A4" w:rsidP="00857AF0">
      <w:r w:rsidRPr="007A3D22">
        <w:rPr>
          <w:rStyle w:val="EndnoteReference"/>
          <w:vertAlign w:val="baseline"/>
        </w:rPr>
        <w:endnoteRef/>
      </w:r>
      <w:r>
        <w:t>.</w:t>
      </w:r>
      <w:r w:rsidRPr="007A3D22">
        <w:t xml:space="preserve"> </w:t>
      </w:r>
      <w:r>
        <w:t xml:space="preserve">See Peter </w:t>
      </w:r>
      <w:r w:rsidRPr="004C2791">
        <w:t>Schouls</w:t>
      </w:r>
      <w:r>
        <w:t>,</w:t>
      </w:r>
      <w:r w:rsidRPr="004C2791">
        <w:t xml:space="preserve"> </w:t>
      </w:r>
      <w:r w:rsidRPr="004C2791">
        <w:rPr>
          <w:i/>
        </w:rPr>
        <w:t>Reasoned Freedom</w:t>
      </w:r>
      <w:r>
        <w:t xml:space="preserve"> (Ithaca, 1992),</w:t>
      </w:r>
      <w:r w:rsidRPr="004C2791">
        <w:t xml:space="preserve"> </w:t>
      </w:r>
      <w:r>
        <w:t>esp. 92–114 and 160–72; as well as</w:t>
      </w:r>
      <w:r w:rsidRPr="004C2791">
        <w:t xml:space="preserve"> McKenzie</w:t>
      </w:r>
      <w:r>
        <w:t>, chap. 4.</w:t>
      </w:r>
    </w:p>
  </w:endnote>
  <w:endnote w:id="6">
    <w:p w14:paraId="2FC07E0D" w14:textId="789367E1" w:rsidR="00FB33A4" w:rsidRDefault="00FB33A4" w:rsidP="00857AF0">
      <w:r w:rsidRPr="007A3D22">
        <w:rPr>
          <w:rStyle w:val="EndnoteReference"/>
          <w:vertAlign w:val="baseline"/>
        </w:rPr>
        <w:endnoteRef/>
      </w:r>
      <w:r>
        <w:t>.</w:t>
      </w:r>
      <w:r w:rsidRPr="007A3D22">
        <w:t xml:space="preserve"> </w:t>
      </w:r>
      <w:r>
        <w:t xml:space="preserve">Various studies have illustrated the trajectories of the passions’ pre- and early modern history. See </w:t>
      </w:r>
      <w:r>
        <w:rPr>
          <w:noProof/>
        </w:rPr>
        <w:t xml:space="preserve">Philip Fisher, </w:t>
      </w:r>
      <w:r>
        <w:rPr>
          <w:i/>
          <w:noProof/>
        </w:rPr>
        <w:t>Vehement Passions</w:t>
      </w:r>
      <w:r>
        <w:rPr>
          <w:noProof/>
        </w:rPr>
        <w:t xml:space="preserve"> (Princeton, 2002); Stephen Gaukroger, ed., </w:t>
      </w:r>
      <w:r>
        <w:rPr>
          <w:i/>
          <w:noProof/>
        </w:rPr>
        <w:t>The Soft Underbelly of Reason</w:t>
      </w:r>
      <w:r w:rsidRPr="00580627">
        <w:rPr>
          <w:i/>
          <w:noProof/>
        </w:rPr>
        <w:t>: The Passions in the Seventeenth Century</w:t>
      </w:r>
      <w:r>
        <w:rPr>
          <w:noProof/>
        </w:rPr>
        <w:t xml:space="preserve"> (New York, 1998); Simo Knuuttila, </w:t>
      </w:r>
      <w:r w:rsidRPr="0038499E">
        <w:rPr>
          <w:i/>
          <w:noProof/>
        </w:rPr>
        <w:t>Emotions in Ancient and Medieval Philosophy</w:t>
      </w:r>
      <w:r>
        <w:rPr>
          <w:noProof/>
        </w:rPr>
        <w:t xml:space="preserve"> (Oxford, 2004); Susan James, </w:t>
      </w:r>
      <w:r>
        <w:rPr>
          <w:i/>
          <w:noProof/>
        </w:rPr>
        <w:t xml:space="preserve">Passion and </w:t>
      </w:r>
      <w:r w:rsidRPr="0038499E">
        <w:rPr>
          <w:i/>
          <w:noProof/>
        </w:rPr>
        <w:t>Actio</w:t>
      </w:r>
      <w:r>
        <w:rPr>
          <w:i/>
          <w:noProof/>
        </w:rPr>
        <w:t xml:space="preserve">n: The Emotions in Seventeenth-Century </w:t>
      </w:r>
      <w:r w:rsidRPr="0038499E">
        <w:rPr>
          <w:i/>
          <w:noProof/>
        </w:rPr>
        <w:t>Philosophy</w:t>
      </w:r>
      <w:r>
        <w:rPr>
          <w:noProof/>
        </w:rPr>
        <w:t xml:space="preserve"> (Oxford, 1997); McKenzie, esp. 24–54; </w:t>
      </w:r>
      <w:r w:rsidRPr="00D02198">
        <w:rPr>
          <w:noProof/>
        </w:rPr>
        <w:t>Gail</w:t>
      </w:r>
      <w:r>
        <w:rPr>
          <w:noProof/>
        </w:rPr>
        <w:t xml:space="preserve"> Kern Paster, Katherine Rowe, and Mary Floyd-Wilson, eds., </w:t>
      </w:r>
      <w:r>
        <w:rPr>
          <w:i/>
          <w:iCs/>
          <w:noProof/>
        </w:rPr>
        <w:t>Reading the Early Modern Passions: Essays in the Cultural History of Emotion</w:t>
      </w:r>
      <w:r>
        <w:rPr>
          <w:noProof/>
        </w:rPr>
        <w:t xml:space="preserve"> (Philadelphia, 2004); and Brian Cummings and Freya Sierhuis, eds., </w:t>
      </w:r>
      <w:r>
        <w:rPr>
          <w:i/>
          <w:noProof/>
        </w:rPr>
        <w:t xml:space="preserve">Passions and Subjectivity in Early Modern Culture </w:t>
      </w:r>
      <w:r>
        <w:rPr>
          <w:noProof/>
        </w:rPr>
        <w:t>(Burlington, 2013).</w:t>
      </w:r>
    </w:p>
  </w:endnote>
  <w:endnote w:id="7">
    <w:p w14:paraId="06B08035" w14:textId="41D54C67" w:rsidR="00FB33A4" w:rsidRDefault="00FB33A4" w:rsidP="00857AF0">
      <w:r w:rsidRPr="007A3D22">
        <w:rPr>
          <w:rStyle w:val="EndnoteReference"/>
          <w:vertAlign w:val="baseline"/>
        </w:rPr>
        <w:endnoteRef/>
      </w:r>
      <w:r>
        <w:t xml:space="preserve">. For an excellent lexicographical analysis of eighteenth-century discourses of emotion, particularly with regard to the shift from classical to modern epistemology, see Amy M. Schmitter, “Passions, Affections, Sentiments: Taxonomy and Terminology,” in </w:t>
      </w:r>
      <w:r>
        <w:rPr>
          <w:i/>
        </w:rPr>
        <w:t>The Oxford Handbook of British Philosophy in the Eighteenth Century</w:t>
      </w:r>
      <w:r>
        <w:t>, ed. James Harris (Oxford, 2013), 197–225.</w:t>
      </w:r>
    </w:p>
  </w:endnote>
  <w:endnote w:id="8">
    <w:p w14:paraId="3C332FAB" w14:textId="1EEC72A7" w:rsidR="00FB33A4" w:rsidRPr="004779C2" w:rsidRDefault="00FB33A4" w:rsidP="00857AF0">
      <w:r w:rsidRPr="007A3D22">
        <w:rPr>
          <w:rStyle w:val="EndnoteReference"/>
          <w:vertAlign w:val="baseline"/>
        </w:rPr>
        <w:endnoteRef/>
      </w:r>
      <w:r>
        <w:t xml:space="preserve">. Thomas Dixon’s </w:t>
      </w:r>
      <w:r>
        <w:rPr>
          <w:i/>
        </w:rPr>
        <w:t>From Passions to Emotions</w:t>
      </w:r>
      <w:r>
        <w:rPr>
          <w:i/>
          <w:iCs/>
          <w:noProof/>
        </w:rPr>
        <w:t>: The Creation of a Secular Psychological Category</w:t>
      </w:r>
      <w:r>
        <w:rPr>
          <w:noProof/>
        </w:rPr>
        <w:t xml:space="preserve"> (Cambridge, 2003) is still unmatched for its </w:t>
      </w:r>
      <w:r>
        <w:t>illustration of how “emotion” replaced “passion” as the dominant trope for describing experiences of psychological intensity over the course of the eighteenth century.</w:t>
      </w:r>
    </w:p>
  </w:endnote>
  <w:endnote w:id="9">
    <w:p w14:paraId="12B898BA" w14:textId="6DC064FD" w:rsidR="00FB33A4" w:rsidRPr="001025D3" w:rsidRDefault="00FB33A4" w:rsidP="00857AF0">
      <w:r w:rsidRPr="007A3D22">
        <w:rPr>
          <w:rStyle w:val="EndnoteReference"/>
          <w:vertAlign w:val="baseline"/>
        </w:rPr>
        <w:endnoteRef/>
      </w:r>
      <w:r>
        <w:t>.</w:t>
      </w:r>
      <w:r>
        <w:rPr>
          <w:i/>
        </w:rPr>
        <w:t xml:space="preserve"> </w:t>
      </w:r>
      <w:r>
        <w:t xml:space="preserve">James, 30–37 and 48–52. See also James Hankinson’s “Actions and Passions: Affection, Emotion and Moral Self-Management in Galen’s Philosophical Psychology,” in </w:t>
      </w:r>
      <w:r>
        <w:rPr>
          <w:rFonts w:eastAsia="Times New Roman" w:cs="Times New Roman"/>
          <w:i/>
          <w:iCs/>
          <w:color w:val="auto"/>
          <w:szCs w:val="24"/>
        </w:rPr>
        <w:t>Passions &amp; P</w:t>
      </w:r>
      <w:r w:rsidRPr="000F7B92">
        <w:rPr>
          <w:rFonts w:eastAsia="Times New Roman" w:cs="Times New Roman"/>
          <w:i/>
          <w:iCs/>
          <w:color w:val="auto"/>
          <w:szCs w:val="24"/>
        </w:rPr>
        <w:t>erceptions</w:t>
      </w:r>
      <w:r>
        <w:rPr>
          <w:rFonts w:eastAsia="Times New Roman" w:cs="Times New Roman"/>
          <w:i/>
          <w:iCs/>
          <w:color w:val="auto"/>
          <w:szCs w:val="24"/>
        </w:rPr>
        <w:t>: Studies in Hellenistic Philosophy of Mind</w:t>
      </w:r>
      <w:r>
        <w:rPr>
          <w:rFonts w:eastAsia="Times New Roman" w:cs="Times New Roman"/>
          <w:iCs/>
          <w:color w:val="auto"/>
          <w:szCs w:val="24"/>
        </w:rPr>
        <w:t xml:space="preserve">, ed. </w:t>
      </w:r>
      <w:r w:rsidRPr="000F7B92">
        <w:rPr>
          <w:rFonts w:eastAsia="Times New Roman" w:cs="Times New Roman"/>
          <w:color w:val="auto"/>
          <w:szCs w:val="24"/>
        </w:rPr>
        <w:t>Jacques Brunschwig and Martha Craven Nussbaum</w:t>
      </w:r>
      <w:r>
        <w:rPr>
          <w:rFonts w:eastAsia="Times New Roman" w:cs="Times New Roman"/>
          <w:color w:val="auto"/>
          <w:szCs w:val="24"/>
        </w:rPr>
        <w:t>, (Cambridge, 1993), 184–222.</w:t>
      </w:r>
    </w:p>
  </w:endnote>
  <w:endnote w:id="10">
    <w:p w14:paraId="4EC7D6BC" w14:textId="7B3782D0" w:rsidR="00FB33A4" w:rsidRPr="00641158" w:rsidRDefault="00FB33A4" w:rsidP="00857AF0">
      <w:r w:rsidRPr="007A3D22">
        <w:rPr>
          <w:rStyle w:val="EndnoteReference"/>
          <w:vertAlign w:val="baseline"/>
        </w:rPr>
        <w:endnoteRef/>
      </w:r>
      <w:r>
        <w:t>. James</w:t>
      </w:r>
      <w:r w:rsidRPr="00641158">
        <w:t>, 11</w:t>
      </w:r>
      <w:r>
        <w:t>.</w:t>
      </w:r>
    </w:p>
  </w:endnote>
  <w:endnote w:id="11">
    <w:p w14:paraId="6385C8DB" w14:textId="0A698F46" w:rsidR="00FB33A4" w:rsidRPr="001025D3" w:rsidRDefault="00FB33A4" w:rsidP="00857AF0">
      <w:r w:rsidRPr="007A3D22">
        <w:rPr>
          <w:rStyle w:val="EndnoteReference"/>
          <w:vertAlign w:val="baseline"/>
        </w:rPr>
        <w:endnoteRef/>
      </w:r>
      <w:r>
        <w:t xml:space="preserve">. Ralph Cudworth, </w:t>
      </w:r>
      <w:r w:rsidR="00975EC3">
        <w:rPr>
          <w:i/>
        </w:rPr>
        <w:t>A Treatise Concerning Eternal and Immutable Morality</w:t>
      </w:r>
      <w:r w:rsidR="00C91721">
        <w:rPr>
          <w:i/>
        </w:rPr>
        <w:t xml:space="preserve">, With a Treatise of Freewill </w:t>
      </w:r>
      <w:r w:rsidR="00C91721">
        <w:t>[1731], ed. Sarah Hutton (Cambridge, 1996), 51</w:t>
      </w:r>
      <w:r>
        <w:t xml:space="preserve">, quoted in </w:t>
      </w:r>
      <w:r w:rsidRPr="00667FFE">
        <w:t>James</w:t>
      </w:r>
      <w:r>
        <w:t xml:space="preserve">, 80. </w:t>
      </w:r>
    </w:p>
  </w:endnote>
  <w:endnote w:id="12">
    <w:p w14:paraId="1E775C3E" w14:textId="3CE1F858" w:rsidR="00FB33A4" w:rsidRPr="001025D3" w:rsidRDefault="00FB33A4" w:rsidP="00857AF0">
      <w:pPr>
        <w:rPr>
          <w:u w:val="single"/>
        </w:rPr>
      </w:pPr>
      <w:r w:rsidRPr="007A3D22">
        <w:rPr>
          <w:rStyle w:val="EndnoteReference"/>
          <w:vertAlign w:val="baseline"/>
        </w:rPr>
        <w:endnoteRef/>
      </w:r>
      <w:r>
        <w:t xml:space="preserve">. Cummings and Sierhuis have, more recently, made a case for the far-reaching implications of rethinking modern epistemology alongside the passions’ conceptual development. See their introduction to </w:t>
      </w:r>
      <w:r>
        <w:rPr>
          <w:i/>
        </w:rPr>
        <w:t>Passions and Subjectivity</w:t>
      </w:r>
      <w:r>
        <w:t>, 1–9.</w:t>
      </w:r>
    </w:p>
  </w:endnote>
  <w:endnote w:id="13">
    <w:p w14:paraId="641A7277" w14:textId="4CB3C1E0" w:rsidR="00FB33A4" w:rsidRPr="001025D3" w:rsidRDefault="00FB33A4" w:rsidP="00857AF0">
      <w:r w:rsidRPr="007A3D22">
        <w:rPr>
          <w:rStyle w:val="EndnoteReference"/>
          <w:vertAlign w:val="baseline"/>
        </w:rPr>
        <w:endnoteRef/>
      </w:r>
      <w:r>
        <w:t xml:space="preserve">. </w:t>
      </w:r>
      <w:r w:rsidRPr="00BF30F8">
        <w:t>Cummings and Sierhuis</w:t>
      </w:r>
      <w:r>
        <w:t>, 9, italics in original.</w:t>
      </w:r>
    </w:p>
  </w:endnote>
  <w:endnote w:id="14">
    <w:p w14:paraId="65A6250E" w14:textId="012E092A" w:rsidR="00FB33A4" w:rsidRDefault="00FB33A4" w:rsidP="00857AF0">
      <w:r w:rsidRPr="007A3D22">
        <w:rPr>
          <w:rStyle w:val="EndnoteReference"/>
          <w:vertAlign w:val="baseline"/>
        </w:rPr>
        <w:endnoteRef/>
      </w:r>
      <w:r>
        <w:t xml:space="preserve">. Robert Burton, </w:t>
      </w:r>
      <w:r>
        <w:rPr>
          <w:i/>
        </w:rPr>
        <w:t xml:space="preserve">The Clarendon Edition of Robert Burton’s </w:t>
      </w:r>
      <w:r>
        <w:t xml:space="preserve">The </w:t>
      </w:r>
      <w:r w:rsidRPr="00102395">
        <w:t>Anatomy of Melancholy</w:t>
      </w:r>
      <w:r>
        <w:t xml:space="preserve"> [1621], 6 vols., ed.s. Nicolas K. Kiessling, Thomas C. Faulkner, and Rhonda L. Blair (Oxford, 1989), 1:56.</w:t>
      </w:r>
    </w:p>
  </w:endnote>
  <w:endnote w:id="15">
    <w:p w14:paraId="7D6636A5" w14:textId="37263610" w:rsidR="00FB33A4" w:rsidRDefault="00FB33A4" w:rsidP="002E54D3">
      <w:r w:rsidRPr="002E54D3">
        <w:rPr>
          <w:rStyle w:val="EndnoteReference"/>
          <w:vertAlign w:val="baseline"/>
        </w:rPr>
        <w:endnoteRef/>
      </w:r>
      <w:r>
        <w:t>. Burton, 1.1.3.2</w:t>
      </w:r>
      <w:r w:rsidR="00AD4F6B">
        <w:t>.</w:t>
      </w:r>
    </w:p>
  </w:endnote>
  <w:endnote w:id="16">
    <w:p w14:paraId="2E822D21" w14:textId="7E8C4114" w:rsidR="004332AA" w:rsidRDefault="004332AA">
      <w:pPr>
        <w:pStyle w:val="EndnoteText"/>
      </w:pPr>
      <w:r w:rsidRPr="00102395">
        <w:rPr>
          <w:sz w:val="24"/>
        </w:rPr>
        <w:endnoteRef/>
      </w:r>
      <w:r w:rsidRPr="00102395">
        <w:rPr>
          <w:sz w:val="24"/>
        </w:rPr>
        <w:t>. Burton, 1.2.3.4, 257.</w:t>
      </w:r>
    </w:p>
  </w:endnote>
  <w:endnote w:id="17">
    <w:p w14:paraId="06BE34C3" w14:textId="7178700A" w:rsidR="00FB33A4" w:rsidRDefault="00FB33A4" w:rsidP="002E54D3">
      <w:r w:rsidRPr="002E54D3">
        <w:rPr>
          <w:rStyle w:val="EndnoteReference"/>
          <w:vertAlign w:val="baseline"/>
        </w:rPr>
        <w:endnoteRef/>
      </w:r>
      <w:r>
        <w:t>. Burton, 1.2.3.5</w:t>
      </w:r>
      <w:r w:rsidR="004332AA">
        <w:t>, 259.</w:t>
      </w:r>
    </w:p>
  </w:endnote>
  <w:endnote w:id="18">
    <w:p w14:paraId="31E88485" w14:textId="29C46DFA" w:rsidR="00FB33A4" w:rsidRDefault="00FB33A4" w:rsidP="00857AF0">
      <w:r w:rsidRPr="002E54D3">
        <w:rPr>
          <w:rStyle w:val="EndnoteReference"/>
          <w:vertAlign w:val="baseline"/>
        </w:rPr>
        <w:endnoteRef/>
      </w:r>
      <w:r>
        <w:t xml:space="preserve">. Angus Gowland, “Melancholy, Passions, and Identity in the Renaissance,” in </w:t>
      </w:r>
      <w:r>
        <w:rPr>
          <w:i/>
        </w:rPr>
        <w:t>Passions and Subjectivity in Early Modern Culture</w:t>
      </w:r>
      <w:r>
        <w:t>, 75–94, 77–78.</w:t>
      </w:r>
    </w:p>
  </w:endnote>
  <w:endnote w:id="19">
    <w:p w14:paraId="4030B483" w14:textId="6587713F" w:rsidR="00FB33A4" w:rsidRPr="0056499D" w:rsidRDefault="00FB33A4" w:rsidP="00857AF0">
      <w:r w:rsidRPr="002E54D3">
        <w:rPr>
          <w:rStyle w:val="EndnoteReference"/>
          <w:vertAlign w:val="baseline"/>
        </w:rPr>
        <w:endnoteRef/>
      </w:r>
      <w:r>
        <w:t xml:space="preserve">. Holbrook Jackson, introduction to </w:t>
      </w:r>
      <w:r>
        <w:rPr>
          <w:i/>
        </w:rPr>
        <w:t>The Anatomy of Melancholy</w:t>
      </w:r>
      <w:r>
        <w:t>, by Robert Burton [1621] (New York, 1977), v–xv, x.</w:t>
      </w:r>
    </w:p>
  </w:endnote>
  <w:endnote w:id="20">
    <w:p w14:paraId="2789E965" w14:textId="053D2F35" w:rsidR="00FB33A4" w:rsidRPr="006A3869" w:rsidRDefault="00FB33A4" w:rsidP="00857AF0">
      <w:r w:rsidRPr="002E54D3">
        <w:rPr>
          <w:rStyle w:val="EndnoteReference"/>
          <w:vertAlign w:val="baseline"/>
        </w:rPr>
        <w:endnoteRef/>
      </w:r>
      <w:r>
        <w:t>.</w:t>
      </w:r>
      <w:r w:rsidRPr="002E54D3">
        <w:t xml:space="preserve"> </w:t>
      </w:r>
      <w:r>
        <w:t xml:space="preserve">The following summary is indebted to Jonathan Kramnick’s </w:t>
      </w:r>
      <w:r>
        <w:rPr>
          <w:i/>
        </w:rPr>
        <w:t>Actions and Objects from Hobbes to Richardson</w:t>
      </w:r>
      <w:r>
        <w:t xml:space="preserve"> (Stanford, 2010). See esp. chap. 4 for a full explication of the revisions Locke made to Book II, chap. xxi, “Of Power,” and the influence William Molyneux had on Locke’s “second thoughts” on whether it is knowledge of good and evil or “uneasiness” that determines the will.</w:t>
      </w:r>
    </w:p>
  </w:endnote>
  <w:endnote w:id="21">
    <w:p w14:paraId="4EB033B3" w14:textId="54C62F68" w:rsidR="00FB33A4" w:rsidRPr="006A3869" w:rsidRDefault="00FB33A4" w:rsidP="00857AF0">
      <w:r w:rsidRPr="000D7E05">
        <w:rPr>
          <w:rStyle w:val="EndnoteReference"/>
          <w:vertAlign w:val="baseline"/>
        </w:rPr>
        <w:endnoteRef/>
      </w:r>
      <w:r>
        <w:t>. Kramnick, 158.</w:t>
      </w:r>
    </w:p>
  </w:endnote>
  <w:endnote w:id="22">
    <w:p w14:paraId="58BC33DD" w14:textId="01D1C007" w:rsidR="00FB33A4" w:rsidRDefault="00FB33A4" w:rsidP="00857AF0">
      <w:r w:rsidRPr="000D7E05">
        <w:rPr>
          <w:rStyle w:val="EndnoteReference"/>
          <w:vertAlign w:val="baseline"/>
        </w:rPr>
        <w:endnoteRef/>
      </w:r>
      <w:r>
        <w:t xml:space="preserve">. Locke, </w:t>
      </w:r>
      <w:r w:rsidRPr="00F20703">
        <w:rPr>
          <w:i/>
        </w:rPr>
        <w:t>Essay</w:t>
      </w:r>
      <w:r>
        <w:t xml:space="preserve">, </w:t>
      </w:r>
      <w:r w:rsidRPr="00F20703">
        <w:t>1</w:t>
      </w:r>
      <w:r w:rsidRPr="00102395">
        <w:t>st</w:t>
      </w:r>
      <w:r>
        <w:t xml:space="preserve"> ed., II.xxi.29; offered as a footnote in the Nidditch edition (n</w:t>
      </w:r>
      <w:r>
        <w:rPr>
          <w:rFonts w:cs="Times New Roman"/>
        </w:rPr>
        <w:t>§29</w:t>
      </w:r>
      <w:r>
        <w:t>248–51, 251).</w:t>
      </w:r>
    </w:p>
  </w:endnote>
  <w:endnote w:id="23">
    <w:p w14:paraId="471E9D52" w14:textId="7C3801B0" w:rsidR="00FB33A4" w:rsidRPr="006A3869" w:rsidRDefault="00FB33A4" w:rsidP="00857AF0">
      <w:r w:rsidRPr="00F20703">
        <w:rPr>
          <w:rStyle w:val="EndnoteReference"/>
          <w:vertAlign w:val="baseline"/>
        </w:rPr>
        <w:endnoteRef/>
      </w:r>
      <w:r>
        <w:t>.</w:t>
      </w:r>
      <w:r w:rsidRPr="00F20703">
        <w:t xml:space="preserve"> </w:t>
      </w:r>
      <w:r w:rsidRPr="00F826EA">
        <w:t>Kramnick</w:t>
      </w:r>
      <w:r>
        <w:t>, 156.</w:t>
      </w:r>
    </w:p>
  </w:endnote>
  <w:endnote w:id="24">
    <w:p w14:paraId="7C862C2D" w14:textId="1D974711" w:rsidR="00FB33A4" w:rsidRDefault="00FB33A4" w:rsidP="00857AF0">
      <w:r w:rsidRPr="000D7E05">
        <w:rPr>
          <w:rStyle w:val="EndnoteReference"/>
          <w:vertAlign w:val="baseline"/>
        </w:rPr>
        <w:endnoteRef/>
      </w:r>
      <w:r>
        <w:t>.</w:t>
      </w:r>
      <w:r w:rsidRPr="000D7E05">
        <w:t xml:space="preserve"> </w:t>
      </w:r>
      <w:r w:rsidRPr="001B478C">
        <w:t>Schouls</w:t>
      </w:r>
      <w:r>
        <w:t>, 93.</w:t>
      </w:r>
    </w:p>
  </w:endnote>
  <w:endnote w:id="25">
    <w:p w14:paraId="61372C51" w14:textId="2E898449" w:rsidR="00FB33A4" w:rsidRDefault="00FB33A4" w:rsidP="00857AF0">
      <w:r w:rsidRPr="000D7E05">
        <w:rPr>
          <w:rStyle w:val="EndnoteReference"/>
          <w:vertAlign w:val="baseline"/>
        </w:rPr>
        <w:endnoteRef/>
      </w:r>
      <w:r>
        <w:t>. Nancy Armstrong and Leonard Tennenhouse describe precisely the logical structure of Lockean passions to which I refer here: see “A Mind for Passion</w:t>
      </w:r>
      <w:r>
        <w:rPr>
          <w:noProof/>
        </w:rPr>
        <w:t xml:space="preserve">: Locke and Hutcheson on Desire,” in </w:t>
      </w:r>
      <w:r>
        <w:rPr>
          <w:i/>
          <w:iCs/>
          <w:noProof/>
        </w:rPr>
        <w:t>Politics and the Passions: 1500–1850</w:t>
      </w:r>
      <w:r>
        <w:rPr>
          <w:iCs/>
          <w:noProof/>
        </w:rPr>
        <w:t>,</w:t>
      </w:r>
      <w:r>
        <w:rPr>
          <w:noProof/>
        </w:rPr>
        <w:t xml:space="preserve"> ed. Victoria Kahn, Neil Saccamono, and Daneila Coli (Princeton, 2006)</w:t>
      </w:r>
      <w:r>
        <w:t>, 131–</w:t>
      </w:r>
      <w:r w:rsidR="00102395">
        <w:t>50, 137.</w:t>
      </w:r>
    </w:p>
  </w:endnote>
  <w:endnote w:id="26">
    <w:p w14:paraId="0598F8F2" w14:textId="4226F74F" w:rsidR="00FB33A4" w:rsidRPr="00D43E9E" w:rsidRDefault="00FB33A4" w:rsidP="00857AF0">
      <w:r w:rsidRPr="000D7E05">
        <w:rPr>
          <w:rStyle w:val="EndnoteReference"/>
          <w:vertAlign w:val="baseline"/>
        </w:rPr>
        <w:endnoteRef/>
      </w:r>
      <w:r>
        <w:t xml:space="preserve">. David Hume, of course, asserts that necessary connections between causes and effects, if they exist at all, can never be observed: see </w:t>
      </w:r>
      <w:r>
        <w:rPr>
          <w:i/>
        </w:rPr>
        <w:t>A Treatise of Human Nature</w:t>
      </w:r>
      <w:r>
        <w:t xml:space="preserve"> [*1739*], ed. L. A. Selby-Bigge, 2</w:t>
      </w:r>
      <w:r w:rsidRPr="00102395">
        <w:t>nd</w:t>
      </w:r>
      <w:r>
        <w:t xml:space="preserve"> ed., rev. Nidditch (Oxford, 1978), 168.</w:t>
      </w:r>
    </w:p>
  </w:endnote>
  <w:endnote w:id="27">
    <w:p w14:paraId="58930187" w14:textId="5DCCF98E" w:rsidR="00FB33A4" w:rsidRPr="004779C2" w:rsidRDefault="00FB33A4" w:rsidP="00857AF0">
      <w:r w:rsidRPr="000D7E05">
        <w:rPr>
          <w:rStyle w:val="EndnoteReference"/>
          <w:vertAlign w:val="baseline"/>
        </w:rPr>
        <w:endnoteRef/>
      </w:r>
      <w:r>
        <w:t xml:space="preserve">. </w:t>
      </w:r>
      <w:r>
        <w:rPr>
          <w:rFonts w:cs="Times New Roman"/>
          <w:noProof/>
        </w:rPr>
        <w:t>Armstrong and Tennenhouse,</w:t>
      </w:r>
      <w:r>
        <w:rPr>
          <w:noProof/>
        </w:rPr>
        <w:t xml:space="preserve"> 136.</w:t>
      </w:r>
      <w:r>
        <w:t xml:space="preserve"> See also Dixon</w:t>
      </w:r>
      <w:r>
        <w:rPr>
          <w:noProof/>
        </w:rPr>
        <w:t>, esp. 1–25, for an argument about the relationship between secularization of eighteenth-century thought and the decline of “the passions” as a culturally relevant concept.</w:t>
      </w:r>
    </w:p>
  </w:endnote>
  <w:endnote w:id="28">
    <w:p w14:paraId="2322B914" w14:textId="4A66CBAA" w:rsidR="00FB33A4" w:rsidRDefault="00FB33A4" w:rsidP="000D7E05">
      <w:r w:rsidRPr="000D7E05">
        <w:rPr>
          <w:rStyle w:val="EndnoteReference"/>
          <w:vertAlign w:val="baseline"/>
        </w:rPr>
        <w:endnoteRef/>
      </w:r>
      <w:r>
        <w:t>.</w:t>
      </w:r>
      <w:r w:rsidRPr="000D7E05">
        <w:t xml:space="preserve"> </w:t>
      </w:r>
      <w:r>
        <w:t xml:space="preserve">Locke, </w:t>
      </w:r>
      <w:r w:rsidRPr="00102395">
        <w:rPr>
          <w:i/>
        </w:rPr>
        <w:t>Essay</w:t>
      </w:r>
      <w:r>
        <w:t xml:space="preserve">, </w:t>
      </w:r>
      <w:r>
        <w:t>II.vii.3.</w:t>
      </w:r>
    </w:p>
  </w:endnote>
  <w:endnote w:id="29">
    <w:p w14:paraId="1AAE78EE" w14:textId="2FE84341" w:rsidR="00FB33A4" w:rsidRPr="006E0C37" w:rsidRDefault="00FB33A4" w:rsidP="00857AF0">
      <w:r w:rsidRPr="000D7E05">
        <w:rPr>
          <w:rStyle w:val="EndnoteReference"/>
          <w:vertAlign w:val="baseline"/>
        </w:rPr>
        <w:endnoteRef/>
      </w:r>
      <w:r>
        <w:t xml:space="preserve">. See Helen Thompson’s “‘In Idea, a Thousand Nameless Joys’: Secondary Qualities in Arnauld, Locke, and Haywood’s </w:t>
      </w:r>
      <w:r w:rsidRPr="006E0C37">
        <w:rPr>
          <w:i/>
        </w:rPr>
        <w:t>Lasselia</w:t>
      </w:r>
      <w:r>
        <w:t>” (</w:t>
      </w:r>
      <w:r w:rsidRPr="006E0C37">
        <w:rPr>
          <w:i/>
        </w:rPr>
        <w:t>The Eighteenth Century: Theory and Interpretation</w:t>
      </w:r>
      <w:r>
        <w:t xml:space="preserve"> 48, no. 3 [2007]: 225–43) for a discussion of Locke’s response to Nicolas Malebranche on whether our ideas reside in perception or in God.</w:t>
      </w:r>
    </w:p>
  </w:endnote>
  <w:endnote w:id="30">
    <w:p w14:paraId="46D88314" w14:textId="56ADE61F" w:rsidR="00FB33A4" w:rsidRDefault="00FB33A4" w:rsidP="008174CE">
      <w:r w:rsidRPr="008174CE">
        <w:rPr>
          <w:rStyle w:val="EndnoteReference"/>
          <w:vertAlign w:val="baseline"/>
        </w:rPr>
        <w:endnoteRef/>
      </w:r>
      <w:r>
        <w:t xml:space="preserve">. Locke, </w:t>
      </w:r>
      <w:r w:rsidRPr="00102395">
        <w:rPr>
          <w:i/>
        </w:rPr>
        <w:t>Essay</w:t>
      </w:r>
      <w:r>
        <w:t xml:space="preserve">, </w:t>
      </w:r>
      <w:r>
        <w:t>II.vii.3.</w:t>
      </w:r>
    </w:p>
  </w:endnote>
  <w:endnote w:id="31">
    <w:p w14:paraId="51968348" w14:textId="33B2370E" w:rsidR="00FB33A4" w:rsidRPr="00377107" w:rsidRDefault="00FB33A4" w:rsidP="008174CE">
      <w:r w:rsidRPr="00E30AE2">
        <w:rPr>
          <w:rStyle w:val="EndnoteReference"/>
          <w:vertAlign w:val="baseline"/>
        </w:rPr>
        <w:endnoteRef/>
      </w:r>
      <w:r>
        <w:t xml:space="preserve">. Locke, </w:t>
      </w:r>
      <w:r>
        <w:rPr>
          <w:i/>
        </w:rPr>
        <w:t>Essay</w:t>
      </w:r>
      <w:r>
        <w:t>, II.vii.4.</w:t>
      </w:r>
    </w:p>
  </w:endnote>
  <w:endnote w:id="32">
    <w:p w14:paraId="7361A9B2" w14:textId="1738521E" w:rsidR="00FB33A4" w:rsidRPr="00377107" w:rsidRDefault="00FB33A4" w:rsidP="008174CE">
      <w:r w:rsidRPr="00E30AE2">
        <w:rPr>
          <w:rStyle w:val="EndnoteReference"/>
          <w:vertAlign w:val="baseline"/>
        </w:rPr>
        <w:endnoteRef/>
      </w:r>
      <w:r>
        <w:t xml:space="preserve">. Locke, </w:t>
      </w:r>
      <w:r>
        <w:rPr>
          <w:i/>
        </w:rPr>
        <w:t>Essay</w:t>
      </w:r>
      <w:r>
        <w:t xml:space="preserve">, </w:t>
      </w:r>
      <w:r>
        <w:t>II.xx.3.</w:t>
      </w:r>
    </w:p>
  </w:endnote>
  <w:endnote w:id="33">
    <w:p w14:paraId="167C8C9F" w14:textId="58CB8DCE" w:rsidR="00FB33A4" w:rsidRPr="00FB33A4" w:rsidRDefault="00FB33A4">
      <w:pPr>
        <w:pStyle w:val="EndnoteText"/>
      </w:pPr>
      <w:r w:rsidRPr="00102395">
        <w:rPr>
          <w:rStyle w:val="EndnoteReference"/>
          <w:sz w:val="24"/>
          <w:vertAlign w:val="baseline"/>
        </w:rPr>
        <w:t>33</w:t>
      </w:r>
      <w:r>
        <w:rPr>
          <w:rStyle w:val="EndnoteReference"/>
          <w:sz w:val="24"/>
          <w:vertAlign w:val="baseline"/>
        </w:rPr>
        <w:t>. Recently,</w:t>
      </w:r>
      <w:r w:rsidR="003A1BFB">
        <w:rPr>
          <w:sz w:val="24"/>
        </w:rPr>
        <w:t xml:space="preserve"> in a paper presented at </w:t>
      </w:r>
      <w:r w:rsidR="003A1BFB" w:rsidRPr="003A1BFB">
        <w:rPr>
          <w:sz w:val="24"/>
        </w:rPr>
        <w:t xml:space="preserve">the Annual Meeting of the American Society </w:t>
      </w:r>
      <w:r w:rsidR="003A1BFB">
        <w:rPr>
          <w:sz w:val="24"/>
        </w:rPr>
        <w:t>for Eighteenth-Century Studies (</w:t>
      </w:r>
      <w:r w:rsidR="00AD4F6B">
        <w:rPr>
          <w:sz w:val="24"/>
        </w:rPr>
        <w:t xml:space="preserve">“How and What in Locke.” </w:t>
      </w:r>
      <w:r w:rsidR="003A1BFB" w:rsidRPr="003A1BFB">
        <w:rPr>
          <w:sz w:val="24"/>
        </w:rPr>
        <w:t>Minneapolis, MN, April 2017</w:t>
      </w:r>
      <w:r w:rsidR="003A1BFB">
        <w:rPr>
          <w:sz w:val="24"/>
        </w:rPr>
        <w:t>),</w:t>
      </w:r>
      <w:r>
        <w:rPr>
          <w:rStyle w:val="EndnoteReference"/>
          <w:sz w:val="24"/>
          <w:vertAlign w:val="baseline"/>
        </w:rPr>
        <w:t xml:space="preserve"> </w:t>
      </w:r>
      <w:r>
        <w:rPr>
          <w:sz w:val="24"/>
        </w:rPr>
        <w:t xml:space="preserve">Sean Silver has also identified the relationship between simple and complex ideas as a critical problematic at work in Locke’s </w:t>
      </w:r>
      <w:r>
        <w:rPr>
          <w:i/>
          <w:sz w:val="24"/>
        </w:rPr>
        <w:t>Essay</w:t>
      </w:r>
      <w:r>
        <w:rPr>
          <w:sz w:val="24"/>
        </w:rPr>
        <w:t xml:space="preserve"> and a key to interrogating the nature of “understanding” as a process rather than as a faculty</w:t>
      </w:r>
      <w:r w:rsidR="00AD4F6B">
        <w:rPr>
          <w:sz w:val="24"/>
        </w:rPr>
        <w:t>.</w:t>
      </w:r>
      <w:r>
        <w:rPr>
          <w:sz w:val="24"/>
        </w:rPr>
        <w:t xml:space="preserve">  </w:t>
      </w:r>
    </w:p>
  </w:endnote>
  <w:endnote w:id="34">
    <w:p w14:paraId="5433B3B7" w14:textId="559D421C" w:rsidR="00FB33A4" w:rsidRPr="00AA3855" w:rsidRDefault="00FB33A4" w:rsidP="008174CE">
      <w:r w:rsidRPr="00E30AE2">
        <w:rPr>
          <w:rStyle w:val="EndnoteReference"/>
          <w:vertAlign w:val="baseline"/>
        </w:rPr>
        <w:endnoteRef/>
      </w:r>
      <w:r>
        <w:t xml:space="preserve">. Locke, </w:t>
      </w:r>
      <w:r>
        <w:rPr>
          <w:i/>
        </w:rPr>
        <w:t>Essay</w:t>
      </w:r>
      <w:r>
        <w:t>, II.xx.1.</w:t>
      </w:r>
    </w:p>
  </w:endnote>
  <w:endnote w:id="35">
    <w:p w14:paraId="15003CD5" w14:textId="7BEA7C25" w:rsidR="00FB33A4" w:rsidRPr="00AA3855" w:rsidRDefault="00FB33A4" w:rsidP="008174CE">
      <w:r w:rsidRPr="00E30AE2">
        <w:rPr>
          <w:rStyle w:val="EndnoteReference"/>
          <w:vertAlign w:val="baseline"/>
        </w:rPr>
        <w:endnoteRef/>
      </w:r>
      <w:r>
        <w:t xml:space="preserve">. Locke, </w:t>
      </w:r>
      <w:r>
        <w:rPr>
          <w:i/>
        </w:rPr>
        <w:t>Essay</w:t>
      </w:r>
      <w:r>
        <w:t xml:space="preserve">, </w:t>
      </w:r>
      <w:r>
        <w:t>II.xx.4.</w:t>
      </w:r>
    </w:p>
  </w:endnote>
  <w:endnote w:id="36">
    <w:p w14:paraId="70CF74BE" w14:textId="195E7391" w:rsidR="00FB33A4" w:rsidRPr="00AA3855" w:rsidRDefault="00FB33A4" w:rsidP="008174CE">
      <w:r w:rsidRPr="00E30AE2">
        <w:rPr>
          <w:rStyle w:val="EndnoteReference"/>
          <w:vertAlign w:val="baseline"/>
        </w:rPr>
        <w:endnoteRef/>
      </w:r>
      <w:r>
        <w:t xml:space="preserve">. Locke, </w:t>
      </w:r>
      <w:r>
        <w:rPr>
          <w:i/>
        </w:rPr>
        <w:t>Essay</w:t>
      </w:r>
      <w:r>
        <w:t xml:space="preserve">, </w:t>
      </w:r>
      <w:r>
        <w:t>II.xx.3–4.</w:t>
      </w:r>
    </w:p>
  </w:endnote>
  <w:endnote w:id="37">
    <w:p w14:paraId="27C71A88" w14:textId="088FECF8" w:rsidR="00FB33A4" w:rsidRPr="00FB6C70" w:rsidRDefault="00FB33A4" w:rsidP="008174CE">
      <w:r w:rsidRPr="00E30AE2">
        <w:rPr>
          <w:rStyle w:val="EndnoteReference"/>
          <w:vertAlign w:val="baseline"/>
        </w:rPr>
        <w:endnoteRef/>
      </w:r>
      <w:r>
        <w:t xml:space="preserve">. Locke, </w:t>
      </w:r>
      <w:r>
        <w:rPr>
          <w:i/>
        </w:rPr>
        <w:t>Essay</w:t>
      </w:r>
      <w:r>
        <w:t xml:space="preserve">, </w:t>
      </w:r>
      <w:r>
        <w:t>II.xx.8.</w:t>
      </w:r>
    </w:p>
  </w:endnote>
  <w:endnote w:id="38">
    <w:p w14:paraId="3788DE40" w14:textId="724A1C33" w:rsidR="00FB33A4" w:rsidRPr="00FB6C70" w:rsidRDefault="00FB33A4" w:rsidP="008174CE">
      <w:r w:rsidRPr="00E30AE2">
        <w:rPr>
          <w:rStyle w:val="EndnoteReference"/>
          <w:vertAlign w:val="baseline"/>
        </w:rPr>
        <w:endnoteRef/>
      </w:r>
      <w:r>
        <w:t xml:space="preserve">. Locke, </w:t>
      </w:r>
      <w:r>
        <w:rPr>
          <w:i/>
        </w:rPr>
        <w:t>Essay</w:t>
      </w:r>
      <w:r>
        <w:t xml:space="preserve">, </w:t>
      </w:r>
      <w:r>
        <w:t>II.xx.3.</w:t>
      </w:r>
    </w:p>
  </w:endnote>
  <w:endnote w:id="39">
    <w:p w14:paraId="3261F09E" w14:textId="63EE0C79" w:rsidR="00FB33A4" w:rsidRDefault="00FB33A4" w:rsidP="00857AF0">
      <w:r w:rsidRPr="00E30AE2">
        <w:rPr>
          <w:rStyle w:val="EndnoteReference"/>
          <w:vertAlign w:val="baseline"/>
        </w:rPr>
        <w:endnoteRef/>
      </w:r>
      <w:r>
        <w:t xml:space="preserve">. See </w:t>
      </w:r>
      <w:r w:rsidRPr="00711AC0">
        <w:rPr>
          <w:rFonts w:cs="Times New Roman"/>
          <w:color w:val="auto"/>
          <w:szCs w:val="24"/>
        </w:rPr>
        <w:t>Ben Highmore</w:t>
      </w:r>
      <w:r>
        <w:rPr>
          <w:rFonts w:cs="Times New Roman"/>
          <w:color w:val="auto"/>
          <w:szCs w:val="24"/>
        </w:rPr>
        <w:t>, “Bitter a</w:t>
      </w:r>
      <w:r w:rsidRPr="00711AC0">
        <w:rPr>
          <w:rFonts w:cs="Times New Roman"/>
          <w:color w:val="auto"/>
          <w:szCs w:val="24"/>
        </w:rPr>
        <w:t>fter Taste</w:t>
      </w:r>
      <w:r>
        <w:rPr>
          <w:rFonts w:cs="Times New Roman"/>
          <w:color w:val="auto"/>
          <w:szCs w:val="24"/>
        </w:rPr>
        <w:t>: Affect, Food, and Social Aesthetics,</w:t>
      </w:r>
      <w:r w:rsidRPr="00711AC0">
        <w:rPr>
          <w:rFonts w:cs="Times New Roman"/>
          <w:color w:val="auto"/>
          <w:szCs w:val="24"/>
        </w:rPr>
        <w:t xml:space="preserve">” in </w:t>
      </w:r>
      <w:r>
        <w:rPr>
          <w:rFonts w:cs="Times New Roman"/>
          <w:i/>
          <w:color w:val="auto"/>
          <w:szCs w:val="24"/>
        </w:rPr>
        <w:t>The Affect Theory Reader</w:t>
      </w:r>
      <w:r>
        <w:rPr>
          <w:rFonts w:cs="Times New Roman"/>
          <w:color w:val="auto"/>
          <w:szCs w:val="24"/>
        </w:rPr>
        <w:t>,</w:t>
      </w:r>
      <w:r>
        <w:rPr>
          <w:rFonts w:cs="Times New Roman"/>
          <w:i/>
          <w:color w:val="auto"/>
          <w:szCs w:val="24"/>
        </w:rPr>
        <w:t xml:space="preserve"> </w:t>
      </w:r>
      <w:r>
        <w:rPr>
          <w:rFonts w:cs="Times New Roman"/>
          <w:color w:val="auto"/>
          <w:szCs w:val="24"/>
        </w:rPr>
        <w:t xml:space="preserve">ed. </w:t>
      </w:r>
      <w:r>
        <w:t>Melissa Gregg and</w:t>
      </w:r>
      <w:r w:rsidRPr="00711AC0">
        <w:rPr>
          <w:i/>
          <w:iCs/>
        </w:rPr>
        <w:t xml:space="preserve"> </w:t>
      </w:r>
      <w:r w:rsidRPr="00711AC0">
        <w:rPr>
          <w:iCs/>
        </w:rPr>
        <w:t>Gregory J</w:t>
      </w:r>
      <w:r>
        <w:rPr>
          <w:iCs/>
        </w:rPr>
        <w:t>.</w:t>
      </w:r>
      <w:r w:rsidRPr="00711AC0">
        <w:rPr>
          <w:iCs/>
        </w:rPr>
        <w:t xml:space="preserve"> Seigworth</w:t>
      </w:r>
      <w:r>
        <w:rPr>
          <w:iCs/>
        </w:rPr>
        <w:t xml:space="preserve"> </w:t>
      </w:r>
      <w:r>
        <w:t>(Durham,</w:t>
      </w:r>
      <w:r w:rsidRPr="00711AC0">
        <w:t xml:space="preserve"> 2010)</w:t>
      </w:r>
      <w:r>
        <w:t xml:space="preserve">, 118–37, </w:t>
      </w:r>
      <w:r w:rsidRPr="00711AC0">
        <w:rPr>
          <w:rFonts w:cs="Times New Roman"/>
          <w:color w:val="auto"/>
          <w:szCs w:val="24"/>
        </w:rPr>
        <w:t>119</w:t>
      </w:r>
      <w:r w:rsidRPr="00711AC0">
        <w:t>.</w:t>
      </w:r>
    </w:p>
  </w:endnote>
  <w:endnote w:id="40">
    <w:p w14:paraId="7258B30A" w14:textId="562B349F" w:rsidR="00FB33A4" w:rsidRPr="00D018D4" w:rsidRDefault="00FB33A4" w:rsidP="00857AF0">
      <w:r w:rsidRPr="00E30AE2">
        <w:rPr>
          <w:rStyle w:val="EndnoteReference"/>
          <w:vertAlign w:val="baseline"/>
        </w:rPr>
        <w:endnoteRef/>
      </w:r>
      <w:r>
        <w:t xml:space="preserve">. Donald F. Bond, introduction to </w:t>
      </w:r>
      <w:r>
        <w:rPr>
          <w:i/>
        </w:rPr>
        <w:t>The Spectator</w:t>
      </w:r>
      <w:r>
        <w:t xml:space="preserve"> by Joseph Addison and Richard Steele, 5 vols., ed. Bond (Oxford, 1965), 1:xliii–lxix, lix. Eve Tavor Bannet notes that the tendency to privilege Addison over Steele is still commonplace in contemporary scholarship; see “‘Epistolary Commerce’ in </w:t>
      </w:r>
      <w:r>
        <w:rPr>
          <w:i/>
        </w:rPr>
        <w:t>The Spectator</w:t>
      </w:r>
      <w:r>
        <w:t xml:space="preserve">,” </w:t>
      </w:r>
      <w:r>
        <w:rPr>
          <w:noProof/>
        </w:rPr>
        <w:t xml:space="preserve">in </w:t>
      </w:r>
      <w:r>
        <w:rPr>
          <w:i/>
          <w:iCs/>
          <w:noProof/>
        </w:rPr>
        <w:t>The Spectator: Emerging Discourses</w:t>
      </w:r>
      <w:r>
        <w:rPr>
          <w:iCs/>
          <w:noProof/>
        </w:rPr>
        <w:t>,</w:t>
      </w:r>
      <w:r>
        <w:rPr>
          <w:noProof/>
        </w:rPr>
        <w:t xml:space="preserve"> ed. Donald J. Newman (Newark, 2005), 220–47.</w:t>
      </w:r>
    </w:p>
  </w:endnote>
  <w:endnote w:id="41">
    <w:p w14:paraId="58F9CDC4" w14:textId="461AC896" w:rsidR="00FB33A4" w:rsidRPr="00FB6C70" w:rsidRDefault="00FB33A4" w:rsidP="00E30AE2">
      <w:r w:rsidRPr="00E30AE2">
        <w:rPr>
          <w:rStyle w:val="EndnoteReference"/>
          <w:vertAlign w:val="baseline"/>
        </w:rPr>
        <w:endnoteRef/>
      </w:r>
      <w:r>
        <w:t>.</w:t>
      </w:r>
      <w:r w:rsidRPr="00E30AE2">
        <w:t xml:space="preserve"> </w:t>
      </w:r>
      <w:r>
        <w:t xml:space="preserve">Addison, </w:t>
      </w:r>
      <w:r w:rsidRPr="00102395">
        <w:rPr>
          <w:i/>
        </w:rPr>
        <w:t>The Spectator</w:t>
      </w:r>
      <w:r>
        <w:t xml:space="preserve"> No. 102, in </w:t>
      </w:r>
      <w:r>
        <w:rPr>
          <w:i/>
        </w:rPr>
        <w:t>The Spectator</w:t>
      </w:r>
      <w:r>
        <w:t>, 1:426–29, 426.</w:t>
      </w:r>
    </w:p>
  </w:endnote>
  <w:endnote w:id="42">
    <w:p w14:paraId="7B7FCF20" w14:textId="3E863582" w:rsidR="00FB33A4" w:rsidRPr="00FB6C70" w:rsidRDefault="00FB33A4" w:rsidP="00E30AE2">
      <w:r w:rsidRPr="00E30AE2">
        <w:rPr>
          <w:rStyle w:val="EndnoteReference"/>
          <w:vertAlign w:val="baseline"/>
        </w:rPr>
        <w:endnoteRef/>
      </w:r>
      <w:r>
        <w:t xml:space="preserve">. See Addison, </w:t>
      </w:r>
      <w:r>
        <w:rPr>
          <w:i/>
        </w:rPr>
        <w:t>The Spectator</w:t>
      </w:r>
      <w:r>
        <w:t xml:space="preserve"> No. 16, in </w:t>
      </w:r>
      <w:r>
        <w:rPr>
          <w:i/>
        </w:rPr>
        <w:t>The Spectator</w:t>
      </w:r>
      <w:r>
        <w:t>, 1:70–74, 70.</w:t>
      </w:r>
    </w:p>
  </w:endnote>
  <w:endnote w:id="43">
    <w:p w14:paraId="154CA152" w14:textId="50D9D09B" w:rsidR="00FB33A4" w:rsidRDefault="00FB33A4" w:rsidP="00E30AE2">
      <w:r w:rsidRPr="00E30AE2">
        <w:rPr>
          <w:rStyle w:val="EndnoteReference"/>
          <w:vertAlign w:val="baseline"/>
        </w:rPr>
        <w:endnoteRef/>
      </w:r>
      <w:r>
        <w:t>. Addison, No. 102, 428.</w:t>
      </w:r>
    </w:p>
  </w:endnote>
  <w:endnote w:id="44">
    <w:p w14:paraId="1DDD15DC" w14:textId="03B095D1" w:rsidR="00FB33A4" w:rsidRDefault="00FB33A4" w:rsidP="00E30AE2">
      <w:r w:rsidRPr="00D442E1">
        <w:rPr>
          <w:rStyle w:val="EndnoteReference"/>
          <w:vertAlign w:val="baseline"/>
        </w:rPr>
        <w:endnoteRef/>
      </w:r>
      <w:r>
        <w:t>. Addison, No. 102, 428.</w:t>
      </w:r>
    </w:p>
  </w:endnote>
  <w:endnote w:id="45">
    <w:p w14:paraId="7261AADF" w14:textId="3DBF8E59" w:rsidR="00FB33A4" w:rsidRDefault="00FB33A4" w:rsidP="00E30AE2">
      <w:r w:rsidRPr="00D442E1">
        <w:rPr>
          <w:rStyle w:val="EndnoteReference"/>
          <w:vertAlign w:val="baseline"/>
        </w:rPr>
        <w:endnoteRef/>
      </w:r>
      <w:r>
        <w:t>. Bond</w:t>
      </w:r>
      <w:r w:rsidR="00AD4F6B">
        <w:t>, lxix.</w:t>
      </w:r>
    </w:p>
  </w:endnote>
  <w:endnote w:id="46">
    <w:p w14:paraId="4FD97813" w14:textId="5DBF5C1B" w:rsidR="00FB33A4" w:rsidRDefault="00FB33A4" w:rsidP="00857AF0">
      <w:r w:rsidRPr="00D442E1">
        <w:rPr>
          <w:rStyle w:val="EndnoteReference"/>
          <w:vertAlign w:val="baseline"/>
        </w:rPr>
        <w:endnoteRef/>
      </w:r>
      <w:r>
        <w:t xml:space="preserve">. This phrase comes from Robert South’s “A Sermon Preached at Christ-Church, Oxon, Before the University, October 29, 1693” (in </w:t>
      </w:r>
      <w:r>
        <w:rPr>
          <w:i/>
        </w:rPr>
        <w:t>Twelve Sermons upon Several Subjects and Occasions</w:t>
      </w:r>
      <w:r>
        <w:t>,</w:t>
      </w:r>
      <w:r w:rsidR="00102395">
        <w:t xml:space="preserve"> </w:t>
      </w:r>
      <w:r>
        <w:t>5 vols. [London, 1727], 3:44–88, 68). South urges his parishioners to use their eyes, ears and minds, as “Instruments of Knowledge,” to discern the unequivocal truths of good and evil.</w:t>
      </w:r>
    </w:p>
  </w:endnote>
  <w:endnote w:id="47">
    <w:p w14:paraId="3DC327C9" w14:textId="2569D776" w:rsidR="00FB33A4" w:rsidRPr="009B73E1" w:rsidRDefault="00FB33A4" w:rsidP="00D442E1">
      <w:r w:rsidRPr="00D442E1">
        <w:rPr>
          <w:rStyle w:val="EndnoteReference"/>
          <w:vertAlign w:val="baseline"/>
        </w:rPr>
        <w:endnoteRef/>
      </w:r>
      <w:r>
        <w:t>.</w:t>
      </w:r>
      <w:r w:rsidRPr="00D442E1">
        <w:t xml:space="preserve"> </w:t>
      </w:r>
      <w:r w:rsidRPr="00807544">
        <w:t xml:space="preserve">Addison, </w:t>
      </w:r>
      <w:r w:rsidRPr="00807544">
        <w:rPr>
          <w:i/>
        </w:rPr>
        <w:t>Spectator</w:t>
      </w:r>
      <w:r w:rsidRPr="00807544">
        <w:t xml:space="preserve"> No. 170, in </w:t>
      </w:r>
      <w:r w:rsidRPr="00807544">
        <w:rPr>
          <w:i/>
        </w:rPr>
        <w:t>The Spectator</w:t>
      </w:r>
      <w:r w:rsidRPr="00807544">
        <w:t>, 2:</w:t>
      </w:r>
      <w:r w:rsidR="00807544">
        <w:t>168</w:t>
      </w:r>
      <w:r w:rsidRPr="00807544">
        <w:t>–</w:t>
      </w:r>
      <w:r w:rsidR="00807544">
        <w:t>72</w:t>
      </w:r>
      <w:r w:rsidRPr="00807544">
        <w:t>, 168.</w:t>
      </w:r>
    </w:p>
  </w:endnote>
  <w:endnote w:id="48">
    <w:p w14:paraId="056EB3EC" w14:textId="1D388506" w:rsidR="00FB33A4" w:rsidRDefault="00FB33A4" w:rsidP="00D442E1">
      <w:r w:rsidRPr="00D442E1">
        <w:rPr>
          <w:rStyle w:val="EndnoteReference"/>
          <w:vertAlign w:val="baseline"/>
        </w:rPr>
        <w:endnoteRef/>
      </w:r>
      <w:r>
        <w:t>. Locke,</w:t>
      </w:r>
      <w:r>
        <w:rPr>
          <w:i/>
        </w:rPr>
        <w:t xml:space="preserve"> Essay, </w:t>
      </w:r>
      <w:r>
        <w:t>II.xxi.51.</w:t>
      </w:r>
    </w:p>
  </w:endnote>
  <w:endnote w:id="49">
    <w:p w14:paraId="7958F073" w14:textId="1C540ABA" w:rsidR="00FB33A4" w:rsidRDefault="00FB33A4" w:rsidP="00D442E1">
      <w:r w:rsidRPr="00D442E1">
        <w:rPr>
          <w:rStyle w:val="EndnoteReference"/>
          <w:vertAlign w:val="baseline"/>
        </w:rPr>
        <w:endnoteRef/>
      </w:r>
      <w:r>
        <w:t>. Addison, No. 170, 169.</w:t>
      </w:r>
    </w:p>
  </w:endnote>
  <w:endnote w:id="50">
    <w:p w14:paraId="359D3C10" w14:textId="68876E7E" w:rsidR="00FB33A4" w:rsidRDefault="00FB33A4" w:rsidP="00857AF0">
      <w:r w:rsidRPr="00D442E1">
        <w:rPr>
          <w:rStyle w:val="EndnoteReference"/>
          <w:vertAlign w:val="baseline"/>
        </w:rPr>
        <w:endnoteRef/>
      </w:r>
      <w:r>
        <w:t xml:space="preserve">. </w:t>
      </w:r>
      <w:r w:rsidRPr="00524A91">
        <w:t xml:space="preserve">See </w:t>
      </w:r>
      <w:r>
        <w:t>Burton’s “Digression of the Nature of Spirits, Bad Angels, or Devils, and how they cause Melancholy,” 1.2.1.2.</w:t>
      </w:r>
    </w:p>
  </w:endnote>
  <w:endnote w:id="51">
    <w:p w14:paraId="0BABAC2E" w14:textId="4C717747" w:rsidR="00FB33A4" w:rsidRDefault="00FB33A4" w:rsidP="00857AF0">
      <w:r w:rsidRPr="00D442E1">
        <w:rPr>
          <w:rStyle w:val="EndnoteReference"/>
          <w:vertAlign w:val="baseline"/>
        </w:rPr>
        <w:endnoteRef/>
      </w:r>
      <w:r>
        <w:t xml:space="preserve">. On this point, see Jackson, “Addison: Empiricist of the Moral Consciousness,” </w:t>
      </w:r>
      <w:r w:rsidRPr="00335F8B">
        <w:rPr>
          <w:i/>
        </w:rPr>
        <w:t>Philological Quarterly</w:t>
      </w:r>
      <w:r>
        <w:t xml:space="preserve"> 45, no. 2 (1966): 455–59.</w:t>
      </w:r>
    </w:p>
  </w:endnote>
  <w:endnote w:id="52">
    <w:p w14:paraId="0CD68371" w14:textId="038E809F" w:rsidR="00FB33A4" w:rsidRPr="009B73E1" w:rsidRDefault="00FB33A4" w:rsidP="00D442E1">
      <w:r w:rsidRPr="00D442E1">
        <w:rPr>
          <w:rStyle w:val="EndnoteReference"/>
          <w:vertAlign w:val="baseline"/>
        </w:rPr>
        <w:endnoteRef/>
      </w:r>
      <w:r>
        <w:t xml:space="preserve">. Addison, </w:t>
      </w:r>
      <w:r>
        <w:rPr>
          <w:i/>
        </w:rPr>
        <w:t>Spectator</w:t>
      </w:r>
      <w:r>
        <w:t xml:space="preserve"> No. 37, in </w:t>
      </w:r>
      <w:r>
        <w:rPr>
          <w:i/>
        </w:rPr>
        <w:t>The Spectator</w:t>
      </w:r>
      <w:r>
        <w:t>, 1:152–59, 158.</w:t>
      </w:r>
    </w:p>
  </w:endnote>
  <w:endnote w:id="53">
    <w:p w14:paraId="02CDFAB6" w14:textId="617CEFB4" w:rsidR="00FB33A4" w:rsidRPr="009B73E1" w:rsidRDefault="00FB33A4" w:rsidP="00D442E1">
      <w:r w:rsidRPr="00D442E1">
        <w:rPr>
          <w:rStyle w:val="EndnoteReference"/>
          <w:vertAlign w:val="baseline"/>
        </w:rPr>
        <w:endnoteRef/>
      </w:r>
      <w:r>
        <w:t xml:space="preserve">. Steele, </w:t>
      </w:r>
      <w:r>
        <w:rPr>
          <w:i/>
        </w:rPr>
        <w:t>Spectator</w:t>
      </w:r>
      <w:r>
        <w:t xml:space="preserve"> No. 19, in </w:t>
      </w:r>
      <w:r>
        <w:rPr>
          <w:i/>
        </w:rPr>
        <w:t>The Spectator</w:t>
      </w:r>
      <w:r>
        <w:t>, 1:82–85, 83.</w:t>
      </w:r>
    </w:p>
  </w:endnote>
  <w:endnote w:id="54">
    <w:p w14:paraId="1C9C26C3" w14:textId="450A295A" w:rsidR="00FB33A4" w:rsidRDefault="00FB33A4" w:rsidP="00D442E1">
      <w:r w:rsidRPr="00D442E1">
        <w:rPr>
          <w:rStyle w:val="EndnoteReference"/>
          <w:vertAlign w:val="baseline"/>
        </w:rPr>
        <w:endnoteRef/>
      </w:r>
      <w:r>
        <w:t>.</w:t>
      </w:r>
      <w:r w:rsidRPr="00D442E1">
        <w:t xml:space="preserve"> </w:t>
      </w:r>
      <w:r>
        <w:t>Steele, No. 19, 83.</w:t>
      </w:r>
    </w:p>
  </w:endnote>
  <w:endnote w:id="55">
    <w:p w14:paraId="2973DA04" w14:textId="31E1370A" w:rsidR="00FB33A4" w:rsidRPr="00C455E1" w:rsidRDefault="00FB33A4" w:rsidP="00D442E1">
      <w:r w:rsidRPr="00D442E1">
        <w:rPr>
          <w:rStyle w:val="EndnoteReference"/>
          <w:vertAlign w:val="baseline"/>
        </w:rPr>
        <w:endnoteRef/>
      </w:r>
      <w:r>
        <w:t>.</w:t>
      </w:r>
      <w:r w:rsidRPr="00D442E1">
        <w:t xml:space="preserve"> </w:t>
      </w:r>
      <w:r>
        <w:t xml:space="preserve">Locke, </w:t>
      </w:r>
      <w:r>
        <w:rPr>
          <w:i/>
        </w:rPr>
        <w:t>Essay</w:t>
      </w:r>
      <w:r>
        <w:t xml:space="preserve">, </w:t>
      </w:r>
      <w:r>
        <w:rPr>
          <w:szCs w:val="24"/>
        </w:rPr>
        <w:t>II.xxi.69.</w:t>
      </w:r>
    </w:p>
  </w:endnote>
  <w:endnote w:id="56">
    <w:p w14:paraId="4A8547A9" w14:textId="28095034" w:rsidR="00FB33A4" w:rsidRPr="00C455E1" w:rsidRDefault="00FB33A4" w:rsidP="00D442E1">
      <w:r w:rsidRPr="00D442E1">
        <w:rPr>
          <w:rStyle w:val="EndnoteReference"/>
          <w:vertAlign w:val="baseline"/>
        </w:rPr>
        <w:endnoteRef/>
      </w:r>
      <w:r>
        <w:t xml:space="preserve">. Locke, </w:t>
      </w:r>
      <w:r>
        <w:rPr>
          <w:i/>
        </w:rPr>
        <w:t>Essay</w:t>
      </w:r>
      <w:r>
        <w:t xml:space="preserve">, </w:t>
      </w:r>
      <w:r>
        <w:rPr>
          <w:szCs w:val="24"/>
        </w:rPr>
        <w:t>II.xxi.69.</w:t>
      </w:r>
    </w:p>
  </w:endnote>
  <w:endnote w:id="57">
    <w:p w14:paraId="000A5BE9" w14:textId="08569F01" w:rsidR="00FB33A4" w:rsidRPr="008A0B00" w:rsidRDefault="00FB33A4" w:rsidP="00D442E1">
      <w:r w:rsidRPr="00D442E1">
        <w:rPr>
          <w:rStyle w:val="EndnoteReference"/>
          <w:vertAlign w:val="baseline"/>
        </w:rPr>
        <w:endnoteRef/>
      </w:r>
      <w:r>
        <w:t xml:space="preserve">. Locke, </w:t>
      </w:r>
      <w:r>
        <w:rPr>
          <w:i/>
        </w:rPr>
        <w:t>Essay</w:t>
      </w:r>
      <w:r>
        <w:t xml:space="preserve">, </w:t>
      </w:r>
      <w:r>
        <w:rPr>
          <w:szCs w:val="24"/>
        </w:rPr>
        <w:t>II.xxi.68.</w:t>
      </w:r>
    </w:p>
  </w:endnote>
  <w:endnote w:id="58">
    <w:p w14:paraId="53F9299E" w14:textId="12A10F09" w:rsidR="00FB33A4" w:rsidRDefault="00FB33A4" w:rsidP="00857AF0">
      <w:r w:rsidRPr="00D442E1">
        <w:rPr>
          <w:rStyle w:val="EndnoteReference"/>
          <w:vertAlign w:val="baseline"/>
        </w:rPr>
        <w:endnoteRef/>
      </w:r>
      <w:r>
        <w:t>. See W. Jackson, 458.</w:t>
      </w:r>
    </w:p>
  </w:endnote>
  <w:endnote w:id="59">
    <w:p w14:paraId="18BE6220" w14:textId="7C610078" w:rsidR="00FB33A4" w:rsidRDefault="00FB33A4" w:rsidP="00857AF0">
      <w:r w:rsidRPr="00D442E1">
        <w:rPr>
          <w:rStyle w:val="EndnoteReference"/>
          <w:vertAlign w:val="baseline"/>
        </w:rPr>
        <w:endnoteRef/>
      </w:r>
      <w:r>
        <w:t xml:space="preserve">. Steele, </w:t>
      </w:r>
      <w:r>
        <w:rPr>
          <w:i/>
        </w:rPr>
        <w:t xml:space="preserve">Spectator </w:t>
      </w:r>
      <w:r>
        <w:t xml:space="preserve">No. 95, in </w:t>
      </w:r>
      <w:r>
        <w:rPr>
          <w:i/>
        </w:rPr>
        <w:t>The Spectator</w:t>
      </w:r>
      <w:r>
        <w:t>, 1:402–5, 402–3.</w:t>
      </w:r>
      <w:r>
        <w:rPr>
          <w:i/>
        </w:rPr>
        <w:t xml:space="preserve"> </w:t>
      </w:r>
      <w:r>
        <w:t>Because “B.D.” is used both by Addison and Steele to identify the hand of a supposed reader’s contribution, I assume the letter to be the invention of Steele rather than the correspondence of an actual reader.</w:t>
      </w:r>
    </w:p>
  </w:endnote>
  <w:endnote w:id="60">
    <w:p w14:paraId="3D9DB9D5" w14:textId="7EE61904" w:rsidR="00FB33A4" w:rsidRDefault="00FB33A4" w:rsidP="00D442E1">
      <w:r w:rsidRPr="00D442E1">
        <w:rPr>
          <w:rStyle w:val="EndnoteReference"/>
          <w:vertAlign w:val="baseline"/>
        </w:rPr>
        <w:endnoteRef/>
      </w:r>
      <w:r>
        <w:t xml:space="preserve">. Steele, No. 95, </w:t>
      </w:r>
      <w:r>
        <w:rPr>
          <w:szCs w:val="24"/>
        </w:rPr>
        <w:t>402.</w:t>
      </w:r>
    </w:p>
  </w:endnote>
  <w:endnote w:id="61">
    <w:p w14:paraId="558E9CD4" w14:textId="5C5AABCF" w:rsidR="00FB33A4" w:rsidRDefault="00FB33A4" w:rsidP="00D442E1">
      <w:r w:rsidRPr="00D442E1">
        <w:rPr>
          <w:rStyle w:val="EndnoteReference"/>
          <w:vertAlign w:val="baseline"/>
        </w:rPr>
        <w:endnoteRef/>
      </w:r>
      <w:r>
        <w:t>.</w:t>
      </w:r>
      <w:r w:rsidRPr="00D442E1">
        <w:t xml:space="preserve"> </w:t>
      </w:r>
      <w:r>
        <w:t>Steele, No. 95, 403.</w:t>
      </w:r>
    </w:p>
  </w:endnote>
  <w:endnote w:id="62">
    <w:p w14:paraId="5AC7234A" w14:textId="202D8F0A" w:rsidR="00FB33A4" w:rsidRDefault="00FB33A4" w:rsidP="00857AF0">
      <w:r w:rsidRPr="00D442E1">
        <w:rPr>
          <w:rStyle w:val="EndnoteReference"/>
          <w:vertAlign w:val="baseline"/>
        </w:rPr>
        <w:endnoteRef/>
      </w:r>
      <w:r>
        <w:t xml:space="preserve">. Addison, </w:t>
      </w:r>
      <w:r>
        <w:rPr>
          <w:i/>
        </w:rPr>
        <w:t xml:space="preserve">The </w:t>
      </w:r>
      <w:r w:rsidRPr="007B648F">
        <w:rPr>
          <w:i/>
        </w:rPr>
        <w:t>Spectator</w:t>
      </w:r>
      <w:r>
        <w:t xml:space="preserve"> No. 413, 3:544–47, 545. See, in general, Addison’s series of </w:t>
      </w:r>
      <w:r>
        <w:rPr>
          <w:i/>
        </w:rPr>
        <w:t xml:space="preserve">Spectator </w:t>
      </w:r>
      <w:r>
        <w:t>essays on “the pleasures the imagination” (Nos. 411–21).</w:t>
      </w:r>
    </w:p>
  </w:endnote>
  <w:endnote w:id="63">
    <w:p w14:paraId="20079393" w14:textId="253D2E27" w:rsidR="00FB33A4" w:rsidRPr="002507DF" w:rsidRDefault="00FB33A4" w:rsidP="00D442E1">
      <w:r w:rsidRPr="00D442E1">
        <w:rPr>
          <w:rStyle w:val="EndnoteReference"/>
          <w:vertAlign w:val="baseline"/>
        </w:rPr>
        <w:endnoteRef/>
      </w:r>
      <w:r>
        <w:t xml:space="preserve">. Locke, </w:t>
      </w:r>
      <w:r>
        <w:rPr>
          <w:i/>
        </w:rPr>
        <w:t>Essay</w:t>
      </w:r>
      <w:r>
        <w:t xml:space="preserve">, </w:t>
      </w:r>
      <w:r>
        <w:rPr>
          <w:szCs w:val="24"/>
        </w:rPr>
        <w:t>II.xx.3.</w:t>
      </w:r>
    </w:p>
  </w:endnote>
  <w:endnote w:id="64">
    <w:p w14:paraId="580E1657" w14:textId="41D06711" w:rsidR="00FB33A4" w:rsidRPr="002507DF" w:rsidRDefault="00FB33A4" w:rsidP="00D442E1">
      <w:r w:rsidRPr="00D442E1">
        <w:rPr>
          <w:rStyle w:val="EndnoteReference"/>
          <w:vertAlign w:val="baseline"/>
        </w:rPr>
        <w:endnoteRef/>
      </w:r>
      <w:r>
        <w:t>.</w:t>
      </w:r>
      <w:r w:rsidRPr="00D442E1">
        <w:t xml:space="preserve"> </w:t>
      </w:r>
      <w:r>
        <w:t xml:space="preserve">Locke, </w:t>
      </w:r>
      <w:r>
        <w:rPr>
          <w:i/>
        </w:rPr>
        <w:t>Essay</w:t>
      </w:r>
      <w:r>
        <w:t>, II.xx.3, II.xxi.51.</w:t>
      </w:r>
    </w:p>
  </w:endnote>
  <w:endnote w:id="65">
    <w:p w14:paraId="56DF5D35" w14:textId="4D7C1B60" w:rsidR="00FB33A4" w:rsidRPr="002507DF" w:rsidRDefault="00FB33A4" w:rsidP="00D442E1">
      <w:r w:rsidRPr="00D442E1">
        <w:rPr>
          <w:rStyle w:val="EndnoteReference"/>
          <w:vertAlign w:val="baseline"/>
        </w:rPr>
        <w:endnoteRef/>
      </w:r>
      <w:r>
        <w:t xml:space="preserve">. Locke, </w:t>
      </w:r>
      <w:r>
        <w:rPr>
          <w:i/>
        </w:rPr>
        <w:t>Essay</w:t>
      </w:r>
      <w:r>
        <w:t xml:space="preserve">, </w:t>
      </w:r>
      <w:r>
        <w:rPr>
          <w:szCs w:val="24"/>
        </w:rPr>
        <w:t>II.xx.1, bold emphasis added.</w:t>
      </w:r>
    </w:p>
  </w:endnote>
  <w:endnote w:id="66">
    <w:p w14:paraId="13E7BEF8" w14:textId="31F4EF2E" w:rsidR="00FB33A4" w:rsidRPr="002507DF" w:rsidRDefault="00FB33A4" w:rsidP="00D442E1">
      <w:r w:rsidRPr="00D442E1">
        <w:rPr>
          <w:rStyle w:val="EndnoteReference"/>
          <w:vertAlign w:val="baseline"/>
        </w:rPr>
        <w:endnoteRef/>
      </w:r>
      <w:r>
        <w:t>.</w:t>
      </w:r>
      <w:r w:rsidRPr="00D442E1">
        <w:t xml:space="preserve"> </w:t>
      </w:r>
      <w:r>
        <w:t xml:space="preserve">Locke, </w:t>
      </w:r>
      <w:r>
        <w:rPr>
          <w:i/>
        </w:rPr>
        <w:t>Essay</w:t>
      </w:r>
      <w:r>
        <w:t xml:space="preserve">, </w:t>
      </w:r>
      <w:r>
        <w:rPr>
          <w:szCs w:val="24"/>
        </w:rPr>
        <w:t>II.xx.1.</w:t>
      </w:r>
    </w:p>
  </w:endnote>
  <w:endnote w:id="67">
    <w:p w14:paraId="107FFB52" w14:textId="3D5BCA5F" w:rsidR="00FB33A4" w:rsidRPr="00282101" w:rsidRDefault="00FB33A4" w:rsidP="00D442E1">
      <w:r w:rsidRPr="00D442E1">
        <w:rPr>
          <w:rStyle w:val="EndnoteReference"/>
          <w:vertAlign w:val="baseline"/>
        </w:rPr>
        <w:endnoteRef/>
      </w:r>
      <w:r>
        <w:t>.</w:t>
      </w:r>
      <w:r w:rsidRPr="00D442E1">
        <w:t xml:space="preserve"> </w:t>
      </w:r>
      <w:r>
        <w:t xml:space="preserve">Steele, </w:t>
      </w:r>
      <w:r>
        <w:rPr>
          <w:i/>
        </w:rPr>
        <w:t>Spectator</w:t>
      </w:r>
      <w:r>
        <w:t xml:space="preserve"> No. 520, in </w:t>
      </w:r>
      <w:r>
        <w:rPr>
          <w:i/>
        </w:rPr>
        <w:t>The Spectator</w:t>
      </w:r>
      <w:r>
        <w:t>, 4:350–53, 350.</w:t>
      </w:r>
    </w:p>
  </w:endnote>
  <w:endnote w:id="68">
    <w:p w14:paraId="139C1FE2" w14:textId="1E9FDAEF" w:rsidR="00FB33A4" w:rsidRDefault="00FB33A4" w:rsidP="00857AF0">
      <w:r w:rsidRPr="00D442E1">
        <w:rPr>
          <w:rStyle w:val="EndnoteReference"/>
          <w:vertAlign w:val="baseline"/>
        </w:rPr>
        <w:endnoteRef/>
      </w:r>
      <w:r>
        <w:t>. The most significant difference between the original letter (preserved at the Blenheim Palace archives and reprinted in Bond’s edition, 5:236–37) and the essay is that the child is not a daughter but a son. The implications of Steele’s having made this change would merit further exploration in other contexts.</w:t>
      </w:r>
    </w:p>
  </w:endnote>
  <w:endnote w:id="69">
    <w:p w14:paraId="76ACED2D" w14:textId="138E614E" w:rsidR="00FB33A4" w:rsidRDefault="00FB33A4" w:rsidP="006513B7">
      <w:r w:rsidRPr="006513B7">
        <w:rPr>
          <w:rStyle w:val="EndnoteReference"/>
          <w:vertAlign w:val="baseline"/>
        </w:rPr>
        <w:endnoteRef/>
      </w:r>
      <w:r>
        <w:t>. Steele, No. 520, 351.</w:t>
      </w:r>
    </w:p>
  </w:endnote>
  <w:endnote w:id="70">
    <w:p w14:paraId="39259537" w14:textId="6529151E" w:rsidR="00FB33A4" w:rsidRPr="00204489" w:rsidRDefault="00FB33A4" w:rsidP="006513B7">
      <w:r w:rsidRPr="006513B7">
        <w:rPr>
          <w:rStyle w:val="EndnoteReference"/>
          <w:vertAlign w:val="baseline"/>
        </w:rPr>
        <w:endnoteRef/>
      </w:r>
      <w:r>
        <w:t xml:space="preserve">. Locke, </w:t>
      </w:r>
      <w:r>
        <w:rPr>
          <w:i/>
        </w:rPr>
        <w:t>Essay</w:t>
      </w:r>
      <w:r>
        <w:t xml:space="preserve">, </w:t>
      </w:r>
      <w:r>
        <w:rPr>
          <w:szCs w:val="24"/>
        </w:rPr>
        <w:t>II.xx.4.</w:t>
      </w:r>
    </w:p>
  </w:endnote>
  <w:endnote w:id="71">
    <w:p w14:paraId="5608C988" w14:textId="6CC75333" w:rsidR="00FB33A4" w:rsidRPr="00204489" w:rsidRDefault="00FB33A4" w:rsidP="006513B7">
      <w:r w:rsidRPr="006513B7">
        <w:rPr>
          <w:rStyle w:val="EndnoteReference"/>
          <w:vertAlign w:val="baseline"/>
        </w:rPr>
        <w:endnoteRef/>
      </w:r>
      <w:r>
        <w:t xml:space="preserve">. Locke, </w:t>
      </w:r>
      <w:r>
        <w:rPr>
          <w:i/>
        </w:rPr>
        <w:t>Essay</w:t>
      </w:r>
      <w:r>
        <w:t xml:space="preserve">, </w:t>
      </w:r>
      <w:r>
        <w:rPr>
          <w:szCs w:val="24"/>
        </w:rPr>
        <w:t>II.xx.8.</w:t>
      </w:r>
    </w:p>
  </w:endnote>
  <w:endnote w:id="72">
    <w:p w14:paraId="1E38ACD9" w14:textId="35CFCEA7" w:rsidR="00FB33A4" w:rsidRPr="00204489" w:rsidRDefault="00FB33A4" w:rsidP="006513B7">
      <w:r w:rsidRPr="006513B7">
        <w:rPr>
          <w:rStyle w:val="EndnoteReference"/>
          <w:vertAlign w:val="baseline"/>
        </w:rPr>
        <w:endnoteRef/>
      </w:r>
      <w:r>
        <w:t xml:space="preserve">. Locke, </w:t>
      </w:r>
      <w:r>
        <w:rPr>
          <w:i/>
        </w:rPr>
        <w:t>Essay</w:t>
      </w:r>
      <w:r>
        <w:t xml:space="preserve">, </w:t>
      </w:r>
      <w:r>
        <w:rPr>
          <w:szCs w:val="24"/>
        </w:rPr>
        <w:t>II.xx.7.</w:t>
      </w:r>
    </w:p>
  </w:endnote>
  <w:endnote w:id="73">
    <w:p w14:paraId="42CF8C5B" w14:textId="0037B1B7" w:rsidR="00FB33A4" w:rsidRDefault="00FB33A4" w:rsidP="006513B7">
      <w:r w:rsidRPr="006513B7">
        <w:rPr>
          <w:rStyle w:val="EndnoteReference"/>
          <w:vertAlign w:val="baseline"/>
        </w:rPr>
        <w:endnoteRef/>
      </w:r>
      <w:r>
        <w:t>. Steele, No. 520, 351.</w:t>
      </w:r>
    </w:p>
  </w:endnote>
  <w:endnote w:id="74">
    <w:p w14:paraId="1E0D672E" w14:textId="73A9732C" w:rsidR="00FB33A4" w:rsidRDefault="00FB33A4" w:rsidP="006513B7">
      <w:r w:rsidRPr="006513B7">
        <w:rPr>
          <w:rStyle w:val="EndnoteReference"/>
          <w:vertAlign w:val="baseline"/>
        </w:rPr>
        <w:endnoteRef/>
      </w:r>
      <w:r>
        <w:t>. Steele, No. 520, 351.</w:t>
      </w:r>
    </w:p>
  </w:endnote>
  <w:endnote w:id="75">
    <w:p w14:paraId="06765A3D" w14:textId="46B459F1" w:rsidR="00FB33A4" w:rsidRDefault="00FB33A4" w:rsidP="006513B7">
      <w:r w:rsidRPr="006513B7">
        <w:rPr>
          <w:rStyle w:val="EndnoteReference"/>
          <w:vertAlign w:val="baseline"/>
        </w:rPr>
        <w:endnoteRef/>
      </w:r>
      <w:r>
        <w:t>. Steele, No. 520, 352.</w:t>
      </w:r>
    </w:p>
  </w:endnote>
  <w:endnote w:id="76">
    <w:p w14:paraId="2216F52D" w14:textId="1D5AF694" w:rsidR="00FB33A4" w:rsidRPr="004262AB" w:rsidRDefault="00FB33A4" w:rsidP="00857AF0">
      <w:r w:rsidRPr="006513B7">
        <w:rPr>
          <w:rStyle w:val="EndnoteReference"/>
          <w:vertAlign w:val="baseline"/>
        </w:rPr>
        <w:endnoteRef/>
      </w:r>
      <w:r>
        <w:t>.</w:t>
      </w:r>
      <w:r w:rsidRPr="006513B7">
        <w:t xml:space="preserve"> </w:t>
      </w:r>
      <w:r>
        <w:t xml:space="preserve">For a well-defined overview of </w:t>
      </w:r>
      <w:r w:rsidRPr="00F75AA3">
        <w:rPr>
          <w:i/>
        </w:rPr>
        <w:t>The Spectator</w:t>
      </w:r>
      <w:r w:rsidRPr="00F75AA3">
        <w:t>’s social conservatism</w:t>
      </w:r>
      <w:r>
        <w:t xml:space="preserve">, see Erin </w:t>
      </w:r>
      <w:r w:rsidRPr="00F75AA3">
        <w:t>Mackie’s</w:t>
      </w:r>
      <w:r>
        <w:t xml:space="preserve"> introduction to</w:t>
      </w:r>
      <w:r w:rsidRPr="00F75AA3">
        <w:t xml:space="preserve"> </w:t>
      </w:r>
      <w:r>
        <w:rPr>
          <w:i/>
        </w:rPr>
        <w:t xml:space="preserve">The </w:t>
      </w:r>
      <w:r w:rsidRPr="00F75AA3">
        <w:rPr>
          <w:i/>
        </w:rPr>
        <w:t>Commerce of Everyday Life</w:t>
      </w:r>
      <w:r>
        <w:rPr>
          <w:i/>
        </w:rPr>
        <w:t xml:space="preserve">: Selections from </w:t>
      </w:r>
      <w:r>
        <w:t xml:space="preserve">The Tatler </w:t>
      </w:r>
      <w:r>
        <w:rPr>
          <w:i/>
        </w:rPr>
        <w:t xml:space="preserve">and </w:t>
      </w:r>
      <w:r>
        <w:t>The Spectator</w:t>
      </w:r>
      <w:r>
        <w:rPr>
          <w:i/>
        </w:rPr>
        <w:t xml:space="preserve"> </w:t>
      </w:r>
      <w:r>
        <w:rPr>
          <w:noProof/>
        </w:rPr>
        <w:t>(Boston, 1998), 1–46</w:t>
      </w:r>
      <w:r w:rsidRPr="00F75AA3">
        <w:t>.</w:t>
      </w:r>
      <w:bookmarkStart w:id="0" w:name="_GoBack"/>
      <w:bookmarkEnd w:id="0"/>
    </w:p>
  </w:endnote>
  <w:endnote w:id="77">
    <w:p w14:paraId="7098762B" w14:textId="53738C41" w:rsidR="00FB33A4" w:rsidRDefault="00FB33A4" w:rsidP="006513B7">
      <w:r w:rsidRPr="006513B7">
        <w:rPr>
          <w:rStyle w:val="EndnoteReference"/>
          <w:vertAlign w:val="baseline"/>
        </w:rPr>
        <w:endnoteRef/>
      </w:r>
      <w:r>
        <w:t>. Steele, No. 520, 352.</w:t>
      </w:r>
    </w:p>
  </w:endnote>
  <w:endnote w:id="78">
    <w:p w14:paraId="6B7DB56A" w14:textId="64E00775" w:rsidR="00FB33A4" w:rsidRDefault="00FB33A4" w:rsidP="00857AF0">
      <w:r w:rsidRPr="006513B7">
        <w:rPr>
          <w:rStyle w:val="EndnoteReference"/>
          <w:vertAlign w:val="baseline"/>
        </w:rPr>
        <w:endnoteRef/>
      </w:r>
      <w:r>
        <w:t xml:space="preserve">. I am thinking here of the political critiques of sentimentality made by Markman Ellis, Lynn Festa, and James Lilley: see Ellis, </w:t>
      </w:r>
      <w:r>
        <w:rPr>
          <w:i/>
        </w:rPr>
        <w:t xml:space="preserve">The Politics of </w:t>
      </w:r>
      <w:r w:rsidRPr="008030E0">
        <w:rPr>
          <w:i/>
        </w:rPr>
        <w:t>Sensibility</w:t>
      </w:r>
      <w:r>
        <w:t xml:space="preserve"> (Cambridge, 1996); Festa, </w:t>
      </w:r>
      <w:r>
        <w:rPr>
          <w:i/>
        </w:rPr>
        <w:t>Sentimental Figures of Empire in Eighteenth-Century Britain and France</w:t>
      </w:r>
      <w:r>
        <w:t xml:space="preserve"> (Baltimore, 2006), esp. 44–55 and 92–102; and </w:t>
      </w:r>
      <w:r w:rsidRPr="008030E0">
        <w:t>Lilley</w:t>
      </w:r>
      <w:r>
        <w:t xml:space="preserve">, “Henry Mackenzie’s Ruined Feelings: Romance, Race, and the Afterlife of Sentimental Exchange,” </w:t>
      </w:r>
      <w:r>
        <w:rPr>
          <w:i/>
        </w:rPr>
        <w:t>New Literary History</w:t>
      </w:r>
      <w:r>
        <w:t xml:space="preserve"> 38, no. 4 (2007): 649–66.</w:t>
      </w:r>
    </w:p>
  </w:endnote>
  <w:endnote w:id="79">
    <w:p w14:paraId="50A5A4AF" w14:textId="4CE7D64D" w:rsidR="00FB33A4" w:rsidRDefault="00FB33A4" w:rsidP="00857AF0">
      <w:r w:rsidRPr="006513B7">
        <w:rPr>
          <w:rStyle w:val="EndnoteReference"/>
          <w:vertAlign w:val="baseline"/>
        </w:rPr>
        <w:endnoteRef/>
      </w:r>
      <w:r>
        <w:t>. Rebecca Tierney-Hynes, “</w:t>
      </w:r>
      <w:r w:rsidRPr="00C91C28">
        <w:rPr>
          <w:noProof/>
        </w:rPr>
        <w:t>Fictional Mechanics: Hay</w:t>
      </w:r>
      <w:r>
        <w:rPr>
          <w:noProof/>
        </w:rPr>
        <w:t xml:space="preserve">wood, Reading, and the Passions,” </w:t>
      </w:r>
      <w:r w:rsidRPr="00C91C28">
        <w:rPr>
          <w:i/>
          <w:iCs/>
          <w:noProof/>
        </w:rPr>
        <w:t>The Eighteenth Century: Theory and Interpretation</w:t>
      </w:r>
      <w:r>
        <w:rPr>
          <w:i/>
          <w:iCs/>
          <w:noProof/>
        </w:rPr>
        <w:t xml:space="preserve"> </w:t>
      </w:r>
      <w:r w:rsidRPr="005B2425">
        <w:rPr>
          <w:iCs/>
          <w:noProof/>
        </w:rPr>
        <w:t>51</w:t>
      </w:r>
      <w:r>
        <w:rPr>
          <w:iCs/>
          <w:noProof/>
        </w:rPr>
        <w:t>, nos. 1-2 (2010): 153–72, 167.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A2643" w14:textId="77777777" w:rsidR="00FB33A4" w:rsidRDefault="00FB33A4" w:rsidP="00536BBE">
      <w:r>
        <w:separator/>
      </w:r>
    </w:p>
  </w:footnote>
  <w:footnote w:type="continuationSeparator" w:id="0">
    <w:p w14:paraId="45BC55EC" w14:textId="77777777" w:rsidR="00FB33A4" w:rsidRDefault="00FB33A4" w:rsidP="0053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685382"/>
      <w:docPartObj>
        <w:docPartGallery w:val="Page Numbers (Top of Page)"/>
        <w:docPartUnique/>
      </w:docPartObj>
    </w:sdtPr>
    <w:sdtEndPr>
      <w:rPr>
        <w:noProof/>
      </w:rPr>
    </w:sdtEndPr>
    <w:sdtContent>
      <w:p w14:paraId="4D7362CA" w14:textId="30696754" w:rsidR="00FB33A4" w:rsidRDefault="00FB33A4" w:rsidP="00915F9C">
        <w:pPr>
          <w:pStyle w:val="Header"/>
          <w:jc w:val="right"/>
        </w:pPr>
        <w:r>
          <w:t xml:space="preserve">Sodano </w:t>
        </w:r>
        <w:r>
          <w:fldChar w:fldCharType="begin"/>
        </w:r>
        <w:r>
          <w:instrText xml:space="preserve"> PAGE   \* MERGEFORMAT </w:instrText>
        </w:r>
        <w:r>
          <w:fldChar w:fldCharType="separate"/>
        </w:r>
        <w:r w:rsidR="00102395">
          <w:rPr>
            <w:noProof/>
          </w:rPr>
          <w:t>31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008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5B6B46"/>
    <w:multiLevelType w:val="multilevel"/>
    <w:tmpl w:val="713E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7B4EE5"/>
    <w:multiLevelType w:val="multilevel"/>
    <w:tmpl w:val="DD00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BE"/>
    <w:rsid w:val="00002062"/>
    <w:rsid w:val="00010D55"/>
    <w:rsid w:val="00011909"/>
    <w:rsid w:val="00022E4D"/>
    <w:rsid w:val="00024B81"/>
    <w:rsid w:val="000250FF"/>
    <w:rsid w:val="00027490"/>
    <w:rsid w:val="00030119"/>
    <w:rsid w:val="000320F6"/>
    <w:rsid w:val="000330D8"/>
    <w:rsid w:val="00037211"/>
    <w:rsid w:val="00045F9D"/>
    <w:rsid w:val="000523A1"/>
    <w:rsid w:val="000560ED"/>
    <w:rsid w:val="00060583"/>
    <w:rsid w:val="00062EEB"/>
    <w:rsid w:val="00067F66"/>
    <w:rsid w:val="00071128"/>
    <w:rsid w:val="0007219F"/>
    <w:rsid w:val="000748AC"/>
    <w:rsid w:val="00074C3F"/>
    <w:rsid w:val="0008280B"/>
    <w:rsid w:val="00082FDE"/>
    <w:rsid w:val="00084033"/>
    <w:rsid w:val="000929E7"/>
    <w:rsid w:val="00092DB2"/>
    <w:rsid w:val="000941E8"/>
    <w:rsid w:val="00094D07"/>
    <w:rsid w:val="000A2DC7"/>
    <w:rsid w:val="000B0E24"/>
    <w:rsid w:val="000B18E5"/>
    <w:rsid w:val="000B2C3F"/>
    <w:rsid w:val="000B3518"/>
    <w:rsid w:val="000B74F2"/>
    <w:rsid w:val="000C41CB"/>
    <w:rsid w:val="000C4C79"/>
    <w:rsid w:val="000D54E0"/>
    <w:rsid w:val="000D6C46"/>
    <w:rsid w:val="000D718C"/>
    <w:rsid w:val="000D7E05"/>
    <w:rsid w:val="000E5750"/>
    <w:rsid w:val="000E619A"/>
    <w:rsid w:val="000E716D"/>
    <w:rsid w:val="000E7BD7"/>
    <w:rsid w:val="000F4955"/>
    <w:rsid w:val="001002FA"/>
    <w:rsid w:val="00102395"/>
    <w:rsid w:val="00102500"/>
    <w:rsid w:val="001025D3"/>
    <w:rsid w:val="00104234"/>
    <w:rsid w:val="001043BB"/>
    <w:rsid w:val="0010493F"/>
    <w:rsid w:val="00120D94"/>
    <w:rsid w:val="00144ED4"/>
    <w:rsid w:val="00152955"/>
    <w:rsid w:val="001608FD"/>
    <w:rsid w:val="00173296"/>
    <w:rsid w:val="00186744"/>
    <w:rsid w:val="001A2701"/>
    <w:rsid w:val="001B478C"/>
    <w:rsid w:val="001B4AED"/>
    <w:rsid w:val="001B5E9A"/>
    <w:rsid w:val="001C00E0"/>
    <w:rsid w:val="001C24AC"/>
    <w:rsid w:val="001C5CE7"/>
    <w:rsid w:val="001D6962"/>
    <w:rsid w:val="001F4311"/>
    <w:rsid w:val="001F57BF"/>
    <w:rsid w:val="0020269F"/>
    <w:rsid w:val="00204489"/>
    <w:rsid w:val="00207F92"/>
    <w:rsid w:val="00211228"/>
    <w:rsid w:val="00217C32"/>
    <w:rsid w:val="002507DF"/>
    <w:rsid w:val="00253EAB"/>
    <w:rsid w:val="00257B32"/>
    <w:rsid w:val="00263578"/>
    <w:rsid w:val="00273D4F"/>
    <w:rsid w:val="00281400"/>
    <w:rsid w:val="0028166D"/>
    <w:rsid w:val="00282101"/>
    <w:rsid w:val="00290494"/>
    <w:rsid w:val="00291A01"/>
    <w:rsid w:val="00295264"/>
    <w:rsid w:val="002A265A"/>
    <w:rsid w:val="002C0A7D"/>
    <w:rsid w:val="002C369E"/>
    <w:rsid w:val="002C5688"/>
    <w:rsid w:val="002C7752"/>
    <w:rsid w:val="002C7C15"/>
    <w:rsid w:val="002D3887"/>
    <w:rsid w:val="002E54D3"/>
    <w:rsid w:val="002F1852"/>
    <w:rsid w:val="002F1B60"/>
    <w:rsid w:val="002F6069"/>
    <w:rsid w:val="00306B2C"/>
    <w:rsid w:val="00313735"/>
    <w:rsid w:val="00313745"/>
    <w:rsid w:val="00321EF7"/>
    <w:rsid w:val="00322C6C"/>
    <w:rsid w:val="00326BBF"/>
    <w:rsid w:val="00343748"/>
    <w:rsid w:val="00343D46"/>
    <w:rsid w:val="003468DC"/>
    <w:rsid w:val="00366196"/>
    <w:rsid w:val="00377107"/>
    <w:rsid w:val="00383F4E"/>
    <w:rsid w:val="00395DCD"/>
    <w:rsid w:val="003A1BFB"/>
    <w:rsid w:val="003B42FD"/>
    <w:rsid w:val="003D44DC"/>
    <w:rsid w:val="003D4FA5"/>
    <w:rsid w:val="003D5A3D"/>
    <w:rsid w:val="003E1730"/>
    <w:rsid w:val="003E71EE"/>
    <w:rsid w:val="003E779D"/>
    <w:rsid w:val="003E7E00"/>
    <w:rsid w:val="003F55E8"/>
    <w:rsid w:val="004114EC"/>
    <w:rsid w:val="00415B30"/>
    <w:rsid w:val="00417334"/>
    <w:rsid w:val="00424FE6"/>
    <w:rsid w:val="004262AB"/>
    <w:rsid w:val="00433200"/>
    <w:rsid w:val="004332AA"/>
    <w:rsid w:val="004503F9"/>
    <w:rsid w:val="00460FFC"/>
    <w:rsid w:val="00466D14"/>
    <w:rsid w:val="00474060"/>
    <w:rsid w:val="00475EB3"/>
    <w:rsid w:val="004779C2"/>
    <w:rsid w:val="00483765"/>
    <w:rsid w:val="00485FE2"/>
    <w:rsid w:val="00487790"/>
    <w:rsid w:val="00495A79"/>
    <w:rsid w:val="004B0543"/>
    <w:rsid w:val="004B51D2"/>
    <w:rsid w:val="004C0EDE"/>
    <w:rsid w:val="004C2791"/>
    <w:rsid w:val="004D1729"/>
    <w:rsid w:val="004D1CF1"/>
    <w:rsid w:val="004D2B50"/>
    <w:rsid w:val="004D41D2"/>
    <w:rsid w:val="004D6A62"/>
    <w:rsid w:val="004E050A"/>
    <w:rsid w:val="004E0777"/>
    <w:rsid w:val="004E1BC0"/>
    <w:rsid w:val="004F79B1"/>
    <w:rsid w:val="00500332"/>
    <w:rsid w:val="00503AAF"/>
    <w:rsid w:val="005058AC"/>
    <w:rsid w:val="00516E35"/>
    <w:rsid w:val="00524290"/>
    <w:rsid w:val="00524A91"/>
    <w:rsid w:val="005265AD"/>
    <w:rsid w:val="00526DFF"/>
    <w:rsid w:val="005273B1"/>
    <w:rsid w:val="00530C01"/>
    <w:rsid w:val="00536BBE"/>
    <w:rsid w:val="00542526"/>
    <w:rsid w:val="00561F7D"/>
    <w:rsid w:val="0056499D"/>
    <w:rsid w:val="005671D4"/>
    <w:rsid w:val="00570740"/>
    <w:rsid w:val="005757A7"/>
    <w:rsid w:val="00595E65"/>
    <w:rsid w:val="005A0648"/>
    <w:rsid w:val="005A7D11"/>
    <w:rsid w:val="005B29CF"/>
    <w:rsid w:val="005B44D7"/>
    <w:rsid w:val="005C05E3"/>
    <w:rsid w:val="005C7CEE"/>
    <w:rsid w:val="005D0DA5"/>
    <w:rsid w:val="005D65DD"/>
    <w:rsid w:val="005E5E82"/>
    <w:rsid w:val="005E6466"/>
    <w:rsid w:val="005F3DA5"/>
    <w:rsid w:val="005F53C0"/>
    <w:rsid w:val="00610867"/>
    <w:rsid w:val="00613B18"/>
    <w:rsid w:val="0062560A"/>
    <w:rsid w:val="0062721D"/>
    <w:rsid w:val="00631066"/>
    <w:rsid w:val="006351F1"/>
    <w:rsid w:val="00641158"/>
    <w:rsid w:val="006513B7"/>
    <w:rsid w:val="00653E4C"/>
    <w:rsid w:val="00657E1A"/>
    <w:rsid w:val="006638D5"/>
    <w:rsid w:val="006657F8"/>
    <w:rsid w:val="00667FFE"/>
    <w:rsid w:val="0067421A"/>
    <w:rsid w:val="006828C8"/>
    <w:rsid w:val="006870A1"/>
    <w:rsid w:val="006962B8"/>
    <w:rsid w:val="006A3869"/>
    <w:rsid w:val="006C095F"/>
    <w:rsid w:val="006C70C4"/>
    <w:rsid w:val="006E0126"/>
    <w:rsid w:val="006E0C37"/>
    <w:rsid w:val="007003ED"/>
    <w:rsid w:val="00701A4F"/>
    <w:rsid w:val="00711AC0"/>
    <w:rsid w:val="00736DF0"/>
    <w:rsid w:val="00741A1A"/>
    <w:rsid w:val="0075140B"/>
    <w:rsid w:val="00753568"/>
    <w:rsid w:val="00764885"/>
    <w:rsid w:val="00780732"/>
    <w:rsid w:val="007838AA"/>
    <w:rsid w:val="007847F3"/>
    <w:rsid w:val="00790E68"/>
    <w:rsid w:val="00795783"/>
    <w:rsid w:val="007A097F"/>
    <w:rsid w:val="007A3C41"/>
    <w:rsid w:val="007A3D22"/>
    <w:rsid w:val="007B24A7"/>
    <w:rsid w:val="007B6694"/>
    <w:rsid w:val="007B6FEC"/>
    <w:rsid w:val="007C6C08"/>
    <w:rsid w:val="007E0CF4"/>
    <w:rsid w:val="007E30F0"/>
    <w:rsid w:val="007E3F7D"/>
    <w:rsid w:val="007E5602"/>
    <w:rsid w:val="007F684A"/>
    <w:rsid w:val="008030DC"/>
    <w:rsid w:val="008030E0"/>
    <w:rsid w:val="008060C6"/>
    <w:rsid w:val="0080744B"/>
    <w:rsid w:val="00807544"/>
    <w:rsid w:val="00807F18"/>
    <w:rsid w:val="008105D2"/>
    <w:rsid w:val="008113DA"/>
    <w:rsid w:val="008171BC"/>
    <w:rsid w:val="008174CE"/>
    <w:rsid w:val="008308EE"/>
    <w:rsid w:val="00831E54"/>
    <w:rsid w:val="0083224E"/>
    <w:rsid w:val="00843776"/>
    <w:rsid w:val="0084661B"/>
    <w:rsid w:val="008539F2"/>
    <w:rsid w:val="00857AF0"/>
    <w:rsid w:val="008607FE"/>
    <w:rsid w:val="00862902"/>
    <w:rsid w:val="00883FC3"/>
    <w:rsid w:val="008A0B00"/>
    <w:rsid w:val="008A513F"/>
    <w:rsid w:val="008D2583"/>
    <w:rsid w:val="008D7107"/>
    <w:rsid w:val="008E19FF"/>
    <w:rsid w:val="008E6154"/>
    <w:rsid w:val="008F697D"/>
    <w:rsid w:val="00904079"/>
    <w:rsid w:val="00913DFC"/>
    <w:rsid w:val="00915F9C"/>
    <w:rsid w:val="00917160"/>
    <w:rsid w:val="00917769"/>
    <w:rsid w:val="00917A20"/>
    <w:rsid w:val="009266C5"/>
    <w:rsid w:val="00942121"/>
    <w:rsid w:val="00963D9B"/>
    <w:rsid w:val="0097311F"/>
    <w:rsid w:val="00975EC3"/>
    <w:rsid w:val="00983E0A"/>
    <w:rsid w:val="00993571"/>
    <w:rsid w:val="009A33F1"/>
    <w:rsid w:val="009A6907"/>
    <w:rsid w:val="009B671F"/>
    <w:rsid w:val="009B73E1"/>
    <w:rsid w:val="009B73FA"/>
    <w:rsid w:val="009C2BF9"/>
    <w:rsid w:val="009C4CDD"/>
    <w:rsid w:val="009E0C22"/>
    <w:rsid w:val="009E2F2B"/>
    <w:rsid w:val="009F6BB2"/>
    <w:rsid w:val="00A20D81"/>
    <w:rsid w:val="00A317E0"/>
    <w:rsid w:val="00A31946"/>
    <w:rsid w:val="00A31D3A"/>
    <w:rsid w:val="00A37DAB"/>
    <w:rsid w:val="00A472AF"/>
    <w:rsid w:val="00A57C51"/>
    <w:rsid w:val="00A619AC"/>
    <w:rsid w:val="00A63CCA"/>
    <w:rsid w:val="00A64EAF"/>
    <w:rsid w:val="00A71BDA"/>
    <w:rsid w:val="00A7391A"/>
    <w:rsid w:val="00A91542"/>
    <w:rsid w:val="00AA3855"/>
    <w:rsid w:val="00AA5BF9"/>
    <w:rsid w:val="00AC3606"/>
    <w:rsid w:val="00AC4E4A"/>
    <w:rsid w:val="00AD4F6B"/>
    <w:rsid w:val="00AE7FCE"/>
    <w:rsid w:val="00AF26FC"/>
    <w:rsid w:val="00B00293"/>
    <w:rsid w:val="00B1124D"/>
    <w:rsid w:val="00B15EE6"/>
    <w:rsid w:val="00B37486"/>
    <w:rsid w:val="00B43BD6"/>
    <w:rsid w:val="00B44F88"/>
    <w:rsid w:val="00B45500"/>
    <w:rsid w:val="00B50CB9"/>
    <w:rsid w:val="00B82FAA"/>
    <w:rsid w:val="00B90DA2"/>
    <w:rsid w:val="00B97A21"/>
    <w:rsid w:val="00BA0052"/>
    <w:rsid w:val="00BA4B25"/>
    <w:rsid w:val="00BA4BDC"/>
    <w:rsid w:val="00BC148C"/>
    <w:rsid w:val="00BC3CC1"/>
    <w:rsid w:val="00BC44BF"/>
    <w:rsid w:val="00BD0626"/>
    <w:rsid w:val="00BD6253"/>
    <w:rsid w:val="00BE04C8"/>
    <w:rsid w:val="00BE234A"/>
    <w:rsid w:val="00BE7363"/>
    <w:rsid w:val="00BF30F8"/>
    <w:rsid w:val="00BF6762"/>
    <w:rsid w:val="00C01FE8"/>
    <w:rsid w:val="00C22625"/>
    <w:rsid w:val="00C3707D"/>
    <w:rsid w:val="00C41C8F"/>
    <w:rsid w:val="00C455E1"/>
    <w:rsid w:val="00C56874"/>
    <w:rsid w:val="00C62AF3"/>
    <w:rsid w:val="00C63DDD"/>
    <w:rsid w:val="00C677B8"/>
    <w:rsid w:val="00C737CF"/>
    <w:rsid w:val="00C741F2"/>
    <w:rsid w:val="00C746DB"/>
    <w:rsid w:val="00C7765E"/>
    <w:rsid w:val="00C91721"/>
    <w:rsid w:val="00C95F6F"/>
    <w:rsid w:val="00C9634F"/>
    <w:rsid w:val="00CA0017"/>
    <w:rsid w:val="00CB2AE5"/>
    <w:rsid w:val="00CC2E63"/>
    <w:rsid w:val="00CC4A47"/>
    <w:rsid w:val="00CC56B4"/>
    <w:rsid w:val="00CC7A8C"/>
    <w:rsid w:val="00CD5AC1"/>
    <w:rsid w:val="00CE6CFB"/>
    <w:rsid w:val="00D018D4"/>
    <w:rsid w:val="00D06145"/>
    <w:rsid w:val="00D11C90"/>
    <w:rsid w:val="00D13BA0"/>
    <w:rsid w:val="00D25414"/>
    <w:rsid w:val="00D34B58"/>
    <w:rsid w:val="00D403D9"/>
    <w:rsid w:val="00D40433"/>
    <w:rsid w:val="00D43E9E"/>
    <w:rsid w:val="00D442E1"/>
    <w:rsid w:val="00D537E6"/>
    <w:rsid w:val="00D5380B"/>
    <w:rsid w:val="00D57F69"/>
    <w:rsid w:val="00D70A73"/>
    <w:rsid w:val="00D77BC3"/>
    <w:rsid w:val="00D91EF4"/>
    <w:rsid w:val="00D92D1C"/>
    <w:rsid w:val="00DA1128"/>
    <w:rsid w:val="00DA45E4"/>
    <w:rsid w:val="00DA5F5A"/>
    <w:rsid w:val="00DA70C4"/>
    <w:rsid w:val="00DC6239"/>
    <w:rsid w:val="00DE4BA0"/>
    <w:rsid w:val="00DE5D63"/>
    <w:rsid w:val="00DF7CF5"/>
    <w:rsid w:val="00E02848"/>
    <w:rsid w:val="00E02B69"/>
    <w:rsid w:val="00E21C1B"/>
    <w:rsid w:val="00E30AE2"/>
    <w:rsid w:val="00E30F55"/>
    <w:rsid w:val="00E31E20"/>
    <w:rsid w:val="00E41A54"/>
    <w:rsid w:val="00E46296"/>
    <w:rsid w:val="00E47C0B"/>
    <w:rsid w:val="00E5053A"/>
    <w:rsid w:val="00E56CCB"/>
    <w:rsid w:val="00E61D58"/>
    <w:rsid w:val="00E66D86"/>
    <w:rsid w:val="00E73670"/>
    <w:rsid w:val="00E80A50"/>
    <w:rsid w:val="00E97D69"/>
    <w:rsid w:val="00EA7DC5"/>
    <w:rsid w:val="00EC44EF"/>
    <w:rsid w:val="00EC52EE"/>
    <w:rsid w:val="00ED45FF"/>
    <w:rsid w:val="00ED78D6"/>
    <w:rsid w:val="00EE2194"/>
    <w:rsid w:val="00EE725A"/>
    <w:rsid w:val="00EF0BDA"/>
    <w:rsid w:val="00EF77A3"/>
    <w:rsid w:val="00F20703"/>
    <w:rsid w:val="00F253EE"/>
    <w:rsid w:val="00F27D37"/>
    <w:rsid w:val="00F35568"/>
    <w:rsid w:val="00F5537B"/>
    <w:rsid w:val="00F57CD8"/>
    <w:rsid w:val="00F62DE7"/>
    <w:rsid w:val="00F6541B"/>
    <w:rsid w:val="00F66179"/>
    <w:rsid w:val="00F75AA3"/>
    <w:rsid w:val="00F826EA"/>
    <w:rsid w:val="00F90E51"/>
    <w:rsid w:val="00F91090"/>
    <w:rsid w:val="00F929A4"/>
    <w:rsid w:val="00F942A7"/>
    <w:rsid w:val="00FA4893"/>
    <w:rsid w:val="00FB33A4"/>
    <w:rsid w:val="00FB6C70"/>
    <w:rsid w:val="00FC1CA8"/>
    <w:rsid w:val="00FD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1B0F0"/>
  <w15:docId w15:val="{B4F0DE25-85D3-4FB4-99CB-817F7EF8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F0"/>
    <w:pPr>
      <w:spacing w:after="0" w:line="480" w:lineRule="auto"/>
      <w:ind w:firstLine="720"/>
    </w:pPr>
    <w:rPr>
      <w:rFonts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6BBE"/>
    <w:rPr>
      <w:sz w:val="20"/>
    </w:rPr>
  </w:style>
  <w:style w:type="character" w:customStyle="1" w:styleId="FootnoteTextChar">
    <w:name w:val="Footnote Text Char"/>
    <w:basedOn w:val="DefaultParagraphFont"/>
    <w:link w:val="FootnoteText"/>
    <w:uiPriority w:val="99"/>
    <w:rsid w:val="00536BBE"/>
    <w:rPr>
      <w:rFonts w:cs="Calibri"/>
      <w:color w:val="000000"/>
    </w:rPr>
  </w:style>
  <w:style w:type="character" w:styleId="FootnoteReference">
    <w:name w:val="footnote reference"/>
    <w:basedOn w:val="DefaultParagraphFont"/>
    <w:uiPriority w:val="99"/>
    <w:semiHidden/>
    <w:unhideWhenUsed/>
    <w:rsid w:val="00536BBE"/>
    <w:rPr>
      <w:vertAlign w:val="superscript"/>
    </w:rPr>
  </w:style>
  <w:style w:type="paragraph" w:styleId="Bibliography">
    <w:name w:val="Bibliography"/>
    <w:basedOn w:val="Normal"/>
    <w:next w:val="Normal"/>
    <w:uiPriority w:val="37"/>
    <w:unhideWhenUsed/>
    <w:rsid w:val="00536BBE"/>
    <w:pPr>
      <w:spacing w:after="200" w:line="276" w:lineRule="auto"/>
    </w:pPr>
    <w:rPr>
      <w:rFonts w:eastAsiaTheme="minorHAnsi" w:cs="Times New Roman"/>
      <w:color w:val="auto"/>
      <w:sz w:val="20"/>
    </w:rPr>
  </w:style>
  <w:style w:type="paragraph" w:styleId="EndnoteText">
    <w:name w:val="endnote text"/>
    <w:basedOn w:val="Normal"/>
    <w:link w:val="EndnoteTextChar"/>
    <w:uiPriority w:val="99"/>
    <w:unhideWhenUsed/>
    <w:rsid w:val="004262AB"/>
    <w:rPr>
      <w:sz w:val="20"/>
    </w:rPr>
  </w:style>
  <w:style w:type="character" w:customStyle="1" w:styleId="EndnoteTextChar">
    <w:name w:val="Endnote Text Char"/>
    <w:basedOn w:val="DefaultParagraphFont"/>
    <w:link w:val="EndnoteText"/>
    <w:uiPriority w:val="99"/>
    <w:rsid w:val="004262AB"/>
    <w:rPr>
      <w:rFonts w:cs="Calibri"/>
      <w:color w:val="000000"/>
    </w:rPr>
  </w:style>
  <w:style w:type="character" w:styleId="EndnoteReference">
    <w:name w:val="endnote reference"/>
    <w:basedOn w:val="DefaultParagraphFont"/>
    <w:uiPriority w:val="99"/>
    <w:unhideWhenUsed/>
    <w:rsid w:val="004262AB"/>
    <w:rPr>
      <w:vertAlign w:val="superscript"/>
    </w:rPr>
  </w:style>
  <w:style w:type="paragraph" w:styleId="BalloonText">
    <w:name w:val="Balloon Text"/>
    <w:basedOn w:val="Normal"/>
    <w:link w:val="BalloonTextChar"/>
    <w:uiPriority w:val="99"/>
    <w:semiHidden/>
    <w:unhideWhenUsed/>
    <w:rsid w:val="006E0C37"/>
    <w:rPr>
      <w:rFonts w:ascii="Tahoma" w:hAnsi="Tahoma" w:cs="Tahoma"/>
      <w:sz w:val="16"/>
      <w:szCs w:val="16"/>
    </w:rPr>
  </w:style>
  <w:style w:type="character" w:customStyle="1" w:styleId="BalloonTextChar">
    <w:name w:val="Balloon Text Char"/>
    <w:basedOn w:val="DefaultParagraphFont"/>
    <w:link w:val="BalloonText"/>
    <w:uiPriority w:val="99"/>
    <w:semiHidden/>
    <w:rsid w:val="006E0C37"/>
    <w:rPr>
      <w:rFonts w:ascii="Tahoma" w:hAnsi="Tahoma" w:cs="Tahoma"/>
      <w:color w:val="000000"/>
      <w:sz w:val="16"/>
      <w:szCs w:val="16"/>
    </w:rPr>
  </w:style>
  <w:style w:type="paragraph" w:styleId="Header">
    <w:name w:val="header"/>
    <w:basedOn w:val="Normal"/>
    <w:link w:val="HeaderChar"/>
    <w:uiPriority w:val="99"/>
    <w:unhideWhenUsed/>
    <w:rsid w:val="00711AC0"/>
    <w:pPr>
      <w:tabs>
        <w:tab w:val="center" w:pos="4680"/>
        <w:tab w:val="right" w:pos="9360"/>
      </w:tabs>
    </w:pPr>
  </w:style>
  <w:style w:type="character" w:customStyle="1" w:styleId="HeaderChar">
    <w:name w:val="Header Char"/>
    <w:basedOn w:val="DefaultParagraphFont"/>
    <w:link w:val="Header"/>
    <w:uiPriority w:val="99"/>
    <w:rsid w:val="00711AC0"/>
    <w:rPr>
      <w:rFonts w:cs="Calibri"/>
      <w:color w:val="000000"/>
      <w:sz w:val="24"/>
    </w:rPr>
  </w:style>
  <w:style w:type="paragraph" w:styleId="Footer">
    <w:name w:val="footer"/>
    <w:basedOn w:val="Normal"/>
    <w:link w:val="FooterChar"/>
    <w:uiPriority w:val="99"/>
    <w:unhideWhenUsed/>
    <w:rsid w:val="00711AC0"/>
    <w:pPr>
      <w:tabs>
        <w:tab w:val="center" w:pos="4680"/>
        <w:tab w:val="right" w:pos="9360"/>
      </w:tabs>
    </w:pPr>
  </w:style>
  <w:style w:type="character" w:customStyle="1" w:styleId="FooterChar">
    <w:name w:val="Footer Char"/>
    <w:basedOn w:val="DefaultParagraphFont"/>
    <w:link w:val="Footer"/>
    <w:uiPriority w:val="99"/>
    <w:rsid w:val="00711AC0"/>
    <w:rPr>
      <w:rFonts w:cs="Calibri"/>
      <w:color w:val="000000"/>
      <w:sz w:val="24"/>
    </w:rPr>
  </w:style>
  <w:style w:type="character" w:styleId="CommentReference">
    <w:name w:val="annotation reference"/>
    <w:basedOn w:val="DefaultParagraphFont"/>
    <w:uiPriority w:val="99"/>
    <w:semiHidden/>
    <w:unhideWhenUsed/>
    <w:rsid w:val="005F53C0"/>
    <w:rPr>
      <w:sz w:val="16"/>
      <w:szCs w:val="16"/>
    </w:rPr>
  </w:style>
  <w:style w:type="paragraph" w:styleId="CommentText">
    <w:name w:val="annotation text"/>
    <w:basedOn w:val="Normal"/>
    <w:link w:val="CommentTextChar"/>
    <w:uiPriority w:val="99"/>
    <w:semiHidden/>
    <w:unhideWhenUsed/>
    <w:rsid w:val="005F53C0"/>
    <w:rPr>
      <w:sz w:val="20"/>
    </w:rPr>
  </w:style>
  <w:style w:type="character" w:customStyle="1" w:styleId="CommentTextChar">
    <w:name w:val="Comment Text Char"/>
    <w:basedOn w:val="DefaultParagraphFont"/>
    <w:link w:val="CommentText"/>
    <w:uiPriority w:val="99"/>
    <w:semiHidden/>
    <w:rsid w:val="005F53C0"/>
    <w:rPr>
      <w:rFonts w:cs="Calibri"/>
      <w:color w:val="000000"/>
    </w:rPr>
  </w:style>
  <w:style w:type="paragraph" w:styleId="CommentSubject">
    <w:name w:val="annotation subject"/>
    <w:basedOn w:val="CommentText"/>
    <w:next w:val="CommentText"/>
    <w:link w:val="CommentSubjectChar"/>
    <w:uiPriority w:val="99"/>
    <w:semiHidden/>
    <w:unhideWhenUsed/>
    <w:rsid w:val="005F53C0"/>
    <w:rPr>
      <w:b/>
      <w:bCs/>
    </w:rPr>
  </w:style>
  <w:style w:type="character" w:customStyle="1" w:styleId="CommentSubjectChar">
    <w:name w:val="Comment Subject Char"/>
    <w:basedOn w:val="CommentTextChar"/>
    <w:link w:val="CommentSubject"/>
    <w:uiPriority w:val="99"/>
    <w:semiHidden/>
    <w:rsid w:val="005F53C0"/>
    <w:rPr>
      <w:rFonts w:cs="Calibri"/>
      <w:b/>
      <w:bCs/>
      <w:color w:val="000000"/>
    </w:rPr>
  </w:style>
  <w:style w:type="character" w:styleId="Emphasis">
    <w:name w:val="Emphasis"/>
    <w:basedOn w:val="DefaultParagraphFont"/>
    <w:uiPriority w:val="20"/>
    <w:rsid w:val="00F57CD8"/>
    <w:rPr>
      <w:i/>
      <w:iCs/>
    </w:rPr>
  </w:style>
  <w:style w:type="paragraph" w:customStyle="1" w:styleId="Unindented">
    <w:name w:val="Unindented"/>
    <w:basedOn w:val="Normal"/>
    <w:qFormat/>
    <w:rsid w:val="009A6907"/>
    <w:pPr>
      <w:ind w:firstLine="0"/>
    </w:pPr>
  </w:style>
  <w:style w:type="character" w:styleId="Hyperlink">
    <w:name w:val="Hyperlink"/>
    <w:basedOn w:val="DefaultParagraphFont"/>
    <w:uiPriority w:val="99"/>
    <w:unhideWhenUsed/>
    <w:rsid w:val="009A6907"/>
    <w:rPr>
      <w:color w:val="0000FF" w:themeColor="hyperlink"/>
      <w:u w:val="single"/>
    </w:rPr>
  </w:style>
  <w:style w:type="paragraph" w:customStyle="1" w:styleId="BlockQuote">
    <w:name w:val="BlockQuote"/>
    <w:basedOn w:val="Normal"/>
    <w:qFormat/>
    <w:rsid w:val="00377107"/>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02360">
      <w:bodyDiv w:val="1"/>
      <w:marLeft w:val="0"/>
      <w:marRight w:val="0"/>
      <w:marTop w:val="0"/>
      <w:marBottom w:val="0"/>
      <w:divBdr>
        <w:top w:val="none" w:sz="0" w:space="0" w:color="auto"/>
        <w:left w:val="none" w:sz="0" w:space="0" w:color="auto"/>
        <w:bottom w:val="none" w:sz="0" w:space="0" w:color="auto"/>
        <w:right w:val="none" w:sz="0" w:space="0" w:color="auto"/>
      </w:divBdr>
    </w:div>
    <w:div w:id="1303341739">
      <w:bodyDiv w:val="1"/>
      <w:marLeft w:val="0"/>
      <w:marRight w:val="0"/>
      <w:marTop w:val="0"/>
      <w:marBottom w:val="0"/>
      <w:divBdr>
        <w:top w:val="none" w:sz="0" w:space="0" w:color="auto"/>
        <w:left w:val="none" w:sz="0" w:space="0" w:color="auto"/>
        <w:bottom w:val="none" w:sz="0" w:space="0" w:color="auto"/>
        <w:right w:val="none" w:sz="0" w:space="0" w:color="auto"/>
      </w:divBdr>
    </w:div>
    <w:div w:id="1378242839">
      <w:bodyDiv w:val="1"/>
      <w:marLeft w:val="0"/>
      <w:marRight w:val="0"/>
      <w:marTop w:val="0"/>
      <w:marBottom w:val="0"/>
      <w:divBdr>
        <w:top w:val="none" w:sz="0" w:space="0" w:color="auto"/>
        <w:left w:val="none" w:sz="0" w:space="0" w:color="auto"/>
        <w:bottom w:val="none" w:sz="0" w:space="0" w:color="auto"/>
        <w:right w:val="none" w:sz="0" w:space="0" w:color="auto"/>
      </w:divBdr>
    </w:div>
    <w:div w:id="15645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ACDBF4-E3AA-4648-A1DA-42AAC0DE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261C701</Template>
  <TotalTime>1</TotalTime>
  <Pages>31</Pages>
  <Words>7136</Words>
  <Characters>40677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 Sodano</cp:lastModifiedBy>
  <cp:revision>2</cp:revision>
  <cp:lastPrinted>2017-07-23T21:24:00Z</cp:lastPrinted>
  <dcterms:created xsi:type="dcterms:W3CDTF">2018-04-19T13:02:00Z</dcterms:created>
  <dcterms:modified xsi:type="dcterms:W3CDTF">2018-04-19T13:02:00Z</dcterms:modified>
</cp:coreProperties>
</file>