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2D1AE" w14:textId="41430AC7" w:rsidR="006635A0" w:rsidRPr="00FF0361" w:rsidRDefault="00E04799" w:rsidP="003521E7">
      <w:pPr>
        <w:spacing w:before="0" w:after="0"/>
        <w:rPr>
          <w:b/>
          <w:sz w:val="24"/>
          <w:szCs w:val="24"/>
        </w:rPr>
      </w:pPr>
      <w:r>
        <w:rPr>
          <w:b/>
          <w:sz w:val="24"/>
          <w:szCs w:val="24"/>
        </w:rPr>
        <w:t xml:space="preserve">Changes in </w:t>
      </w:r>
      <w:proofErr w:type="spellStart"/>
      <w:r>
        <w:rPr>
          <w:b/>
          <w:sz w:val="24"/>
          <w:szCs w:val="24"/>
        </w:rPr>
        <w:t>Peri</w:t>
      </w:r>
      <w:proofErr w:type="spellEnd"/>
      <w:r>
        <w:rPr>
          <w:b/>
          <w:sz w:val="24"/>
          <w:szCs w:val="24"/>
        </w:rPr>
        <w:t>-procedural Bleeding Complications Following Percutaneous Coronary Intervention in The United Kingdom B</w:t>
      </w:r>
      <w:r w:rsidR="006635A0" w:rsidRPr="00FF0361">
        <w:rPr>
          <w:b/>
          <w:sz w:val="24"/>
          <w:szCs w:val="24"/>
        </w:rPr>
        <w:t xml:space="preserve">etween 2006-2013 </w:t>
      </w:r>
      <w:r w:rsidR="002303AF">
        <w:rPr>
          <w:b/>
          <w:sz w:val="24"/>
          <w:szCs w:val="24"/>
        </w:rPr>
        <w:t>(F</w:t>
      </w:r>
      <w:r w:rsidR="006635A0" w:rsidRPr="00FF0361">
        <w:rPr>
          <w:b/>
          <w:sz w:val="24"/>
          <w:szCs w:val="24"/>
        </w:rPr>
        <w:t>rom the British Cardiovascular Interventional Society</w:t>
      </w:r>
      <w:r w:rsidR="002303AF">
        <w:rPr>
          <w:b/>
          <w:sz w:val="24"/>
          <w:szCs w:val="24"/>
        </w:rPr>
        <w:t>)</w:t>
      </w:r>
    </w:p>
    <w:p w14:paraId="641B612F" w14:textId="4055748E" w:rsidR="00A9039F" w:rsidRDefault="00DC3B6F" w:rsidP="003521E7">
      <w:pPr>
        <w:spacing w:before="0" w:after="0"/>
        <w:rPr>
          <w:sz w:val="24"/>
          <w:szCs w:val="24"/>
        </w:rPr>
      </w:pPr>
      <w:r>
        <w:rPr>
          <w:b/>
          <w:sz w:val="24"/>
          <w:szCs w:val="24"/>
        </w:rPr>
        <w:t>Running title</w:t>
      </w:r>
      <w:r w:rsidR="00FA442E" w:rsidRPr="00FA442E">
        <w:rPr>
          <w:b/>
          <w:sz w:val="24"/>
          <w:szCs w:val="24"/>
        </w:rPr>
        <w:t>:</w:t>
      </w:r>
      <w:r w:rsidR="00FA442E">
        <w:rPr>
          <w:sz w:val="24"/>
          <w:szCs w:val="24"/>
        </w:rPr>
        <w:t xml:space="preserve"> Bleeding complications following PCI</w:t>
      </w:r>
    </w:p>
    <w:p w14:paraId="3C115AEF" w14:textId="77777777" w:rsidR="005514C3" w:rsidRDefault="005514C3" w:rsidP="005514C3">
      <w:pPr>
        <w:spacing w:before="0" w:after="0"/>
        <w:rPr>
          <w:sz w:val="24"/>
          <w:szCs w:val="24"/>
        </w:rPr>
      </w:pPr>
      <w:r w:rsidRPr="00FF0361">
        <w:rPr>
          <w:sz w:val="24"/>
          <w:szCs w:val="24"/>
        </w:rPr>
        <w:t xml:space="preserve">Ivan </w:t>
      </w:r>
      <w:proofErr w:type="spellStart"/>
      <w:r w:rsidRPr="00FF0361">
        <w:rPr>
          <w:sz w:val="24"/>
          <w:szCs w:val="24"/>
        </w:rPr>
        <w:t>Olier</w:t>
      </w:r>
      <w:proofErr w:type="spellEnd"/>
      <w:r>
        <w:rPr>
          <w:sz w:val="24"/>
          <w:szCs w:val="24"/>
        </w:rPr>
        <w:t xml:space="preserve">, </w:t>
      </w:r>
      <w:proofErr w:type="spellStart"/>
      <w:r>
        <w:rPr>
          <w:sz w:val="24"/>
          <w:szCs w:val="24"/>
        </w:rPr>
        <w:t>PhD</w:t>
      </w:r>
      <w:r>
        <w:rPr>
          <w:sz w:val="24"/>
          <w:szCs w:val="24"/>
          <w:vertAlign w:val="superscript"/>
        </w:rPr>
        <w:t>a</w:t>
      </w:r>
      <w:proofErr w:type="spellEnd"/>
      <w:r>
        <w:rPr>
          <w:sz w:val="24"/>
          <w:szCs w:val="24"/>
        </w:rPr>
        <w:t xml:space="preserve">; </w:t>
      </w:r>
      <w:r w:rsidRPr="00FF0361">
        <w:rPr>
          <w:sz w:val="24"/>
          <w:szCs w:val="24"/>
        </w:rPr>
        <w:t xml:space="preserve">Matthew </w:t>
      </w:r>
      <w:proofErr w:type="spellStart"/>
      <w:r w:rsidRPr="00FF0361">
        <w:rPr>
          <w:sz w:val="24"/>
          <w:szCs w:val="24"/>
        </w:rPr>
        <w:t>Carr</w:t>
      </w:r>
      <w:proofErr w:type="spellEnd"/>
      <w:r>
        <w:rPr>
          <w:sz w:val="24"/>
          <w:szCs w:val="24"/>
        </w:rPr>
        <w:t xml:space="preserve">, </w:t>
      </w:r>
      <w:proofErr w:type="spellStart"/>
      <w:r>
        <w:rPr>
          <w:sz w:val="24"/>
          <w:szCs w:val="24"/>
        </w:rPr>
        <w:t>PhD</w:t>
      </w:r>
      <w:r>
        <w:rPr>
          <w:sz w:val="24"/>
          <w:szCs w:val="24"/>
          <w:vertAlign w:val="superscript"/>
        </w:rPr>
        <w:t>b</w:t>
      </w:r>
      <w:proofErr w:type="spellEnd"/>
      <w:r>
        <w:rPr>
          <w:sz w:val="24"/>
          <w:szCs w:val="24"/>
        </w:rPr>
        <w:t>;</w:t>
      </w:r>
      <w:r w:rsidRPr="00FF0361">
        <w:rPr>
          <w:sz w:val="24"/>
          <w:szCs w:val="24"/>
        </w:rPr>
        <w:t xml:space="preserve"> </w:t>
      </w:r>
      <w:r w:rsidRPr="00157372">
        <w:rPr>
          <w:sz w:val="24"/>
          <w:szCs w:val="24"/>
        </w:rPr>
        <w:t xml:space="preserve">Nick </w:t>
      </w:r>
      <w:proofErr w:type="spellStart"/>
      <w:r w:rsidRPr="00157372">
        <w:rPr>
          <w:sz w:val="24"/>
          <w:szCs w:val="24"/>
        </w:rPr>
        <w:t>Curzen</w:t>
      </w:r>
      <w:proofErr w:type="spellEnd"/>
      <w:r>
        <w:rPr>
          <w:sz w:val="24"/>
          <w:szCs w:val="24"/>
        </w:rPr>
        <w:t xml:space="preserve">, BM, </w:t>
      </w:r>
      <w:proofErr w:type="spellStart"/>
      <w:r>
        <w:rPr>
          <w:sz w:val="24"/>
          <w:szCs w:val="24"/>
        </w:rPr>
        <w:t>PhD</w:t>
      </w:r>
      <w:r>
        <w:rPr>
          <w:sz w:val="24"/>
          <w:szCs w:val="24"/>
          <w:vertAlign w:val="superscript"/>
        </w:rPr>
        <w:t>c</w:t>
      </w:r>
      <w:proofErr w:type="spellEnd"/>
      <w:r>
        <w:rPr>
          <w:sz w:val="24"/>
          <w:szCs w:val="24"/>
        </w:rPr>
        <w:t>;</w:t>
      </w:r>
      <w:r w:rsidRPr="00157372">
        <w:rPr>
          <w:sz w:val="24"/>
          <w:szCs w:val="24"/>
        </w:rPr>
        <w:t xml:space="preserve"> Peter </w:t>
      </w:r>
      <w:proofErr w:type="spellStart"/>
      <w:r w:rsidRPr="00157372">
        <w:rPr>
          <w:sz w:val="24"/>
          <w:szCs w:val="24"/>
        </w:rPr>
        <w:t>Ludman</w:t>
      </w:r>
      <w:proofErr w:type="spellEnd"/>
      <w:r>
        <w:rPr>
          <w:sz w:val="24"/>
          <w:szCs w:val="24"/>
        </w:rPr>
        <w:t xml:space="preserve">, </w:t>
      </w:r>
      <w:proofErr w:type="spellStart"/>
      <w:r>
        <w:rPr>
          <w:sz w:val="24"/>
          <w:szCs w:val="24"/>
        </w:rPr>
        <w:t>MD</w:t>
      </w:r>
      <w:r>
        <w:rPr>
          <w:sz w:val="24"/>
          <w:szCs w:val="24"/>
          <w:vertAlign w:val="superscript"/>
        </w:rPr>
        <w:t>d</w:t>
      </w:r>
      <w:proofErr w:type="spellEnd"/>
      <w:r>
        <w:rPr>
          <w:sz w:val="24"/>
          <w:szCs w:val="24"/>
        </w:rPr>
        <w:t xml:space="preserve">; </w:t>
      </w:r>
    </w:p>
    <w:p w14:paraId="53C7C4B2" w14:textId="04375933" w:rsidR="005514C3" w:rsidRDefault="005514C3" w:rsidP="005514C3">
      <w:pPr>
        <w:spacing w:before="0" w:after="0"/>
        <w:rPr>
          <w:sz w:val="24"/>
          <w:szCs w:val="24"/>
        </w:rPr>
      </w:pPr>
      <w:r w:rsidRPr="00157372">
        <w:rPr>
          <w:sz w:val="24"/>
          <w:szCs w:val="24"/>
        </w:rPr>
        <w:t xml:space="preserve">Andreas </w:t>
      </w:r>
      <w:proofErr w:type="spellStart"/>
      <w:r w:rsidRPr="00157372">
        <w:rPr>
          <w:sz w:val="24"/>
          <w:szCs w:val="24"/>
        </w:rPr>
        <w:t>Baumbach</w:t>
      </w:r>
      <w:proofErr w:type="spellEnd"/>
      <w:r>
        <w:rPr>
          <w:sz w:val="24"/>
          <w:szCs w:val="24"/>
        </w:rPr>
        <w:t xml:space="preserve">, </w:t>
      </w:r>
      <w:proofErr w:type="spellStart"/>
      <w:r>
        <w:rPr>
          <w:sz w:val="24"/>
          <w:szCs w:val="24"/>
        </w:rPr>
        <w:t>MD</w:t>
      </w:r>
      <w:r>
        <w:rPr>
          <w:sz w:val="24"/>
          <w:szCs w:val="24"/>
          <w:vertAlign w:val="superscript"/>
        </w:rPr>
        <w:t>e</w:t>
      </w:r>
      <w:proofErr w:type="spellEnd"/>
      <w:r>
        <w:rPr>
          <w:sz w:val="24"/>
          <w:szCs w:val="24"/>
        </w:rPr>
        <w:t xml:space="preserve">; </w:t>
      </w:r>
      <w:r w:rsidRPr="00157372">
        <w:rPr>
          <w:sz w:val="24"/>
          <w:szCs w:val="24"/>
        </w:rPr>
        <w:t>Tim Kinnaird</w:t>
      </w:r>
      <w:r>
        <w:rPr>
          <w:sz w:val="24"/>
          <w:szCs w:val="24"/>
        </w:rPr>
        <w:t xml:space="preserve">, </w:t>
      </w:r>
      <w:proofErr w:type="spellStart"/>
      <w:r>
        <w:rPr>
          <w:sz w:val="24"/>
          <w:szCs w:val="24"/>
        </w:rPr>
        <w:t>MD</w:t>
      </w:r>
      <w:r>
        <w:rPr>
          <w:sz w:val="24"/>
          <w:szCs w:val="24"/>
          <w:vertAlign w:val="superscript"/>
        </w:rPr>
        <w:t>f</w:t>
      </w:r>
      <w:proofErr w:type="spellEnd"/>
      <w:r>
        <w:rPr>
          <w:sz w:val="24"/>
          <w:szCs w:val="24"/>
        </w:rPr>
        <w:t>; Mark A. d</w:t>
      </w:r>
      <w:r w:rsidRPr="00157372">
        <w:rPr>
          <w:sz w:val="24"/>
          <w:szCs w:val="24"/>
        </w:rPr>
        <w:t xml:space="preserve">e </w:t>
      </w:r>
      <w:proofErr w:type="spellStart"/>
      <w:r w:rsidRPr="00157372">
        <w:rPr>
          <w:sz w:val="24"/>
          <w:szCs w:val="24"/>
        </w:rPr>
        <w:t>Belder</w:t>
      </w:r>
      <w:proofErr w:type="spellEnd"/>
      <w:r>
        <w:rPr>
          <w:sz w:val="24"/>
          <w:szCs w:val="24"/>
        </w:rPr>
        <w:t xml:space="preserve">, </w:t>
      </w:r>
      <w:proofErr w:type="spellStart"/>
      <w:r>
        <w:rPr>
          <w:sz w:val="24"/>
          <w:szCs w:val="24"/>
        </w:rPr>
        <w:t>MD</w:t>
      </w:r>
      <w:r>
        <w:rPr>
          <w:sz w:val="24"/>
          <w:szCs w:val="24"/>
          <w:vertAlign w:val="superscript"/>
        </w:rPr>
        <w:t>g</w:t>
      </w:r>
      <w:proofErr w:type="spellEnd"/>
      <w:r>
        <w:rPr>
          <w:sz w:val="24"/>
          <w:szCs w:val="24"/>
        </w:rPr>
        <w:t xml:space="preserve">; </w:t>
      </w:r>
      <w:r w:rsidRPr="00157372">
        <w:rPr>
          <w:sz w:val="24"/>
          <w:szCs w:val="24"/>
        </w:rPr>
        <w:t xml:space="preserve">Dave </w:t>
      </w:r>
      <w:proofErr w:type="spellStart"/>
      <w:r w:rsidRPr="00157372">
        <w:rPr>
          <w:sz w:val="24"/>
          <w:szCs w:val="24"/>
        </w:rPr>
        <w:t>Hildick</w:t>
      </w:r>
      <w:proofErr w:type="spellEnd"/>
      <w:r w:rsidRPr="00157372">
        <w:rPr>
          <w:sz w:val="24"/>
          <w:szCs w:val="24"/>
        </w:rPr>
        <w:t>-Smith</w:t>
      </w:r>
      <w:r>
        <w:rPr>
          <w:sz w:val="24"/>
          <w:szCs w:val="24"/>
        </w:rPr>
        <w:t xml:space="preserve">, </w:t>
      </w:r>
      <w:proofErr w:type="spellStart"/>
      <w:r>
        <w:rPr>
          <w:sz w:val="24"/>
          <w:szCs w:val="24"/>
        </w:rPr>
        <w:t>MD</w:t>
      </w:r>
      <w:r>
        <w:rPr>
          <w:sz w:val="24"/>
          <w:szCs w:val="24"/>
          <w:vertAlign w:val="superscript"/>
        </w:rPr>
        <w:t>h</w:t>
      </w:r>
      <w:proofErr w:type="spellEnd"/>
      <w:r>
        <w:rPr>
          <w:sz w:val="24"/>
          <w:szCs w:val="24"/>
        </w:rPr>
        <w:t xml:space="preserve">; </w:t>
      </w:r>
      <w:r w:rsidRPr="00157372">
        <w:rPr>
          <w:sz w:val="24"/>
          <w:szCs w:val="24"/>
        </w:rPr>
        <w:t xml:space="preserve">Alex </w:t>
      </w:r>
      <w:proofErr w:type="spellStart"/>
      <w:r w:rsidRPr="00157372">
        <w:rPr>
          <w:sz w:val="24"/>
          <w:szCs w:val="24"/>
        </w:rPr>
        <w:t>Sirker</w:t>
      </w:r>
      <w:proofErr w:type="spellEnd"/>
      <w:r>
        <w:rPr>
          <w:sz w:val="24"/>
          <w:szCs w:val="24"/>
        </w:rPr>
        <w:t xml:space="preserve">, MB </w:t>
      </w:r>
      <w:proofErr w:type="spellStart"/>
      <w:r>
        <w:rPr>
          <w:sz w:val="24"/>
          <w:szCs w:val="24"/>
        </w:rPr>
        <w:t>BChir</w:t>
      </w:r>
      <w:proofErr w:type="spellEnd"/>
      <w:r>
        <w:rPr>
          <w:sz w:val="24"/>
          <w:szCs w:val="24"/>
        </w:rPr>
        <w:t>, PhD</w:t>
      </w:r>
      <w:r w:rsidRPr="00157372">
        <w:rPr>
          <w:sz w:val="24"/>
          <w:szCs w:val="24"/>
          <w:vertAlign w:val="superscript"/>
        </w:rPr>
        <w:t xml:space="preserve"> </w:t>
      </w:r>
      <w:proofErr w:type="spellStart"/>
      <w:r>
        <w:rPr>
          <w:sz w:val="24"/>
          <w:szCs w:val="24"/>
          <w:vertAlign w:val="superscript"/>
        </w:rPr>
        <w:t>i</w:t>
      </w:r>
      <w:proofErr w:type="spellEnd"/>
      <w:r>
        <w:rPr>
          <w:sz w:val="24"/>
          <w:szCs w:val="24"/>
        </w:rPr>
        <w:t xml:space="preserve">; Chun </w:t>
      </w:r>
      <w:proofErr w:type="spellStart"/>
      <w:r w:rsidRPr="00157372">
        <w:rPr>
          <w:sz w:val="24"/>
          <w:szCs w:val="24"/>
        </w:rPr>
        <w:t>Shing</w:t>
      </w:r>
      <w:proofErr w:type="spellEnd"/>
      <w:r w:rsidRPr="00157372">
        <w:rPr>
          <w:sz w:val="24"/>
          <w:szCs w:val="24"/>
        </w:rPr>
        <w:t xml:space="preserve"> Kwok</w:t>
      </w:r>
      <w:r>
        <w:rPr>
          <w:sz w:val="24"/>
          <w:szCs w:val="24"/>
        </w:rPr>
        <w:t xml:space="preserve">, MBBS, MSc, </w:t>
      </w:r>
      <w:proofErr w:type="spellStart"/>
      <w:r>
        <w:rPr>
          <w:sz w:val="24"/>
          <w:szCs w:val="24"/>
        </w:rPr>
        <w:t>BSc</w:t>
      </w:r>
      <w:r>
        <w:rPr>
          <w:sz w:val="24"/>
          <w:szCs w:val="24"/>
          <w:vertAlign w:val="superscript"/>
        </w:rPr>
        <w:t>,j</w:t>
      </w:r>
      <w:proofErr w:type="spellEnd"/>
      <w:r>
        <w:rPr>
          <w:sz w:val="24"/>
          <w:szCs w:val="24"/>
        </w:rPr>
        <w:t xml:space="preserve">; Muhammad Rashid, MBBS </w:t>
      </w:r>
      <w:r>
        <w:rPr>
          <w:sz w:val="24"/>
          <w:szCs w:val="24"/>
          <w:vertAlign w:val="superscript"/>
        </w:rPr>
        <w:t>j</w:t>
      </w:r>
      <w:r>
        <w:rPr>
          <w:sz w:val="24"/>
          <w:szCs w:val="24"/>
        </w:rPr>
        <w:t xml:space="preserve">; </w:t>
      </w:r>
      <w:r w:rsidRPr="00157372">
        <w:rPr>
          <w:sz w:val="24"/>
          <w:szCs w:val="24"/>
        </w:rPr>
        <w:t>Jim Nolan</w:t>
      </w:r>
      <w:r>
        <w:rPr>
          <w:sz w:val="24"/>
          <w:szCs w:val="24"/>
        </w:rPr>
        <w:t xml:space="preserve">, </w:t>
      </w:r>
      <w:proofErr w:type="spellStart"/>
      <w:r>
        <w:rPr>
          <w:sz w:val="24"/>
          <w:szCs w:val="24"/>
        </w:rPr>
        <w:t>MD</w:t>
      </w:r>
      <w:r>
        <w:rPr>
          <w:sz w:val="24"/>
          <w:szCs w:val="24"/>
          <w:vertAlign w:val="superscript"/>
        </w:rPr>
        <w:t>j</w:t>
      </w:r>
      <w:proofErr w:type="spellEnd"/>
      <w:r>
        <w:rPr>
          <w:sz w:val="24"/>
          <w:szCs w:val="24"/>
        </w:rPr>
        <w:t xml:space="preserve">; </w:t>
      </w:r>
      <w:proofErr w:type="spellStart"/>
      <w:r w:rsidRPr="00F638E2">
        <w:rPr>
          <w:sz w:val="24"/>
          <w:szCs w:val="24"/>
        </w:rPr>
        <w:t>Evangelos</w:t>
      </w:r>
      <w:proofErr w:type="spellEnd"/>
      <w:r w:rsidRPr="00F638E2">
        <w:rPr>
          <w:sz w:val="24"/>
          <w:szCs w:val="24"/>
        </w:rPr>
        <w:t xml:space="preserve"> </w:t>
      </w:r>
      <w:proofErr w:type="spellStart"/>
      <w:r w:rsidRPr="00F638E2">
        <w:rPr>
          <w:sz w:val="24"/>
          <w:szCs w:val="24"/>
        </w:rPr>
        <w:t>Kontopantelis</w:t>
      </w:r>
      <w:proofErr w:type="spellEnd"/>
      <w:r>
        <w:rPr>
          <w:sz w:val="24"/>
          <w:szCs w:val="24"/>
        </w:rPr>
        <w:t xml:space="preserve">, </w:t>
      </w:r>
      <w:proofErr w:type="spellStart"/>
      <w:r>
        <w:rPr>
          <w:sz w:val="24"/>
          <w:szCs w:val="24"/>
        </w:rPr>
        <w:t>PhD</w:t>
      </w:r>
      <w:r>
        <w:rPr>
          <w:sz w:val="24"/>
          <w:szCs w:val="24"/>
          <w:vertAlign w:val="superscript"/>
        </w:rPr>
        <w:t>k</w:t>
      </w:r>
      <w:proofErr w:type="spellEnd"/>
      <w:r>
        <w:rPr>
          <w:sz w:val="24"/>
          <w:szCs w:val="24"/>
        </w:rPr>
        <w:t xml:space="preserve">; Mamas A. Mamas, BM </w:t>
      </w:r>
      <w:proofErr w:type="spellStart"/>
      <w:r>
        <w:rPr>
          <w:sz w:val="24"/>
          <w:szCs w:val="24"/>
        </w:rPr>
        <w:t>BCh</w:t>
      </w:r>
      <w:proofErr w:type="spellEnd"/>
      <w:r>
        <w:rPr>
          <w:sz w:val="24"/>
          <w:szCs w:val="24"/>
        </w:rPr>
        <w:t xml:space="preserve">, MA, </w:t>
      </w:r>
      <w:proofErr w:type="spellStart"/>
      <w:r>
        <w:rPr>
          <w:sz w:val="24"/>
          <w:szCs w:val="24"/>
        </w:rPr>
        <w:t>DPhil</w:t>
      </w:r>
      <w:r>
        <w:rPr>
          <w:sz w:val="24"/>
          <w:szCs w:val="24"/>
          <w:vertAlign w:val="superscript"/>
        </w:rPr>
        <w:t>j</w:t>
      </w:r>
      <w:proofErr w:type="spellEnd"/>
      <w:r>
        <w:rPr>
          <w:sz w:val="24"/>
          <w:szCs w:val="24"/>
          <w:vertAlign w:val="superscript"/>
        </w:rPr>
        <w:t xml:space="preserve"> </w:t>
      </w:r>
    </w:p>
    <w:p w14:paraId="31D1D494" w14:textId="481060C6" w:rsidR="005514C3" w:rsidRDefault="00530C48" w:rsidP="005514C3">
      <w:pPr>
        <w:pStyle w:val="ListParagraph"/>
        <w:numPr>
          <w:ilvl w:val="0"/>
          <w:numId w:val="2"/>
        </w:numPr>
        <w:spacing w:before="0" w:after="0"/>
        <w:rPr>
          <w:sz w:val="24"/>
          <w:szCs w:val="24"/>
        </w:rPr>
      </w:pPr>
      <w:r>
        <w:rPr>
          <w:sz w:val="24"/>
          <w:szCs w:val="24"/>
        </w:rPr>
        <w:t xml:space="preserve">Department of Applied Mathematics, Liverpool John </w:t>
      </w:r>
      <w:proofErr w:type="spellStart"/>
      <w:r>
        <w:rPr>
          <w:sz w:val="24"/>
          <w:szCs w:val="24"/>
        </w:rPr>
        <w:t>Moores</w:t>
      </w:r>
      <w:proofErr w:type="spellEnd"/>
      <w:r>
        <w:rPr>
          <w:sz w:val="24"/>
          <w:szCs w:val="24"/>
        </w:rPr>
        <w:t xml:space="preserve"> University</w:t>
      </w:r>
      <w:r w:rsidRPr="000718E6">
        <w:rPr>
          <w:sz w:val="24"/>
          <w:szCs w:val="24"/>
        </w:rPr>
        <w:t>, UK</w:t>
      </w:r>
    </w:p>
    <w:p w14:paraId="59D50B87" w14:textId="77777777" w:rsidR="005514C3" w:rsidRPr="000718E6" w:rsidRDefault="005514C3" w:rsidP="005514C3">
      <w:pPr>
        <w:pStyle w:val="ListParagraph"/>
        <w:numPr>
          <w:ilvl w:val="0"/>
          <w:numId w:val="2"/>
        </w:numPr>
        <w:spacing w:before="0" w:after="0"/>
        <w:rPr>
          <w:sz w:val="24"/>
          <w:szCs w:val="24"/>
        </w:rPr>
      </w:pPr>
      <w:r>
        <w:rPr>
          <w:sz w:val="24"/>
          <w:szCs w:val="24"/>
        </w:rPr>
        <w:t>Faculty of Medical and Human Sciences, University of Manchester, UK</w:t>
      </w:r>
    </w:p>
    <w:p w14:paraId="5D282B1C" w14:textId="77777777" w:rsidR="005514C3" w:rsidRPr="000718E6" w:rsidRDefault="005514C3" w:rsidP="005514C3">
      <w:pPr>
        <w:pStyle w:val="ListParagraph"/>
        <w:numPr>
          <w:ilvl w:val="0"/>
          <w:numId w:val="2"/>
        </w:numPr>
        <w:spacing w:before="0" w:after="0"/>
        <w:rPr>
          <w:sz w:val="24"/>
          <w:szCs w:val="24"/>
        </w:rPr>
      </w:pPr>
      <w:r w:rsidRPr="000718E6">
        <w:rPr>
          <w:sz w:val="24"/>
          <w:szCs w:val="24"/>
        </w:rPr>
        <w:t>University Hospital Southampton &amp; Faculty of Medicine, University of Southampton, UK.</w:t>
      </w:r>
    </w:p>
    <w:p w14:paraId="690AAEAE" w14:textId="77777777" w:rsidR="005514C3" w:rsidRPr="000718E6" w:rsidRDefault="005514C3" w:rsidP="005514C3">
      <w:pPr>
        <w:pStyle w:val="ListParagraph"/>
        <w:numPr>
          <w:ilvl w:val="0"/>
          <w:numId w:val="2"/>
        </w:numPr>
        <w:spacing w:before="0" w:after="0"/>
        <w:rPr>
          <w:sz w:val="24"/>
          <w:szCs w:val="24"/>
        </w:rPr>
      </w:pPr>
      <w:r>
        <w:rPr>
          <w:sz w:val="24"/>
          <w:szCs w:val="24"/>
        </w:rPr>
        <w:t xml:space="preserve">Department of Cardiology, </w:t>
      </w:r>
      <w:r w:rsidRPr="000718E6">
        <w:rPr>
          <w:sz w:val="24"/>
          <w:szCs w:val="24"/>
        </w:rPr>
        <w:t>Queen Elizabeth Hospital, Birmingham, UK.</w:t>
      </w:r>
    </w:p>
    <w:p w14:paraId="59DC3D6C" w14:textId="77777777" w:rsidR="005514C3" w:rsidRPr="000718E6" w:rsidRDefault="005514C3" w:rsidP="005514C3">
      <w:pPr>
        <w:pStyle w:val="ListParagraph"/>
        <w:numPr>
          <w:ilvl w:val="0"/>
          <w:numId w:val="2"/>
        </w:numPr>
        <w:spacing w:before="0" w:after="0"/>
        <w:rPr>
          <w:sz w:val="24"/>
          <w:szCs w:val="24"/>
        </w:rPr>
      </w:pPr>
      <w:r>
        <w:rPr>
          <w:sz w:val="24"/>
          <w:szCs w:val="24"/>
        </w:rPr>
        <w:t xml:space="preserve">Department of Cardiology, </w:t>
      </w:r>
      <w:proofErr w:type="spellStart"/>
      <w:r w:rsidRPr="000718E6">
        <w:rPr>
          <w:sz w:val="24"/>
          <w:szCs w:val="24"/>
        </w:rPr>
        <w:t>Barts</w:t>
      </w:r>
      <w:proofErr w:type="spellEnd"/>
      <w:r w:rsidRPr="000718E6">
        <w:rPr>
          <w:sz w:val="24"/>
          <w:szCs w:val="24"/>
        </w:rPr>
        <w:t xml:space="preserve"> Heart Centre, Queen Mary University, London, UK.</w:t>
      </w:r>
    </w:p>
    <w:p w14:paraId="712D4DDE" w14:textId="77777777" w:rsidR="005514C3" w:rsidRPr="000718E6" w:rsidRDefault="005514C3" w:rsidP="005514C3">
      <w:pPr>
        <w:pStyle w:val="ListParagraph"/>
        <w:numPr>
          <w:ilvl w:val="0"/>
          <w:numId w:val="2"/>
        </w:numPr>
        <w:spacing w:before="0" w:after="0"/>
        <w:rPr>
          <w:sz w:val="24"/>
          <w:szCs w:val="24"/>
        </w:rPr>
      </w:pPr>
      <w:r>
        <w:rPr>
          <w:sz w:val="24"/>
          <w:szCs w:val="24"/>
        </w:rPr>
        <w:t xml:space="preserve">Department of Cardiology, </w:t>
      </w:r>
      <w:r w:rsidRPr="000718E6">
        <w:rPr>
          <w:sz w:val="24"/>
          <w:szCs w:val="24"/>
        </w:rPr>
        <w:t>University Hospital of Wales, Cardiff, UK.</w:t>
      </w:r>
    </w:p>
    <w:p w14:paraId="72114497" w14:textId="77777777" w:rsidR="005514C3" w:rsidRPr="000718E6" w:rsidRDefault="005514C3" w:rsidP="005514C3">
      <w:pPr>
        <w:pStyle w:val="ListParagraph"/>
        <w:numPr>
          <w:ilvl w:val="0"/>
          <w:numId w:val="2"/>
        </w:numPr>
        <w:spacing w:before="0" w:after="0"/>
        <w:rPr>
          <w:sz w:val="24"/>
          <w:szCs w:val="24"/>
        </w:rPr>
      </w:pPr>
      <w:r>
        <w:rPr>
          <w:sz w:val="24"/>
          <w:szCs w:val="24"/>
        </w:rPr>
        <w:t xml:space="preserve">Department of Cardiology, </w:t>
      </w:r>
      <w:r w:rsidRPr="000718E6">
        <w:rPr>
          <w:sz w:val="24"/>
          <w:szCs w:val="24"/>
        </w:rPr>
        <w:t xml:space="preserve">The James Cook University Hospital, </w:t>
      </w:r>
      <w:proofErr w:type="spellStart"/>
      <w:r w:rsidRPr="000718E6">
        <w:rPr>
          <w:sz w:val="24"/>
          <w:szCs w:val="24"/>
        </w:rPr>
        <w:t>Middlesbrough</w:t>
      </w:r>
      <w:proofErr w:type="spellEnd"/>
      <w:r w:rsidRPr="000718E6">
        <w:rPr>
          <w:sz w:val="24"/>
          <w:szCs w:val="24"/>
        </w:rPr>
        <w:t>, UK.</w:t>
      </w:r>
    </w:p>
    <w:p w14:paraId="1B815A4E" w14:textId="77777777" w:rsidR="005514C3" w:rsidRPr="000718E6" w:rsidRDefault="005514C3" w:rsidP="005514C3">
      <w:pPr>
        <w:pStyle w:val="ListParagraph"/>
        <w:numPr>
          <w:ilvl w:val="0"/>
          <w:numId w:val="2"/>
        </w:numPr>
        <w:spacing w:before="0" w:after="0"/>
        <w:rPr>
          <w:rFonts w:eastAsia="MS Mincho"/>
          <w:sz w:val="24"/>
          <w:szCs w:val="24"/>
        </w:rPr>
      </w:pPr>
      <w:r>
        <w:rPr>
          <w:rFonts w:eastAsia="MS Mincho"/>
          <w:sz w:val="24"/>
          <w:szCs w:val="24"/>
        </w:rPr>
        <w:t xml:space="preserve">Department of Cardiology, </w:t>
      </w:r>
      <w:r w:rsidRPr="000718E6">
        <w:rPr>
          <w:rFonts w:eastAsia="MS Mincho"/>
          <w:sz w:val="24"/>
          <w:szCs w:val="24"/>
        </w:rPr>
        <w:t>Royal Sussex County Hospital, Brighton, UK.</w:t>
      </w:r>
    </w:p>
    <w:p w14:paraId="4C722925" w14:textId="77777777" w:rsidR="005514C3" w:rsidRPr="000718E6" w:rsidRDefault="005514C3" w:rsidP="005514C3">
      <w:pPr>
        <w:pStyle w:val="ListParagraph"/>
        <w:numPr>
          <w:ilvl w:val="0"/>
          <w:numId w:val="2"/>
        </w:numPr>
        <w:spacing w:before="0" w:after="0"/>
        <w:rPr>
          <w:sz w:val="24"/>
          <w:szCs w:val="24"/>
        </w:rPr>
      </w:pPr>
      <w:r>
        <w:rPr>
          <w:rFonts w:eastAsia="MS Mincho"/>
          <w:sz w:val="24"/>
          <w:szCs w:val="24"/>
        </w:rPr>
        <w:t>Department of Cardiology</w:t>
      </w:r>
      <w:r w:rsidRPr="000718E6">
        <w:rPr>
          <w:sz w:val="24"/>
          <w:szCs w:val="24"/>
        </w:rPr>
        <w:t xml:space="preserve"> University College London Hospitals and St. Bartholomew’s Hospital, London, UK.</w:t>
      </w:r>
    </w:p>
    <w:p w14:paraId="52A13CDE" w14:textId="6B568915" w:rsidR="005514C3" w:rsidRPr="000718E6" w:rsidRDefault="00397528" w:rsidP="005514C3">
      <w:pPr>
        <w:pStyle w:val="ListParagraph"/>
        <w:numPr>
          <w:ilvl w:val="0"/>
          <w:numId w:val="2"/>
        </w:numPr>
        <w:spacing w:before="0" w:after="0"/>
        <w:rPr>
          <w:sz w:val="24"/>
          <w:szCs w:val="24"/>
        </w:rPr>
      </w:pPr>
      <w:proofErr w:type="spellStart"/>
      <w:r>
        <w:rPr>
          <w:sz w:val="24"/>
          <w:szCs w:val="24"/>
        </w:rPr>
        <w:t>Keele</w:t>
      </w:r>
      <w:proofErr w:type="spellEnd"/>
      <w:r>
        <w:rPr>
          <w:sz w:val="24"/>
          <w:szCs w:val="24"/>
        </w:rPr>
        <w:t xml:space="preserve"> Cardiovascular Research Group, </w:t>
      </w:r>
      <w:proofErr w:type="spellStart"/>
      <w:r>
        <w:rPr>
          <w:sz w:val="24"/>
          <w:szCs w:val="24"/>
        </w:rPr>
        <w:t>Keele</w:t>
      </w:r>
      <w:proofErr w:type="spellEnd"/>
      <w:r>
        <w:rPr>
          <w:sz w:val="24"/>
          <w:szCs w:val="24"/>
        </w:rPr>
        <w:t xml:space="preserve"> University, Stoke on Trent, UK</w:t>
      </w:r>
      <w:r w:rsidR="005514C3" w:rsidRPr="000718E6">
        <w:rPr>
          <w:sz w:val="24"/>
          <w:szCs w:val="24"/>
        </w:rPr>
        <w:t>.</w:t>
      </w:r>
    </w:p>
    <w:p w14:paraId="49627316" w14:textId="712BD41C" w:rsidR="006635A0" w:rsidRPr="00E04799" w:rsidRDefault="005514C3" w:rsidP="003521E7">
      <w:pPr>
        <w:pStyle w:val="ListParagraph"/>
        <w:numPr>
          <w:ilvl w:val="0"/>
          <w:numId w:val="2"/>
        </w:numPr>
        <w:spacing w:before="0" w:after="0"/>
        <w:rPr>
          <w:sz w:val="24"/>
          <w:szCs w:val="24"/>
        </w:rPr>
      </w:pPr>
      <w:r w:rsidRPr="000718E6">
        <w:rPr>
          <w:sz w:val="24"/>
        </w:rPr>
        <w:t xml:space="preserve">Health </w:t>
      </w:r>
      <w:proofErr w:type="spellStart"/>
      <w:r w:rsidRPr="000718E6">
        <w:rPr>
          <w:sz w:val="24"/>
        </w:rPr>
        <w:t>eResearch</w:t>
      </w:r>
      <w:proofErr w:type="spellEnd"/>
      <w:r w:rsidRPr="000718E6">
        <w:rPr>
          <w:sz w:val="24"/>
        </w:rPr>
        <w:t xml:space="preserve"> Centre, Farr Institute for Health Informatics Research, University of Manchester, UK.</w:t>
      </w:r>
    </w:p>
    <w:p w14:paraId="760F44EF" w14:textId="77777777" w:rsidR="000F050D" w:rsidRDefault="000F050D" w:rsidP="003521E7">
      <w:pPr>
        <w:spacing w:before="0" w:after="0"/>
        <w:rPr>
          <w:rFonts w:eastAsia="MS Mincho"/>
          <w:b/>
          <w:sz w:val="24"/>
          <w:szCs w:val="24"/>
        </w:rPr>
      </w:pPr>
    </w:p>
    <w:p w14:paraId="60E5FC44" w14:textId="77777777" w:rsidR="006635A0" w:rsidRPr="00FF0361" w:rsidRDefault="006635A0" w:rsidP="003521E7">
      <w:pPr>
        <w:spacing w:before="0" w:after="0"/>
        <w:rPr>
          <w:rFonts w:eastAsia="MS Mincho"/>
          <w:b/>
          <w:sz w:val="24"/>
          <w:szCs w:val="24"/>
        </w:rPr>
      </w:pPr>
      <w:r w:rsidRPr="00FF0361">
        <w:rPr>
          <w:rFonts w:eastAsia="MS Mincho"/>
          <w:b/>
          <w:sz w:val="24"/>
          <w:szCs w:val="24"/>
        </w:rPr>
        <w:t>Corresponding Author:</w:t>
      </w:r>
    </w:p>
    <w:p w14:paraId="720B9E68" w14:textId="77777777" w:rsidR="00FF0361" w:rsidRPr="00FF0361" w:rsidRDefault="00FF0361" w:rsidP="003521E7">
      <w:pPr>
        <w:spacing w:before="0" w:after="0"/>
        <w:rPr>
          <w:sz w:val="24"/>
          <w:szCs w:val="24"/>
        </w:rPr>
      </w:pPr>
      <w:r w:rsidRPr="00FF0361">
        <w:rPr>
          <w:sz w:val="24"/>
          <w:szCs w:val="24"/>
        </w:rPr>
        <w:t>Mamas A. Mamas</w:t>
      </w:r>
    </w:p>
    <w:p w14:paraId="42C8F697" w14:textId="77777777" w:rsidR="00FF0361" w:rsidRPr="00FF0361" w:rsidRDefault="00FF0361" w:rsidP="003521E7">
      <w:pPr>
        <w:spacing w:before="0" w:after="0"/>
        <w:rPr>
          <w:sz w:val="24"/>
          <w:szCs w:val="24"/>
        </w:rPr>
      </w:pPr>
      <w:r w:rsidRPr="00FF0361">
        <w:rPr>
          <w:sz w:val="24"/>
          <w:szCs w:val="24"/>
        </w:rPr>
        <w:t xml:space="preserve">Professor of Cardiology </w:t>
      </w:r>
    </w:p>
    <w:p w14:paraId="32A8CD9B" w14:textId="77777777" w:rsidR="00FF0361" w:rsidRPr="00FF0361" w:rsidRDefault="00FF0361" w:rsidP="003521E7">
      <w:pPr>
        <w:spacing w:before="0" w:after="0"/>
        <w:rPr>
          <w:sz w:val="24"/>
          <w:szCs w:val="24"/>
        </w:rPr>
      </w:pPr>
      <w:proofErr w:type="spellStart"/>
      <w:r w:rsidRPr="00FF0361">
        <w:rPr>
          <w:sz w:val="24"/>
          <w:szCs w:val="24"/>
        </w:rPr>
        <w:t>Keele</w:t>
      </w:r>
      <w:proofErr w:type="spellEnd"/>
      <w:r w:rsidRPr="00FF0361">
        <w:rPr>
          <w:sz w:val="24"/>
          <w:szCs w:val="24"/>
        </w:rPr>
        <w:t xml:space="preserve"> Cardiovascular Research Group,</w:t>
      </w:r>
      <w:r w:rsidR="00D87EBE">
        <w:rPr>
          <w:sz w:val="24"/>
          <w:szCs w:val="24"/>
        </w:rPr>
        <w:t xml:space="preserve"> Institute of Applied Clinical Science</w:t>
      </w:r>
    </w:p>
    <w:p w14:paraId="10E4897B" w14:textId="77777777" w:rsidR="00D87EBE" w:rsidRDefault="00FF0361" w:rsidP="003521E7">
      <w:pPr>
        <w:spacing w:before="0" w:after="0"/>
        <w:rPr>
          <w:sz w:val="24"/>
          <w:szCs w:val="24"/>
        </w:rPr>
      </w:pPr>
      <w:r w:rsidRPr="00FF0361">
        <w:rPr>
          <w:sz w:val="24"/>
          <w:szCs w:val="24"/>
        </w:rPr>
        <w:t xml:space="preserve">University of </w:t>
      </w:r>
      <w:proofErr w:type="spellStart"/>
      <w:r w:rsidRPr="00FF0361">
        <w:rPr>
          <w:sz w:val="24"/>
          <w:szCs w:val="24"/>
        </w:rPr>
        <w:t>Keele</w:t>
      </w:r>
      <w:proofErr w:type="spellEnd"/>
      <w:r w:rsidR="006B6197">
        <w:rPr>
          <w:sz w:val="24"/>
          <w:szCs w:val="24"/>
        </w:rPr>
        <w:t xml:space="preserve">, </w:t>
      </w:r>
      <w:r w:rsidR="00D87EBE">
        <w:rPr>
          <w:sz w:val="24"/>
          <w:szCs w:val="24"/>
        </w:rPr>
        <w:t>Stoke-on-Trent</w:t>
      </w:r>
    </w:p>
    <w:p w14:paraId="0F3E624B" w14:textId="5CAEC0EB" w:rsidR="00CE0327" w:rsidRPr="00FF0361" w:rsidRDefault="00CE0327" w:rsidP="00E04799">
      <w:pPr>
        <w:spacing w:before="0" w:after="0"/>
        <w:rPr>
          <w:sz w:val="24"/>
          <w:szCs w:val="24"/>
        </w:rPr>
      </w:pPr>
      <w:r>
        <w:rPr>
          <w:sz w:val="24"/>
          <w:szCs w:val="24"/>
        </w:rPr>
        <w:t xml:space="preserve">E-mail: </w:t>
      </w:r>
      <w:hyperlink r:id="rId9" w:history="1">
        <w:r w:rsidRPr="00607F08">
          <w:rPr>
            <w:rStyle w:val="Hyperlink"/>
            <w:sz w:val="24"/>
            <w:szCs w:val="24"/>
          </w:rPr>
          <w:t>mamasmamas1@yahoo.co.uk</w:t>
        </w:r>
      </w:hyperlink>
      <w:r w:rsidR="00E1699A">
        <w:rPr>
          <w:sz w:val="24"/>
          <w:szCs w:val="24"/>
        </w:rPr>
        <w:t xml:space="preserve"> </w:t>
      </w:r>
    </w:p>
    <w:p w14:paraId="2795ACF0" w14:textId="7F03141D" w:rsidR="001F01D9" w:rsidRDefault="0080313E" w:rsidP="00530C48">
      <w:pPr>
        <w:spacing w:before="0" w:after="0" w:line="480" w:lineRule="auto"/>
        <w:rPr>
          <w:b/>
          <w:sz w:val="24"/>
          <w:szCs w:val="24"/>
        </w:rPr>
      </w:pPr>
      <w:r>
        <w:rPr>
          <w:b/>
          <w:sz w:val="24"/>
          <w:szCs w:val="24"/>
        </w:rPr>
        <w:br w:type="page"/>
      </w:r>
      <w:r w:rsidR="001F01D9">
        <w:rPr>
          <w:b/>
          <w:sz w:val="24"/>
          <w:szCs w:val="24"/>
        </w:rPr>
        <w:lastRenderedPageBreak/>
        <w:t>Abstract</w:t>
      </w:r>
    </w:p>
    <w:p w14:paraId="2D0FFBBB" w14:textId="6C062413" w:rsidR="002303AF" w:rsidRDefault="00787C00" w:rsidP="00530C48">
      <w:pPr>
        <w:spacing w:before="0" w:after="0" w:line="480" w:lineRule="auto"/>
        <w:rPr>
          <w:sz w:val="24"/>
          <w:szCs w:val="24"/>
        </w:rPr>
      </w:pPr>
      <w:r w:rsidRPr="00FF0361">
        <w:rPr>
          <w:sz w:val="24"/>
          <w:szCs w:val="24"/>
        </w:rPr>
        <w:t xml:space="preserve">Major bleeding is </w:t>
      </w:r>
      <w:r>
        <w:rPr>
          <w:sz w:val="24"/>
          <w:szCs w:val="24"/>
        </w:rPr>
        <w:t xml:space="preserve">a </w:t>
      </w:r>
      <w:r w:rsidRPr="00FF0361">
        <w:rPr>
          <w:sz w:val="24"/>
          <w:szCs w:val="24"/>
        </w:rPr>
        <w:t>common complication following percutane</w:t>
      </w:r>
      <w:r w:rsidR="00D86F0C">
        <w:rPr>
          <w:sz w:val="24"/>
          <w:szCs w:val="24"/>
        </w:rPr>
        <w:t>ous coronary intervention (PCI)</w:t>
      </w:r>
      <w:r w:rsidR="00397528">
        <w:rPr>
          <w:sz w:val="24"/>
          <w:szCs w:val="24"/>
        </w:rPr>
        <w:t>, although</w:t>
      </w:r>
      <w:r w:rsidR="0010609C">
        <w:rPr>
          <w:sz w:val="24"/>
          <w:szCs w:val="24"/>
        </w:rPr>
        <w:t xml:space="preserve"> l</w:t>
      </w:r>
      <w:r w:rsidR="00952E20">
        <w:rPr>
          <w:sz w:val="24"/>
          <w:szCs w:val="24"/>
        </w:rPr>
        <w:t xml:space="preserve">ittle is known about </w:t>
      </w:r>
      <w:r w:rsidR="0010609C">
        <w:rPr>
          <w:sz w:val="24"/>
          <w:szCs w:val="24"/>
        </w:rPr>
        <w:t xml:space="preserve">how </w:t>
      </w:r>
      <w:r w:rsidRPr="00FF0361">
        <w:rPr>
          <w:sz w:val="24"/>
          <w:szCs w:val="24"/>
        </w:rPr>
        <w:t xml:space="preserve">bleeding rates </w:t>
      </w:r>
      <w:r>
        <w:rPr>
          <w:sz w:val="24"/>
          <w:szCs w:val="24"/>
        </w:rPr>
        <w:t xml:space="preserve">have changed </w:t>
      </w:r>
      <w:r w:rsidRPr="00FF0361">
        <w:rPr>
          <w:sz w:val="24"/>
          <w:szCs w:val="24"/>
        </w:rPr>
        <w:t>over time</w:t>
      </w:r>
      <w:r>
        <w:rPr>
          <w:sz w:val="24"/>
          <w:szCs w:val="24"/>
        </w:rPr>
        <w:t xml:space="preserve"> </w:t>
      </w:r>
      <w:r w:rsidR="004B79CD">
        <w:rPr>
          <w:sz w:val="24"/>
          <w:szCs w:val="24"/>
        </w:rPr>
        <w:t xml:space="preserve">and </w:t>
      </w:r>
      <w:r w:rsidR="00397528">
        <w:rPr>
          <w:sz w:val="24"/>
          <w:szCs w:val="24"/>
        </w:rPr>
        <w:t>what has driven this</w:t>
      </w:r>
      <w:r>
        <w:rPr>
          <w:sz w:val="24"/>
          <w:szCs w:val="24"/>
        </w:rPr>
        <w:t>.</w:t>
      </w:r>
      <w:r w:rsidR="002303AF">
        <w:rPr>
          <w:sz w:val="24"/>
          <w:szCs w:val="24"/>
        </w:rPr>
        <w:t xml:space="preserve"> </w:t>
      </w:r>
      <w:r w:rsidR="0010609C">
        <w:rPr>
          <w:sz w:val="24"/>
          <w:szCs w:val="24"/>
        </w:rPr>
        <w:t xml:space="preserve">We analyzed </w:t>
      </w:r>
      <w:r w:rsidR="0010609C" w:rsidRPr="00FF0361">
        <w:rPr>
          <w:sz w:val="24"/>
          <w:szCs w:val="24"/>
        </w:rPr>
        <w:t>all patients undergoing PCI in England and Wales</w:t>
      </w:r>
      <w:r w:rsidR="00CB459F">
        <w:rPr>
          <w:sz w:val="24"/>
          <w:szCs w:val="24"/>
        </w:rPr>
        <w:t xml:space="preserve"> from </w:t>
      </w:r>
      <w:r w:rsidR="0010609C" w:rsidRPr="00FF0361">
        <w:rPr>
          <w:sz w:val="24"/>
          <w:szCs w:val="24"/>
        </w:rPr>
        <w:t>2006</w:t>
      </w:r>
      <w:r w:rsidR="00CB459F">
        <w:rPr>
          <w:sz w:val="24"/>
          <w:szCs w:val="24"/>
        </w:rPr>
        <w:t xml:space="preserve"> to</w:t>
      </w:r>
      <w:r w:rsidR="0010609C" w:rsidRPr="00FF0361">
        <w:rPr>
          <w:sz w:val="24"/>
          <w:szCs w:val="24"/>
        </w:rPr>
        <w:t xml:space="preserve"> 2013.</w:t>
      </w:r>
      <w:r w:rsidR="005C1F5B">
        <w:rPr>
          <w:sz w:val="24"/>
          <w:szCs w:val="24"/>
        </w:rPr>
        <w:t xml:space="preserve">  </w:t>
      </w:r>
      <w:r w:rsidR="005C1F5B" w:rsidRPr="00A920FC">
        <w:rPr>
          <w:sz w:val="24"/>
          <w:szCs w:val="24"/>
        </w:rPr>
        <w:t>Multivariate analyses using logistic regression model</w:t>
      </w:r>
      <w:r w:rsidR="005C1F5B">
        <w:rPr>
          <w:sz w:val="24"/>
          <w:szCs w:val="24"/>
        </w:rPr>
        <w:t>s</w:t>
      </w:r>
      <w:r w:rsidR="005C1F5B" w:rsidRPr="00A920FC">
        <w:rPr>
          <w:sz w:val="24"/>
          <w:szCs w:val="24"/>
        </w:rPr>
        <w:t xml:space="preserve"> were performed to identify predictors of bleeding in order to identify potential factors influencing bleeding trends over time.</w:t>
      </w:r>
      <w:r w:rsidR="002303AF">
        <w:rPr>
          <w:sz w:val="24"/>
          <w:szCs w:val="24"/>
        </w:rPr>
        <w:t xml:space="preserve"> </w:t>
      </w:r>
      <w:r w:rsidR="00505BB3">
        <w:rPr>
          <w:sz w:val="24"/>
          <w:szCs w:val="24"/>
        </w:rPr>
        <w:t>545,604 participants who had PCI in</w:t>
      </w:r>
      <w:r w:rsidR="00505BB3" w:rsidRPr="00FF0361">
        <w:rPr>
          <w:sz w:val="24"/>
          <w:szCs w:val="24"/>
        </w:rPr>
        <w:t xml:space="preserve"> England and Wales between 2006 and 2013</w:t>
      </w:r>
      <w:r w:rsidR="00505BB3">
        <w:rPr>
          <w:sz w:val="24"/>
          <w:szCs w:val="24"/>
        </w:rPr>
        <w:t xml:space="preserve"> </w:t>
      </w:r>
      <w:r w:rsidR="00505BB3" w:rsidRPr="00FF0361">
        <w:rPr>
          <w:sz w:val="24"/>
          <w:szCs w:val="24"/>
        </w:rPr>
        <w:t>were included in the analyses</w:t>
      </w:r>
      <w:r w:rsidR="00505BB3">
        <w:rPr>
          <w:sz w:val="24"/>
          <w:szCs w:val="24"/>
        </w:rPr>
        <w:t>.</w:t>
      </w:r>
      <w:r w:rsidR="00505BB3" w:rsidRPr="00FF0361">
        <w:rPr>
          <w:sz w:val="24"/>
          <w:szCs w:val="24"/>
        </w:rPr>
        <w:t xml:space="preserve"> </w:t>
      </w:r>
      <w:r w:rsidR="00505BB3">
        <w:rPr>
          <w:sz w:val="24"/>
          <w:szCs w:val="24"/>
        </w:rPr>
        <w:t xml:space="preserve"> O</w:t>
      </w:r>
      <w:r w:rsidR="00505BB3" w:rsidRPr="00FF0361">
        <w:rPr>
          <w:sz w:val="24"/>
          <w:szCs w:val="24"/>
        </w:rPr>
        <w:t>verall bleedi</w:t>
      </w:r>
      <w:r w:rsidR="00A05006">
        <w:rPr>
          <w:sz w:val="24"/>
          <w:szCs w:val="24"/>
        </w:rPr>
        <w:t>ng rates declined from 7.0 (CI:</w:t>
      </w:r>
      <w:r w:rsidR="00505BB3" w:rsidRPr="00FF0361">
        <w:rPr>
          <w:sz w:val="24"/>
          <w:szCs w:val="24"/>
        </w:rPr>
        <w:t>6.2</w:t>
      </w:r>
      <w:r w:rsidR="00D86F0C">
        <w:rPr>
          <w:sz w:val="24"/>
          <w:szCs w:val="24"/>
        </w:rPr>
        <w:t>–</w:t>
      </w:r>
      <w:r w:rsidR="00505BB3" w:rsidRPr="00FF0361">
        <w:rPr>
          <w:sz w:val="24"/>
          <w:szCs w:val="24"/>
        </w:rPr>
        <w:t>7.8) per 1000 procedures in 2006 to 5.5</w:t>
      </w:r>
      <w:r w:rsidR="00A05006">
        <w:rPr>
          <w:sz w:val="24"/>
          <w:szCs w:val="24"/>
        </w:rPr>
        <w:t xml:space="preserve"> (CI:</w:t>
      </w:r>
      <w:r w:rsidR="00505BB3" w:rsidRPr="00FF0361">
        <w:rPr>
          <w:sz w:val="24"/>
          <w:szCs w:val="24"/>
        </w:rPr>
        <w:t>4.7</w:t>
      </w:r>
      <w:r w:rsidR="00D86F0C">
        <w:rPr>
          <w:sz w:val="24"/>
          <w:szCs w:val="24"/>
        </w:rPr>
        <w:t>–</w:t>
      </w:r>
      <w:r w:rsidR="00505BB3" w:rsidRPr="00FF0361">
        <w:rPr>
          <w:sz w:val="24"/>
          <w:szCs w:val="24"/>
        </w:rPr>
        <w:t xml:space="preserve">6.2) per 1000 in 2013. </w:t>
      </w:r>
      <w:r w:rsidR="00CC3C52">
        <w:rPr>
          <w:sz w:val="24"/>
          <w:szCs w:val="24"/>
        </w:rPr>
        <w:t>I</w:t>
      </w:r>
      <w:r w:rsidR="00505BB3" w:rsidRPr="00BD5525">
        <w:rPr>
          <w:sz w:val="24"/>
          <w:szCs w:val="24"/>
        </w:rPr>
        <w:t xml:space="preserve">ncreasing age, female sex, </w:t>
      </w:r>
      <w:proofErr w:type="spellStart"/>
      <w:r w:rsidR="00505BB3" w:rsidRPr="00BD5525">
        <w:rPr>
          <w:sz w:val="24"/>
          <w:szCs w:val="24"/>
        </w:rPr>
        <w:t>GPIIb</w:t>
      </w:r>
      <w:proofErr w:type="spellEnd"/>
      <w:r w:rsidR="00505BB3" w:rsidRPr="00BD5525">
        <w:rPr>
          <w:sz w:val="24"/>
          <w:szCs w:val="24"/>
        </w:rPr>
        <w:t>/</w:t>
      </w:r>
      <w:proofErr w:type="spellStart"/>
      <w:r w:rsidR="00505BB3" w:rsidRPr="00BD5525">
        <w:rPr>
          <w:sz w:val="24"/>
          <w:szCs w:val="24"/>
        </w:rPr>
        <w:t>IIIa</w:t>
      </w:r>
      <w:proofErr w:type="spellEnd"/>
      <w:r w:rsidR="00505BB3" w:rsidRPr="00BD5525">
        <w:rPr>
          <w:sz w:val="24"/>
          <w:szCs w:val="24"/>
        </w:rPr>
        <w:t xml:space="preserve"> inhibitor use and circulatory support was independently associated with increased </w:t>
      </w:r>
      <w:r w:rsidR="00505BB3">
        <w:rPr>
          <w:sz w:val="24"/>
          <w:szCs w:val="24"/>
        </w:rPr>
        <w:t xml:space="preserve">risk of </w:t>
      </w:r>
      <w:r w:rsidR="00505BB3" w:rsidRPr="00BD5525">
        <w:rPr>
          <w:sz w:val="24"/>
          <w:szCs w:val="24"/>
        </w:rPr>
        <w:t xml:space="preserve">bleeding </w:t>
      </w:r>
      <w:r w:rsidR="00505BB3">
        <w:rPr>
          <w:sz w:val="24"/>
          <w:szCs w:val="24"/>
        </w:rPr>
        <w:t>complications</w:t>
      </w:r>
      <w:r w:rsidR="00505BB3" w:rsidRPr="00BD5525">
        <w:rPr>
          <w:sz w:val="24"/>
          <w:szCs w:val="24"/>
        </w:rPr>
        <w:t xml:space="preserve"> whilst radial access and </w:t>
      </w:r>
      <w:r w:rsidR="00DC5F85">
        <w:rPr>
          <w:sz w:val="24"/>
          <w:szCs w:val="24"/>
        </w:rPr>
        <w:t>vascular closure device</w:t>
      </w:r>
      <w:r w:rsidR="00505BB3" w:rsidRPr="00BD5525">
        <w:rPr>
          <w:sz w:val="24"/>
          <w:szCs w:val="24"/>
        </w:rPr>
        <w:t xml:space="preserve"> use were independently associated with decreases in risk.</w:t>
      </w:r>
      <w:r w:rsidR="00505BB3">
        <w:rPr>
          <w:sz w:val="24"/>
          <w:szCs w:val="24"/>
        </w:rPr>
        <w:t xml:space="preserve">  </w:t>
      </w:r>
      <w:r w:rsidR="007F1BCB">
        <w:rPr>
          <w:sz w:val="24"/>
          <w:szCs w:val="24"/>
        </w:rPr>
        <w:t>D</w:t>
      </w:r>
      <w:r w:rsidR="00505BB3" w:rsidRPr="00BD5525">
        <w:rPr>
          <w:sz w:val="24"/>
          <w:szCs w:val="24"/>
        </w:rPr>
        <w:t>ecrease</w:t>
      </w:r>
      <w:r w:rsidR="007962C3">
        <w:rPr>
          <w:sz w:val="24"/>
          <w:szCs w:val="24"/>
        </w:rPr>
        <w:t>s</w:t>
      </w:r>
      <w:r w:rsidR="007F1BCB">
        <w:rPr>
          <w:sz w:val="24"/>
          <w:szCs w:val="24"/>
        </w:rPr>
        <w:t xml:space="preserve"> in bleeding rates over time were</w:t>
      </w:r>
      <w:r w:rsidR="00505BB3" w:rsidRPr="00BD5525">
        <w:rPr>
          <w:sz w:val="24"/>
          <w:szCs w:val="24"/>
        </w:rPr>
        <w:t xml:space="preserve"> associated with radial access site, and changes in pharmacology, </w:t>
      </w:r>
      <w:r w:rsidR="007F1BCB">
        <w:rPr>
          <w:sz w:val="24"/>
          <w:szCs w:val="24"/>
        </w:rPr>
        <w:t>but</w:t>
      </w:r>
      <w:r w:rsidR="00505BB3" w:rsidRPr="00BD5525">
        <w:rPr>
          <w:sz w:val="24"/>
          <w:szCs w:val="24"/>
        </w:rPr>
        <w:t xml:space="preserve"> this was offset by </w:t>
      </w:r>
      <w:r w:rsidR="007F1BCB">
        <w:rPr>
          <w:sz w:val="24"/>
          <w:szCs w:val="24"/>
        </w:rPr>
        <w:t xml:space="preserve">greater proportion of </w:t>
      </w:r>
      <w:r w:rsidR="00505BB3" w:rsidRPr="00BD5525">
        <w:rPr>
          <w:sz w:val="24"/>
          <w:szCs w:val="24"/>
        </w:rPr>
        <w:t xml:space="preserve">ACS </w:t>
      </w:r>
      <w:r w:rsidR="00505BB3">
        <w:rPr>
          <w:sz w:val="24"/>
          <w:szCs w:val="24"/>
        </w:rPr>
        <w:t>cases</w:t>
      </w:r>
      <w:r w:rsidR="00505BB3" w:rsidRPr="00BD5525">
        <w:rPr>
          <w:sz w:val="24"/>
          <w:szCs w:val="24"/>
        </w:rPr>
        <w:t xml:space="preserve"> and more </w:t>
      </w:r>
      <w:r w:rsidR="00505BB3">
        <w:rPr>
          <w:sz w:val="24"/>
          <w:szCs w:val="24"/>
        </w:rPr>
        <w:t xml:space="preserve">the </w:t>
      </w:r>
      <w:r w:rsidR="00505BB3" w:rsidRPr="00BD5525">
        <w:rPr>
          <w:sz w:val="24"/>
          <w:szCs w:val="24"/>
        </w:rPr>
        <w:t xml:space="preserve">adverse </w:t>
      </w:r>
      <w:r w:rsidR="00A05006">
        <w:rPr>
          <w:sz w:val="24"/>
          <w:szCs w:val="24"/>
        </w:rPr>
        <w:t xml:space="preserve">patient </w:t>
      </w:r>
      <w:r w:rsidR="00505BB3" w:rsidRPr="00BD5525">
        <w:rPr>
          <w:sz w:val="24"/>
          <w:szCs w:val="24"/>
        </w:rPr>
        <w:t>clinical demographics.</w:t>
      </w:r>
      <w:r w:rsidR="002303AF">
        <w:rPr>
          <w:sz w:val="24"/>
          <w:szCs w:val="24"/>
        </w:rPr>
        <w:t xml:space="preserve"> </w:t>
      </w:r>
      <w:r w:rsidR="004B79CD">
        <w:rPr>
          <w:sz w:val="24"/>
          <w:szCs w:val="24"/>
        </w:rPr>
        <w:t xml:space="preserve">In conclusion, </w:t>
      </w:r>
      <w:r w:rsidR="00D86F0C">
        <w:rPr>
          <w:sz w:val="24"/>
          <w:szCs w:val="24"/>
        </w:rPr>
        <w:t>M</w:t>
      </w:r>
      <w:r w:rsidR="002309EF">
        <w:rPr>
          <w:sz w:val="24"/>
          <w:szCs w:val="24"/>
        </w:rPr>
        <w:t xml:space="preserve">ajor bleeding complications after PCI </w:t>
      </w:r>
      <w:r w:rsidR="00D86F0C">
        <w:rPr>
          <w:sz w:val="24"/>
          <w:szCs w:val="24"/>
        </w:rPr>
        <w:t>has declined due to</w:t>
      </w:r>
      <w:r w:rsidR="002309EF" w:rsidRPr="00FF0361">
        <w:rPr>
          <w:sz w:val="24"/>
          <w:szCs w:val="24"/>
        </w:rPr>
        <w:t xml:space="preserve"> changes in access site practice and decreased usage of </w:t>
      </w:r>
      <w:proofErr w:type="spellStart"/>
      <w:r w:rsidR="00E47430" w:rsidRPr="00BD5525">
        <w:rPr>
          <w:sz w:val="24"/>
          <w:szCs w:val="24"/>
        </w:rPr>
        <w:t>GPIIb</w:t>
      </w:r>
      <w:proofErr w:type="spellEnd"/>
      <w:r w:rsidR="00E47430" w:rsidRPr="00BD5525">
        <w:rPr>
          <w:sz w:val="24"/>
          <w:szCs w:val="24"/>
        </w:rPr>
        <w:t>/</w:t>
      </w:r>
      <w:proofErr w:type="spellStart"/>
      <w:r w:rsidR="00E47430" w:rsidRPr="00BD5525">
        <w:rPr>
          <w:sz w:val="24"/>
          <w:szCs w:val="24"/>
        </w:rPr>
        <w:t>IIIa</w:t>
      </w:r>
      <w:proofErr w:type="spellEnd"/>
      <w:r w:rsidR="00E47430" w:rsidRPr="00BD5525">
        <w:rPr>
          <w:sz w:val="24"/>
          <w:szCs w:val="24"/>
        </w:rPr>
        <w:t xml:space="preserve"> inhibitor</w:t>
      </w:r>
      <w:r w:rsidR="00441B97">
        <w:rPr>
          <w:sz w:val="24"/>
          <w:szCs w:val="24"/>
        </w:rPr>
        <w:t>s</w:t>
      </w:r>
      <w:r w:rsidR="002309EF">
        <w:rPr>
          <w:sz w:val="24"/>
          <w:szCs w:val="24"/>
        </w:rPr>
        <w:t xml:space="preserve">, but this is offset by the increase </w:t>
      </w:r>
      <w:r w:rsidR="00E47430">
        <w:rPr>
          <w:sz w:val="24"/>
          <w:szCs w:val="24"/>
        </w:rPr>
        <w:t xml:space="preserve">of patients with higher propensity to </w:t>
      </w:r>
      <w:r w:rsidR="002B08D0">
        <w:rPr>
          <w:sz w:val="24"/>
          <w:szCs w:val="24"/>
        </w:rPr>
        <w:t>bleed</w:t>
      </w:r>
      <w:r w:rsidR="002309EF" w:rsidRPr="00FF0361">
        <w:rPr>
          <w:sz w:val="24"/>
          <w:szCs w:val="24"/>
        </w:rPr>
        <w:t xml:space="preserve">. </w:t>
      </w:r>
      <w:r w:rsidR="007962C3">
        <w:rPr>
          <w:sz w:val="24"/>
          <w:szCs w:val="24"/>
        </w:rPr>
        <w:t>Changes in access site practice nationally have</w:t>
      </w:r>
      <w:r w:rsidR="002309EF">
        <w:rPr>
          <w:sz w:val="24"/>
          <w:szCs w:val="24"/>
        </w:rPr>
        <w:t xml:space="preserve"> the potential to significantly </w:t>
      </w:r>
      <w:r w:rsidR="007962C3">
        <w:rPr>
          <w:sz w:val="24"/>
          <w:szCs w:val="24"/>
        </w:rPr>
        <w:t>reduce major</w:t>
      </w:r>
      <w:r w:rsidR="002309EF">
        <w:rPr>
          <w:sz w:val="24"/>
          <w:szCs w:val="24"/>
        </w:rPr>
        <w:t xml:space="preserve"> bleeding following PCI.</w:t>
      </w:r>
    </w:p>
    <w:p w14:paraId="6FCBD65E" w14:textId="2BEB0206" w:rsidR="002069FD" w:rsidRDefault="00107E3D" w:rsidP="00772C56">
      <w:pPr>
        <w:spacing w:after="0" w:line="480" w:lineRule="auto"/>
        <w:rPr>
          <w:b/>
          <w:sz w:val="24"/>
          <w:szCs w:val="24"/>
        </w:rPr>
      </w:pPr>
      <w:r w:rsidRPr="00107E3D">
        <w:rPr>
          <w:b/>
          <w:sz w:val="24"/>
          <w:szCs w:val="24"/>
        </w:rPr>
        <w:t>Keywords:</w:t>
      </w:r>
      <w:r>
        <w:rPr>
          <w:b/>
          <w:sz w:val="24"/>
          <w:szCs w:val="24"/>
        </w:rPr>
        <w:t xml:space="preserve"> </w:t>
      </w:r>
      <w:r>
        <w:rPr>
          <w:sz w:val="24"/>
          <w:szCs w:val="24"/>
        </w:rPr>
        <w:t>percutaneous coronary intervention, bleeding</w:t>
      </w:r>
      <w:r w:rsidR="00D051D3">
        <w:rPr>
          <w:sz w:val="24"/>
          <w:szCs w:val="24"/>
        </w:rPr>
        <w:t>, trends</w:t>
      </w:r>
    </w:p>
    <w:p w14:paraId="67D3C419" w14:textId="77777777" w:rsidR="00530C48" w:rsidRDefault="00530C48" w:rsidP="00772C56">
      <w:pPr>
        <w:spacing w:after="0" w:line="480" w:lineRule="auto"/>
        <w:rPr>
          <w:b/>
          <w:sz w:val="24"/>
          <w:szCs w:val="24"/>
        </w:rPr>
      </w:pPr>
    </w:p>
    <w:p w14:paraId="4BBD0127" w14:textId="77777777" w:rsidR="00530C48" w:rsidRDefault="00530C48" w:rsidP="00772C56">
      <w:pPr>
        <w:spacing w:after="0" w:line="480" w:lineRule="auto"/>
        <w:rPr>
          <w:b/>
          <w:sz w:val="24"/>
          <w:szCs w:val="24"/>
        </w:rPr>
      </w:pPr>
    </w:p>
    <w:p w14:paraId="1E19DE69" w14:textId="77777777" w:rsidR="00530C48" w:rsidRDefault="00530C48" w:rsidP="00772C56">
      <w:pPr>
        <w:spacing w:after="0" w:line="480" w:lineRule="auto"/>
        <w:rPr>
          <w:b/>
          <w:sz w:val="24"/>
          <w:szCs w:val="24"/>
        </w:rPr>
      </w:pPr>
    </w:p>
    <w:p w14:paraId="741E496F" w14:textId="389A9A2F" w:rsidR="006635A0" w:rsidRPr="00FF0361" w:rsidRDefault="006635A0" w:rsidP="00772C56">
      <w:pPr>
        <w:spacing w:after="0" w:line="480" w:lineRule="auto"/>
        <w:rPr>
          <w:b/>
          <w:sz w:val="24"/>
          <w:szCs w:val="24"/>
        </w:rPr>
      </w:pPr>
      <w:r w:rsidRPr="00FF0361">
        <w:rPr>
          <w:b/>
          <w:sz w:val="24"/>
          <w:szCs w:val="24"/>
        </w:rPr>
        <w:lastRenderedPageBreak/>
        <w:t>Introduction</w:t>
      </w:r>
    </w:p>
    <w:p w14:paraId="4022B709" w14:textId="0C7A250E" w:rsidR="004B79CD" w:rsidRPr="00FF0361" w:rsidRDefault="006635A0" w:rsidP="002069FD">
      <w:pPr>
        <w:spacing w:before="0" w:after="0" w:line="480" w:lineRule="auto"/>
        <w:rPr>
          <w:sz w:val="24"/>
          <w:szCs w:val="24"/>
        </w:rPr>
      </w:pPr>
      <w:r w:rsidRPr="00FF0361">
        <w:rPr>
          <w:sz w:val="24"/>
          <w:szCs w:val="24"/>
        </w:rPr>
        <w:tab/>
        <w:t>Major bleeding is one of the most common complications following percutaneous coronary intervention (PCI)</w:t>
      </w:r>
      <w:r w:rsidR="00CC1157">
        <w:rPr>
          <w:sz w:val="24"/>
          <w:szCs w:val="24"/>
        </w:rPr>
        <w:t xml:space="preserve">, </w:t>
      </w:r>
      <w:r w:rsidRPr="00FF0361">
        <w:rPr>
          <w:sz w:val="24"/>
          <w:szCs w:val="24"/>
        </w:rPr>
        <w:t>independently associated with a 3-fold increase in mortality</w:t>
      </w:r>
      <w:r w:rsidR="00CC1157">
        <w:rPr>
          <w:sz w:val="24"/>
          <w:szCs w:val="24"/>
        </w:rPr>
        <w:t xml:space="preserve"> </w:t>
      </w:r>
      <w:r w:rsidR="00EB11AC">
        <w:rPr>
          <w:sz w:val="24"/>
          <w:szCs w:val="24"/>
        </w:rPr>
        <w:fldChar w:fldCharType="begin"/>
      </w:r>
      <w:r w:rsidR="00607FC5">
        <w:rPr>
          <w:sz w:val="24"/>
          <w:szCs w:val="24"/>
        </w:rPr>
        <w:instrText>ADDIN RW.CITE{{174 Kwok,C.S. 2014}}</w:instrText>
      </w:r>
      <w:r w:rsidR="00EB11AC">
        <w:rPr>
          <w:sz w:val="24"/>
          <w:szCs w:val="24"/>
        </w:rPr>
        <w:fldChar w:fldCharType="separate"/>
      </w:r>
      <w:r w:rsidR="00607FC5" w:rsidRPr="00607FC5">
        <w:rPr>
          <w:sz w:val="24"/>
          <w:szCs w:val="24"/>
          <w:vertAlign w:val="superscript"/>
        </w:rPr>
        <w:t>1</w:t>
      </w:r>
      <w:r w:rsidR="00EB11AC">
        <w:rPr>
          <w:sz w:val="24"/>
          <w:szCs w:val="24"/>
        </w:rPr>
        <w:fldChar w:fldCharType="end"/>
      </w:r>
      <w:r w:rsidR="00CC1157">
        <w:rPr>
          <w:sz w:val="24"/>
          <w:szCs w:val="24"/>
        </w:rPr>
        <w:t xml:space="preserve">and </w:t>
      </w:r>
      <w:r w:rsidR="000F050D">
        <w:rPr>
          <w:sz w:val="24"/>
          <w:szCs w:val="24"/>
        </w:rPr>
        <w:t>contribut</w:t>
      </w:r>
      <w:r w:rsidR="001F1464">
        <w:rPr>
          <w:sz w:val="24"/>
          <w:szCs w:val="24"/>
        </w:rPr>
        <w:t>ing</w:t>
      </w:r>
      <w:r w:rsidR="000F050D" w:rsidRPr="00FF0361">
        <w:rPr>
          <w:sz w:val="24"/>
          <w:szCs w:val="24"/>
        </w:rPr>
        <w:t xml:space="preserve"> </w:t>
      </w:r>
      <w:r w:rsidRPr="00FF0361">
        <w:rPr>
          <w:sz w:val="24"/>
          <w:szCs w:val="24"/>
        </w:rPr>
        <w:t xml:space="preserve">to </w:t>
      </w:r>
      <w:r w:rsidR="00CC1157">
        <w:rPr>
          <w:sz w:val="24"/>
          <w:szCs w:val="24"/>
        </w:rPr>
        <w:t>12%</w:t>
      </w:r>
      <w:r w:rsidR="000F050D">
        <w:rPr>
          <w:sz w:val="24"/>
          <w:szCs w:val="24"/>
        </w:rPr>
        <w:t xml:space="preserve"> </w:t>
      </w:r>
      <w:r w:rsidRPr="00FF0361">
        <w:rPr>
          <w:sz w:val="24"/>
          <w:szCs w:val="24"/>
        </w:rPr>
        <w:t xml:space="preserve">of all in-hospital </w:t>
      </w:r>
      <w:r w:rsidR="007D2685" w:rsidRPr="00FF0361">
        <w:rPr>
          <w:sz w:val="24"/>
          <w:szCs w:val="24"/>
        </w:rPr>
        <w:t xml:space="preserve">PCI </w:t>
      </w:r>
      <w:r w:rsidRPr="00FF0361">
        <w:rPr>
          <w:sz w:val="24"/>
          <w:szCs w:val="24"/>
        </w:rPr>
        <w:t xml:space="preserve">mortalities </w:t>
      </w:r>
      <w:r w:rsidR="00471942">
        <w:rPr>
          <w:sz w:val="24"/>
          <w:szCs w:val="24"/>
        </w:rPr>
        <w:fldChar w:fldCharType="begin"/>
      </w:r>
      <w:r w:rsidR="00607FC5">
        <w:rPr>
          <w:sz w:val="24"/>
          <w:szCs w:val="24"/>
        </w:rPr>
        <w:instrText>ADDIN RW.CITE{{328 Chhatriwalla, Adnan K 2013}}</w:instrText>
      </w:r>
      <w:r w:rsidR="00471942">
        <w:rPr>
          <w:sz w:val="24"/>
          <w:szCs w:val="24"/>
        </w:rPr>
        <w:fldChar w:fldCharType="separate"/>
      </w:r>
      <w:r w:rsidR="00607FC5" w:rsidRPr="00607FC5">
        <w:rPr>
          <w:rFonts w:eastAsia="Times New Roman"/>
          <w:sz w:val="24"/>
          <w:vertAlign w:val="superscript"/>
        </w:rPr>
        <w:t>2</w:t>
      </w:r>
      <w:r w:rsidR="00471942">
        <w:rPr>
          <w:sz w:val="24"/>
          <w:szCs w:val="24"/>
        </w:rPr>
        <w:fldChar w:fldCharType="end"/>
      </w:r>
      <w:r w:rsidR="0056578A">
        <w:rPr>
          <w:sz w:val="24"/>
          <w:szCs w:val="24"/>
        </w:rPr>
        <w:t>.</w:t>
      </w:r>
      <w:r w:rsidRPr="00FF0361">
        <w:rPr>
          <w:sz w:val="24"/>
          <w:szCs w:val="24"/>
        </w:rPr>
        <w:t xml:space="preserve"> </w:t>
      </w:r>
      <w:r w:rsidR="00257238">
        <w:rPr>
          <w:sz w:val="24"/>
          <w:szCs w:val="24"/>
        </w:rPr>
        <w:t>T</w:t>
      </w:r>
      <w:r w:rsidRPr="00FF0361">
        <w:rPr>
          <w:sz w:val="24"/>
          <w:szCs w:val="24"/>
        </w:rPr>
        <w:t>he average ag</w:t>
      </w:r>
      <w:r w:rsidR="003640A4">
        <w:rPr>
          <w:sz w:val="24"/>
          <w:szCs w:val="24"/>
        </w:rPr>
        <w:t>e</w:t>
      </w:r>
      <w:r w:rsidRPr="00FF0361">
        <w:rPr>
          <w:sz w:val="24"/>
          <w:szCs w:val="24"/>
        </w:rPr>
        <w:t xml:space="preserve"> and comorbid burden</w:t>
      </w:r>
      <w:r w:rsidR="003B3FFC">
        <w:rPr>
          <w:sz w:val="24"/>
          <w:szCs w:val="24"/>
        </w:rPr>
        <w:t xml:space="preserve"> </w:t>
      </w:r>
      <w:r w:rsidRPr="00FF0361">
        <w:rPr>
          <w:sz w:val="24"/>
          <w:szCs w:val="24"/>
        </w:rPr>
        <w:t xml:space="preserve">of patients undergoing PCI has increased over time </w:t>
      </w:r>
      <w:r w:rsidR="002069FD">
        <w:rPr>
          <w:sz w:val="24"/>
          <w:szCs w:val="24"/>
        </w:rPr>
        <w:t>with</w:t>
      </w:r>
      <w:r w:rsidRPr="00FF0361">
        <w:rPr>
          <w:sz w:val="24"/>
          <w:szCs w:val="24"/>
        </w:rPr>
        <w:t xml:space="preserve"> more potent pharmacotherapy </w:t>
      </w:r>
      <w:r w:rsidR="001F1464">
        <w:rPr>
          <w:sz w:val="24"/>
          <w:szCs w:val="24"/>
        </w:rPr>
        <w:t xml:space="preserve">and </w:t>
      </w:r>
      <w:r w:rsidR="00257238">
        <w:rPr>
          <w:sz w:val="24"/>
          <w:szCs w:val="24"/>
        </w:rPr>
        <w:t>wors</w:t>
      </w:r>
      <w:r w:rsidR="002069FD">
        <w:rPr>
          <w:sz w:val="24"/>
          <w:szCs w:val="24"/>
        </w:rPr>
        <w:t>ening</w:t>
      </w:r>
      <w:r w:rsidRPr="00FF0361">
        <w:rPr>
          <w:sz w:val="24"/>
          <w:szCs w:val="24"/>
        </w:rPr>
        <w:t xml:space="preserve"> </w:t>
      </w:r>
      <w:r w:rsidR="002069FD">
        <w:rPr>
          <w:sz w:val="24"/>
          <w:szCs w:val="24"/>
        </w:rPr>
        <w:t xml:space="preserve">patient </w:t>
      </w:r>
      <w:r w:rsidRPr="00FF0361">
        <w:rPr>
          <w:sz w:val="24"/>
          <w:szCs w:val="24"/>
        </w:rPr>
        <w:t>clinical risk profile</w:t>
      </w:r>
      <w:r w:rsidR="001F1464">
        <w:rPr>
          <w:sz w:val="24"/>
          <w:szCs w:val="24"/>
        </w:rPr>
        <w:t>s</w:t>
      </w:r>
      <w:r w:rsidRPr="00FF0361">
        <w:rPr>
          <w:sz w:val="24"/>
          <w:szCs w:val="24"/>
        </w:rPr>
        <w:t xml:space="preserve"> </w:t>
      </w:r>
      <w:r w:rsidR="00BB5CA1">
        <w:rPr>
          <w:sz w:val="24"/>
          <w:szCs w:val="24"/>
        </w:rPr>
        <w:t>that would</w:t>
      </w:r>
      <w:r w:rsidRPr="00FF0361">
        <w:rPr>
          <w:sz w:val="24"/>
          <w:szCs w:val="24"/>
        </w:rPr>
        <w:t xml:space="preserve"> tend to i</w:t>
      </w:r>
      <w:r w:rsidR="003640A4">
        <w:rPr>
          <w:sz w:val="24"/>
          <w:szCs w:val="24"/>
        </w:rPr>
        <w:t>ncrease incident major bleeding</w:t>
      </w:r>
      <w:r w:rsidR="00EB11AC">
        <w:rPr>
          <w:sz w:val="24"/>
          <w:szCs w:val="24"/>
        </w:rPr>
        <w:fldChar w:fldCharType="begin"/>
      </w:r>
      <w:r w:rsidR="00607FC5">
        <w:rPr>
          <w:sz w:val="24"/>
          <w:szCs w:val="24"/>
        </w:rPr>
        <w:instrText>ADDIN RW.CITE{{512 Rashid,M. 2017; 329 Bangalore,S. 2014; 330 Velders,MatthijsA 2014}}</w:instrText>
      </w:r>
      <w:r w:rsidR="00EB11AC">
        <w:rPr>
          <w:sz w:val="24"/>
          <w:szCs w:val="24"/>
        </w:rPr>
        <w:fldChar w:fldCharType="separate"/>
      </w:r>
      <w:r w:rsidR="00607FC5" w:rsidRPr="00607FC5">
        <w:rPr>
          <w:sz w:val="24"/>
          <w:szCs w:val="24"/>
          <w:vertAlign w:val="superscript"/>
        </w:rPr>
        <w:t>3-5</w:t>
      </w:r>
      <w:r w:rsidR="00EB11AC">
        <w:rPr>
          <w:sz w:val="24"/>
          <w:szCs w:val="24"/>
        </w:rPr>
        <w:fldChar w:fldCharType="end"/>
      </w:r>
      <w:r w:rsidR="003640A4">
        <w:rPr>
          <w:sz w:val="24"/>
          <w:szCs w:val="24"/>
        </w:rPr>
        <w:t>,</w:t>
      </w:r>
      <w:r w:rsidRPr="00FF0361">
        <w:rPr>
          <w:sz w:val="24"/>
          <w:szCs w:val="24"/>
        </w:rPr>
        <w:t xml:space="preserve"> </w:t>
      </w:r>
      <w:r w:rsidR="001F1464">
        <w:rPr>
          <w:sz w:val="24"/>
          <w:szCs w:val="24"/>
        </w:rPr>
        <w:t xml:space="preserve">whilst </w:t>
      </w:r>
      <w:r w:rsidRPr="00FF0361">
        <w:rPr>
          <w:sz w:val="24"/>
          <w:szCs w:val="24"/>
        </w:rPr>
        <w:t xml:space="preserve">changes in access site practice </w:t>
      </w:r>
      <w:r w:rsidR="001F1464">
        <w:rPr>
          <w:sz w:val="24"/>
          <w:szCs w:val="24"/>
        </w:rPr>
        <w:t>towards radial would</w:t>
      </w:r>
      <w:r w:rsidR="001F1464" w:rsidRPr="00FF0361">
        <w:rPr>
          <w:sz w:val="24"/>
          <w:szCs w:val="24"/>
        </w:rPr>
        <w:t xml:space="preserve"> </w:t>
      </w:r>
      <w:r w:rsidR="003640A4">
        <w:rPr>
          <w:sz w:val="24"/>
          <w:szCs w:val="24"/>
        </w:rPr>
        <w:t>reduc</w:t>
      </w:r>
      <w:r w:rsidR="00BB5CA1">
        <w:rPr>
          <w:sz w:val="24"/>
          <w:szCs w:val="24"/>
        </w:rPr>
        <w:t>e</w:t>
      </w:r>
      <w:r w:rsidR="003640A4">
        <w:rPr>
          <w:sz w:val="24"/>
          <w:szCs w:val="24"/>
        </w:rPr>
        <w:t xml:space="preserve"> major bleeding</w:t>
      </w:r>
      <w:r w:rsidR="009004D9">
        <w:rPr>
          <w:sz w:val="24"/>
          <w:szCs w:val="24"/>
        </w:rPr>
        <w:fldChar w:fldCharType="begin"/>
      </w:r>
      <w:r w:rsidR="00607FC5">
        <w:rPr>
          <w:sz w:val="24"/>
          <w:szCs w:val="24"/>
        </w:rPr>
        <w:instrText>ADDIN RW.CITE{{61 Ratib,K. 2015; 209 Mamas,M.A. 2016; 582 Rashid,M. 2017}}</w:instrText>
      </w:r>
      <w:r w:rsidR="009004D9">
        <w:rPr>
          <w:sz w:val="24"/>
          <w:szCs w:val="24"/>
        </w:rPr>
        <w:fldChar w:fldCharType="separate"/>
      </w:r>
      <w:r w:rsidR="00607FC5" w:rsidRPr="00607FC5">
        <w:rPr>
          <w:sz w:val="24"/>
          <w:szCs w:val="24"/>
          <w:vertAlign w:val="superscript"/>
        </w:rPr>
        <w:t>6-8</w:t>
      </w:r>
      <w:r w:rsidR="009004D9">
        <w:rPr>
          <w:sz w:val="24"/>
          <w:szCs w:val="24"/>
        </w:rPr>
        <w:fldChar w:fldCharType="end"/>
      </w:r>
      <w:r w:rsidR="003640A4">
        <w:rPr>
          <w:sz w:val="24"/>
          <w:szCs w:val="24"/>
        </w:rPr>
        <w:t>.</w:t>
      </w:r>
      <w:r w:rsidRPr="00FF0361">
        <w:rPr>
          <w:sz w:val="24"/>
          <w:szCs w:val="24"/>
        </w:rPr>
        <w:t xml:space="preserve"> </w:t>
      </w:r>
      <w:r w:rsidR="00257238">
        <w:rPr>
          <w:sz w:val="24"/>
          <w:szCs w:val="24"/>
        </w:rPr>
        <w:t>Temporal c</w:t>
      </w:r>
      <w:r w:rsidRPr="00FF0361">
        <w:rPr>
          <w:sz w:val="24"/>
          <w:szCs w:val="24"/>
        </w:rPr>
        <w:t xml:space="preserve">hanges in major bleeding </w:t>
      </w:r>
      <w:r w:rsidR="00257238">
        <w:rPr>
          <w:sz w:val="24"/>
          <w:szCs w:val="24"/>
        </w:rPr>
        <w:t xml:space="preserve">therefore </w:t>
      </w:r>
      <w:r w:rsidRPr="00FF0361">
        <w:rPr>
          <w:sz w:val="24"/>
          <w:szCs w:val="24"/>
        </w:rPr>
        <w:t>represent</w:t>
      </w:r>
      <w:r w:rsidR="007D2685">
        <w:rPr>
          <w:sz w:val="24"/>
          <w:szCs w:val="24"/>
        </w:rPr>
        <w:t>s</w:t>
      </w:r>
      <w:r w:rsidRPr="00FF0361">
        <w:rPr>
          <w:sz w:val="24"/>
          <w:szCs w:val="24"/>
        </w:rPr>
        <w:t xml:space="preserve"> a complex dynamic between changes in </w:t>
      </w:r>
      <w:r w:rsidR="007D2685">
        <w:rPr>
          <w:sz w:val="24"/>
          <w:szCs w:val="24"/>
        </w:rPr>
        <w:t>these competing risks</w:t>
      </w:r>
      <w:r w:rsidRPr="00FF0361">
        <w:rPr>
          <w:sz w:val="24"/>
          <w:szCs w:val="24"/>
        </w:rPr>
        <w:t>. Access site related bleeding complications account for half of all bleeding complications observed post PCI</w:t>
      </w:r>
      <w:r w:rsidR="009004D9">
        <w:rPr>
          <w:sz w:val="24"/>
          <w:szCs w:val="24"/>
        </w:rPr>
        <w:fldChar w:fldCharType="begin"/>
      </w:r>
      <w:r w:rsidR="00607FC5">
        <w:rPr>
          <w:sz w:val="24"/>
          <w:szCs w:val="24"/>
        </w:rPr>
        <w:instrText>ADDIN RW.CITE{{173 Kwok,C.S. 2015}}</w:instrText>
      </w:r>
      <w:r w:rsidR="009004D9">
        <w:rPr>
          <w:sz w:val="24"/>
          <w:szCs w:val="24"/>
        </w:rPr>
        <w:fldChar w:fldCharType="separate"/>
      </w:r>
      <w:r w:rsidR="00607FC5" w:rsidRPr="00607FC5">
        <w:rPr>
          <w:sz w:val="24"/>
          <w:szCs w:val="24"/>
          <w:vertAlign w:val="superscript"/>
        </w:rPr>
        <w:t>9</w:t>
      </w:r>
      <w:r w:rsidR="009004D9">
        <w:rPr>
          <w:sz w:val="24"/>
          <w:szCs w:val="24"/>
        </w:rPr>
        <w:fldChar w:fldCharType="end"/>
      </w:r>
      <w:r w:rsidR="00287A20">
        <w:rPr>
          <w:sz w:val="24"/>
          <w:szCs w:val="24"/>
        </w:rPr>
        <w:t>.</w:t>
      </w:r>
      <w:r w:rsidRPr="00FF0361">
        <w:rPr>
          <w:sz w:val="24"/>
          <w:szCs w:val="24"/>
        </w:rPr>
        <w:t xml:space="preserve"> </w:t>
      </w:r>
      <w:r w:rsidR="00A431CB">
        <w:rPr>
          <w:sz w:val="24"/>
          <w:szCs w:val="24"/>
        </w:rPr>
        <w:t xml:space="preserve">In the United Kingdom </w:t>
      </w:r>
      <w:r w:rsidR="00CC1157">
        <w:rPr>
          <w:sz w:val="24"/>
          <w:szCs w:val="24"/>
        </w:rPr>
        <w:t xml:space="preserve">(UK) </w:t>
      </w:r>
      <w:r w:rsidR="00A431CB">
        <w:rPr>
          <w:sz w:val="24"/>
          <w:szCs w:val="24"/>
        </w:rPr>
        <w:t xml:space="preserve">there has been a national change in access site practice towards radial with 80% of all PCI procedures undertaken </w:t>
      </w:r>
      <w:r w:rsidR="00CC1157">
        <w:rPr>
          <w:sz w:val="24"/>
          <w:szCs w:val="24"/>
        </w:rPr>
        <w:t>radially</w:t>
      </w:r>
      <w:r w:rsidR="009004D9">
        <w:rPr>
          <w:sz w:val="24"/>
          <w:szCs w:val="24"/>
        </w:rPr>
        <w:fldChar w:fldCharType="begin"/>
      </w:r>
      <w:r w:rsidR="00607FC5">
        <w:rPr>
          <w:sz w:val="24"/>
          <w:szCs w:val="24"/>
        </w:rPr>
        <w:instrText>ADDIN RW.CITE{{184 Ludman,P.F. 2011; 209 Mamas,M.A. 2016}}</w:instrText>
      </w:r>
      <w:r w:rsidR="009004D9">
        <w:rPr>
          <w:sz w:val="24"/>
          <w:szCs w:val="24"/>
        </w:rPr>
        <w:fldChar w:fldCharType="separate"/>
      </w:r>
      <w:r w:rsidR="00607FC5" w:rsidRPr="00607FC5">
        <w:rPr>
          <w:sz w:val="24"/>
          <w:szCs w:val="24"/>
          <w:vertAlign w:val="superscript"/>
        </w:rPr>
        <w:t>7,10</w:t>
      </w:r>
      <w:r w:rsidR="009004D9">
        <w:rPr>
          <w:sz w:val="24"/>
          <w:szCs w:val="24"/>
        </w:rPr>
        <w:fldChar w:fldCharType="end"/>
      </w:r>
      <w:r w:rsidR="00A431CB">
        <w:rPr>
          <w:sz w:val="24"/>
          <w:szCs w:val="24"/>
        </w:rPr>
        <w:t xml:space="preserve">. </w:t>
      </w:r>
      <w:r w:rsidRPr="00FF0361">
        <w:rPr>
          <w:sz w:val="24"/>
          <w:szCs w:val="24"/>
        </w:rPr>
        <w:t xml:space="preserve">We </w:t>
      </w:r>
      <w:r w:rsidR="00CC1157">
        <w:rPr>
          <w:sz w:val="24"/>
          <w:szCs w:val="24"/>
        </w:rPr>
        <w:t>report</w:t>
      </w:r>
      <w:r w:rsidRPr="00FF0361">
        <w:rPr>
          <w:sz w:val="24"/>
          <w:szCs w:val="24"/>
        </w:rPr>
        <w:t xml:space="preserve"> changes in </w:t>
      </w:r>
      <w:r w:rsidR="00CC1157">
        <w:rPr>
          <w:sz w:val="24"/>
          <w:szCs w:val="24"/>
        </w:rPr>
        <w:t xml:space="preserve">temporal </w:t>
      </w:r>
      <w:r w:rsidRPr="00FF0361">
        <w:rPr>
          <w:sz w:val="24"/>
          <w:szCs w:val="24"/>
        </w:rPr>
        <w:t xml:space="preserve">bleeding rates in a large contemporary unselected all-comer national cohort </w:t>
      </w:r>
      <w:r w:rsidR="00DA7360">
        <w:rPr>
          <w:sz w:val="24"/>
          <w:szCs w:val="24"/>
        </w:rPr>
        <w:t xml:space="preserve">in the UK </w:t>
      </w:r>
      <w:r w:rsidRPr="00FF0361">
        <w:rPr>
          <w:sz w:val="24"/>
          <w:szCs w:val="24"/>
        </w:rPr>
        <w:t xml:space="preserve">from British Cardiovascular Intervention Society (BCIS) </w:t>
      </w:r>
      <w:r w:rsidR="00CC1157">
        <w:rPr>
          <w:sz w:val="24"/>
          <w:szCs w:val="24"/>
        </w:rPr>
        <w:t xml:space="preserve">database </w:t>
      </w:r>
      <w:r w:rsidRPr="00FF0361">
        <w:rPr>
          <w:sz w:val="24"/>
          <w:szCs w:val="24"/>
        </w:rPr>
        <w:t xml:space="preserve">studying changes in clinical </w:t>
      </w:r>
      <w:r w:rsidR="00733932">
        <w:rPr>
          <w:sz w:val="24"/>
          <w:szCs w:val="24"/>
        </w:rPr>
        <w:t xml:space="preserve">and procedural </w:t>
      </w:r>
      <w:r w:rsidRPr="00FF0361">
        <w:rPr>
          <w:sz w:val="24"/>
          <w:szCs w:val="24"/>
        </w:rPr>
        <w:t>demographics, pharmacotherapy</w:t>
      </w:r>
      <w:r w:rsidR="00AF4FC2">
        <w:rPr>
          <w:sz w:val="24"/>
          <w:szCs w:val="24"/>
        </w:rPr>
        <w:t xml:space="preserve"> and</w:t>
      </w:r>
      <w:r w:rsidR="00517B49">
        <w:rPr>
          <w:sz w:val="24"/>
          <w:szCs w:val="24"/>
        </w:rPr>
        <w:t xml:space="preserve"> </w:t>
      </w:r>
      <w:r w:rsidRPr="00FF0361">
        <w:rPr>
          <w:sz w:val="24"/>
          <w:szCs w:val="24"/>
        </w:rPr>
        <w:t>access site practice</w:t>
      </w:r>
      <w:r w:rsidR="0053600B">
        <w:rPr>
          <w:sz w:val="24"/>
          <w:szCs w:val="24"/>
        </w:rPr>
        <w:t>,</w:t>
      </w:r>
      <w:r w:rsidRPr="00FF0361">
        <w:rPr>
          <w:sz w:val="24"/>
          <w:szCs w:val="24"/>
        </w:rPr>
        <w:t xml:space="preserve"> assess </w:t>
      </w:r>
      <w:r w:rsidR="004D0C15">
        <w:rPr>
          <w:sz w:val="24"/>
          <w:szCs w:val="24"/>
        </w:rPr>
        <w:t>associations with</w:t>
      </w:r>
      <w:r w:rsidRPr="00FF0361">
        <w:rPr>
          <w:sz w:val="24"/>
          <w:szCs w:val="24"/>
        </w:rPr>
        <w:t xml:space="preserve"> </w:t>
      </w:r>
      <w:proofErr w:type="spellStart"/>
      <w:r w:rsidRPr="00FF0361">
        <w:rPr>
          <w:sz w:val="24"/>
          <w:szCs w:val="24"/>
        </w:rPr>
        <w:t>peri</w:t>
      </w:r>
      <w:proofErr w:type="spellEnd"/>
      <w:r w:rsidRPr="00FF0361">
        <w:rPr>
          <w:sz w:val="24"/>
          <w:szCs w:val="24"/>
        </w:rPr>
        <w:t>-procedural bleeding complications</w:t>
      </w:r>
      <w:r w:rsidR="00C02214">
        <w:rPr>
          <w:sz w:val="24"/>
          <w:szCs w:val="24"/>
        </w:rPr>
        <w:t xml:space="preserve">, and determine which factors associate most with the </w:t>
      </w:r>
      <w:r w:rsidR="0053600B">
        <w:rPr>
          <w:sz w:val="24"/>
          <w:szCs w:val="24"/>
        </w:rPr>
        <w:t xml:space="preserve">temporal </w:t>
      </w:r>
      <w:r w:rsidR="00C02214">
        <w:rPr>
          <w:sz w:val="24"/>
          <w:szCs w:val="24"/>
        </w:rPr>
        <w:t>changes in bleeding complications</w:t>
      </w:r>
      <w:r w:rsidR="0053600B">
        <w:rPr>
          <w:sz w:val="24"/>
          <w:szCs w:val="24"/>
        </w:rPr>
        <w:t xml:space="preserve"> observed</w:t>
      </w:r>
      <w:r w:rsidRPr="00FF0361">
        <w:rPr>
          <w:sz w:val="24"/>
          <w:szCs w:val="24"/>
        </w:rPr>
        <w:t>.</w:t>
      </w:r>
    </w:p>
    <w:p w14:paraId="54725B04" w14:textId="77777777" w:rsidR="006327CC" w:rsidRPr="00736359" w:rsidRDefault="006327CC" w:rsidP="00530C48">
      <w:pPr>
        <w:snapToGrid w:val="0"/>
        <w:spacing w:before="0" w:after="0" w:line="480" w:lineRule="auto"/>
      </w:pPr>
      <w:r w:rsidRPr="00530C48">
        <w:rPr>
          <w:b/>
        </w:rPr>
        <w:t>Methods</w:t>
      </w:r>
    </w:p>
    <w:p w14:paraId="51ADC32D" w14:textId="2D5BBE95" w:rsidR="00F85D77" w:rsidRPr="00BA5E42" w:rsidRDefault="006327CC" w:rsidP="00530C48">
      <w:pPr>
        <w:snapToGrid w:val="0"/>
        <w:spacing w:before="0" w:after="0" w:line="480" w:lineRule="auto"/>
        <w:ind w:firstLine="720"/>
        <w:rPr>
          <w:sz w:val="24"/>
          <w:szCs w:val="24"/>
        </w:rPr>
      </w:pPr>
      <w:r w:rsidRPr="00FF0361">
        <w:rPr>
          <w:sz w:val="24"/>
          <w:szCs w:val="24"/>
        </w:rPr>
        <w:t xml:space="preserve">This is a retrospective analysis of prospectively collected national data for all patients undergoing PCI in </w:t>
      </w:r>
      <w:r w:rsidR="00DF6411" w:rsidRPr="00FF0361">
        <w:rPr>
          <w:sz w:val="24"/>
          <w:szCs w:val="24"/>
        </w:rPr>
        <w:t>England and Wales</w:t>
      </w:r>
      <w:r w:rsidRPr="00FF0361">
        <w:rPr>
          <w:sz w:val="24"/>
          <w:szCs w:val="24"/>
        </w:rPr>
        <w:t xml:space="preserve"> from January 200</w:t>
      </w:r>
      <w:r w:rsidR="009934CF" w:rsidRPr="00FF0361">
        <w:rPr>
          <w:sz w:val="24"/>
          <w:szCs w:val="24"/>
        </w:rPr>
        <w:t>6</w:t>
      </w:r>
      <w:r w:rsidRPr="00FF0361">
        <w:rPr>
          <w:sz w:val="24"/>
          <w:szCs w:val="24"/>
        </w:rPr>
        <w:t xml:space="preserve"> to December 201</w:t>
      </w:r>
      <w:r w:rsidR="003D2204" w:rsidRPr="00FF0361">
        <w:rPr>
          <w:sz w:val="24"/>
          <w:szCs w:val="24"/>
        </w:rPr>
        <w:t>3</w:t>
      </w:r>
      <w:r w:rsidRPr="00FF0361">
        <w:rPr>
          <w:sz w:val="24"/>
          <w:szCs w:val="24"/>
        </w:rPr>
        <w:t xml:space="preserve">. BCIS records information on PCI practice in </w:t>
      </w:r>
      <w:r w:rsidR="00AF4FC2">
        <w:rPr>
          <w:sz w:val="24"/>
          <w:szCs w:val="24"/>
        </w:rPr>
        <w:t xml:space="preserve">the </w:t>
      </w:r>
      <w:r w:rsidRPr="00FF0361">
        <w:rPr>
          <w:sz w:val="24"/>
          <w:szCs w:val="24"/>
        </w:rPr>
        <w:t>UK with data collection managed by the National Institute of Cardiovascular Outcomes Research (NICOR)</w:t>
      </w:r>
      <w:r w:rsidR="009004D9">
        <w:rPr>
          <w:sz w:val="24"/>
          <w:szCs w:val="24"/>
        </w:rPr>
        <w:fldChar w:fldCharType="begin"/>
      </w:r>
      <w:r w:rsidR="00607FC5">
        <w:rPr>
          <w:sz w:val="24"/>
          <w:szCs w:val="24"/>
        </w:rPr>
        <w:instrText>ADDIN RW.CITE{{184 Ludman,P.F. 2011; 209 Mamas,M.A. 2016; 582 Rashid,M. 2017}}</w:instrText>
      </w:r>
      <w:r w:rsidR="009004D9">
        <w:rPr>
          <w:sz w:val="24"/>
          <w:szCs w:val="24"/>
        </w:rPr>
        <w:fldChar w:fldCharType="separate"/>
      </w:r>
      <w:r w:rsidR="00607FC5" w:rsidRPr="00607FC5">
        <w:rPr>
          <w:sz w:val="24"/>
          <w:szCs w:val="24"/>
          <w:vertAlign w:val="superscript"/>
        </w:rPr>
        <w:t>7,8,10</w:t>
      </w:r>
      <w:r w:rsidR="009004D9">
        <w:rPr>
          <w:sz w:val="24"/>
          <w:szCs w:val="24"/>
        </w:rPr>
        <w:fldChar w:fldCharType="end"/>
      </w:r>
      <w:r w:rsidR="00905209">
        <w:rPr>
          <w:sz w:val="24"/>
          <w:szCs w:val="24"/>
        </w:rPr>
        <w:t>.</w:t>
      </w:r>
      <w:r w:rsidR="004607F1" w:rsidRPr="004607F1">
        <w:rPr>
          <w:sz w:val="24"/>
          <w:szCs w:val="24"/>
          <w:vertAlign w:val="superscript"/>
        </w:rPr>
        <w:t xml:space="preserve"> </w:t>
      </w:r>
      <w:r w:rsidR="00A54EDB" w:rsidRPr="00FF0361">
        <w:rPr>
          <w:sz w:val="24"/>
          <w:szCs w:val="24"/>
        </w:rPr>
        <w:t xml:space="preserve">In-hospital major bleeding complications were defined as a composite of reported gastrointestinal bleed, intracerebral bleed, retroperitoneal hematoma, </w:t>
      </w:r>
      <w:r w:rsidR="003D2204" w:rsidRPr="00FF0361">
        <w:rPr>
          <w:sz w:val="24"/>
          <w:szCs w:val="24"/>
        </w:rPr>
        <w:t xml:space="preserve">tamponade, </w:t>
      </w:r>
      <w:r w:rsidR="00A54EDB" w:rsidRPr="00FF0361">
        <w:rPr>
          <w:sz w:val="24"/>
          <w:szCs w:val="24"/>
        </w:rPr>
        <w:t xml:space="preserve">blood or platelet </w:t>
      </w:r>
      <w:r w:rsidR="00A54EDB" w:rsidRPr="00FF0361">
        <w:rPr>
          <w:sz w:val="24"/>
          <w:szCs w:val="24"/>
        </w:rPr>
        <w:lastRenderedPageBreak/>
        <w:t>transfusion, or an arterial access site complication</w:t>
      </w:r>
      <w:r w:rsidR="00477ECC">
        <w:rPr>
          <w:sz w:val="24"/>
          <w:szCs w:val="24"/>
        </w:rPr>
        <w:t xml:space="preserve"> </w:t>
      </w:r>
      <w:r w:rsidR="00AB4E35">
        <w:rPr>
          <w:sz w:val="24"/>
          <w:szCs w:val="24"/>
        </w:rPr>
        <w:t xml:space="preserve">requiring </w:t>
      </w:r>
      <w:r w:rsidR="00BA6F5C">
        <w:rPr>
          <w:sz w:val="24"/>
          <w:szCs w:val="24"/>
        </w:rPr>
        <w:t xml:space="preserve">surgical </w:t>
      </w:r>
      <w:r w:rsidR="00AB4E35">
        <w:rPr>
          <w:sz w:val="24"/>
          <w:szCs w:val="24"/>
        </w:rPr>
        <w:t>intervention</w:t>
      </w:r>
      <w:r w:rsidR="0019181C">
        <w:rPr>
          <w:sz w:val="24"/>
          <w:szCs w:val="24"/>
        </w:rPr>
        <w:fldChar w:fldCharType="begin"/>
      </w:r>
      <w:r w:rsidR="00607FC5">
        <w:rPr>
          <w:sz w:val="24"/>
          <w:szCs w:val="24"/>
        </w:rPr>
        <w:instrText>ADDIN RW.CITE{{582 Rashid,M. 2017; 209 Mamas,M.A. 2016; 61 Ratib,K. 2015}}</w:instrText>
      </w:r>
      <w:r w:rsidR="0019181C">
        <w:rPr>
          <w:sz w:val="24"/>
          <w:szCs w:val="24"/>
        </w:rPr>
        <w:fldChar w:fldCharType="separate"/>
      </w:r>
      <w:r w:rsidR="00607FC5" w:rsidRPr="00607FC5">
        <w:rPr>
          <w:sz w:val="24"/>
          <w:szCs w:val="24"/>
          <w:vertAlign w:val="superscript"/>
        </w:rPr>
        <w:t>6-8</w:t>
      </w:r>
      <w:r w:rsidR="0019181C">
        <w:rPr>
          <w:sz w:val="24"/>
          <w:szCs w:val="24"/>
        </w:rPr>
        <w:fldChar w:fldCharType="end"/>
      </w:r>
      <w:r w:rsidR="00905209">
        <w:rPr>
          <w:sz w:val="24"/>
          <w:szCs w:val="24"/>
        </w:rPr>
        <w:t>.</w:t>
      </w:r>
      <w:r w:rsidR="00A54EDB" w:rsidRPr="00FF0361">
        <w:rPr>
          <w:sz w:val="24"/>
          <w:szCs w:val="24"/>
        </w:rPr>
        <w:t xml:space="preserve"> </w:t>
      </w:r>
      <w:r w:rsidR="00FB3847">
        <w:rPr>
          <w:sz w:val="24"/>
          <w:szCs w:val="24"/>
        </w:rPr>
        <w:t>Procedures</w:t>
      </w:r>
      <w:r w:rsidR="00384C54" w:rsidRPr="00FF0361">
        <w:rPr>
          <w:sz w:val="24"/>
          <w:szCs w:val="24"/>
        </w:rPr>
        <w:t xml:space="preserve"> were divided into 2 groups, </w:t>
      </w:r>
      <w:r w:rsidR="00477ECC">
        <w:rPr>
          <w:sz w:val="24"/>
          <w:szCs w:val="24"/>
        </w:rPr>
        <w:t>based on the indication for PCI, either elective or acute coronary syndrome (ACS)</w:t>
      </w:r>
      <w:r w:rsidR="008C4E3F" w:rsidRPr="00FF0361">
        <w:rPr>
          <w:sz w:val="24"/>
          <w:szCs w:val="24"/>
        </w:rPr>
        <w:t xml:space="preserve">. </w:t>
      </w:r>
      <w:r w:rsidR="00FB3847">
        <w:rPr>
          <w:sz w:val="24"/>
          <w:szCs w:val="24"/>
        </w:rPr>
        <w:t xml:space="preserve">Procedures performed </w:t>
      </w:r>
      <w:r w:rsidR="00947D3F">
        <w:rPr>
          <w:sz w:val="24"/>
          <w:szCs w:val="24"/>
        </w:rPr>
        <w:t>for</w:t>
      </w:r>
      <w:r w:rsidR="00384C54" w:rsidRPr="00FF0361">
        <w:rPr>
          <w:sz w:val="24"/>
          <w:szCs w:val="24"/>
        </w:rPr>
        <w:t xml:space="preserve"> </w:t>
      </w:r>
      <w:r w:rsidR="00DF4EE2" w:rsidRPr="00FF0361">
        <w:rPr>
          <w:color w:val="000000"/>
          <w:sz w:val="24"/>
          <w:szCs w:val="24"/>
          <w:shd w:val="clear" w:color="auto" w:fill="FFFFFF"/>
        </w:rPr>
        <w:t>unstable angina (UA), non ST-segment elevation my</w:t>
      </w:r>
      <w:r w:rsidR="00A3070B" w:rsidRPr="00FF0361">
        <w:rPr>
          <w:color w:val="000000"/>
          <w:sz w:val="24"/>
          <w:szCs w:val="24"/>
          <w:shd w:val="clear" w:color="auto" w:fill="FFFFFF"/>
        </w:rPr>
        <w:t xml:space="preserve">ocardial infarction (NSTEMI), </w:t>
      </w:r>
      <w:r w:rsidR="00DF4EE2" w:rsidRPr="00FF0361">
        <w:rPr>
          <w:color w:val="000000"/>
          <w:sz w:val="24"/>
          <w:szCs w:val="24"/>
          <w:shd w:val="clear" w:color="auto" w:fill="FFFFFF"/>
        </w:rPr>
        <w:t>ST-segment elevation myocardial infarction (STEMI)</w:t>
      </w:r>
      <w:r w:rsidR="00947D3F">
        <w:rPr>
          <w:sz w:val="24"/>
          <w:szCs w:val="24"/>
        </w:rPr>
        <w:t xml:space="preserve"> </w:t>
      </w:r>
      <w:r w:rsidR="00384C54" w:rsidRPr="00FF0361">
        <w:rPr>
          <w:sz w:val="24"/>
          <w:szCs w:val="24"/>
        </w:rPr>
        <w:t>formed the ACS group.</w:t>
      </w:r>
      <w:r w:rsidR="00DF4EE2" w:rsidRPr="00FF0361">
        <w:rPr>
          <w:sz w:val="24"/>
          <w:szCs w:val="24"/>
        </w:rPr>
        <w:t xml:space="preserve"> Analyses were carried out </w:t>
      </w:r>
      <w:r w:rsidR="00A57086" w:rsidRPr="00FF0361">
        <w:rPr>
          <w:sz w:val="24"/>
          <w:szCs w:val="24"/>
        </w:rPr>
        <w:t>on the whole cohort,</w:t>
      </w:r>
      <w:r w:rsidR="002B00BA">
        <w:rPr>
          <w:sz w:val="24"/>
          <w:szCs w:val="24"/>
        </w:rPr>
        <w:t xml:space="preserve"> and </w:t>
      </w:r>
      <w:r w:rsidR="00602532">
        <w:rPr>
          <w:sz w:val="24"/>
          <w:szCs w:val="24"/>
        </w:rPr>
        <w:t>then in elective and ACS cohorts separately.</w:t>
      </w:r>
    </w:p>
    <w:p w14:paraId="442113D7" w14:textId="30D6B73E" w:rsidR="0031033D" w:rsidRPr="00FF0361" w:rsidRDefault="00BA5022" w:rsidP="00530C48">
      <w:pPr>
        <w:snapToGrid w:val="0"/>
        <w:spacing w:before="0" w:after="0" w:line="480" w:lineRule="auto"/>
        <w:ind w:firstLine="720"/>
        <w:rPr>
          <w:sz w:val="24"/>
          <w:szCs w:val="24"/>
        </w:rPr>
      </w:pPr>
      <w:r>
        <w:rPr>
          <w:sz w:val="24"/>
          <w:szCs w:val="24"/>
        </w:rPr>
        <w:t xml:space="preserve">Procedures </w:t>
      </w:r>
      <w:r w:rsidR="00810E09">
        <w:rPr>
          <w:sz w:val="24"/>
          <w:szCs w:val="24"/>
        </w:rPr>
        <w:t>were</w:t>
      </w:r>
      <w:r w:rsidR="00020D8C" w:rsidRPr="00FF0361">
        <w:rPr>
          <w:sz w:val="24"/>
          <w:szCs w:val="24"/>
        </w:rPr>
        <w:t xml:space="preserve"> excluded </w:t>
      </w:r>
      <w:r w:rsidR="00704972">
        <w:rPr>
          <w:sz w:val="24"/>
          <w:szCs w:val="24"/>
        </w:rPr>
        <w:t>if</w:t>
      </w:r>
      <w:r w:rsidR="00020D8C" w:rsidRPr="00FF0361">
        <w:rPr>
          <w:sz w:val="24"/>
          <w:szCs w:val="24"/>
        </w:rPr>
        <w:t xml:space="preserve"> </w:t>
      </w:r>
      <w:r w:rsidR="00810E09">
        <w:rPr>
          <w:sz w:val="24"/>
          <w:szCs w:val="24"/>
        </w:rPr>
        <w:t>in-hospital</w:t>
      </w:r>
      <w:r w:rsidR="00020D8C" w:rsidRPr="00FF0361">
        <w:rPr>
          <w:sz w:val="24"/>
          <w:szCs w:val="24"/>
        </w:rPr>
        <w:t xml:space="preserve"> outcome</w:t>
      </w:r>
      <w:r w:rsidR="00810E09">
        <w:rPr>
          <w:sz w:val="24"/>
          <w:szCs w:val="24"/>
        </w:rPr>
        <w:t>s</w:t>
      </w:r>
      <w:r w:rsidR="00020D8C" w:rsidRPr="00FF0361">
        <w:rPr>
          <w:sz w:val="24"/>
          <w:szCs w:val="24"/>
        </w:rPr>
        <w:t xml:space="preserve">, coronary syndrome, </w:t>
      </w:r>
      <w:r>
        <w:rPr>
          <w:sz w:val="24"/>
          <w:szCs w:val="24"/>
        </w:rPr>
        <w:t xml:space="preserve">or patient </w:t>
      </w:r>
      <w:r w:rsidR="00020D8C" w:rsidRPr="00FF0361">
        <w:rPr>
          <w:sz w:val="24"/>
          <w:szCs w:val="24"/>
        </w:rPr>
        <w:t>age or gender</w:t>
      </w:r>
      <w:r w:rsidR="00602532">
        <w:rPr>
          <w:sz w:val="24"/>
          <w:szCs w:val="24"/>
        </w:rPr>
        <w:t xml:space="preserve"> </w:t>
      </w:r>
      <w:r w:rsidR="00810E09">
        <w:rPr>
          <w:sz w:val="24"/>
          <w:szCs w:val="24"/>
        </w:rPr>
        <w:t>were missing</w:t>
      </w:r>
      <w:r w:rsidR="00CE3AF0">
        <w:rPr>
          <w:sz w:val="24"/>
          <w:szCs w:val="24"/>
        </w:rPr>
        <w:t xml:space="preserve"> from the dataset</w:t>
      </w:r>
      <w:r w:rsidR="00020D8C" w:rsidRPr="00FF0361">
        <w:rPr>
          <w:sz w:val="24"/>
          <w:szCs w:val="24"/>
        </w:rPr>
        <w:t xml:space="preserve">. </w:t>
      </w:r>
      <w:r>
        <w:rPr>
          <w:sz w:val="24"/>
          <w:szCs w:val="24"/>
        </w:rPr>
        <w:t>Procedures</w:t>
      </w:r>
      <w:r w:rsidR="00810E09" w:rsidRPr="00810E09">
        <w:rPr>
          <w:sz w:val="24"/>
          <w:szCs w:val="24"/>
        </w:rPr>
        <w:t xml:space="preserve"> in </w:t>
      </w:r>
      <w:r w:rsidR="008A7A09">
        <w:rPr>
          <w:sz w:val="24"/>
          <w:szCs w:val="24"/>
        </w:rPr>
        <w:t>which</w:t>
      </w:r>
      <w:r w:rsidR="008A7A09" w:rsidRPr="00810E09">
        <w:rPr>
          <w:sz w:val="24"/>
          <w:szCs w:val="24"/>
        </w:rPr>
        <w:t xml:space="preserve"> </w:t>
      </w:r>
      <w:r w:rsidR="00810E09" w:rsidRPr="00810E09">
        <w:rPr>
          <w:sz w:val="24"/>
          <w:szCs w:val="24"/>
        </w:rPr>
        <w:t>the access site was unclear or missing</w:t>
      </w:r>
      <w:r w:rsidR="004B79CD">
        <w:rPr>
          <w:sz w:val="24"/>
          <w:szCs w:val="24"/>
        </w:rPr>
        <w:t>, or</w:t>
      </w:r>
      <w:r w:rsidR="00CE3AF0">
        <w:rPr>
          <w:sz w:val="24"/>
          <w:szCs w:val="24"/>
        </w:rPr>
        <w:t xml:space="preserve"> </w:t>
      </w:r>
      <w:r w:rsidR="004B79CD">
        <w:rPr>
          <w:sz w:val="24"/>
          <w:szCs w:val="24"/>
        </w:rPr>
        <w:t xml:space="preserve">where </w:t>
      </w:r>
      <w:r w:rsidR="004B79CD" w:rsidRPr="00810E09">
        <w:rPr>
          <w:sz w:val="24"/>
          <w:szCs w:val="24"/>
        </w:rPr>
        <w:t xml:space="preserve">multiple access sites were </w:t>
      </w:r>
      <w:r w:rsidR="004B79CD">
        <w:rPr>
          <w:sz w:val="24"/>
          <w:szCs w:val="24"/>
        </w:rPr>
        <w:t xml:space="preserve">recorded and the </w:t>
      </w:r>
      <w:r w:rsidR="004B79CD" w:rsidRPr="00810E09">
        <w:rPr>
          <w:sz w:val="24"/>
          <w:szCs w:val="24"/>
        </w:rPr>
        <w:t>primary</w:t>
      </w:r>
      <w:r w:rsidR="004B79CD">
        <w:rPr>
          <w:sz w:val="24"/>
          <w:szCs w:val="24"/>
        </w:rPr>
        <w:t xml:space="preserve"> </w:t>
      </w:r>
      <w:r w:rsidR="004B79CD" w:rsidRPr="00810E09">
        <w:rPr>
          <w:sz w:val="24"/>
          <w:szCs w:val="24"/>
        </w:rPr>
        <w:t>access site used for the procedure could not be identified</w:t>
      </w:r>
      <w:r w:rsidR="004B79CD">
        <w:rPr>
          <w:sz w:val="24"/>
          <w:szCs w:val="24"/>
        </w:rPr>
        <w:t xml:space="preserve"> </w:t>
      </w:r>
      <w:r w:rsidR="00CE3AF0">
        <w:rPr>
          <w:sz w:val="24"/>
          <w:szCs w:val="24"/>
        </w:rPr>
        <w:t xml:space="preserve">were also excluded.  </w:t>
      </w:r>
    </w:p>
    <w:p w14:paraId="3E54ED45" w14:textId="7CA02B1D" w:rsidR="0031033D" w:rsidRPr="00FF0361" w:rsidRDefault="0031033D" w:rsidP="00530C48">
      <w:pPr>
        <w:spacing w:before="0" w:after="0" w:line="480" w:lineRule="auto"/>
        <w:ind w:firstLine="720"/>
        <w:rPr>
          <w:sz w:val="24"/>
          <w:szCs w:val="24"/>
        </w:rPr>
      </w:pPr>
      <w:r w:rsidRPr="00FF0361">
        <w:rPr>
          <w:sz w:val="24"/>
          <w:szCs w:val="24"/>
        </w:rPr>
        <w:t xml:space="preserve">For basic analyses of demographics, procedural details and unadjusted outcomes, continuous variables were evaluated as </w:t>
      </w:r>
      <w:r w:rsidR="001D0BE2">
        <w:rPr>
          <w:sz w:val="24"/>
          <w:szCs w:val="24"/>
        </w:rPr>
        <w:t>median and interquartile range (IRQ)</w:t>
      </w:r>
      <w:r w:rsidR="0078016A" w:rsidRPr="00FF0361">
        <w:rPr>
          <w:sz w:val="24"/>
          <w:szCs w:val="24"/>
        </w:rPr>
        <w:t xml:space="preserve">, whilst categorical variables were reported using </w:t>
      </w:r>
      <w:r w:rsidR="00276F84" w:rsidRPr="00FF0361">
        <w:rPr>
          <w:sz w:val="24"/>
          <w:szCs w:val="24"/>
        </w:rPr>
        <w:t xml:space="preserve">frequencies and </w:t>
      </w:r>
      <w:r w:rsidR="0078016A" w:rsidRPr="00FF0361">
        <w:rPr>
          <w:sz w:val="24"/>
          <w:szCs w:val="24"/>
        </w:rPr>
        <w:t>proportions</w:t>
      </w:r>
      <w:r w:rsidR="009E3F58" w:rsidRPr="00FF0361">
        <w:rPr>
          <w:sz w:val="24"/>
          <w:szCs w:val="24"/>
        </w:rPr>
        <w:t xml:space="preserve"> (in percentages)</w:t>
      </w:r>
      <w:r w:rsidR="0078016A" w:rsidRPr="00FF0361">
        <w:rPr>
          <w:sz w:val="24"/>
          <w:szCs w:val="24"/>
        </w:rPr>
        <w:t xml:space="preserve">. </w:t>
      </w:r>
      <w:r w:rsidRPr="00FF0361">
        <w:rPr>
          <w:sz w:val="24"/>
          <w:szCs w:val="24"/>
        </w:rPr>
        <w:t xml:space="preserve">Chi-square tests were used to assess the significance of differences in proportions between groups for categorical variables. </w:t>
      </w:r>
      <w:proofErr w:type="spellStart"/>
      <w:r w:rsidR="001D0BE2" w:rsidRPr="001D0BE2">
        <w:rPr>
          <w:sz w:val="24"/>
          <w:szCs w:val="24"/>
        </w:rPr>
        <w:t>Kruskal</w:t>
      </w:r>
      <w:proofErr w:type="spellEnd"/>
      <w:r w:rsidR="001D0BE2" w:rsidRPr="001D0BE2">
        <w:rPr>
          <w:sz w:val="24"/>
          <w:szCs w:val="24"/>
        </w:rPr>
        <w:t>-Wallis rank sum test</w:t>
      </w:r>
      <w:r w:rsidR="001D0BE2">
        <w:rPr>
          <w:sz w:val="24"/>
          <w:szCs w:val="24"/>
        </w:rPr>
        <w:t xml:space="preserve"> </w:t>
      </w:r>
      <w:r w:rsidRPr="00FF0361">
        <w:rPr>
          <w:sz w:val="24"/>
          <w:szCs w:val="24"/>
        </w:rPr>
        <w:t>was used for continuous variables. All statistical tests were two-tailed and an alpha of 5% (for significance) was used throughout.</w:t>
      </w:r>
      <w:r w:rsidR="00612571">
        <w:rPr>
          <w:sz w:val="24"/>
          <w:szCs w:val="24"/>
        </w:rPr>
        <w:t xml:space="preserve"> </w:t>
      </w:r>
      <w:r w:rsidR="00612571" w:rsidRPr="00612571">
        <w:rPr>
          <w:sz w:val="24"/>
          <w:szCs w:val="24"/>
        </w:rPr>
        <w:t>In the present analysis, we modified the risk score</w:t>
      </w:r>
      <w:r w:rsidR="00612571">
        <w:rPr>
          <w:sz w:val="24"/>
          <w:szCs w:val="24"/>
        </w:rPr>
        <w:t xml:space="preserve"> </w:t>
      </w:r>
      <w:r w:rsidR="00612571" w:rsidRPr="00612571">
        <w:rPr>
          <w:sz w:val="24"/>
          <w:szCs w:val="24"/>
        </w:rPr>
        <w:t>published by Mehran et al</w:t>
      </w:r>
      <w:r w:rsidR="0019181C">
        <w:rPr>
          <w:sz w:val="24"/>
          <w:szCs w:val="24"/>
        </w:rPr>
        <w:fldChar w:fldCharType="begin"/>
      </w:r>
      <w:r w:rsidR="00607FC5">
        <w:rPr>
          <w:sz w:val="24"/>
          <w:szCs w:val="24"/>
        </w:rPr>
        <w:instrText>ADDIN RW.CITE{{335 Mehran,Roxana 2011}}</w:instrText>
      </w:r>
      <w:r w:rsidR="0019181C">
        <w:rPr>
          <w:sz w:val="24"/>
          <w:szCs w:val="24"/>
        </w:rPr>
        <w:fldChar w:fldCharType="separate"/>
      </w:r>
      <w:r w:rsidR="00607FC5" w:rsidRPr="00607FC5">
        <w:rPr>
          <w:sz w:val="24"/>
          <w:szCs w:val="24"/>
          <w:vertAlign w:val="superscript"/>
        </w:rPr>
        <w:t>11</w:t>
      </w:r>
      <w:r w:rsidR="0019181C">
        <w:rPr>
          <w:sz w:val="24"/>
          <w:szCs w:val="24"/>
        </w:rPr>
        <w:fldChar w:fldCharType="end"/>
      </w:r>
      <w:r w:rsidR="00612571" w:rsidRPr="00612571">
        <w:rPr>
          <w:sz w:val="24"/>
          <w:szCs w:val="24"/>
        </w:rPr>
        <w:t>. to define the baseline</w:t>
      </w:r>
      <w:r w:rsidR="00855B37">
        <w:rPr>
          <w:sz w:val="24"/>
          <w:szCs w:val="24"/>
        </w:rPr>
        <w:t xml:space="preserve"> </w:t>
      </w:r>
      <w:r w:rsidR="00612571" w:rsidRPr="00612571">
        <w:rPr>
          <w:sz w:val="24"/>
          <w:szCs w:val="24"/>
        </w:rPr>
        <w:t xml:space="preserve">risk of </w:t>
      </w:r>
      <w:r w:rsidR="00855B37">
        <w:rPr>
          <w:sz w:val="24"/>
          <w:szCs w:val="24"/>
        </w:rPr>
        <w:t xml:space="preserve">major </w:t>
      </w:r>
      <w:r w:rsidR="00612571" w:rsidRPr="00612571">
        <w:rPr>
          <w:sz w:val="24"/>
          <w:szCs w:val="24"/>
        </w:rPr>
        <w:t>bleeding. Our modified</w:t>
      </w:r>
      <w:r w:rsidR="00855B37">
        <w:rPr>
          <w:sz w:val="24"/>
          <w:szCs w:val="24"/>
        </w:rPr>
        <w:t xml:space="preserve"> </w:t>
      </w:r>
      <w:r w:rsidR="00612571" w:rsidRPr="00612571">
        <w:rPr>
          <w:sz w:val="24"/>
          <w:szCs w:val="24"/>
        </w:rPr>
        <w:t>Mehran score, was</w:t>
      </w:r>
      <w:r w:rsidR="00855B37">
        <w:rPr>
          <w:sz w:val="24"/>
          <w:szCs w:val="24"/>
        </w:rPr>
        <w:t xml:space="preserve"> </w:t>
      </w:r>
      <w:r w:rsidR="00612571" w:rsidRPr="00612571">
        <w:rPr>
          <w:sz w:val="24"/>
          <w:szCs w:val="24"/>
        </w:rPr>
        <w:t xml:space="preserve">calculated </w:t>
      </w:r>
      <w:r w:rsidR="000555AC">
        <w:rPr>
          <w:sz w:val="24"/>
          <w:szCs w:val="24"/>
        </w:rPr>
        <w:t xml:space="preserve">and </w:t>
      </w:r>
      <w:r w:rsidR="00612571" w:rsidRPr="00612571">
        <w:rPr>
          <w:sz w:val="24"/>
          <w:szCs w:val="24"/>
        </w:rPr>
        <w:t>an integer</w:t>
      </w:r>
      <w:r w:rsidR="00855B37">
        <w:rPr>
          <w:sz w:val="24"/>
          <w:szCs w:val="24"/>
        </w:rPr>
        <w:t xml:space="preserve"> </w:t>
      </w:r>
      <w:r w:rsidR="00612571" w:rsidRPr="00612571">
        <w:rPr>
          <w:sz w:val="24"/>
          <w:szCs w:val="24"/>
        </w:rPr>
        <w:t>score assigned for each category</w:t>
      </w:r>
      <w:r w:rsidR="00855B37">
        <w:rPr>
          <w:sz w:val="24"/>
          <w:szCs w:val="24"/>
        </w:rPr>
        <w:t xml:space="preserve"> as previously reported by our group</w:t>
      </w:r>
      <w:r w:rsidR="0019181C">
        <w:rPr>
          <w:sz w:val="24"/>
          <w:szCs w:val="24"/>
        </w:rPr>
        <w:fldChar w:fldCharType="begin"/>
      </w:r>
      <w:r w:rsidR="00607FC5">
        <w:rPr>
          <w:sz w:val="24"/>
          <w:szCs w:val="24"/>
        </w:rPr>
        <w:instrText>ADDIN RW.CITE{{180 Mamas,M.A. 2014}}</w:instrText>
      </w:r>
      <w:r w:rsidR="0019181C">
        <w:rPr>
          <w:sz w:val="24"/>
          <w:szCs w:val="24"/>
        </w:rPr>
        <w:fldChar w:fldCharType="separate"/>
      </w:r>
      <w:r w:rsidR="00607FC5" w:rsidRPr="00607FC5">
        <w:rPr>
          <w:sz w:val="24"/>
          <w:szCs w:val="24"/>
          <w:vertAlign w:val="superscript"/>
        </w:rPr>
        <w:t>12</w:t>
      </w:r>
      <w:r w:rsidR="0019181C">
        <w:rPr>
          <w:sz w:val="24"/>
          <w:szCs w:val="24"/>
        </w:rPr>
        <w:fldChar w:fldCharType="end"/>
      </w:r>
      <w:r w:rsidR="00612571" w:rsidRPr="00612571">
        <w:rPr>
          <w:sz w:val="24"/>
          <w:szCs w:val="24"/>
        </w:rPr>
        <w:t>.</w:t>
      </w:r>
    </w:p>
    <w:p w14:paraId="5C2666A6" w14:textId="6C1E543A" w:rsidR="00103394" w:rsidRPr="00FF0361" w:rsidRDefault="00BB09A7" w:rsidP="00530C48">
      <w:pPr>
        <w:spacing w:before="0" w:after="0" w:line="480" w:lineRule="auto"/>
        <w:ind w:firstLine="720"/>
        <w:rPr>
          <w:sz w:val="24"/>
          <w:szCs w:val="24"/>
        </w:rPr>
      </w:pPr>
      <w:r w:rsidRPr="00FF0361">
        <w:rPr>
          <w:sz w:val="24"/>
          <w:szCs w:val="24"/>
        </w:rPr>
        <w:t xml:space="preserve">Multiple imputation methods were used in order to </w:t>
      </w:r>
      <w:r w:rsidR="0031033D" w:rsidRPr="00FF0361">
        <w:rPr>
          <w:sz w:val="24"/>
          <w:szCs w:val="24"/>
        </w:rPr>
        <w:t>reduce potential bias created by missing data</w:t>
      </w:r>
      <w:r w:rsidR="00705464" w:rsidRPr="00FF0361">
        <w:rPr>
          <w:sz w:val="24"/>
          <w:szCs w:val="24"/>
        </w:rPr>
        <w:t>. To this aim, we used</w:t>
      </w:r>
      <w:r w:rsidRPr="00FF0361">
        <w:rPr>
          <w:sz w:val="24"/>
          <w:szCs w:val="24"/>
        </w:rPr>
        <w:t xml:space="preserve"> the </w:t>
      </w:r>
      <w:r w:rsidRPr="00FF0361">
        <w:rPr>
          <w:i/>
          <w:sz w:val="24"/>
          <w:szCs w:val="24"/>
        </w:rPr>
        <w:t>mice</w:t>
      </w:r>
      <w:r w:rsidRPr="00FF0361">
        <w:rPr>
          <w:sz w:val="24"/>
          <w:szCs w:val="24"/>
        </w:rPr>
        <w:t xml:space="preserve"> R package</w:t>
      </w:r>
      <w:r w:rsidR="0022206E" w:rsidRPr="00FF0361">
        <w:rPr>
          <w:sz w:val="24"/>
          <w:szCs w:val="24"/>
        </w:rPr>
        <w:t>, version 2.25</w:t>
      </w:r>
      <w:r w:rsidR="0019181C">
        <w:rPr>
          <w:sz w:val="24"/>
          <w:szCs w:val="24"/>
        </w:rPr>
        <w:fldChar w:fldCharType="begin"/>
      </w:r>
      <w:r w:rsidR="00607FC5">
        <w:rPr>
          <w:sz w:val="24"/>
          <w:szCs w:val="24"/>
        </w:rPr>
        <w:instrText>ADDIN RW.CITE{{324 Rubin,DB 1987}}</w:instrText>
      </w:r>
      <w:r w:rsidR="0019181C">
        <w:rPr>
          <w:sz w:val="24"/>
          <w:szCs w:val="24"/>
        </w:rPr>
        <w:fldChar w:fldCharType="separate"/>
      </w:r>
      <w:r w:rsidR="00607FC5" w:rsidRPr="00607FC5">
        <w:rPr>
          <w:sz w:val="24"/>
          <w:szCs w:val="24"/>
          <w:vertAlign w:val="superscript"/>
        </w:rPr>
        <w:t>13</w:t>
      </w:r>
      <w:r w:rsidR="0019181C">
        <w:rPr>
          <w:sz w:val="24"/>
          <w:szCs w:val="24"/>
        </w:rPr>
        <w:fldChar w:fldCharType="end"/>
      </w:r>
      <w:r w:rsidR="00AF028A">
        <w:rPr>
          <w:sz w:val="24"/>
          <w:szCs w:val="24"/>
        </w:rPr>
        <w:t>.</w:t>
      </w:r>
      <w:r w:rsidRPr="00FF0361">
        <w:rPr>
          <w:sz w:val="24"/>
          <w:szCs w:val="24"/>
        </w:rPr>
        <w:t xml:space="preserve"> </w:t>
      </w:r>
      <w:r w:rsidR="0031033D" w:rsidRPr="00FF0361">
        <w:rPr>
          <w:sz w:val="24"/>
          <w:szCs w:val="24"/>
        </w:rPr>
        <w:t xml:space="preserve">Chained equations were used to impute data for all variables with missing </w:t>
      </w:r>
      <w:r w:rsidR="00276F84" w:rsidRPr="00FF0361">
        <w:rPr>
          <w:sz w:val="24"/>
          <w:szCs w:val="24"/>
        </w:rPr>
        <w:t>values</w:t>
      </w:r>
      <w:r w:rsidR="0031033D" w:rsidRPr="00FF0361">
        <w:rPr>
          <w:sz w:val="24"/>
          <w:szCs w:val="24"/>
        </w:rPr>
        <w:t xml:space="preserve"> </w:t>
      </w:r>
      <w:r w:rsidR="00705464" w:rsidRPr="00FF0361">
        <w:rPr>
          <w:sz w:val="24"/>
          <w:szCs w:val="24"/>
        </w:rPr>
        <w:t>to generate 10 dataset instances</w:t>
      </w:r>
      <w:r w:rsidR="0031033D" w:rsidRPr="00FF0361">
        <w:rPr>
          <w:sz w:val="24"/>
          <w:szCs w:val="24"/>
        </w:rPr>
        <w:t xml:space="preserve"> for use in the analyses</w:t>
      </w:r>
      <w:r w:rsidRPr="00FF0361">
        <w:rPr>
          <w:sz w:val="24"/>
          <w:szCs w:val="24"/>
        </w:rPr>
        <w:t>.</w:t>
      </w:r>
    </w:p>
    <w:p w14:paraId="5F8C1CF7" w14:textId="2A860E48" w:rsidR="000D2512" w:rsidRPr="00253512" w:rsidRDefault="006E4495" w:rsidP="00530C48">
      <w:pPr>
        <w:spacing w:before="0" w:after="0" w:line="480" w:lineRule="auto"/>
        <w:ind w:firstLine="720"/>
        <w:rPr>
          <w:sz w:val="24"/>
          <w:szCs w:val="24"/>
          <w:vertAlign w:val="superscript"/>
        </w:rPr>
      </w:pPr>
      <w:r w:rsidRPr="00FF0361">
        <w:rPr>
          <w:sz w:val="24"/>
          <w:szCs w:val="24"/>
        </w:rPr>
        <w:lastRenderedPageBreak/>
        <w:t xml:space="preserve">Unadjusted annual bleeding rates were estimated using the whole cohort and then the two groups, </w:t>
      </w:r>
      <w:r w:rsidR="00705464" w:rsidRPr="00FF0361">
        <w:rPr>
          <w:sz w:val="24"/>
          <w:szCs w:val="24"/>
        </w:rPr>
        <w:t>E</w:t>
      </w:r>
      <w:r w:rsidRPr="00FF0361">
        <w:rPr>
          <w:sz w:val="24"/>
          <w:szCs w:val="24"/>
        </w:rPr>
        <w:t xml:space="preserve">lective and ACS. We </w:t>
      </w:r>
      <w:r w:rsidR="00BC68A6">
        <w:rPr>
          <w:sz w:val="24"/>
          <w:szCs w:val="24"/>
        </w:rPr>
        <w:t>used</w:t>
      </w:r>
      <w:r w:rsidR="00BC68A6" w:rsidRPr="00FF0361">
        <w:rPr>
          <w:sz w:val="24"/>
          <w:szCs w:val="24"/>
        </w:rPr>
        <w:t xml:space="preserve"> </w:t>
      </w:r>
      <w:r w:rsidRPr="00FF0361">
        <w:rPr>
          <w:sz w:val="24"/>
          <w:szCs w:val="24"/>
        </w:rPr>
        <w:t xml:space="preserve">simple linear regressions </w:t>
      </w:r>
      <w:r w:rsidR="00BC68A6">
        <w:rPr>
          <w:sz w:val="24"/>
          <w:szCs w:val="24"/>
        </w:rPr>
        <w:t>to quantify the association between year of procedure and</w:t>
      </w:r>
      <w:r w:rsidRPr="00FF0361">
        <w:rPr>
          <w:sz w:val="24"/>
          <w:szCs w:val="24"/>
        </w:rPr>
        <w:t xml:space="preserve"> annual bleeding </w:t>
      </w:r>
      <w:r w:rsidR="0002664E" w:rsidRPr="00FF0361">
        <w:rPr>
          <w:sz w:val="24"/>
          <w:szCs w:val="24"/>
        </w:rPr>
        <w:t>rates</w:t>
      </w:r>
      <w:r w:rsidR="0002664E">
        <w:rPr>
          <w:sz w:val="24"/>
          <w:szCs w:val="24"/>
        </w:rPr>
        <w:t xml:space="preserve">. </w:t>
      </w:r>
      <w:r w:rsidR="003E42B5" w:rsidRPr="00A920FC">
        <w:rPr>
          <w:sz w:val="24"/>
          <w:szCs w:val="24"/>
        </w:rPr>
        <w:t>Multivariate analyses using logistic regression</w:t>
      </w:r>
      <w:r w:rsidR="00A920FC" w:rsidRPr="00A920FC">
        <w:rPr>
          <w:sz w:val="24"/>
          <w:szCs w:val="24"/>
        </w:rPr>
        <w:t xml:space="preserve"> model</w:t>
      </w:r>
      <w:r w:rsidR="003E42B5" w:rsidRPr="00A920FC">
        <w:rPr>
          <w:sz w:val="24"/>
          <w:szCs w:val="24"/>
        </w:rPr>
        <w:t xml:space="preserve"> were performed to identify predictors of bleeding in order to identify potential factors influencing bleeding trends over time.</w:t>
      </w:r>
      <w:r w:rsidR="003E42B5">
        <w:rPr>
          <w:sz w:val="24"/>
          <w:szCs w:val="24"/>
        </w:rPr>
        <w:t xml:space="preserve"> </w:t>
      </w:r>
      <w:r w:rsidR="00FD457D">
        <w:rPr>
          <w:sz w:val="24"/>
          <w:szCs w:val="24"/>
        </w:rPr>
        <w:t>W</w:t>
      </w:r>
      <w:r w:rsidR="001128C7">
        <w:rPr>
          <w:sz w:val="24"/>
          <w:szCs w:val="24"/>
        </w:rPr>
        <w:t>e included all</w:t>
      </w:r>
      <w:r w:rsidR="001128C7" w:rsidRPr="00FF0361">
        <w:rPr>
          <w:sz w:val="24"/>
          <w:szCs w:val="24"/>
        </w:rPr>
        <w:t xml:space="preserve"> </w:t>
      </w:r>
      <w:r w:rsidR="00BF39BD" w:rsidRPr="00FF0361">
        <w:rPr>
          <w:sz w:val="24"/>
          <w:szCs w:val="24"/>
        </w:rPr>
        <w:t xml:space="preserve">variables </w:t>
      </w:r>
      <w:r w:rsidRPr="00FF0361">
        <w:rPr>
          <w:sz w:val="24"/>
          <w:szCs w:val="24"/>
        </w:rPr>
        <w:t>assumed</w:t>
      </w:r>
      <w:r w:rsidR="00BF39BD" w:rsidRPr="00FF0361">
        <w:rPr>
          <w:sz w:val="24"/>
          <w:szCs w:val="24"/>
        </w:rPr>
        <w:t xml:space="preserve"> clinically relevant as explanatory variables </w:t>
      </w:r>
      <w:r w:rsidR="001128C7">
        <w:rPr>
          <w:sz w:val="24"/>
          <w:szCs w:val="24"/>
        </w:rPr>
        <w:t xml:space="preserve">in the </w:t>
      </w:r>
      <w:r w:rsidR="00330E5A">
        <w:rPr>
          <w:sz w:val="24"/>
          <w:szCs w:val="24"/>
        </w:rPr>
        <w:t>model: age</w:t>
      </w:r>
      <w:r w:rsidR="00A95C4A">
        <w:rPr>
          <w:sz w:val="24"/>
          <w:szCs w:val="24"/>
        </w:rPr>
        <w:t xml:space="preserve">, </w:t>
      </w:r>
      <w:r w:rsidR="00330E5A">
        <w:rPr>
          <w:sz w:val="24"/>
          <w:szCs w:val="24"/>
        </w:rPr>
        <w:t>g</w:t>
      </w:r>
      <w:r w:rsidR="00A95C4A">
        <w:rPr>
          <w:sz w:val="24"/>
          <w:szCs w:val="24"/>
        </w:rPr>
        <w:t xml:space="preserve">ender, </w:t>
      </w:r>
      <w:r w:rsidR="00330E5A">
        <w:rPr>
          <w:sz w:val="24"/>
          <w:szCs w:val="24"/>
        </w:rPr>
        <w:t>s</w:t>
      </w:r>
      <w:r w:rsidR="00A95C4A">
        <w:rPr>
          <w:sz w:val="24"/>
          <w:szCs w:val="24"/>
        </w:rPr>
        <w:t xml:space="preserve">moking status, </w:t>
      </w:r>
      <w:r w:rsidR="00330E5A">
        <w:rPr>
          <w:sz w:val="24"/>
          <w:szCs w:val="24"/>
        </w:rPr>
        <w:t>d</w:t>
      </w:r>
      <w:r w:rsidR="00A95C4A">
        <w:rPr>
          <w:sz w:val="24"/>
          <w:szCs w:val="24"/>
        </w:rPr>
        <w:t>iabetes,</w:t>
      </w:r>
      <w:r w:rsidR="00330E5A">
        <w:rPr>
          <w:sz w:val="24"/>
          <w:szCs w:val="24"/>
        </w:rPr>
        <w:t xml:space="preserve"> p</w:t>
      </w:r>
      <w:r w:rsidR="00A95C4A" w:rsidRPr="00A95C4A">
        <w:rPr>
          <w:sz w:val="24"/>
          <w:szCs w:val="24"/>
        </w:rPr>
        <w:t>eripheral vascular disease (PVD)</w:t>
      </w:r>
      <w:r w:rsidR="00A95C4A">
        <w:rPr>
          <w:sz w:val="24"/>
          <w:szCs w:val="24"/>
        </w:rPr>
        <w:t xml:space="preserve">, </w:t>
      </w:r>
      <w:r w:rsidR="00330E5A">
        <w:rPr>
          <w:sz w:val="24"/>
          <w:szCs w:val="24"/>
        </w:rPr>
        <w:t>h</w:t>
      </w:r>
      <w:r w:rsidR="00A95C4A" w:rsidRPr="00A95C4A">
        <w:rPr>
          <w:sz w:val="24"/>
          <w:szCs w:val="24"/>
        </w:rPr>
        <w:t>ypertension</w:t>
      </w:r>
      <w:r w:rsidR="00A95C4A">
        <w:rPr>
          <w:sz w:val="24"/>
          <w:szCs w:val="24"/>
        </w:rPr>
        <w:t xml:space="preserve">, </w:t>
      </w:r>
      <w:r w:rsidR="00122596">
        <w:rPr>
          <w:sz w:val="24"/>
          <w:szCs w:val="24"/>
        </w:rPr>
        <w:t>h</w:t>
      </w:r>
      <w:r w:rsidR="00A95C4A" w:rsidRPr="00A95C4A">
        <w:rPr>
          <w:sz w:val="24"/>
          <w:szCs w:val="24"/>
        </w:rPr>
        <w:t>ypercholesterolemia</w:t>
      </w:r>
      <w:r w:rsidR="00A95C4A">
        <w:rPr>
          <w:sz w:val="24"/>
          <w:szCs w:val="24"/>
        </w:rPr>
        <w:t xml:space="preserve">, </w:t>
      </w:r>
      <w:r w:rsidR="00122596">
        <w:rPr>
          <w:sz w:val="24"/>
          <w:szCs w:val="24"/>
        </w:rPr>
        <w:t>r</w:t>
      </w:r>
      <w:r w:rsidR="00A95C4A" w:rsidRPr="00A95C4A">
        <w:rPr>
          <w:sz w:val="24"/>
          <w:szCs w:val="24"/>
        </w:rPr>
        <w:t>enal disease</w:t>
      </w:r>
      <w:r w:rsidR="00A95C4A">
        <w:rPr>
          <w:sz w:val="24"/>
          <w:szCs w:val="24"/>
        </w:rPr>
        <w:t xml:space="preserve">, </w:t>
      </w:r>
      <w:r w:rsidR="00330E5A">
        <w:rPr>
          <w:sz w:val="24"/>
          <w:szCs w:val="24"/>
        </w:rPr>
        <w:t xml:space="preserve">previous </w:t>
      </w:r>
      <w:r w:rsidR="00A95C4A" w:rsidRPr="00A95C4A">
        <w:rPr>
          <w:sz w:val="24"/>
          <w:szCs w:val="24"/>
        </w:rPr>
        <w:t>coronary artery bypass graft (CABG</w:t>
      </w:r>
      <w:r w:rsidR="00A95C4A">
        <w:rPr>
          <w:sz w:val="24"/>
          <w:szCs w:val="24"/>
        </w:rPr>
        <w:t xml:space="preserve">), </w:t>
      </w:r>
      <w:r w:rsidR="00122596">
        <w:rPr>
          <w:sz w:val="24"/>
          <w:szCs w:val="24"/>
        </w:rPr>
        <w:t>previous m</w:t>
      </w:r>
      <w:r w:rsidR="00A95C4A" w:rsidRPr="00A95C4A">
        <w:rPr>
          <w:sz w:val="24"/>
          <w:szCs w:val="24"/>
        </w:rPr>
        <w:t>yocardial infarction</w:t>
      </w:r>
      <w:r w:rsidR="00122596">
        <w:rPr>
          <w:sz w:val="24"/>
          <w:szCs w:val="24"/>
        </w:rPr>
        <w:t xml:space="preserve"> (MI), previous s</w:t>
      </w:r>
      <w:r w:rsidR="00A95C4A">
        <w:rPr>
          <w:sz w:val="24"/>
          <w:szCs w:val="24"/>
        </w:rPr>
        <w:t xml:space="preserve">troke, </w:t>
      </w:r>
      <w:r w:rsidR="00122596">
        <w:rPr>
          <w:sz w:val="24"/>
          <w:szCs w:val="24"/>
        </w:rPr>
        <w:t xml:space="preserve">previous </w:t>
      </w:r>
      <w:r w:rsidR="00A95C4A">
        <w:rPr>
          <w:sz w:val="24"/>
          <w:szCs w:val="24"/>
        </w:rPr>
        <w:t xml:space="preserve">PCI, </w:t>
      </w:r>
      <w:r w:rsidR="00122596">
        <w:rPr>
          <w:sz w:val="24"/>
          <w:szCs w:val="24"/>
        </w:rPr>
        <w:t>l</w:t>
      </w:r>
      <w:r w:rsidR="00330E5A" w:rsidRPr="00330E5A">
        <w:rPr>
          <w:sz w:val="24"/>
          <w:szCs w:val="24"/>
        </w:rPr>
        <w:t>eft ventricular ejection fraction (LVEF)</w:t>
      </w:r>
      <w:r w:rsidR="00330E5A">
        <w:rPr>
          <w:sz w:val="24"/>
          <w:szCs w:val="24"/>
        </w:rPr>
        <w:t xml:space="preserve">, </w:t>
      </w:r>
      <w:r w:rsidR="00122596">
        <w:rPr>
          <w:sz w:val="24"/>
          <w:szCs w:val="24"/>
        </w:rPr>
        <w:t>i</w:t>
      </w:r>
      <w:r w:rsidR="00330E5A">
        <w:rPr>
          <w:sz w:val="24"/>
          <w:szCs w:val="24"/>
        </w:rPr>
        <w:t xml:space="preserve">ndication for PCI, </w:t>
      </w:r>
      <w:r w:rsidR="00122596">
        <w:rPr>
          <w:sz w:val="24"/>
          <w:szCs w:val="24"/>
        </w:rPr>
        <w:t>a</w:t>
      </w:r>
      <w:r w:rsidR="00330E5A">
        <w:rPr>
          <w:sz w:val="24"/>
          <w:szCs w:val="24"/>
        </w:rPr>
        <w:t xml:space="preserve">ccess site, </w:t>
      </w:r>
      <w:r w:rsidR="00330E5A" w:rsidRPr="00330E5A">
        <w:rPr>
          <w:sz w:val="24"/>
          <w:szCs w:val="24"/>
        </w:rPr>
        <w:t>vascular closure device</w:t>
      </w:r>
      <w:r w:rsidR="00122596">
        <w:rPr>
          <w:sz w:val="24"/>
          <w:szCs w:val="24"/>
        </w:rPr>
        <w:t xml:space="preserve"> (VCD), s</w:t>
      </w:r>
      <w:r w:rsidR="00330E5A">
        <w:rPr>
          <w:sz w:val="24"/>
          <w:szCs w:val="24"/>
        </w:rPr>
        <w:t xml:space="preserve">tent, </w:t>
      </w:r>
      <w:r w:rsidR="00122596">
        <w:rPr>
          <w:sz w:val="24"/>
          <w:szCs w:val="24"/>
        </w:rPr>
        <w:t>l</w:t>
      </w:r>
      <w:r w:rsidR="00330E5A" w:rsidRPr="00330E5A">
        <w:rPr>
          <w:sz w:val="24"/>
          <w:szCs w:val="24"/>
        </w:rPr>
        <w:t>eft main stem artery</w:t>
      </w:r>
      <w:r w:rsidR="00330E5A">
        <w:rPr>
          <w:sz w:val="24"/>
          <w:szCs w:val="24"/>
        </w:rPr>
        <w:t xml:space="preserve"> use, </w:t>
      </w:r>
      <w:proofErr w:type="spellStart"/>
      <w:r w:rsidR="00122596">
        <w:rPr>
          <w:sz w:val="24"/>
          <w:szCs w:val="24"/>
        </w:rPr>
        <w:t>m</w:t>
      </w:r>
      <w:r w:rsidR="00330E5A" w:rsidRPr="00330E5A">
        <w:rPr>
          <w:sz w:val="24"/>
          <w:szCs w:val="24"/>
        </w:rPr>
        <w:t>ultivessel</w:t>
      </w:r>
      <w:proofErr w:type="spellEnd"/>
      <w:r w:rsidR="00330E5A" w:rsidRPr="00330E5A">
        <w:rPr>
          <w:sz w:val="24"/>
          <w:szCs w:val="24"/>
        </w:rPr>
        <w:t xml:space="preserve"> PCI</w:t>
      </w:r>
      <w:r w:rsidR="00330E5A">
        <w:rPr>
          <w:sz w:val="24"/>
          <w:szCs w:val="24"/>
        </w:rPr>
        <w:t xml:space="preserve">, </w:t>
      </w:r>
      <w:r w:rsidR="00122596">
        <w:rPr>
          <w:sz w:val="24"/>
          <w:szCs w:val="24"/>
        </w:rPr>
        <w:t>c</w:t>
      </w:r>
      <w:r w:rsidR="00330E5A" w:rsidRPr="00330E5A">
        <w:rPr>
          <w:sz w:val="24"/>
          <w:szCs w:val="24"/>
        </w:rPr>
        <w:t>ardiogenic shock</w:t>
      </w:r>
      <w:r w:rsidR="00456B99">
        <w:rPr>
          <w:sz w:val="24"/>
          <w:szCs w:val="24"/>
        </w:rPr>
        <w:t xml:space="preserve"> (CS)</w:t>
      </w:r>
      <w:r w:rsidR="00330E5A">
        <w:rPr>
          <w:sz w:val="24"/>
          <w:szCs w:val="24"/>
        </w:rPr>
        <w:t xml:space="preserve">, </w:t>
      </w:r>
      <w:r w:rsidR="00122596">
        <w:rPr>
          <w:sz w:val="24"/>
          <w:szCs w:val="24"/>
        </w:rPr>
        <w:t>i</w:t>
      </w:r>
      <w:r w:rsidR="00330E5A" w:rsidRPr="00330E5A">
        <w:rPr>
          <w:sz w:val="24"/>
          <w:szCs w:val="24"/>
        </w:rPr>
        <w:t>ntra-aortic balloon pump (IABP)</w:t>
      </w:r>
      <w:r w:rsidR="00330E5A">
        <w:rPr>
          <w:sz w:val="24"/>
          <w:szCs w:val="24"/>
        </w:rPr>
        <w:t xml:space="preserve"> use, </w:t>
      </w:r>
      <w:proofErr w:type="spellStart"/>
      <w:r w:rsidR="00122596">
        <w:rPr>
          <w:sz w:val="24"/>
          <w:szCs w:val="24"/>
        </w:rPr>
        <w:t>v</w:t>
      </w:r>
      <w:r w:rsidR="00330E5A" w:rsidRPr="00330E5A">
        <w:rPr>
          <w:sz w:val="24"/>
          <w:szCs w:val="24"/>
        </w:rPr>
        <w:t>entilatory</w:t>
      </w:r>
      <w:proofErr w:type="spellEnd"/>
      <w:r w:rsidR="00330E5A" w:rsidRPr="00330E5A">
        <w:rPr>
          <w:sz w:val="24"/>
          <w:szCs w:val="24"/>
        </w:rPr>
        <w:t xml:space="preserve"> support</w:t>
      </w:r>
      <w:r w:rsidR="00330E5A">
        <w:rPr>
          <w:sz w:val="24"/>
          <w:szCs w:val="24"/>
        </w:rPr>
        <w:t xml:space="preserve">, </w:t>
      </w:r>
      <w:r w:rsidR="00122596">
        <w:rPr>
          <w:sz w:val="24"/>
          <w:szCs w:val="24"/>
        </w:rPr>
        <w:t>c</w:t>
      </w:r>
      <w:r w:rsidR="00330E5A" w:rsidRPr="00330E5A">
        <w:rPr>
          <w:sz w:val="24"/>
          <w:szCs w:val="24"/>
        </w:rPr>
        <w:t>irculatory support</w:t>
      </w:r>
      <w:r w:rsidR="00330E5A">
        <w:rPr>
          <w:sz w:val="24"/>
          <w:szCs w:val="24"/>
        </w:rPr>
        <w:t xml:space="preserve">, </w:t>
      </w:r>
      <w:r w:rsidR="00122596">
        <w:rPr>
          <w:sz w:val="24"/>
          <w:szCs w:val="24"/>
        </w:rPr>
        <w:t>g</w:t>
      </w:r>
      <w:r w:rsidR="00330E5A" w:rsidRPr="00330E5A">
        <w:rPr>
          <w:sz w:val="24"/>
          <w:szCs w:val="24"/>
        </w:rPr>
        <w:t xml:space="preserve">lycoprotein </w:t>
      </w:r>
      <w:proofErr w:type="spellStart"/>
      <w:r w:rsidR="00330E5A" w:rsidRPr="00330E5A">
        <w:rPr>
          <w:sz w:val="24"/>
          <w:szCs w:val="24"/>
        </w:rPr>
        <w:t>IIb</w:t>
      </w:r>
      <w:proofErr w:type="spellEnd"/>
      <w:r w:rsidR="00330E5A" w:rsidRPr="00330E5A">
        <w:rPr>
          <w:sz w:val="24"/>
          <w:szCs w:val="24"/>
        </w:rPr>
        <w:t>/</w:t>
      </w:r>
      <w:proofErr w:type="spellStart"/>
      <w:r w:rsidR="00330E5A" w:rsidRPr="00330E5A">
        <w:rPr>
          <w:sz w:val="24"/>
          <w:szCs w:val="24"/>
        </w:rPr>
        <w:t>IIIa</w:t>
      </w:r>
      <w:proofErr w:type="spellEnd"/>
      <w:r w:rsidR="00330E5A" w:rsidRPr="00330E5A">
        <w:rPr>
          <w:sz w:val="24"/>
          <w:szCs w:val="24"/>
        </w:rPr>
        <w:t xml:space="preserve"> inhibitors</w:t>
      </w:r>
      <w:r w:rsidR="00330E5A">
        <w:rPr>
          <w:sz w:val="24"/>
          <w:szCs w:val="24"/>
        </w:rPr>
        <w:t xml:space="preserve"> (GPI) use, </w:t>
      </w:r>
      <w:r w:rsidR="00122596">
        <w:rPr>
          <w:sz w:val="24"/>
          <w:szCs w:val="24"/>
        </w:rPr>
        <w:t>a</w:t>
      </w:r>
      <w:r w:rsidR="00330E5A" w:rsidRPr="00330E5A">
        <w:rPr>
          <w:sz w:val="24"/>
          <w:szCs w:val="24"/>
        </w:rPr>
        <w:t>ntiplatelet drug</w:t>
      </w:r>
      <w:r w:rsidR="00330E5A">
        <w:rPr>
          <w:sz w:val="24"/>
          <w:szCs w:val="24"/>
        </w:rPr>
        <w:t xml:space="preserve">, </w:t>
      </w:r>
      <w:r w:rsidR="00122596">
        <w:rPr>
          <w:sz w:val="24"/>
          <w:szCs w:val="24"/>
        </w:rPr>
        <w:t xml:space="preserve">and </w:t>
      </w:r>
      <w:proofErr w:type="spellStart"/>
      <w:r w:rsidR="00122596">
        <w:rPr>
          <w:sz w:val="24"/>
          <w:szCs w:val="24"/>
        </w:rPr>
        <w:t>b</w:t>
      </w:r>
      <w:r w:rsidR="00330E5A" w:rsidRPr="00330E5A">
        <w:rPr>
          <w:sz w:val="24"/>
          <w:szCs w:val="24"/>
        </w:rPr>
        <w:t>ivalirudin</w:t>
      </w:r>
      <w:proofErr w:type="spellEnd"/>
      <w:r w:rsidR="00122596">
        <w:rPr>
          <w:sz w:val="24"/>
          <w:szCs w:val="24"/>
        </w:rPr>
        <w:t xml:space="preserve"> use</w:t>
      </w:r>
      <w:r w:rsidR="00A95C4A">
        <w:rPr>
          <w:sz w:val="24"/>
          <w:szCs w:val="24"/>
        </w:rPr>
        <w:t xml:space="preserve"> </w:t>
      </w:r>
      <w:r w:rsidR="00EC453C" w:rsidRPr="00FF0361">
        <w:rPr>
          <w:sz w:val="24"/>
          <w:szCs w:val="24"/>
        </w:rPr>
        <w:t>. We used the</w:t>
      </w:r>
      <w:r w:rsidR="001128C7">
        <w:rPr>
          <w:sz w:val="24"/>
          <w:szCs w:val="24"/>
        </w:rPr>
        <w:t xml:space="preserve"> base</w:t>
      </w:r>
      <w:r w:rsidR="00EC453C" w:rsidRPr="00FF0361">
        <w:rPr>
          <w:sz w:val="24"/>
          <w:szCs w:val="24"/>
        </w:rPr>
        <w:t xml:space="preserve"> </w:t>
      </w:r>
      <w:r w:rsidR="00EC453C" w:rsidRPr="00FF0361">
        <w:rPr>
          <w:i/>
          <w:sz w:val="24"/>
          <w:szCs w:val="24"/>
        </w:rPr>
        <w:t>stats</w:t>
      </w:r>
      <w:r w:rsidR="00EC453C" w:rsidRPr="00FF0361">
        <w:rPr>
          <w:sz w:val="24"/>
          <w:szCs w:val="24"/>
        </w:rPr>
        <w:t xml:space="preserve"> R package to build the models. </w:t>
      </w:r>
      <w:r w:rsidR="00A920FC" w:rsidRPr="008B372F">
        <w:rPr>
          <w:sz w:val="24"/>
          <w:szCs w:val="24"/>
        </w:rPr>
        <w:t xml:space="preserve">Odd ratios and confidence intervals were obtained after pooling the fitted model coefficients of the 10 complete dataset instances per group </w:t>
      </w:r>
      <w:r w:rsidR="00A920FC" w:rsidRPr="00FF0361">
        <w:rPr>
          <w:sz w:val="24"/>
          <w:szCs w:val="24"/>
        </w:rPr>
        <w:t xml:space="preserve">according to </w:t>
      </w:r>
      <w:r w:rsidR="007A4E2D">
        <w:rPr>
          <w:sz w:val="24"/>
          <w:szCs w:val="24"/>
        </w:rPr>
        <w:t>u</w:t>
      </w:r>
      <w:r w:rsidR="00A920FC" w:rsidRPr="00FF0361">
        <w:rPr>
          <w:sz w:val="24"/>
          <w:szCs w:val="24"/>
        </w:rPr>
        <w:t xml:space="preserve">sing the </w:t>
      </w:r>
      <w:r w:rsidR="00A920FC" w:rsidRPr="00FF0361">
        <w:rPr>
          <w:i/>
          <w:sz w:val="24"/>
          <w:szCs w:val="24"/>
        </w:rPr>
        <w:t>mice</w:t>
      </w:r>
      <w:r w:rsidR="00A920FC" w:rsidRPr="00FF0361">
        <w:rPr>
          <w:sz w:val="24"/>
          <w:szCs w:val="24"/>
        </w:rPr>
        <w:t xml:space="preserve"> R package</w:t>
      </w:r>
      <w:r w:rsidR="008221E3">
        <w:rPr>
          <w:sz w:val="24"/>
          <w:szCs w:val="24"/>
        </w:rPr>
        <w:fldChar w:fldCharType="begin"/>
      </w:r>
      <w:r w:rsidR="00607FC5">
        <w:rPr>
          <w:sz w:val="24"/>
          <w:szCs w:val="24"/>
        </w:rPr>
        <w:instrText>ADDIN RW.CITE{{348 Meng, Xiao-Li 1992}}</w:instrText>
      </w:r>
      <w:r w:rsidR="008221E3">
        <w:rPr>
          <w:sz w:val="24"/>
          <w:szCs w:val="24"/>
        </w:rPr>
        <w:fldChar w:fldCharType="separate"/>
      </w:r>
      <w:r w:rsidR="00607FC5" w:rsidRPr="00607FC5">
        <w:rPr>
          <w:rFonts w:eastAsia="Times New Roman"/>
          <w:sz w:val="24"/>
          <w:vertAlign w:val="superscript"/>
        </w:rPr>
        <w:t>14</w:t>
      </w:r>
      <w:r w:rsidR="008221E3">
        <w:rPr>
          <w:sz w:val="24"/>
          <w:szCs w:val="24"/>
        </w:rPr>
        <w:fldChar w:fldCharType="end"/>
      </w:r>
      <w:r w:rsidR="00A920FC" w:rsidRPr="00BD5525">
        <w:rPr>
          <w:sz w:val="24"/>
          <w:szCs w:val="24"/>
        </w:rPr>
        <w:t xml:space="preserve">. </w:t>
      </w:r>
      <w:r w:rsidR="000D2512" w:rsidRPr="00FF0361">
        <w:rPr>
          <w:sz w:val="24"/>
          <w:szCs w:val="24"/>
        </w:rPr>
        <w:t>Areas under the</w:t>
      </w:r>
      <w:r w:rsidR="00705464" w:rsidRPr="00FF0361">
        <w:rPr>
          <w:sz w:val="24"/>
          <w:szCs w:val="24"/>
        </w:rPr>
        <w:t xml:space="preserve"> receiver operator</w:t>
      </w:r>
      <w:r w:rsidR="000D2512" w:rsidRPr="00FF0361">
        <w:rPr>
          <w:sz w:val="24"/>
          <w:szCs w:val="24"/>
        </w:rPr>
        <w:t xml:space="preserve"> curves (AUCs) were estimated i</w:t>
      </w:r>
      <w:r w:rsidR="00EC453C" w:rsidRPr="00FF0361">
        <w:rPr>
          <w:sz w:val="24"/>
          <w:szCs w:val="24"/>
        </w:rPr>
        <w:t>n order to assess model robustness</w:t>
      </w:r>
      <w:r w:rsidR="00022EB3" w:rsidRPr="00FF0361">
        <w:rPr>
          <w:sz w:val="24"/>
          <w:szCs w:val="24"/>
        </w:rPr>
        <w:t xml:space="preserve"> for prediction</w:t>
      </w:r>
      <w:r w:rsidR="00EC453C" w:rsidRPr="00FF0361">
        <w:rPr>
          <w:sz w:val="24"/>
          <w:szCs w:val="24"/>
        </w:rPr>
        <w:t xml:space="preserve">. </w:t>
      </w:r>
    </w:p>
    <w:p w14:paraId="23A80602" w14:textId="2D5877AF" w:rsidR="00FD457D" w:rsidRPr="00FF0361" w:rsidRDefault="007E61BC" w:rsidP="00530C48">
      <w:pPr>
        <w:spacing w:before="0" w:after="0" w:line="480" w:lineRule="auto"/>
        <w:ind w:firstLine="720"/>
        <w:rPr>
          <w:sz w:val="24"/>
          <w:szCs w:val="24"/>
        </w:rPr>
      </w:pPr>
      <w:r>
        <w:rPr>
          <w:sz w:val="24"/>
          <w:szCs w:val="24"/>
        </w:rPr>
        <w:t>Our aim</w:t>
      </w:r>
      <w:r w:rsidR="00276F84" w:rsidRPr="00FF0361">
        <w:rPr>
          <w:sz w:val="24"/>
          <w:szCs w:val="24"/>
        </w:rPr>
        <w:t xml:space="preserve"> was to identify possible factors </w:t>
      </w:r>
      <w:r w:rsidR="00166340" w:rsidRPr="00FF0361">
        <w:rPr>
          <w:sz w:val="24"/>
          <w:szCs w:val="24"/>
        </w:rPr>
        <w:t>influencing the changes in bleeding rates over time and to quantify their effects</w:t>
      </w:r>
      <w:r w:rsidR="00B07D7D">
        <w:rPr>
          <w:sz w:val="24"/>
          <w:szCs w:val="24"/>
        </w:rPr>
        <w:t xml:space="preserve"> </w:t>
      </w:r>
      <w:r w:rsidR="008C24DF" w:rsidRPr="00FF0361">
        <w:rPr>
          <w:sz w:val="24"/>
          <w:szCs w:val="24"/>
        </w:rPr>
        <w:t>Firstly,</w:t>
      </w:r>
      <w:r w:rsidR="00166340" w:rsidRPr="00FF0361">
        <w:rPr>
          <w:sz w:val="24"/>
          <w:szCs w:val="24"/>
        </w:rPr>
        <w:t xml:space="preserve"> </w:t>
      </w:r>
      <w:r w:rsidR="004F6273" w:rsidRPr="00FF0361">
        <w:rPr>
          <w:sz w:val="24"/>
          <w:szCs w:val="24"/>
        </w:rPr>
        <w:t xml:space="preserve">we took the annual average of the </w:t>
      </w:r>
      <w:r w:rsidR="001411A7" w:rsidRPr="00122596">
        <w:rPr>
          <w:sz w:val="24"/>
          <w:szCs w:val="24"/>
        </w:rPr>
        <w:t>predicted bleeding log odds predicted</w:t>
      </w:r>
      <w:r w:rsidR="004912F4" w:rsidRPr="00FF0361">
        <w:rPr>
          <w:sz w:val="24"/>
          <w:szCs w:val="24"/>
        </w:rPr>
        <w:t xml:space="preserve"> by the aforementioned logistic model</w:t>
      </w:r>
      <w:r w:rsidR="00222208" w:rsidRPr="00FF0361">
        <w:rPr>
          <w:sz w:val="24"/>
          <w:szCs w:val="24"/>
        </w:rPr>
        <w:t>s</w:t>
      </w:r>
      <w:r w:rsidR="004F6273" w:rsidRPr="00FF0361">
        <w:rPr>
          <w:sz w:val="24"/>
          <w:szCs w:val="24"/>
        </w:rPr>
        <w:t xml:space="preserve"> and decomposed </w:t>
      </w:r>
      <w:r w:rsidR="00222208" w:rsidRPr="00FF0361">
        <w:rPr>
          <w:sz w:val="24"/>
          <w:szCs w:val="24"/>
        </w:rPr>
        <w:t xml:space="preserve">them </w:t>
      </w:r>
      <w:r w:rsidR="004F6273" w:rsidRPr="00FF0361">
        <w:rPr>
          <w:sz w:val="24"/>
          <w:szCs w:val="24"/>
        </w:rPr>
        <w:t xml:space="preserve">into </w:t>
      </w:r>
      <w:r w:rsidR="00222208" w:rsidRPr="00FF0361">
        <w:rPr>
          <w:sz w:val="24"/>
          <w:szCs w:val="24"/>
        </w:rPr>
        <w:t>their</w:t>
      </w:r>
      <w:r w:rsidR="004F6273" w:rsidRPr="00FF0361">
        <w:rPr>
          <w:sz w:val="24"/>
          <w:szCs w:val="24"/>
        </w:rPr>
        <w:t xml:space="preserve"> additive terms, one </w:t>
      </w:r>
      <w:r w:rsidR="00222208" w:rsidRPr="00FF0361">
        <w:rPr>
          <w:sz w:val="24"/>
          <w:szCs w:val="24"/>
        </w:rPr>
        <w:t>for each</w:t>
      </w:r>
      <w:r w:rsidR="004F6273" w:rsidRPr="00FF0361">
        <w:rPr>
          <w:sz w:val="24"/>
          <w:szCs w:val="24"/>
        </w:rPr>
        <w:t xml:space="preserve"> explanatory variable. We grouped the terms in (functional) </w:t>
      </w:r>
      <w:r w:rsidR="004912F4" w:rsidRPr="00FF0361">
        <w:rPr>
          <w:sz w:val="24"/>
          <w:szCs w:val="24"/>
        </w:rPr>
        <w:t>factors</w:t>
      </w:r>
      <w:r w:rsidR="00222208" w:rsidRPr="00FF0361">
        <w:rPr>
          <w:sz w:val="24"/>
          <w:szCs w:val="24"/>
        </w:rPr>
        <w:t xml:space="preserve"> taking into account</w:t>
      </w:r>
      <w:r w:rsidR="00D10DCC" w:rsidRPr="00FF0361">
        <w:rPr>
          <w:sz w:val="24"/>
          <w:szCs w:val="24"/>
        </w:rPr>
        <w:t xml:space="preserve"> their associations with the bleeding outcome</w:t>
      </w:r>
      <w:r w:rsidR="00456B99">
        <w:rPr>
          <w:sz w:val="24"/>
          <w:szCs w:val="24"/>
        </w:rPr>
        <w:t xml:space="preserve">, as follows: </w:t>
      </w:r>
      <w:r w:rsidR="00456B99" w:rsidRPr="00BD5525">
        <w:rPr>
          <w:i/>
          <w:sz w:val="24"/>
          <w:szCs w:val="24"/>
        </w:rPr>
        <w:t>clinical demographics</w:t>
      </w:r>
      <w:r w:rsidR="00456B99">
        <w:rPr>
          <w:sz w:val="24"/>
          <w:szCs w:val="24"/>
        </w:rPr>
        <w:t xml:space="preserve"> (a</w:t>
      </w:r>
      <w:r w:rsidR="00456B99" w:rsidRPr="00456B99">
        <w:rPr>
          <w:sz w:val="24"/>
          <w:szCs w:val="24"/>
        </w:rPr>
        <w:t xml:space="preserve">ge, </w:t>
      </w:r>
      <w:r w:rsidR="00456B99">
        <w:rPr>
          <w:sz w:val="24"/>
          <w:szCs w:val="24"/>
        </w:rPr>
        <w:t>g</w:t>
      </w:r>
      <w:r w:rsidR="00456B99" w:rsidRPr="00456B99">
        <w:rPr>
          <w:sz w:val="24"/>
          <w:szCs w:val="24"/>
        </w:rPr>
        <w:t xml:space="preserve">ender, </w:t>
      </w:r>
      <w:r w:rsidR="00456B99">
        <w:rPr>
          <w:sz w:val="24"/>
          <w:szCs w:val="24"/>
        </w:rPr>
        <w:t>smoking status, d</w:t>
      </w:r>
      <w:r w:rsidR="00456B99" w:rsidRPr="00456B99">
        <w:rPr>
          <w:sz w:val="24"/>
          <w:szCs w:val="24"/>
        </w:rPr>
        <w:t xml:space="preserve">iabetes, PVD, </w:t>
      </w:r>
      <w:r w:rsidR="00456B99">
        <w:rPr>
          <w:sz w:val="24"/>
          <w:szCs w:val="24"/>
        </w:rPr>
        <w:t>hypertension, hypercholesterolemia, renal disease, previous CABG, previous MI, previous stroke, p</w:t>
      </w:r>
      <w:r w:rsidR="00456B99" w:rsidRPr="00456B99">
        <w:rPr>
          <w:sz w:val="24"/>
          <w:szCs w:val="24"/>
        </w:rPr>
        <w:t>revious PCI,</w:t>
      </w:r>
      <w:r w:rsidR="00456B99">
        <w:rPr>
          <w:sz w:val="24"/>
          <w:szCs w:val="24"/>
        </w:rPr>
        <w:t xml:space="preserve"> and</w:t>
      </w:r>
      <w:r w:rsidR="00456B99" w:rsidRPr="00456B99">
        <w:rPr>
          <w:sz w:val="24"/>
          <w:szCs w:val="24"/>
        </w:rPr>
        <w:t xml:space="preserve"> LVEF</w:t>
      </w:r>
      <w:r w:rsidR="00456B99">
        <w:rPr>
          <w:sz w:val="24"/>
          <w:szCs w:val="24"/>
        </w:rPr>
        <w:t xml:space="preserve">); </w:t>
      </w:r>
      <w:r w:rsidR="00456B99" w:rsidRPr="00BD5525">
        <w:rPr>
          <w:i/>
          <w:sz w:val="24"/>
          <w:szCs w:val="24"/>
        </w:rPr>
        <w:t>indication for PCI</w:t>
      </w:r>
      <w:r w:rsidR="00456B99">
        <w:rPr>
          <w:sz w:val="24"/>
          <w:szCs w:val="24"/>
        </w:rPr>
        <w:t xml:space="preserve">; </w:t>
      </w:r>
      <w:r w:rsidR="00456B99" w:rsidRPr="00BD5525">
        <w:rPr>
          <w:i/>
          <w:sz w:val="24"/>
          <w:szCs w:val="24"/>
        </w:rPr>
        <w:t>access site</w:t>
      </w:r>
      <w:r w:rsidR="00456B99">
        <w:rPr>
          <w:sz w:val="24"/>
          <w:szCs w:val="24"/>
        </w:rPr>
        <w:t xml:space="preserve">; </w:t>
      </w:r>
      <w:r w:rsidR="00456B99" w:rsidRPr="00BD5525">
        <w:rPr>
          <w:i/>
          <w:sz w:val="24"/>
          <w:szCs w:val="24"/>
        </w:rPr>
        <w:lastRenderedPageBreak/>
        <w:t>VCD use</w:t>
      </w:r>
      <w:r w:rsidR="00456B99">
        <w:rPr>
          <w:sz w:val="24"/>
          <w:szCs w:val="24"/>
        </w:rPr>
        <w:t xml:space="preserve">; </w:t>
      </w:r>
      <w:r w:rsidR="00456B99" w:rsidRPr="00BD5525">
        <w:rPr>
          <w:i/>
          <w:sz w:val="24"/>
          <w:szCs w:val="24"/>
        </w:rPr>
        <w:t>CS and IABP</w:t>
      </w:r>
      <w:r w:rsidR="00456B99">
        <w:rPr>
          <w:sz w:val="24"/>
          <w:szCs w:val="24"/>
        </w:rPr>
        <w:t xml:space="preserve">; </w:t>
      </w:r>
      <w:r w:rsidR="00456B99" w:rsidRPr="00BD5525">
        <w:rPr>
          <w:i/>
          <w:sz w:val="24"/>
          <w:szCs w:val="24"/>
        </w:rPr>
        <w:t>other procedural characteristics</w:t>
      </w:r>
      <w:r w:rsidR="00456B99">
        <w:rPr>
          <w:sz w:val="24"/>
          <w:szCs w:val="24"/>
        </w:rPr>
        <w:t xml:space="preserve"> (s</w:t>
      </w:r>
      <w:r w:rsidR="00456B99" w:rsidRPr="00456B99">
        <w:rPr>
          <w:sz w:val="24"/>
          <w:szCs w:val="24"/>
        </w:rPr>
        <w:t xml:space="preserve">tent, </w:t>
      </w:r>
      <w:r w:rsidR="00456B99">
        <w:rPr>
          <w:sz w:val="24"/>
          <w:szCs w:val="24"/>
        </w:rPr>
        <w:t>l</w:t>
      </w:r>
      <w:r w:rsidR="00456B99" w:rsidRPr="00456B99">
        <w:rPr>
          <w:sz w:val="24"/>
          <w:szCs w:val="24"/>
        </w:rPr>
        <w:t>eft main stem artery,</w:t>
      </w:r>
      <w:r w:rsidR="00456B99">
        <w:rPr>
          <w:sz w:val="24"/>
          <w:szCs w:val="24"/>
        </w:rPr>
        <w:t xml:space="preserve"> and</w:t>
      </w:r>
      <w:r w:rsidR="00456B99" w:rsidRPr="00456B99">
        <w:rPr>
          <w:sz w:val="24"/>
          <w:szCs w:val="24"/>
        </w:rPr>
        <w:t xml:space="preserve"> </w:t>
      </w:r>
      <w:proofErr w:type="spellStart"/>
      <w:r w:rsidR="00456B99">
        <w:rPr>
          <w:sz w:val="24"/>
          <w:szCs w:val="24"/>
        </w:rPr>
        <w:t>m</w:t>
      </w:r>
      <w:r w:rsidR="00456B99" w:rsidRPr="00456B99">
        <w:rPr>
          <w:sz w:val="24"/>
          <w:szCs w:val="24"/>
        </w:rPr>
        <w:t>ultivessel</w:t>
      </w:r>
      <w:proofErr w:type="spellEnd"/>
      <w:r w:rsidR="00456B99" w:rsidRPr="00456B99">
        <w:rPr>
          <w:sz w:val="24"/>
          <w:szCs w:val="24"/>
        </w:rPr>
        <w:t xml:space="preserve"> PCI</w:t>
      </w:r>
      <w:r w:rsidR="00456B99">
        <w:rPr>
          <w:sz w:val="24"/>
          <w:szCs w:val="24"/>
        </w:rPr>
        <w:t xml:space="preserve">); and </w:t>
      </w:r>
      <w:r w:rsidR="00456B99" w:rsidRPr="00BD5525">
        <w:rPr>
          <w:i/>
          <w:sz w:val="24"/>
          <w:szCs w:val="24"/>
        </w:rPr>
        <w:t>pharmacology</w:t>
      </w:r>
      <w:r w:rsidR="00456B99">
        <w:rPr>
          <w:sz w:val="24"/>
          <w:szCs w:val="24"/>
        </w:rPr>
        <w:t xml:space="preserve"> (GPI, </w:t>
      </w:r>
      <w:proofErr w:type="spellStart"/>
      <w:r w:rsidR="00456B99">
        <w:rPr>
          <w:sz w:val="24"/>
          <w:szCs w:val="24"/>
        </w:rPr>
        <w:t>antiplatelets</w:t>
      </w:r>
      <w:proofErr w:type="spellEnd"/>
      <w:r w:rsidR="00456B99">
        <w:rPr>
          <w:sz w:val="24"/>
          <w:szCs w:val="24"/>
        </w:rPr>
        <w:t xml:space="preserve">, and </w:t>
      </w:r>
      <w:proofErr w:type="spellStart"/>
      <w:r w:rsidR="00456B99">
        <w:rPr>
          <w:sz w:val="24"/>
          <w:szCs w:val="24"/>
        </w:rPr>
        <w:t>bivalirudin</w:t>
      </w:r>
      <w:proofErr w:type="spellEnd"/>
      <w:r w:rsidR="00456B99">
        <w:rPr>
          <w:sz w:val="24"/>
          <w:szCs w:val="24"/>
        </w:rPr>
        <w:t>)</w:t>
      </w:r>
      <w:r w:rsidR="00D10DCC" w:rsidRPr="00FF0361">
        <w:rPr>
          <w:sz w:val="24"/>
          <w:szCs w:val="24"/>
        </w:rPr>
        <w:t>.</w:t>
      </w:r>
      <w:r w:rsidR="004F6273" w:rsidRPr="00FF0361">
        <w:rPr>
          <w:sz w:val="24"/>
          <w:szCs w:val="24"/>
        </w:rPr>
        <w:t xml:space="preserve"> We reported scores measuring relative </w:t>
      </w:r>
      <w:r w:rsidR="004912F4" w:rsidRPr="00FF0361">
        <w:rPr>
          <w:sz w:val="24"/>
          <w:szCs w:val="24"/>
        </w:rPr>
        <w:t>factor</w:t>
      </w:r>
      <w:r w:rsidR="004F6273" w:rsidRPr="00FF0361">
        <w:rPr>
          <w:sz w:val="24"/>
          <w:szCs w:val="24"/>
        </w:rPr>
        <w:t xml:space="preserve"> contribution</w:t>
      </w:r>
      <w:r w:rsidR="00A124D3">
        <w:rPr>
          <w:sz w:val="24"/>
          <w:szCs w:val="24"/>
        </w:rPr>
        <w:t>s</w:t>
      </w:r>
      <w:r w:rsidR="004F6273" w:rsidRPr="00FF0361">
        <w:rPr>
          <w:sz w:val="24"/>
          <w:szCs w:val="24"/>
        </w:rPr>
        <w:t xml:space="preserve"> to the changes in bleeding rates over time. </w:t>
      </w:r>
      <w:r w:rsidR="008C24DF" w:rsidRPr="00FF0361">
        <w:rPr>
          <w:sz w:val="24"/>
          <w:szCs w:val="24"/>
        </w:rPr>
        <w:t>T</w:t>
      </w:r>
      <w:r w:rsidR="004912F4" w:rsidRPr="00FF0361">
        <w:rPr>
          <w:sz w:val="24"/>
          <w:szCs w:val="24"/>
        </w:rPr>
        <w:t xml:space="preserve">his </w:t>
      </w:r>
      <w:r w:rsidR="004F6273" w:rsidRPr="00FF0361">
        <w:rPr>
          <w:sz w:val="24"/>
          <w:szCs w:val="24"/>
        </w:rPr>
        <w:t xml:space="preserve">approach provides a graphical representation </w:t>
      </w:r>
      <w:r w:rsidR="004912F4" w:rsidRPr="00FF0361">
        <w:rPr>
          <w:sz w:val="24"/>
          <w:szCs w:val="24"/>
        </w:rPr>
        <w:t xml:space="preserve">of the relative </w:t>
      </w:r>
      <w:r w:rsidR="008C24DF" w:rsidRPr="00FF0361">
        <w:rPr>
          <w:sz w:val="24"/>
          <w:szCs w:val="24"/>
        </w:rPr>
        <w:t xml:space="preserve">factor </w:t>
      </w:r>
      <w:r w:rsidR="004912F4" w:rsidRPr="00FF0361">
        <w:rPr>
          <w:sz w:val="24"/>
          <w:szCs w:val="24"/>
        </w:rPr>
        <w:t xml:space="preserve">contributions and allows us to explore </w:t>
      </w:r>
      <w:proofErr w:type="spellStart"/>
      <w:r w:rsidR="004912F4" w:rsidRPr="00FF0361">
        <w:rPr>
          <w:sz w:val="24"/>
          <w:szCs w:val="24"/>
        </w:rPr>
        <w:t>them</w:t>
      </w:r>
      <w:proofErr w:type="spellEnd"/>
      <w:r w:rsidR="004912F4" w:rsidRPr="00FF0361">
        <w:rPr>
          <w:sz w:val="24"/>
          <w:szCs w:val="24"/>
        </w:rPr>
        <w:t xml:space="preserve"> </w:t>
      </w:r>
      <w:r w:rsidR="008C24DF" w:rsidRPr="00FF0361">
        <w:rPr>
          <w:sz w:val="24"/>
          <w:szCs w:val="24"/>
        </w:rPr>
        <w:t>year-by-year.</w:t>
      </w:r>
      <w:r w:rsidR="004912F4" w:rsidRPr="00FF0361">
        <w:rPr>
          <w:sz w:val="24"/>
          <w:szCs w:val="24"/>
        </w:rPr>
        <w:t xml:space="preserve"> </w:t>
      </w:r>
      <w:r w:rsidR="008C24DF" w:rsidRPr="00FF0361">
        <w:rPr>
          <w:sz w:val="24"/>
          <w:szCs w:val="24"/>
        </w:rPr>
        <w:t>Finally, and w</w:t>
      </w:r>
      <w:r w:rsidR="00DA04EE" w:rsidRPr="00FF0361">
        <w:rPr>
          <w:sz w:val="24"/>
          <w:szCs w:val="24"/>
        </w:rPr>
        <w:t xml:space="preserve">ith the aim to quantify the influence of factors on the bleeding rate trends, we </w:t>
      </w:r>
      <w:r w:rsidR="003A02F0">
        <w:rPr>
          <w:sz w:val="24"/>
          <w:szCs w:val="24"/>
        </w:rPr>
        <w:t>started with a</w:t>
      </w:r>
      <w:r w:rsidR="00B07D7D">
        <w:rPr>
          <w:sz w:val="24"/>
          <w:szCs w:val="24"/>
        </w:rPr>
        <w:t xml:space="preserve"> new</w:t>
      </w:r>
      <w:r w:rsidR="003A02F0">
        <w:rPr>
          <w:sz w:val="24"/>
          <w:szCs w:val="24"/>
        </w:rPr>
        <w:t xml:space="preserve"> simple univariate logistic regression model </w:t>
      </w:r>
      <w:r w:rsidR="00F243AF">
        <w:rPr>
          <w:sz w:val="24"/>
          <w:szCs w:val="24"/>
        </w:rPr>
        <w:t>(Supplementary methods).</w:t>
      </w:r>
      <w:r w:rsidR="00B07555">
        <w:rPr>
          <w:sz w:val="24"/>
          <w:szCs w:val="24"/>
        </w:rPr>
        <w:t xml:space="preserve"> </w:t>
      </w:r>
    </w:p>
    <w:p w14:paraId="3F2F9827" w14:textId="77777777" w:rsidR="006327CC" w:rsidRPr="00736359" w:rsidRDefault="00F8066E" w:rsidP="00530C48">
      <w:pPr>
        <w:spacing w:before="0" w:after="0" w:line="480" w:lineRule="auto"/>
      </w:pPr>
      <w:r w:rsidRPr="00530C48">
        <w:rPr>
          <w:b/>
        </w:rPr>
        <w:t>Results</w:t>
      </w:r>
    </w:p>
    <w:p w14:paraId="1FECE25E" w14:textId="3B813207" w:rsidR="000B4F87" w:rsidRPr="00FF0361" w:rsidRDefault="00C603FD" w:rsidP="00772C56">
      <w:pPr>
        <w:spacing w:before="0" w:after="0" w:line="480" w:lineRule="auto"/>
        <w:rPr>
          <w:sz w:val="24"/>
          <w:szCs w:val="24"/>
        </w:rPr>
      </w:pPr>
      <w:r>
        <w:rPr>
          <w:sz w:val="24"/>
          <w:szCs w:val="24"/>
        </w:rPr>
        <w:tab/>
      </w:r>
      <w:r w:rsidR="00D848E2" w:rsidRPr="00FF0361">
        <w:rPr>
          <w:sz w:val="24"/>
          <w:szCs w:val="24"/>
        </w:rPr>
        <w:t xml:space="preserve">A total of </w:t>
      </w:r>
      <w:r w:rsidR="006D2B04">
        <w:rPr>
          <w:sz w:val="24"/>
          <w:szCs w:val="24"/>
        </w:rPr>
        <w:t>577</w:t>
      </w:r>
      <w:r w:rsidR="006C7669" w:rsidRPr="00FF0361">
        <w:rPr>
          <w:sz w:val="24"/>
          <w:szCs w:val="24"/>
        </w:rPr>
        <w:t>,</w:t>
      </w:r>
      <w:r w:rsidR="006D2B04">
        <w:rPr>
          <w:sz w:val="24"/>
          <w:szCs w:val="24"/>
        </w:rPr>
        <w:t>471</w:t>
      </w:r>
      <w:r w:rsidR="006D2B04" w:rsidRPr="00FF0361">
        <w:rPr>
          <w:sz w:val="24"/>
          <w:szCs w:val="24"/>
        </w:rPr>
        <w:t xml:space="preserve"> </w:t>
      </w:r>
      <w:r w:rsidR="00D848E2" w:rsidRPr="00FF0361">
        <w:rPr>
          <w:sz w:val="24"/>
          <w:szCs w:val="24"/>
        </w:rPr>
        <w:t>procedures were undertaken in</w:t>
      </w:r>
      <w:r w:rsidR="00DF302C" w:rsidRPr="00FF0361">
        <w:rPr>
          <w:sz w:val="24"/>
          <w:szCs w:val="24"/>
        </w:rPr>
        <w:t xml:space="preserve"> </w:t>
      </w:r>
      <w:r w:rsidR="00F35B07" w:rsidRPr="00FF0361">
        <w:rPr>
          <w:sz w:val="24"/>
          <w:szCs w:val="24"/>
        </w:rPr>
        <w:t>England and Wales</w:t>
      </w:r>
      <w:r w:rsidR="00DF302C" w:rsidRPr="00FF0361">
        <w:rPr>
          <w:sz w:val="24"/>
          <w:szCs w:val="24"/>
        </w:rPr>
        <w:t xml:space="preserve"> </w:t>
      </w:r>
      <w:r w:rsidR="00F35B07" w:rsidRPr="00FF0361">
        <w:rPr>
          <w:sz w:val="24"/>
          <w:szCs w:val="24"/>
        </w:rPr>
        <w:t>between</w:t>
      </w:r>
      <w:r w:rsidR="00DF302C" w:rsidRPr="00FF0361">
        <w:rPr>
          <w:sz w:val="24"/>
          <w:szCs w:val="24"/>
        </w:rPr>
        <w:t xml:space="preserve"> 200</w:t>
      </w:r>
      <w:r w:rsidR="00AF38E0" w:rsidRPr="00FF0361">
        <w:rPr>
          <w:sz w:val="24"/>
          <w:szCs w:val="24"/>
        </w:rPr>
        <w:t>6</w:t>
      </w:r>
      <w:r w:rsidR="00F35B07" w:rsidRPr="00FF0361">
        <w:rPr>
          <w:sz w:val="24"/>
          <w:szCs w:val="24"/>
        </w:rPr>
        <w:t xml:space="preserve"> and </w:t>
      </w:r>
      <w:r w:rsidR="00DF302C" w:rsidRPr="00FF0361">
        <w:rPr>
          <w:sz w:val="24"/>
          <w:szCs w:val="24"/>
        </w:rPr>
        <w:t>2013</w:t>
      </w:r>
      <w:r w:rsidR="006C7669" w:rsidRPr="00FF0361">
        <w:rPr>
          <w:sz w:val="24"/>
          <w:szCs w:val="24"/>
        </w:rPr>
        <w:t xml:space="preserve"> of which </w:t>
      </w:r>
      <w:r w:rsidR="00CE50C6" w:rsidRPr="00FF0361">
        <w:rPr>
          <w:sz w:val="24"/>
          <w:szCs w:val="24"/>
        </w:rPr>
        <w:t>545,604</w:t>
      </w:r>
      <w:r w:rsidR="008B36DA" w:rsidRPr="00FF0361">
        <w:rPr>
          <w:sz w:val="24"/>
          <w:szCs w:val="24"/>
        </w:rPr>
        <w:t xml:space="preserve"> </w:t>
      </w:r>
      <w:r w:rsidR="006D2B04">
        <w:rPr>
          <w:sz w:val="24"/>
          <w:szCs w:val="24"/>
        </w:rPr>
        <w:t xml:space="preserve">(94.5%) </w:t>
      </w:r>
      <w:r w:rsidR="006C7669" w:rsidRPr="00FF0361">
        <w:rPr>
          <w:sz w:val="24"/>
          <w:szCs w:val="24"/>
        </w:rPr>
        <w:t>were</w:t>
      </w:r>
      <w:r w:rsidR="008B36DA" w:rsidRPr="00FF0361">
        <w:rPr>
          <w:sz w:val="24"/>
          <w:szCs w:val="24"/>
        </w:rPr>
        <w:t xml:space="preserve"> </w:t>
      </w:r>
      <w:r w:rsidR="003A2A83" w:rsidRPr="00FF0361">
        <w:rPr>
          <w:sz w:val="24"/>
          <w:szCs w:val="24"/>
        </w:rPr>
        <w:t>included in the analyse</w:t>
      </w:r>
      <w:r w:rsidR="008B36DA" w:rsidRPr="00FF0361">
        <w:rPr>
          <w:sz w:val="24"/>
          <w:szCs w:val="24"/>
        </w:rPr>
        <w:t>s (</w:t>
      </w:r>
      <w:r w:rsidR="00C52B64" w:rsidRPr="00FF0361">
        <w:rPr>
          <w:sz w:val="24"/>
          <w:szCs w:val="24"/>
        </w:rPr>
        <w:t>Figure</w:t>
      </w:r>
      <w:r w:rsidR="008B36DA" w:rsidRPr="00FF0361">
        <w:rPr>
          <w:sz w:val="24"/>
          <w:szCs w:val="24"/>
        </w:rPr>
        <w:t xml:space="preserve"> 1)</w:t>
      </w:r>
      <w:r w:rsidR="00955CBD" w:rsidRPr="00FF0361">
        <w:rPr>
          <w:sz w:val="24"/>
          <w:szCs w:val="24"/>
        </w:rPr>
        <w:t xml:space="preserve">. </w:t>
      </w:r>
      <w:r w:rsidR="003A2A83" w:rsidRPr="00FF0361">
        <w:rPr>
          <w:sz w:val="24"/>
          <w:szCs w:val="24"/>
        </w:rPr>
        <w:t>Changes in clinical demographics, procedural characteristics and pharmacology over this period of time are summarized in Table 1</w:t>
      </w:r>
      <w:r w:rsidR="00CE50C6" w:rsidRPr="00FF0361">
        <w:rPr>
          <w:sz w:val="24"/>
          <w:szCs w:val="24"/>
        </w:rPr>
        <w:t>a</w:t>
      </w:r>
      <w:r w:rsidR="00F35B07" w:rsidRPr="00FF0361">
        <w:rPr>
          <w:sz w:val="24"/>
          <w:szCs w:val="24"/>
        </w:rPr>
        <w:t>,</w:t>
      </w:r>
      <w:r w:rsidR="00CE50C6" w:rsidRPr="00FF0361">
        <w:rPr>
          <w:sz w:val="24"/>
          <w:szCs w:val="24"/>
        </w:rPr>
        <w:t xml:space="preserve"> for the whole cohort, and Tables 1b and 1c for </w:t>
      </w:r>
      <w:r w:rsidR="00F439B8">
        <w:rPr>
          <w:sz w:val="24"/>
          <w:szCs w:val="24"/>
        </w:rPr>
        <w:t>e</w:t>
      </w:r>
      <w:r w:rsidR="00F439B8" w:rsidRPr="00FF0361">
        <w:rPr>
          <w:sz w:val="24"/>
          <w:szCs w:val="24"/>
        </w:rPr>
        <w:t xml:space="preserve">lective </w:t>
      </w:r>
      <w:r w:rsidR="00CE50C6" w:rsidRPr="00FF0361">
        <w:rPr>
          <w:sz w:val="24"/>
          <w:szCs w:val="24"/>
        </w:rPr>
        <w:t>PCI and ACS groups, respectively</w:t>
      </w:r>
      <w:r w:rsidR="003A2A83" w:rsidRPr="00FF0361">
        <w:rPr>
          <w:sz w:val="24"/>
          <w:szCs w:val="24"/>
        </w:rPr>
        <w:t>.</w:t>
      </w:r>
      <w:r w:rsidR="00531686" w:rsidRPr="00FF0361">
        <w:rPr>
          <w:sz w:val="24"/>
          <w:szCs w:val="24"/>
        </w:rPr>
        <w:t xml:space="preserve"> </w:t>
      </w:r>
      <w:r w:rsidR="00E55040">
        <w:rPr>
          <w:sz w:val="24"/>
          <w:szCs w:val="24"/>
        </w:rPr>
        <w:t xml:space="preserve">Supplementary Table S1 gives details of missing value levels presented in the data. </w:t>
      </w:r>
      <w:r w:rsidR="00F35B07" w:rsidRPr="00FF0361">
        <w:rPr>
          <w:sz w:val="24"/>
          <w:szCs w:val="24"/>
        </w:rPr>
        <w:t>We observed that</w:t>
      </w:r>
      <w:r w:rsidR="00531686" w:rsidRPr="00FF0361">
        <w:rPr>
          <w:sz w:val="24"/>
          <w:szCs w:val="24"/>
        </w:rPr>
        <w:t xml:space="preserve"> </w:t>
      </w:r>
      <w:r w:rsidR="002A53BA" w:rsidRPr="00FF0361">
        <w:rPr>
          <w:sz w:val="24"/>
          <w:szCs w:val="24"/>
        </w:rPr>
        <w:t>PCI volume increased from</w:t>
      </w:r>
      <w:r w:rsidR="00DC2450" w:rsidRPr="00FF0361">
        <w:rPr>
          <w:sz w:val="24"/>
          <w:szCs w:val="24"/>
        </w:rPr>
        <w:t xml:space="preserve"> 51,850</w:t>
      </w:r>
      <w:r w:rsidR="00AF38E0" w:rsidRPr="00FF0361">
        <w:rPr>
          <w:sz w:val="24"/>
          <w:szCs w:val="24"/>
        </w:rPr>
        <w:t xml:space="preserve"> procedures in 2006</w:t>
      </w:r>
      <w:r w:rsidR="002A53BA" w:rsidRPr="00FF0361">
        <w:rPr>
          <w:sz w:val="24"/>
          <w:szCs w:val="24"/>
        </w:rPr>
        <w:t xml:space="preserve"> to </w:t>
      </w:r>
      <w:r w:rsidR="00DC2450" w:rsidRPr="00FF0361">
        <w:rPr>
          <w:sz w:val="24"/>
          <w:szCs w:val="24"/>
        </w:rPr>
        <w:t>78,</w:t>
      </w:r>
      <w:r w:rsidR="00021341">
        <w:rPr>
          <w:sz w:val="24"/>
          <w:szCs w:val="24"/>
        </w:rPr>
        <w:t>398</w:t>
      </w:r>
      <w:r w:rsidR="00AF38E0" w:rsidRPr="00FF0361">
        <w:rPr>
          <w:sz w:val="24"/>
          <w:szCs w:val="24"/>
        </w:rPr>
        <w:t xml:space="preserve"> in 2013</w:t>
      </w:r>
      <w:r w:rsidR="00797AB5" w:rsidRPr="00FF0361">
        <w:rPr>
          <w:sz w:val="24"/>
          <w:szCs w:val="24"/>
        </w:rPr>
        <w:t xml:space="preserve">, mainly </w:t>
      </w:r>
      <w:r w:rsidR="00DC2450" w:rsidRPr="00FF0361">
        <w:rPr>
          <w:sz w:val="24"/>
          <w:szCs w:val="24"/>
        </w:rPr>
        <w:t xml:space="preserve">driven </w:t>
      </w:r>
      <w:r w:rsidR="00F439B8">
        <w:rPr>
          <w:sz w:val="24"/>
          <w:szCs w:val="24"/>
        </w:rPr>
        <w:t>by the increase in</w:t>
      </w:r>
      <w:r w:rsidR="00797AB5" w:rsidRPr="00FF0361">
        <w:rPr>
          <w:sz w:val="24"/>
          <w:szCs w:val="24"/>
        </w:rPr>
        <w:t xml:space="preserve"> procedures</w:t>
      </w:r>
      <w:r w:rsidR="006B7B3D">
        <w:rPr>
          <w:sz w:val="24"/>
          <w:szCs w:val="24"/>
        </w:rPr>
        <w:t xml:space="preserve"> for ACS</w:t>
      </w:r>
      <w:r w:rsidR="00797AB5" w:rsidRPr="00FF0361">
        <w:rPr>
          <w:sz w:val="24"/>
          <w:szCs w:val="24"/>
        </w:rPr>
        <w:t>.</w:t>
      </w:r>
      <w:r w:rsidR="00DC2450" w:rsidRPr="00FF0361">
        <w:rPr>
          <w:sz w:val="24"/>
          <w:szCs w:val="24"/>
        </w:rPr>
        <w:t xml:space="preserve"> </w:t>
      </w:r>
      <w:r w:rsidR="00722D53">
        <w:rPr>
          <w:sz w:val="24"/>
          <w:szCs w:val="24"/>
        </w:rPr>
        <w:t>During this period of</w:t>
      </w:r>
      <w:r w:rsidR="00F439B8">
        <w:rPr>
          <w:sz w:val="24"/>
          <w:szCs w:val="24"/>
        </w:rPr>
        <w:t xml:space="preserve"> time, the average age of patients</w:t>
      </w:r>
      <w:r w:rsidR="00D02B52">
        <w:rPr>
          <w:sz w:val="24"/>
          <w:szCs w:val="24"/>
        </w:rPr>
        <w:t xml:space="preserve"> increased</w:t>
      </w:r>
      <w:r w:rsidR="002E4ED8">
        <w:rPr>
          <w:sz w:val="24"/>
          <w:szCs w:val="24"/>
        </w:rPr>
        <w:t>;</w:t>
      </w:r>
      <w:r w:rsidR="00F439B8">
        <w:rPr>
          <w:sz w:val="24"/>
          <w:szCs w:val="24"/>
        </w:rPr>
        <w:t xml:space="preserve"> </w:t>
      </w:r>
      <w:r w:rsidR="00132D60">
        <w:rPr>
          <w:sz w:val="24"/>
          <w:szCs w:val="24"/>
        </w:rPr>
        <w:t xml:space="preserve">their </w:t>
      </w:r>
      <w:r w:rsidR="00F439B8">
        <w:rPr>
          <w:sz w:val="24"/>
          <w:szCs w:val="24"/>
        </w:rPr>
        <w:t>clinical risk factor profile</w:t>
      </w:r>
      <w:r w:rsidR="00D02B52">
        <w:rPr>
          <w:sz w:val="24"/>
          <w:szCs w:val="24"/>
        </w:rPr>
        <w:t xml:space="preserve"> worsened </w:t>
      </w:r>
      <w:r w:rsidR="00F439B8">
        <w:rPr>
          <w:sz w:val="24"/>
          <w:szCs w:val="24"/>
        </w:rPr>
        <w:t xml:space="preserve">and </w:t>
      </w:r>
      <w:r w:rsidR="00132D60">
        <w:rPr>
          <w:sz w:val="24"/>
          <w:szCs w:val="24"/>
        </w:rPr>
        <w:t xml:space="preserve">the </w:t>
      </w:r>
      <w:r w:rsidR="00722D53">
        <w:rPr>
          <w:sz w:val="24"/>
          <w:szCs w:val="24"/>
        </w:rPr>
        <w:t>proportion</w:t>
      </w:r>
      <w:r w:rsidR="00132D60">
        <w:rPr>
          <w:sz w:val="24"/>
          <w:szCs w:val="24"/>
        </w:rPr>
        <w:t xml:space="preserve"> of</w:t>
      </w:r>
      <w:r w:rsidR="008A7A09">
        <w:rPr>
          <w:sz w:val="24"/>
          <w:szCs w:val="24"/>
        </w:rPr>
        <w:t xml:space="preserve"> PCI</w:t>
      </w:r>
      <w:r w:rsidR="00132D60">
        <w:rPr>
          <w:sz w:val="24"/>
          <w:szCs w:val="24"/>
        </w:rPr>
        <w:t xml:space="preserve"> </w:t>
      </w:r>
      <w:r w:rsidR="008A7A09">
        <w:rPr>
          <w:sz w:val="24"/>
          <w:szCs w:val="24"/>
        </w:rPr>
        <w:t xml:space="preserve">procedures on </w:t>
      </w:r>
      <w:r w:rsidR="00F439B8">
        <w:rPr>
          <w:sz w:val="24"/>
          <w:szCs w:val="24"/>
        </w:rPr>
        <w:t xml:space="preserve">patients with cardiogenic shock </w:t>
      </w:r>
      <w:r w:rsidR="00D77029">
        <w:rPr>
          <w:sz w:val="24"/>
          <w:szCs w:val="24"/>
        </w:rPr>
        <w:t>or</w:t>
      </w:r>
      <w:r w:rsidR="00F439B8">
        <w:rPr>
          <w:sz w:val="24"/>
          <w:szCs w:val="24"/>
        </w:rPr>
        <w:t xml:space="preserve"> </w:t>
      </w:r>
      <w:r w:rsidR="008A7A09">
        <w:rPr>
          <w:sz w:val="24"/>
          <w:szCs w:val="24"/>
        </w:rPr>
        <w:t xml:space="preserve">requiring </w:t>
      </w:r>
      <w:proofErr w:type="spellStart"/>
      <w:r w:rsidR="00F439B8">
        <w:rPr>
          <w:sz w:val="24"/>
          <w:szCs w:val="24"/>
        </w:rPr>
        <w:t>ventilatory</w:t>
      </w:r>
      <w:proofErr w:type="spellEnd"/>
      <w:r w:rsidR="00F439B8">
        <w:rPr>
          <w:sz w:val="24"/>
          <w:szCs w:val="24"/>
        </w:rPr>
        <w:t xml:space="preserve"> </w:t>
      </w:r>
      <w:r w:rsidR="00D77029">
        <w:rPr>
          <w:sz w:val="24"/>
          <w:szCs w:val="24"/>
        </w:rPr>
        <w:t>/</w:t>
      </w:r>
      <w:r w:rsidR="00F439B8">
        <w:rPr>
          <w:sz w:val="24"/>
          <w:szCs w:val="24"/>
        </w:rPr>
        <w:t xml:space="preserve"> circulatory support</w:t>
      </w:r>
      <w:r w:rsidR="00D02B52">
        <w:rPr>
          <w:sz w:val="24"/>
          <w:szCs w:val="24"/>
        </w:rPr>
        <w:t xml:space="preserve"> increased</w:t>
      </w:r>
      <w:r w:rsidR="008A7A09">
        <w:rPr>
          <w:sz w:val="24"/>
          <w:szCs w:val="24"/>
        </w:rPr>
        <w:t>.</w:t>
      </w:r>
      <w:r w:rsidR="00F439B8">
        <w:rPr>
          <w:sz w:val="24"/>
          <w:szCs w:val="24"/>
        </w:rPr>
        <w:t xml:space="preserve"> The</w:t>
      </w:r>
      <w:r w:rsidR="002268BB">
        <w:rPr>
          <w:sz w:val="24"/>
          <w:szCs w:val="24"/>
        </w:rPr>
        <w:t xml:space="preserve"> use </w:t>
      </w:r>
      <w:r w:rsidR="008A7A09">
        <w:rPr>
          <w:sz w:val="24"/>
          <w:szCs w:val="24"/>
        </w:rPr>
        <w:t xml:space="preserve">of </w:t>
      </w:r>
      <w:proofErr w:type="spellStart"/>
      <w:r w:rsidR="008A7A09">
        <w:rPr>
          <w:sz w:val="24"/>
          <w:szCs w:val="24"/>
        </w:rPr>
        <w:t>GPIIb</w:t>
      </w:r>
      <w:proofErr w:type="spellEnd"/>
      <w:r w:rsidR="00F439B8">
        <w:rPr>
          <w:sz w:val="24"/>
          <w:szCs w:val="24"/>
        </w:rPr>
        <w:t>/</w:t>
      </w:r>
      <w:proofErr w:type="spellStart"/>
      <w:r w:rsidR="00F439B8">
        <w:rPr>
          <w:sz w:val="24"/>
          <w:szCs w:val="24"/>
        </w:rPr>
        <w:t>IIIa</w:t>
      </w:r>
      <w:proofErr w:type="spellEnd"/>
      <w:r w:rsidR="00F439B8">
        <w:rPr>
          <w:sz w:val="24"/>
          <w:szCs w:val="24"/>
        </w:rPr>
        <w:t xml:space="preserve"> </w:t>
      </w:r>
      <w:r w:rsidR="002268BB">
        <w:rPr>
          <w:sz w:val="24"/>
          <w:szCs w:val="24"/>
        </w:rPr>
        <w:t xml:space="preserve">inhibitors declined during the study period, whilst </w:t>
      </w:r>
      <w:proofErr w:type="spellStart"/>
      <w:r w:rsidR="00132D60">
        <w:rPr>
          <w:sz w:val="24"/>
          <w:szCs w:val="24"/>
        </w:rPr>
        <w:t>bivalirudin</w:t>
      </w:r>
      <w:proofErr w:type="spellEnd"/>
      <w:r w:rsidR="00132D60">
        <w:rPr>
          <w:sz w:val="24"/>
          <w:szCs w:val="24"/>
        </w:rPr>
        <w:t xml:space="preserve"> and newer anti-platelet </w:t>
      </w:r>
      <w:r w:rsidR="00D77029">
        <w:rPr>
          <w:sz w:val="24"/>
          <w:szCs w:val="24"/>
        </w:rPr>
        <w:t xml:space="preserve">agent </w:t>
      </w:r>
      <w:r w:rsidR="00132D60">
        <w:rPr>
          <w:sz w:val="24"/>
          <w:szCs w:val="24"/>
        </w:rPr>
        <w:t>use increas</w:t>
      </w:r>
      <w:r w:rsidR="006B7B3D">
        <w:rPr>
          <w:sz w:val="24"/>
          <w:szCs w:val="24"/>
        </w:rPr>
        <w:t>ed</w:t>
      </w:r>
      <w:r w:rsidR="00132D60">
        <w:rPr>
          <w:sz w:val="24"/>
          <w:szCs w:val="24"/>
        </w:rPr>
        <w:t xml:space="preserve">. </w:t>
      </w:r>
      <w:proofErr w:type="gramStart"/>
      <w:r w:rsidR="00132D60">
        <w:rPr>
          <w:sz w:val="24"/>
          <w:szCs w:val="24"/>
        </w:rPr>
        <w:t>Finally</w:t>
      </w:r>
      <w:proofErr w:type="gramEnd"/>
      <w:r w:rsidR="00132D60">
        <w:rPr>
          <w:sz w:val="24"/>
          <w:szCs w:val="24"/>
        </w:rPr>
        <w:t xml:space="preserve"> radial access grew to become the default access site used for PCI </w:t>
      </w:r>
      <w:r w:rsidR="006B7B3D">
        <w:rPr>
          <w:sz w:val="24"/>
          <w:szCs w:val="24"/>
        </w:rPr>
        <w:t>in</w:t>
      </w:r>
      <w:r w:rsidR="00132D60">
        <w:rPr>
          <w:sz w:val="24"/>
          <w:szCs w:val="24"/>
        </w:rPr>
        <w:t xml:space="preserve"> </w:t>
      </w:r>
      <w:r w:rsidR="0083442A">
        <w:rPr>
          <w:sz w:val="24"/>
          <w:szCs w:val="24"/>
        </w:rPr>
        <w:t>68.5</w:t>
      </w:r>
      <w:r w:rsidR="00132D60">
        <w:rPr>
          <w:sz w:val="24"/>
          <w:szCs w:val="24"/>
        </w:rPr>
        <w:t xml:space="preserve">% </w:t>
      </w:r>
      <w:r w:rsidR="006B7B3D">
        <w:rPr>
          <w:sz w:val="24"/>
          <w:szCs w:val="24"/>
        </w:rPr>
        <w:t xml:space="preserve">of procedures </w:t>
      </w:r>
      <w:r w:rsidR="00132D60">
        <w:rPr>
          <w:sz w:val="24"/>
          <w:szCs w:val="24"/>
        </w:rPr>
        <w:t>in 2013.</w:t>
      </w:r>
      <w:r w:rsidR="008B45A6">
        <w:rPr>
          <w:sz w:val="24"/>
          <w:szCs w:val="24"/>
        </w:rPr>
        <w:t xml:space="preserve"> </w:t>
      </w:r>
      <w:r w:rsidR="008854CE">
        <w:rPr>
          <w:sz w:val="24"/>
          <w:szCs w:val="24"/>
        </w:rPr>
        <w:t>B</w:t>
      </w:r>
      <w:r w:rsidR="008B45A6">
        <w:rPr>
          <w:sz w:val="24"/>
          <w:szCs w:val="24"/>
        </w:rPr>
        <w:t xml:space="preserve">leeding risk as </w:t>
      </w:r>
      <w:r w:rsidR="00446390">
        <w:rPr>
          <w:sz w:val="24"/>
          <w:szCs w:val="24"/>
        </w:rPr>
        <w:t>quantified</w:t>
      </w:r>
      <w:r w:rsidR="008B45A6">
        <w:rPr>
          <w:sz w:val="24"/>
          <w:szCs w:val="24"/>
        </w:rPr>
        <w:t xml:space="preserve"> by </w:t>
      </w:r>
      <w:r w:rsidR="00446390">
        <w:rPr>
          <w:sz w:val="24"/>
          <w:szCs w:val="24"/>
        </w:rPr>
        <w:t xml:space="preserve">the </w:t>
      </w:r>
      <w:r w:rsidR="008B45A6">
        <w:rPr>
          <w:sz w:val="24"/>
          <w:szCs w:val="24"/>
        </w:rPr>
        <w:t>Mehran</w:t>
      </w:r>
      <w:r w:rsidR="00446390">
        <w:rPr>
          <w:sz w:val="24"/>
          <w:szCs w:val="24"/>
        </w:rPr>
        <w:t xml:space="preserve"> </w:t>
      </w:r>
      <w:r w:rsidR="008B45A6">
        <w:rPr>
          <w:sz w:val="24"/>
          <w:szCs w:val="24"/>
        </w:rPr>
        <w:t>risk score increased</w:t>
      </w:r>
      <w:r w:rsidR="00446390">
        <w:rPr>
          <w:sz w:val="24"/>
          <w:szCs w:val="24"/>
        </w:rPr>
        <w:t xml:space="preserve"> </w:t>
      </w:r>
      <w:r w:rsidR="008B45A6">
        <w:rPr>
          <w:sz w:val="24"/>
          <w:szCs w:val="24"/>
        </w:rPr>
        <w:t xml:space="preserve">for both elective and ACS </w:t>
      </w:r>
      <w:r w:rsidR="008854CE">
        <w:rPr>
          <w:sz w:val="24"/>
          <w:szCs w:val="24"/>
        </w:rPr>
        <w:t xml:space="preserve">PCI </w:t>
      </w:r>
      <w:r w:rsidR="008B45A6">
        <w:rPr>
          <w:sz w:val="24"/>
          <w:szCs w:val="24"/>
        </w:rPr>
        <w:t>indications over time (supplementary Figure 1)</w:t>
      </w:r>
      <w:r w:rsidR="005A53DE">
        <w:rPr>
          <w:sz w:val="24"/>
          <w:szCs w:val="24"/>
        </w:rPr>
        <w:t>.</w:t>
      </w:r>
      <w:r w:rsidR="008B45A6">
        <w:rPr>
          <w:sz w:val="24"/>
          <w:szCs w:val="24"/>
        </w:rPr>
        <w:t xml:space="preserve"> </w:t>
      </w:r>
    </w:p>
    <w:p w14:paraId="010B919A" w14:textId="46467B53" w:rsidR="00086A17" w:rsidRPr="00BD5525" w:rsidRDefault="000B4F87" w:rsidP="00772C56">
      <w:pPr>
        <w:spacing w:before="0" w:after="0" w:line="480" w:lineRule="auto"/>
        <w:rPr>
          <w:sz w:val="24"/>
          <w:szCs w:val="24"/>
        </w:rPr>
      </w:pPr>
      <w:r>
        <w:rPr>
          <w:sz w:val="24"/>
          <w:szCs w:val="24"/>
        </w:rPr>
        <w:tab/>
      </w:r>
      <w:r w:rsidR="0002664E">
        <w:rPr>
          <w:sz w:val="24"/>
          <w:szCs w:val="24"/>
        </w:rPr>
        <w:t>Figure 2 shows the results of using simple linear regressions to estimate u</w:t>
      </w:r>
      <w:r w:rsidR="00A25957">
        <w:rPr>
          <w:sz w:val="24"/>
          <w:szCs w:val="24"/>
        </w:rPr>
        <w:t>nadjusted b</w:t>
      </w:r>
      <w:r w:rsidR="00531686" w:rsidRPr="00FF0361">
        <w:rPr>
          <w:sz w:val="24"/>
          <w:szCs w:val="24"/>
        </w:rPr>
        <w:t xml:space="preserve">leeding rate trends </w:t>
      </w:r>
      <w:r w:rsidR="00FD435C" w:rsidRPr="00FF0361">
        <w:rPr>
          <w:sz w:val="24"/>
          <w:szCs w:val="24"/>
        </w:rPr>
        <w:t>over time</w:t>
      </w:r>
      <w:r w:rsidR="0002664E">
        <w:rPr>
          <w:sz w:val="24"/>
          <w:szCs w:val="24"/>
        </w:rPr>
        <w:t xml:space="preserve">. </w:t>
      </w:r>
      <w:r w:rsidR="00BC2F8E">
        <w:rPr>
          <w:sz w:val="24"/>
          <w:szCs w:val="24"/>
        </w:rPr>
        <w:t>O</w:t>
      </w:r>
      <w:r w:rsidR="00FD435C" w:rsidRPr="00FF0361">
        <w:rPr>
          <w:sz w:val="24"/>
          <w:szCs w:val="24"/>
        </w:rPr>
        <w:t xml:space="preserve">verall bleeding rates declined from </w:t>
      </w:r>
      <w:r w:rsidR="00D70AD9" w:rsidRPr="00FF0361">
        <w:rPr>
          <w:sz w:val="24"/>
          <w:szCs w:val="24"/>
        </w:rPr>
        <w:t>7.0</w:t>
      </w:r>
      <w:r w:rsidR="00797729" w:rsidRPr="00FF0361">
        <w:rPr>
          <w:sz w:val="24"/>
          <w:szCs w:val="24"/>
        </w:rPr>
        <w:t xml:space="preserve"> </w:t>
      </w:r>
      <w:r w:rsidR="002C6214" w:rsidRPr="00FF0361">
        <w:rPr>
          <w:sz w:val="24"/>
          <w:szCs w:val="24"/>
        </w:rPr>
        <w:t xml:space="preserve">(CI: </w:t>
      </w:r>
      <w:r w:rsidR="002C6214" w:rsidRPr="00FF0361">
        <w:rPr>
          <w:sz w:val="24"/>
          <w:szCs w:val="24"/>
        </w:rPr>
        <w:lastRenderedPageBreak/>
        <w:t>6.</w:t>
      </w:r>
      <w:r w:rsidR="00D70AD9" w:rsidRPr="00FF0361">
        <w:rPr>
          <w:sz w:val="24"/>
          <w:szCs w:val="24"/>
        </w:rPr>
        <w:t>2</w:t>
      </w:r>
      <w:r w:rsidR="002C6214" w:rsidRPr="00FF0361">
        <w:rPr>
          <w:sz w:val="24"/>
          <w:szCs w:val="24"/>
        </w:rPr>
        <w:t xml:space="preserve"> – </w:t>
      </w:r>
      <w:r w:rsidR="00D70AD9" w:rsidRPr="00FF0361">
        <w:rPr>
          <w:sz w:val="24"/>
          <w:szCs w:val="24"/>
        </w:rPr>
        <w:t>7.8</w:t>
      </w:r>
      <w:r w:rsidR="002C6214" w:rsidRPr="00FF0361">
        <w:rPr>
          <w:sz w:val="24"/>
          <w:szCs w:val="24"/>
        </w:rPr>
        <w:t xml:space="preserve">) </w:t>
      </w:r>
      <w:r w:rsidR="00FD435C" w:rsidRPr="00FF0361">
        <w:rPr>
          <w:sz w:val="24"/>
          <w:szCs w:val="24"/>
        </w:rPr>
        <w:t>p</w:t>
      </w:r>
      <w:r w:rsidR="00797729" w:rsidRPr="00FF0361">
        <w:rPr>
          <w:sz w:val="24"/>
          <w:szCs w:val="24"/>
        </w:rPr>
        <w:t>e</w:t>
      </w:r>
      <w:r w:rsidR="002C6214" w:rsidRPr="00FF0361">
        <w:rPr>
          <w:sz w:val="24"/>
          <w:szCs w:val="24"/>
        </w:rPr>
        <w:t xml:space="preserve">r 1000 procedures in 2006 to </w:t>
      </w:r>
      <w:r w:rsidR="00D70AD9" w:rsidRPr="00FF0361">
        <w:rPr>
          <w:sz w:val="24"/>
          <w:szCs w:val="24"/>
        </w:rPr>
        <w:t>5.5</w:t>
      </w:r>
      <w:r w:rsidR="002C6214" w:rsidRPr="00FF0361">
        <w:rPr>
          <w:sz w:val="24"/>
          <w:szCs w:val="24"/>
        </w:rPr>
        <w:t xml:space="preserve"> (CI: 4.</w:t>
      </w:r>
      <w:r w:rsidR="00D70AD9" w:rsidRPr="00FF0361">
        <w:rPr>
          <w:sz w:val="24"/>
          <w:szCs w:val="24"/>
        </w:rPr>
        <w:t>7</w:t>
      </w:r>
      <w:r w:rsidR="002C6214" w:rsidRPr="00FF0361">
        <w:rPr>
          <w:sz w:val="24"/>
          <w:szCs w:val="24"/>
        </w:rPr>
        <w:t xml:space="preserve"> – 6.</w:t>
      </w:r>
      <w:r w:rsidR="00D70AD9" w:rsidRPr="00FF0361">
        <w:rPr>
          <w:sz w:val="24"/>
          <w:szCs w:val="24"/>
        </w:rPr>
        <w:t>2</w:t>
      </w:r>
      <w:r w:rsidR="002C6214" w:rsidRPr="00FF0361">
        <w:rPr>
          <w:sz w:val="24"/>
          <w:szCs w:val="24"/>
        </w:rPr>
        <w:t>)</w:t>
      </w:r>
      <w:r w:rsidR="00FD435C" w:rsidRPr="00FF0361">
        <w:rPr>
          <w:sz w:val="24"/>
          <w:szCs w:val="24"/>
        </w:rPr>
        <w:t xml:space="preserve"> per 1000 in 2013. </w:t>
      </w:r>
      <w:r w:rsidR="00FA02B2" w:rsidRPr="00FF0361">
        <w:rPr>
          <w:sz w:val="24"/>
          <w:szCs w:val="24"/>
        </w:rPr>
        <w:t>Decreases in the rates were</w:t>
      </w:r>
      <w:r w:rsidR="002C6214" w:rsidRPr="00FF0361">
        <w:rPr>
          <w:sz w:val="24"/>
          <w:szCs w:val="24"/>
        </w:rPr>
        <w:t xml:space="preserve"> observed </w:t>
      </w:r>
      <w:r w:rsidR="00132C77" w:rsidRPr="00FF0361">
        <w:rPr>
          <w:sz w:val="24"/>
          <w:szCs w:val="24"/>
        </w:rPr>
        <w:t>in b</w:t>
      </w:r>
      <w:r w:rsidR="00FD435C" w:rsidRPr="00FF0361">
        <w:rPr>
          <w:sz w:val="24"/>
          <w:szCs w:val="24"/>
        </w:rPr>
        <w:t xml:space="preserve">oth </w:t>
      </w:r>
      <w:r w:rsidR="00FA02B2" w:rsidRPr="00FF0361">
        <w:rPr>
          <w:sz w:val="24"/>
          <w:szCs w:val="24"/>
        </w:rPr>
        <w:t>groups</w:t>
      </w:r>
      <w:r w:rsidR="00FD435C" w:rsidRPr="00FF0361">
        <w:rPr>
          <w:sz w:val="24"/>
          <w:szCs w:val="24"/>
        </w:rPr>
        <w:t xml:space="preserve">, </w:t>
      </w:r>
      <w:r w:rsidR="002C6214" w:rsidRPr="00FF0361">
        <w:rPr>
          <w:sz w:val="24"/>
          <w:szCs w:val="24"/>
        </w:rPr>
        <w:t xml:space="preserve">being more </w:t>
      </w:r>
      <w:r w:rsidR="0058036B" w:rsidRPr="00FF0361">
        <w:rPr>
          <w:sz w:val="24"/>
          <w:szCs w:val="24"/>
        </w:rPr>
        <w:t>pronounced</w:t>
      </w:r>
      <w:r w:rsidR="002C6214" w:rsidRPr="00FF0361">
        <w:rPr>
          <w:sz w:val="24"/>
          <w:szCs w:val="24"/>
        </w:rPr>
        <w:t xml:space="preserve"> </w:t>
      </w:r>
      <w:r w:rsidR="0058036B" w:rsidRPr="00FF0361">
        <w:rPr>
          <w:sz w:val="24"/>
          <w:szCs w:val="24"/>
        </w:rPr>
        <w:t xml:space="preserve">in </w:t>
      </w:r>
      <w:r w:rsidR="002C6214" w:rsidRPr="00FF0361">
        <w:rPr>
          <w:sz w:val="24"/>
          <w:szCs w:val="24"/>
        </w:rPr>
        <w:t>ACS</w:t>
      </w:r>
      <w:r w:rsidR="00FA02B2" w:rsidRPr="00FF0361">
        <w:rPr>
          <w:sz w:val="24"/>
          <w:szCs w:val="24"/>
        </w:rPr>
        <w:t>.</w:t>
      </w:r>
      <w:r w:rsidR="0002664E">
        <w:rPr>
          <w:sz w:val="24"/>
          <w:szCs w:val="24"/>
        </w:rPr>
        <w:t xml:space="preserve"> </w:t>
      </w:r>
      <w:r w:rsidR="00EE2C28">
        <w:rPr>
          <w:sz w:val="24"/>
          <w:szCs w:val="24"/>
        </w:rPr>
        <w:t>The b</w:t>
      </w:r>
      <w:r w:rsidR="00FA02B2" w:rsidRPr="00FF0361">
        <w:rPr>
          <w:sz w:val="24"/>
          <w:szCs w:val="24"/>
        </w:rPr>
        <w:t xml:space="preserve">leeding </w:t>
      </w:r>
      <w:r w:rsidR="00EE2C28">
        <w:rPr>
          <w:sz w:val="24"/>
          <w:szCs w:val="24"/>
        </w:rPr>
        <w:t xml:space="preserve">complication </w:t>
      </w:r>
      <w:r w:rsidR="002C6214" w:rsidRPr="00FF0361">
        <w:rPr>
          <w:sz w:val="24"/>
          <w:szCs w:val="24"/>
        </w:rPr>
        <w:t xml:space="preserve">rate </w:t>
      </w:r>
      <w:r w:rsidR="00FA02B2" w:rsidRPr="00FF0361">
        <w:rPr>
          <w:sz w:val="24"/>
          <w:szCs w:val="24"/>
        </w:rPr>
        <w:t xml:space="preserve">in </w:t>
      </w:r>
      <w:r w:rsidR="00194D99">
        <w:rPr>
          <w:sz w:val="24"/>
          <w:szCs w:val="24"/>
        </w:rPr>
        <w:t xml:space="preserve">the </w:t>
      </w:r>
      <w:r w:rsidR="00EE2C28">
        <w:rPr>
          <w:sz w:val="24"/>
          <w:szCs w:val="24"/>
        </w:rPr>
        <w:t>e</w:t>
      </w:r>
      <w:r w:rsidR="00EE2C28" w:rsidRPr="00FF0361">
        <w:rPr>
          <w:sz w:val="24"/>
          <w:szCs w:val="24"/>
        </w:rPr>
        <w:t xml:space="preserve">lective </w:t>
      </w:r>
      <w:r w:rsidR="00FA02B2" w:rsidRPr="00FF0361">
        <w:rPr>
          <w:sz w:val="24"/>
          <w:szCs w:val="24"/>
        </w:rPr>
        <w:t xml:space="preserve">PCI group </w:t>
      </w:r>
      <w:r w:rsidR="00EF69E6" w:rsidRPr="00FF0361">
        <w:rPr>
          <w:sz w:val="24"/>
          <w:szCs w:val="24"/>
        </w:rPr>
        <w:t xml:space="preserve">dropped </w:t>
      </w:r>
      <w:r w:rsidR="00FA02B2" w:rsidRPr="00FF0361">
        <w:rPr>
          <w:sz w:val="24"/>
          <w:szCs w:val="24"/>
        </w:rPr>
        <w:t xml:space="preserve">from </w:t>
      </w:r>
      <w:r w:rsidR="00D70AD9" w:rsidRPr="00FF0361">
        <w:rPr>
          <w:sz w:val="24"/>
          <w:szCs w:val="24"/>
        </w:rPr>
        <w:t>4.9</w:t>
      </w:r>
      <w:r w:rsidR="00EF69E6" w:rsidRPr="00FF0361">
        <w:rPr>
          <w:sz w:val="24"/>
          <w:szCs w:val="24"/>
        </w:rPr>
        <w:t xml:space="preserve"> (CI: 4.</w:t>
      </w:r>
      <w:r w:rsidR="00D70AD9" w:rsidRPr="00FF0361">
        <w:rPr>
          <w:sz w:val="24"/>
          <w:szCs w:val="24"/>
        </w:rPr>
        <w:t>1 – 5.7</w:t>
      </w:r>
      <w:r w:rsidR="00EF69E6" w:rsidRPr="00FF0361">
        <w:rPr>
          <w:sz w:val="24"/>
          <w:szCs w:val="24"/>
        </w:rPr>
        <w:t xml:space="preserve">) per 1000 in 2006 to </w:t>
      </w:r>
      <w:r w:rsidR="00D70AD9" w:rsidRPr="00FF0361">
        <w:rPr>
          <w:sz w:val="24"/>
          <w:szCs w:val="24"/>
        </w:rPr>
        <w:t>3.9 (CI: 3.2 – 4.7</w:t>
      </w:r>
      <w:r w:rsidR="00EF69E6" w:rsidRPr="00FF0361">
        <w:rPr>
          <w:sz w:val="24"/>
          <w:szCs w:val="24"/>
        </w:rPr>
        <w:t xml:space="preserve">) per 1000 in 2013, whilst in </w:t>
      </w:r>
      <w:r w:rsidR="00194D99">
        <w:rPr>
          <w:sz w:val="24"/>
          <w:szCs w:val="24"/>
        </w:rPr>
        <w:t xml:space="preserve">the </w:t>
      </w:r>
      <w:r w:rsidR="00FA02B2" w:rsidRPr="00FF0361">
        <w:rPr>
          <w:sz w:val="24"/>
          <w:szCs w:val="24"/>
        </w:rPr>
        <w:t>ACS group</w:t>
      </w:r>
      <w:r w:rsidR="00EF69E6" w:rsidRPr="00FF0361">
        <w:rPr>
          <w:sz w:val="24"/>
          <w:szCs w:val="24"/>
        </w:rPr>
        <w:t>,</w:t>
      </w:r>
      <w:r w:rsidR="002C6214" w:rsidRPr="00FF0361">
        <w:rPr>
          <w:sz w:val="24"/>
          <w:szCs w:val="24"/>
        </w:rPr>
        <w:t xml:space="preserve"> </w:t>
      </w:r>
      <w:r w:rsidR="00797729" w:rsidRPr="00FF0361">
        <w:rPr>
          <w:sz w:val="24"/>
          <w:szCs w:val="24"/>
        </w:rPr>
        <w:t xml:space="preserve">from </w:t>
      </w:r>
      <w:r w:rsidR="00D70AD9" w:rsidRPr="00FF0361">
        <w:rPr>
          <w:sz w:val="24"/>
          <w:szCs w:val="24"/>
        </w:rPr>
        <w:t>8.9 (CI: 7.8 – 10.1</w:t>
      </w:r>
      <w:r w:rsidR="002C6214" w:rsidRPr="00FF0361">
        <w:rPr>
          <w:sz w:val="24"/>
          <w:szCs w:val="24"/>
        </w:rPr>
        <w:t xml:space="preserve">) per 1000 to </w:t>
      </w:r>
      <w:r w:rsidR="00D70AD9" w:rsidRPr="00FF0361">
        <w:rPr>
          <w:sz w:val="24"/>
          <w:szCs w:val="24"/>
        </w:rPr>
        <w:t>6.2 (CI: 5.1 – 7.4</w:t>
      </w:r>
      <w:r w:rsidR="002C6214" w:rsidRPr="00FF0361">
        <w:rPr>
          <w:sz w:val="24"/>
          <w:szCs w:val="24"/>
        </w:rPr>
        <w:t xml:space="preserve">) per 1000 </w:t>
      </w:r>
      <w:r w:rsidR="00D2222D" w:rsidRPr="00FF0361">
        <w:rPr>
          <w:sz w:val="24"/>
          <w:szCs w:val="24"/>
        </w:rPr>
        <w:t>during</w:t>
      </w:r>
      <w:r w:rsidR="002C6214" w:rsidRPr="00FF0361">
        <w:rPr>
          <w:sz w:val="24"/>
          <w:szCs w:val="24"/>
        </w:rPr>
        <w:t xml:space="preserve"> </w:t>
      </w:r>
      <w:r w:rsidR="00EF69E6" w:rsidRPr="00FF0361">
        <w:rPr>
          <w:sz w:val="24"/>
          <w:szCs w:val="24"/>
        </w:rPr>
        <w:t>the same period.</w:t>
      </w:r>
      <w:r w:rsidR="00132C77" w:rsidRPr="00FF0361">
        <w:rPr>
          <w:sz w:val="24"/>
          <w:szCs w:val="24"/>
        </w:rPr>
        <w:t xml:space="preserve"> </w:t>
      </w:r>
      <w:r w:rsidR="00DB6164" w:rsidRPr="00BD5525">
        <w:rPr>
          <w:sz w:val="24"/>
          <w:szCs w:val="24"/>
        </w:rPr>
        <w:t xml:space="preserve">Results </w:t>
      </w:r>
      <w:r w:rsidR="00A920FC" w:rsidRPr="00BD5525">
        <w:rPr>
          <w:sz w:val="24"/>
          <w:szCs w:val="24"/>
        </w:rPr>
        <w:t xml:space="preserve">of the analyses using multivariate logistic regressions </w:t>
      </w:r>
      <w:r w:rsidR="00DB6164" w:rsidRPr="00BD5525">
        <w:rPr>
          <w:sz w:val="24"/>
          <w:szCs w:val="24"/>
        </w:rPr>
        <w:t xml:space="preserve">are summarized in Table 2. </w:t>
      </w:r>
      <w:r w:rsidR="00086A17" w:rsidRPr="00BD5525">
        <w:rPr>
          <w:sz w:val="24"/>
          <w:szCs w:val="24"/>
        </w:rPr>
        <w:t>In both</w:t>
      </w:r>
      <w:r w:rsidR="00B07D7D" w:rsidRPr="00BD5525">
        <w:rPr>
          <w:sz w:val="24"/>
          <w:szCs w:val="24"/>
        </w:rPr>
        <w:t xml:space="preserve"> groups,</w:t>
      </w:r>
      <w:r w:rsidR="00086A17" w:rsidRPr="00BD5525">
        <w:rPr>
          <w:sz w:val="24"/>
          <w:szCs w:val="24"/>
        </w:rPr>
        <w:t xml:space="preserve"> elective and ACS indications for PCI, increasing age, female </w:t>
      </w:r>
      <w:r w:rsidR="00194D99" w:rsidRPr="00BD5525">
        <w:rPr>
          <w:sz w:val="24"/>
          <w:szCs w:val="24"/>
        </w:rPr>
        <w:t>sex</w:t>
      </w:r>
      <w:r w:rsidR="00086A17" w:rsidRPr="00BD5525">
        <w:rPr>
          <w:sz w:val="24"/>
          <w:szCs w:val="24"/>
        </w:rPr>
        <w:t xml:space="preserve">, </w:t>
      </w:r>
      <w:proofErr w:type="spellStart"/>
      <w:r w:rsidR="00086A17" w:rsidRPr="00BD5525">
        <w:rPr>
          <w:sz w:val="24"/>
          <w:szCs w:val="24"/>
        </w:rPr>
        <w:t>GPIIb</w:t>
      </w:r>
      <w:proofErr w:type="spellEnd"/>
      <w:r w:rsidR="00086A17" w:rsidRPr="00BD5525">
        <w:rPr>
          <w:sz w:val="24"/>
          <w:szCs w:val="24"/>
        </w:rPr>
        <w:t>/</w:t>
      </w:r>
      <w:proofErr w:type="spellStart"/>
      <w:r w:rsidR="00086A17" w:rsidRPr="00BD5525">
        <w:rPr>
          <w:sz w:val="24"/>
          <w:szCs w:val="24"/>
        </w:rPr>
        <w:t>IIIa</w:t>
      </w:r>
      <w:proofErr w:type="spellEnd"/>
      <w:r w:rsidR="00086A17" w:rsidRPr="00BD5525">
        <w:rPr>
          <w:sz w:val="24"/>
          <w:szCs w:val="24"/>
        </w:rPr>
        <w:t xml:space="preserve"> </w:t>
      </w:r>
      <w:r w:rsidR="00370B2A" w:rsidRPr="00BD5525">
        <w:rPr>
          <w:sz w:val="24"/>
          <w:szCs w:val="24"/>
        </w:rPr>
        <w:t xml:space="preserve">inhibitor </w:t>
      </w:r>
      <w:r w:rsidR="00086A17" w:rsidRPr="00BD5525">
        <w:rPr>
          <w:sz w:val="24"/>
          <w:szCs w:val="24"/>
        </w:rPr>
        <w:t xml:space="preserve">use and circulatory support was independently associated with increased </w:t>
      </w:r>
      <w:r w:rsidR="00EE2C28">
        <w:rPr>
          <w:sz w:val="24"/>
          <w:szCs w:val="24"/>
        </w:rPr>
        <w:t xml:space="preserve">risk of </w:t>
      </w:r>
      <w:r w:rsidR="00086A17" w:rsidRPr="00BD5525">
        <w:rPr>
          <w:sz w:val="24"/>
          <w:szCs w:val="24"/>
        </w:rPr>
        <w:t xml:space="preserve">bleeding </w:t>
      </w:r>
      <w:r w:rsidR="00EE2C28">
        <w:rPr>
          <w:sz w:val="24"/>
          <w:szCs w:val="24"/>
        </w:rPr>
        <w:t>complications</w:t>
      </w:r>
      <w:r w:rsidR="00086A17" w:rsidRPr="00BD5525">
        <w:rPr>
          <w:sz w:val="24"/>
          <w:szCs w:val="24"/>
        </w:rPr>
        <w:t xml:space="preserve"> whilst radial access and VCD use were </w:t>
      </w:r>
      <w:r w:rsidR="00370B2A" w:rsidRPr="00BD5525">
        <w:rPr>
          <w:sz w:val="24"/>
          <w:szCs w:val="24"/>
        </w:rPr>
        <w:t xml:space="preserve">independently </w:t>
      </w:r>
      <w:r w:rsidR="00086A17" w:rsidRPr="00BD5525">
        <w:rPr>
          <w:sz w:val="24"/>
          <w:szCs w:val="24"/>
        </w:rPr>
        <w:t>associated with decreases in risk.</w:t>
      </w:r>
    </w:p>
    <w:p w14:paraId="501058B2" w14:textId="058A54F2" w:rsidR="0020568F" w:rsidRPr="00530C48" w:rsidRDefault="00086A17" w:rsidP="00530C48">
      <w:pPr>
        <w:spacing w:before="0" w:after="0" w:line="480" w:lineRule="auto"/>
        <w:rPr>
          <w:sz w:val="24"/>
          <w:szCs w:val="24"/>
          <w:highlight w:val="yellow"/>
        </w:rPr>
      </w:pPr>
      <w:r w:rsidRPr="00BD5525">
        <w:rPr>
          <w:sz w:val="24"/>
          <w:szCs w:val="24"/>
        </w:rPr>
        <w:tab/>
      </w:r>
      <w:r w:rsidR="008E367A" w:rsidRPr="00BD5525">
        <w:rPr>
          <w:sz w:val="24"/>
          <w:szCs w:val="24"/>
        </w:rPr>
        <w:t xml:space="preserve">In Figure </w:t>
      </w:r>
      <w:r w:rsidR="00530C48" w:rsidRPr="00BD5525">
        <w:rPr>
          <w:sz w:val="24"/>
          <w:szCs w:val="24"/>
        </w:rPr>
        <w:t>3,</w:t>
      </w:r>
      <w:r w:rsidR="00722D53" w:rsidRPr="00BD5525">
        <w:rPr>
          <w:sz w:val="24"/>
          <w:szCs w:val="24"/>
        </w:rPr>
        <w:t xml:space="preserve"> </w:t>
      </w:r>
      <w:r w:rsidR="008E367A" w:rsidRPr="00BD5525">
        <w:rPr>
          <w:sz w:val="24"/>
          <w:szCs w:val="24"/>
        </w:rPr>
        <w:t xml:space="preserve">we report relative contributions </w:t>
      </w:r>
      <w:r w:rsidR="004D01E3" w:rsidRPr="00BD5525">
        <w:rPr>
          <w:sz w:val="24"/>
          <w:szCs w:val="24"/>
        </w:rPr>
        <w:t xml:space="preserve">to the overall bleeding change score, </w:t>
      </w:r>
      <w:r w:rsidR="002624E5" w:rsidRPr="00BD5525">
        <w:rPr>
          <w:sz w:val="24"/>
          <w:szCs w:val="24"/>
        </w:rPr>
        <w:t>using</w:t>
      </w:r>
      <w:r w:rsidR="004D01E3" w:rsidRPr="00BD5525">
        <w:rPr>
          <w:sz w:val="24"/>
          <w:szCs w:val="24"/>
        </w:rPr>
        <w:t xml:space="preserve"> 2006, the initial year, as the baseline. </w:t>
      </w:r>
      <w:r w:rsidR="008E367A" w:rsidRPr="00BD5525">
        <w:rPr>
          <w:sz w:val="24"/>
          <w:szCs w:val="24"/>
        </w:rPr>
        <w:t xml:space="preserve">It </w:t>
      </w:r>
      <w:r w:rsidR="004D01E3" w:rsidRPr="00BD5525">
        <w:rPr>
          <w:sz w:val="24"/>
          <w:szCs w:val="24"/>
        </w:rPr>
        <w:t xml:space="preserve">can </w:t>
      </w:r>
      <w:r w:rsidR="008E367A" w:rsidRPr="00BD5525">
        <w:rPr>
          <w:sz w:val="24"/>
          <w:szCs w:val="24"/>
        </w:rPr>
        <w:t xml:space="preserve">be </w:t>
      </w:r>
      <w:r w:rsidR="004D01E3" w:rsidRPr="00BD5525">
        <w:rPr>
          <w:sz w:val="24"/>
          <w:szCs w:val="24"/>
        </w:rPr>
        <w:t>observe</w:t>
      </w:r>
      <w:r w:rsidR="008E367A" w:rsidRPr="00BD5525">
        <w:rPr>
          <w:sz w:val="24"/>
          <w:szCs w:val="24"/>
        </w:rPr>
        <w:t xml:space="preserve">d in </w:t>
      </w:r>
      <w:r w:rsidR="00B1431D">
        <w:rPr>
          <w:sz w:val="24"/>
          <w:szCs w:val="24"/>
        </w:rPr>
        <w:t>this</w:t>
      </w:r>
      <w:r w:rsidR="0096346A" w:rsidRPr="00BD5525">
        <w:rPr>
          <w:sz w:val="24"/>
          <w:szCs w:val="24"/>
        </w:rPr>
        <w:t xml:space="preserve"> </w:t>
      </w:r>
      <w:r w:rsidR="00B1431D">
        <w:rPr>
          <w:sz w:val="24"/>
          <w:szCs w:val="24"/>
        </w:rPr>
        <w:t>f</w:t>
      </w:r>
      <w:r w:rsidR="008E367A" w:rsidRPr="00BD5525">
        <w:rPr>
          <w:sz w:val="24"/>
          <w:szCs w:val="24"/>
        </w:rPr>
        <w:t xml:space="preserve">igure </w:t>
      </w:r>
      <w:r w:rsidR="004D01E3" w:rsidRPr="00BD5525">
        <w:rPr>
          <w:sz w:val="24"/>
          <w:szCs w:val="24"/>
        </w:rPr>
        <w:t xml:space="preserve">that most of the decrease in bleeding rates over time was </w:t>
      </w:r>
      <w:r w:rsidR="00D51CE5" w:rsidRPr="00BD5525">
        <w:rPr>
          <w:sz w:val="24"/>
          <w:szCs w:val="24"/>
        </w:rPr>
        <w:t xml:space="preserve">associated with </w:t>
      </w:r>
      <w:r w:rsidR="004D01E3" w:rsidRPr="00BD5525">
        <w:rPr>
          <w:sz w:val="24"/>
          <w:szCs w:val="24"/>
        </w:rPr>
        <w:t xml:space="preserve">the </w:t>
      </w:r>
      <w:r w:rsidR="0096346A" w:rsidRPr="00BD5525">
        <w:rPr>
          <w:sz w:val="24"/>
          <w:szCs w:val="24"/>
        </w:rPr>
        <w:t xml:space="preserve">adoption </w:t>
      </w:r>
      <w:r w:rsidR="004D01E3" w:rsidRPr="00BD5525">
        <w:rPr>
          <w:sz w:val="24"/>
          <w:szCs w:val="24"/>
        </w:rPr>
        <w:t xml:space="preserve">of radial access site, and by </w:t>
      </w:r>
      <w:r w:rsidR="003A79BF" w:rsidRPr="00BD5525">
        <w:rPr>
          <w:sz w:val="24"/>
          <w:szCs w:val="24"/>
        </w:rPr>
        <w:t xml:space="preserve">changes </w:t>
      </w:r>
      <w:r w:rsidR="00370B2A" w:rsidRPr="00BD5525">
        <w:rPr>
          <w:sz w:val="24"/>
          <w:szCs w:val="24"/>
        </w:rPr>
        <w:t xml:space="preserve">in </w:t>
      </w:r>
      <w:r w:rsidR="004D01E3" w:rsidRPr="00BD5525">
        <w:rPr>
          <w:sz w:val="24"/>
          <w:szCs w:val="24"/>
        </w:rPr>
        <w:t>pharmacolog</w:t>
      </w:r>
      <w:r w:rsidR="003A79BF" w:rsidRPr="00BD5525">
        <w:rPr>
          <w:sz w:val="24"/>
          <w:szCs w:val="24"/>
        </w:rPr>
        <w:t>y</w:t>
      </w:r>
      <w:r w:rsidR="004D01E3" w:rsidRPr="00BD5525">
        <w:rPr>
          <w:sz w:val="24"/>
          <w:szCs w:val="24"/>
        </w:rPr>
        <w:t xml:space="preserve">, </w:t>
      </w:r>
      <w:r w:rsidRPr="00BD5525">
        <w:rPr>
          <w:sz w:val="24"/>
          <w:szCs w:val="24"/>
        </w:rPr>
        <w:t xml:space="preserve">although this was offset by </w:t>
      </w:r>
      <w:r w:rsidR="004D01E3" w:rsidRPr="00BD5525">
        <w:rPr>
          <w:sz w:val="24"/>
          <w:szCs w:val="24"/>
        </w:rPr>
        <w:t>the change</w:t>
      </w:r>
      <w:r w:rsidR="00722D53" w:rsidRPr="00BD5525">
        <w:rPr>
          <w:sz w:val="24"/>
          <w:szCs w:val="24"/>
        </w:rPr>
        <w:t>s</w:t>
      </w:r>
      <w:r w:rsidR="004D01E3" w:rsidRPr="00BD5525">
        <w:rPr>
          <w:sz w:val="24"/>
          <w:szCs w:val="24"/>
        </w:rPr>
        <w:t xml:space="preserve"> </w:t>
      </w:r>
      <w:r w:rsidR="00722D53" w:rsidRPr="00BD5525">
        <w:rPr>
          <w:sz w:val="24"/>
          <w:szCs w:val="24"/>
        </w:rPr>
        <w:t>such as</w:t>
      </w:r>
      <w:r w:rsidRPr="00BD5525">
        <w:rPr>
          <w:sz w:val="24"/>
          <w:szCs w:val="24"/>
        </w:rPr>
        <w:t xml:space="preserve"> </w:t>
      </w:r>
      <w:r w:rsidR="00EE2C28">
        <w:rPr>
          <w:sz w:val="24"/>
          <w:szCs w:val="24"/>
        </w:rPr>
        <w:t xml:space="preserve">changes in </w:t>
      </w:r>
      <w:r w:rsidR="00722D53" w:rsidRPr="00BD5525">
        <w:rPr>
          <w:sz w:val="24"/>
          <w:szCs w:val="24"/>
        </w:rPr>
        <w:t xml:space="preserve">PCI </w:t>
      </w:r>
      <w:r w:rsidR="00EE2C28">
        <w:rPr>
          <w:sz w:val="24"/>
          <w:szCs w:val="24"/>
        </w:rPr>
        <w:t>indications towards</w:t>
      </w:r>
      <w:r w:rsidR="00722D53" w:rsidRPr="00BD5525">
        <w:rPr>
          <w:sz w:val="24"/>
          <w:szCs w:val="24"/>
        </w:rPr>
        <w:t xml:space="preserve"> </w:t>
      </w:r>
      <w:r w:rsidRPr="00BD5525">
        <w:rPr>
          <w:sz w:val="24"/>
          <w:szCs w:val="24"/>
        </w:rPr>
        <w:t>ACS</w:t>
      </w:r>
      <w:r w:rsidR="0096346A" w:rsidRPr="00BD5525">
        <w:rPr>
          <w:sz w:val="24"/>
          <w:szCs w:val="24"/>
        </w:rPr>
        <w:t xml:space="preserve"> </w:t>
      </w:r>
      <w:r w:rsidR="00EE2C28">
        <w:rPr>
          <w:sz w:val="24"/>
          <w:szCs w:val="24"/>
        </w:rPr>
        <w:t>cases</w:t>
      </w:r>
      <w:r w:rsidR="00722D53" w:rsidRPr="00BD5525">
        <w:rPr>
          <w:sz w:val="24"/>
          <w:szCs w:val="24"/>
        </w:rPr>
        <w:t xml:space="preserve"> </w:t>
      </w:r>
      <w:r w:rsidR="0096346A" w:rsidRPr="00BD5525">
        <w:rPr>
          <w:sz w:val="24"/>
          <w:szCs w:val="24"/>
        </w:rPr>
        <w:t xml:space="preserve">and more </w:t>
      </w:r>
      <w:r w:rsidR="00EE2C28">
        <w:rPr>
          <w:sz w:val="24"/>
          <w:szCs w:val="24"/>
        </w:rPr>
        <w:t xml:space="preserve">the </w:t>
      </w:r>
      <w:r w:rsidR="0096346A" w:rsidRPr="00BD5525">
        <w:rPr>
          <w:sz w:val="24"/>
          <w:szCs w:val="24"/>
        </w:rPr>
        <w:t xml:space="preserve">adverse </w:t>
      </w:r>
      <w:r w:rsidR="00E27849" w:rsidRPr="00BD5525">
        <w:rPr>
          <w:sz w:val="24"/>
          <w:szCs w:val="24"/>
        </w:rPr>
        <w:t>clinical demographics</w:t>
      </w:r>
      <w:r w:rsidR="00722D53" w:rsidRPr="00BD5525">
        <w:rPr>
          <w:sz w:val="24"/>
          <w:szCs w:val="24"/>
        </w:rPr>
        <w:t xml:space="preserve"> of the </w:t>
      </w:r>
      <w:proofErr w:type="spellStart"/>
      <w:r w:rsidR="00722D53" w:rsidRPr="00BD5525">
        <w:rPr>
          <w:sz w:val="24"/>
          <w:szCs w:val="24"/>
        </w:rPr>
        <w:t>patients</w:t>
      </w:r>
      <w:r w:rsidR="004D01E3" w:rsidRPr="00BD5525">
        <w:rPr>
          <w:sz w:val="24"/>
          <w:szCs w:val="24"/>
        </w:rPr>
        <w:t>.</w:t>
      </w:r>
      <w:r w:rsidR="00B07D7D" w:rsidRPr="00AF6F1A">
        <w:rPr>
          <w:sz w:val="24"/>
          <w:szCs w:val="24"/>
        </w:rPr>
        <w:t>Results</w:t>
      </w:r>
      <w:proofErr w:type="spellEnd"/>
      <w:r w:rsidR="00B07D7D" w:rsidRPr="00AF6F1A">
        <w:rPr>
          <w:sz w:val="24"/>
          <w:szCs w:val="24"/>
        </w:rPr>
        <w:t xml:space="preserve"> of the quantification of influencing factors in bleeding trends as estimated using multiple multivariate regression models (</w:t>
      </w:r>
      <w:r w:rsidR="00B07D7D" w:rsidRPr="00AF6F1A">
        <w:rPr>
          <w:i/>
          <w:sz w:val="24"/>
          <w:szCs w:val="24"/>
        </w:rPr>
        <w:t>model_0</w:t>
      </w:r>
      <w:r w:rsidR="00B07D7D" w:rsidRPr="00AF6F1A">
        <w:rPr>
          <w:sz w:val="24"/>
          <w:szCs w:val="24"/>
        </w:rPr>
        <w:t xml:space="preserve"> to </w:t>
      </w:r>
      <w:r w:rsidR="00B07D7D" w:rsidRPr="00AF6F1A">
        <w:rPr>
          <w:i/>
          <w:sz w:val="24"/>
          <w:szCs w:val="24"/>
        </w:rPr>
        <w:t>model_7</w:t>
      </w:r>
      <w:r w:rsidR="00B07D7D" w:rsidRPr="00AF6F1A">
        <w:rPr>
          <w:sz w:val="24"/>
          <w:szCs w:val="24"/>
        </w:rPr>
        <w:t xml:space="preserve">) are presented in Table </w:t>
      </w:r>
      <w:r w:rsidR="00B1431D">
        <w:rPr>
          <w:sz w:val="24"/>
          <w:szCs w:val="24"/>
        </w:rPr>
        <w:t>3</w:t>
      </w:r>
      <w:r w:rsidR="00AF6F1A" w:rsidRPr="00AF6F1A">
        <w:rPr>
          <w:sz w:val="24"/>
          <w:szCs w:val="24"/>
        </w:rPr>
        <w:t xml:space="preserve">. In this table, </w:t>
      </w:r>
      <w:r w:rsidR="00AF6F1A">
        <w:rPr>
          <w:sz w:val="24"/>
          <w:szCs w:val="24"/>
        </w:rPr>
        <w:t>l</w:t>
      </w:r>
      <w:r w:rsidR="00AF6F1A" w:rsidRPr="00FF0361">
        <w:rPr>
          <w:sz w:val="24"/>
          <w:szCs w:val="24"/>
        </w:rPr>
        <w:t xml:space="preserve">arge positive attenuation values indicate </w:t>
      </w:r>
      <w:r w:rsidR="00AF6F1A">
        <w:rPr>
          <w:sz w:val="24"/>
          <w:szCs w:val="24"/>
        </w:rPr>
        <w:t xml:space="preserve">a </w:t>
      </w:r>
      <w:r w:rsidR="00AF6F1A" w:rsidRPr="00FF0361">
        <w:rPr>
          <w:sz w:val="24"/>
          <w:szCs w:val="24"/>
        </w:rPr>
        <w:t xml:space="preserve">strong </w:t>
      </w:r>
      <w:r w:rsidR="00AF6F1A">
        <w:rPr>
          <w:sz w:val="24"/>
          <w:szCs w:val="24"/>
        </w:rPr>
        <w:t>association</w:t>
      </w:r>
      <w:r w:rsidR="00AF6F1A" w:rsidRPr="00FF0361">
        <w:rPr>
          <w:sz w:val="24"/>
          <w:szCs w:val="24"/>
        </w:rPr>
        <w:t xml:space="preserve"> of a particular factor </w:t>
      </w:r>
      <w:r w:rsidR="00AF6F1A">
        <w:rPr>
          <w:sz w:val="24"/>
          <w:szCs w:val="24"/>
        </w:rPr>
        <w:t>with</w:t>
      </w:r>
      <w:r w:rsidR="00AF6F1A" w:rsidRPr="00FF0361">
        <w:rPr>
          <w:sz w:val="24"/>
          <w:szCs w:val="24"/>
        </w:rPr>
        <w:t xml:space="preserve"> lower bleeding rates.</w:t>
      </w:r>
      <w:r w:rsidR="00AF6F1A">
        <w:rPr>
          <w:sz w:val="24"/>
          <w:szCs w:val="24"/>
        </w:rPr>
        <w:t xml:space="preserve"> </w:t>
      </w:r>
      <w:r w:rsidR="00AF6F1A" w:rsidRPr="00FF0361">
        <w:rPr>
          <w:sz w:val="24"/>
          <w:szCs w:val="24"/>
        </w:rPr>
        <w:t xml:space="preserve">We observed that the reported results in Table </w:t>
      </w:r>
      <w:r w:rsidR="001C08F4">
        <w:rPr>
          <w:sz w:val="24"/>
          <w:szCs w:val="24"/>
        </w:rPr>
        <w:t>4</w:t>
      </w:r>
      <w:r w:rsidR="00AF6F1A" w:rsidRPr="00FF0361">
        <w:rPr>
          <w:sz w:val="24"/>
          <w:szCs w:val="24"/>
        </w:rPr>
        <w:t xml:space="preserve"> are in the same direction as the ones using the relative score contributions (Figure </w:t>
      </w:r>
      <w:r w:rsidR="004C3318">
        <w:rPr>
          <w:sz w:val="24"/>
          <w:szCs w:val="24"/>
        </w:rPr>
        <w:t>3</w:t>
      </w:r>
      <w:r w:rsidR="00AF6F1A" w:rsidRPr="00FF0361">
        <w:rPr>
          <w:sz w:val="24"/>
          <w:szCs w:val="24"/>
        </w:rPr>
        <w:t xml:space="preserve">). In the three groups, access site choice was the most influential factor </w:t>
      </w:r>
      <w:r w:rsidR="00AF6F1A">
        <w:rPr>
          <w:sz w:val="24"/>
          <w:szCs w:val="24"/>
        </w:rPr>
        <w:t xml:space="preserve">associated with lower </w:t>
      </w:r>
      <w:r w:rsidR="00AF6F1A" w:rsidRPr="00FF0361">
        <w:rPr>
          <w:sz w:val="24"/>
          <w:szCs w:val="24"/>
        </w:rPr>
        <w:t xml:space="preserve">bleeding rates over time. </w:t>
      </w:r>
      <w:r w:rsidR="00AF6F1A">
        <w:rPr>
          <w:sz w:val="24"/>
          <w:szCs w:val="24"/>
        </w:rPr>
        <w:t>P</w:t>
      </w:r>
      <w:r w:rsidR="00AF6F1A" w:rsidRPr="00FF0361">
        <w:rPr>
          <w:sz w:val="24"/>
          <w:szCs w:val="24"/>
        </w:rPr>
        <w:t xml:space="preserve">harmacology was another important factor </w:t>
      </w:r>
      <w:r w:rsidR="00AF6F1A">
        <w:rPr>
          <w:sz w:val="24"/>
          <w:szCs w:val="24"/>
        </w:rPr>
        <w:t xml:space="preserve">associated </w:t>
      </w:r>
      <w:r w:rsidR="0009454D">
        <w:rPr>
          <w:sz w:val="24"/>
          <w:szCs w:val="24"/>
        </w:rPr>
        <w:t xml:space="preserve">with lower </w:t>
      </w:r>
      <w:r w:rsidR="0009454D" w:rsidRPr="00FF0361">
        <w:rPr>
          <w:sz w:val="24"/>
          <w:szCs w:val="24"/>
        </w:rPr>
        <w:t>bleeding</w:t>
      </w:r>
      <w:r w:rsidR="00AF6F1A" w:rsidRPr="00FF0361">
        <w:rPr>
          <w:sz w:val="24"/>
          <w:szCs w:val="24"/>
        </w:rPr>
        <w:t xml:space="preserve"> rates. Additionally, although to a lesser extent, VCD use (in all cohorts), procedural characteristics (</w:t>
      </w:r>
      <w:r w:rsidR="003E10F6">
        <w:rPr>
          <w:sz w:val="24"/>
          <w:szCs w:val="24"/>
        </w:rPr>
        <w:t>in both</w:t>
      </w:r>
      <w:r w:rsidR="00AF6F1A" w:rsidRPr="00FF0361">
        <w:rPr>
          <w:sz w:val="24"/>
          <w:szCs w:val="24"/>
        </w:rPr>
        <w:t xml:space="preserve"> the whole cohort </w:t>
      </w:r>
      <w:r w:rsidR="003E10F6">
        <w:rPr>
          <w:sz w:val="24"/>
          <w:szCs w:val="24"/>
        </w:rPr>
        <w:t>and</w:t>
      </w:r>
      <w:r w:rsidR="00AF6F1A" w:rsidRPr="00FF0361">
        <w:rPr>
          <w:sz w:val="24"/>
          <w:szCs w:val="24"/>
        </w:rPr>
        <w:t xml:space="preserve"> ACS group) contributed to lower the </w:t>
      </w:r>
      <w:r w:rsidR="00AF6F1A" w:rsidRPr="00FF0361">
        <w:rPr>
          <w:sz w:val="24"/>
          <w:szCs w:val="24"/>
        </w:rPr>
        <w:lastRenderedPageBreak/>
        <w:t>bleeding rates over time. In</w:t>
      </w:r>
      <w:r w:rsidR="00AF6F1A">
        <w:rPr>
          <w:sz w:val="24"/>
          <w:szCs w:val="24"/>
        </w:rPr>
        <w:t xml:space="preserve"> contrast</w:t>
      </w:r>
      <w:r w:rsidR="00AF6F1A" w:rsidRPr="00FF0361">
        <w:rPr>
          <w:sz w:val="24"/>
          <w:szCs w:val="24"/>
        </w:rPr>
        <w:t xml:space="preserve">, the indication for PCI </w:t>
      </w:r>
      <w:r w:rsidR="00AF6F1A">
        <w:rPr>
          <w:sz w:val="24"/>
          <w:szCs w:val="24"/>
        </w:rPr>
        <w:t>tended</w:t>
      </w:r>
      <w:r w:rsidR="00AF6F1A" w:rsidRPr="00FF0361">
        <w:rPr>
          <w:sz w:val="24"/>
          <w:szCs w:val="24"/>
        </w:rPr>
        <w:t xml:space="preserve"> to</w:t>
      </w:r>
      <w:r w:rsidR="00AF6F1A">
        <w:rPr>
          <w:sz w:val="24"/>
          <w:szCs w:val="24"/>
        </w:rPr>
        <w:t>wards</w:t>
      </w:r>
      <w:r w:rsidR="00AF6F1A" w:rsidRPr="00FF0361">
        <w:rPr>
          <w:sz w:val="24"/>
          <w:szCs w:val="24"/>
        </w:rPr>
        <w:t xml:space="preserve"> increas</w:t>
      </w:r>
      <w:r w:rsidR="00AF6F1A">
        <w:rPr>
          <w:sz w:val="24"/>
          <w:szCs w:val="24"/>
        </w:rPr>
        <w:t>ing</w:t>
      </w:r>
      <w:r w:rsidR="00AF6F1A" w:rsidRPr="00FF0361">
        <w:rPr>
          <w:sz w:val="24"/>
          <w:szCs w:val="24"/>
        </w:rPr>
        <w:t xml:space="preserve"> the bleeding rates over time.</w:t>
      </w:r>
    </w:p>
    <w:p w14:paraId="1E2773E7" w14:textId="77777777" w:rsidR="006635A0" w:rsidRPr="00FF0361" w:rsidRDefault="006635A0" w:rsidP="00772C56">
      <w:pPr>
        <w:spacing w:after="0" w:line="480" w:lineRule="auto"/>
        <w:rPr>
          <w:b/>
          <w:sz w:val="24"/>
          <w:szCs w:val="24"/>
        </w:rPr>
      </w:pPr>
      <w:r w:rsidRPr="00FF0361">
        <w:rPr>
          <w:b/>
          <w:sz w:val="24"/>
          <w:szCs w:val="24"/>
        </w:rPr>
        <w:t>Discussion</w:t>
      </w:r>
    </w:p>
    <w:p w14:paraId="6A962ECC" w14:textId="00BA9308" w:rsidR="006635A0" w:rsidRDefault="006635A0" w:rsidP="00772C56">
      <w:pPr>
        <w:spacing w:before="0" w:after="0" w:line="480" w:lineRule="auto"/>
        <w:rPr>
          <w:sz w:val="24"/>
          <w:szCs w:val="24"/>
        </w:rPr>
      </w:pPr>
      <w:r w:rsidRPr="00FF0361">
        <w:rPr>
          <w:sz w:val="24"/>
          <w:szCs w:val="24"/>
        </w:rPr>
        <w:tab/>
        <w:t xml:space="preserve">In the current analysis of over </w:t>
      </w:r>
      <w:r w:rsidR="000803D4">
        <w:rPr>
          <w:sz w:val="24"/>
          <w:szCs w:val="24"/>
        </w:rPr>
        <w:t>half a million</w:t>
      </w:r>
      <w:r w:rsidRPr="00FF0361">
        <w:rPr>
          <w:sz w:val="24"/>
          <w:szCs w:val="24"/>
        </w:rPr>
        <w:t xml:space="preserve"> PCI procedures, our data suggest</w:t>
      </w:r>
      <w:r w:rsidR="00003BE1">
        <w:rPr>
          <w:sz w:val="24"/>
          <w:szCs w:val="24"/>
        </w:rPr>
        <w:t>s</w:t>
      </w:r>
      <w:r w:rsidRPr="00FF0361">
        <w:rPr>
          <w:sz w:val="24"/>
          <w:szCs w:val="24"/>
        </w:rPr>
        <w:t xml:space="preserve"> that significant </w:t>
      </w:r>
      <w:r w:rsidR="00870506">
        <w:rPr>
          <w:sz w:val="24"/>
          <w:szCs w:val="24"/>
        </w:rPr>
        <w:t xml:space="preserve">temporal </w:t>
      </w:r>
      <w:r w:rsidRPr="00FF0361">
        <w:rPr>
          <w:sz w:val="24"/>
          <w:szCs w:val="24"/>
        </w:rPr>
        <w:t>changes in clinical and procedural demographics, access site practice and pharmacology has been accompanied by a decline in incident rates of in-hospital major bleeding. Our analysis suggests that these reductions in major bleeding relate mainly to changes in access site practice and pharmacology driven by decre</w:t>
      </w:r>
      <w:r w:rsidR="0027531D">
        <w:rPr>
          <w:sz w:val="24"/>
          <w:szCs w:val="24"/>
        </w:rPr>
        <w:t xml:space="preserve">ased usage of glycoprotein </w:t>
      </w:r>
      <w:proofErr w:type="spellStart"/>
      <w:r w:rsidR="0027531D">
        <w:rPr>
          <w:sz w:val="24"/>
          <w:szCs w:val="24"/>
        </w:rPr>
        <w:t>IIb</w:t>
      </w:r>
      <w:proofErr w:type="spellEnd"/>
      <w:r w:rsidR="0027531D">
        <w:rPr>
          <w:sz w:val="24"/>
          <w:szCs w:val="24"/>
        </w:rPr>
        <w:t>/</w:t>
      </w:r>
      <w:proofErr w:type="spellStart"/>
      <w:r w:rsidRPr="00FF0361">
        <w:rPr>
          <w:sz w:val="24"/>
          <w:szCs w:val="24"/>
        </w:rPr>
        <w:t>IIIa</w:t>
      </w:r>
      <w:proofErr w:type="spellEnd"/>
      <w:r w:rsidRPr="00FF0361">
        <w:rPr>
          <w:sz w:val="24"/>
          <w:szCs w:val="24"/>
        </w:rPr>
        <w:t xml:space="preserve"> inhibitors</w:t>
      </w:r>
      <w:r w:rsidR="00D74417">
        <w:rPr>
          <w:sz w:val="24"/>
          <w:szCs w:val="24"/>
        </w:rPr>
        <w:t>, although offset by the increase in PCI cases</w:t>
      </w:r>
      <w:r w:rsidR="007B5EBC">
        <w:rPr>
          <w:sz w:val="24"/>
          <w:szCs w:val="24"/>
        </w:rPr>
        <w:t xml:space="preserve"> </w:t>
      </w:r>
      <w:r w:rsidR="00D74417">
        <w:rPr>
          <w:sz w:val="24"/>
          <w:szCs w:val="24"/>
        </w:rPr>
        <w:t xml:space="preserve">undertaken for ACS </w:t>
      </w:r>
      <w:r w:rsidR="007B5EBC">
        <w:rPr>
          <w:sz w:val="24"/>
          <w:szCs w:val="24"/>
        </w:rPr>
        <w:t>and worsening clinical demographic profiles of patients</w:t>
      </w:r>
      <w:r w:rsidRPr="00FF0361">
        <w:rPr>
          <w:sz w:val="24"/>
          <w:szCs w:val="24"/>
        </w:rPr>
        <w:t xml:space="preserve">. </w:t>
      </w:r>
    </w:p>
    <w:p w14:paraId="4E48F27B" w14:textId="349F93A6" w:rsidR="004C30DD" w:rsidRDefault="008D368D" w:rsidP="00530C48">
      <w:pPr>
        <w:snapToGrid w:val="0"/>
        <w:spacing w:before="0" w:after="0" w:line="480" w:lineRule="auto"/>
        <w:rPr>
          <w:sz w:val="24"/>
          <w:szCs w:val="24"/>
        </w:rPr>
      </w:pPr>
      <w:r>
        <w:rPr>
          <w:sz w:val="24"/>
          <w:szCs w:val="24"/>
        </w:rPr>
        <w:tab/>
      </w:r>
      <w:r w:rsidR="00CB4EAC">
        <w:rPr>
          <w:sz w:val="24"/>
          <w:szCs w:val="24"/>
        </w:rPr>
        <w:t>Temporal c</w:t>
      </w:r>
      <w:r w:rsidR="00CB4EAC" w:rsidRPr="00FF0361">
        <w:rPr>
          <w:sz w:val="24"/>
          <w:szCs w:val="24"/>
        </w:rPr>
        <w:t xml:space="preserve">hanges </w:t>
      </w:r>
      <w:r w:rsidR="00EF7B58" w:rsidRPr="00FF0361">
        <w:rPr>
          <w:sz w:val="24"/>
          <w:szCs w:val="24"/>
        </w:rPr>
        <w:t>in inciden</w:t>
      </w:r>
      <w:r w:rsidR="00CB4EAC">
        <w:rPr>
          <w:sz w:val="24"/>
          <w:szCs w:val="24"/>
        </w:rPr>
        <w:t>t</w:t>
      </w:r>
      <w:r w:rsidR="00EF7B58" w:rsidRPr="00FF0361">
        <w:rPr>
          <w:sz w:val="24"/>
          <w:szCs w:val="24"/>
        </w:rPr>
        <w:t xml:space="preserve"> major bleeding complications represent a complex dynamic between changes in pharmacolog</w:t>
      </w:r>
      <w:r w:rsidR="00EF7B58">
        <w:rPr>
          <w:sz w:val="24"/>
          <w:szCs w:val="24"/>
        </w:rPr>
        <w:t xml:space="preserve">ical </w:t>
      </w:r>
      <w:r w:rsidR="009D324D">
        <w:rPr>
          <w:sz w:val="24"/>
          <w:szCs w:val="24"/>
        </w:rPr>
        <w:t>therapy</w:t>
      </w:r>
      <w:r w:rsidR="00EF7B58" w:rsidRPr="00FF0361">
        <w:rPr>
          <w:sz w:val="24"/>
          <w:szCs w:val="24"/>
        </w:rPr>
        <w:t>, indica</w:t>
      </w:r>
      <w:r w:rsidR="00EF7B58">
        <w:rPr>
          <w:sz w:val="24"/>
          <w:szCs w:val="24"/>
        </w:rPr>
        <w:t xml:space="preserve">tions for PCI, co-morbid burden, </w:t>
      </w:r>
      <w:r w:rsidR="00EF7B58" w:rsidRPr="00FF0361">
        <w:rPr>
          <w:sz w:val="24"/>
          <w:szCs w:val="24"/>
        </w:rPr>
        <w:t xml:space="preserve">clinical </w:t>
      </w:r>
      <w:r w:rsidR="00EF7B58">
        <w:rPr>
          <w:sz w:val="24"/>
          <w:szCs w:val="24"/>
        </w:rPr>
        <w:t>demographics, procedural characteristics</w:t>
      </w:r>
      <w:r w:rsidR="00EF7B58" w:rsidRPr="00FF0361">
        <w:rPr>
          <w:sz w:val="24"/>
          <w:szCs w:val="24"/>
        </w:rPr>
        <w:t xml:space="preserve"> and access site practice</w:t>
      </w:r>
      <w:r w:rsidR="0019181C">
        <w:rPr>
          <w:sz w:val="24"/>
          <w:szCs w:val="24"/>
        </w:rPr>
        <w:fldChar w:fldCharType="begin"/>
      </w:r>
      <w:r w:rsidR="00607FC5">
        <w:rPr>
          <w:sz w:val="24"/>
          <w:szCs w:val="24"/>
        </w:rPr>
        <w:instrText>ADDIN RW.CITE{{173 Kwok,C.S. 2015; 174 Kwok,C.S. 2014}}</w:instrText>
      </w:r>
      <w:r w:rsidR="0019181C">
        <w:rPr>
          <w:sz w:val="24"/>
          <w:szCs w:val="24"/>
        </w:rPr>
        <w:fldChar w:fldCharType="separate"/>
      </w:r>
      <w:r w:rsidR="00607FC5" w:rsidRPr="00607FC5">
        <w:rPr>
          <w:sz w:val="24"/>
          <w:szCs w:val="24"/>
          <w:vertAlign w:val="superscript"/>
        </w:rPr>
        <w:t>1,9</w:t>
      </w:r>
      <w:r w:rsidR="0019181C">
        <w:rPr>
          <w:sz w:val="24"/>
          <w:szCs w:val="24"/>
        </w:rPr>
        <w:fldChar w:fldCharType="end"/>
      </w:r>
      <w:r w:rsidR="00EF7B58">
        <w:rPr>
          <w:sz w:val="24"/>
          <w:szCs w:val="24"/>
        </w:rPr>
        <w:t>.</w:t>
      </w:r>
      <w:r w:rsidR="00EF7B58" w:rsidRPr="00FF0361">
        <w:rPr>
          <w:sz w:val="24"/>
          <w:szCs w:val="24"/>
        </w:rPr>
        <w:t xml:space="preserve"> </w:t>
      </w:r>
      <w:r w:rsidR="00EF7B58">
        <w:rPr>
          <w:sz w:val="24"/>
          <w:szCs w:val="24"/>
        </w:rPr>
        <w:t>This</w:t>
      </w:r>
      <w:r w:rsidR="00870506">
        <w:rPr>
          <w:sz w:val="24"/>
          <w:szCs w:val="24"/>
        </w:rPr>
        <w:t xml:space="preserve"> dynamic</w:t>
      </w:r>
      <w:r w:rsidR="00EF7B58">
        <w:rPr>
          <w:sz w:val="24"/>
          <w:szCs w:val="24"/>
        </w:rPr>
        <w:t xml:space="preserve"> will vary across different healthcare systems. </w:t>
      </w:r>
      <w:r w:rsidR="00BA4C4C" w:rsidRPr="00FF0361">
        <w:rPr>
          <w:sz w:val="24"/>
          <w:szCs w:val="24"/>
        </w:rPr>
        <w:t xml:space="preserve">Analysis of data from </w:t>
      </w:r>
      <w:r w:rsidR="003E0F7E">
        <w:rPr>
          <w:sz w:val="24"/>
          <w:szCs w:val="24"/>
        </w:rPr>
        <w:t>a</w:t>
      </w:r>
      <w:r w:rsidR="003E0F7E" w:rsidRPr="00FF0361">
        <w:rPr>
          <w:sz w:val="24"/>
          <w:szCs w:val="24"/>
        </w:rPr>
        <w:t xml:space="preserve"> </w:t>
      </w:r>
      <w:r w:rsidR="00BA4C4C" w:rsidRPr="00FF0361">
        <w:rPr>
          <w:sz w:val="24"/>
          <w:szCs w:val="24"/>
        </w:rPr>
        <w:t xml:space="preserve">Canadian </w:t>
      </w:r>
      <w:r w:rsidR="003E0F7E">
        <w:rPr>
          <w:sz w:val="24"/>
          <w:szCs w:val="24"/>
        </w:rPr>
        <w:t>registry</w:t>
      </w:r>
      <w:r w:rsidR="00BA4C4C" w:rsidRPr="00FF0361">
        <w:rPr>
          <w:sz w:val="24"/>
          <w:szCs w:val="24"/>
        </w:rPr>
        <w:t xml:space="preserve"> of 14,111 patients with non-ST elevation myocardial infarction (NSTEMI) between 1999 and 2008 </w:t>
      </w:r>
      <w:r w:rsidR="00BA4C4C">
        <w:rPr>
          <w:sz w:val="24"/>
          <w:szCs w:val="24"/>
        </w:rPr>
        <w:t>reported</w:t>
      </w:r>
      <w:r w:rsidR="00BA4C4C" w:rsidRPr="00FF0361">
        <w:rPr>
          <w:sz w:val="24"/>
          <w:szCs w:val="24"/>
        </w:rPr>
        <w:t xml:space="preserve"> no significant changes in major bleeding rates over time</w:t>
      </w:r>
      <w:r w:rsidR="008221E3">
        <w:rPr>
          <w:sz w:val="24"/>
          <w:szCs w:val="24"/>
        </w:rPr>
        <w:fldChar w:fldCharType="begin"/>
      </w:r>
      <w:r w:rsidR="00607FC5">
        <w:rPr>
          <w:sz w:val="24"/>
          <w:szCs w:val="24"/>
        </w:rPr>
        <w:instrText>ADDIN RW.CITE{{340 Elbarouni, Basem 2010}}</w:instrText>
      </w:r>
      <w:r w:rsidR="008221E3">
        <w:rPr>
          <w:sz w:val="24"/>
          <w:szCs w:val="24"/>
        </w:rPr>
        <w:fldChar w:fldCharType="separate"/>
      </w:r>
      <w:r w:rsidR="00607FC5" w:rsidRPr="00607FC5">
        <w:rPr>
          <w:rFonts w:eastAsia="Times New Roman"/>
          <w:sz w:val="24"/>
          <w:vertAlign w:val="superscript"/>
        </w:rPr>
        <w:t>15</w:t>
      </w:r>
      <w:r w:rsidR="008221E3">
        <w:rPr>
          <w:sz w:val="24"/>
          <w:szCs w:val="24"/>
        </w:rPr>
        <w:fldChar w:fldCharType="end"/>
      </w:r>
      <w:r w:rsidR="00BA4C4C" w:rsidRPr="00FF0361">
        <w:rPr>
          <w:sz w:val="24"/>
          <w:szCs w:val="24"/>
        </w:rPr>
        <w:t xml:space="preserve"> despite changes in pharmacotherapy and interventional strategies. </w:t>
      </w:r>
      <w:r w:rsidR="00BA4C4C">
        <w:rPr>
          <w:sz w:val="24"/>
          <w:szCs w:val="24"/>
        </w:rPr>
        <w:t xml:space="preserve">In contrast, </w:t>
      </w:r>
      <w:r w:rsidRPr="00FF0361">
        <w:rPr>
          <w:sz w:val="24"/>
          <w:szCs w:val="24"/>
        </w:rPr>
        <w:t xml:space="preserve">data derived from the US </w:t>
      </w:r>
      <w:proofErr w:type="spellStart"/>
      <w:r w:rsidRPr="00FF0361">
        <w:rPr>
          <w:sz w:val="24"/>
          <w:szCs w:val="24"/>
        </w:rPr>
        <w:t>CathPCI</w:t>
      </w:r>
      <w:proofErr w:type="spellEnd"/>
      <w:r w:rsidRPr="00FF0361">
        <w:rPr>
          <w:sz w:val="24"/>
          <w:szCs w:val="24"/>
        </w:rPr>
        <w:t xml:space="preserve"> Registry reported 20% temporal reduction</w:t>
      </w:r>
      <w:r w:rsidR="00572594">
        <w:rPr>
          <w:sz w:val="24"/>
          <w:szCs w:val="24"/>
        </w:rPr>
        <w:t>s in post-PCI bleeding</w:t>
      </w:r>
      <w:r w:rsidR="00A03955">
        <w:rPr>
          <w:sz w:val="24"/>
          <w:szCs w:val="24"/>
        </w:rPr>
        <w:t xml:space="preserve"> </w:t>
      </w:r>
      <w:r w:rsidRPr="00FF0361">
        <w:rPr>
          <w:sz w:val="24"/>
          <w:szCs w:val="24"/>
        </w:rPr>
        <w:t xml:space="preserve">observed in patients undergoing PCI for elective and NSTEMI indications, although </w:t>
      </w:r>
      <w:r w:rsidR="00572594">
        <w:rPr>
          <w:sz w:val="24"/>
          <w:szCs w:val="24"/>
        </w:rPr>
        <w:t>adjusted bleeding rates in</w:t>
      </w:r>
      <w:r w:rsidRPr="00FF0361">
        <w:rPr>
          <w:sz w:val="24"/>
          <w:szCs w:val="24"/>
        </w:rPr>
        <w:t xml:space="preserve"> the STEMI cohort</w:t>
      </w:r>
      <w:r w:rsidR="00572594">
        <w:rPr>
          <w:sz w:val="24"/>
          <w:szCs w:val="24"/>
        </w:rPr>
        <w:t xml:space="preserve"> remained similar</w:t>
      </w:r>
      <w:r w:rsidR="0019181C">
        <w:rPr>
          <w:sz w:val="24"/>
          <w:szCs w:val="24"/>
        </w:rPr>
        <w:fldChar w:fldCharType="begin"/>
      </w:r>
      <w:r w:rsidR="00607FC5">
        <w:rPr>
          <w:sz w:val="24"/>
          <w:szCs w:val="24"/>
        </w:rPr>
        <w:instrText>ADDIN RW.CITE{{79 Subherwal,S. 2012}}</w:instrText>
      </w:r>
      <w:r w:rsidR="0019181C">
        <w:rPr>
          <w:sz w:val="24"/>
          <w:szCs w:val="24"/>
        </w:rPr>
        <w:fldChar w:fldCharType="separate"/>
      </w:r>
      <w:r w:rsidR="00607FC5" w:rsidRPr="00607FC5">
        <w:rPr>
          <w:sz w:val="24"/>
          <w:szCs w:val="24"/>
          <w:vertAlign w:val="superscript"/>
        </w:rPr>
        <w:t>16</w:t>
      </w:r>
      <w:r w:rsidR="0019181C">
        <w:rPr>
          <w:sz w:val="24"/>
          <w:szCs w:val="24"/>
        </w:rPr>
        <w:fldChar w:fldCharType="end"/>
      </w:r>
      <w:r w:rsidR="00253512">
        <w:rPr>
          <w:sz w:val="24"/>
          <w:szCs w:val="24"/>
        </w:rPr>
        <w:t>.</w:t>
      </w:r>
      <w:r w:rsidR="00C120A4">
        <w:rPr>
          <w:sz w:val="24"/>
          <w:szCs w:val="24"/>
        </w:rPr>
        <w:t xml:space="preserve"> In </w:t>
      </w:r>
      <w:r w:rsidR="00A03955">
        <w:rPr>
          <w:sz w:val="24"/>
          <w:szCs w:val="24"/>
        </w:rPr>
        <w:t>national r</w:t>
      </w:r>
      <w:r w:rsidR="00C120A4" w:rsidRPr="00C120A4">
        <w:rPr>
          <w:sz w:val="24"/>
          <w:szCs w:val="24"/>
        </w:rPr>
        <w:t xml:space="preserve">egistry </w:t>
      </w:r>
      <w:r w:rsidR="00A03955">
        <w:rPr>
          <w:sz w:val="24"/>
          <w:szCs w:val="24"/>
        </w:rPr>
        <w:t>from Sweden</w:t>
      </w:r>
      <w:r w:rsidR="00C120A4">
        <w:rPr>
          <w:sz w:val="24"/>
          <w:szCs w:val="24"/>
        </w:rPr>
        <w:t xml:space="preserve"> in elderly patients undergoing PCI for STEMI indications, </w:t>
      </w:r>
      <w:r w:rsidR="0089250F">
        <w:rPr>
          <w:sz w:val="24"/>
          <w:szCs w:val="24"/>
        </w:rPr>
        <w:t xml:space="preserve">incident major bleeding </w:t>
      </w:r>
      <w:r w:rsidR="00A03955">
        <w:rPr>
          <w:sz w:val="24"/>
          <w:szCs w:val="24"/>
        </w:rPr>
        <w:t xml:space="preserve">rates </w:t>
      </w:r>
      <w:r w:rsidR="0089250F">
        <w:rPr>
          <w:sz w:val="24"/>
          <w:szCs w:val="24"/>
        </w:rPr>
        <w:t>remained</w:t>
      </w:r>
      <w:r w:rsidR="00C120A4">
        <w:rPr>
          <w:sz w:val="24"/>
          <w:szCs w:val="24"/>
        </w:rPr>
        <w:t xml:space="preserve"> </w:t>
      </w:r>
      <w:r w:rsidR="0089250F">
        <w:rPr>
          <w:sz w:val="24"/>
          <w:szCs w:val="24"/>
        </w:rPr>
        <w:t xml:space="preserve">similar </w:t>
      </w:r>
      <w:r w:rsidR="0019181C">
        <w:rPr>
          <w:sz w:val="24"/>
          <w:szCs w:val="24"/>
        </w:rPr>
        <w:t>over a decade</w:t>
      </w:r>
      <w:r w:rsidR="008221E3">
        <w:rPr>
          <w:sz w:val="24"/>
          <w:szCs w:val="24"/>
        </w:rPr>
        <w:fldChar w:fldCharType="begin"/>
      </w:r>
      <w:r w:rsidR="00607FC5">
        <w:rPr>
          <w:sz w:val="24"/>
          <w:szCs w:val="24"/>
        </w:rPr>
        <w:instrText>ADDIN RW.CITE{{330 Velders, Matthijs A 2014}}</w:instrText>
      </w:r>
      <w:r w:rsidR="008221E3">
        <w:rPr>
          <w:sz w:val="24"/>
          <w:szCs w:val="24"/>
        </w:rPr>
        <w:fldChar w:fldCharType="separate"/>
      </w:r>
      <w:r w:rsidR="00607FC5" w:rsidRPr="00607FC5">
        <w:rPr>
          <w:rFonts w:eastAsia="Times New Roman"/>
          <w:sz w:val="24"/>
          <w:vertAlign w:val="superscript"/>
        </w:rPr>
        <w:t>5</w:t>
      </w:r>
      <w:r w:rsidR="008221E3">
        <w:rPr>
          <w:sz w:val="24"/>
          <w:szCs w:val="24"/>
        </w:rPr>
        <w:fldChar w:fldCharType="end"/>
      </w:r>
      <w:r w:rsidR="00253512">
        <w:rPr>
          <w:sz w:val="24"/>
          <w:szCs w:val="24"/>
        </w:rPr>
        <w:t>.</w:t>
      </w:r>
      <w:r w:rsidR="0042733F">
        <w:rPr>
          <w:sz w:val="24"/>
          <w:szCs w:val="24"/>
        </w:rPr>
        <w:t xml:space="preserve"> A further analysis derived from the </w:t>
      </w:r>
      <w:proofErr w:type="spellStart"/>
      <w:r w:rsidR="0042733F">
        <w:rPr>
          <w:sz w:val="24"/>
          <w:szCs w:val="24"/>
        </w:rPr>
        <w:t>CathPCI</w:t>
      </w:r>
      <w:proofErr w:type="spellEnd"/>
      <w:r w:rsidR="0042733F">
        <w:rPr>
          <w:sz w:val="24"/>
          <w:szCs w:val="24"/>
        </w:rPr>
        <w:t xml:space="preserve"> registry over a 3-year period (2009-2012) showed that bleeding rates declined over the period studied, although w</w:t>
      </w:r>
      <w:r w:rsidR="0042733F" w:rsidRPr="0042733F">
        <w:rPr>
          <w:sz w:val="24"/>
          <w:szCs w:val="24"/>
        </w:rPr>
        <w:t xml:space="preserve">hen compared with hospitals with very low or low increase in the use of </w:t>
      </w:r>
      <w:r w:rsidR="0042733F">
        <w:rPr>
          <w:sz w:val="24"/>
          <w:szCs w:val="24"/>
        </w:rPr>
        <w:lastRenderedPageBreak/>
        <w:t>radial access</w:t>
      </w:r>
      <w:r w:rsidR="0042733F" w:rsidRPr="0042733F">
        <w:rPr>
          <w:sz w:val="24"/>
          <w:szCs w:val="24"/>
        </w:rPr>
        <w:t xml:space="preserve">, the decline in risk-adjusted overall bleeding over time was greater at hospitals with moderate or high increase in the use of </w:t>
      </w:r>
      <w:r w:rsidR="0042733F">
        <w:rPr>
          <w:sz w:val="24"/>
          <w:szCs w:val="24"/>
        </w:rPr>
        <w:t>radial access</w:t>
      </w:r>
      <w:r w:rsidR="0042733F" w:rsidRPr="0042733F">
        <w:rPr>
          <w:sz w:val="24"/>
          <w:szCs w:val="24"/>
        </w:rPr>
        <w:t xml:space="preserve"> (RR, 0.51; 95% CI, 0.43–0.61 versus RR, 0.69; 95% CI, 0.63–0.74; P for comparison, 0.002)</w:t>
      </w:r>
      <w:r w:rsidR="0019181C">
        <w:rPr>
          <w:sz w:val="24"/>
          <w:szCs w:val="24"/>
        </w:rPr>
        <w:fldChar w:fldCharType="begin"/>
      </w:r>
      <w:r w:rsidR="00607FC5">
        <w:rPr>
          <w:sz w:val="24"/>
          <w:szCs w:val="24"/>
        </w:rPr>
        <w:instrText>ADDIN RW.CITE{{258 Bradley,S.M. 2014}}</w:instrText>
      </w:r>
      <w:r w:rsidR="0019181C">
        <w:rPr>
          <w:sz w:val="24"/>
          <w:szCs w:val="24"/>
        </w:rPr>
        <w:fldChar w:fldCharType="separate"/>
      </w:r>
      <w:r w:rsidR="00607FC5" w:rsidRPr="00607FC5">
        <w:rPr>
          <w:sz w:val="24"/>
          <w:szCs w:val="24"/>
          <w:vertAlign w:val="superscript"/>
        </w:rPr>
        <w:t>17</w:t>
      </w:r>
      <w:r w:rsidR="0019181C">
        <w:rPr>
          <w:sz w:val="24"/>
          <w:szCs w:val="24"/>
        </w:rPr>
        <w:fldChar w:fldCharType="end"/>
      </w:r>
      <w:r w:rsidR="0042733F" w:rsidRPr="0042733F">
        <w:rPr>
          <w:sz w:val="24"/>
          <w:szCs w:val="24"/>
        </w:rPr>
        <w:t>.</w:t>
      </w:r>
      <w:r w:rsidR="003E0F7E">
        <w:rPr>
          <w:sz w:val="24"/>
          <w:szCs w:val="24"/>
        </w:rPr>
        <w:t xml:space="preserve"> </w:t>
      </w:r>
      <w:r w:rsidR="00707603">
        <w:rPr>
          <w:sz w:val="24"/>
          <w:szCs w:val="24"/>
        </w:rPr>
        <w:t>Our analysis suggests that the</w:t>
      </w:r>
      <w:r w:rsidR="001D126C">
        <w:rPr>
          <w:sz w:val="24"/>
          <w:szCs w:val="24"/>
        </w:rPr>
        <w:t xml:space="preserve"> decline </w:t>
      </w:r>
      <w:r w:rsidR="00B22921">
        <w:rPr>
          <w:sz w:val="24"/>
          <w:szCs w:val="24"/>
        </w:rPr>
        <w:t xml:space="preserve">in major bleeding complications observed </w:t>
      </w:r>
      <w:r w:rsidR="00474B1D">
        <w:rPr>
          <w:sz w:val="24"/>
          <w:szCs w:val="24"/>
        </w:rPr>
        <w:t>in the UK</w:t>
      </w:r>
      <w:r w:rsidR="008A3445">
        <w:rPr>
          <w:sz w:val="24"/>
          <w:szCs w:val="24"/>
        </w:rPr>
        <w:t xml:space="preserve">, </w:t>
      </w:r>
      <w:r w:rsidR="00B22921">
        <w:rPr>
          <w:sz w:val="24"/>
          <w:szCs w:val="24"/>
        </w:rPr>
        <w:t>are mainly</w:t>
      </w:r>
      <w:r w:rsidR="00B37CC7">
        <w:rPr>
          <w:sz w:val="24"/>
          <w:szCs w:val="24"/>
        </w:rPr>
        <w:t xml:space="preserve"> associated with</w:t>
      </w:r>
      <w:r w:rsidR="00B22921">
        <w:rPr>
          <w:sz w:val="24"/>
          <w:szCs w:val="24"/>
        </w:rPr>
        <w:t xml:space="preserve"> the national change in access site practice towards radial</w:t>
      </w:r>
      <w:r w:rsidR="00DF426E">
        <w:rPr>
          <w:sz w:val="24"/>
          <w:szCs w:val="24"/>
        </w:rPr>
        <w:t>,</w:t>
      </w:r>
      <w:r w:rsidR="00B22921">
        <w:rPr>
          <w:sz w:val="24"/>
          <w:szCs w:val="24"/>
        </w:rPr>
        <w:t xml:space="preserve"> </w:t>
      </w:r>
      <w:r w:rsidR="00FF73EB">
        <w:rPr>
          <w:sz w:val="24"/>
          <w:szCs w:val="24"/>
        </w:rPr>
        <w:t xml:space="preserve">changes in pharmacological practices, particularly declining use of GP </w:t>
      </w:r>
      <w:proofErr w:type="spellStart"/>
      <w:r w:rsidR="00FF73EB">
        <w:rPr>
          <w:sz w:val="24"/>
          <w:szCs w:val="24"/>
        </w:rPr>
        <w:t>IIb</w:t>
      </w:r>
      <w:proofErr w:type="spellEnd"/>
      <w:r w:rsidR="00FF73EB">
        <w:rPr>
          <w:sz w:val="24"/>
          <w:szCs w:val="24"/>
        </w:rPr>
        <w:t>/</w:t>
      </w:r>
      <w:proofErr w:type="spellStart"/>
      <w:r w:rsidR="00FF73EB">
        <w:rPr>
          <w:sz w:val="24"/>
          <w:szCs w:val="24"/>
        </w:rPr>
        <w:t>IIIa</w:t>
      </w:r>
      <w:proofErr w:type="spellEnd"/>
      <w:r w:rsidR="002319B6">
        <w:rPr>
          <w:sz w:val="24"/>
          <w:szCs w:val="24"/>
        </w:rPr>
        <w:t xml:space="preserve"> inhibitors</w:t>
      </w:r>
      <w:r w:rsidR="00DF426E">
        <w:rPr>
          <w:sz w:val="24"/>
          <w:szCs w:val="24"/>
        </w:rPr>
        <w:t xml:space="preserve"> and to a lesser extent VCD use. However,</w:t>
      </w:r>
      <w:r w:rsidR="0047033C">
        <w:rPr>
          <w:sz w:val="24"/>
          <w:szCs w:val="24"/>
        </w:rPr>
        <w:t xml:space="preserve"> this effect is attenuated by</w:t>
      </w:r>
      <w:r w:rsidR="00B37CC7">
        <w:rPr>
          <w:sz w:val="24"/>
          <w:szCs w:val="24"/>
        </w:rPr>
        <w:t xml:space="preserve"> the </w:t>
      </w:r>
      <w:r w:rsidR="0047033C">
        <w:rPr>
          <w:sz w:val="24"/>
          <w:szCs w:val="24"/>
        </w:rPr>
        <w:t>worsening</w:t>
      </w:r>
      <w:r w:rsidR="00FC2750">
        <w:rPr>
          <w:sz w:val="24"/>
          <w:szCs w:val="24"/>
        </w:rPr>
        <w:t xml:space="preserve"> bleeding risk profile</w:t>
      </w:r>
      <w:r w:rsidR="008A3445">
        <w:rPr>
          <w:sz w:val="24"/>
          <w:szCs w:val="24"/>
        </w:rPr>
        <w:t xml:space="preserve"> of patients undergoing PCI</w:t>
      </w:r>
      <w:r w:rsidR="00B454DF">
        <w:rPr>
          <w:sz w:val="24"/>
          <w:szCs w:val="24"/>
        </w:rPr>
        <w:t xml:space="preserve"> </w:t>
      </w:r>
      <w:r w:rsidR="005E26EB">
        <w:rPr>
          <w:sz w:val="24"/>
          <w:szCs w:val="24"/>
        </w:rPr>
        <w:t xml:space="preserve">(as evidenced by the temporal increase in Mehran bleeding risk score) </w:t>
      </w:r>
      <w:r w:rsidR="00B454DF">
        <w:rPr>
          <w:sz w:val="24"/>
          <w:szCs w:val="24"/>
        </w:rPr>
        <w:t>and the</w:t>
      </w:r>
      <w:r w:rsidR="008A3445">
        <w:rPr>
          <w:sz w:val="24"/>
          <w:szCs w:val="24"/>
        </w:rPr>
        <w:t xml:space="preserve"> </w:t>
      </w:r>
      <w:r w:rsidR="00BD54A4">
        <w:rPr>
          <w:sz w:val="24"/>
          <w:szCs w:val="24"/>
        </w:rPr>
        <w:t xml:space="preserve">increase </w:t>
      </w:r>
      <w:r w:rsidR="002319B6">
        <w:rPr>
          <w:sz w:val="24"/>
          <w:szCs w:val="24"/>
        </w:rPr>
        <w:t xml:space="preserve">in PCI </w:t>
      </w:r>
      <w:r w:rsidR="00E268C6">
        <w:rPr>
          <w:sz w:val="24"/>
          <w:szCs w:val="24"/>
        </w:rPr>
        <w:t xml:space="preserve">procedures undertaken </w:t>
      </w:r>
      <w:r w:rsidR="002319B6">
        <w:rPr>
          <w:sz w:val="24"/>
          <w:szCs w:val="24"/>
        </w:rPr>
        <w:t>for ACS indications.</w:t>
      </w:r>
      <w:r w:rsidR="00BD54A4">
        <w:rPr>
          <w:sz w:val="24"/>
          <w:szCs w:val="24"/>
        </w:rPr>
        <w:t xml:space="preserve"> </w:t>
      </w:r>
      <w:r w:rsidR="003E0F7E">
        <w:rPr>
          <w:sz w:val="24"/>
          <w:szCs w:val="24"/>
        </w:rPr>
        <w:t>O</w:t>
      </w:r>
      <w:r w:rsidR="008A3445">
        <w:rPr>
          <w:sz w:val="24"/>
          <w:szCs w:val="24"/>
        </w:rPr>
        <w:t xml:space="preserve">ur analysis is the first to study this </w:t>
      </w:r>
      <w:r w:rsidR="00474B1D">
        <w:rPr>
          <w:sz w:val="24"/>
          <w:szCs w:val="24"/>
        </w:rPr>
        <w:t xml:space="preserve">in a healthcare system where there has been a national change in access site practice towards radial </w:t>
      </w:r>
      <w:r w:rsidR="00B37CC7">
        <w:rPr>
          <w:sz w:val="24"/>
          <w:szCs w:val="24"/>
        </w:rPr>
        <w:t>and</w:t>
      </w:r>
      <w:r w:rsidR="008A3445">
        <w:rPr>
          <w:sz w:val="24"/>
          <w:szCs w:val="24"/>
        </w:rPr>
        <w:t xml:space="preserve"> </w:t>
      </w:r>
      <w:r w:rsidR="00474B1D">
        <w:rPr>
          <w:sz w:val="24"/>
          <w:szCs w:val="24"/>
        </w:rPr>
        <w:t xml:space="preserve">the first to </w:t>
      </w:r>
      <w:r w:rsidR="008A3445">
        <w:rPr>
          <w:sz w:val="24"/>
          <w:szCs w:val="24"/>
        </w:rPr>
        <w:t xml:space="preserve">study </w:t>
      </w:r>
      <w:r w:rsidR="002319B6">
        <w:rPr>
          <w:sz w:val="24"/>
          <w:szCs w:val="24"/>
        </w:rPr>
        <w:t xml:space="preserve">the contribution of </w:t>
      </w:r>
      <w:r w:rsidR="008A3445">
        <w:rPr>
          <w:sz w:val="24"/>
          <w:szCs w:val="24"/>
        </w:rPr>
        <w:t xml:space="preserve">all aspects of the PCI procedure </w:t>
      </w:r>
      <w:r w:rsidR="00EE657F">
        <w:rPr>
          <w:sz w:val="24"/>
          <w:szCs w:val="24"/>
        </w:rPr>
        <w:t xml:space="preserve">and </w:t>
      </w:r>
      <w:r w:rsidR="00474B1D">
        <w:rPr>
          <w:sz w:val="24"/>
          <w:szCs w:val="24"/>
        </w:rPr>
        <w:t xml:space="preserve">patient </w:t>
      </w:r>
      <w:r w:rsidR="00EE657F">
        <w:rPr>
          <w:sz w:val="24"/>
          <w:szCs w:val="24"/>
        </w:rPr>
        <w:t xml:space="preserve">clinical characteristics </w:t>
      </w:r>
      <w:r w:rsidR="008A3445">
        <w:rPr>
          <w:sz w:val="24"/>
          <w:szCs w:val="24"/>
        </w:rPr>
        <w:t>that may contribute to changes in incident bleeding recorded.</w:t>
      </w:r>
      <w:r w:rsidR="00E268C6">
        <w:rPr>
          <w:sz w:val="24"/>
          <w:szCs w:val="24"/>
        </w:rPr>
        <w:t xml:space="preserve"> Interestingly, data from </w:t>
      </w:r>
      <w:r w:rsidR="00B14436">
        <w:rPr>
          <w:sz w:val="24"/>
          <w:szCs w:val="24"/>
        </w:rPr>
        <w:t xml:space="preserve">the </w:t>
      </w:r>
      <w:proofErr w:type="spellStart"/>
      <w:r w:rsidR="00B14436">
        <w:rPr>
          <w:sz w:val="24"/>
          <w:szCs w:val="24"/>
        </w:rPr>
        <w:t>CathPCI</w:t>
      </w:r>
      <w:proofErr w:type="spellEnd"/>
      <w:r w:rsidR="00B14436">
        <w:rPr>
          <w:sz w:val="24"/>
          <w:szCs w:val="24"/>
        </w:rPr>
        <w:t xml:space="preserve"> registry </w:t>
      </w:r>
      <w:r w:rsidR="00E268C6">
        <w:rPr>
          <w:sz w:val="24"/>
          <w:szCs w:val="24"/>
        </w:rPr>
        <w:t>studying changes in national bleeding rates between 2005-2009 suggested that changes in access site practice in the US contributed minimally to the reduction in bleeding rates recorded, although only 1.5% of cases were undertaken radial</w:t>
      </w:r>
      <w:r w:rsidR="003E0F7E">
        <w:rPr>
          <w:sz w:val="24"/>
          <w:szCs w:val="24"/>
        </w:rPr>
        <w:t xml:space="preserve">ly </w:t>
      </w:r>
      <w:r w:rsidR="00E268C6">
        <w:rPr>
          <w:sz w:val="24"/>
          <w:szCs w:val="24"/>
        </w:rPr>
        <w:t>during this time</w:t>
      </w:r>
      <w:r w:rsidR="00607FC5">
        <w:rPr>
          <w:sz w:val="24"/>
          <w:szCs w:val="24"/>
        </w:rPr>
        <w:fldChar w:fldCharType="begin"/>
      </w:r>
      <w:r w:rsidR="00607FC5">
        <w:rPr>
          <w:sz w:val="24"/>
          <w:szCs w:val="24"/>
        </w:rPr>
        <w:instrText>ADDIN RW.CITE{{79 Subherwal,S. 2012}}</w:instrText>
      </w:r>
      <w:r w:rsidR="00607FC5">
        <w:rPr>
          <w:sz w:val="24"/>
          <w:szCs w:val="24"/>
        </w:rPr>
        <w:fldChar w:fldCharType="separate"/>
      </w:r>
      <w:r w:rsidR="00607FC5" w:rsidRPr="00607FC5">
        <w:rPr>
          <w:sz w:val="24"/>
          <w:szCs w:val="24"/>
          <w:vertAlign w:val="superscript"/>
        </w:rPr>
        <w:t>16</w:t>
      </w:r>
      <w:r w:rsidR="00607FC5">
        <w:rPr>
          <w:sz w:val="24"/>
          <w:szCs w:val="24"/>
        </w:rPr>
        <w:fldChar w:fldCharType="end"/>
      </w:r>
      <w:r w:rsidR="00253512">
        <w:rPr>
          <w:sz w:val="24"/>
          <w:szCs w:val="24"/>
        </w:rPr>
        <w:t>.</w:t>
      </w:r>
      <w:r w:rsidR="00EE657F">
        <w:rPr>
          <w:sz w:val="24"/>
          <w:szCs w:val="24"/>
        </w:rPr>
        <w:t xml:space="preserve"> This is</w:t>
      </w:r>
      <w:r w:rsidR="00712068">
        <w:rPr>
          <w:sz w:val="24"/>
          <w:szCs w:val="24"/>
        </w:rPr>
        <w:t xml:space="preserve"> in contrast to </w:t>
      </w:r>
      <w:r w:rsidR="00B023A4">
        <w:rPr>
          <w:sz w:val="24"/>
          <w:szCs w:val="24"/>
        </w:rPr>
        <w:t xml:space="preserve">radial </w:t>
      </w:r>
      <w:r w:rsidR="00712068">
        <w:rPr>
          <w:sz w:val="24"/>
          <w:szCs w:val="24"/>
        </w:rPr>
        <w:t>rates of close to 70% reported in the current analysis</w:t>
      </w:r>
      <w:r w:rsidR="004C30DD">
        <w:rPr>
          <w:sz w:val="24"/>
          <w:szCs w:val="24"/>
        </w:rPr>
        <w:t>.</w:t>
      </w:r>
    </w:p>
    <w:p w14:paraId="5F8B4A33" w14:textId="09629962" w:rsidR="00C70E73" w:rsidRDefault="004C30DD" w:rsidP="00530C48">
      <w:pPr>
        <w:snapToGrid w:val="0"/>
        <w:spacing w:before="0" w:after="0" w:line="480" w:lineRule="auto"/>
        <w:rPr>
          <w:sz w:val="24"/>
          <w:szCs w:val="24"/>
        </w:rPr>
      </w:pPr>
      <w:r>
        <w:rPr>
          <w:sz w:val="24"/>
          <w:szCs w:val="24"/>
        </w:rPr>
        <w:tab/>
      </w:r>
      <w:r w:rsidR="00984A8E">
        <w:rPr>
          <w:sz w:val="24"/>
          <w:szCs w:val="24"/>
        </w:rPr>
        <w:t>Changes in anti-thrombotic strategies</w:t>
      </w:r>
      <w:r w:rsidR="00690878">
        <w:rPr>
          <w:sz w:val="24"/>
          <w:szCs w:val="24"/>
        </w:rPr>
        <w:t xml:space="preserve"> such as</w:t>
      </w:r>
      <w:r w:rsidR="00984A8E">
        <w:rPr>
          <w:sz w:val="24"/>
          <w:szCs w:val="24"/>
        </w:rPr>
        <w:t xml:space="preserve"> decrease</w:t>
      </w:r>
      <w:r w:rsidR="009E18E7">
        <w:rPr>
          <w:sz w:val="24"/>
          <w:szCs w:val="24"/>
        </w:rPr>
        <w:t xml:space="preserve">d </w:t>
      </w:r>
      <w:r w:rsidR="00530C48">
        <w:rPr>
          <w:sz w:val="24"/>
          <w:szCs w:val="24"/>
        </w:rPr>
        <w:t>utilization</w:t>
      </w:r>
      <w:r w:rsidR="00984A8E">
        <w:rPr>
          <w:sz w:val="24"/>
          <w:szCs w:val="24"/>
        </w:rPr>
        <w:t xml:space="preserve"> </w:t>
      </w:r>
      <w:r w:rsidR="009E18E7">
        <w:rPr>
          <w:sz w:val="24"/>
          <w:szCs w:val="24"/>
        </w:rPr>
        <w:t>of</w:t>
      </w:r>
      <w:r w:rsidR="00984A8E">
        <w:rPr>
          <w:sz w:val="24"/>
          <w:szCs w:val="24"/>
        </w:rPr>
        <w:t xml:space="preserve"> </w:t>
      </w:r>
      <w:proofErr w:type="spellStart"/>
      <w:r w:rsidR="00984A8E">
        <w:rPr>
          <w:sz w:val="24"/>
          <w:szCs w:val="24"/>
        </w:rPr>
        <w:t>GPIIb</w:t>
      </w:r>
      <w:proofErr w:type="spellEnd"/>
      <w:r w:rsidR="00984A8E">
        <w:rPr>
          <w:sz w:val="24"/>
          <w:szCs w:val="24"/>
        </w:rPr>
        <w:t>/</w:t>
      </w:r>
      <w:proofErr w:type="spellStart"/>
      <w:r w:rsidR="00984A8E">
        <w:rPr>
          <w:sz w:val="24"/>
          <w:szCs w:val="24"/>
        </w:rPr>
        <w:t>IIIa</w:t>
      </w:r>
      <w:proofErr w:type="spellEnd"/>
      <w:r w:rsidR="00984A8E">
        <w:rPr>
          <w:sz w:val="24"/>
          <w:szCs w:val="24"/>
        </w:rPr>
        <w:t xml:space="preserve"> inhibitors and concomitant increases in </w:t>
      </w:r>
      <w:proofErr w:type="spellStart"/>
      <w:r w:rsidR="00984A8E">
        <w:rPr>
          <w:sz w:val="24"/>
          <w:szCs w:val="24"/>
        </w:rPr>
        <w:t>bivalirudin</w:t>
      </w:r>
      <w:proofErr w:type="spellEnd"/>
      <w:r w:rsidR="00984A8E">
        <w:rPr>
          <w:sz w:val="24"/>
          <w:szCs w:val="24"/>
        </w:rPr>
        <w:t xml:space="preserve"> contributed to close to 50% of the reduction in major bleeding observed in the NCDR analysis</w:t>
      </w:r>
      <w:r w:rsidR="00607FC5">
        <w:rPr>
          <w:sz w:val="24"/>
          <w:szCs w:val="24"/>
        </w:rPr>
        <w:fldChar w:fldCharType="begin"/>
      </w:r>
      <w:r w:rsidR="00607FC5">
        <w:rPr>
          <w:sz w:val="24"/>
          <w:szCs w:val="24"/>
        </w:rPr>
        <w:instrText>ADDIN RW.CITE{{79 Subherwal,S. 2012}}</w:instrText>
      </w:r>
      <w:r w:rsidR="00607FC5">
        <w:rPr>
          <w:sz w:val="24"/>
          <w:szCs w:val="24"/>
        </w:rPr>
        <w:fldChar w:fldCharType="separate"/>
      </w:r>
      <w:r w:rsidR="00607FC5" w:rsidRPr="00607FC5">
        <w:rPr>
          <w:sz w:val="24"/>
          <w:szCs w:val="24"/>
          <w:vertAlign w:val="superscript"/>
        </w:rPr>
        <w:t>16</w:t>
      </w:r>
      <w:r w:rsidR="00607FC5">
        <w:rPr>
          <w:sz w:val="24"/>
          <w:szCs w:val="24"/>
        </w:rPr>
        <w:fldChar w:fldCharType="end"/>
      </w:r>
      <w:r w:rsidR="007A5988">
        <w:rPr>
          <w:sz w:val="24"/>
          <w:szCs w:val="24"/>
        </w:rPr>
        <w:t>.</w:t>
      </w:r>
      <w:r w:rsidR="007A5988" w:rsidRPr="00AB0668">
        <w:rPr>
          <w:sz w:val="24"/>
          <w:szCs w:val="24"/>
          <w:vertAlign w:val="superscript"/>
        </w:rPr>
        <w:t xml:space="preserve"> </w:t>
      </w:r>
      <w:r w:rsidR="007A5988">
        <w:rPr>
          <w:sz w:val="24"/>
          <w:szCs w:val="24"/>
        </w:rPr>
        <w:t>O</w:t>
      </w:r>
      <w:r w:rsidR="00690878">
        <w:rPr>
          <w:sz w:val="24"/>
          <w:szCs w:val="24"/>
        </w:rPr>
        <w:t xml:space="preserve">ur analysis </w:t>
      </w:r>
      <w:r w:rsidR="007A5988">
        <w:rPr>
          <w:sz w:val="24"/>
          <w:szCs w:val="24"/>
        </w:rPr>
        <w:t xml:space="preserve">suggests </w:t>
      </w:r>
      <w:r w:rsidR="00690878">
        <w:rPr>
          <w:sz w:val="24"/>
          <w:szCs w:val="24"/>
        </w:rPr>
        <w:t>that after changes in access site practice, changes in pharmacolog</w:t>
      </w:r>
      <w:r w:rsidR="00EE657F">
        <w:rPr>
          <w:sz w:val="24"/>
          <w:szCs w:val="24"/>
        </w:rPr>
        <w:t>ical practice</w:t>
      </w:r>
      <w:r w:rsidR="00690878">
        <w:rPr>
          <w:sz w:val="24"/>
          <w:szCs w:val="24"/>
        </w:rPr>
        <w:t xml:space="preserve"> were most </w:t>
      </w:r>
      <w:r w:rsidR="00B37CC7">
        <w:rPr>
          <w:sz w:val="24"/>
          <w:szCs w:val="24"/>
        </w:rPr>
        <w:t>closely associated with reduced</w:t>
      </w:r>
      <w:r w:rsidR="00690878">
        <w:rPr>
          <w:sz w:val="24"/>
          <w:szCs w:val="24"/>
        </w:rPr>
        <w:t xml:space="preserve"> major </w:t>
      </w:r>
      <w:r w:rsidR="00767ABC">
        <w:rPr>
          <w:sz w:val="24"/>
          <w:szCs w:val="24"/>
        </w:rPr>
        <w:t>bleeding complications</w:t>
      </w:r>
      <w:r w:rsidR="009E18E7">
        <w:rPr>
          <w:sz w:val="24"/>
          <w:szCs w:val="24"/>
        </w:rPr>
        <w:t xml:space="preserve"> with similar attenuations of bleeding risk reported to those observed in the NCDR (52.8% in all PCI indications)</w:t>
      </w:r>
      <w:r w:rsidR="00767ABC">
        <w:rPr>
          <w:sz w:val="24"/>
          <w:szCs w:val="24"/>
        </w:rPr>
        <w:t xml:space="preserve">. </w:t>
      </w:r>
      <w:r w:rsidR="00F17C5C">
        <w:rPr>
          <w:sz w:val="24"/>
          <w:szCs w:val="24"/>
        </w:rPr>
        <w:t>Specifically, w</w:t>
      </w:r>
      <w:r w:rsidR="00767ABC">
        <w:rPr>
          <w:sz w:val="24"/>
          <w:szCs w:val="24"/>
        </w:rPr>
        <w:t xml:space="preserve">e observed a reduction in </w:t>
      </w:r>
      <w:proofErr w:type="spellStart"/>
      <w:r w:rsidR="00767ABC">
        <w:rPr>
          <w:sz w:val="24"/>
          <w:szCs w:val="24"/>
        </w:rPr>
        <w:t>GPIIb</w:t>
      </w:r>
      <w:proofErr w:type="spellEnd"/>
      <w:r w:rsidR="00767ABC">
        <w:rPr>
          <w:sz w:val="24"/>
          <w:szCs w:val="24"/>
        </w:rPr>
        <w:t>/</w:t>
      </w:r>
      <w:proofErr w:type="spellStart"/>
      <w:r w:rsidR="00767ABC">
        <w:rPr>
          <w:sz w:val="24"/>
          <w:szCs w:val="24"/>
        </w:rPr>
        <w:t>IIIa</w:t>
      </w:r>
      <w:proofErr w:type="spellEnd"/>
      <w:r w:rsidR="00767ABC">
        <w:rPr>
          <w:sz w:val="24"/>
          <w:szCs w:val="24"/>
        </w:rPr>
        <w:t xml:space="preserve"> inhibitor usage</w:t>
      </w:r>
      <w:r w:rsidR="00690878">
        <w:rPr>
          <w:sz w:val="24"/>
          <w:szCs w:val="24"/>
        </w:rPr>
        <w:t xml:space="preserve"> </w:t>
      </w:r>
      <w:r w:rsidR="00767ABC">
        <w:rPr>
          <w:sz w:val="24"/>
          <w:szCs w:val="24"/>
        </w:rPr>
        <w:t xml:space="preserve">from </w:t>
      </w:r>
      <w:r w:rsidR="00767ABC">
        <w:rPr>
          <w:sz w:val="24"/>
          <w:szCs w:val="24"/>
        </w:rPr>
        <w:lastRenderedPageBreak/>
        <w:t xml:space="preserve">35% to 16.7% in the whole population and 50.6% </w:t>
      </w:r>
      <w:r w:rsidR="00C54EC6">
        <w:rPr>
          <w:sz w:val="24"/>
          <w:szCs w:val="24"/>
        </w:rPr>
        <w:t>to 23.2% in the ACS population</w:t>
      </w:r>
      <w:r w:rsidR="00255D61" w:rsidRPr="00255D61">
        <w:rPr>
          <w:sz w:val="24"/>
          <w:szCs w:val="24"/>
        </w:rPr>
        <w:t xml:space="preserve"> </w:t>
      </w:r>
      <w:r w:rsidR="00255D61">
        <w:rPr>
          <w:sz w:val="24"/>
          <w:szCs w:val="24"/>
        </w:rPr>
        <w:t>reflecting changes in contemporary anticoagulant practice in PCI</w:t>
      </w:r>
      <w:r w:rsidR="00253512">
        <w:rPr>
          <w:sz w:val="24"/>
          <w:szCs w:val="24"/>
        </w:rPr>
        <w:t>.</w:t>
      </w:r>
      <w:r>
        <w:rPr>
          <w:sz w:val="24"/>
          <w:szCs w:val="24"/>
        </w:rPr>
        <w:t xml:space="preserve"> </w:t>
      </w:r>
      <w:r w:rsidR="00736359">
        <w:rPr>
          <w:sz w:val="24"/>
          <w:szCs w:val="24"/>
        </w:rPr>
        <w:t xml:space="preserve">Increases in the </w:t>
      </w:r>
      <w:r w:rsidR="00255D61">
        <w:rPr>
          <w:sz w:val="24"/>
          <w:szCs w:val="24"/>
        </w:rPr>
        <w:t xml:space="preserve">use of newer antiplatelet agents </w:t>
      </w:r>
      <w:r w:rsidR="006618A2">
        <w:rPr>
          <w:sz w:val="24"/>
          <w:szCs w:val="24"/>
        </w:rPr>
        <w:t xml:space="preserve">such as </w:t>
      </w:r>
      <w:proofErr w:type="spellStart"/>
      <w:r w:rsidR="006618A2">
        <w:rPr>
          <w:sz w:val="24"/>
          <w:szCs w:val="24"/>
        </w:rPr>
        <w:t>Ticagrelor</w:t>
      </w:r>
      <w:proofErr w:type="spellEnd"/>
      <w:r w:rsidR="006618A2">
        <w:rPr>
          <w:sz w:val="24"/>
          <w:szCs w:val="24"/>
        </w:rPr>
        <w:t xml:space="preserve"> and </w:t>
      </w:r>
      <w:proofErr w:type="spellStart"/>
      <w:r w:rsidR="006618A2">
        <w:rPr>
          <w:sz w:val="24"/>
          <w:szCs w:val="24"/>
        </w:rPr>
        <w:t>Prasugrel</w:t>
      </w:r>
      <w:proofErr w:type="spellEnd"/>
      <w:r w:rsidR="006618A2">
        <w:rPr>
          <w:sz w:val="24"/>
          <w:szCs w:val="24"/>
        </w:rPr>
        <w:t xml:space="preserve"> </w:t>
      </w:r>
      <w:r w:rsidR="00736359">
        <w:rPr>
          <w:sz w:val="24"/>
          <w:szCs w:val="24"/>
        </w:rPr>
        <w:t xml:space="preserve">over time </w:t>
      </w:r>
      <w:r w:rsidR="00255D61">
        <w:rPr>
          <w:sz w:val="24"/>
          <w:szCs w:val="24"/>
        </w:rPr>
        <w:t>were observed</w:t>
      </w:r>
      <w:r w:rsidR="00736359">
        <w:rPr>
          <w:sz w:val="24"/>
          <w:szCs w:val="24"/>
        </w:rPr>
        <w:t>,</w:t>
      </w:r>
      <w:r w:rsidR="00B14436">
        <w:rPr>
          <w:sz w:val="24"/>
          <w:szCs w:val="24"/>
        </w:rPr>
        <w:t xml:space="preserve"> </w:t>
      </w:r>
      <w:r w:rsidR="00255D61">
        <w:rPr>
          <w:sz w:val="24"/>
          <w:szCs w:val="24"/>
        </w:rPr>
        <w:t xml:space="preserve">although </w:t>
      </w:r>
      <w:r w:rsidR="00B14436">
        <w:rPr>
          <w:sz w:val="24"/>
          <w:szCs w:val="24"/>
        </w:rPr>
        <w:t>neither</w:t>
      </w:r>
      <w:r w:rsidR="00931148">
        <w:rPr>
          <w:sz w:val="24"/>
          <w:szCs w:val="24"/>
        </w:rPr>
        <w:t xml:space="preserve"> contribut</w:t>
      </w:r>
      <w:r w:rsidR="00716AF6">
        <w:rPr>
          <w:sz w:val="24"/>
          <w:szCs w:val="24"/>
        </w:rPr>
        <w:t>e</w:t>
      </w:r>
      <w:r w:rsidR="00B14436">
        <w:rPr>
          <w:sz w:val="24"/>
          <w:szCs w:val="24"/>
        </w:rPr>
        <w:t>d</w:t>
      </w:r>
      <w:r w:rsidR="00931148">
        <w:rPr>
          <w:sz w:val="24"/>
          <w:szCs w:val="24"/>
        </w:rPr>
        <w:t xml:space="preserve"> to </w:t>
      </w:r>
      <w:r w:rsidR="00736359">
        <w:rPr>
          <w:sz w:val="24"/>
          <w:szCs w:val="24"/>
        </w:rPr>
        <w:t xml:space="preserve">temporal </w:t>
      </w:r>
      <w:r w:rsidR="00931148">
        <w:rPr>
          <w:sz w:val="24"/>
          <w:szCs w:val="24"/>
        </w:rPr>
        <w:t xml:space="preserve">changes in major bleeding </w:t>
      </w:r>
      <w:r w:rsidR="00736359">
        <w:rPr>
          <w:sz w:val="24"/>
          <w:szCs w:val="24"/>
        </w:rPr>
        <w:t xml:space="preserve">that we </w:t>
      </w:r>
      <w:r w:rsidR="00931148">
        <w:rPr>
          <w:sz w:val="24"/>
          <w:szCs w:val="24"/>
        </w:rPr>
        <w:t>observed</w:t>
      </w:r>
      <w:r w:rsidR="00255D61">
        <w:rPr>
          <w:sz w:val="24"/>
          <w:szCs w:val="24"/>
        </w:rPr>
        <w:t xml:space="preserve">. </w:t>
      </w:r>
      <w:r w:rsidR="00CC4D19">
        <w:rPr>
          <w:sz w:val="24"/>
          <w:szCs w:val="24"/>
        </w:rPr>
        <w:t>Our analysis shows that the average age of patients has increased, with more females undergoing PCI</w:t>
      </w:r>
      <w:r w:rsidR="00224EB9">
        <w:rPr>
          <w:sz w:val="24"/>
          <w:szCs w:val="24"/>
        </w:rPr>
        <w:t>,</w:t>
      </w:r>
      <w:r w:rsidR="00CC4D19">
        <w:rPr>
          <w:sz w:val="24"/>
          <w:szCs w:val="24"/>
        </w:rPr>
        <w:t xml:space="preserve"> </w:t>
      </w:r>
      <w:r w:rsidR="00224EB9">
        <w:rPr>
          <w:sz w:val="24"/>
          <w:szCs w:val="24"/>
        </w:rPr>
        <w:t>and</w:t>
      </w:r>
      <w:r w:rsidR="006E46A9">
        <w:rPr>
          <w:sz w:val="24"/>
          <w:szCs w:val="24"/>
        </w:rPr>
        <w:t xml:space="preserve"> a greater</w:t>
      </w:r>
      <w:r w:rsidR="00CC4D19">
        <w:rPr>
          <w:sz w:val="24"/>
          <w:szCs w:val="24"/>
        </w:rPr>
        <w:t xml:space="preserve"> prevalence of cardiovascular risk factors</w:t>
      </w:r>
      <w:r w:rsidR="00255D61">
        <w:rPr>
          <w:sz w:val="24"/>
          <w:szCs w:val="24"/>
        </w:rPr>
        <w:t xml:space="preserve">, with </w:t>
      </w:r>
      <w:r w:rsidR="00D67CAC">
        <w:rPr>
          <w:sz w:val="24"/>
          <w:szCs w:val="24"/>
        </w:rPr>
        <w:t>corresponding</w:t>
      </w:r>
      <w:r w:rsidR="00224EB9">
        <w:rPr>
          <w:sz w:val="24"/>
          <w:szCs w:val="24"/>
        </w:rPr>
        <w:t xml:space="preserve"> </w:t>
      </w:r>
      <w:r w:rsidR="006E46A9">
        <w:rPr>
          <w:sz w:val="24"/>
          <w:szCs w:val="24"/>
        </w:rPr>
        <w:t xml:space="preserve">increases in the </w:t>
      </w:r>
      <w:r w:rsidR="00255D61">
        <w:rPr>
          <w:sz w:val="24"/>
          <w:szCs w:val="24"/>
        </w:rPr>
        <w:t xml:space="preserve">calculated bleeding risk of the patients. </w:t>
      </w:r>
      <w:r w:rsidR="00545D30">
        <w:rPr>
          <w:sz w:val="24"/>
          <w:szCs w:val="24"/>
        </w:rPr>
        <w:t>Similarly, our data show that the proportion of PCI cases undertaken for ACS indications</w:t>
      </w:r>
      <w:r w:rsidR="00CC4D19">
        <w:rPr>
          <w:sz w:val="24"/>
          <w:szCs w:val="24"/>
        </w:rPr>
        <w:t xml:space="preserve"> </w:t>
      </w:r>
      <w:r w:rsidR="00545D30">
        <w:rPr>
          <w:sz w:val="24"/>
          <w:szCs w:val="24"/>
        </w:rPr>
        <w:t>has increased</w:t>
      </w:r>
      <w:r w:rsidR="005B29CD">
        <w:rPr>
          <w:sz w:val="24"/>
          <w:szCs w:val="24"/>
        </w:rPr>
        <w:t xml:space="preserve">, thereby </w:t>
      </w:r>
      <w:r w:rsidR="00224EB9">
        <w:rPr>
          <w:sz w:val="24"/>
          <w:szCs w:val="24"/>
        </w:rPr>
        <w:t xml:space="preserve">further </w:t>
      </w:r>
      <w:r w:rsidR="0035380E">
        <w:rPr>
          <w:sz w:val="24"/>
          <w:szCs w:val="24"/>
        </w:rPr>
        <w:t>contribut</w:t>
      </w:r>
      <w:r w:rsidR="005B29CD">
        <w:rPr>
          <w:sz w:val="24"/>
          <w:szCs w:val="24"/>
        </w:rPr>
        <w:t>ing</w:t>
      </w:r>
      <w:r w:rsidR="0035380E">
        <w:rPr>
          <w:sz w:val="24"/>
          <w:szCs w:val="24"/>
        </w:rPr>
        <w:t xml:space="preserve"> to worsening bleeding outcomes</w:t>
      </w:r>
      <w:r w:rsidR="00607FC5">
        <w:rPr>
          <w:sz w:val="24"/>
          <w:szCs w:val="24"/>
        </w:rPr>
        <w:fldChar w:fldCharType="begin"/>
      </w:r>
      <w:r w:rsidR="00607FC5">
        <w:rPr>
          <w:sz w:val="24"/>
          <w:szCs w:val="24"/>
        </w:rPr>
        <w:instrText>ADDIN RW.CITE{{334 Mehta,S.K. 2009; 353 Kinnaird,TimothyD 2003; 354 Anderson,SimonG 2015}}</w:instrText>
      </w:r>
      <w:r w:rsidR="00607FC5">
        <w:rPr>
          <w:sz w:val="24"/>
          <w:szCs w:val="24"/>
        </w:rPr>
        <w:fldChar w:fldCharType="separate"/>
      </w:r>
      <w:r w:rsidR="00607FC5" w:rsidRPr="00607FC5">
        <w:rPr>
          <w:sz w:val="24"/>
          <w:szCs w:val="24"/>
          <w:vertAlign w:val="superscript"/>
        </w:rPr>
        <w:t>18-20</w:t>
      </w:r>
      <w:r w:rsidR="00607FC5">
        <w:rPr>
          <w:sz w:val="24"/>
          <w:szCs w:val="24"/>
        </w:rPr>
        <w:fldChar w:fldCharType="end"/>
      </w:r>
      <w:r w:rsidR="00357E36">
        <w:rPr>
          <w:sz w:val="24"/>
          <w:szCs w:val="24"/>
        </w:rPr>
        <w:t>.</w:t>
      </w:r>
      <w:r w:rsidR="00A14B1C">
        <w:rPr>
          <w:sz w:val="24"/>
          <w:szCs w:val="24"/>
        </w:rPr>
        <w:t xml:space="preserve"> </w:t>
      </w:r>
    </w:p>
    <w:p w14:paraId="7DAA677B" w14:textId="27089016" w:rsidR="00CC4D19" w:rsidRDefault="00C70E73" w:rsidP="00772C56">
      <w:pPr>
        <w:spacing w:before="0" w:after="0" w:line="480" w:lineRule="auto"/>
        <w:rPr>
          <w:sz w:val="24"/>
          <w:szCs w:val="24"/>
        </w:rPr>
      </w:pPr>
      <w:r>
        <w:rPr>
          <w:sz w:val="24"/>
          <w:szCs w:val="24"/>
        </w:rPr>
        <w:tab/>
      </w:r>
      <w:r w:rsidR="00522DD0">
        <w:rPr>
          <w:sz w:val="24"/>
          <w:szCs w:val="24"/>
        </w:rPr>
        <w:t xml:space="preserve">Our analysis suggests that the growth of </w:t>
      </w:r>
      <w:r w:rsidR="00812249">
        <w:rPr>
          <w:sz w:val="24"/>
          <w:szCs w:val="24"/>
        </w:rPr>
        <w:t>transradial access (</w:t>
      </w:r>
      <w:r w:rsidR="00522DD0">
        <w:rPr>
          <w:sz w:val="24"/>
          <w:szCs w:val="24"/>
        </w:rPr>
        <w:t>TRA</w:t>
      </w:r>
      <w:r w:rsidR="00812249">
        <w:rPr>
          <w:sz w:val="24"/>
          <w:szCs w:val="24"/>
        </w:rPr>
        <w:t>)</w:t>
      </w:r>
      <w:r w:rsidR="00522DD0">
        <w:rPr>
          <w:sz w:val="24"/>
          <w:szCs w:val="24"/>
        </w:rPr>
        <w:t xml:space="preserve"> from 17% in 2006 to close to 70% in 2013 has been </w:t>
      </w:r>
      <w:r w:rsidR="00EE7BC4">
        <w:rPr>
          <w:sz w:val="24"/>
          <w:szCs w:val="24"/>
        </w:rPr>
        <w:t xml:space="preserve">most strongly associated with </w:t>
      </w:r>
      <w:r w:rsidR="00571505">
        <w:rPr>
          <w:sz w:val="24"/>
          <w:szCs w:val="24"/>
        </w:rPr>
        <w:t>the reduction in national major bleeding rates observed in both the elective and ACS s</w:t>
      </w:r>
      <w:r w:rsidR="002F57F2">
        <w:rPr>
          <w:sz w:val="24"/>
          <w:szCs w:val="24"/>
        </w:rPr>
        <w:t>ettings. Both national registry</w:t>
      </w:r>
      <w:r w:rsidR="00607FC5">
        <w:rPr>
          <w:sz w:val="24"/>
          <w:szCs w:val="24"/>
        </w:rPr>
        <w:fldChar w:fldCharType="begin"/>
      </w:r>
      <w:r w:rsidR="00607FC5">
        <w:rPr>
          <w:sz w:val="24"/>
          <w:szCs w:val="24"/>
        </w:rPr>
        <w:instrText>ADDIN RW.CITE{{180 Mamas,M.A. 2014}}</w:instrText>
      </w:r>
      <w:r w:rsidR="00607FC5">
        <w:rPr>
          <w:sz w:val="24"/>
          <w:szCs w:val="24"/>
        </w:rPr>
        <w:fldChar w:fldCharType="separate"/>
      </w:r>
      <w:r w:rsidR="00607FC5" w:rsidRPr="00607FC5">
        <w:rPr>
          <w:sz w:val="24"/>
          <w:szCs w:val="24"/>
          <w:vertAlign w:val="superscript"/>
        </w:rPr>
        <w:t>12</w:t>
      </w:r>
      <w:r w:rsidR="00607FC5">
        <w:rPr>
          <w:sz w:val="24"/>
          <w:szCs w:val="24"/>
        </w:rPr>
        <w:fldChar w:fldCharType="end"/>
      </w:r>
      <w:r w:rsidR="002F57F2">
        <w:rPr>
          <w:sz w:val="24"/>
          <w:szCs w:val="24"/>
        </w:rPr>
        <w:t xml:space="preserve"> and randomiz</w:t>
      </w:r>
      <w:r w:rsidR="00571505">
        <w:rPr>
          <w:sz w:val="24"/>
          <w:szCs w:val="24"/>
        </w:rPr>
        <w:t>ed controlled trial data</w:t>
      </w:r>
      <w:r w:rsidR="00607FC5">
        <w:rPr>
          <w:sz w:val="24"/>
          <w:szCs w:val="24"/>
        </w:rPr>
        <w:fldChar w:fldCharType="begin"/>
      </w:r>
      <w:r w:rsidR="00607FC5">
        <w:rPr>
          <w:sz w:val="24"/>
          <w:szCs w:val="24"/>
        </w:rPr>
        <w:instrText>ADDIN RW.CITE{{188 Valgimigli,M. 2015; 200 Romagnoli,E. 2012; 404 Ando,G. 2016}}</w:instrText>
      </w:r>
      <w:r w:rsidR="00607FC5">
        <w:rPr>
          <w:sz w:val="24"/>
          <w:szCs w:val="24"/>
        </w:rPr>
        <w:fldChar w:fldCharType="separate"/>
      </w:r>
      <w:r w:rsidR="00607FC5" w:rsidRPr="00607FC5">
        <w:rPr>
          <w:sz w:val="24"/>
          <w:szCs w:val="24"/>
          <w:vertAlign w:val="superscript"/>
        </w:rPr>
        <w:t>21-23</w:t>
      </w:r>
      <w:r w:rsidR="00607FC5">
        <w:rPr>
          <w:sz w:val="24"/>
          <w:szCs w:val="24"/>
        </w:rPr>
        <w:fldChar w:fldCharType="end"/>
      </w:r>
      <w:r w:rsidR="00571505">
        <w:rPr>
          <w:sz w:val="24"/>
          <w:szCs w:val="24"/>
        </w:rPr>
        <w:t xml:space="preserve"> has shown that TRA is independently associated with reduced mortality and major bleeding risk</w:t>
      </w:r>
      <w:r w:rsidR="007023E6">
        <w:rPr>
          <w:sz w:val="24"/>
          <w:szCs w:val="24"/>
        </w:rPr>
        <w:t xml:space="preserve"> in </w:t>
      </w:r>
      <w:r w:rsidR="00BF4FEF">
        <w:rPr>
          <w:sz w:val="24"/>
          <w:szCs w:val="24"/>
        </w:rPr>
        <w:t>high-risk</w:t>
      </w:r>
      <w:r w:rsidR="007023E6">
        <w:rPr>
          <w:sz w:val="24"/>
          <w:szCs w:val="24"/>
        </w:rPr>
        <w:t xml:space="preserve"> patient groups</w:t>
      </w:r>
      <w:r w:rsidR="002F57F2">
        <w:rPr>
          <w:sz w:val="24"/>
          <w:szCs w:val="24"/>
        </w:rPr>
        <w:t>.</w:t>
      </w:r>
      <w:r w:rsidR="004321E6">
        <w:rPr>
          <w:sz w:val="24"/>
          <w:szCs w:val="24"/>
        </w:rPr>
        <w:t xml:space="preserve"> </w:t>
      </w:r>
      <w:r w:rsidR="00AF637D">
        <w:rPr>
          <w:sz w:val="24"/>
          <w:szCs w:val="24"/>
        </w:rPr>
        <w:t>Temporal c</w:t>
      </w:r>
      <w:r w:rsidR="00AF637D" w:rsidRPr="00FF0361">
        <w:rPr>
          <w:sz w:val="24"/>
          <w:szCs w:val="24"/>
        </w:rPr>
        <w:t xml:space="preserve">hanges </w:t>
      </w:r>
      <w:r w:rsidR="004321E6" w:rsidRPr="00FF0361">
        <w:rPr>
          <w:sz w:val="24"/>
          <w:szCs w:val="24"/>
        </w:rPr>
        <w:t xml:space="preserve">in </w:t>
      </w:r>
      <w:r w:rsidR="00AF637D">
        <w:rPr>
          <w:sz w:val="24"/>
          <w:szCs w:val="24"/>
        </w:rPr>
        <w:t xml:space="preserve">the </w:t>
      </w:r>
      <w:r w:rsidR="004321E6" w:rsidRPr="00FF0361">
        <w:rPr>
          <w:sz w:val="24"/>
          <w:szCs w:val="24"/>
        </w:rPr>
        <w:t>incidence of major bleeding complications represent</w:t>
      </w:r>
      <w:r w:rsidR="00AF637D">
        <w:rPr>
          <w:sz w:val="24"/>
          <w:szCs w:val="24"/>
        </w:rPr>
        <w:t>s</w:t>
      </w:r>
      <w:r w:rsidR="004321E6" w:rsidRPr="00FF0361">
        <w:rPr>
          <w:sz w:val="24"/>
          <w:szCs w:val="24"/>
        </w:rPr>
        <w:t xml:space="preserve"> a complex dynamic between changes in pharmacolog</w:t>
      </w:r>
      <w:r w:rsidR="004321E6">
        <w:rPr>
          <w:sz w:val="24"/>
          <w:szCs w:val="24"/>
        </w:rPr>
        <w:t>ical practices</w:t>
      </w:r>
      <w:r w:rsidR="004321E6" w:rsidRPr="00FF0361">
        <w:rPr>
          <w:sz w:val="24"/>
          <w:szCs w:val="24"/>
        </w:rPr>
        <w:t xml:space="preserve">, </w:t>
      </w:r>
      <w:r w:rsidR="004321E6">
        <w:rPr>
          <w:sz w:val="24"/>
          <w:szCs w:val="24"/>
        </w:rPr>
        <w:t>PCI</w:t>
      </w:r>
      <w:r w:rsidR="00AF637D" w:rsidRPr="00AF637D">
        <w:rPr>
          <w:sz w:val="24"/>
          <w:szCs w:val="24"/>
        </w:rPr>
        <w:t xml:space="preserve"> </w:t>
      </w:r>
      <w:r w:rsidR="00AF637D" w:rsidRPr="00FF0361">
        <w:rPr>
          <w:sz w:val="24"/>
          <w:szCs w:val="24"/>
        </w:rPr>
        <w:t>indica</w:t>
      </w:r>
      <w:r w:rsidR="00AF637D">
        <w:rPr>
          <w:sz w:val="24"/>
          <w:szCs w:val="24"/>
        </w:rPr>
        <w:t>tion</w:t>
      </w:r>
      <w:r w:rsidR="004321E6">
        <w:rPr>
          <w:sz w:val="24"/>
          <w:szCs w:val="24"/>
        </w:rPr>
        <w:t xml:space="preserve">, co-morbid burden, </w:t>
      </w:r>
      <w:r w:rsidR="004321E6" w:rsidRPr="00FF0361">
        <w:rPr>
          <w:sz w:val="24"/>
          <w:szCs w:val="24"/>
        </w:rPr>
        <w:t xml:space="preserve">clinical </w:t>
      </w:r>
      <w:r w:rsidR="004321E6">
        <w:rPr>
          <w:sz w:val="24"/>
          <w:szCs w:val="24"/>
        </w:rPr>
        <w:t>demographics, procedural characteristics</w:t>
      </w:r>
      <w:r w:rsidR="004321E6" w:rsidRPr="00FF0361">
        <w:rPr>
          <w:sz w:val="24"/>
          <w:szCs w:val="24"/>
        </w:rPr>
        <w:t xml:space="preserve"> and access site practice</w:t>
      </w:r>
      <w:r w:rsidR="006834CF">
        <w:rPr>
          <w:sz w:val="24"/>
          <w:szCs w:val="24"/>
        </w:rPr>
        <w:t>, and this will change annually dependent on the annualized prevalence of each factor</w:t>
      </w:r>
      <w:r w:rsidR="004321E6">
        <w:rPr>
          <w:sz w:val="24"/>
          <w:szCs w:val="24"/>
        </w:rPr>
        <w:t xml:space="preserve">. </w:t>
      </w:r>
      <w:r w:rsidR="006834CF">
        <w:rPr>
          <w:sz w:val="24"/>
          <w:szCs w:val="24"/>
        </w:rPr>
        <w:t>Furthermore, t</w:t>
      </w:r>
      <w:r w:rsidR="004321E6">
        <w:rPr>
          <w:sz w:val="24"/>
          <w:szCs w:val="24"/>
        </w:rPr>
        <w:t xml:space="preserve">he contribution of each of these competing “risks” to the final incident bleeding rates will </w:t>
      </w:r>
      <w:r w:rsidR="006834CF">
        <w:rPr>
          <w:sz w:val="24"/>
          <w:szCs w:val="24"/>
        </w:rPr>
        <w:t>vary</w:t>
      </w:r>
      <w:r w:rsidR="004321E6">
        <w:rPr>
          <w:sz w:val="24"/>
          <w:szCs w:val="24"/>
        </w:rPr>
        <w:t xml:space="preserve"> in different countries dependent on </w:t>
      </w:r>
      <w:r w:rsidR="009031FD">
        <w:rPr>
          <w:sz w:val="24"/>
          <w:szCs w:val="24"/>
        </w:rPr>
        <w:t xml:space="preserve">differences in </w:t>
      </w:r>
      <w:r w:rsidR="008702DE">
        <w:rPr>
          <w:sz w:val="24"/>
          <w:szCs w:val="24"/>
        </w:rPr>
        <w:t>case mix</w:t>
      </w:r>
      <w:r w:rsidR="009031FD">
        <w:rPr>
          <w:sz w:val="24"/>
          <w:szCs w:val="24"/>
        </w:rPr>
        <w:t>,</w:t>
      </w:r>
      <w:r w:rsidR="008702DE">
        <w:rPr>
          <w:sz w:val="24"/>
          <w:szCs w:val="24"/>
        </w:rPr>
        <w:t xml:space="preserve"> clinical </w:t>
      </w:r>
      <w:r w:rsidR="009031FD">
        <w:rPr>
          <w:sz w:val="24"/>
          <w:szCs w:val="24"/>
        </w:rPr>
        <w:t xml:space="preserve">and pharmacological </w:t>
      </w:r>
      <w:r w:rsidR="008702DE">
        <w:rPr>
          <w:sz w:val="24"/>
          <w:szCs w:val="24"/>
        </w:rPr>
        <w:t>practice</w:t>
      </w:r>
      <w:r w:rsidR="006834CF">
        <w:rPr>
          <w:sz w:val="24"/>
          <w:szCs w:val="24"/>
        </w:rPr>
        <w:t xml:space="preserve">, with the greatest benefit to be gained in countries that are at the </w:t>
      </w:r>
      <w:r w:rsidR="00724CE8">
        <w:rPr>
          <w:sz w:val="24"/>
          <w:szCs w:val="24"/>
        </w:rPr>
        <w:t xml:space="preserve">earliest stages </w:t>
      </w:r>
      <w:r w:rsidR="006834CF">
        <w:rPr>
          <w:sz w:val="24"/>
          <w:szCs w:val="24"/>
        </w:rPr>
        <w:t xml:space="preserve">of </w:t>
      </w:r>
      <w:r w:rsidR="00724CE8">
        <w:rPr>
          <w:sz w:val="24"/>
          <w:szCs w:val="24"/>
        </w:rPr>
        <w:t>radial adoption</w:t>
      </w:r>
      <w:r w:rsidR="008702DE">
        <w:rPr>
          <w:sz w:val="24"/>
          <w:szCs w:val="24"/>
        </w:rPr>
        <w:t xml:space="preserve">. </w:t>
      </w:r>
    </w:p>
    <w:p w14:paraId="0D50DB8A" w14:textId="05DE054C" w:rsidR="002A5B31" w:rsidRDefault="002A5B31" w:rsidP="004F3DEE">
      <w:pPr>
        <w:spacing w:before="0" w:after="0" w:line="480" w:lineRule="auto"/>
        <w:rPr>
          <w:sz w:val="24"/>
          <w:szCs w:val="24"/>
        </w:rPr>
      </w:pPr>
      <w:r>
        <w:rPr>
          <w:sz w:val="24"/>
          <w:szCs w:val="24"/>
        </w:rPr>
        <w:tab/>
      </w:r>
      <w:r w:rsidR="00C54EC6">
        <w:rPr>
          <w:sz w:val="24"/>
          <w:szCs w:val="24"/>
        </w:rPr>
        <w:t>Our analysis has several limitations.</w:t>
      </w:r>
      <w:r w:rsidR="000D5477">
        <w:rPr>
          <w:sz w:val="24"/>
          <w:szCs w:val="24"/>
        </w:rPr>
        <w:t xml:space="preserve"> </w:t>
      </w:r>
      <w:r w:rsidR="00692300">
        <w:rPr>
          <w:sz w:val="24"/>
          <w:szCs w:val="24"/>
        </w:rPr>
        <w:t>Firstly</w:t>
      </w:r>
      <w:r w:rsidR="000D5477">
        <w:rPr>
          <w:sz w:val="24"/>
          <w:szCs w:val="24"/>
        </w:rPr>
        <w:t xml:space="preserve">, </w:t>
      </w:r>
      <w:r w:rsidR="00261683">
        <w:rPr>
          <w:sz w:val="24"/>
          <w:szCs w:val="24"/>
        </w:rPr>
        <w:t xml:space="preserve">bleeding </w:t>
      </w:r>
      <w:r w:rsidR="000D5477">
        <w:rPr>
          <w:sz w:val="24"/>
          <w:szCs w:val="24"/>
        </w:rPr>
        <w:t>complications are self</w:t>
      </w:r>
      <w:r w:rsidR="004F3DEE">
        <w:rPr>
          <w:sz w:val="24"/>
          <w:szCs w:val="24"/>
        </w:rPr>
        <w:t>-</w:t>
      </w:r>
      <w:r w:rsidR="000D5477">
        <w:rPr>
          <w:sz w:val="24"/>
          <w:szCs w:val="24"/>
        </w:rPr>
        <w:t>reported and are</w:t>
      </w:r>
      <w:r w:rsidR="00091F9C">
        <w:rPr>
          <w:sz w:val="24"/>
          <w:szCs w:val="24"/>
        </w:rPr>
        <w:t xml:space="preserve"> not </w:t>
      </w:r>
      <w:r w:rsidR="00261683">
        <w:rPr>
          <w:sz w:val="24"/>
          <w:szCs w:val="24"/>
        </w:rPr>
        <w:t xml:space="preserve">adjudicated / </w:t>
      </w:r>
      <w:r w:rsidR="00091F9C">
        <w:rPr>
          <w:sz w:val="24"/>
          <w:szCs w:val="24"/>
        </w:rPr>
        <w:t>validated by BCIS</w:t>
      </w:r>
      <w:r w:rsidR="000D5477">
        <w:rPr>
          <w:sz w:val="24"/>
          <w:szCs w:val="24"/>
        </w:rPr>
        <w:t xml:space="preserve"> potentially resulting in under-reporting. Secondly, the </w:t>
      </w:r>
      <w:r w:rsidR="00692300">
        <w:rPr>
          <w:sz w:val="24"/>
          <w:szCs w:val="24"/>
        </w:rPr>
        <w:t xml:space="preserve">definition of major </w:t>
      </w:r>
      <w:r w:rsidR="000D5477">
        <w:rPr>
          <w:sz w:val="24"/>
          <w:szCs w:val="24"/>
        </w:rPr>
        <w:t xml:space="preserve">bleeding </w:t>
      </w:r>
      <w:r w:rsidR="00692300">
        <w:rPr>
          <w:sz w:val="24"/>
          <w:szCs w:val="24"/>
        </w:rPr>
        <w:t xml:space="preserve">that is </w:t>
      </w:r>
      <w:r w:rsidR="000D5477">
        <w:rPr>
          <w:sz w:val="24"/>
          <w:szCs w:val="24"/>
        </w:rPr>
        <w:t xml:space="preserve">used in the BCIS dataset </w:t>
      </w:r>
      <w:r w:rsidR="00692300">
        <w:rPr>
          <w:sz w:val="24"/>
          <w:szCs w:val="24"/>
        </w:rPr>
        <w:t>is</w:t>
      </w:r>
      <w:r w:rsidR="000D5477">
        <w:rPr>
          <w:sz w:val="24"/>
          <w:szCs w:val="24"/>
        </w:rPr>
        <w:t xml:space="preserve"> </w:t>
      </w:r>
      <w:r w:rsidR="000D5477">
        <w:rPr>
          <w:sz w:val="24"/>
          <w:szCs w:val="24"/>
        </w:rPr>
        <w:lastRenderedPageBreak/>
        <w:t xml:space="preserve">different from those frequently used in clinical trials </w:t>
      </w:r>
      <w:r w:rsidR="00D11A86">
        <w:rPr>
          <w:sz w:val="24"/>
          <w:szCs w:val="24"/>
        </w:rPr>
        <w:t>(1)</w:t>
      </w:r>
      <w:r w:rsidR="002B29D9">
        <w:rPr>
          <w:sz w:val="24"/>
          <w:szCs w:val="24"/>
        </w:rPr>
        <w:t xml:space="preserve"> </w:t>
      </w:r>
      <w:r w:rsidR="000D5477">
        <w:rPr>
          <w:sz w:val="24"/>
          <w:szCs w:val="24"/>
        </w:rPr>
        <w:t xml:space="preserve">making comparisons with </w:t>
      </w:r>
      <w:r w:rsidR="002B29D9">
        <w:rPr>
          <w:sz w:val="24"/>
          <w:szCs w:val="24"/>
        </w:rPr>
        <w:t>other studies / trials difficult</w:t>
      </w:r>
      <w:r w:rsidR="00D67CAC">
        <w:rPr>
          <w:sz w:val="24"/>
          <w:szCs w:val="24"/>
        </w:rPr>
        <w:t>, although has remained constant during the period studied</w:t>
      </w:r>
      <w:r w:rsidR="002B29D9">
        <w:rPr>
          <w:sz w:val="24"/>
          <w:szCs w:val="24"/>
        </w:rPr>
        <w:t xml:space="preserve">. </w:t>
      </w:r>
      <w:r w:rsidR="00F0544E">
        <w:rPr>
          <w:sz w:val="24"/>
          <w:szCs w:val="24"/>
        </w:rPr>
        <w:t>The thresholds for blood transfusions (</w:t>
      </w:r>
      <w:r w:rsidR="00D67CAC">
        <w:rPr>
          <w:sz w:val="24"/>
          <w:szCs w:val="24"/>
        </w:rPr>
        <w:t>a</w:t>
      </w:r>
      <w:r w:rsidR="00F0544E">
        <w:rPr>
          <w:sz w:val="24"/>
          <w:szCs w:val="24"/>
        </w:rPr>
        <w:t xml:space="preserve"> component of the BCIS definition for major bleeding) may have changed over time </w:t>
      </w:r>
      <w:r w:rsidR="00AB04FC">
        <w:rPr>
          <w:sz w:val="24"/>
          <w:szCs w:val="24"/>
        </w:rPr>
        <w:t xml:space="preserve">that </w:t>
      </w:r>
      <w:r w:rsidR="00F0544E">
        <w:rPr>
          <w:sz w:val="24"/>
          <w:szCs w:val="24"/>
        </w:rPr>
        <w:t>may introduce confounding</w:t>
      </w:r>
      <w:r w:rsidR="008F400D">
        <w:rPr>
          <w:sz w:val="24"/>
          <w:szCs w:val="24"/>
        </w:rPr>
        <w:t xml:space="preserve"> and the BCIS dataset does not differentiate between blood transfusions given for bleeding complications and those for chronic anemia</w:t>
      </w:r>
      <w:r w:rsidR="00F0544E">
        <w:rPr>
          <w:sz w:val="24"/>
          <w:szCs w:val="24"/>
        </w:rPr>
        <w:t xml:space="preserve">. </w:t>
      </w:r>
      <w:r w:rsidR="00692300">
        <w:rPr>
          <w:sz w:val="24"/>
          <w:szCs w:val="24"/>
        </w:rPr>
        <w:t>Thirdly</w:t>
      </w:r>
      <w:r w:rsidR="002B29D9">
        <w:rPr>
          <w:sz w:val="24"/>
          <w:szCs w:val="24"/>
        </w:rPr>
        <w:t>, whilst the BCIS dataset captures CV risk factors, it does not capture other measures of co-morbid burden</w:t>
      </w:r>
      <w:r w:rsidR="00607FC5">
        <w:rPr>
          <w:sz w:val="24"/>
          <w:szCs w:val="24"/>
        </w:rPr>
        <w:fldChar w:fldCharType="begin"/>
      </w:r>
      <w:r w:rsidR="00607FC5">
        <w:rPr>
          <w:sz w:val="24"/>
          <w:szCs w:val="24"/>
        </w:rPr>
        <w:instrText>ADDIN RW.CITE{{320 Mamas,MamasA 2015}}</w:instrText>
      </w:r>
      <w:r w:rsidR="00607FC5">
        <w:rPr>
          <w:sz w:val="24"/>
          <w:szCs w:val="24"/>
        </w:rPr>
        <w:fldChar w:fldCharType="separate"/>
      </w:r>
      <w:r w:rsidR="00607FC5" w:rsidRPr="00607FC5">
        <w:rPr>
          <w:sz w:val="24"/>
          <w:szCs w:val="24"/>
          <w:vertAlign w:val="superscript"/>
        </w:rPr>
        <w:t>24</w:t>
      </w:r>
      <w:r w:rsidR="00607FC5">
        <w:rPr>
          <w:sz w:val="24"/>
          <w:szCs w:val="24"/>
        </w:rPr>
        <w:fldChar w:fldCharType="end"/>
      </w:r>
      <w:r w:rsidR="00692300" w:rsidRPr="00692300">
        <w:rPr>
          <w:sz w:val="24"/>
          <w:szCs w:val="24"/>
        </w:rPr>
        <w:t xml:space="preserve"> </w:t>
      </w:r>
      <w:r w:rsidR="004F3DEE">
        <w:rPr>
          <w:sz w:val="24"/>
          <w:szCs w:val="24"/>
        </w:rPr>
        <w:t xml:space="preserve">that </w:t>
      </w:r>
      <w:r w:rsidR="00692300">
        <w:rPr>
          <w:sz w:val="24"/>
          <w:szCs w:val="24"/>
        </w:rPr>
        <w:t>may have contributed to the changes in incident bleeding reported here.</w:t>
      </w:r>
      <w:r w:rsidR="006718E3">
        <w:rPr>
          <w:sz w:val="24"/>
          <w:szCs w:val="24"/>
        </w:rPr>
        <w:t xml:space="preserve"> Finally, our observational data can only report associations and causal relationships cannot be inferred. </w:t>
      </w:r>
    </w:p>
    <w:p w14:paraId="7202E85D" w14:textId="44CE1D5F" w:rsidR="00C85A7F" w:rsidRDefault="003632FD" w:rsidP="00530C48">
      <w:pPr>
        <w:spacing w:before="0" w:after="0" w:line="480" w:lineRule="auto"/>
        <w:rPr>
          <w:sz w:val="24"/>
          <w:szCs w:val="24"/>
        </w:rPr>
      </w:pPr>
      <w:r>
        <w:rPr>
          <w:sz w:val="24"/>
          <w:szCs w:val="24"/>
        </w:rPr>
        <w:tab/>
        <w:t xml:space="preserve">In conclusion, </w:t>
      </w:r>
      <w:r w:rsidR="00091F9C">
        <w:rPr>
          <w:sz w:val="24"/>
          <w:szCs w:val="24"/>
        </w:rPr>
        <w:t xml:space="preserve">observe </w:t>
      </w:r>
      <w:r w:rsidR="00091F9C" w:rsidRPr="00FF0361">
        <w:rPr>
          <w:sz w:val="24"/>
          <w:szCs w:val="24"/>
        </w:rPr>
        <w:t xml:space="preserve">significant changes in clinical and procedural demographics, access site practice and pharmacology over time </w:t>
      </w:r>
      <w:r w:rsidR="00091F9C">
        <w:rPr>
          <w:sz w:val="24"/>
          <w:szCs w:val="24"/>
        </w:rPr>
        <w:t xml:space="preserve">in patients undergoing PCI in England and Wales, </w:t>
      </w:r>
      <w:r w:rsidR="00091F9C" w:rsidRPr="00FF0361">
        <w:rPr>
          <w:sz w:val="24"/>
          <w:szCs w:val="24"/>
        </w:rPr>
        <w:t xml:space="preserve">accompanied by a decline in the crude incident rates of in-hospital major bleeding complications. Our analysis suggests that these </w:t>
      </w:r>
      <w:r w:rsidR="00F74381">
        <w:rPr>
          <w:sz w:val="24"/>
          <w:szCs w:val="24"/>
        </w:rPr>
        <w:t>national decreases</w:t>
      </w:r>
      <w:r w:rsidR="00091F9C" w:rsidRPr="00FF0361">
        <w:rPr>
          <w:sz w:val="24"/>
          <w:szCs w:val="24"/>
        </w:rPr>
        <w:t xml:space="preserve"> in major bleeding </w:t>
      </w:r>
      <w:r w:rsidR="00EE7BC4">
        <w:rPr>
          <w:sz w:val="24"/>
          <w:szCs w:val="24"/>
        </w:rPr>
        <w:t>are most strongly associated with</w:t>
      </w:r>
      <w:r w:rsidR="00091F9C" w:rsidRPr="00FF0361">
        <w:rPr>
          <w:sz w:val="24"/>
          <w:szCs w:val="24"/>
        </w:rPr>
        <w:t xml:space="preserve"> changes in access site practice and decre</w:t>
      </w:r>
      <w:r w:rsidR="0027531D">
        <w:rPr>
          <w:sz w:val="24"/>
          <w:szCs w:val="24"/>
        </w:rPr>
        <w:t xml:space="preserve">ased usage of glycoprotein </w:t>
      </w:r>
      <w:proofErr w:type="spellStart"/>
      <w:r w:rsidR="0027531D">
        <w:rPr>
          <w:sz w:val="24"/>
          <w:szCs w:val="24"/>
        </w:rPr>
        <w:t>IIb</w:t>
      </w:r>
      <w:proofErr w:type="spellEnd"/>
      <w:r w:rsidR="0027531D">
        <w:rPr>
          <w:sz w:val="24"/>
          <w:szCs w:val="24"/>
        </w:rPr>
        <w:t>/</w:t>
      </w:r>
      <w:proofErr w:type="spellStart"/>
      <w:r w:rsidR="00091F9C" w:rsidRPr="00FF0361">
        <w:rPr>
          <w:sz w:val="24"/>
          <w:szCs w:val="24"/>
        </w:rPr>
        <w:t>IIIa</w:t>
      </w:r>
      <w:proofErr w:type="spellEnd"/>
      <w:r w:rsidR="00091F9C" w:rsidRPr="00FF0361">
        <w:rPr>
          <w:sz w:val="24"/>
          <w:szCs w:val="24"/>
        </w:rPr>
        <w:t xml:space="preserve"> inhibitors</w:t>
      </w:r>
      <w:r w:rsidR="00091F9C">
        <w:rPr>
          <w:sz w:val="24"/>
          <w:szCs w:val="24"/>
        </w:rPr>
        <w:t xml:space="preserve">, although this has been offset by the increase in proportion of PCI cases undertaken for ACS indications and </w:t>
      </w:r>
      <w:r w:rsidR="00D943E3">
        <w:rPr>
          <w:sz w:val="24"/>
          <w:szCs w:val="24"/>
        </w:rPr>
        <w:t xml:space="preserve">the treatment of patients who are at higher </w:t>
      </w:r>
      <w:r w:rsidR="00654012">
        <w:rPr>
          <w:sz w:val="24"/>
          <w:szCs w:val="24"/>
        </w:rPr>
        <w:t>risk of bleeding complications</w:t>
      </w:r>
      <w:r w:rsidR="00091F9C" w:rsidRPr="00FF0361">
        <w:rPr>
          <w:sz w:val="24"/>
          <w:szCs w:val="24"/>
        </w:rPr>
        <w:t xml:space="preserve">. </w:t>
      </w:r>
      <w:r w:rsidR="00091F9C">
        <w:rPr>
          <w:sz w:val="24"/>
          <w:szCs w:val="24"/>
        </w:rPr>
        <w:t xml:space="preserve">Our data suggest </w:t>
      </w:r>
      <w:r w:rsidR="0024156E">
        <w:rPr>
          <w:sz w:val="24"/>
          <w:szCs w:val="24"/>
        </w:rPr>
        <w:t xml:space="preserve">a </w:t>
      </w:r>
      <w:r w:rsidR="00F74381">
        <w:rPr>
          <w:sz w:val="24"/>
          <w:szCs w:val="24"/>
        </w:rPr>
        <w:t xml:space="preserve">change in access site practice nationally has the potential to significantly </w:t>
      </w:r>
      <w:r w:rsidR="002D743E">
        <w:rPr>
          <w:sz w:val="24"/>
          <w:szCs w:val="24"/>
        </w:rPr>
        <w:t>reduce major</w:t>
      </w:r>
      <w:r w:rsidR="00091F9C">
        <w:rPr>
          <w:sz w:val="24"/>
          <w:szCs w:val="24"/>
        </w:rPr>
        <w:t xml:space="preserve"> bleeding</w:t>
      </w:r>
      <w:r w:rsidR="0024156E">
        <w:rPr>
          <w:sz w:val="24"/>
          <w:szCs w:val="24"/>
        </w:rPr>
        <w:t xml:space="preserve"> following PCI</w:t>
      </w:r>
      <w:r w:rsidR="006718E3">
        <w:rPr>
          <w:sz w:val="24"/>
          <w:szCs w:val="24"/>
        </w:rPr>
        <w:t>.</w:t>
      </w:r>
    </w:p>
    <w:p w14:paraId="551F6DD2" w14:textId="6CB9C5DF" w:rsidR="00F243AF" w:rsidRDefault="00376BF1" w:rsidP="00530C48">
      <w:pPr>
        <w:spacing w:before="0" w:after="0" w:line="480" w:lineRule="auto"/>
        <w:rPr>
          <w:sz w:val="24"/>
          <w:szCs w:val="24"/>
        </w:rPr>
      </w:pPr>
      <w:r w:rsidRPr="00654012">
        <w:rPr>
          <w:b/>
          <w:sz w:val="24"/>
          <w:szCs w:val="24"/>
        </w:rPr>
        <w:t>Funding sources</w:t>
      </w:r>
      <w:r w:rsidR="0079398E">
        <w:rPr>
          <w:sz w:val="24"/>
          <w:szCs w:val="24"/>
        </w:rPr>
        <w:t xml:space="preserve">: </w:t>
      </w:r>
      <w:r w:rsidR="00F243AF">
        <w:rPr>
          <w:sz w:val="24"/>
          <w:szCs w:val="24"/>
        </w:rPr>
        <w:t>The authors acknowledge the North Staffordshire Medical Institute for supporting the study through the award of a 50</w:t>
      </w:r>
      <w:r w:rsidR="00F243AF" w:rsidRPr="00A65975">
        <w:rPr>
          <w:sz w:val="24"/>
          <w:szCs w:val="24"/>
          <w:vertAlign w:val="superscript"/>
        </w:rPr>
        <w:t>th</w:t>
      </w:r>
      <w:r w:rsidR="00F243AF">
        <w:rPr>
          <w:sz w:val="24"/>
          <w:szCs w:val="24"/>
        </w:rPr>
        <w:t xml:space="preserve"> anniversary research grant.</w:t>
      </w:r>
    </w:p>
    <w:p w14:paraId="096B1905" w14:textId="7A5AC948" w:rsidR="00376BF1" w:rsidRPr="00376BF1" w:rsidRDefault="00376BF1" w:rsidP="00772C56">
      <w:pPr>
        <w:spacing w:before="0" w:after="0" w:line="480" w:lineRule="auto"/>
        <w:rPr>
          <w:b/>
          <w:sz w:val="24"/>
          <w:szCs w:val="24"/>
        </w:rPr>
      </w:pPr>
      <w:r w:rsidRPr="00654012">
        <w:rPr>
          <w:b/>
          <w:sz w:val="24"/>
          <w:szCs w:val="24"/>
        </w:rPr>
        <w:t>Disclosures</w:t>
      </w:r>
      <w:r w:rsidR="0079398E">
        <w:rPr>
          <w:sz w:val="24"/>
          <w:szCs w:val="24"/>
        </w:rPr>
        <w:t xml:space="preserve">: </w:t>
      </w:r>
      <w:r>
        <w:rPr>
          <w:sz w:val="24"/>
          <w:szCs w:val="24"/>
        </w:rPr>
        <w:t>There are no relationships with industry</w:t>
      </w:r>
    </w:p>
    <w:p w14:paraId="09C13B39" w14:textId="00CBDA30" w:rsidR="0014288E" w:rsidRDefault="0014288E" w:rsidP="00772C56">
      <w:pPr>
        <w:pStyle w:val="NormalWeb"/>
        <w:rPr>
          <w:b/>
          <w:sz w:val="24"/>
          <w:szCs w:val="24"/>
        </w:rPr>
      </w:pPr>
    </w:p>
    <w:p w14:paraId="277E1006" w14:textId="35DAF76A" w:rsidR="008E39F0" w:rsidRDefault="008E39F0" w:rsidP="00772C56">
      <w:pPr>
        <w:pStyle w:val="NormalWeb"/>
        <w:rPr>
          <w:b/>
          <w:sz w:val="24"/>
          <w:szCs w:val="24"/>
        </w:rPr>
      </w:pPr>
    </w:p>
    <w:p w14:paraId="2C5271E1" w14:textId="77777777" w:rsidR="008E39F0" w:rsidRDefault="008E39F0" w:rsidP="00772C56">
      <w:pPr>
        <w:pStyle w:val="NormalWeb"/>
        <w:rPr>
          <w:b/>
          <w:sz w:val="24"/>
          <w:szCs w:val="24"/>
        </w:rPr>
      </w:pPr>
    </w:p>
    <w:p w14:paraId="47E7949E" w14:textId="72E9F9C6" w:rsidR="00607FC5" w:rsidRPr="00607FC5" w:rsidRDefault="00376BF1" w:rsidP="00607FC5">
      <w:pPr>
        <w:pStyle w:val="NormalWeb"/>
        <w:spacing w:line="480" w:lineRule="auto"/>
        <w:jc w:val="center"/>
        <w:rPr>
          <w:rFonts w:ascii="Times New Roman" w:hAnsi="Times New Roman"/>
          <w:sz w:val="24"/>
          <w:szCs w:val="24"/>
        </w:rPr>
      </w:pPr>
      <w:r>
        <w:rPr>
          <w:b/>
          <w:sz w:val="24"/>
          <w:szCs w:val="24"/>
        </w:rPr>
        <w:lastRenderedPageBreak/>
        <w:fldChar w:fldCharType="begin"/>
      </w:r>
      <w:r w:rsidR="00607FC5">
        <w:rPr>
          <w:b/>
          <w:sz w:val="24"/>
          <w:szCs w:val="24"/>
        </w:rPr>
        <w:instrText>ADDIN RW.BIB</w:instrText>
      </w:r>
      <w:r>
        <w:rPr>
          <w:b/>
          <w:sz w:val="24"/>
          <w:szCs w:val="24"/>
        </w:rPr>
        <w:fldChar w:fldCharType="separate"/>
      </w:r>
      <w:r w:rsidR="00607FC5" w:rsidRPr="00607FC5">
        <w:rPr>
          <w:rFonts w:ascii="Times New Roman" w:hAnsi="Times New Roman"/>
          <w:sz w:val="24"/>
        </w:rPr>
        <w:t>References</w:t>
      </w:r>
    </w:p>
    <w:p w14:paraId="1A3D48EB" w14:textId="71BE6639"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 Kwok CS, Rao SV, </w:t>
      </w:r>
      <w:proofErr w:type="spellStart"/>
      <w:r w:rsidRPr="00607FC5">
        <w:rPr>
          <w:rFonts w:ascii="Times New Roman" w:hAnsi="Times New Roman"/>
          <w:sz w:val="24"/>
        </w:rPr>
        <w:t>Myint</w:t>
      </w:r>
      <w:proofErr w:type="spellEnd"/>
      <w:r w:rsidRPr="00607FC5">
        <w:rPr>
          <w:rFonts w:ascii="Times New Roman" w:hAnsi="Times New Roman"/>
          <w:sz w:val="24"/>
        </w:rPr>
        <w:t xml:space="preserve"> PK, </w:t>
      </w:r>
      <w:proofErr w:type="spellStart"/>
      <w:r w:rsidRPr="00607FC5">
        <w:rPr>
          <w:rFonts w:ascii="Times New Roman" w:hAnsi="Times New Roman"/>
          <w:sz w:val="24"/>
        </w:rPr>
        <w:t>Keavney</w:t>
      </w:r>
      <w:proofErr w:type="spellEnd"/>
      <w:r w:rsidRPr="00607FC5">
        <w:rPr>
          <w:rFonts w:ascii="Times New Roman" w:hAnsi="Times New Roman"/>
          <w:sz w:val="24"/>
        </w:rPr>
        <w:t xml:space="preserve"> B, Nolan J,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w:t>
      </w:r>
      <w:proofErr w:type="spellStart"/>
      <w:r w:rsidRPr="00607FC5">
        <w:rPr>
          <w:rFonts w:ascii="Times New Roman" w:hAnsi="Times New Roman"/>
          <w:sz w:val="24"/>
        </w:rPr>
        <w:t>Loke</w:t>
      </w:r>
      <w:proofErr w:type="spellEnd"/>
      <w:r w:rsidRPr="00607FC5">
        <w:rPr>
          <w:rFonts w:ascii="Times New Roman" w:hAnsi="Times New Roman"/>
          <w:sz w:val="24"/>
        </w:rPr>
        <w:t xml:space="preserve"> YK, Mamas MA. Major bleeding after percutaneous coronary intervention and risk of subsequent mortality: a systematic review and meta-analysis. </w:t>
      </w:r>
      <w:r w:rsidRPr="00607FC5">
        <w:rPr>
          <w:rFonts w:ascii="Times New Roman" w:hAnsi="Times New Roman"/>
          <w:i/>
          <w:iCs/>
          <w:sz w:val="24"/>
        </w:rPr>
        <w:t xml:space="preserve">Open Heart. </w:t>
      </w:r>
      <w:r w:rsidRPr="00607FC5">
        <w:rPr>
          <w:rFonts w:ascii="Times New Roman" w:hAnsi="Times New Roman"/>
          <w:sz w:val="24"/>
        </w:rPr>
        <w:t>2014; 1: e0000</w:t>
      </w:r>
      <w:r w:rsidR="00477575">
        <w:rPr>
          <w:rFonts w:ascii="Times New Roman" w:hAnsi="Times New Roman"/>
          <w:sz w:val="24"/>
        </w:rPr>
        <w:t>21</w:t>
      </w:r>
      <w:r w:rsidRPr="00607FC5">
        <w:rPr>
          <w:rFonts w:ascii="Times New Roman" w:hAnsi="Times New Roman"/>
          <w:sz w:val="24"/>
        </w:rPr>
        <w:t>.</w:t>
      </w:r>
    </w:p>
    <w:p w14:paraId="3C2318D7"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 </w:t>
      </w:r>
      <w:proofErr w:type="spellStart"/>
      <w:r w:rsidRPr="00607FC5">
        <w:rPr>
          <w:rFonts w:ascii="Times New Roman" w:hAnsi="Times New Roman"/>
          <w:sz w:val="24"/>
        </w:rPr>
        <w:t>Chhatriwalla</w:t>
      </w:r>
      <w:proofErr w:type="spellEnd"/>
      <w:r w:rsidRPr="00607FC5">
        <w:rPr>
          <w:rFonts w:ascii="Times New Roman" w:hAnsi="Times New Roman"/>
          <w:sz w:val="24"/>
        </w:rPr>
        <w:t xml:space="preserve"> AK, Amin AP, Kennedy KF, House JA, Cohen DJ, Rao SV, Messenger JC, </w:t>
      </w:r>
      <w:proofErr w:type="spellStart"/>
      <w:r w:rsidRPr="00607FC5">
        <w:rPr>
          <w:rFonts w:ascii="Times New Roman" w:hAnsi="Times New Roman"/>
          <w:sz w:val="24"/>
        </w:rPr>
        <w:t>Marso</w:t>
      </w:r>
      <w:proofErr w:type="spellEnd"/>
      <w:r w:rsidRPr="00607FC5">
        <w:rPr>
          <w:rFonts w:ascii="Times New Roman" w:hAnsi="Times New Roman"/>
          <w:sz w:val="24"/>
        </w:rPr>
        <w:t xml:space="preserve"> SP, National Cardiovascular Data Registry. Association between bleeding events and in-hospital mortality after percutaneous coronary intervention. </w:t>
      </w:r>
      <w:r w:rsidRPr="00607FC5">
        <w:rPr>
          <w:rFonts w:ascii="Times New Roman" w:hAnsi="Times New Roman"/>
          <w:i/>
          <w:iCs/>
          <w:sz w:val="24"/>
        </w:rPr>
        <w:t xml:space="preserve">JAMA. </w:t>
      </w:r>
      <w:r w:rsidRPr="00607FC5">
        <w:rPr>
          <w:rFonts w:ascii="Times New Roman" w:hAnsi="Times New Roman"/>
          <w:sz w:val="24"/>
        </w:rPr>
        <w:t>2013; 309: 1022-1029.</w:t>
      </w:r>
    </w:p>
    <w:p w14:paraId="297CD629"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3. Rashid M, Kwok CS, Gale CP, Doherty P, </w:t>
      </w:r>
      <w:proofErr w:type="spellStart"/>
      <w:r w:rsidRPr="00607FC5">
        <w:rPr>
          <w:rFonts w:ascii="Times New Roman" w:hAnsi="Times New Roman"/>
          <w:sz w:val="24"/>
        </w:rPr>
        <w:t>Olier</w:t>
      </w:r>
      <w:proofErr w:type="spellEnd"/>
      <w:r w:rsidRPr="00607FC5">
        <w:rPr>
          <w:rFonts w:ascii="Times New Roman" w:hAnsi="Times New Roman"/>
          <w:sz w:val="24"/>
        </w:rPr>
        <w:t xml:space="preserve"> I, </w:t>
      </w:r>
      <w:proofErr w:type="spellStart"/>
      <w:r w:rsidRPr="00607FC5">
        <w:rPr>
          <w:rFonts w:ascii="Times New Roman" w:hAnsi="Times New Roman"/>
          <w:sz w:val="24"/>
        </w:rPr>
        <w:t>Sperrin</w:t>
      </w:r>
      <w:proofErr w:type="spellEnd"/>
      <w:r w:rsidRPr="00607FC5">
        <w:rPr>
          <w:rFonts w:ascii="Times New Roman" w:hAnsi="Times New Roman"/>
          <w:sz w:val="24"/>
        </w:rPr>
        <w:t xml:space="preserve"> M, </w:t>
      </w:r>
      <w:proofErr w:type="spellStart"/>
      <w:r w:rsidRPr="00607FC5">
        <w:rPr>
          <w:rFonts w:ascii="Times New Roman" w:hAnsi="Times New Roman"/>
          <w:sz w:val="24"/>
        </w:rPr>
        <w:t>Kontopantelis</w:t>
      </w:r>
      <w:proofErr w:type="spellEnd"/>
      <w:r w:rsidRPr="00607FC5">
        <w:rPr>
          <w:rFonts w:ascii="Times New Roman" w:hAnsi="Times New Roman"/>
          <w:sz w:val="24"/>
        </w:rPr>
        <w:t xml:space="preserve"> E, Peat G, Mamas MA. Impact of co-morbid burden on mortality in patients with coronary heart disease, heart failure, and cerebrovascular accident: a systematic review and meta-analysis. </w:t>
      </w:r>
      <w:proofErr w:type="spellStart"/>
      <w:r w:rsidRPr="00607FC5">
        <w:rPr>
          <w:rFonts w:ascii="Times New Roman" w:hAnsi="Times New Roman"/>
          <w:i/>
          <w:iCs/>
          <w:sz w:val="24"/>
        </w:rPr>
        <w:t>Eur</w:t>
      </w:r>
      <w:proofErr w:type="spellEnd"/>
      <w:r w:rsidRPr="00607FC5">
        <w:rPr>
          <w:rFonts w:ascii="Times New Roman" w:hAnsi="Times New Roman"/>
          <w:i/>
          <w:iCs/>
          <w:sz w:val="24"/>
        </w:rPr>
        <w:t xml:space="preserve"> Heart J </w:t>
      </w:r>
      <w:proofErr w:type="spellStart"/>
      <w:r w:rsidRPr="00607FC5">
        <w:rPr>
          <w:rFonts w:ascii="Times New Roman" w:hAnsi="Times New Roman"/>
          <w:i/>
          <w:iCs/>
          <w:sz w:val="24"/>
        </w:rPr>
        <w:t>Qual</w:t>
      </w:r>
      <w:proofErr w:type="spellEnd"/>
      <w:r w:rsidRPr="00607FC5">
        <w:rPr>
          <w:rFonts w:ascii="Times New Roman" w:hAnsi="Times New Roman"/>
          <w:i/>
          <w:iCs/>
          <w:sz w:val="24"/>
        </w:rPr>
        <w:t xml:space="preserve"> Care </w:t>
      </w:r>
      <w:proofErr w:type="spellStart"/>
      <w:r w:rsidRPr="00607FC5">
        <w:rPr>
          <w:rFonts w:ascii="Times New Roman" w:hAnsi="Times New Roman"/>
          <w:i/>
          <w:iCs/>
          <w:sz w:val="24"/>
        </w:rPr>
        <w:t>Clin</w:t>
      </w:r>
      <w:proofErr w:type="spellEnd"/>
      <w:r w:rsidRPr="00607FC5">
        <w:rPr>
          <w:rFonts w:ascii="Times New Roman" w:hAnsi="Times New Roman"/>
          <w:i/>
          <w:iCs/>
          <w:sz w:val="24"/>
        </w:rPr>
        <w:t xml:space="preserve"> Outcomes. </w:t>
      </w:r>
      <w:r w:rsidRPr="00607FC5">
        <w:rPr>
          <w:rFonts w:ascii="Times New Roman" w:hAnsi="Times New Roman"/>
          <w:sz w:val="24"/>
        </w:rPr>
        <w:t>2017; 3: 20-36.</w:t>
      </w:r>
    </w:p>
    <w:p w14:paraId="3530A582"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4. Bangalore S, </w:t>
      </w:r>
      <w:proofErr w:type="spellStart"/>
      <w:r w:rsidRPr="00607FC5">
        <w:rPr>
          <w:rFonts w:ascii="Times New Roman" w:hAnsi="Times New Roman"/>
          <w:sz w:val="24"/>
        </w:rPr>
        <w:t>Toklu</w:t>
      </w:r>
      <w:proofErr w:type="spellEnd"/>
      <w:r w:rsidRPr="00607FC5">
        <w:rPr>
          <w:rFonts w:ascii="Times New Roman" w:hAnsi="Times New Roman"/>
          <w:sz w:val="24"/>
        </w:rPr>
        <w:t xml:space="preserve"> B, </w:t>
      </w:r>
      <w:proofErr w:type="spellStart"/>
      <w:r w:rsidRPr="00607FC5">
        <w:rPr>
          <w:rFonts w:ascii="Times New Roman" w:hAnsi="Times New Roman"/>
          <w:sz w:val="24"/>
        </w:rPr>
        <w:t>Kotwal</w:t>
      </w:r>
      <w:proofErr w:type="spellEnd"/>
      <w:r w:rsidRPr="00607FC5">
        <w:rPr>
          <w:rFonts w:ascii="Times New Roman" w:hAnsi="Times New Roman"/>
          <w:sz w:val="24"/>
        </w:rPr>
        <w:t xml:space="preserve"> A, </w:t>
      </w:r>
      <w:proofErr w:type="spellStart"/>
      <w:r w:rsidRPr="00607FC5">
        <w:rPr>
          <w:rFonts w:ascii="Times New Roman" w:hAnsi="Times New Roman"/>
          <w:sz w:val="24"/>
        </w:rPr>
        <w:t>Volodarskiy</w:t>
      </w:r>
      <w:proofErr w:type="spellEnd"/>
      <w:r w:rsidRPr="00607FC5">
        <w:rPr>
          <w:rFonts w:ascii="Times New Roman" w:hAnsi="Times New Roman"/>
          <w:sz w:val="24"/>
        </w:rPr>
        <w:t xml:space="preserve"> A, Sharma S, </w:t>
      </w:r>
      <w:proofErr w:type="spellStart"/>
      <w:r w:rsidRPr="00607FC5">
        <w:rPr>
          <w:rFonts w:ascii="Times New Roman" w:hAnsi="Times New Roman"/>
          <w:sz w:val="24"/>
        </w:rPr>
        <w:t>Kirtane</w:t>
      </w:r>
      <w:proofErr w:type="spellEnd"/>
      <w:r w:rsidRPr="00607FC5">
        <w:rPr>
          <w:rFonts w:ascii="Times New Roman" w:hAnsi="Times New Roman"/>
          <w:sz w:val="24"/>
        </w:rPr>
        <w:t xml:space="preserve"> AJ, </w:t>
      </w:r>
      <w:proofErr w:type="spellStart"/>
      <w:r w:rsidRPr="00607FC5">
        <w:rPr>
          <w:rFonts w:ascii="Times New Roman" w:hAnsi="Times New Roman"/>
          <w:sz w:val="24"/>
        </w:rPr>
        <w:t>Feit</w:t>
      </w:r>
      <w:proofErr w:type="spellEnd"/>
      <w:r w:rsidRPr="00607FC5">
        <w:rPr>
          <w:rFonts w:ascii="Times New Roman" w:hAnsi="Times New Roman"/>
          <w:sz w:val="24"/>
        </w:rPr>
        <w:t xml:space="preserve"> F. Anticoagulant therapy during primary percutaneous coronary intervention for acute myocardial infarction: a meta-analysis of randomized trials in the era of stents and P2Y12 inhibitors. </w:t>
      </w:r>
      <w:r w:rsidRPr="00607FC5">
        <w:rPr>
          <w:rFonts w:ascii="Times New Roman" w:hAnsi="Times New Roman"/>
          <w:i/>
          <w:iCs/>
          <w:sz w:val="24"/>
        </w:rPr>
        <w:t xml:space="preserve">BMJ. </w:t>
      </w:r>
      <w:r w:rsidRPr="00607FC5">
        <w:rPr>
          <w:rFonts w:ascii="Times New Roman" w:hAnsi="Times New Roman"/>
          <w:sz w:val="24"/>
        </w:rPr>
        <w:t>2014; 349: g6419.</w:t>
      </w:r>
    </w:p>
    <w:p w14:paraId="264A3210"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5. </w:t>
      </w:r>
      <w:proofErr w:type="spellStart"/>
      <w:r w:rsidRPr="00607FC5">
        <w:rPr>
          <w:rFonts w:ascii="Times New Roman" w:hAnsi="Times New Roman"/>
          <w:sz w:val="24"/>
        </w:rPr>
        <w:t>Velders</w:t>
      </w:r>
      <w:proofErr w:type="spellEnd"/>
      <w:r w:rsidRPr="00607FC5">
        <w:rPr>
          <w:rFonts w:ascii="Times New Roman" w:hAnsi="Times New Roman"/>
          <w:sz w:val="24"/>
        </w:rPr>
        <w:t xml:space="preserve"> MA, James SK, </w:t>
      </w:r>
      <w:proofErr w:type="spellStart"/>
      <w:r w:rsidRPr="00607FC5">
        <w:rPr>
          <w:rFonts w:ascii="Times New Roman" w:hAnsi="Times New Roman"/>
          <w:sz w:val="24"/>
        </w:rPr>
        <w:t>Libungan</w:t>
      </w:r>
      <w:proofErr w:type="spellEnd"/>
      <w:r w:rsidRPr="00607FC5">
        <w:rPr>
          <w:rFonts w:ascii="Times New Roman" w:hAnsi="Times New Roman"/>
          <w:sz w:val="24"/>
        </w:rPr>
        <w:t xml:space="preserve"> B, </w:t>
      </w:r>
      <w:proofErr w:type="spellStart"/>
      <w:r w:rsidRPr="00607FC5">
        <w:rPr>
          <w:rFonts w:ascii="Times New Roman" w:hAnsi="Times New Roman"/>
          <w:sz w:val="24"/>
        </w:rPr>
        <w:t>Sarno</w:t>
      </w:r>
      <w:proofErr w:type="spellEnd"/>
      <w:r w:rsidRPr="00607FC5">
        <w:rPr>
          <w:rFonts w:ascii="Times New Roman" w:hAnsi="Times New Roman"/>
          <w:sz w:val="24"/>
        </w:rPr>
        <w:t xml:space="preserve"> G, </w:t>
      </w:r>
      <w:proofErr w:type="spellStart"/>
      <w:r w:rsidRPr="00607FC5">
        <w:rPr>
          <w:rFonts w:ascii="Times New Roman" w:hAnsi="Times New Roman"/>
          <w:sz w:val="24"/>
        </w:rPr>
        <w:t>Fröbert</w:t>
      </w:r>
      <w:proofErr w:type="spellEnd"/>
      <w:r w:rsidRPr="00607FC5">
        <w:rPr>
          <w:rFonts w:ascii="Times New Roman" w:hAnsi="Times New Roman"/>
          <w:sz w:val="24"/>
        </w:rPr>
        <w:t xml:space="preserve"> O, </w:t>
      </w:r>
      <w:proofErr w:type="spellStart"/>
      <w:r w:rsidRPr="00607FC5">
        <w:rPr>
          <w:rFonts w:ascii="Times New Roman" w:hAnsi="Times New Roman"/>
          <w:sz w:val="24"/>
        </w:rPr>
        <w:t>Carlsson</w:t>
      </w:r>
      <w:proofErr w:type="spellEnd"/>
      <w:r w:rsidRPr="00607FC5">
        <w:rPr>
          <w:rFonts w:ascii="Times New Roman" w:hAnsi="Times New Roman"/>
          <w:sz w:val="24"/>
        </w:rPr>
        <w:t xml:space="preserve"> J, </w:t>
      </w:r>
      <w:proofErr w:type="spellStart"/>
      <w:r w:rsidRPr="00607FC5">
        <w:rPr>
          <w:rFonts w:ascii="Times New Roman" w:hAnsi="Times New Roman"/>
          <w:sz w:val="24"/>
        </w:rPr>
        <w:t>Schalij</w:t>
      </w:r>
      <w:proofErr w:type="spellEnd"/>
      <w:r w:rsidRPr="00607FC5">
        <w:rPr>
          <w:rFonts w:ascii="Times New Roman" w:hAnsi="Times New Roman"/>
          <w:sz w:val="24"/>
        </w:rPr>
        <w:t xml:space="preserve"> MJ, </w:t>
      </w:r>
      <w:proofErr w:type="spellStart"/>
      <w:r w:rsidRPr="00607FC5">
        <w:rPr>
          <w:rFonts w:ascii="Times New Roman" w:hAnsi="Times New Roman"/>
          <w:sz w:val="24"/>
        </w:rPr>
        <w:t>Albertsson</w:t>
      </w:r>
      <w:proofErr w:type="spellEnd"/>
      <w:r w:rsidRPr="00607FC5">
        <w:rPr>
          <w:rFonts w:ascii="Times New Roman" w:hAnsi="Times New Roman"/>
          <w:sz w:val="24"/>
        </w:rPr>
        <w:t xml:space="preserve"> P, </w:t>
      </w:r>
      <w:proofErr w:type="spellStart"/>
      <w:r w:rsidRPr="00607FC5">
        <w:rPr>
          <w:rFonts w:ascii="Times New Roman" w:hAnsi="Times New Roman"/>
          <w:sz w:val="24"/>
        </w:rPr>
        <w:t>Lagerqvist</w:t>
      </w:r>
      <w:proofErr w:type="spellEnd"/>
      <w:r w:rsidRPr="00607FC5">
        <w:rPr>
          <w:rFonts w:ascii="Times New Roman" w:hAnsi="Times New Roman"/>
          <w:sz w:val="24"/>
        </w:rPr>
        <w:t xml:space="preserve"> B. Prognosis of elderly patients with ST-elevation myocardial infarction treated with primary percutaneous coronary intervention in 2001 to 2011: A report from the Swedish Coronary Angiography and Angioplasty Registry (SCAAR) registry. </w:t>
      </w:r>
      <w:r w:rsidRPr="00607FC5">
        <w:rPr>
          <w:rFonts w:ascii="Times New Roman" w:hAnsi="Times New Roman"/>
          <w:i/>
          <w:iCs/>
          <w:sz w:val="24"/>
        </w:rPr>
        <w:t xml:space="preserve">Am Heart J. </w:t>
      </w:r>
      <w:r w:rsidRPr="00607FC5">
        <w:rPr>
          <w:rFonts w:ascii="Times New Roman" w:hAnsi="Times New Roman"/>
          <w:sz w:val="24"/>
        </w:rPr>
        <w:t>2014; 167: 666-673.</w:t>
      </w:r>
    </w:p>
    <w:p w14:paraId="076F4E62"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lastRenderedPageBreak/>
        <w:t xml:space="preserve">6. </w:t>
      </w:r>
      <w:proofErr w:type="spellStart"/>
      <w:r w:rsidRPr="00607FC5">
        <w:rPr>
          <w:rFonts w:ascii="Times New Roman" w:hAnsi="Times New Roman"/>
          <w:sz w:val="24"/>
        </w:rPr>
        <w:t>Ratib</w:t>
      </w:r>
      <w:proofErr w:type="spellEnd"/>
      <w:r w:rsidRPr="00607FC5">
        <w:rPr>
          <w:rFonts w:ascii="Times New Roman" w:hAnsi="Times New Roman"/>
          <w:sz w:val="24"/>
        </w:rPr>
        <w:t xml:space="preserve"> K, Mamas MA, Anderson SG, Bhatia G, Routledge H,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Fraser D, Nolan J, British Cardiovascular Intervention Society and the National Institute for Cardiovascular Outcomes Research. Access site practice and procedural outcomes in relation to clinical presentation in 439,947 patients undergoing percutaneous coronary intervention in the </w:t>
      </w:r>
      <w:proofErr w:type="gramStart"/>
      <w:r w:rsidRPr="00607FC5">
        <w:rPr>
          <w:rFonts w:ascii="Times New Roman" w:hAnsi="Times New Roman"/>
          <w:sz w:val="24"/>
        </w:rPr>
        <w:t>United kingdom</w:t>
      </w:r>
      <w:proofErr w:type="gramEnd"/>
      <w:r w:rsidRPr="00607FC5">
        <w:rPr>
          <w:rFonts w:ascii="Times New Roman" w:hAnsi="Times New Roman"/>
          <w:sz w:val="24"/>
        </w:rPr>
        <w:t xml:space="preserve">. </w:t>
      </w:r>
      <w:r w:rsidRPr="00607FC5">
        <w:rPr>
          <w:rFonts w:ascii="Times New Roman" w:hAnsi="Times New Roman"/>
          <w:i/>
          <w:iCs/>
          <w:sz w:val="24"/>
        </w:rPr>
        <w:t xml:space="preserve">JACC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Interv</w:t>
      </w:r>
      <w:proofErr w:type="spellEnd"/>
      <w:r w:rsidRPr="00607FC5">
        <w:rPr>
          <w:rFonts w:ascii="Times New Roman" w:hAnsi="Times New Roman"/>
          <w:i/>
          <w:iCs/>
          <w:sz w:val="24"/>
        </w:rPr>
        <w:t xml:space="preserve">. </w:t>
      </w:r>
      <w:r w:rsidRPr="00607FC5">
        <w:rPr>
          <w:rFonts w:ascii="Times New Roman" w:hAnsi="Times New Roman"/>
          <w:sz w:val="24"/>
        </w:rPr>
        <w:t>2015; 8: 20-29.</w:t>
      </w:r>
    </w:p>
    <w:p w14:paraId="541EAC6A"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7. Mamas MA, Nolan J,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Zaman A, Kinnaird T, </w:t>
      </w:r>
      <w:proofErr w:type="spellStart"/>
      <w:r w:rsidRPr="00607FC5">
        <w:rPr>
          <w:rFonts w:ascii="Times New Roman" w:hAnsi="Times New Roman"/>
          <w:sz w:val="24"/>
        </w:rPr>
        <w:t>Curzen</w:t>
      </w:r>
      <w:proofErr w:type="spellEnd"/>
      <w:r w:rsidRPr="00607FC5">
        <w:rPr>
          <w:rFonts w:ascii="Times New Roman" w:hAnsi="Times New Roman"/>
          <w:sz w:val="24"/>
        </w:rPr>
        <w:t xml:space="preserve"> N, Kwok CS, Buchan I, </w:t>
      </w:r>
      <w:proofErr w:type="spellStart"/>
      <w:r w:rsidRPr="00607FC5">
        <w:rPr>
          <w:rFonts w:ascii="Times New Roman" w:hAnsi="Times New Roman"/>
          <w:sz w:val="24"/>
        </w:rPr>
        <w:t>Ludman</w:t>
      </w:r>
      <w:proofErr w:type="spellEnd"/>
      <w:r w:rsidRPr="00607FC5">
        <w:rPr>
          <w:rFonts w:ascii="Times New Roman" w:hAnsi="Times New Roman"/>
          <w:sz w:val="24"/>
        </w:rPr>
        <w:t xml:space="preserve"> P, </w:t>
      </w:r>
      <w:proofErr w:type="spellStart"/>
      <w:r w:rsidRPr="00607FC5">
        <w:rPr>
          <w:rFonts w:ascii="Times New Roman" w:hAnsi="Times New Roman"/>
          <w:sz w:val="24"/>
        </w:rPr>
        <w:t>Kontopantelis</w:t>
      </w:r>
      <w:proofErr w:type="spellEnd"/>
      <w:r w:rsidRPr="00607FC5">
        <w:rPr>
          <w:rFonts w:ascii="Times New Roman" w:hAnsi="Times New Roman"/>
          <w:sz w:val="24"/>
        </w:rPr>
        <w:t xml:space="preserve"> E, British Cardiovascular Intervention Society (BCIS) and the National Institute for Clinical Outcomes Research (NICOR). Changes in Arterial Access Site and Association </w:t>
      </w:r>
      <w:proofErr w:type="gramStart"/>
      <w:r w:rsidRPr="00607FC5">
        <w:rPr>
          <w:rFonts w:ascii="Times New Roman" w:hAnsi="Times New Roman"/>
          <w:sz w:val="24"/>
        </w:rPr>
        <w:t>With</w:t>
      </w:r>
      <w:proofErr w:type="gramEnd"/>
      <w:r w:rsidRPr="00607FC5">
        <w:rPr>
          <w:rFonts w:ascii="Times New Roman" w:hAnsi="Times New Roman"/>
          <w:sz w:val="24"/>
        </w:rPr>
        <w:t xml:space="preserve"> Mortality in the United Kingdom: Observations From a National Percutaneous Coronary Intervention Database. </w:t>
      </w:r>
      <w:r w:rsidRPr="00607FC5">
        <w:rPr>
          <w:rFonts w:ascii="Times New Roman" w:hAnsi="Times New Roman"/>
          <w:i/>
          <w:iCs/>
          <w:sz w:val="24"/>
        </w:rPr>
        <w:t xml:space="preserve">Circulation. </w:t>
      </w:r>
      <w:r w:rsidRPr="00607FC5">
        <w:rPr>
          <w:rFonts w:ascii="Times New Roman" w:hAnsi="Times New Roman"/>
          <w:sz w:val="24"/>
        </w:rPr>
        <w:t>2016; 133: 1655-1667.</w:t>
      </w:r>
    </w:p>
    <w:p w14:paraId="37C93BCB"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8. Rashid M, Rushton CA, Kwok CS, Kinnaird T, </w:t>
      </w:r>
      <w:proofErr w:type="spellStart"/>
      <w:r w:rsidRPr="00607FC5">
        <w:rPr>
          <w:rFonts w:ascii="Times New Roman" w:hAnsi="Times New Roman"/>
          <w:sz w:val="24"/>
        </w:rPr>
        <w:t>Kontopantelis</w:t>
      </w:r>
      <w:proofErr w:type="spellEnd"/>
      <w:r w:rsidRPr="00607FC5">
        <w:rPr>
          <w:rFonts w:ascii="Times New Roman" w:hAnsi="Times New Roman"/>
          <w:sz w:val="24"/>
        </w:rPr>
        <w:t xml:space="preserve"> E, </w:t>
      </w:r>
      <w:proofErr w:type="spellStart"/>
      <w:r w:rsidRPr="00607FC5">
        <w:rPr>
          <w:rFonts w:ascii="Times New Roman" w:hAnsi="Times New Roman"/>
          <w:sz w:val="24"/>
        </w:rPr>
        <w:t>Olier</w:t>
      </w:r>
      <w:proofErr w:type="spellEnd"/>
      <w:r w:rsidRPr="00607FC5">
        <w:rPr>
          <w:rFonts w:ascii="Times New Roman" w:hAnsi="Times New Roman"/>
          <w:sz w:val="24"/>
        </w:rPr>
        <w:t xml:space="preserve"> I, </w:t>
      </w:r>
      <w:proofErr w:type="spellStart"/>
      <w:r w:rsidRPr="00607FC5">
        <w:rPr>
          <w:rFonts w:ascii="Times New Roman" w:hAnsi="Times New Roman"/>
          <w:sz w:val="24"/>
        </w:rPr>
        <w:t>Ludman</w:t>
      </w:r>
      <w:proofErr w:type="spellEnd"/>
      <w:r w:rsidRPr="00607FC5">
        <w:rPr>
          <w:rFonts w:ascii="Times New Roman" w:hAnsi="Times New Roman"/>
          <w:sz w:val="24"/>
        </w:rPr>
        <w:t xml:space="preserve"> P,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Nolan J, Mamas MA. Impact of Access Site Practice on Clinical Outcomes in Patients Undergoing Percutaneous Coronary Intervention Following Thrombolysis for ST-Segment Elevation Myocardial Infarction in the United Kingdom: An Insight </w:t>
      </w:r>
      <w:proofErr w:type="gramStart"/>
      <w:r w:rsidRPr="00607FC5">
        <w:rPr>
          <w:rFonts w:ascii="Times New Roman" w:hAnsi="Times New Roman"/>
          <w:sz w:val="24"/>
        </w:rPr>
        <w:t>From</w:t>
      </w:r>
      <w:proofErr w:type="gramEnd"/>
      <w:r w:rsidRPr="00607FC5">
        <w:rPr>
          <w:rFonts w:ascii="Times New Roman" w:hAnsi="Times New Roman"/>
          <w:sz w:val="24"/>
        </w:rPr>
        <w:t xml:space="preserve"> the British Cardiovascular Intervention Society Dataset. </w:t>
      </w:r>
      <w:r w:rsidRPr="00607FC5">
        <w:rPr>
          <w:rFonts w:ascii="Times New Roman" w:hAnsi="Times New Roman"/>
          <w:i/>
          <w:iCs/>
          <w:sz w:val="24"/>
        </w:rPr>
        <w:t xml:space="preserve">JACC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Interv</w:t>
      </w:r>
      <w:proofErr w:type="spellEnd"/>
      <w:r w:rsidRPr="00607FC5">
        <w:rPr>
          <w:rFonts w:ascii="Times New Roman" w:hAnsi="Times New Roman"/>
          <w:i/>
          <w:iCs/>
          <w:sz w:val="24"/>
        </w:rPr>
        <w:t xml:space="preserve">. </w:t>
      </w:r>
      <w:r w:rsidRPr="00607FC5">
        <w:rPr>
          <w:rFonts w:ascii="Times New Roman" w:hAnsi="Times New Roman"/>
          <w:sz w:val="24"/>
        </w:rPr>
        <w:t>2017; 10: 2258-2265.</w:t>
      </w:r>
    </w:p>
    <w:p w14:paraId="3E07BA0E" w14:textId="00BE6C8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9. Kwok CS, Khan MA, Rao SV, Kinnaird T, </w:t>
      </w:r>
      <w:proofErr w:type="spellStart"/>
      <w:r w:rsidRPr="00607FC5">
        <w:rPr>
          <w:rFonts w:ascii="Times New Roman" w:hAnsi="Times New Roman"/>
          <w:sz w:val="24"/>
        </w:rPr>
        <w:t>Sperrin</w:t>
      </w:r>
      <w:proofErr w:type="spellEnd"/>
      <w:r w:rsidRPr="00607FC5">
        <w:rPr>
          <w:rFonts w:ascii="Times New Roman" w:hAnsi="Times New Roman"/>
          <w:sz w:val="24"/>
        </w:rPr>
        <w:t xml:space="preserve"> M, Buchan I,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Nolan J, </w:t>
      </w:r>
      <w:proofErr w:type="spellStart"/>
      <w:r w:rsidRPr="00607FC5">
        <w:rPr>
          <w:rFonts w:ascii="Times New Roman" w:hAnsi="Times New Roman"/>
          <w:sz w:val="24"/>
        </w:rPr>
        <w:t>Loke</w:t>
      </w:r>
      <w:proofErr w:type="spellEnd"/>
      <w:r w:rsidRPr="00607FC5">
        <w:rPr>
          <w:rFonts w:ascii="Times New Roman" w:hAnsi="Times New Roman"/>
          <w:sz w:val="24"/>
        </w:rPr>
        <w:t xml:space="preserve"> YK, Mamas MA. Access and non-access site bleeding after percutaneous coronary intervention and risk of subsequent mortality and major adverse cardiovascular events: systematic review and meta-analysis. </w:t>
      </w:r>
      <w:proofErr w:type="spellStart"/>
      <w:r w:rsidRPr="00607FC5">
        <w:rPr>
          <w:rFonts w:ascii="Times New Roman" w:hAnsi="Times New Roman"/>
          <w:i/>
          <w:iCs/>
          <w:sz w:val="24"/>
        </w:rPr>
        <w:t>Circ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Interv</w:t>
      </w:r>
      <w:proofErr w:type="spellEnd"/>
      <w:r w:rsidRPr="00607FC5">
        <w:rPr>
          <w:rFonts w:ascii="Times New Roman" w:hAnsi="Times New Roman"/>
          <w:i/>
          <w:iCs/>
          <w:sz w:val="24"/>
        </w:rPr>
        <w:t xml:space="preserve">. </w:t>
      </w:r>
      <w:r w:rsidR="00477575">
        <w:rPr>
          <w:rFonts w:ascii="Times New Roman" w:hAnsi="Times New Roman"/>
          <w:sz w:val="24"/>
        </w:rPr>
        <w:t>2015; 8(4)</w:t>
      </w:r>
      <w:r w:rsidRPr="00607FC5">
        <w:rPr>
          <w:rFonts w:ascii="Times New Roman" w:hAnsi="Times New Roman"/>
          <w:sz w:val="24"/>
        </w:rPr>
        <w:t>.</w:t>
      </w:r>
    </w:p>
    <w:p w14:paraId="497986B9"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lastRenderedPageBreak/>
        <w:t xml:space="preserve">10.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British Cardiovascular Intervention Society. British Cardiovascular Intervention Society Registry for audit and quality assessment of percutaneous coronary interventions in the United Kingdom. </w:t>
      </w:r>
      <w:r w:rsidRPr="00607FC5">
        <w:rPr>
          <w:rFonts w:ascii="Times New Roman" w:hAnsi="Times New Roman"/>
          <w:i/>
          <w:iCs/>
          <w:sz w:val="24"/>
        </w:rPr>
        <w:t xml:space="preserve">Heart. </w:t>
      </w:r>
      <w:r w:rsidRPr="00607FC5">
        <w:rPr>
          <w:rFonts w:ascii="Times New Roman" w:hAnsi="Times New Roman"/>
          <w:sz w:val="24"/>
        </w:rPr>
        <w:t>2011; 97: 1293-1297.</w:t>
      </w:r>
    </w:p>
    <w:p w14:paraId="563246AA"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11. Mehran R, </w:t>
      </w:r>
      <w:proofErr w:type="spellStart"/>
      <w:r w:rsidRPr="00607FC5">
        <w:rPr>
          <w:rFonts w:ascii="Times New Roman" w:hAnsi="Times New Roman"/>
          <w:sz w:val="24"/>
        </w:rPr>
        <w:t>Pocock</w:t>
      </w:r>
      <w:proofErr w:type="spellEnd"/>
      <w:r w:rsidRPr="00607FC5">
        <w:rPr>
          <w:rFonts w:ascii="Times New Roman" w:hAnsi="Times New Roman"/>
          <w:sz w:val="24"/>
        </w:rPr>
        <w:t xml:space="preserve"> S, </w:t>
      </w:r>
      <w:proofErr w:type="spellStart"/>
      <w:r w:rsidRPr="00607FC5">
        <w:rPr>
          <w:rFonts w:ascii="Times New Roman" w:hAnsi="Times New Roman"/>
          <w:sz w:val="24"/>
        </w:rPr>
        <w:t>Nikolsky</w:t>
      </w:r>
      <w:proofErr w:type="spellEnd"/>
      <w:r w:rsidRPr="00607FC5">
        <w:rPr>
          <w:rFonts w:ascii="Times New Roman" w:hAnsi="Times New Roman"/>
          <w:sz w:val="24"/>
        </w:rPr>
        <w:t xml:space="preserve"> E, </w:t>
      </w:r>
      <w:proofErr w:type="spellStart"/>
      <w:r w:rsidRPr="00607FC5">
        <w:rPr>
          <w:rFonts w:ascii="Times New Roman" w:hAnsi="Times New Roman"/>
          <w:sz w:val="24"/>
        </w:rPr>
        <w:t>Dangas</w:t>
      </w:r>
      <w:proofErr w:type="spellEnd"/>
      <w:r w:rsidRPr="00607FC5">
        <w:rPr>
          <w:rFonts w:ascii="Times New Roman" w:hAnsi="Times New Roman"/>
          <w:sz w:val="24"/>
        </w:rPr>
        <w:t xml:space="preserve"> GD, Clayton T, </w:t>
      </w:r>
      <w:proofErr w:type="spellStart"/>
      <w:r w:rsidRPr="00607FC5">
        <w:rPr>
          <w:rFonts w:ascii="Times New Roman" w:hAnsi="Times New Roman"/>
          <w:sz w:val="24"/>
        </w:rPr>
        <w:t>Claessen</w:t>
      </w:r>
      <w:proofErr w:type="spellEnd"/>
      <w:r w:rsidRPr="00607FC5">
        <w:rPr>
          <w:rFonts w:ascii="Times New Roman" w:hAnsi="Times New Roman"/>
          <w:sz w:val="24"/>
        </w:rPr>
        <w:t xml:space="preserve"> BE, </w:t>
      </w:r>
      <w:proofErr w:type="spellStart"/>
      <w:r w:rsidRPr="00607FC5">
        <w:rPr>
          <w:rFonts w:ascii="Times New Roman" w:hAnsi="Times New Roman"/>
          <w:sz w:val="24"/>
        </w:rPr>
        <w:t>Caixeta</w:t>
      </w:r>
      <w:proofErr w:type="spellEnd"/>
      <w:r w:rsidRPr="00607FC5">
        <w:rPr>
          <w:rFonts w:ascii="Times New Roman" w:hAnsi="Times New Roman"/>
          <w:sz w:val="24"/>
        </w:rPr>
        <w:t xml:space="preserve"> A, </w:t>
      </w:r>
      <w:proofErr w:type="spellStart"/>
      <w:r w:rsidRPr="00607FC5">
        <w:rPr>
          <w:rFonts w:ascii="Times New Roman" w:hAnsi="Times New Roman"/>
          <w:sz w:val="24"/>
        </w:rPr>
        <w:t>Feit</w:t>
      </w:r>
      <w:proofErr w:type="spellEnd"/>
      <w:r w:rsidRPr="00607FC5">
        <w:rPr>
          <w:rFonts w:ascii="Times New Roman" w:hAnsi="Times New Roman"/>
          <w:sz w:val="24"/>
        </w:rPr>
        <w:t xml:space="preserve"> F, </w:t>
      </w:r>
      <w:proofErr w:type="spellStart"/>
      <w:r w:rsidRPr="00607FC5">
        <w:rPr>
          <w:rFonts w:ascii="Times New Roman" w:hAnsi="Times New Roman"/>
          <w:sz w:val="24"/>
        </w:rPr>
        <w:t>Manoukian</w:t>
      </w:r>
      <w:proofErr w:type="spellEnd"/>
      <w:r w:rsidRPr="00607FC5">
        <w:rPr>
          <w:rFonts w:ascii="Times New Roman" w:hAnsi="Times New Roman"/>
          <w:sz w:val="24"/>
        </w:rPr>
        <w:t xml:space="preserve"> SV, White H. Impact of bleeding on mortality after percutaneous coronary intervention: results from a patient-level pooled analysis of the REPLACE-2 (Randomized Evaluation of PCI Linking </w:t>
      </w:r>
      <w:proofErr w:type="spellStart"/>
      <w:r w:rsidRPr="00607FC5">
        <w:rPr>
          <w:rFonts w:ascii="Times New Roman" w:hAnsi="Times New Roman"/>
          <w:sz w:val="24"/>
        </w:rPr>
        <w:t>Angiomax</w:t>
      </w:r>
      <w:proofErr w:type="spellEnd"/>
      <w:r w:rsidRPr="00607FC5">
        <w:rPr>
          <w:rFonts w:ascii="Times New Roman" w:hAnsi="Times New Roman"/>
          <w:sz w:val="24"/>
        </w:rPr>
        <w:t xml:space="preserve"> to Reduced Clinical Events), ACUITY (Acute Catheterization and Urgent Intervention Triage Strategy), and HORIZONS-AMI (Harmonizing Outcomes With Revascularization and Stents in Acute Myocardial Infarction) trials. </w:t>
      </w:r>
      <w:r w:rsidRPr="00607FC5">
        <w:rPr>
          <w:rFonts w:ascii="Times New Roman" w:hAnsi="Times New Roman"/>
          <w:i/>
          <w:iCs/>
          <w:sz w:val="24"/>
        </w:rPr>
        <w:t xml:space="preserve">JACC: Cardiovascular Interventions. </w:t>
      </w:r>
      <w:r w:rsidRPr="00607FC5">
        <w:rPr>
          <w:rFonts w:ascii="Times New Roman" w:hAnsi="Times New Roman"/>
          <w:sz w:val="24"/>
        </w:rPr>
        <w:t>2011; 4: 654-664.</w:t>
      </w:r>
    </w:p>
    <w:p w14:paraId="61CDD154"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12. Mamas MA, Anderson SG, </w:t>
      </w:r>
      <w:proofErr w:type="spellStart"/>
      <w:r w:rsidRPr="00607FC5">
        <w:rPr>
          <w:rFonts w:ascii="Times New Roman" w:hAnsi="Times New Roman"/>
          <w:sz w:val="24"/>
        </w:rPr>
        <w:t>Carr</w:t>
      </w:r>
      <w:proofErr w:type="spellEnd"/>
      <w:r w:rsidRPr="00607FC5">
        <w:rPr>
          <w:rFonts w:ascii="Times New Roman" w:hAnsi="Times New Roman"/>
          <w:sz w:val="24"/>
        </w:rPr>
        <w:t xml:space="preserve"> M, </w:t>
      </w:r>
      <w:proofErr w:type="spellStart"/>
      <w:r w:rsidRPr="00607FC5">
        <w:rPr>
          <w:rFonts w:ascii="Times New Roman" w:hAnsi="Times New Roman"/>
          <w:sz w:val="24"/>
        </w:rPr>
        <w:t>Ratib</w:t>
      </w:r>
      <w:proofErr w:type="spellEnd"/>
      <w:r w:rsidRPr="00607FC5">
        <w:rPr>
          <w:rFonts w:ascii="Times New Roman" w:hAnsi="Times New Roman"/>
          <w:sz w:val="24"/>
        </w:rPr>
        <w:t xml:space="preserve"> K, Buchan I, </w:t>
      </w:r>
      <w:proofErr w:type="spellStart"/>
      <w:r w:rsidRPr="00607FC5">
        <w:rPr>
          <w:rFonts w:ascii="Times New Roman" w:hAnsi="Times New Roman"/>
          <w:sz w:val="24"/>
        </w:rPr>
        <w:t>Sirker</w:t>
      </w:r>
      <w:proofErr w:type="spellEnd"/>
      <w:r w:rsidRPr="00607FC5">
        <w:rPr>
          <w:rFonts w:ascii="Times New Roman" w:hAnsi="Times New Roman"/>
          <w:sz w:val="24"/>
        </w:rPr>
        <w:t xml:space="preserve"> A, Fraser DG, </w:t>
      </w:r>
      <w:proofErr w:type="spellStart"/>
      <w:r w:rsidRPr="00607FC5">
        <w:rPr>
          <w:rFonts w:ascii="Times New Roman" w:hAnsi="Times New Roman"/>
          <w:sz w:val="24"/>
        </w:rPr>
        <w:t>Hildick</w:t>
      </w:r>
      <w:proofErr w:type="spellEnd"/>
      <w:r w:rsidRPr="00607FC5">
        <w:rPr>
          <w:rFonts w:ascii="Times New Roman" w:hAnsi="Times New Roman"/>
          <w:sz w:val="24"/>
        </w:rPr>
        <w:t xml:space="preserve">-Smith D,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Nolan J, British Cardiovascular Intervention Society, National Institute for Cardiovascular Outcomes Research. Baseline bleeding risk and arterial access site practice in relation to procedural outcomes after percutaneous coronary intervention. </w:t>
      </w:r>
      <w:r w:rsidRPr="00607FC5">
        <w:rPr>
          <w:rFonts w:ascii="Times New Roman" w:hAnsi="Times New Roman"/>
          <w:i/>
          <w:iCs/>
          <w:sz w:val="24"/>
        </w:rPr>
        <w:t xml:space="preserve">J Am </w:t>
      </w:r>
      <w:proofErr w:type="spellStart"/>
      <w:r w:rsidRPr="00607FC5">
        <w:rPr>
          <w:rFonts w:ascii="Times New Roman" w:hAnsi="Times New Roman"/>
          <w:i/>
          <w:iCs/>
          <w:sz w:val="24"/>
        </w:rPr>
        <w:t>Coll</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Cardiol</w:t>
      </w:r>
      <w:proofErr w:type="spellEnd"/>
      <w:r w:rsidRPr="00607FC5">
        <w:rPr>
          <w:rFonts w:ascii="Times New Roman" w:hAnsi="Times New Roman"/>
          <w:i/>
          <w:iCs/>
          <w:sz w:val="24"/>
        </w:rPr>
        <w:t xml:space="preserve">. </w:t>
      </w:r>
      <w:r w:rsidRPr="00607FC5">
        <w:rPr>
          <w:rFonts w:ascii="Times New Roman" w:hAnsi="Times New Roman"/>
          <w:sz w:val="24"/>
        </w:rPr>
        <w:t>2014; 64: 1554-1564.</w:t>
      </w:r>
    </w:p>
    <w:p w14:paraId="2FE48119" w14:textId="56112351"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13. Rubin D. Multiple Imputation for Nonresponse in Surv</w:t>
      </w:r>
      <w:r w:rsidR="00477575">
        <w:rPr>
          <w:rFonts w:ascii="Times New Roman" w:hAnsi="Times New Roman"/>
          <w:sz w:val="24"/>
        </w:rPr>
        <w:t>eys 1987 Wiley New York. 1987.</w:t>
      </w:r>
      <w:bookmarkStart w:id="0" w:name="_GoBack"/>
      <w:bookmarkEnd w:id="0"/>
    </w:p>
    <w:p w14:paraId="6C39600A"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14. </w:t>
      </w:r>
      <w:proofErr w:type="spellStart"/>
      <w:r w:rsidRPr="00607FC5">
        <w:rPr>
          <w:rFonts w:ascii="Times New Roman" w:hAnsi="Times New Roman"/>
          <w:sz w:val="24"/>
        </w:rPr>
        <w:t>Meng</w:t>
      </w:r>
      <w:proofErr w:type="spellEnd"/>
      <w:r w:rsidRPr="00607FC5">
        <w:rPr>
          <w:rFonts w:ascii="Times New Roman" w:hAnsi="Times New Roman"/>
          <w:sz w:val="24"/>
        </w:rPr>
        <w:t xml:space="preserve"> X, Rubin DB. Performing likelihood ratio tests with multiply-imputed data sets. </w:t>
      </w:r>
      <w:proofErr w:type="spellStart"/>
      <w:r w:rsidRPr="00607FC5">
        <w:rPr>
          <w:rFonts w:ascii="Times New Roman" w:hAnsi="Times New Roman"/>
          <w:i/>
          <w:iCs/>
          <w:sz w:val="24"/>
        </w:rPr>
        <w:t>Biometrika</w:t>
      </w:r>
      <w:proofErr w:type="spellEnd"/>
      <w:r w:rsidRPr="00607FC5">
        <w:rPr>
          <w:rFonts w:ascii="Times New Roman" w:hAnsi="Times New Roman"/>
          <w:i/>
          <w:iCs/>
          <w:sz w:val="24"/>
        </w:rPr>
        <w:t xml:space="preserve">. </w:t>
      </w:r>
      <w:r w:rsidRPr="00607FC5">
        <w:rPr>
          <w:rFonts w:ascii="Times New Roman" w:hAnsi="Times New Roman"/>
          <w:sz w:val="24"/>
        </w:rPr>
        <w:t>1992; 103-111.</w:t>
      </w:r>
    </w:p>
    <w:p w14:paraId="7026562B"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15. </w:t>
      </w:r>
      <w:proofErr w:type="spellStart"/>
      <w:r w:rsidRPr="00607FC5">
        <w:rPr>
          <w:rFonts w:ascii="Times New Roman" w:hAnsi="Times New Roman"/>
          <w:sz w:val="24"/>
        </w:rPr>
        <w:t>Elbarouni</w:t>
      </w:r>
      <w:proofErr w:type="spellEnd"/>
      <w:r w:rsidRPr="00607FC5">
        <w:rPr>
          <w:rFonts w:ascii="Times New Roman" w:hAnsi="Times New Roman"/>
          <w:sz w:val="24"/>
        </w:rPr>
        <w:t xml:space="preserve"> B, </w:t>
      </w:r>
      <w:proofErr w:type="spellStart"/>
      <w:r w:rsidRPr="00607FC5">
        <w:rPr>
          <w:rFonts w:ascii="Times New Roman" w:hAnsi="Times New Roman"/>
          <w:sz w:val="24"/>
        </w:rPr>
        <w:t>Elmanfud</w:t>
      </w:r>
      <w:proofErr w:type="spellEnd"/>
      <w:r w:rsidRPr="00607FC5">
        <w:rPr>
          <w:rFonts w:ascii="Times New Roman" w:hAnsi="Times New Roman"/>
          <w:sz w:val="24"/>
        </w:rPr>
        <w:t xml:space="preserve"> O, Yan RT, Fox KA, </w:t>
      </w:r>
      <w:proofErr w:type="spellStart"/>
      <w:r w:rsidRPr="00607FC5">
        <w:rPr>
          <w:rFonts w:ascii="Times New Roman" w:hAnsi="Times New Roman"/>
          <w:sz w:val="24"/>
        </w:rPr>
        <w:t>Kornder</w:t>
      </w:r>
      <w:proofErr w:type="spellEnd"/>
      <w:r w:rsidRPr="00607FC5">
        <w:rPr>
          <w:rFonts w:ascii="Times New Roman" w:hAnsi="Times New Roman"/>
          <w:sz w:val="24"/>
        </w:rPr>
        <w:t xml:space="preserve"> JM, Rose B, Spencer FA, Welsh RC, Wong GC, Goodman SG. Temporal trend of in-hospital major bleeding </w:t>
      </w:r>
      <w:r w:rsidRPr="00607FC5">
        <w:rPr>
          <w:rFonts w:ascii="Times New Roman" w:hAnsi="Times New Roman"/>
          <w:sz w:val="24"/>
        </w:rPr>
        <w:lastRenderedPageBreak/>
        <w:t xml:space="preserve">among patients with non ST-elevation acute coronary syndromes. </w:t>
      </w:r>
      <w:r w:rsidRPr="00607FC5">
        <w:rPr>
          <w:rFonts w:ascii="Times New Roman" w:hAnsi="Times New Roman"/>
          <w:i/>
          <w:iCs/>
          <w:sz w:val="24"/>
        </w:rPr>
        <w:t xml:space="preserve">Am Heart J. </w:t>
      </w:r>
      <w:r w:rsidRPr="00607FC5">
        <w:rPr>
          <w:rFonts w:ascii="Times New Roman" w:hAnsi="Times New Roman"/>
          <w:sz w:val="24"/>
        </w:rPr>
        <w:t>2010; 160: 420-427.</w:t>
      </w:r>
    </w:p>
    <w:p w14:paraId="09C49740"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16. </w:t>
      </w:r>
      <w:proofErr w:type="spellStart"/>
      <w:r w:rsidRPr="00607FC5">
        <w:rPr>
          <w:rFonts w:ascii="Times New Roman" w:hAnsi="Times New Roman"/>
          <w:sz w:val="24"/>
        </w:rPr>
        <w:t>Subherwal</w:t>
      </w:r>
      <w:proofErr w:type="spellEnd"/>
      <w:r w:rsidRPr="00607FC5">
        <w:rPr>
          <w:rFonts w:ascii="Times New Roman" w:hAnsi="Times New Roman"/>
          <w:sz w:val="24"/>
        </w:rPr>
        <w:t xml:space="preserve"> S, Peterson ED, Dai D, Thomas L, Messenger JC, Xian Y, </w:t>
      </w:r>
      <w:proofErr w:type="spellStart"/>
      <w:r w:rsidRPr="00607FC5">
        <w:rPr>
          <w:rFonts w:ascii="Times New Roman" w:hAnsi="Times New Roman"/>
          <w:sz w:val="24"/>
        </w:rPr>
        <w:t>Brindis</w:t>
      </w:r>
      <w:proofErr w:type="spellEnd"/>
      <w:r w:rsidRPr="00607FC5">
        <w:rPr>
          <w:rFonts w:ascii="Times New Roman" w:hAnsi="Times New Roman"/>
          <w:sz w:val="24"/>
        </w:rPr>
        <w:t xml:space="preserve"> RG, Feldman DN, </w:t>
      </w:r>
      <w:proofErr w:type="spellStart"/>
      <w:r w:rsidRPr="00607FC5">
        <w:rPr>
          <w:rFonts w:ascii="Times New Roman" w:hAnsi="Times New Roman"/>
          <w:sz w:val="24"/>
        </w:rPr>
        <w:t>Senter</w:t>
      </w:r>
      <w:proofErr w:type="spellEnd"/>
      <w:r w:rsidRPr="00607FC5">
        <w:rPr>
          <w:rFonts w:ascii="Times New Roman" w:hAnsi="Times New Roman"/>
          <w:sz w:val="24"/>
        </w:rPr>
        <w:t xml:space="preserve"> S, Klein LW, </w:t>
      </w:r>
      <w:proofErr w:type="spellStart"/>
      <w:r w:rsidRPr="00607FC5">
        <w:rPr>
          <w:rFonts w:ascii="Times New Roman" w:hAnsi="Times New Roman"/>
          <w:sz w:val="24"/>
        </w:rPr>
        <w:t>Marso</w:t>
      </w:r>
      <w:proofErr w:type="spellEnd"/>
      <w:r w:rsidRPr="00607FC5">
        <w:rPr>
          <w:rFonts w:ascii="Times New Roman" w:hAnsi="Times New Roman"/>
          <w:sz w:val="24"/>
        </w:rPr>
        <w:t xml:space="preserve"> SP, Roe MT, Rao SV. Temporal Trends in and Factors Associated </w:t>
      </w:r>
      <w:proofErr w:type="gramStart"/>
      <w:r w:rsidRPr="00607FC5">
        <w:rPr>
          <w:rFonts w:ascii="Times New Roman" w:hAnsi="Times New Roman"/>
          <w:sz w:val="24"/>
        </w:rPr>
        <w:t>With</w:t>
      </w:r>
      <w:proofErr w:type="gramEnd"/>
      <w:r w:rsidRPr="00607FC5">
        <w:rPr>
          <w:rFonts w:ascii="Times New Roman" w:hAnsi="Times New Roman"/>
          <w:sz w:val="24"/>
        </w:rPr>
        <w:t xml:space="preserve"> Bleeding Complications Among Patients Undergoing Percutaneous Coronary Intervention: A Report From the National Cardiovascular Data </w:t>
      </w:r>
      <w:proofErr w:type="spellStart"/>
      <w:r w:rsidRPr="00607FC5">
        <w:rPr>
          <w:rFonts w:ascii="Times New Roman" w:hAnsi="Times New Roman"/>
          <w:sz w:val="24"/>
        </w:rPr>
        <w:t>CathPCI</w:t>
      </w:r>
      <w:proofErr w:type="spellEnd"/>
      <w:r w:rsidRPr="00607FC5">
        <w:rPr>
          <w:rFonts w:ascii="Times New Roman" w:hAnsi="Times New Roman"/>
          <w:sz w:val="24"/>
        </w:rPr>
        <w:t xml:space="preserve"> Registry. </w:t>
      </w:r>
      <w:r w:rsidRPr="00607FC5">
        <w:rPr>
          <w:rFonts w:ascii="Times New Roman" w:hAnsi="Times New Roman"/>
          <w:i/>
          <w:iCs/>
          <w:sz w:val="24"/>
        </w:rPr>
        <w:t xml:space="preserve">J Am </w:t>
      </w:r>
      <w:proofErr w:type="spellStart"/>
      <w:r w:rsidRPr="00607FC5">
        <w:rPr>
          <w:rFonts w:ascii="Times New Roman" w:hAnsi="Times New Roman"/>
          <w:i/>
          <w:iCs/>
          <w:sz w:val="24"/>
        </w:rPr>
        <w:t>Coll</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Cardiol</w:t>
      </w:r>
      <w:proofErr w:type="spellEnd"/>
      <w:r w:rsidRPr="00607FC5">
        <w:rPr>
          <w:rFonts w:ascii="Times New Roman" w:hAnsi="Times New Roman"/>
          <w:i/>
          <w:iCs/>
          <w:sz w:val="24"/>
        </w:rPr>
        <w:t xml:space="preserve">. </w:t>
      </w:r>
      <w:r w:rsidRPr="00607FC5">
        <w:rPr>
          <w:rFonts w:ascii="Times New Roman" w:hAnsi="Times New Roman"/>
          <w:sz w:val="24"/>
        </w:rPr>
        <w:t>2012; 59: 1861-1869.</w:t>
      </w:r>
    </w:p>
    <w:p w14:paraId="55EB2DD1"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17. Bradley SM, Rao SV, Curtis JP, </w:t>
      </w:r>
      <w:proofErr w:type="spellStart"/>
      <w:r w:rsidRPr="00607FC5">
        <w:rPr>
          <w:rFonts w:ascii="Times New Roman" w:hAnsi="Times New Roman"/>
          <w:sz w:val="24"/>
        </w:rPr>
        <w:t>Parzynski</w:t>
      </w:r>
      <w:proofErr w:type="spellEnd"/>
      <w:r w:rsidRPr="00607FC5">
        <w:rPr>
          <w:rFonts w:ascii="Times New Roman" w:hAnsi="Times New Roman"/>
          <w:sz w:val="24"/>
        </w:rPr>
        <w:t xml:space="preserve"> CS, Messenger JC, Daugherty SL, Rumsfeld JS, </w:t>
      </w:r>
      <w:proofErr w:type="spellStart"/>
      <w:r w:rsidRPr="00607FC5">
        <w:rPr>
          <w:rFonts w:ascii="Times New Roman" w:hAnsi="Times New Roman"/>
          <w:sz w:val="24"/>
        </w:rPr>
        <w:t>Gurm</w:t>
      </w:r>
      <w:proofErr w:type="spellEnd"/>
      <w:r w:rsidRPr="00607FC5">
        <w:rPr>
          <w:rFonts w:ascii="Times New Roman" w:hAnsi="Times New Roman"/>
          <w:sz w:val="24"/>
        </w:rPr>
        <w:t xml:space="preserve"> HS. Change in hospital-level use of transradial percutaneous coronary intervention and </w:t>
      </w:r>
      <w:proofErr w:type="spellStart"/>
      <w:r w:rsidRPr="00607FC5">
        <w:rPr>
          <w:rFonts w:ascii="Times New Roman" w:hAnsi="Times New Roman"/>
          <w:sz w:val="24"/>
        </w:rPr>
        <w:t>periprocedural</w:t>
      </w:r>
      <w:proofErr w:type="spellEnd"/>
      <w:r w:rsidRPr="00607FC5">
        <w:rPr>
          <w:rFonts w:ascii="Times New Roman" w:hAnsi="Times New Roman"/>
          <w:sz w:val="24"/>
        </w:rPr>
        <w:t xml:space="preserve"> outcomes: insights from the national cardiovascular data registry. </w:t>
      </w:r>
      <w:proofErr w:type="spellStart"/>
      <w:r w:rsidRPr="00607FC5">
        <w:rPr>
          <w:rFonts w:ascii="Times New Roman" w:hAnsi="Times New Roman"/>
          <w:i/>
          <w:iCs/>
          <w:sz w:val="24"/>
        </w:rPr>
        <w:t>Circ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Qual</w:t>
      </w:r>
      <w:proofErr w:type="spellEnd"/>
      <w:r w:rsidRPr="00607FC5">
        <w:rPr>
          <w:rFonts w:ascii="Times New Roman" w:hAnsi="Times New Roman"/>
          <w:i/>
          <w:iCs/>
          <w:sz w:val="24"/>
        </w:rPr>
        <w:t xml:space="preserve"> Outcomes. </w:t>
      </w:r>
      <w:r w:rsidRPr="00607FC5">
        <w:rPr>
          <w:rFonts w:ascii="Times New Roman" w:hAnsi="Times New Roman"/>
          <w:sz w:val="24"/>
        </w:rPr>
        <w:t>2014; 7: 550-559.</w:t>
      </w:r>
    </w:p>
    <w:p w14:paraId="3A499447"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18. Mehta SK, </w:t>
      </w:r>
      <w:proofErr w:type="spellStart"/>
      <w:r w:rsidRPr="00607FC5">
        <w:rPr>
          <w:rFonts w:ascii="Times New Roman" w:hAnsi="Times New Roman"/>
          <w:sz w:val="24"/>
        </w:rPr>
        <w:t>Frutkin</w:t>
      </w:r>
      <w:proofErr w:type="spellEnd"/>
      <w:r w:rsidRPr="00607FC5">
        <w:rPr>
          <w:rFonts w:ascii="Times New Roman" w:hAnsi="Times New Roman"/>
          <w:sz w:val="24"/>
        </w:rPr>
        <w:t xml:space="preserve"> AD, Lindsey JB, House JA, </w:t>
      </w:r>
      <w:proofErr w:type="spellStart"/>
      <w:r w:rsidRPr="00607FC5">
        <w:rPr>
          <w:rFonts w:ascii="Times New Roman" w:hAnsi="Times New Roman"/>
          <w:sz w:val="24"/>
        </w:rPr>
        <w:t>Spertus</w:t>
      </w:r>
      <w:proofErr w:type="spellEnd"/>
      <w:r w:rsidRPr="00607FC5">
        <w:rPr>
          <w:rFonts w:ascii="Times New Roman" w:hAnsi="Times New Roman"/>
          <w:sz w:val="24"/>
        </w:rPr>
        <w:t xml:space="preserve"> JA, Rao SV, </w:t>
      </w:r>
      <w:proofErr w:type="spellStart"/>
      <w:r w:rsidRPr="00607FC5">
        <w:rPr>
          <w:rFonts w:ascii="Times New Roman" w:hAnsi="Times New Roman"/>
          <w:sz w:val="24"/>
        </w:rPr>
        <w:t>Ou</w:t>
      </w:r>
      <w:proofErr w:type="spellEnd"/>
      <w:r w:rsidRPr="00607FC5">
        <w:rPr>
          <w:rFonts w:ascii="Times New Roman" w:hAnsi="Times New Roman"/>
          <w:sz w:val="24"/>
        </w:rPr>
        <w:t xml:space="preserve"> FS, Roe MT, Peterson ED, </w:t>
      </w:r>
      <w:proofErr w:type="spellStart"/>
      <w:r w:rsidRPr="00607FC5">
        <w:rPr>
          <w:rFonts w:ascii="Times New Roman" w:hAnsi="Times New Roman"/>
          <w:sz w:val="24"/>
        </w:rPr>
        <w:t>Marso</w:t>
      </w:r>
      <w:proofErr w:type="spellEnd"/>
      <w:r w:rsidRPr="00607FC5">
        <w:rPr>
          <w:rFonts w:ascii="Times New Roman" w:hAnsi="Times New Roman"/>
          <w:sz w:val="24"/>
        </w:rPr>
        <w:t xml:space="preserve"> SP, National Cardiovascular Data Registry. Bleeding in patients undergoing percutaneous coronary intervention: the development of a clinical risk algorithm from the National Cardiovascular Data Registry. </w:t>
      </w:r>
      <w:proofErr w:type="spellStart"/>
      <w:r w:rsidRPr="00607FC5">
        <w:rPr>
          <w:rFonts w:ascii="Times New Roman" w:hAnsi="Times New Roman"/>
          <w:i/>
          <w:iCs/>
          <w:sz w:val="24"/>
        </w:rPr>
        <w:t>Circ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Interv</w:t>
      </w:r>
      <w:proofErr w:type="spellEnd"/>
      <w:r w:rsidRPr="00607FC5">
        <w:rPr>
          <w:rFonts w:ascii="Times New Roman" w:hAnsi="Times New Roman"/>
          <w:i/>
          <w:iCs/>
          <w:sz w:val="24"/>
        </w:rPr>
        <w:t xml:space="preserve">. </w:t>
      </w:r>
      <w:r w:rsidRPr="00607FC5">
        <w:rPr>
          <w:rFonts w:ascii="Times New Roman" w:hAnsi="Times New Roman"/>
          <w:sz w:val="24"/>
        </w:rPr>
        <w:t>2009; 2: 222-229.</w:t>
      </w:r>
    </w:p>
    <w:p w14:paraId="33CA2A1B"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19. Kinnaird TD, Stabile E, </w:t>
      </w:r>
      <w:proofErr w:type="spellStart"/>
      <w:r w:rsidRPr="00607FC5">
        <w:rPr>
          <w:rFonts w:ascii="Times New Roman" w:hAnsi="Times New Roman"/>
          <w:sz w:val="24"/>
        </w:rPr>
        <w:t>Mintz</w:t>
      </w:r>
      <w:proofErr w:type="spellEnd"/>
      <w:r w:rsidRPr="00607FC5">
        <w:rPr>
          <w:rFonts w:ascii="Times New Roman" w:hAnsi="Times New Roman"/>
          <w:sz w:val="24"/>
        </w:rPr>
        <w:t xml:space="preserve"> GS, Lee CW, </w:t>
      </w:r>
      <w:proofErr w:type="spellStart"/>
      <w:r w:rsidRPr="00607FC5">
        <w:rPr>
          <w:rFonts w:ascii="Times New Roman" w:hAnsi="Times New Roman"/>
          <w:sz w:val="24"/>
        </w:rPr>
        <w:t>Canos</w:t>
      </w:r>
      <w:proofErr w:type="spellEnd"/>
      <w:r w:rsidRPr="00607FC5">
        <w:rPr>
          <w:rFonts w:ascii="Times New Roman" w:hAnsi="Times New Roman"/>
          <w:sz w:val="24"/>
        </w:rPr>
        <w:t xml:space="preserve"> DA, Gevorkian N, </w:t>
      </w:r>
      <w:proofErr w:type="spellStart"/>
      <w:r w:rsidRPr="00607FC5">
        <w:rPr>
          <w:rFonts w:ascii="Times New Roman" w:hAnsi="Times New Roman"/>
          <w:sz w:val="24"/>
        </w:rPr>
        <w:t>Pinnow</w:t>
      </w:r>
      <w:proofErr w:type="spellEnd"/>
      <w:r w:rsidRPr="00607FC5">
        <w:rPr>
          <w:rFonts w:ascii="Times New Roman" w:hAnsi="Times New Roman"/>
          <w:sz w:val="24"/>
        </w:rPr>
        <w:t xml:space="preserve"> EE, Kent KM, </w:t>
      </w:r>
      <w:proofErr w:type="spellStart"/>
      <w:r w:rsidRPr="00607FC5">
        <w:rPr>
          <w:rFonts w:ascii="Times New Roman" w:hAnsi="Times New Roman"/>
          <w:sz w:val="24"/>
        </w:rPr>
        <w:t>Pichard</w:t>
      </w:r>
      <w:proofErr w:type="spellEnd"/>
      <w:r w:rsidRPr="00607FC5">
        <w:rPr>
          <w:rFonts w:ascii="Times New Roman" w:hAnsi="Times New Roman"/>
          <w:sz w:val="24"/>
        </w:rPr>
        <w:t xml:space="preserve"> AD, </w:t>
      </w:r>
      <w:proofErr w:type="spellStart"/>
      <w:r w:rsidRPr="00607FC5">
        <w:rPr>
          <w:rFonts w:ascii="Times New Roman" w:hAnsi="Times New Roman"/>
          <w:sz w:val="24"/>
        </w:rPr>
        <w:t>Satler</w:t>
      </w:r>
      <w:proofErr w:type="spellEnd"/>
      <w:r w:rsidRPr="00607FC5">
        <w:rPr>
          <w:rFonts w:ascii="Times New Roman" w:hAnsi="Times New Roman"/>
          <w:sz w:val="24"/>
        </w:rPr>
        <w:t xml:space="preserve"> LF. Incidence, predictors, and prognostic implications of bleeding and blood transfusion following percutaneous coronary interventions. </w:t>
      </w:r>
      <w:r w:rsidRPr="00607FC5">
        <w:rPr>
          <w:rFonts w:ascii="Times New Roman" w:hAnsi="Times New Roman"/>
          <w:i/>
          <w:iCs/>
          <w:sz w:val="24"/>
        </w:rPr>
        <w:t xml:space="preserve">Am J </w:t>
      </w:r>
      <w:proofErr w:type="spellStart"/>
      <w:r w:rsidRPr="00607FC5">
        <w:rPr>
          <w:rFonts w:ascii="Times New Roman" w:hAnsi="Times New Roman"/>
          <w:i/>
          <w:iCs/>
          <w:sz w:val="24"/>
        </w:rPr>
        <w:t>Cardiol</w:t>
      </w:r>
      <w:proofErr w:type="spellEnd"/>
      <w:r w:rsidRPr="00607FC5">
        <w:rPr>
          <w:rFonts w:ascii="Times New Roman" w:hAnsi="Times New Roman"/>
          <w:i/>
          <w:iCs/>
          <w:sz w:val="24"/>
        </w:rPr>
        <w:t xml:space="preserve">. </w:t>
      </w:r>
      <w:r w:rsidRPr="00607FC5">
        <w:rPr>
          <w:rFonts w:ascii="Times New Roman" w:hAnsi="Times New Roman"/>
          <w:sz w:val="24"/>
        </w:rPr>
        <w:t>2003; 92: 930-935.</w:t>
      </w:r>
    </w:p>
    <w:p w14:paraId="6DBE1E21"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20. Anderson SG, </w:t>
      </w:r>
      <w:proofErr w:type="spellStart"/>
      <w:r w:rsidRPr="00607FC5">
        <w:rPr>
          <w:rFonts w:ascii="Times New Roman" w:hAnsi="Times New Roman"/>
          <w:sz w:val="24"/>
        </w:rPr>
        <w:t>Ratib</w:t>
      </w:r>
      <w:proofErr w:type="spellEnd"/>
      <w:r w:rsidRPr="00607FC5">
        <w:rPr>
          <w:rFonts w:ascii="Times New Roman" w:hAnsi="Times New Roman"/>
          <w:sz w:val="24"/>
        </w:rPr>
        <w:t xml:space="preserve"> K, </w:t>
      </w:r>
      <w:proofErr w:type="spellStart"/>
      <w:r w:rsidRPr="00607FC5">
        <w:rPr>
          <w:rFonts w:ascii="Times New Roman" w:hAnsi="Times New Roman"/>
          <w:sz w:val="24"/>
        </w:rPr>
        <w:t>Myint</w:t>
      </w:r>
      <w:proofErr w:type="spellEnd"/>
      <w:r w:rsidRPr="00607FC5">
        <w:rPr>
          <w:rFonts w:ascii="Times New Roman" w:hAnsi="Times New Roman"/>
          <w:sz w:val="24"/>
        </w:rPr>
        <w:t xml:space="preserve"> PK, </w:t>
      </w:r>
      <w:proofErr w:type="spellStart"/>
      <w:r w:rsidRPr="00607FC5">
        <w:rPr>
          <w:rFonts w:ascii="Times New Roman" w:hAnsi="Times New Roman"/>
          <w:sz w:val="24"/>
        </w:rPr>
        <w:t>Keavney</w:t>
      </w:r>
      <w:proofErr w:type="spellEnd"/>
      <w:r w:rsidRPr="00607FC5">
        <w:rPr>
          <w:rFonts w:ascii="Times New Roman" w:hAnsi="Times New Roman"/>
          <w:sz w:val="24"/>
        </w:rPr>
        <w:t xml:space="preserve"> B, Kwok CS, Zaman A,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Nolan J, Mamas MA. Impact of age on access site‐related outcomes in 469,983 percutaneous coronary intervention procedures: insights from the British </w:t>
      </w:r>
      <w:r w:rsidRPr="00607FC5">
        <w:rPr>
          <w:rFonts w:ascii="Times New Roman" w:hAnsi="Times New Roman"/>
          <w:sz w:val="24"/>
        </w:rPr>
        <w:lastRenderedPageBreak/>
        <w:t xml:space="preserve">Cardiovascular Intervention Society. </w:t>
      </w:r>
      <w:r w:rsidRPr="00607FC5">
        <w:rPr>
          <w:rFonts w:ascii="Times New Roman" w:hAnsi="Times New Roman"/>
          <w:i/>
          <w:iCs/>
          <w:sz w:val="24"/>
        </w:rPr>
        <w:t xml:space="preserve">Catheterization and Cardiovascular Interventions. </w:t>
      </w:r>
      <w:r w:rsidRPr="00607FC5">
        <w:rPr>
          <w:rFonts w:ascii="Times New Roman" w:hAnsi="Times New Roman"/>
          <w:sz w:val="24"/>
        </w:rPr>
        <w:t>2015; 86: 965-972.</w:t>
      </w:r>
    </w:p>
    <w:p w14:paraId="3196CD67"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21. </w:t>
      </w:r>
      <w:proofErr w:type="spellStart"/>
      <w:r w:rsidRPr="00607FC5">
        <w:rPr>
          <w:rFonts w:ascii="Times New Roman" w:hAnsi="Times New Roman"/>
          <w:sz w:val="24"/>
        </w:rPr>
        <w:t>Valgimigli</w:t>
      </w:r>
      <w:proofErr w:type="spellEnd"/>
      <w:r w:rsidRPr="00607FC5">
        <w:rPr>
          <w:rFonts w:ascii="Times New Roman" w:hAnsi="Times New Roman"/>
          <w:sz w:val="24"/>
        </w:rPr>
        <w:t xml:space="preserve"> M, </w:t>
      </w:r>
      <w:proofErr w:type="spellStart"/>
      <w:r w:rsidRPr="00607FC5">
        <w:rPr>
          <w:rFonts w:ascii="Times New Roman" w:hAnsi="Times New Roman"/>
          <w:sz w:val="24"/>
        </w:rPr>
        <w:t>Gagnor</w:t>
      </w:r>
      <w:proofErr w:type="spellEnd"/>
      <w:r w:rsidRPr="00607FC5">
        <w:rPr>
          <w:rFonts w:ascii="Times New Roman" w:hAnsi="Times New Roman"/>
          <w:sz w:val="24"/>
        </w:rPr>
        <w:t xml:space="preserve"> A, </w:t>
      </w:r>
      <w:proofErr w:type="spellStart"/>
      <w:r w:rsidRPr="00607FC5">
        <w:rPr>
          <w:rFonts w:ascii="Times New Roman" w:hAnsi="Times New Roman"/>
          <w:sz w:val="24"/>
        </w:rPr>
        <w:t>Calabro</w:t>
      </w:r>
      <w:proofErr w:type="spellEnd"/>
      <w:r w:rsidRPr="00607FC5">
        <w:rPr>
          <w:rFonts w:ascii="Times New Roman" w:hAnsi="Times New Roman"/>
          <w:sz w:val="24"/>
        </w:rPr>
        <w:t xml:space="preserve"> P, </w:t>
      </w:r>
      <w:proofErr w:type="spellStart"/>
      <w:r w:rsidRPr="00607FC5">
        <w:rPr>
          <w:rFonts w:ascii="Times New Roman" w:hAnsi="Times New Roman"/>
          <w:sz w:val="24"/>
        </w:rPr>
        <w:t>Frigoli</w:t>
      </w:r>
      <w:proofErr w:type="spellEnd"/>
      <w:r w:rsidRPr="00607FC5">
        <w:rPr>
          <w:rFonts w:ascii="Times New Roman" w:hAnsi="Times New Roman"/>
          <w:sz w:val="24"/>
        </w:rPr>
        <w:t xml:space="preserve"> E, </w:t>
      </w:r>
      <w:proofErr w:type="spellStart"/>
      <w:r w:rsidRPr="00607FC5">
        <w:rPr>
          <w:rFonts w:ascii="Times New Roman" w:hAnsi="Times New Roman"/>
          <w:sz w:val="24"/>
        </w:rPr>
        <w:t>Leonardi</w:t>
      </w:r>
      <w:proofErr w:type="spellEnd"/>
      <w:r w:rsidRPr="00607FC5">
        <w:rPr>
          <w:rFonts w:ascii="Times New Roman" w:hAnsi="Times New Roman"/>
          <w:sz w:val="24"/>
        </w:rPr>
        <w:t xml:space="preserve"> S, </w:t>
      </w:r>
      <w:proofErr w:type="spellStart"/>
      <w:r w:rsidRPr="00607FC5">
        <w:rPr>
          <w:rFonts w:ascii="Times New Roman" w:hAnsi="Times New Roman"/>
          <w:sz w:val="24"/>
        </w:rPr>
        <w:t>Zaro</w:t>
      </w:r>
      <w:proofErr w:type="spellEnd"/>
      <w:r w:rsidRPr="00607FC5">
        <w:rPr>
          <w:rFonts w:ascii="Times New Roman" w:hAnsi="Times New Roman"/>
          <w:sz w:val="24"/>
        </w:rPr>
        <w:t xml:space="preserve"> T, </w:t>
      </w:r>
      <w:proofErr w:type="spellStart"/>
      <w:r w:rsidRPr="00607FC5">
        <w:rPr>
          <w:rFonts w:ascii="Times New Roman" w:hAnsi="Times New Roman"/>
          <w:sz w:val="24"/>
        </w:rPr>
        <w:t>Rubartelli</w:t>
      </w:r>
      <w:proofErr w:type="spellEnd"/>
      <w:r w:rsidRPr="00607FC5">
        <w:rPr>
          <w:rFonts w:ascii="Times New Roman" w:hAnsi="Times New Roman"/>
          <w:sz w:val="24"/>
        </w:rPr>
        <w:t xml:space="preserve"> P, </w:t>
      </w:r>
      <w:proofErr w:type="spellStart"/>
      <w:r w:rsidRPr="00607FC5">
        <w:rPr>
          <w:rFonts w:ascii="Times New Roman" w:hAnsi="Times New Roman"/>
          <w:sz w:val="24"/>
        </w:rPr>
        <w:t>Briguori</w:t>
      </w:r>
      <w:proofErr w:type="spellEnd"/>
      <w:r w:rsidRPr="00607FC5">
        <w:rPr>
          <w:rFonts w:ascii="Times New Roman" w:hAnsi="Times New Roman"/>
          <w:sz w:val="24"/>
        </w:rPr>
        <w:t xml:space="preserve"> C, Ando G, </w:t>
      </w:r>
      <w:proofErr w:type="spellStart"/>
      <w:r w:rsidRPr="00607FC5">
        <w:rPr>
          <w:rFonts w:ascii="Times New Roman" w:hAnsi="Times New Roman"/>
          <w:sz w:val="24"/>
        </w:rPr>
        <w:t>Repetto</w:t>
      </w:r>
      <w:proofErr w:type="spellEnd"/>
      <w:r w:rsidRPr="00607FC5">
        <w:rPr>
          <w:rFonts w:ascii="Times New Roman" w:hAnsi="Times New Roman"/>
          <w:sz w:val="24"/>
        </w:rPr>
        <w:t xml:space="preserve"> A, </w:t>
      </w:r>
      <w:proofErr w:type="spellStart"/>
      <w:r w:rsidRPr="00607FC5">
        <w:rPr>
          <w:rFonts w:ascii="Times New Roman" w:hAnsi="Times New Roman"/>
          <w:sz w:val="24"/>
        </w:rPr>
        <w:t>Limbruno</w:t>
      </w:r>
      <w:proofErr w:type="spellEnd"/>
      <w:r w:rsidRPr="00607FC5">
        <w:rPr>
          <w:rFonts w:ascii="Times New Roman" w:hAnsi="Times New Roman"/>
          <w:sz w:val="24"/>
        </w:rPr>
        <w:t xml:space="preserve"> U, </w:t>
      </w:r>
      <w:proofErr w:type="spellStart"/>
      <w:r w:rsidRPr="00607FC5">
        <w:rPr>
          <w:rFonts w:ascii="Times New Roman" w:hAnsi="Times New Roman"/>
          <w:sz w:val="24"/>
        </w:rPr>
        <w:t>Cortese</w:t>
      </w:r>
      <w:proofErr w:type="spellEnd"/>
      <w:r w:rsidRPr="00607FC5">
        <w:rPr>
          <w:rFonts w:ascii="Times New Roman" w:hAnsi="Times New Roman"/>
          <w:sz w:val="24"/>
        </w:rPr>
        <w:t xml:space="preserve"> B, </w:t>
      </w:r>
      <w:proofErr w:type="spellStart"/>
      <w:r w:rsidRPr="00607FC5">
        <w:rPr>
          <w:rFonts w:ascii="Times New Roman" w:hAnsi="Times New Roman"/>
          <w:sz w:val="24"/>
        </w:rPr>
        <w:t>Sganzerla</w:t>
      </w:r>
      <w:proofErr w:type="spellEnd"/>
      <w:r w:rsidRPr="00607FC5">
        <w:rPr>
          <w:rFonts w:ascii="Times New Roman" w:hAnsi="Times New Roman"/>
          <w:sz w:val="24"/>
        </w:rPr>
        <w:t xml:space="preserve"> P, </w:t>
      </w:r>
      <w:proofErr w:type="spellStart"/>
      <w:r w:rsidRPr="00607FC5">
        <w:rPr>
          <w:rFonts w:ascii="Times New Roman" w:hAnsi="Times New Roman"/>
          <w:sz w:val="24"/>
        </w:rPr>
        <w:t>Lupi</w:t>
      </w:r>
      <w:proofErr w:type="spellEnd"/>
      <w:r w:rsidRPr="00607FC5">
        <w:rPr>
          <w:rFonts w:ascii="Times New Roman" w:hAnsi="Times New Roman"/>
          <w:sz w:val="24"/>
        </w:rPr>
        <w:t xml:space="preserve"> A, Galli M, </w:t>
      </w:r>
      <w:proofErr w:type="spellStart"/>
      <w:r w:rsidRPr="00607FC5">
        <w:rPr>
          <w:rFonts w:ascii="Times New Roman" w:hAnsi="Times New Roman"/>
          <w:sz w:val="24"/>
        </w:rPr>
        <w:t>Colangelo</w:t>
      </w:r>
      <w:proofErr w:type="spellEnd"/>
      <w:r w:rsidRPr="00607FC5">
        <w:rPr>
          <w:rFonts w:ascii="Times New Roman" w:hAnsi="Times New Roman"/>
          <w:sz w:val="24"/>
        </w:rPr>
        <w:t xml:space="preserve"> S, </w:t>
      </w:r>
      <w:proofErr w:type="spellStart"/>
      <w:r w:rsidRPr="00607FC5">
        <w:rPr>
          <w:rFonts w:ascii="Times New Roman" w:hAnsi="Times New Roman"/>
          <w:sz w:val="24"/>
        </w:rPr>
        <w:t>Ierna</w:t>
      </w:r>
      <w:proofErr w:type="spellEnd"/>
      <w:r w:rsidRPr="00607FC5">
        <w:rPr>
          <w:rFonts w:ascii="Times New Roman" w:hAnsi="Times New Roman"/>
          <w:sz w:val="24"/>
        </w:rPr>
        <w:t xml:space="preserve"> S, </w:t>
      </w:r>
      <w:proofErr w:type="spellStart"/>
      <w:r w:rsidRPr="00607FC5">
        <w:rPr>
          <w:rFonts w:ascii="Times New Roman" w:hAnsi="Times New Roman"/>
          <w:sz w:val="24"/>
        </w:rPr>
        <w:t>Ausiello</w:t>
      </w:r>
      <w:proofErr w:type="spellEnd"/>
      <w:r w:rsidRPr="00607FC5">
        <w:rPr>
          <w:rFonts w:ascii="Times New Roman" w:hAnsi="Times New Roman"/>
          <w:sz w:val="24"/>
        </w:rPr>
        <w:t xml:space="preserve"> A, </w:t>
      </w:r>
      <w:proofErr w:type="spellStart"/>
      <w:r w:rsidRPr="00607FC5">
        <w:rPr>
          <w:rFonts w:ascii="Times New Roman" w:hAnsi="Times New Roman"/>
          <w:sz w:val="24"/>
        </w:rPr>
        <w:t>Presbitero</w:t>
      </w:r>
      <w:proofErr w:type="spellEnd"/>
      <w:r w:rsidRPr="00607FC5">
        <w:rPr>
          <w:rFonts w:ascii="Times New Roman" w:hAnsi="Times New Roman"/>
          <w:sz w:val="24"/>
        </w:rPr>
        <w:t xml:space="preserve"> P, </w:t>
      </w:r>
      <w:proofErr w:type="spellStart"/>
      <w:r w:rsidRPr="00607FC5">
        <w:rPr>
          <w:rFonts w:ascii="Times New Roman" w:hAnsi="Times New Roman"/>
          <w:sz w:val="24"/>
        </w:rPr>
        <w:t>Sardella</w:t>
      </w:r>
      <w:proofErr w:type="spellEnd"/>
      <w:r w:rsidRPr="00607FC5">
        <w:rPr>
          <w:rFonts w:ascii="Times New Roman" w:hAnsi="Times New Roman"/>
          <w:sz w:val="24"/>
        </w:rPr>
        <w:t xml:space="preserve"> G, </w:t>
      </w:r>
      <w:proofErr w:type="spellStart"/>
      <w:r w:rsidRPr="00607FC5">
        <w:rPr>
          <w:rFonts w:ascii="Times New Roman" w:hAnsi="Times New Roman"/>
          <w:sz w:val="24"/>
        </w:rPr>
        <w:t>Varbella</w:t>
      </w:r>
      <w:proofErr w:type="spellEnd"/>
      <w:r w:rsidRPr="00607FC5">
        <w:rPr>
          <w:rFonts w:ascii="Times New Roman" w:hAnsi="Times New Roman"/>
          <w:sz w:val="24"/>
        </w:rPr>
        <w:t xml:space="preserve"> F, Esposito G, </w:t>
      </w:r>
      <w:proofErr w:type="spellStart"/>
      <w:r w:rsidRPr="00607FC5">
        <w:rPr>
          <w:rFonts w:ascii="Times New Roman" w:hAnsi="Times New Roman"/>
          <w:sz w:val="24"/>
        </w:rPr>
        <w:t>Santarelli</w:t>
      </w:r>
      <w:proofErr w:type="spellEnd"/>
      <w:r w:rsidRPr="00607FC5">
        <w:rPr>
          <w:rFonts w:ascii="Times New Roman" w:hAnsi="Times New Roman"/>
          <w:sz w:val="24"/>
        </w:rPr>
        <w:t xml:space="preserve"> A, </w:t>
      </w:r>
      <w:proofErr w:type="spellStart"/>
      <w:r w:rsidRPr="00607FC5">
        <w:rPr>
          <w:rFonts w:ascii="Times New Roman" w:hAnsi="Times New Roman"/>
          <w:sz w:val="24"/>
        </w:rPr>
        <w:t>Tresoldi</w:t>
      </w:r>
      <w:proofErr w:type="spellEnd"/>
      <w:r w:rsidRPr="00607FC5">
        <w:rPr>
          <w:rFonts w:ascii="Times New Roman" w:hAnsi="Times New Roman"/>
          <w:sz w:val="24"/>
        </w:rPr>
        <w:t xml:space="preserve"> S, </w:t>
      </w:r>
      <w:proofErr w:type="spellStart"/>
      <w:r w:rsidRPr="00607FC5">
        <w:rPr>
          <w:rFonts w:ascii="Times New Roman" w:hAnsi="Times New Roman"/>
          <w:sz w:val="24"/>
        </w:rPr>
        <w:t>Nazzaro</w:t>
      </w:r>
      <w:proofErr w:type="spellEnd"/>
      <w:r w:rsidRPr="00607FC5">
        <w:rPr>
          <w:rFonts w:ascii="Times New Roman" w:hAnsi="Times New Roman"/>
          <w:sz w:val="24"/>
        </w:rPr>
        <w:t xml:space="preserve"> M, </w:t>
      </w:r>
      <w:proofErr w:type="spellStart"/>
      <w:r w:rsidRPr="00607FC5">
        <w:rPr>
          <w:rFonts w:ascii="Times New Roman" w:hAnsi="Times New Roman"/>
          <w:sz w:val="24"/>
        </w:rPr>
        <w:t>Zingarelli</w:t>
      </w:r>
      <w:proofErr w:type="spellEnd"/>
      <w:r w:rsidRPr="00607FC5">
        <w:rPr>
          <w:rFonts w:ascii="Times New Roman" w:hAnsi="Times New Roman"/>
          <w:sz w:val="24"/>
        </w:rPr>
        <w:t xml:space="preserve"> A, de Cesare N, </w:t>
      </w:r>
      <w:proofErr w:type="spellStart"/>
      <w:r w:rsidRPr="00607FC5">
        <w:rPr>
          <w:rFonts w:ascii="Times New Roman" w:hAnsi="Times New Roman"/>
          <w:sz w:val="24"/>
        </w:rPr>
        <w:t>Rigattieri</w:t>
      </w:r>
      <w:proofErr w:type="spellEnd"/>
      <w:r w:rsidRPr="00607FC5">
        <w:rPr>
          <w:rFonts w:ascii="Times New Roman" w:hAnsi="Times New Roman"/>
          <w:sz w:val="24"/>
        </w:rPr>
        <w:t xml:space="preserve"> S, Tosi P, Palmieri C, </w:t>
      </w:r>
      <w:proofErr w:type="spellStart"/>
      <w:r w:rsidRPr="00607FC5">
        <w:rPr>
          <w:rFonts w:ascii="Times New Roman" w:hAnsi="Times New Roman"/>
          <w:sz w:val="24"/>
        </w:rPr>
        <w:t>Brugaletta</w:t>
      </w:r>
      <w:proofErr w:type="spellEnd"/>
      <w:r w:rsidRPr="00607FC5">
        <w:rPr>
          <w:rFonts w:ascii="Times New Roman" w:hAnsi="Times New Roman"/>
          <w:sz w:val="24"/>
        </w:rPr>
        <w:t xml:space="preserve"> S, Rao SV, </w:t>
      </w:r>
      <w:proofErr w:type="spellStart"/>
      <w:r w:rsidRPr="00607FC5">
        <w:rPr>
          <w:rFonts w:ascii="Times New Roman" w:hAnsi="Times New Roman"/>
          <w:sz w:val="24"/>
        </w:rPr>
        <w:t>Heg</w:t>
      </w:r>
      <w:proofErr w:type="spellEnd"/>
      <w:r w:rsidRPr="00607FC5">
        <w:rPr>
          <w:rFonts w:ascii="Times New Roman" w:hAnsi="Times New Roman"/>
          <w:sz w:val="24"/>
        </w:rPr>
        <w:t xml:space="preserve"> D, </w:t>
      </w:r>
      <w:proofErr w:type="spellStart"/>
      <w:r w:rsidRPr="00607FC5">
        <w:rPr>
          <w:rFonts w:ascii="Times New Roman" w:hAnsi="Times New Roman"/>
          <w:sz w:val="24"/>
        </w:rPr>
        <w:t>Rothenbuhler</w:t>
      </w:r>
      <w:proofErr w:type="spellEnd"/>
      <w:r w:rsidRPr="00607FC5">
        <w:rPr>
          <w:rFonts w:ascii="Times New Roman" w:hAnsi="Times New Roman"/>
          <w:sz w:val="24"/>
        </w:rPr>
        <w:t xml:space="preserve"> M, </w:t>
      </w:r>
      <w:proofErr w:type="spellStart"/>
      <w:r w:rsidRPr="00607FC5">
        <w:rPr>
          <w:rFonts w:ascii="Times New Roman" w:hAnsi="Times New Roman"/>
          <w:sz w:val="24"/>
        </w:rPr>
        <w:t>Vranckx</w:t>
      </w:r>
      <w:proofErr w:type="spellEnd"/>
      <w:r w:rsidRPr="00607FC5">
        <w:rPr>
          <w:rFonts w:ascii="Times New Roman" w:hAnsi="Times New Roman"/>
          <w:sz w:val="24"/>
        </w:rPr>
        <w:t xml:space="preserve"> P, </w:t>
      </w:r>
      <w:proofErr w:type="spellStart"/>
      <w:r w:rsidRPr="00607FC5">
        <w:rPr>
          <w:rFonts w:ascii="Times New Roman" w:hAnsi="Times New Roman"/>
          <w:sz w:val="24"/>
        </w:rPr>
        <w:t>Juni</w:t>
      </w:r>
      <w:proofErr w:type="spellEnd"/>
      <w:r w:rsidRPr="00607FC5">
        <w:rPr>
          <w:rFonts w:ascii="Times New Roman" w:hAnsi="Times New Roman"/>
          <w:sz w:val="24"/>
        </w:rPr>
        <w:t xml:space="preserve"> P, MATRIX Investigators. Radial versus femoral access in patients with acute coronary syndromes undergoing invasive management: a randomised multicentre trial. </w:t>
      </w:r>
      <w:r w:rsidRPr="00607FC5">
        <w:rPr>
          <w:rFonts w:ascii="Times New Roman" w:hAnsi="Times New Roman"/>
          <w:i/>
          <w:iCs/>
          <w:sz w:val="24"/>
        </w:rPr>
        <w:t xml:space="preserve">Lancet. </w:t>
      </w:r>
      <w:r w:rsidRPr="00607FC5">
        <w:rPr>
          <w:rFonts w:ascii="Times New Roman" w:hAnsi="Times New Roman"/>
          <w:sz w:val="24"/>
        </w:rPr>
        <w:t>2015; 385: 2465-2476.</w:t>
      </w:r>
    </w:p>
    <w:p w14:paraId="0152B42D"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22. </w:t>
      </w:r>
      <w:proofErr w:type="spellStart"/>
      <w:r w:rsidRPr="00607FC5">
        <w:rPr>
          <w:rFonts w:ascii="Times New Roman" w:hAnsi="Times New Roman"/>
          <w:sz w:val="24"/>
        </w:rPr>
        <w:t>Romagnoli</w:t>
      </w:r>
      <w:proofErr w:type="spellEnd"/>
      <w:r w:rsidRPr="00607FC5">
        <w:rPr>
          <w:rFonts w:ascii="Times New Roman" w:hAnsi="Times New Roman"/>
          <w:sz w:val="24"/>
        </w:rPr>
        <w:t xml:space="preserve"> E, </w:t>
      </w:r>
      <w:proofErr w:type="spellStart"/>
      <w:r w:rsidRPr="00607FC5">
        <w:rPr>
          <w:rFonts w:ascii="Times New Roman" w:hAnsi="Times New Roman"/>
          <w:sz w:val="24"/>
        </w:rPr>
        <w:t>Biondi-Zoccai</w:t>
      </w:r>
      <w:proofErr w:type="spellEnd"/>
      <w:r w:rsidRPr="00607FC5">
        <w:rPr>
          <w:rFonts w:ascii="Times New Roman" w:hAnsi="Times New Roman"/>
          <w:sz w:val="24"/>
        </w:rPr>
        <w:t xml:space="preserve"> G, </w:t>
      </w:r>
      <w:proofErr w:type="spellStart"/>
      <w:r w:rsidRPr="00607FC5">
        <w:rPr>
          <w:rFonts w:ascii="Times New Roman" w:hAnsi="Times New Roman"/>
          <w:sz w:val="24"/>
        </w:rPr>
        <w:t>Sciahbasi</w:t>
      </w:r>
      <w:proofErr w:type="spellEnd"/>
      <w:r w:rsidRPr="00607FC5">
        <w:rPr>
          <w:rFonts w:ascii="Times New Roman" w:hAnsi="Times New Roman"/>
          <w:sz w:val="24"/>
        </w:rPr>
        <w:t xml:space="preserve"> A, </w:t>
      </w:r>
      <w:proofErr w:type="spellStart"/>
      <w:r w:rsidRPr="00607FC5">
        <w:rPr>
          <w:rFonts w:ascii="Times New Roman" w:hAnsi="Times New Roman"/>
          <w:sz w:val="24"/>
        </w:rPr>
        <w:t>Politi</w:t>
      </w:r>
      <w:proofErr w:type="spellEnd"/>
      <w:r w:rsidRPr="00607FC5">
        <w:rPr>
          <w:rFonts w:ascii="Times New Roman" w:hAnsi="Times New Roman"/>
          <w:sz w:val="24"/>
        </w:rPr>
        <w:t xml:space="preserve"> L, </w:t>
      </w:r>
      <w:proofErr w:type="spellStart"/>
      <w:r w:rsidRPr="00607FC5">
        <w:rPr>
          <w:rFonts w:ascii="Times New Roman" w:hAnsi="Times New Roman"/>
          <w:sz w:val="24"/>
        </w:rPr>
        <w:t>Rigattieri</w:t>
      </w:r>
      <w:proofErr w:type="spellEnd"/>
      <w:r w:rsidRPr="00607FC5">
        <w:rPr>
          <w:rFonts w:ascii="Times New Roman" w:hAnsi="Times New Roman"/>
          <w:sz w:val="24"/>
        </w:rPr>
        <w:t xml:space="preserve"> S, </w:t>
      </w:r>
      <w:proofErr w:type="spellStart"/>
      <w:r w:rsidRPr="00607FC5">
        <w:rPr>
          <w:rFonts w:ascii="Times New Roman" w:hAnsi="Times New Roman"/>
          <w:sz w:val="24"/>
        </w:rPr>
        <w:t>Pendenza</w:t>
      </w:r>
      <w:proofErr w:type="spellEnd"/>
      <w:r w:rsidRPr="00607FC5">
        <w:rPr>
          <w:rFonts w:ascii="Times New Roman" w:hAnsi="Times New Roman"/>
          <w:sz w:val="24"/>
        </w:rPr>
        <w:t xml:space="preserve"> G, </w:t>
      </w:r>
      <w:proofErr w:type="spellStart"/>
      <w:r w:rsidRPr="00607FC5">
        <w:rPr>
          <w:rFonts w:ascii="Times New Roman" w:hAnsi="Times New Roman"/>
          <w:sz w:val="24"/>
        </w:rPr>
        <w:t>Summaria</w:t>
      </w:r>
      <w:proofErr w:type="spellEnd"/>
      <w:r w:rsidRPr="00607FC5">
        <w:rPr>
          <w:rFonts w:ascii="Times New Roman" w:hAnsi="Times New Roman"/>
          <w:sz w:val="24"/>
        </w:rPr>
        <w:t xml:space="preserve"> F, </w:t>
      </w:r>
      <w:proofErr w:type="spellStart"/>
      <w:r w:rsidRPr="00607FC5">
        <w:rPr>
          <w:rFonts w:ascii="Times New Roman" w:hAnsi="Times New Roman"/>
          <w:sz w:val="24"/>
        </w:rPr>
        <w:t>Patrizi</w:t>
      </w:r>
      <w:proofErr w:type="spellEnd"/>
      <w:r w:rsidRPr="00607FC5">
        <w:rPr>
          <w:rFonts w:ascii="Times New Roman" w:hAnsi="Times New Roman"/>
          <w:sz w:val="24"/>
        </w:rPr>
        <w:t xml:space="preserve"> R, </w:t>
      </w:r>
      <w:proofErr w:type="spellStart"/>
      <w:r w:rsidRPr="00607FC5">
        <w:rPr>
          <w:rFonts w:ascii="Times New Roman" w:hAnsi="Times New Roman"/>
          <w:sz w:val="24"/>
        </w:rPr>
        <w:t>Borghi</w:t>
      </w:r>
      <w:proofErr w:type="spellEnd"/>
      <w:r w:rsidRPr="00607FC5">
        <w:rPr>
          <w:rFonts w:ascii="Times New Roman" w:hAnsi="Times New Roman"/>
          <w:sz w:val="24"/>
        </w:rPr>
        <w:t xml:space="preserve"> A, Di Russo C, Moretti C, </w:t>
      </w:r>
      <w:proofErr w:type="spellStart"/>
      <w:r w:rsidRPr="00607FC5">
        <w:rPr>
          <w:rFonts w:ascii="Times New Roman" w:hAnsi="Times New Roman"/>
          <w:sz w:val="24"/>
        </w:rPr>
        <w:t>Agostoni</w:t>
      </w:r>
      <w:proofErr w:type="spellEnd"/>
      <w:r w:rsidRPr="00607FC5">
        <w:rPr>
          <w:rFonts w:ascii="Times New Roman" w:hAnsi="Times New Roman"/>
          <w:sz w:val="24"/>
        </w:rPr>
        <w:t xml:space="preserve"> P, </w:t>
      </w:r>
      <w:proofErr w:type="spellStart"/>
      <w:r w:rsidRPr="00607FC5">
        <w:rPr>
          <w:rFonts w:ascii="Times New Roman" w:hAnsi="Times New Roman"/>
          <w:sz w:val="24"/>
        </w:rPr>
        <w:t>Loschiavo</w:t>
      </w:r>
      <w:proofErr w:type="spellEnd"/>
      <w:r w:rsidRPr="00607FC5">
        <w:rPr>
          <w:rFonts w:ascii="Times New Roman" w:hAnsi="Times New Roman"/>
          <w:sz w:val="24"/>
        </w:rPr>
        <w:t xml:space="preserve"> P, </w:t>
      </w:r>
      <w:proofErr w:type="spellStart"/>
      <w:r w:rsidRPr="00607FC5">
        <w:rPr>
          <w:rFonts w:ascii="Times New Roman" w:hAnsi="Times New Roman"/>
          <w:sz w:val="24"/>
        </w:rPr>
        <w:t>Lioy</w:t>
      </w:r>
      <w:proofErr w:type="spellEnd"/>
      <w:r w:rsidRPr="00607FC5">
        <w:rPr>
          <w:rFonts w:ascii="Times New Roman" w:hAnsi="Times New Roman"/>
          <w:sz w:val="24"/>
        </w:rPr>
        <w:t xml:space="preserve"> E, </w:t>
      </w:r>
      <w:proofErr w:type="spellStart"/>
      <w:r w:rsidRPr="00607FC5">
        <w:rPr>
          <w:rFonts w:ascii="Times New Roman" w:hAnsi="Times New Roman"/>
          <w:sz w:val="24"/>
        </w:rPr>
        <w:t>Sheiban</w:t>
      </w:r>
      <w:proofErr w:type="spellEnd"/>
      <w:r w:rsidRPr="00607FC5">
        <w:rPr>
          <w:rFonts w:ascii="Times New Roman" w:hAnsi="Times New Roman"/>
          <w:sz w:val="24"/>
        </w:rPr>
        <w:t xml:space="preserve"> I, </w:t>
      </w:r>
      <w:proofErr w:type="spellStart"/>
      <w:r w:rsidRPr="00607FC5">
        <w:rPr>
          <w:rFonts w:ascii="Times New Roman" w:hAnsi="Times New Roman"/>
          <w:sz w:val="24"/>
        </w:rPr>
        <w:t>Sangiorgi</w:t>
      </w:r>
      <w:proofErr w:type="spellEnd"/>
      <w:r w:rsidRPr="00607FC5">
        <w:rPr>
          <w:rFonts w:ascii="Times New Roman" w:hAnsi="Times New Roman"/>
          <w:sz w:val="24"/>
        </w:rPr>
        <w:t xml:space="preserve"> G. Radial versus femoral randomized investigation in ST-segment elevation acute coronary syndrome: the RIFLE-STEACS (Radial Versus Femoral Randomized Investigation in ST-Elevation Acute Coronary Syndrome) study. </w:t>
      </w:r>
      <w:r w:rsidRPr="00607FC5">
        <w:rPr>
          <w:rFonts w:ascii="Times New Roman" w:hAnsi="Times New Roman"/>
          <w:i/>
          <w:iCs/>
          <w:sz w:val="24"/>
        </w:rPr>
        <w:t xml:space="preserve">J Am </w:t>
      </w:r>
      <w:proofErr w:type="spellStart"/>
      <w:r w:rsidRPr="00607FC5">
        <w:rPr>
          <w:rFonts w:ascii="Times New Roman" w:hAnsi="Times New Roman"/>
          <w:i/>
          <w:iCs/>
          <w:sz w:val="24"/>
        </w:rPr>
        <w:t>Coll</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Cardiol</w:t>
      </w:r>
      <w:proofErr w:type="spellEnd"/>
      <w:r w:rsidRPr="00607FC5">
        <w:rPr>
          <w:rFonts w:ascii="Times New Roman" w:hAnsi="Times New Roman"/>
          <w:i/>
          <w:iCs/>
          <w:sz w:val="24"/>
        </w:rPr>
        <w:t xml:space="preserve">. </w:t>
      </w:r>
      <w:r w:rsidRPr="00607FC5">
        <w:rPr>
          <w:rFonts w:ascii="Times New Roman" w:hAnsi="Times New Roman"/>
          <w:sz w:val="24"/>
        </w:rPr>
        <w:t>2012; 60: 2481-2489.</w:t>
      </w:r>
    </w:p>
    <w:p w14:paraId="5CD6C7F6"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23. Ando G, </w:t>
      </w:r>
      <w:proofErr w:type="spellStart"/>
      <w:r w:rsidRPr="00607FC5">
        <w:rPr>
          <w:rFonts w:ascii="Times New Roman" w:hAnsi="Times New Roman"/>
          <w:sz w:val="24"/>
        </w:rPr>
        <w:t>Capodanno</w:t>
      </w:r>
      <w:proofErr w:type="spellEnd"/>
      <w:r w:rsidRPr="00607FC5">
        <w:rPr>
          <w:rFonts w:ascii="Times New Roman" w:hAnsi="Times New Roman"/>
          <w:sz w:val="24"/>
        </w:rPr>
        <w:t xml:space="preserve"> D. Radial Access Reduces Mortality in Patients </w:t>
      </w:r>
      <w:proofErr w:type="gramStart"/>
      <w:r w:rsidRPr="00607FC5">
        <w:rPr>
          <w:rFonts w:ascii="Times New Roman" w:hAnsi="Times New Roman"/>
          <w:sz w:val="24"/>
        </w:rPr>
        <w:t>With</w:t>
      </w:r>
      <w:proofErr w:type="gramEnd"/>
      <w:r w:rsidRPr="00607FC5">
        <w:rPr>
          <w:rFonts w:ascii="Times New Roman" w:hAnsi="Times New Roman"/>
          <w:sz w:val="24"/>
        </w:rPr>
        <w:t xml:space="preserve"> Acute Coronary Syndromes: Results From an Updated Trial Sequential Analysis of Randomized Trials. </w:t>
      </w:r>
      <w:r w:rsidRPr="00607FC5">
        <w:rPr>
          <w:rFonts w:ascii="Times New Roman" w:hAnsi="Times New Roman"/>
          <w:i/>
          <w:iCs/>
          <w:sz w:val="24"/>
        </w:rPr>
        <w:t xml:space="preserve">JACC </w:t>
      </w:r>
      <w:proofErr w:type="spellStart"/>
      <w:r w:rsidRPr="00607FC5">
        <w:rPr>
          <w:rFonts w:ascii="Times New Roman" w:hAnsi="Times New Roman"/>
          <w:i/>
          <w:iCs/>
          <w:sz w:val="24"/>
        </w:rPr>
        <w:t>Cardiovasc</w:t>
      </w:r>
      <w:proofErr w:type="spellEnd"/>
      <w:r w:rsidRPr="00607FC5">
        <w:rPr>
          <w:rFonts w:ascii="Times New Roman" w:hAnsi="Times New Roman"/>
          <w:i/>
          <w:iCs/>
          <w:sz w:val="24"/>
        </w:rPr>
        <w:t xml:space="preserve"> </w:t>
      </w:r>
      <w:proofErr w:type="spellStart"/>
      <w:r w:rsidRPr="00607FC5">
        <w:rPr>
          <w:rFonts w:ascii="Times New Roman" w:hAnsi="Times New Roman"/>
          <w:i/>
          <w:iCs/>
          <w:sz w:val="24"/>
        </w:rPr>
        <w:t>Interv</w:t>
      </w:r>
      <w:proofErr w:type="spellEnd"/>
      <w:r w:rsidRPr="00607FC5">
        <w:rPr>
          <w:rFonts w:ascii="Times New Roman" w:hAnsi="Times New Roman"/>
          <w:i/>
          <w:iCs/>
          <w:sz w:val="24"/>
        </w:rPr>
        <w:t xml:space="preserve">. </w:t>
      </w:r>
      <w:r w:rsidRPr="00607FC5">
        <w:rPr>
          <w:rFonts w:ascii="Times New Roman" w:hAnsi="Times New Roman"/>
          <w:sz w:val="24"/>
        </w:rPr>
        <w:t>2016; 9: 660-670.</w:t>
      </w:r>
    </w:p>
    <w:p w14:paraId="36C20940" w14:textId="77777777" w:rsidR="00607FC5" w:rsidRPr="00607FC5" w:rsidRDefault="00607FC5" w:rsidP="00607FC5">
      <w:pPr>
        <w:pStyle w:val="NormalWeb"/>
        <w:spacing w:line="480" w:lineRule="auto"/>
        <w:rPr>
          <w:rFonts w:ascii="Times New Roman" w:hAnsi="Times New Roman"/>
          <w:sz w:val="24"/>
        </w:rPr>
      </w:pPr>
      <w:r w:rsidRPr="00607FC5">
        <w:rPr>
          <w:rFonts w:ascii="Times New Roman" w:hAnsi="Times New Roman"/>
          <w:sz w:val="24"/>
        </w:rPr>
        <w:t xml:space="preserve">24. Mamas MA, </w:t>
      </w:r>
      <w:proofErr w:type="spellStart"/>
      <w:r w:rsidRPr="00607FC5">
        <w:rPr>
          <w:rFonts w:ascii="Times New Roman" w:hAnsi="Times New Roman"/>
          <w:sz w:val="24"/>
        </w:rPr>
        <w:t>Fath-Ordoubadi</w:t>
      </w:r>
      <w:proofErr w:type="spellEnd"/>
      <w:r w:rsidRPr="00607FC5">
        <w:rPr>
          <w:rFonts w:ascii="Times New Roman" w:hAnsi="Times New Roman"/>
          <w:sz w:val="24"/>
        </w:rPr>
        <w:t xml:space="preserve"> F, </w:t>
      </w:r>
      <w:proofErr w:type="spellStart"/>
      <w:r w:rsidRPr="00607FC5">
        <w:rPr>
          <w:rFonts w:ascii="Times New Roman" w:hAnsi="Times New Roman"/>
          <w:sz w:val="24"/>
        </w:rPr>
        <w:t>Danzi</w:t>
      </w:r>
      <w:proofErr w:type="spellEnd"/>
      <w:r w:rsidRPr="00607FC5">
        <w:rPr>
          <w:rFonts w:ascii="Times New Roman" w:hAnsi="Times New Roman"/>
          <w:sz w:val="24"/>
        </w:rPr>
        <w:t xml:space="preserve"> GB, </w:t>
      </w:r>
      <w:proofErr w:type="spellStart"/>
      <w:r w:rsidRPr="00607FC5">
        <w:rPr>
          <w:rFonts w:ascii="Times New Roman" w:hAnsi="Times New Roman"/>
          <w:sz w:val="24"/>
        </w:rPr>
        <w:t>Spaepen</w:t>
      </w:r>
      <w:proofErr w:type="spellEnd"/>
      <w:r w:rsidRPr="00607FC5">
        <w:rPr>
          <w:rFonts w:ascii="Times New Roman" w:hAnsi="Times New Roman"/>
          <w:sz w:val="24"/>
        </w:rPr>
        <w:t xml:space="preserve"> E, Kwok CS, Buchan I, Peek N, de </w:t>
      </w:r>
      <w:proofErr w:type="spellStart"/>
      <w:r w:rsidRPr="00607FC5">
        <w:rPr>
          <w:rFonts w:ascii="Times New Roman" w:hAnsi="Times New Roman"/>
          <w:sz w:val="24"/>
        </w:rPr>
        <w:t>Belder</w:t>
      </w:r>
      <w:proofErr w:type="spellEnd"/>
      <w:r w:rsidRPr="00607FC5">
        <w:rPr>
          <w:rFonts w:ascii="Times New Roman" w:hAnsi="Times New Roman"/>
          <w:sz w:val="24"/>
        </w:rPr>
        <w:t xml:space="preserve"> MA, </w:t>
      </w:r>
      <w:proofErr w:type="spellStart"/>
      <w:r w:rsidRPr="00607FC5">
        <w:rPr>
          <w:rFonts w:ascii="Times New Roman" w:hAnsi="Times New Roman"/>
          <w:sz w:val="24"/>
        </w:rPr>
        <w:t>Ludman</w:t>
      </w:r>
      <w:proofErr w:type="spellEnd"/>
      <w:r w:rsidRPr="00607FC5">
        <w:rPr>
          <w:rFonts w:ascii="Times New Roman" w:hAnsi="Times New Roman"/>
          <w:sz w:val="24"/>
        </w:rPr>
        <w:t xml:space="preserve"> PF, </w:t>
      </w:r>
      <w:proofErr w:type="spellStart"/>
      <w:r w:rsidRPr="00607FC5">
        <w:rPr>
          <w:rFonts w:ascii="Times New Roman" w:hAnsi="Times New Roman"/>
          <w:sz w:val="24"/>
        </w:rPr>
        <w:t>Paunovic</w:t>
      </w:r>
      <w:proofErr w:type="spellEnd"/>
      <w:r w:rsidRPr="00607FC5">
        <w:rPr>
          <w:rFonts w:ascii="Times New Roman" w:hAnsi="Times New Roman"/>
          <w:sz w:val="24"/>
        </w:rPr>
        <w:t xml:space="preserve"> D. Prevalence and impact of co-morbidity burden as defined by the </w:t>
      </w:r>
      <w:proofErr w:type="spellStart"/>
      <w:r w:rsidRPr="00607FC5">
        <w:rPr>
          <w:rFonts w:ascii="Times New Roman" w:hAnsi="Times New Roman"/>
          <w:sz w:val="24"/>
        </w:rPr>
        <w:t>Charlson</w:t>
      </w:r>
      <w:proofErr w:type="spellEnd"/>
      <w:r w:rsidRPr="00607FC5">
        <w:rPr>
          <w:rFonts w:ascii="Times New Roman" w:hAnsi="Times New Roman"/>
          <w:sz w:val="24"/>
        </w:rPr>
        <w:t xml:space="preserve"> co-morbidity index on 30-day and 1-and 5-year </w:t>
      </w:r>
      <w:r w:rsidRPr="00607FC5">
        <w:rPr>
          <w:rFonts w:ascii="Times New Roman" w:hAnsi="Times New Roman"/>
          <w:sz w:val="24"/>
        </w:rPr>
        <w:lastRenderedPageBreak/>
        <w:t xml:space="preserve">outcomes after coronary stent implantation (from the Nobori-2 study). </w:t>
      </w:r>
      <w:r w:rsidRPr="00607FC5">
        <w:rPr>
          <w:rFonts w:ascii="Times New Roman" w:hAnsi="Times New Roman"/>
          <w:i/>
          <w:iCs/>
          <w:sz w:val="24"/>
        </w:rPr>
        <w:t xml:space="preserve">Am J </w:t>
      </w:r>
      <w:proofErr w:type="spellStart"/>
      <w:r w:rsidRPr="00607FC5">
        <w:rPr>
          <w:rFonts w:ascii="Times New Roman" w:hAnsi="Times New Roman"/>
          <w:i/>
          <w:iCs/>
          <w:sz w:val="24"/>
        </w:rPr>
        <w:t>Cardiol</w:t>
      </w:r>
      <w:proofErr w:type="spellEnd"/>
      <w:r w:rsidRPr="00607FC5">
        <w:rPr>
          <w:rFonts w:ascii="Times New Roman" w:hAnsi="Times New Roman"/>
          <w:i/>
          <w:iCs/>
          <w:sz w:val="24"/>
        </w:rPr>
        <w:t xml:space="preserve">. </w:t>
      </w:r>
      <w:r w:rsidRPr="00607FC5">
        <w:rPr>
          <w:rFonts w:ascii="Times New Roman" w:hAnsi="Times New Roman"/>
          <w:sz w:val="24"/>
        </w:rPr>
        <w:t>2015; 116: 364-371.</w:t>
      </w:r>
    </w:p>
    <w:p w14:paraId="074C7ED8" w14:textId="0588692B" w:rsidR="00501894" w:rsidRPr="00B73C65" w:rsidRDefault="00607FC5" w:rsidP="00607FC5">
      <w:pPr>
        <w:rPr>
          <w:sz w:val="24"/>
          <w:szCs w:val="24"/>
        </w:rPr>
      </w:pPr>
      <w:r w:rsidRPr="00607FC5">
        <w:rPr>
          <w:rFonts w:eastAsia="Times New Roman"/>
          <w:sz w:val="24"/>
        </w:rPr>
        <w:t> </w:t>
      </w:r>
      <w:r w:rsidR="00376BF1">
        <w:rPr>
          <w:rFonts w:eastAsia="MS Mincho"/>
          <w:b/>
          <w:sz w:val="24"/>
          <w:szCs w:val="24"/>
        </w:rPr>
        <w:fldChar w:fldCharType="end"/>
      </w:r>
      <w:r w:rsidR="00EE71FF">
        <w:rPr>
          <w:sz w:val="24"/>
          <w:szCs w:val="24"/>
        </w:rPr>
        <w:br w:type="page"/>
      </w:r>
      <w:r w:rsidR="00EE71FF" w:rsidRPr="00647AEC">
        <w:rPr>
          <w:b/>
          <w:sz w:val="24"/>
          <w:szCs w:val="24"/>
        </w:rPr>
        <w:lastRenderedPageBreak/>
        <w:t>List of Figures and Tables</w:t>
      </w:r>
    </w:p>
    <w:p w14:paraId="1CAAE090" w14:textId="77777777" w:rsidR="00EE71FF" w:rsidRPr="00647AEC" w:rsidRDefault="00EE71FF" w:rsidP="00EE71FF">
      <w:pPr>
        <w:rPr>
          <w:b/>
          <w:sz w:val="24"/>
          <w:szCs w:val="24"/>
          <w:lang w:val="en-GB" w:eastAsia="en-GB"/>
        </w:rPr>
      </w:pPr>
      <w:r w:rsidRPr="00647AEC">
        <w:rPr>
          <w:b/>
          <w:sz w:val="24"/>
          <w:szCs w:val="24"/>
          <w:lang w:val="en-GB" w:eastAsia="en-GB"/>
        </w:rPr>
        <w:t xml:space="preserve">Figure 1. </w:t>
      </w:r>
      <w:r w:rsidRPr="00647AEC">
        <w:rPr>
          <w:sz w:val="24"/>
          <w:szCs w:val="24"/>
          <w:lang w:val="en-GB" w:eastAsia="en-GB"/>
        </w:rPr>
        <w:t>Flow</w:t>
      </w:r>
      <w:r w:rsidR="00A65975">
        <w:rPr>
          <w:sz w:val="24"/>
          <w:szCs w:val="24"/>
          <w:lang w:val="en-GB" w:eastAsia="en-GB"/>
        </w:rPr>
        <w:t xml:space="preserve"> </w:t>
      </w:r>
      <w:r w:rsidRPr="00647AEC">
        <w:rPr>
          <w:sz w:val="24"/>
          <w:szCs w:val="24"/>
          <w:lang w:val="en-GB" w:eastAsia="en-GB"/>
        </w:rPr>
        <w:t xml:space="preserve">chart for patient inclusion/exclusion. </w:t>
      </w:r>
    </w:p>
    <w:p w14:paraId="6275C1B6" w14:textId="77777777" w:rsidR="00EE71FF" w:rsidRPr="00647AEC" w:rsidRDefault="00EE71FF" w:rsidP="00EE71FF">
      <w:pPr>
        <w:rPr>
          <w:sz w:val="24"/>
          <w:szCs w:val="24"/>
          <w:lang w:val="en-GB" w:eastAsia="en-GB"/>
        </w:rPr>
      </w:pPr>
      <w:r w:rsidRPr="00647AEC">
        <w:rPr>
          <w:b/>
          <w:sz w:val="24"/>
          <w:szCs w:val="24"/>
          <w:lang w:eastAsia="en-GB"/>
        </w:rPr>
        <w:t xml:space="preserve">Figure 2. </w:t>
      </w:r>
      <w:r w:rsidRPr="00647AEC">
        <w:rPr>
          <w:sz w:val="24"/>
          <w:szCs w:val="24"/>
          <w:lang w:eastAsia="en-GB"/>
        </w:rPr>
        <w:t>Annual bleeding rate trends as predicted by simple linear regression models for the whole cohort (All), elective for PCI group (Elective), and ACS group (ACS). Confidence intervals (at 95%) are shown using grey shades.</w:t>
      </w:r>
    </w:p>
    <w:p w14:paraId="5A95554E" w14:textId="77777777" w:rsidR="00EE71FF" w:rsidRPr="00647AEC" w:rsidRDefault="00EE71FF" w:rsidP="00EE71FF">
      <w:pPr>
        <w:rPr>
          <w:sz w:val="24"/>
          <w:szCs w:val="24"/>
          <w:lang w:val="en-GB" w:eastAsia="en-GB"/>
        </w:rPr>
      </w:pPr>
      <w:r w:rsidRPr="00647AEC">
        <w:rPr>
          <w:b/>
          <w:sz w:val="24"/>
          <w:szCs w:val="24"/>
          <w:lang w:val="en-GB" w:eastAsia="en-GB"/>
        </w:rPr>
        <w:t xml:space="preserve">Figure 3. </w:t>
      </w:r>
      <w:r w:rsidRPr="00647AEC">
        <w:rPr>
          <w:sz w:val="24"/>
          <w:szCs w:val="24"/>
          <w:lang w:val="en-GB" w:eastAsia="en-GB"/>
        </w:rPr>
        <w:t xml:space="preserve">Relative factor contribution score changes over time. </w:t>
      </w:r>
      <w:proofErr w:type="spellStart"/>
      <w:r w:rsidRPr="00647AEC">
        <w:rPr>
          <w:sz w:val="24"/>
          <w:szCs w:val="24"/>
          <w:lang w:val="en-GB" w:eastAsia="en-GB"/>
        </w:rPr>
        <w:t>Colored</w:t>
      </w:r>
      <w:proofErr w:type="spellEnd"/>
      <w:r w:rsidRPr="00647AEC">
        <w:rPr>
          <w:sz w:val="24"/>
          <w:szCs w:val="24"/>
          <w:lang w:val="en-GB" w:eastAsia="en-GB"/>
        </w:rPr>
        <w:t xml:space="preserve"> lines correspond to estimated relative scores, whilst confidence intervals are represented by </w:t>
      </w:r>
      <w:proofErr w:type="spellStart"/>
      <w:r w:rsidRPr="00647AEC">
        <w:rPr>
          <w:sz w:val="24"/>
          <w:szCs w:val="24"/>
          <w:lang w:val="en-GB" w:eastAsia="en-GB"/>
        </w:rPr>
        <w:t>colored</w:t>
      </w:r>
      <w:proofErr w:type="spellEnd"/>
      <w:r w:rsidRPr="00647AEC">
        <w:rPr>
          <w:sz w:val="24"/>
          <w:szCs w:val="24"/>
          <w:lang w:val="en-GB" w:eastAsia="en-GB"/>
        </w:rPr>
        <w:t xml:space="preserve"> shades. </w:t>
      </w:r>
    </w:p>
    <w:p w14:paraId="2DF68AA5" w14:textId="77777777" w:rsidR="00EE71FF" w:rsidRPr="00647AEC" w:rsidRDefault="00EE71FF" w:rsidP="00EE71FF">
      <w:pPr>
        <w:rPr>
          <w:sz w:val="24"/>
          <w:szCs w:val="24"/>
          <w:lang w:val="en-GB" w:eastAsia="en-GB"/>
        </w:rPr>
      </w:pPr>
      <w:r w:rsidRPr="00647AEC">
        <w:rPr>
          <w:sz w:val="24"/>
          <w:szCs w:val="24"/>
          <w:lang w:val="en-GB" w:eastAsia="en-GB"/>
        </w:rPr>
        <w:t>Legends and included variables: ‘</w:t>
      </w:r>
      <w:proofErr w:type="spellStart"/>
      <w:r w:rsidRPr="00647AEC">
        <w:rPr>
          <w:sz w:val="24"/>
          <w:szCs w:val="24"/>
          <w:lang w:val="en-GB" w:eastAsia="en-GB"/>
        </w:rPr>
        <w:t>demog</w:t>
      </w:r>
      <w:proofErr w:type="spellEnd"/>
      <w:r w:rsidRPr="00647AEC">
        <w:rPr>
          <w:sz w:val="24"/>
          <w:szCs w:val="24"/>
          <w:lang w:val="en-GB" w:eastAsia="en-GB"/>
        </w:rPr>
        <w:t>’: all demographics and clinical historical variables; ‘</w:t>
      </w:r>
      <w:proofErr w:type="spellStart"/>
      <w:r w:rsidRPr="00647AEC">
        <w:rPr>
          <w:sz w:val="24"/>
          <w:szCs w:val="24"/>
          <w:lang w:val="en-GB" w:eastAsia="en-GB"/>
        </w:rPr>
        <w:t>indic</w:t>
      </w:r>
      <w:proofErr w:type="spellEnd"/>
      <w:r w:rsidRPr="00647AEC">
        <w:rPr>
          <w:sz w:val="24"/>
          <w:szCs w:val="24"/>
          <w:lang w:val="en-GB" w:eastAsia="en-GB"/>
        </w:rPr>
        <w:t>’: indication for PCI; ‘access’: access site; ‘</w:t>
      </w:r>
      <w:proofErr w:type="spellStart"/>
      <w:r w:rsidRPr="00647AEC">
        <w:rPr>
          <w:sz w:val="24"/>
          <w:szCs w:val="24"/>
          <w:lang w:val="en-GB" w:eastAsia="en-GB"/>
        </w:rPr>
        <w:t>vcd</w:t>
      </w:r>
      <w:proofErr w:type="spellEnd"/>
      <w:r w:rsidRPr="00647AEC">
        <w:rPr>
          <w:sz w:val="24"/>
          <w:szCs w:val="24"/>
          <w:lang w:val="en-GB" w:eastAsia="en-GB"/>
        </w:rPr>
        <w:t>’: VCD use; ‘</w:t>
      </w:r>
      <w:proofErr w:type="spellStart"/>
      <w:r w:rsidRPr="00647AEC">
        <w:rPr>
          <w:sz w:val="24"/>
          <w:szCs w:val="24"/>
          <w:lang w:val="en-GB" w:eastAsia="en-GB"/>
        </w:rPr>
        <w:t>proc</w:t>
      </w:r>
      <w:proofErr w:type="spellEnd"/>
      <w:r w:rsidRPr="00647AEC">
        <w:rPr>
          <w:sz w:val="24"/>
          <w:szCs w:val="24"/>
          <w:lang w:val="en-GB" w:eastAsia="en-GB"/>
        </w:rPr>
        <w:t>’: procedural characteristics; ‘</w:t>
      </w:r>
      <w:proofErr w:type="spellStart"/>
      <w:r w:rsidRPr="00647AEC">
        <w:rPr>
          <w:sz w:val="24"/>
          <w:szCs w:val="24"/>
          <w:lang w:val="en-GB" w:eastAsia="en-GB"/>
        </w:rPr>
        <w:t>csiabp</w:t>
      </w:r>
      <w:proofErr w:type="spellEnd"/>
      <w:r w:rsidRPr="00647AEC">
        <w:rPr>
          <w:sz w:val="24"/>
          <w:szCs w:val="24"/>
          <w:lang w:val="en-GB" w:eastAsia="en-GB"/>
        </w:rPr>
        <w:t xml:space="preserve">’: CS, IABP use, and </w:t>
      </w:r>
      <w:proofErr w:type="spellStart"/>
      <w:r w:rsidRPr="00647AEC">
        <w:rPr>
          <w:sz w:val="24"/>
          <w:szCs w:val="24"/>
          <w:lang w:val="en-GB" w:eastAsia="en-GB"/>
        </w:rPr>
        <w:t>ventilatory</w:t>
      </w:r>
      <w:proofErr w:type="spellEnd"/>
      <w:r w:rsidRPr="00647AEC">
        <w:rPr>
          <w:sz w:val="24"/>
          <w:szCs w:val="24"/>
          <w:lang w:val="en-GB" w:eastAsia="en-GB"/>
        </w:rPr>
        <w:t xml:space="preserve"> and circulatory supports;</w:t>
      </w:r>
      <w:r w:rsidR="003F2021" w:rsidRPr="00647AEC">
        <w:rPr>
          <w:sz w:val="24"/>
          <w:szCs w:val="24"/>
          <w:lang w:val="en-GB" w:eastAsia="en-GB"/>
        </w:rPr>
        <w:t xml:space="preserve"> and</w:t>
      </w:r>
      <w:r w:rsidRPr="00647AEC">
        <w:rPr>
          <w:sz w:val="24"/>
          <w:szCs w:val="24"/>
          <w:lang w:val="en-GB" w:eastAsia="en-GB"/>
        </w:rPr>
        <w:t xml:space="preserve"> ‘pharma’: pharmacology.</w:t>
      </w:r>
    </w:p>
    <w:p w14:paraId="6631B8B3" w14:textId="77777777" w:rsidR="00EE71FF" w:rsidRPr="00647AEC" w:rsidRDefault="00EE71FF" w:rsidP="00EE71FF">
      <w:pPr>
        <w:rPr>
          <w:b/>
          <w:sz w:val="24"/>
          <w:szCs w:val="24"/>
          <w:lang w:val="en-GB" w:eastAsia="en-GB"/>
        </w:rPr>
      </w:pPr>
    </w:p>
    <w:p w14:paraId="1C87A649" w14:textId="77777777" w:rsidR="00EE71FF" w:rsidRPr="00647AEC" w:rsidRDefault="00EE71FF" w:rsidP="00EE71FF">
      <w:pPr>
        <w:rPr>
          <w:sz w:val="24"/>
          <w:szCs w:val="24"/>
          <w:lang w:val="en-GB"/>
        </w:rPr>
      </w:pPr>
      <w:r w:rsidRPr="00647AEC">
        <w:rPr>
          <w:b/>
          <w:sz w:val="24"/>
          <w:szCs w:val="24"/>
          <w:lang w:val="en-GB" w:eastAsia="en-GB"/>
        </w:rPr>
        <w:t>Table 1a:</w:t>
      </w:r>
      <w:r w:rsidRPr="00647AEC">
        <w:rPr>
          <w:sz w:val="24"/>
          <w:szCs w:val="24"/>
          <w:lang w:val="en-GB" w:eastAsia="en-GB"/>
        </w:rPr>
        <w:t xml:space="preserve"> Baseline patient demographics, procedural details, and pharmacology (whole cohort).</w:t>
      </w:r>
    </w:p>
    <w:p w14:paraId="1B0310A5" w14:textId="77777777" w:rsidR="00EE71FF" w:rsidRPr="00647AEC" w:rsidRDefault="00EE71FF" w:rsidP="00EE71FF">
      <w:pPr>
        <w:rPr>
          <w:sz w:val="24"/>
          <w:szCs w:val="24"/>
        </w:rPr>
      </w:pPr>
      <w:r w:rsidRPr="00647AEC">
        <w:rPr>
          <w:b/>
          <w:sz w:val="24"/>
          <w:szCs w:val="24"/>
          <w:lang w:val="en-GB" w:eastAsia="en-GB"/>
        </w:rPr>
        <w:t>Table 1b:</w:t>
      </w:r>
      <w:r w:rsidRPr="00647AEC">
        <w:rPr>
          <w:sz w:val="24"/>
          <w:szCs w:val="24"/>
          <w:lang w:val="en-GB" w:eastAsia="en-GB"/>
        </w:rPr>
        <w:t xml:space="preserve"> Baseline patient demographics, procedural details, and pharmacology (Elective procedures only).</w:t>
      </w:r>
    </w:p>
    <w:p w14:paraId="5FA2406A" w14:textId="77777777" w:rsidR="00EE71FF" w:rsidRPr="00647AEC" w:rsidRDefault="00EE71FF" w:rsidP="00EE71FF">
      <w:pPr>
        <w:rPr>
          <w:sz w:val="24"/>
          <w:szCs w:val="24"/>
        </w:rPr>
      </w:pPr>
      <w:r w:rsidRPr="00647AEC">
        <w:rPr>
          <w:b/>
          <w:sz w:val="24"/>
          <w:szCs w:val="24"/>
          <w:lang w:val="en-GB" w:eastAsia="en-GB"/>
        </w:rPr>
        <w:t>Table 1c:</w:t>
      </w:r>
      <w:r w:rsidRPr="00647AEC">
        <w:rPr>
          <w:sz w:val="24"/>
          <w:szCs w:val="24"/>
          <w:lang w:val="en-GB" w:eastAsia="en-GB"/>
        </w:rPr>
        <w:t xml:space="preserve"> Baseline patient demographics, procedural details, and pharmacology (ACS only).</w:t>
      </w:r>
    </w:p>
    <w:p w14:paraId="6E8DFE5E" w14:textId="77777777" w:rsidR="00EE71FF" w:rsidRPr="00647AEC" w:rsidRDefault="00EE71FF" w:rsidP="00EE71FF">
      <w:pPr>
        <w:rPr>
          <w:sz w:val="24"/>
          <w:szCs w:val="24"/>
        </w:rPr>
      </w:pPr>
      <w:r w:rsidRPr="00647AEC">
        <w:rPr>
          <w:b/>
          <w:sz w:val="24"/>
          <w:szCs w:val="24"/>
        </w:rPr>
        <w:t>Table 2:</w:t>
      </w:r>
      <w:r w:rsidRPr="00647AEC">
        <w:rPr>
          <w:sz w:val="24"/>
          <w:szCs w:val="24"/>
        </w:rPr>
        <w:t xml:space="preserve"> Summary results after fitting multivariate logistic regression models on the whole cohort and the two subsets. </w:t>
      </w:r>
    </w:p>
    <w:p w14:paraId="58645083" w14:textId="77777777" w:rsidR="00EE71FF" w:rsidRPr="00647AEC" w:rsidRDefault="00EE71FF" w:rsidP="00EE71FF">
      <w:pPr>
        <w:rPr>
          <w:sz w:val="24"/>
          <w:szCs w:val="24"/>
        </w:rPr>
      </w:pPr>
      <w:r w:rsidRPr="00647AEC">
        <w:rPr>
          <w:b/>
          <w:sz w:val="24"/>
          <w:szCs w:val="24"/>
        </w:rPr>
        <w:t xml:space="preserve">Table </w:t>
      </w:r>
      <w:r w:rsidR="00B1431D" w:rsidRPr="00647AEC">
        <w:rPr>
          <w:b/>
          <w:sz w:val="24"/>
          <w:szCs w:val="24"/>
        </w:rPr>
        <w:t>3</w:t>
      </w:r>
      <w:r w:rsidRPr="00647AEC">
        <w:rPr>
          <w:b/>
          <w:sz w:val="24"/>
          <w:szCs w:val="24"/>
        </w:rPr>
        <w:t>:</w:t>
      </w:r>
      <w:r w:rsidRPr="00647AEC">
        <w:rPr>
          <w:sz w:val="24"/>
          <w:szCs w:val="24"/>
        </w:rPr>
        <w:t xml:space="preserve"> Influence of changes in factors on temporal trends in bleeding rates.</w:t>
      </w:r>
    </w:p>
    <w:p w14:paraId="1B718EE1" w14:textId="77777777" w:rsidR="00EE71FF" w:rsidRDefault="0068517F" w:rsidP="007004EA">
      <w:pPr>
        <w:widowControl w:val="0"/>
        <w:autoSpaceDE w:val="0"/>
        <w:autoSpaceDN w:val="0"/>
        <w:adjustRightInd w:val="0"/>
        <w:rPr>
          <w:sz w:val="24"/>
          <w:szCs w:val="24"/>
        </w:rPr>
      </w:pPr>
      <w:r w:rsidRPr="00647AEC">
        <w:rPr>
          <w:sz w:val="24"/>
          <w:szCs w:val="24"/>
        </w:rPr>
        <w:t>Su</w:t>
      </w:r>
      <w:r w:rsidR="00A3188C" w:rsidRPr="00647AEC">
        <w:rPr>
          <w:sz w:val="24"/>
          <w:szCs w:val="24"/>
        </w:rPr>
        <w:t>p</w:t>
      </w:r>
      <w:r w:rsidRPr="00647AEC">
        <w:rPr>
          <w:sz w:val="24"/>
          <w:szCs w:val="24"/>
        </w:rPr>
        <w:t>plementary Table S1: Proportion of missing values presents in the original dataset.</w:t>
      </w:r>
    </w:p>
    <w:p w14:paraId="293F59BC" w14:textId="55DF9E57" w:rsidR="00BA34AD" w:rsidRPr="00647AEC" w:rsidRDefault="00BA34AD" w:rsidP="007004EA">
      <w:pPr>
        <w:widowControl w:val="0"/>
        <w:autoSpaceDE w:val="0"/>
        <w:autoSpaceDN w:val="0"/>
        <w:adjustRightInd w:val="0"/>
        <w:rPr>
          <w:sz w:val="24"/>
          <w:szCs w:val="24"/>
        </w:rPr>
      </w:pPr>
      <w:r>
        <w:rPr>
          <w:sz w:val="24"/>
          <w:szCs w:val="24"/>
        </w:rPr>
        <w:t>Supplementary Figure 1:</w:t>
      </w:r>
      <w:r w:rsidRPr="00BA34AD">
        <w:t xml:space="preserve"> </w:t>
      </w:r>
      <w:r w:rsidRPr="00BA34AD">
        <w:rPr>
          <w:sz w:val="24"/>
          <w:szCs w:val="24"/>
        </w:rPr>
        <w:t>Mehr</w:t>
      </w:r>
      <w:r>
        <w:rPr>
          <w:sz w:val="24"/>
          <w:szCs w:val="24"/>
        </w:rPr>
        <w:t>an bleeding risk score</w:t>
      </w:r>
      <w:r w:rsidRPr="00BA34AD">
        <w:rPr>
          <w:sz w:val="24"/>
          <w:szCs w:val="24"/>
        </w:rPr>
        <w:t xml:space="preserve"> for patients undergoing PCI for both electi</w:t>
      </w:r>
      <w:r>
        <w:rPr>
          <w:sz w:val="24"/>
          <w:szCs w:val="24"/>
        </w:rPr>
        <w:t>ve and ACS.</w:t>
      </w:r>
    </w:p>
    <w:sectPr w:rsidR="00BA34AD" w:rsidRPr="00647AEC" w:rsidSect="00973938">
      <w:headerReference w:type="even" r:id="rId10"/>
      <w:headerReference w:type="default" r:id="rId11"/>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E4BA0" w16cid:durableId="1E96FF8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977AE" w14:textId="77777777" w:rsidR="005D781F" w:rsidRDefault="005D781F" w:rsidP="009E3F58">
      <w:pPr>
        <w:spacing w:before="0" w:after="0" w:line="240" w:lineRule="auto"/>
      </w:pPr>
      <w:r>
        <w:separator/>
      </w:r>
    </w:p>
  </w:endnote>
  <w:endnote w:type="continuationSeparator" w:id="0">
    <w:p w14:paraId="1446AB95" w14:textId="77777777" w:rsidR="005D781F" w:rsidRDefault="005D781F" w:rsidP="009E3F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12EE" w14:textId="77777777" w:rsidR="005D781F" w:rsidRDefault="005D781F" w:rsidP="009E3F58">
      <w:pPr>
        <w:spacing w:before="0" w:after="0" w:line="240" w:lineRule="auto"/>
      </w:pPr>
      <w:r>
        <w:separator/>
      </w:r>
    </w:p>
  </w:footnote>
  <w:footnote w:type="continuationSeparator" w:id="0">
    <w:p w14:paraId="158DBB1B" w14:textId="77777777" w:rsidR="005D781F" w:rsidRDefault="005D781F" w:rsidP="009E3F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827F" w14:textId="77777777" w:rsidR="00261683" w:rsidRDefault="00261683" w:rsidP="00206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74D0A" w14:textId="77777777" w:rsidR="00261683" w:rsidRDefault="00261683" w:rsidP="00530C4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F11CF" w14:textId="6B1667C1" w:rsidR="00261683" w:rsidRDefault="00261683" w:rsidP="00206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A89">
      <w:rPr>
        <w:rStyle w:val="PageNumber"/>
        <w:noProof/>
      </w:rPr>
      <w:t>17</w:t>
    </w:r>
    <w:r>
      <w:rPr>
        <w:rStyle w:val="PageNumber"/>
      </w:rPr>
      <w:fldChar w:fldCharType="end"/>
    </w:r>
  </w:p>
  <w:p w14:paraId="7DD9C6DD" w14:textId="77777777" w:rsidR="00261683" w:rsidRDefault="00261683" w:rsidP="00530C48">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CC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C22A6E"/>
    <w:multiLevelType w:val="hybridMultilevel"/>
    <w:tmpl w:val="00C263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NDMyMDc0MjOxtDRW0lEKTi0uzszPAykwqgUApA02vywAAAA="/>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5tz5zz6dswsvearawxz0tyfes2f55twp9r&quot;&gt;My EndNote Library copy&lt;record-ids&gt;&lt;item&gt;9&lt;/item&gt;&lt;item&gt;22&lt;/item&gt;&lt;item&gt;38&lt;/item&gt;&lt;item&gt;56&lt;/item&gt;&lt;item&gt;80&lt;/item&gt;&lt;item&gt;90&lt;/item&gt;&lt;item&gt;108&lt;/item&gt;&lt;item&gt;134&lt;/item&gt;&lt;item&gt;135&lt;/item&gt;&lt;item&gt;137&lt;/item&gt;&lt;item&gt;147&lt;/item&gt;&lt;item&gt;148&lt;/item&gt;&lt;item&gt;150&lt;/item&gt;&lt;item&gt;157&lt;/item&gt;&lt;item&gt;160&lt;/item&gt;&lt;item&gt;174&lt;/item&gt;&lt;item&gt;179&lt;/item&gt;&lt;item&gt;180&lt;/item&gt;&lt;item&gt;181&lt;/item&gt;&lt;item&gt;230&lt;/item&gt;&lt;item&gt;232&lt;/item&gt;&lt;item&gt;233&lt;/item&gt;&lt;item&gt;249&lt;/item&gt;&lt;item&gt;250&lt;/item&gt;&lt;item&gt;277&lt;/item&gt;&lt;item&gt;278&lt;/item&gt;&lt;item&gt;285&lt;/item&gt;&lt;item&gt;287&lt;/item&gt;&lt;item&gt;293&lt;/item&gt;&lt;item&gt;297&lt;/item&gt;&lt;item&gt;300&lt;/item&gt;&lt;item&gt;323&lt;/item&gt;&lt;item&gt;326&lt;/item&gt;&lt;item&gt;330&lt;/item&gt;&lt;item&gt;366&lt;/item&gt;&lt;item&gt;454&lt;/item&gt;&lt;item&gt;455&lt;/item&gt;&lt;item&gt;466&lt;/item&gt;&lt;item&gt;542&lt;/item&gt;&lt;item&gt;543&lt;/item&gt;&lt;item&gt;544&lt;/item&gt;&lt;item&gt;545&lt;/item&gt;&lt;item&gt;546&lt;/item&gt;&lt;item&gt;547&lt;/item&gt;&lt;/record-ids&gt;&lt;/item&gt;&lt;/Libraries&gt;"/>
  </w:docVars>
  <w:rsids>
    <w:rsidRoot w:val="0035362B"/>
    <w:rsid w:val="000012B1"/>
    <w:rsid w:val="000031A8"/>
    <w:rsid w:val="00003BE1"/>
    <w:rsid w:val="00004CDB"/>
    <w:rsid w:val="00020D8C"/>
    <w:rsid w:val="00021341"/>
    <w:rsid w:val="0002175E"/>
    <w:rsid w:val="00022EB3"/>
    <w:rsid w:val="000265EE"/>
    <w:rsid w:val="0002664E"/>
    <w:rsid w:val="00027C02"/>
    <w:rsid w:val="00027C17"/>
    <w:rsid w:val="00032257"/>
    <w:rsid w:val="00036CC1"/>
    <w:rsid w:val="00037904"/>
    <w:rsid w:val="00043246"/>
    <w:rsid w:val="000501C4"/>
    <w:rsid w:val="000525DE"/>
    <w:rsid w:val="000555AC"/>
    <w:rsid w:val="00057573"/>
    <w:rsid w:val="00061D13"/>
    <w:rsid w:val="0006363B"/>
    <w:rsid w:val="000803D4"/>
    <w:rsid w:val="00082B44"/>
    <w:rsid w:val="0008366C"/>
    <w:rsid w:val="00083E82"/>
    <w:rsid w:val="00086A17"/>
    <w:rsid w:val="00091F9C"/>
    <w:rsid w:val="0009454D"/>
    <w:rsid w:val="00097F97"/>
    <w:rsid w:val="000A2D9D"/>
    <w:rsid w:val="000A3859"/>
    <w:rsid w:val="000A422B"/>
    <w:rsid w:val="000B0DA6"/>
    <w:rsid w:val="000B4F87"/>
    <w:rsid w:val="000B6FCA"/>
    <w:rsid w:val="000C32E9"/>
    <w:rsid w:val="000C4443"/>
    <w:rsid w:val="000D2512"/>
    <w:rsid w:val="000D3507"/>
    <w:rsid w:val="000D5477"/>
    <w:rsid w:val="000F050D"/>
    <w:rsid w:val="000F0D74"/>
    <w:rsid w:val="000F46FA"/>
    <w:rsid w:val="00103394"/>
    <w:rsid w:val="001045FC"/>
    <w:rsid w:val="0010609C"/>
    <w:rsid w:val="00107E3D"/>
    <w:rsid w:val="00112269"/>
    <w:rsid w:val="001128C7"/>
    <w:rsid w:val="001146EC"/>
    <w:rsid w:val="001154FE"/>
    <w:rsid w:val="00116253"/>
    <w:rsid w:val="0011780C"/>
    <w:rsid w:val="0012023E"/>
    <w:rsid w:val="00122596"/>
    <w:rsid w:val="00123E55"/>
    <w:rsid w:val="00132C77"/>
    <w:rsid w:val="00132D60"/>
    <w:rsid w:val="00136B41"/>
    <w:rsid w:val="0013749A"/>
    <w:rsid w:val="001409C0"/>
    <w:rsid w:val="001411A7"/>
    <w:rsid w:val="0014288E"/>
    <w:rsid w:val="0014359E"/>
    <w:rsid w:val="0014370E"/>
    <w:rsid w:val="001437E5"/>
    <w:rsid w:val="00143D35"/>
    <w:rsid w:val="00147036"/>
    <w:rsid w:val="001475A4"/>
    <w:rsid w:val="001568A0"/>
    <w:rsid w:val="00157372"/>
    <w:rsid w:val="00162275"/>
    <w:rsid w:val="00163B6E"/>
    <w:rsid w:val="001643F2"/>
    <w:rsid w:val="00166340"/>
    <w:rsid w:val="00167B23"/>
    <w:rsid w:val="00172BAB"/>
    <w:rsid w:val="00174159"/>
    <w:rsid w:val="0018388A"/>
    <w:rsid w:val="0018731B"/>
    <w:rsid w:val="00187DB2"/>
    <w:rsid w:val="00187E4D"/>
    <w:rsid w:val="00191321"/>
    <w:rsid w:val="0019181C"/>
    <w:rsid w:val="0019200E"/>
    <w:rsid w:val="00194D99"/>
    <w:rsid w:val="001A61A8"/>
    <w:rsid w:val="001A7445"/>
    <w:rsid w:val="001B698E"/>
    <w:rsid w:val="001C08F4"/>
    <w:rsid w:val="001C4368"/>
    <w:rsid w:val="001D0BE2"/>
    <w:rsid w:val="001D126C"/>
    <w:rsid w:val="001D1797"/>
    <w:rsid w:val="001E70B8"/>
    <w:rsid w:val="001E7E45"/>
    <w:rsid w:val="001F01D9"/>
    <w:rsid w:val="001F132A"/>
    <w:rsid w:val="001F1464"/>
    <w:rsid w:val="001F7D2A"/>
    <w:rsid w:val="002012E9"/>
    <w:rsid w:val="00204F64"/>
    <w:rsid w:val="0020568F"/>
    <w:rsid w:val="002069FD"/>
    <w:rsid w:val="00212EC5"/>
    <w:rsid w:val="00215144"/>
    <w:rsid w:val="00221D4F"/>
    <w:rsid w:val="0022206E"/>
    <w:rsid w:val="00222208"/>
    <w:rsid w:val="00224EB9"/>
    <w:rsid w:val="0022591A"/>
    <w:rsid w:val="002268BB"/>
    <w:rsid w:val="002303AF"/>
    <w:rsid w:val="002309EF"/>
    <w:rsid w:val="002319B6"/>
    <w:rsid w:val="002342FA"/>
    <w:rsid w:val="0024156E"/>
    <w:rsid w:val="0024237E"/>
    <w:rsid w:val="00243AE2"/>
    <w:rsid w:val="00245944"/>
    <w:rsid w:val="0025155D"/>
    <w:rsid w:val="00251605"/>
    <w:rsid w:val="00253512"/>
    <w:rsid w:val="00255D61"/>
    <w:rsid w:val="00257238"/>
    <w:rsid w:val="00257D40"/>
    <w:rsid w:val="00261683"/>
    <w:rsid w:val="002624E5"/>
    <w:rsid w:val="002642E1"/>
    <w:rsid w:val="002660C0"/>
    <w:rsid w:val="002667AE"/>
    <w:rsid w:val="0026773E"/>
    <w:rsid w:val="0027531D"/>
    <w:rsid w:val="00276F84"/>
    <w:rsid w:val="002807F4"/>
    <w:rsid w:val="0028093D"/>
    <w:rsid w:val="00284675"/>
    <w:rsid w:val="00286278"/>
    <w:rsid w:val="00287304"/>
    <w:rsid w:val="00287A20"/>
    <w:rsid w:val="002913BE"/>
    <w:rsid w:val="0029709D"/>
    <w:rsid w:val="002A07AE"/>
    <w:rsid w:val="002A45A2"/>
    <w:rsid w:val="002A53BA"/>
    <w:rsid w:val="002A5B31"/>
    <w:rsid w:val="002B00BA"/>
    <w:rsid w:val="002B08D0"/>
    <w:rsid w:val="002B1364"/>
    <w:rsid w:val="002B22FC"/>
    <w:rsid w:val="002B29D9"/>
    <w:rsid w:val="002B5A54"/>
    <w:rsid w:val="002C1A8F"/>
    <w:rsid w:val="002C6214"/>
    <w:rsid w:val="002C7DEF"/>
    <w:rsid w:val="002D0D23"/>
    <w:rsid w:val="002D1C17"/>
    <w:rsid w:val="002D67DE"/>
    <w:rsid w:val="002D743E"/>
    <w:rsid w:val="002E0C11"/>
    <w:rsid w:val="002E4ED8"/>
    <w:rsid w:val="002E632A"/>
    <w:rsid w:val="002E6B2C"/>
    <w:rsid w:val="002E765A"/>
    <w:rsid w:val="002F1121"/>
    <w:rsid w:val="002F27E1"/>
    <w:rsid w:val="002F57F2"/>
    <w:rsid w:val="002F6BCE"/>
    <w:rsid w:val="002F7288"/>
    <w:rsid w:val="00300427"/>
    <w:rsid w:val="003006ED"/>
    <w:rsid w:val="00304AE4"/>
    <w:rsid w:val="00306304"/>
    <w:rsid w:val="003064F0"/>
    <w:rsid w:val="003100A1"/>
    <w:rsid w:val="0031033D"/>
    <w:rsid w:val="00310676"/>
    <w:rsid w:val="0031173E"/>
    <w:rsid w:val="00316A32"/>
    <w:rsid w:val="00316FE7"/>
    <w:rsid w:val="00317376"/>
    <w:rsid w:val="00322006"/>
    <w:rsid w:val="00330E5A"/>
    <w:rsid w:val="00332956"/>
    <w:rsid w:val="003329E6"/>
    <w:rsid w:val="0034158A"/>
    <w:rsid w:val="00343651"/>
    <w:rsid w:val="00351681"/>
    <w:rsid w:val="003516C3"/>
    <w:rsid w:val="00351EDE"/>
    <w:rsid w:val="003521E7"/>
    <w:rsid w:val="0035234D"/>
    <w:rsid w:val="0035362B"/>
    <w:rsid w:val="0035380E"/>
    <w:rsid w:val="00354EBD"/>
    <w:rsid w:val="00357E36"/>
    <w:rsid w:val="003600AD"/>
    <w:rsid w:val="00361A31"/>
    <w:rsid w:val="003632FD"/>
    <w:rsid w:val="00363624"/>
    <w:rsid w:val="003640A4"/>
    <w:rsid w:val="00366781"/>
    <w:rsid w:val="00370B2A"/>
    <w:rsid w:val="00372B3C"/>
    <w:rsid w:val="003750D5"/>
    <w:rsid w:val="00375E02"/>
    <w:rsid w:val="00376BF1"/>
    <w:rsid w:val="00384C54"/>
    <w:rsid w:val="00390C37"/>
    <w:rsid w:val="00392892"/>
    <w:rsid w:val="00397469"/>
    <w:rsid w:val="00397528"/>
    <w:rsid w:val="003A02F0"/>
    <w:rsid w:val="003A2A83"/>
    <w:rsid w:val="003A6818"/>
    <w:rsid w:val="003A79BF"/>
    <w:rsid w:val="003B1DFA"/>
    <w:rsid w:val="003B3FFC"/>
    <w:rsid w:val="003C227F"/>
    <w:rsid w:val="003D076C"/>
    <w:rsid w:val="003D2204"/>
    <w:rsid w:val="003E0F7E"/>
    <w:rsid w:val="003E10F6"/>
    <w:rsid w:val="003E1491"/>
    <w:rsid w:val="003E20FD"/>
    <w:rsid w:val="003E2DB6"/>
    <w:rsid w:val="003E42B5"/>
    <w:rsid w:val="003E5395"/>
    <w:rsid w:val="003F2021"/>
    <w:rsid w:val="003F4666"/>
    <w:rsid w:val="003F68CF"/>
    <w:rsid w:val="003F795F"/>
    <w:rsid w:val="0040078A"/>
    <w:rsid w:val="00400E15"/>
    <w:rsid w:val="004011E2"/>
    <w:rsid w:val="00403DBC"/>
    <w:rsid w:val="004256B6"/>
    <w:rsid w:val="00426394"/>
    <w:rsid w:val="0042733F"/>
    <w:rsid w:val="00430134"/>
    <w:rsid w:val="004321E6"/>
    <w:rsid w:val="00440434"/>
    <w:rsid w:val="0044185D"/>
    <w:rsid w:val="004419F1"/>
    <w:rsid w:val="00441B97"/>
    <w:rsid w:val="00446390"/>
    <w:rsid w:val="00446B82"/>
    <w:rsid w:val="00453C0C"/>
    <w:rsid w:val="00456B99"/>
    <w:rsid w:val="0045728A"/>
    <w:rsid w:val="004576E4"/>
    <w:rsid w:val="00457DFD"/>
    <w:rsid w:val="004607F1"/>
    <w:rsid w:val="00463DD7"/>
    <w:rsid w:val="0046731F"/>
    <w:rsid w:val="0047033C"/>
    <w:rsid w:val="00471942"/>
    <w:rsid w:val="00471AE9"/>
    <w:rsid w:val="004741BC"/>
    <w:rsid w:val="00474B1D"/>
    <w:rsid w:val="0047524C"/>
    <w:rsid w:val="00477575"/>
    <w:rsid w:val="00477ECC"/>
    <w:rsid w:val="00480052"/>
    <w:rsid w:val="00481E6E"/>
    <w:rsid w:val="00486345"/>
    <w:rsid w:val="00487E5A"/>
    <w:rsid w:val="004912F4"/>
    <w:rsid w:val="00491B12"/>
    <w:rsid w:val="004A330D"/>
    <w:rsid w:val="004A53C7"/>
    <w:rsid w:val="004A7F1B"/>
    <w:rsid w:val="004B0A75"/>
    <w:rsid w:val="004B168F"/>
    <w:rsid w:val="004B2CC4"/>
    <w:rsid w:val="004B457A"/>
    <w:rsid w:val="004B5126"/>
    <w:rsid w:val="004B5B9E"/>
    <w:rsid w:val="004B79CD"/>
    <w:rsid w:val="004C30DD"/>
    <w:rsid w:val="004C3318"/>
    <w:rsid w:val="004C483F"/>
    <w:rsid w:val="004D01E3"/>
    <w:rsid w:val="004D0C15"/>
    <w:rsid w:val="004D12F7"/>
    <w:rsid w:val="004D5F37"/>
    <w:rsid w:val="004D66D7"/>
    <w:rsid w:val="004E29FF"/>
    <w:rsid w:val="004E3407"/>
    <w:rsid w:val="004E551D"/>
    <w:rsid w:val="004E6C53"/>
    <w:rsid w:val="004E7BFB"/>
    <w:rsid w:val="004F3DEE"/>
    <w:rsid w:val="004F5A89"/>
    <w:rsid w:val="004F6273"/>
    <w:rsid w:val="00501894"/>
    <w:rsid w:val="00503C00"/>
    <w:rsid w:val="00505BB3"/>
    <w:rsid w:val="0051016D"/>
    <w:rsid w:val="00510CDC"/>
    <w:rsid w:val="005156E0"/>
    <w:rsid w:val="00515DD8"/>
    <w:rsid w:val="00517B49"/>
    <w:rsid w:val="00522DD0"/>
    <w:rsid w:val="00523D2C"/>
    <w:rsid w:val="00525068"/>
    <w:rsid w:val="00530C48"/>
    <w:rsid w:val="00531686"/>
    <w:rsid w:val="00532528"/>
    <w:rsid w:val="00535E80"/>
    <w:rsid w:val="0053600B"/>
    <w:rsid w:val="005362C8"/>
    <w:rsid w:val="00542328"/>
    <w:rsid w:val="00545D30"/>
    <w:rsid w:val="005514C3"/>
    <w:rsid w:val="00551E19"/>
    <w:rsid w:val="005531DC"/>
    <w:rsid w:val="00555511"/>
    <w:rsid w:val="005603F3"/>
    <w:rsid w:val="005608AD"/>
    <w:rsid w:val="0056363D"/>
    <w:rsid w:val="0056578A"/>
    <w:rsid w:val="00571080"/>
    <w:rsid w:val="00571505"/>
    <w:rsid w:val="00572594"/>
    <w:rsid w:val="0058036B"/>
    <w:rsid w:val="00582DBF"/>
    <w:rsid w:val="00584753"/>
    <w:rsid w:val="005964FE"/>
    <w:rsid w:val="005A53DE"/>
    <w:rsid w:val="005A6EA4"/>
    <w:rsid w:val="005A74A8"/>
    <w:rsid w:val="005B29CD"/>
    <w:rsid w:val="005C09BD"/>
    <w:rsid w:val="005C1F5B"/>
    <w:rsid w:val="005C766D"/>
    <w:rsid w:val="005D41CD"/>
    <w:rsid w:val="005D781F"/>
    <w:rsid w:val="005E26EB"/>
    <w:rsid w:val="005E4042"/>
    <w:rsid w:val="005E5B0B"/>
    <w:rsid w:val="005E7B18"/>
    <w:rsid w:val="005F2B10"/>
    <w:rsid w:val="006008C3"/>
    <w:rsid w:val="00600C73"/>
    <w:rsid w:val="0060111C"/>
    <w:rsid w:val="00602532"/>
    <w:rsid w:val="00607FC5"/>
    <w:rsid w:val="00612571"/>
    <w:rsid w:val="006126E6"/>
    <w:rsid w:val="00612BE2"/>
    <w:rsid w:val="00616509"/>
    <w:rsid w:val="00624781"/>
    <w:rsid w:val="00627004"/>
    <w:rsid w:val="00631F2A"/>
    <w:rsid w:val="006327CC"/>
    <w:rsid w:val="00644047"/>
    <w:rsid w:val="0064678A"/>
    <w:rsid w:val="00647AEC"/>
    <w:rsid w:val="00651F4A"/>
    <w:rsid w:val="00653B79"/>
    <w:rsid w:val="00654012"/>
    <w:rsid w:val="006578D2"/>
    <w:rsid w:val="006618A2"/>
    <w:rsid w:val="006635A0"/>
    <w:rsid w:val="00664CFD"/>
    <w:rsid w:val="006656C7"/>
    <w:rsid w:val="00665732"/>
    <w:rsid w:val="006657B1"/>
    <w:rsid w:val="006718E3"/>
    <w:rsid w:val="00674EA9"/>
    <w:rsid w:val="006765FB"/>
    <w:rsid w:val="00681DB4"/>
    <w:rsid w:val="006834CF"/>
    <w:rsid w:val="0068517F"/>
    <w:rsid w:val="00690878"/>
    <w:rsid w:val="00692300"/>
    <w:rsid w:val="006A0F3A"/>
    <w:rsid w:val="006A4B97"/>
    <w:rsid w:val="006A4F5D"/>
    <w:rsid w:val="006A542C"/>
    <w:rsid w:val="006A7580"/>
    <w:rsid w:val="006A76F0"/>
    <w:rsid w:val="006B5C07"/>
    <w:rsid w:val="006B6197"/>
    <w:rsid w:val="006B7B3D"/>
    <w:rsid w:val="006C1A2C"/>
    <w:rsid w:val="006C238F"/>
    <w:rsid w:val="006C7669"/>
    <w:rsid w:val="006C7940"/>
    <w:rsid w:val="006D02E8"/>
    <w:rsid w:val="006D2B04"/>
    <w:rsid w:val="006E4495"/>
    <w:rsid w:val="006E46A9"/>
    <w:rsid w:val="006E7A8D"/>
    <w:rsid w:val="006F398B"/>
    <w:rsid w:val="006F5D30"/>
    <w:rsid w:val="007004EA"/>
    <w:rsid w:val="00700D6E"/>
    <w:rsid w:val="00700F0A"/>
    <w:rsid w:val="007023E6"/>
    <w:rsid w:val="00702B95"/>
    <w:rsid w:val="00703A05"/>
    <w:rsid w:val="00704972"/>
    <w:rsid w:val="00705464"/>
    <w:rsid w:val="00707603"/>
    <w:rsid w:val="007117AC"/>
    <w:rsid w:val="00712068"/>
    <w:rsid w:val="00713777"/>
    <w:rsid w:val="007145C0"/>
    <w:rsid w:val="00716AF6"/>
    <w:rsid w:val="00716BDB"/>
    <w:rsid w:val="00716EA6"/>
    <w:rsid w:val="007225C4"/>
    <w:rsid w:val="00722D53"/>
    <w:rsid w:val="00724CE8"/>
    <w:rsid w:val="00730AA3"/>
    <w:rsid w:val="00733932"/>
    <w:rsid w:val="00735A9F"/>
    <w:rsid w:val="00736359"/>
    <w:rsid w:val="00740174"/>
    <w:rsid w:val="00745458"/>
    <w:rsid w:val="00745B9B"/>
    <w:rsid w:val="00747C9B"/>
    <w:rsid w:val="00751CFB"/>
    <w:rsid w:val="00760A7C"/>
    <w:rsid w:val="00762737"/>
    <w:rsid w:val="007637B9"/>
    <w:rsid w:val="00764368"/>
    <w:rsid w:val="007647F3"/>
    <w:rsid w:val="00767ABC"/>
    <w:rsid w:val="00771A39"/>
    <w:rsid w:val="00772C56"/>
    <w:rsid w:val="00773A69"/>
    <w:rsid w:val="0078016A"/>
    <w:rsid w:val="00780E6D"/>
    <w:rsid w:val="00782E11"/>
    <w:rsid w:val="00784F17"/>
    <w:rsid w:val="00787C00"/>
    <w:rsid w:val="0079222C"/>
    <w:rsid w:val="0079398E"/>
    <w:rsid w:val="007962C3"/>
    <w:rsid w:val="00797729"/>
    <w:rsid w:val="00797AB5"/>
    <w:rsid w:val="007A2519"/>
    <w:rsid w:val="007A42E8"/>
    <w:rsid w:val="007A4E2D"/>
    <w:rsid w:val="007A5988"/>
    <w:rsid w:val="007B51C7"/>
    <w:rsid w:val="007B5EBC"/>
    <w:rsid w:val="007C2447"/>
    <w:rsid w:val="007C2E4D"/>
    <w:rsid w:val="007C452B"/>
    <w:rsid w:val="007C5D78"/>
    <w:rsid w:val="007D2685"/>
    <w:rsid w:val="007D4F90"/>
    <w:rsid w:val="007D57AD"/>
    <w:rsid w:val="007E346C"/>
    <w:rsid w:val="007E61BC"/>
    <w:rsid w:val="007F0530"/>
    <w:rsid w:val="007F1BCB"/>
    <w:rsid w:val="0080313E"/>
    <w:rsid w:val="008054FA"/>
    <w:rsid w:val="00810E09"/>
    <w:rsid w:val="00812249"/>
    <w:rsid w:val="0081306E"/>
    <w:rsid w:val="00813638"/>
    <w:rsid w:val="008157D7"/>
    <w:rsid w:val="00816FE5"/>
    <w:rsid w:val="008221E3"/>
    <w:rsid w:val="00830834"/>
    <w:rsid w:val="00830933"/>
    <w:rsid w:val="0083442A"/>
    <w:rsid w:val="00837425"/>
    <w:rsid w:val="0084246C"/>
    <w:rsid w:val="008429AF"/>
    <w:rsid w:val="00844F01"/>
    <w:rsid w:val="00850282"/>
    <w:rsid w:val="00855B37"/>
    <w:rsid w:val="0086176D"/>
    <w:rsid w:val="00862CE8"/>
    <w:rsid w:val="00867E87"/>
    <w:rsid w:val="008702DE"/>
    <w:rsid w:val="00870506"/>
    <w:rsid w:val="00871504"/>
    <w:rsid w:val="00871BAF"/>
    <w:rsid w:val="00875F87"/>
    <w:rsid w:val="008809B0"/>
    <w:rsid w:val="00883928"/>
    <w:rsid w:val="008854CE"/>
    <w:rsid w:val="00885664"/>
    <w:rsid w:val="008919EC"/>
    <w:rsid w:val="0089250F"/>
    <w:rsid w:val="008934A8"/>
    <w:rsid w:val="00893956"/>
    <w:rsid w:val="00894630"/>
    <w:rsid w:val="00896146"/>
    <w:rsid w:val="008A31F9"/>
    <w:rsid w:val="008A3445"/>
    <w:rsid w:val="008A7A09"/>
    <w:rsid w:val="008B36DA"/>
    <w:rsid w:val="008B372F"/>
    <w:rsid w:val="008B45A6"/>
    <w:rsid w:val="008B5A54"/>
    <w:rsid w:val="008B65E2"/>
    <w:rsid w:val="008B78E9"/>
    <w:rsid w:val="008C24DF"/>
    <w:rsid w:val="008C2FE0"/>
    <w:rsid w:val="008C4E3F"/>
    <w:rsid w:val="008D04C2"/>
    <w:rsid w:val="008D368D"/>
    <w:rsid w:val="008E367A"/>
    <w:rsid w:val="008E39F0"/>
    <w:rsid w:val="008E4FA9"/>
    <w:rsid w:val="008E6599"/>
    <w:rsid w:val="008E6C30"/>
    <w:rsid w:val="008F1F9F"/>
    <w:rsid w:val="008F39C9"/>
    <w:rsid w:val="008F400D"/>
    <w:rsid w:val="009004D9"/>
    <w:rsid w:val="00900DD7"/>
    <w:rsid w:val="009031FD"/>
    <w:rsid w:val="00903DEE"/>
    <w:rsid w:val="00905209"/>
    <w:rsid w:val="009123F5"/>
    <w:rsid w:val="00917F7F"/>
    <w:rsid w:val="0092595B"/>
    <w:rsid w:val="00925C71"/>
    <w:rsid w:val="00931148"/>
    <w:rsid w:val="00934AFB"/>
    <w:rsid w:val="0093512E"/>
    <w:rsid w:val="00947D3F"/>
    <w:rsid w:val="009517B6"/>
    <w:rsid w:val="00952796"/>
    <w:rsid w:val="00952E20"/>
    <w:rsid w:val="00954EA6"/>
    <w:rsid w:val="009558CE"/>
    <w:rsid w:val="00955CBD"/>
    <w:rsid w:val="0096346A"/>
    <w:rsid w:val="009647DA"/>
    <w:rsid w:val="009735DE"/>
    <w:rsid w:val="00973938"/>
    <w:rsid w:val="0097592D"/>
    <w:rsid w:val="00982C97"/>
    <w:rsid w:val="00982E9B"/>
    <w:rsid w:val="00983382"/>
    <w:rsid w:val="00984428"/>
    <w:rsid w:val="00984A8E"/>
    <w:rsid w:val="009860ED"/>
    <w:rsid w:val="00990892"/>
    <w:rsid w:val="009909E5"/>
    <w:rsid w:val="00992C67"/>
    <w:rsid w:val="009934CF"/>
    <w:rsid w:val="0099668E"/>
    <w:rsid w:val="009A15F8"/>
    <w:rsid w:val="009A19FC"/>
    <w:rsid w:val="009A282C"/>
    <w:rsid w:val="009A48E8"/>
    <w:rsid w:val="009C11C9"/>
    <w:rsid w:val="009C3A83"/>
    <w:rsid w:val="009C6194"/>
    <w:rsid w:val="009C64A1"/>
    <w:rsid w:val="009C71B6"/>
    <w:rsid w:val="009D04C2"/>
    <w:rsid w:val="009D324D"/>
    <w:rsid w:val="009E18E7"/>
    <w:rsid w:val="009E3F58"/>
    <w:rsid w:val="009F0A5A"/>
    <w:rsid w:val="009F255C"/>
    <w:rsid w:val="009F526D"/>
    <w:rsid w:val="00A02D47"/>
    <w:rsid w:val="00A03955"/>
    <w:rsid w:val="00A05006"/>
    <w:rsid w:val="00A06547"/>
    <w:rsid w:val="00A071ED"/>
    <w:rsid w:val="00A11DCF"/>
    <w:rsid w:val="00A124D3"/>
    <w:rsid w:val="00A14B1C"/>
    <w:rsid w:val="00A172C3"/>
    <w:rsid w:val="00A17FE5"/>
    <w:rsid w:val="00A21ACD"/>
    <w:rsid w:val="00A24E25"/>
    <w:rsid w:val="00A24E34"/>
    <w:rsid w:val="00A25957"/>
    <w:rsid w:val="00A26043"/>
    <w:rsid w:val="00A27C11"/>
    <w:rsid w:val="00A3070B"/>
    <w:rsid w:val="00A30C0F"/>
    <w:rsid w:val="00A3188C"/>
    <w:rsid w:val="00A417FD"/>
    <w:rsid w:val="00A431CB"/>
    <w:rsid w:val="00A448F3"/>
    <w:rsid w:val="00A500AF"/>
    <w:rsid w:val="00A515A4"/>
    <w:rsid w:val="00A54EDB"/>
    <w:rsid w:val="00A57086"/>
    <w:rsid w:val="00A65975"/>
    <w:rsid w:val="00A65C0B"/>
    <w:rsid w:val="00A67960"/>
    <w:rsid w:val="00A70830"/>
    <w:rsid w:val="00A75B31"/>
    <w:rsid w:val="00A80D99"/>
    <w:rsid w:val="00A813D1"/>
    <w:rsid w:val="00A829C8"/>
    <w:rsid w:val="00A83058"/>
    <w:rsid w:val="00A856AC"/>
    <w:rsid w:val="00A9039F"/>
    <w:rsid w:val="00A920FC"/>
    <w:rsid w:val="00A922F6"/>
    <w:rsid w:val="00A92974"/>
    <w:rsid w:val="00A94EA0"/>
    <w:rsid w:val="00A95C4A"/>
    <w:rsid w:val="00AA0B30"/>
    <w:rsid w:val="00AA56C0"/>
    <w:rsid w:val="00AB04FC"/>
    <w:rsid w:val="00AB0668"/>
    <w:rsid w:val="00AB0782"/>
    <w:rsid w:val="00AB16A7"/>
    <w:rsid w:val="00AB4E35"/>
    <w:rsid w:val="00AB5634"/>
    <w:rsid w:val="00AC097F"/>
    <w:rsid w:val="00AC0F95"/>
    <w:rsid w:val="00AC35CC"/>
    <w:rsid w:val="00AD14D4"/>
    <w:rsid w:val="00AE2951"/>
    <w:rsid w:val="00AE3670"/>
    <w:rsid w:val="00AE3DB6"/>
    <w:rsid w:val="00AE5B9E"/>
    <w:rsid w:val="00AE5E00"/>
    <w:rsid w:val="00AF028A"/>
    <w:rsid w:val="00AF23BA"/>
    <w:rsid w:val="00AF2454"/>
    <w:rsid w:val="00AF38E0"/>
    <w:rsid w:val="00AF4FC2"/>
    <w:rsid w:val="00AF637D"/>
    <w:rsid w:val="00AF6F1A"/>
    <w:rsid w:val="00B00116"/>
    <w:rsid w:val="00B023A4"/>
    <w:rsid w:val="00B05FB0"/>
    <w:rsid w:val="00B07555"/>
    <w:rsid w:val="00B07D7D"/>
    <w:rsid w:val="00B10D06"/>
    <w:rsid w:val="00B13EE3"/>
    <w:rsid w:val="00B1431D"/>
    <w:rsid w:val="00B14436"/>
    <w:rsid w:val="00B14983"/>
    <w:rsid w:val="00B21B44"/>
    <w:rsid w:val="00B22921"/>
    <w:rsid w:val="00B24622"/>
    <w:rsid w:val="00B31F74"/>
    <w:rsid w:val="00B37CC7"/>
    <w:rsid w:val="00B41CBF"/>
    <w:rsid w:val="00B432C9"/>
    <w:rsid w:val="00B447D4"/>
    <w:rsid w:val="00B44957"/>
    <w:rsid w:val="00B44F7E"/>
    <w:rsid w:val="00B454DF"/>
    <w:rsid w:val="00B5100F"/>
    <w:rsid w:val="00B575D8"/>
    <w:rsid w:val="00B628F7"/>
    <w:rsid w:val="00B6429A"/>
    <w:rsid w:val="00B6498D"/>
    <w:rsid w:val="00B704DC"/>
    <w:rsid w:val="00B73C65"/>
    <w:rsid w:val="00B75B0E"/>
    <w:rsid w:val="00B808A2"/>
    <w:rsid w:val="00B8278B"/>
    <w:rsid w:val="00B82A48"/>
    <w:rsid w:val="00B83E9F"/>
    <w:rsid w:val="00B84E10"/>
    <w:rsid w:val="00B850E3"/>
    <w:rsid w:val="00B979D7"/>
    <w:rsid w:val="00BA0716"/>
    <w:rsid w:val="00BA0857"/>
    <w:rsid w:val="00BA15A5"/>
    <w:rsid w:val="00BA203D"/>
    <w:rsid w:val="00BA34AD"/>
    <w:rsid w:val="00BA4C4C"/>
    <w:rsid w:val="00BA5022"/>
    <w:rsid w:val="00BA5E42"/>
    <w:rsid w:val="00BA6CE7"/>
    <w:rsid w:val="00BA6F5C"/>
    <w:rsid w:val="00BB01BD"/>
    <w:rsid w:val="00BB09A7"/>
    <w:rsid w:val="00BB2EE0"/>
    <w:rsid w:val="00BB303B"/>
    <w:rsid w:val="00BB4D88"/>
    <w:rsid w:val="00BB4EF6"/>
    <w:rsid w:val="00BB5CA1"/>
    <w:rsid w:val="00BC0032"/>
    <w:rsid w:val="00BC1719"/>
    <w:rsid w:val="00BC2F8E"/>
    <w:rsid w:val="00BC68A6"/>
    <w:rsid w:val="00BD3D20"/>
    <w:rsid w:val="00BD4D33"/>
    <w:rsid w:val="00BD54A4"/>
    <w:rsid w:val="00BD5525"/>
    <w:rsid w:val="00BD5D26"/>
    <w:rsid w:val="00BD66AE"/>
    <w:rsid w:val="00BE303A"/>
    <w:rsid w:val="00BE308E"/>
    <w:rsid w:val="00BE33A5"/>
    <w:rsid w:val="00BE6172"/>
    <w:rsid w:val="00BF2D6E"/>
    <w:rsid w:val="00BF39BD"/>
    <w:rsid w:val="00BF4FEF"/>
    <w:rsid w:val="00BF6C11"/>
    <w:rsid w:val="00C01A30"/>
    <w:rsid w:val="00C02214"/>
    <w:rsid w:val="00C03F2C"/>
    <w:rsid w:val="00C06A12"/>
    <w:rsid w:val="00C078FC"/>
    <w:rsid w:val="00C07DA8"/>
    <w:rsid w:val="00C11241"/>
    <w:rsid w:val="00C120A4"/>
    <w:rsid w:val="00C24101"/>
    <w:rsid w:val="00C249CF"/>
    <w:rsid w:val="00C26F71"/>
    <w:rsid w:val="00C32EF1"/>
    <w:rsid w:val="00C339EA"/>
    <w:rsid w:val="00C35578"/>
    <w:rsid w:val="00C35658"/>
    <w:rsid w:val="00C3775D"/>
    <w:rsid w:val="00C5062C"/>
    <w:rsid w:val="00C5226D"/>
    <w:rsid w:val="00C52B64"/>
    <w:rsid w:val="00C54EC6"/>
    <w:rsid w:val="00C603FD"/>
    <w:rsid w:val="00C6254B"/>
    <w:rsid w:val="00C653AE"/>
    <w:rsid w:val="00C65A4A"/>
    <w:rsid w:val="00C70E73"/>
    <w:rsid w:val="00C728D3"/>
    <w:rsid w:val="00C74BAA"/>
    <w:rsid w:val="00C76FD8"/>
    <w:rsid w:val="00C773F3"/>
    <w:rsid w:val="00C8062E"/>
    <w:rsid w:val="00C8228B"/>
    <w:rsid w:val="00C83560"/>
    <w:rsid w:val="00C85A7F"/>
    <w:rsid w:val="00CA53DE"/>
    <w:rsid w:val="00CB312F"/>
    <w:rsid w:val="00CB3F5F"/>
    <w:rsid w:val="00CB459F"/>
    <w:rsid w:val="00CB45BD"/>
    <w:rsid w:val="00CB4EAC"/>
    <w:rsid w:val="00CB6A87"/>
    <w:rsid w:val="00CC039D"/>
    <w:rsid w:val="00CC0F66"/>
    <w:rsid w:val="00CC1157"/>
    <w:rsid w:val="00CC3C52"/>
    <w:rsid w:val="00CC4D19"/>
    <w:rsid w:val="00CC596B"/>
    <w:rsid w:val="00CC7C42"/>
    <w:rsid w:val="00CD6F8A"/>
    <w:rsid w:val="00CE0327"/>
    <w:rsid w:val="00CE3AF0"/>
    <w:rsid w:val="00CE4FD3"/>
    <w:rsid w:val="00CE50C6"/>
    <w:rsid w:val="00CF1CD5"/>
    <w:rsid w:val="00CF34FA"/>
    <w:rsid w:val="00D02B52"/>
    <w:rsid w:val="00D051D3"/>
    <w:rsid w:val="00D05584"/>
    <w:rsid w:val="00D10DCC"/>
    <w:rsid w:val="00D11A86"/>
    <w:rsid w:val="00D15855"/>
    <w:rsid w:val="00D16EC8"/>
    <w:rsid w:val="00D2175F"/>
    <w:rsid w:val="00D21ED6"/>
    <w:rsid w:val="00D2222D"/>
    <w:rsid w:val="00D3524F"/>
    <w:rsid w:val="00D36D0B"/>
    <w:rsid w:val="00D4512C"/>
    <w:rsid w:val="00D46F72"/>
    <w:rsid w:val="00D51CE5"/>
    <w:rsid w:val="00D5280B"/>
    <w:rsid w:val="00D532E7"/>
    <w:rsid w:val="00D5643E"/>
    <w:rsid w:val="00D57246"/>
    <w:rsid w:val="00D67CAC"/>
    <w:rsid w:val="00D70AD9"/>
    <w:rsid w:val="00D74417"/>
    <w:rsid w:val="00D77029"/>
    <w:rsid w:val="00D774C0"/>
    <w:rsid w:val="00D77861"/>
    <w:rsid w:val="00D80399"/>
    <w:rsid w:val="00D80657"/>
    <w:rsid w:val="00D83B22"/>
    <w:rsid w:val="00D83C43"/>
    <w:rsid w:val="00D848E2"/>
    <w:rsid w:val="00D86F0C"/>
    <w:rsid w:val="00D87EBE"/>
    <w:rsid w:val="00D943E3"/>
    <w:rsid w:val="00D9549C"/>
    <w:rsid w:val="00D971CE"/>
    <w:rsid w:val="00DA04EE"/>
    <w:rsid w:val="00DA7360"/>
    <w:rsid w:val="00DB36B0"/>
    <w:rsid w:val="00DB6164"/>
    <w:rsid w:val="00DB6FBA"/>
    <w:rsid w:val="00DB7F1D"/>
    <w:rsid w:val="00DC2450"/>
    <w:rsid w:val="00DC3B6F"/>
    <w:rsid w:val="00DC5F85"/>
    <w:rsid w:val="00DD534C"/>
    <w:rsid w:val="00DE0B36"/>
    <w:rsid w:val="00DF302C"/>
    <w:rsid w:val="00DF426E"/>
    <w:rsid w:val="00DF4EE2"/>
    <w:rsid w:val="00DF5056"/>
    <w:rsid w:val="00DF6411"/>
    <w:rsid w:val="00E03D10"/>
    <w:rsid w:val="00E04799"/>
    <w:rsid w:val="00E10583"/>
    <w:rsid w:val="00E10631"/>
    <w:rsid w:val="00E12B42"/>
    <w:rsid w:val="00E12EE7"/>
    <w:rsid w:val="00E15F04"/>
    <w:rsid w:val="00E1699A"/>
    <w:rsid w:val="00E16B07"/>
    <w:rsid w:val="00E2203C"/>
    <w:rsid w:val="00E25E99"/>
    <w:rsid w:val="00E268C6"/>
    <w:rsid w:val="00E27849"/>
    <w:rsid w:val="00E27DE4"/>
    <w:rsid w:val="00E30769"/>
    <w:rsid w:val="00E31A1C"/>
    <w:rsid w:val="00E43F5A"/>
    <w:rsid w:val="00E450D2"/>
    <w:rsid w:val="00E47430"/>
    <w:rsid w:val="00E50B7D"/>
    <w:rsid w:val="00E55040"/>
    <w:rsid w:val="00E55474"/>
    <w:rsid w:val="00E62463"/>
    <w:rsid w:val="00E65248"/>
    <w:rsid w:val="00E656B7"/>
    <w:rsid w:val="00E66898"/>
    <w:rsid w:val="00E67AC1"/>
    <w:rsid w:val="00E72F5D"/>
    <w:rsid w:val="00E75E2B"/>
    <w:rsid w:val="00E763E9"/>
    <w:rsid w:val="00E774DD"/>
    <w:rsid w:val="00E812DB"/>
    <w:rsid w:val="00E81BDD"/>
    <w:rsid w:val="00E825AD"/>
    <w:rsid w:val="00E87A0A"/>
    <w:rsid w:val="00E92F28"/>
    <w:rsid w:val="00E96900"/>
    <w:rsid w:val="00EA072B"/>
    <w:rsid w:val="00EB11AC"/>
    <w:rsid w:val="00EB12BA"/>
    <w:rsid w:val="00EB358B"/>
    <w:rsid w:val="00EB5853"/>
    <w:rsid w:val="00EB7224"/>
    <w:rsid w:val="00EC1EA1"/>
    <w:rsid w:val="00EC31F6"/>
    <w:rsid w:val="00EC3F20"/>
    <w:rsid w:val="00EC453C"/>
    <w:rsid w:val="00EC775F"/>
    <w:rsid w:val="00ED599C"/>
    <w:rsid w:val="00EE206C"/>
    <w:rsid w:val="00EE2C28"/>
    <w:rsid w:val="00EE2E1C"/>
    <w:rsid w:val="00EE3C6D"/>
    <w:rsid w:val="00EE4BAB"/>
    <w:rsid w:val="00EE657F"/>
    <w:rsid w:val="00EE71FF"/>
    <w:rsid w:val="00EE7BC4"/>
    <w:rsid w:val="00EF5DEC"/>
    <w:rsid w:val="00EF69E6"/>
    <w:rsid w:val="00EF7B58"/>
    <w:rsid w:val="00EF7DA2"/>
    <w:rsid w:val="00EF7E53"/>
    <w:rsid w:val="00F0544E"/>
    <w:rsid w:val="00F05A4F"/>
    <w:rsid w:val="00F06036"/>
    <w:rsid w:val="00F06B58"/>
    <w:rsid w:val="00F10C33"/>
    <w:rsid w:val="00F166D1"/>
    <w:rsid w:val="00F17C5C"/>
    <w:rsid w:val="00F17EA4"/>
    <w:rsid w:val="00F205D3"/>
    <w:rsid w:val="00F23763"/>
    <w:rsid w:val="00F243AF"/>
    <w:rsid w:val="00F250DC"/>
    <w:rsid w:val="00F26505"/>
    <w:rsid w:val="00F35B07"/>
    <w:rsid w:val="00F439B8"/>
    <w:rsid w:val="00F5020E"/>
    <w:rsid w:val="00F50728"/>
    <w:rsid w:val="00F507EB"/>
    <w:rsid w:val="00F54E18"/>
    <w:rsid w:val="00F54FB6"/>
    <w:rsid w:val="00F55920"/>
    <w:rsid w:val="00F61B30"/>
    <w:rsid w:val="00F638E2"/>
    <w:rsid w:val="00F678BE"/>
    <w:rsid w:val="00F73AC0"/>
    <w:rsid w:val="00F74381"/>
    <w:rsid w:val="00F76634"/>
    <w:rsid w:val="00F8066E"/>
    <w:rsid w:val="00F85D77"/>
    <w:rsid w:val="00F877E6"/>
    <w:rsid w:val="00FA02B2"/>
    <w:rsid w:val="00FA3FA3"/>
    <w:rsid w:val="00FA442E"/>
    <w:rsid w:val="00FA652C"/>
    <w:rsid w:val="00FB0CB6"/>
    <w:rsid w:val="00FB3847"/>
    <w:rsid w:val="00FB73E1"/>
    <w:rsid w:val="00FC2750"/>
    <w:rsid w:val="00FC4BB3"/>
    <w:rsid w:val="00FD1231"/>
    <w:rsid w:val="00FD435C"/>
    <w:rsid w:val="00FD457D"/>
    <w:rsid w:val="00FE2668"/>
    <w:rsid w:val="00FF0361"/>
    <w:rsid w:val="00FF2759"/>
    <w:rsid w:val="00FF647D"/>
    <w:rsid w:val="00FF73E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7CC1A"/>
  <w14:defaultImageDpi w14:val="330"/>
  <w15:docId w15:val="{B31DF716-CF53-4305-AEA3-4AF5924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CF"/>
    <w:pPr>
      <w:spacing w:before="240" w:after="120" w:line="360" w:lineRule="auto"/>
      <w:jc w:val="both"/>
    </w:pPr>
    <w:rPr>
      <w:rFonts w:eastAsia="Calibri"/>
      <w:sz w:val="22"/>
      <w:szCs w:val="22"/>
      <w:lang w:val="en-US" w:eastAsia="ja-JP"/>
    </w:rPr>
  </w:style>
  <w:style w:type="paragraph" w:styleId="Heading1">
    <w:name w:val="heading 1"/>
    <w:basedOn w:val="Normal"/>
    <w:next w:val="Normal"/>
    <w:link w:val="Heading1Char"/>
    <w:uiPriority w:val="9"/>
    <w:qFormat/>
    <w:rsid w:val="009934CF"/>
    <w:pPr>
      <w:keepNext/>
      <w:keepLines/>
      <w:spacing w:before="480" w:after="0"/>
      <w:outlineLvl w:val="0"/>
    </w:pPr>
    <w:rPr>
      <w:rFonts w:eastAsia="MS Gothic"/>
      <w:b/>
      <w:bCs/>
      <w:sz w:val="20"/>
      <w:szCs w:val="28"/>
      <w:lang w:val="x-none" w:eastAsia="x-none"/>
    </w:rPr>
  </w:style>
  <w:style w:type="paragraph" w:styleId="Heading2">
    <w:name w:val="heading 2"/>
    <w:basedOn w:val="Normal"/>
    <w:next w:val="Normal"/>
    <w:link w:val="Heading2Char"/>
    <w:uiPriority w:val="9"/>
    <w:qFormat/>
    <w:rsid w:val="009934CF"/>
    <w:pPr>
      <w:keepNext/>
      <w:keepLines/>
      <w:spacing w:before="200" w:after="0"/>
      <w:outlineLvl w:val="1"/>
    </w:pPr>
    <w:rPr>
      <w:rFonts w:eastAsia="MS Gothic"/>
      <w:bCs/>
      <w:u w:val="single"/>
      <w:lang w:val="x-none" w:eastAsia="x-none"/>
    </w:rPr>
  </w:style>
  <w:style w:type="paragraph" w:styleId="Heading3">
    <w:name w:val="heading 3"/>
    <w:basedOn w:val="Normal"/>
    <w:next w:val="Normal"/>
    <w:link w:val="Heading3Char"/>
    <w:uiPriority w:val="9"/>
    <w:qFormat/>
    <w:rsid w:val="009934CF"/>
    <w:pPr>
      <w:keepNext/>
      <w:keepLines/>
      <w:spacing w:before="200" w:after="0"/>
      <w:outlineLvl w:val="2"/>
    </w:pPr>
    <w:rPr>
      <w:rFonts w:eastAsia="MS Gothic"/>
      <w:bCs/>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AB5634"/>
    <w:pPr>
      <w:spacing w:after="0"/>
      <w:jc w:val="center"/>
    </w:pPr>
    <w:rPr>
      <w:sz w:val="24"/>
    </w:rPr>
  </w:style>
  <w:style w:type="paragraph" w:customStyle="1" w:styleId="EndNoteBibliography">
    <w:name w:val="EndNote Bibliography"/>
    <w:basedOn w:val="Normal"/>
    <w:rsid w:val="00AB5634"/>
    <w:pPr>
      <w:spacing w:line="240" w:lineRule="auto"/>
    </w:pPr>
    <w:rPr>
      <w:sz w:val="24"/>
    </w:rPr>
  </w:style>
  <w:style w:type="character" w:styleId="CommentReference">
    <w:name w:val="annotation reference"/>
    <w:uiPriority w:val="99"/>
    <w:semiHidden/>
    <w:unhideWhenUsed/>
    <w:rsid w:val="000012B1"/>
    <w:rPr>
      <w:sz w:val="18"/>
      <w:szCs w:val="18"/>
    </w:rPr>
  </w:style>
  <w:style w:type="paragraph" w:styleId="CommentText">
    <w:name w:val="annotation text"/>
    <w:basedOn w:val="Normal"/>
    <w:link w:val="CommentTextChar"/>
    <w:uiPriority w:val="99"/>
    <w:semiHidden/>
    <w:unhideWhenUsed/>
    <w:rsid w:val="000012B1"/>
  </w:style>
  <w:style w:type="character" w:customStyle="1" w:styleId="CommentTextChar">
    <w:name w:val="Comment Text Char"/>
    <w:basedOn w:val="DefaultParagraphFont"/>
    <w:link w:val="CommentText"/>
    <w:uiPriority w:val="99"/>
    <w:semiHidden/>
    <w:rsid w:val="000012B1"/>
  </w:style>
  <w:style w:type="paragraph" w:styleId="CommentSubject">
    <w:name w:val="annotation subject"/>
    <w:basedOn w:val="CommentText"/>
    <w:next w:val="CommentText"/>
    <w:link w:val="CommentSubjectChar"/>
    <w:uiPriority w:val="99"/>
    <w:semiHidden/>
    <w:unhideWhenUsed/>
    <w:rsid w:val="000012B1"/>
    <w:rPr>
      <w:rFonts w:eastAsia="MS Mincho"/>
      <w:b/>
      <w:bCs/>
      <w:sz w:val="20"/>
      <w:szCs w:val="20"/>
      <w:lang w:val="x-none" w:eastAsia="x-none"/>
    </w:rPr>
  </w:style>
  <w:style w:type="character" w:customStyle="1" w:styleId="CommentSubjectChar">
    <w:name w:val="Comment Subject Char"/>
    <w:link w:val="CommentSubject"/>
    <w:uiPriority w:val="99"/>
    <w:semiHidden/>
    <w:rsid w:val="000012B1"/>
    <w:rPr>
      <w:b/>
      <w:bCs/>
      <w:sz w:val="20"/>
      <w:szCs w:val="20"/>
    </w:rPr>
  </w:style>
  <w:style w:type="paragraph" w:styleId="BalloonText">
    <w:name w:val="Balloon Text"/>
    <w:basedOn w:val="Normal"/>
    <w:link w:val="BalloonTextChar"/>
    <w:uiPriority w:val="99"/>
    <w:semiHidden/>
    <w:unhideWhenUsed/>
    <w:rsid w:val="000012B1"/>
    <w:pPr>
      <w:spacing w:after="0"/>
    </w:pPr>
    <w:rPr>
      <w:rFonts w:ascii="Lucida Grande" w:eastAsia="MS Mincho" w:hAnsi="Lucida Grande"/>
      <w:sz w:val="18"/>
      <w:szCs w:val="18"/>
      <w:lang w:val="x-none" w:eastAsia="x-none"/>
    </w:rPr>
  </w:style>
  <w:style w:type="character" w:customStyle="1" w:styleId="BalloonTextChar">
    <w:name w:val="Balloon Text Char"/>
    <w:link w:val="BalloonText"/>
    <w:uiPriority w:val="99"/>
    <w:semiHidden/>
    <w:rsid w:val="000012B1"/>
    <w:rPr>
      <w:rFonts w:ascii="Lucida Grande" w:hAnsi="Lucida Grande" w:cs="Lucida Grande"/>
      <w:sz w:val="18"/>
      <w:szCs w:val="18"/>
    </w:rPr>
  </w:style>
  <w:style w:type="table" w:styleId="TableGrid">
    <w:name w:val="Table Grid"/>
    <w:basedOn w:val="TableNormal"/>
    <w:uiPriority w:val="59"/>
    <w:rsid w:val="0050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934CF"/>
    <w:rPr>
      <w:rFonts w:eastAsia="MS Gothic"/>
      <w:b/>
      <w:bCs/>
      <w:szCs w:val="28"/>
    </w:rPr>
  </w:style>
  <w:style w:type="character" w:customStyle="1" w:styleId="Heading2Char">
    <w:name w:val="Heading 2 Char"/>
    <w:link w:val="Heading2"/>
    <w:uiPriority w:val="9"/>
    <w:rsid w:val="009934CF"/>
    <w:rPr>
      <w:rFonts w:eastAsia="MS Gothic"/>
      <w:bCs/>
      <w:sz w:val="22"/>
      <w:szCs w:val="22"/>
      <w:u w:val="single"/>
    </w:rPr>
  </w:style>
  <w:style w:type="character" w:customStyle="1" w:styleId="Heading3Char">
    <w:name w:val="Heading 3 Char"/>
    <w:link w:val="Heading3"/>
    <w:uiPriority w:val="9"/>
    <w:rsid w:val="009934CF"/>
    <w:rPr>
      <w:rFonts w:eastAsia="MS Gothic"/>
      <w:bCs/>
      <w:i/>
      <w:sz w:val="22"/>
      <w:szCs w:val="22"/>
    </w:rPr>
  </w:style>
  <w:style w:type="paragraph" w:styleId="FootnoteText">
    <w:name w:val="footnote text"/>
    <w:basedOn w:val="Normal"/>
    <w:link w:val="FootnoteTextChar"/>
    <w:uiPriority w:val="99"/>
    <w:semiHidden/>
    <w:unhideWhenUsed/>
    <w:rsid w:val="009E3F58"/>
    <w:pPr>
      <w:spacing w:before="0" w:after="0" w:line="240" w:lineRule="auto"/>
    </w:pPr>
    <w:rPr>
      <w:sz w:val="20"/>
      <w:szCs w:val="20"/>
      <w:lang w:val="x-none" w:eastAsia="x-none"/>
    </w:rPr>
  </w:style>
  <w:style w:type="character" w:customStyle="1" w:styleId="FootnoteTextChar">
    <w:name w:val="Footnote Text Char"/>
    <w:link w:val="FootnoteText"/>
    <w:uiPriority w:val="99"/>
    <w:semiHidden/>
    <w:rsid w:val="009E3F58"/>
    <w:rPr>
      <w:rFonts w:eastAsia="Calibri"/>
      <w:sz w:val="20"/>
      <w:szCs w:val="20"/>
    </w:rPr>
  </w:style>
  <w:style w:type="character" w:styleId="FootnoteReference">
    <w:name w:val="footnote reference"/>
    <w:uiPriority w:val="99"/>
    <w:semiHidden/>
    <w:unhideWhenUsed/>
    <w:rsid w:val="009E3F58"/>
    <w:rPr>
      <w:vertAlign w:val="superscript"/>
    </w:rPr>
  </w:style>
  <w:style w:type="character" w:styleId="Hyperlink">
    <w:name w:val="Hyperlink"/>
    <w:uiPriority w:val="99"/>
    <w:unhideWhenUsed/>
    <w:rsid w:val="009E3F58"/>
    <w:rPr>
      <w:color w:val="0000FF"/>
      <w:u w:val="single"/>
    </w:rPr>
  </w:style>
  <w:style w:type="paragraph" w:styleId="NoSpacing">
    <w:name w:val="No Spacing"/>
    <w:uiPriority w:val="1"/>
    <w:qFormat/>
    <w:rsid w:val="003006ED"/>
    <w:pPr>
      <w:jc w:val="both"/>
    </w:pPr>
    <w:rPr>
      <w:rFonts w:eastAsia="Calibri"/>
      <w:sz w:val="22"/>
      <w:szCs w:val="22"/>
      <w:lang w:val="en-US" w:eastAsia="ja-JP"/>
    </w:rPr>
  </w:style>
  <w:style w:type="character" w:customStyle="1" w:styleId="apple-converted-space">
    <w:name w:val="apple-converted-space"/>
    <w:basedOn w:val="DefaultParagraphFont"/>
    <w:rsid w:val="00DF4EE2"/>
  </w:style>
  <w:style w:type="character" w:customStyle="1" w:styleId="highlight">
    <w:name w:val="highlight"/>
    <w:rsid w:val="0064678A"/>
  </w:style>
  <w:style w:type="character" w:styleId="FollowedHyperlink">
    <w:name w:val="FollowedHyperlink"/>
    <w:uiPriority w:val="99"/>
    <w:semiHidden/>
    <w:unhideWhenUsed/>
    <w:rsid w:val="00855B37"/>
    <w:rPr>
      <w:color w:val="800080"/>
      <w:u w:val="single"/>
    </w:rPr>
  </w:style>
  <w:style w:type="paragraph" w:styleId="Title">
    <w:name w:val="Title"/>
    <w:aliases w:val="title"/>
    <w:basedOn w:val="Normal"/>
    <w:link w:val="TitleChar"/>
    <w:uiPriority w:val="10"/>
    <w:qFormat/>
    <w:rsid w:val="00855B37"/>
    <w:pPr>
      <w:spacing w:before="100" w:beforeAutospacing="1" w:after="100" w:afterAutospacing="1" w:line="240" w:lineRule="auto"/>
      <w:jc w:val="left"/>
    </w:pPr>
    <w:rPr>
      <w:rFonts w:ascii="Times" w:eastAsia="MS Mincho" w:hAnsi="Times"/>
      <w:sz w:val="20"/>
      <w:szCs w:val="20"/>
      <w:lang w:val="en-GB" w:eastAsia="en-US"/>
    </w:rPr>
  </w:style>
  <w:style w:type="character" w:customStyle="1" w:styleId="TitleChar">
    <w:name w:val="Title Char"/>
    <w:aliases w:val="title Char"/>
    <w:link w:val="Title"/>
    <w:uiPriority w:val="10"/>
    <w:rsid w:val="00855B37"/>
    <w:rPr>
      <w:rFonts w:ascii="Times" w:hAnsi="Times"/>
    </w:rPr>
  </w:style>
  <w:style w:type="paragraph" w:customStyle="1" w:styleId="desc">
    <w:name w:val="desc"/>
    <w:basedOn w:val="Normal"/>
    <w:rsid w:val="00855B37"/>
    <w:pPr>
      <w:spacing w:before="100" w:beforeAutospacing="1" w:after="100" w:afterAutospacing="1" w:line="240" w:lineRule="auto"/>
      <w:jc w:val="left"/>
    </w:pPr>
    <w:rPr>
      <w:rFonts w:ascii="Times" w:eastAsia="MS Mincho" w:hAnsi="Times"/>
      <w:sz w:val="20"/>
      <w:szCs w:val="20"/>
      <w:lang w:val="en-GB" w:eastAsia="en-US"/>
    </w:rPr>
  </w:style>
  <w:style w:type="paragraph" w:customStyle="1" w:styleId="details">
    <w:name w:val="details"/>
    <w:basedOn w:val="Normal"/>
    <w:rsid w:val="00855B37"/>
    <w:pPr>
      <w:spacing w:before="100" w:beforeAutospacing="1" w:after="100" w:afterAutospacing="1" w:line="240" w:lineRule="auto"/>
      <w:jc w:val="left"/>
    </w:pPr>
    <w:rPr>
      <w:rFonts w:ascii="Times" w:eastAsia="MS Mincho" w:hAnsi="Times"/>
      <w:sz w:val="20"/>
      <w:szCs w:val="20"/>
      <w:lang w:val="en-GB" w:eastAsia="en-US"/>
    </w:rPr>
  </w:style>
  <w:style w:type="character" w:customStyle="1" w:styleId="jrnl">
    <w:name w:val="jrnl"/>
    <w:rsid w:val="00855B37"/>
  </w:style>
  <w:style w:type="paragraph" w:styleId="NormalWeb">
    <w:name w:val="Normal (Web)"/>
    <w:basedOn w:val="Normal"/>
    <w:uiPriority w:val="99"/>
    <w:semiHidden/>
    <w:unhideWhenUsed/>
    <w:rsid w:val="00471942"/>
    <w:pPr>
      <w:spacing w:before="100" w:beforeAutospacing="1" w:after="100" w:afterAutospacing="1" w:line="240" w:lineRule="auto"/>
      <w:jc w:val="left"/>
    </w:pPr>
    <w:rPr>
      <w:rFonts w:ascii="Times" w:eastAsia="MS Mincho" w:hAnsi="Times"/>
      <w:sz w:val="20"/>
      <w:szCs w:val="20"/>
      <w:lang w:val="en-GB" w:eastAsia="en-US"/>
    </w:rPr>
  </w:style>
  <w:style w:type="paragraph" w:styleId="ListParagraph">
    <w:name w:val="List Paragraph"/>
    <w:basedOn w:val="Normal"/>
    <w:uiPriority w:val="72"/>
    <w:rsid w:val="005514C3"/>
    <w:pPr>
      <w:ind w:left="720"/>
      <w:contextualSpacing/>
    </w:pPr>
  </w:style>
  <w:style w:type="paragraph" w:styleId="Header">
    <w:name w:val="header"/>
    <w:basedOn w:val="Normal"/>
    <w:link w:val="HeaderChar"/>
    <w:uiPriority w:val="99"/>
    <w:unhideWhenUsed/>
    <w:rsid w:val="002069FD"/>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069FD"/>
    <w:rPr>
      <w:rFonts w:eastAsia="Calibri"/>
      <w:sz w:val="22"/>
      <w:szCs w:val="22"/>
      <w:lang w:val="en-US" w:eastAsia="ja-JP"/>
    </w:rPr>
  </w:style>
  <w:style w:type="character" w:styleId="PageNumber">
    <w:name w:val="page number"/>
    <w:basedOn w:val="DefaultParagraphFont"/>
    <w:uiPriority w:val="99"/>
    <w:semiHidden/>
    <w:unhideWhenUsed/>
    <w:rsid w:val="0020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834">
      <w:bodyDiv w:val="1"/>
      <w:marLeft w:val="0"/>
      <w:marRight w:val="0"/>
      <w:marTop w:val="0"/>
      <w:marBottom w:val="0"/>
      <w:divBdr>
        <w:top w:val="none" w:sz="0" w:space="0" w:color="auto"/>
        <w:left w:val="none" w:sz="0" w:space="0" w:color="auto"/>
        <w:bottom w:val="none" w:sz="0" w:space="0" w:color="auto"/>
        <w:right w:val="none" w:sz="0" w:space="0" w:color="auto"/>
      </w:divBdr>
    </w:div>
    <w:div w:id="31226932">
      <w:bodyDiv w:val="1"/>
      <w:marLeft w:val="0"/>
      <w:marRight w:val="0"/>
      <w:marTop w:val="0"/>
      <w:marBottom w:val="0"/>
      <w:divBdr>
        <w:top w:val="none" w:sz="0" w:space="0" w:color="auto"/>
        <w:left w:val="none" w:sz="0" w:space="0" w:color="auto"/>
        <w:bottom w:val="none" w:sz="0" w:space="0" w:color="auto"/>
        <w:right w:val="none" w:sz="0" w:space="0" w:color="auto"/>
      </w:divBdr>
    </w:div>
    <w:div w:id="50349922">
      <w:bodyDiv w:val="1"/>
      <w:marLeft w:val="0"/>
      <w:marRight w:val="0"/>
      <w:marTop w:val="0"/>
      <w:marBottom w:val="0"/>
      <w:divBdr>
        <w:top w:val="none" w:sz="0" w:space="0" w:color="auto"/>
        <w:left w:val="none" w:sz="0" w:space="0" w:color="auto"/>
        <w:bottom w:val="none" w:sz="0" w:space="0" w:color="auto"/>
        <w:right w:val="none" w:sz="0" w:space="0" w:color="auto"/>
      </w:divBdr>
    </w:div>
    <w:div w:id="85931631">
      <w:bodyDiv w:val="1"/>
      <w:marLeft w:val="0"/>
      <w:marRight w:val="0"/>
      <w:marTop w:val="0"/>
      <w:marBottom w:val="0"/>
      <w:divBdr>
        <w:top w:val="none" w:sz="0" w:space="0" w:color="auto"/>
        <w:left w:val="none" w:sz="0" w:space="0" w:color="auto"/>
        <w:bottom w:val="none" w:sz="0" w:space="0" w:color="auto"/>
        <w:right w:val="none" w:sz="0" w:space="0" w:color="auto"/>
      </w:divBdr>
    </w:div>
    <w:div w:id="105000777">
      <w:bodyDiv w:val="1"/>
      <w:marLeft w:val="0"/>
      <w:marRight w:val="0"/>
      <w:marTop w:val="0"/>
      <w:marBottom w:val="0"/>
      <w:divBdr>
        <w:top w:val="none" w:sz="0" w:space="0" w:color="auto"/>
        <w:left w:val="none" w:sz="0" w:space="0" w:color="auto"/>
        <w:bottom w:val="none" w:sz="0" w:space="0" w:color="auto"/>
        <w:right w:val="none" w:sz="0" w:space="0" w:color="auto"/>
      </w:divBdr>
    </w:div>
    <w:div w:id="171069779">
      <w:bodyDiv w:val="1"/>
      <w:marLeft w:val="0"/>
      <w:marRight w:val="0"/>
      <w:marTop w:val="0"/>
      <w:marBottom w:val="0"/>
      <w:divBdr>
        <w:top w:val="none" w:sz="0" w:space="0" w:color="auto"/>
        <w:left w:val="none" w:sz="0" w:space="0" w:color="auto"/>
        <w:bottom w:val="none" w:sz="0" w:space="0" w:color="auto"/>
        <w:right w:val="none" w:sz="0" w:space="0" w:color="auto"/>
      </w:divBdr>
    </w:div>
    <w:div w:id="209923610">
      <w:bodyDiv w:val="1"/>
      <w:marLeft w:val="0"/>
      <w:marRight w:val="0"/>
      <w:marTop w:val="0"/>
      <w:marBottom w:val="0"/>
      <w:divBdr>
        <w:top w:val="none" w:sz="0" w:space="0" w:color="auto"/>
        <w:left w:val="none" w:sz="0" w:space="0" w:color="auto"/>
        <w:bottom w:val="none" w:sz="0" w:space="0" w:color="auto"/>
        <w:right w:val="none" w:sz="0" w:space="0" w:color="auto"/>
      </w:divBdr>
    </w:div>
    <w:div w:id="235092147">
      <w:bodyDiv w:val="1"/>
      <w:marLeft w:val="0"/>
      <w:marRight w:val="0"/>
      <w:marTop w:val="0"/>
      <w:marBottom w:val="0"/>
      <w:divBdr>
        <w:top w:val="none" w:sz="0" w:space="0" w:color="auto"/>
        <w:left w:val="none" w:sz="0" w:space="0" w:color="auto"/>
        <w:bottom w:val="none" w:sz="0" w:space="0" w:color="auto"/>
        <w:right w:val="none" w:sz="0" w:space="0" w:color="auto"/>
      </w:divBdr>
    </w:div>
    <w:div w:id="242371919">
      <w:bodyDiv w:val="1"/>
      <w:marLeft w:val="0"/>
      <w:marRight w:val="0"/>
      <w:marTop w:val="0"/>
      <w:marBottom w:val="0"/>
      <w:divBdr>
        <w:top w:val="none" w:sz="0" w:space="0" w:color="auto"/>
        <w:left w:val="none" w:sz="0" w:space="0" w:color="auto"/>
        <w:bottom w:val="none" w:sz="0" w:space="0" w:color="auto"/>
        <w:right w:val="none" w:sz="0" w:space="0" w:color="auto"/>
      </w:divBdr>
    </w:div>
    <w:div w:id="242834539">
      <w:bodyDiv w:val="1"/>
      <w:marLeft w:val="0"/>
      <w:marRight w:val="0"/>
      <w:marTop w:val="0"/>
      <w:marBottom w:val="0"/>
      <w:divBdr>
        <w:top w:val="none" w:sz="0" w:space="0" w:color="auto"/>
        <w:left w:val="none" w:sz="0" w:space="0" w:color="auto"/>
        <w:bottom w:val="none" w:sz="0" w:space="0" w:color="auto"/>
        <w:right w:val="none" w:sz="0" w:space="0" w:color="auto"/>
      </w:divBdr>
    </w:div>
    <w:div w:id="305673408">
      <w:bodyDiv w:val="1"/>
      <w:marLeft w:val="0"/>
      <w:marRight w:val="0"/>
      <w:marTop w:val="0"/>
      <w:marBottom w:val="0"/>
      <w:divBdr>
        <w:top w:val="none" w:sz="0" w:space="0" w:color="auto"/>
        <w:left w:val="none" w:sz="0" w:space="0" w:color="auto"/>
        <w:bottom w:val="none" w:sz="0" w:space="0" w:color="auto"/>
        <w:right w:val="none" w:sz="0" w:space="0" w:color="auto"/>
      </w:divBdr>
    </w:div>
    <w:div w:id="322126732">
      <w:bodyDiv w:val="1"/>
      <w:marLeft w:val="0"/>
      <w:marRight w:val="0"/>
      <w:marTop w:val="0"/>
      <w:marBottom w:val="0"/>
      <w:divBdr>
        <w:top w:val="none" w:sz="0" w:space="0" w:color="auto"/>
        <w:left w:val="none" w:sz="0" w:space="0" w:color="auto"/>
        <w:bottom w:val="none" w:sz="0" w:space="0" w:color="auto"/>
        <w:right w:val="none" w:sz="0" w:space="0" w:color="auto"/>
      </w:divBdr>
    </w:div>
    <w:div w:id="345063009">
      <w:bodyDiv w:val="1"/>
      <w:marLeft w:val="0"/>
      <w:marRight w:val="0"/>
      <w:marTop w:val="0"/>
      <w:marBottom w:val="0"/>
      <w:divBdr>
        <w:top w:val="none" w:sz="0" w:space="0" w:color="auto"/>
        <w:left w:val="none" w:sz="0" w:space="0" w:color="auto"/>
        <w:bottom w:val="none" w:sz="0" w:space="0" w:color="auto"/>
        <w:right w:val="none" w:sz="0" w:space="0" w:color="auto"/>
      </w:divBdr>
    </w:div>
    <w:div w:id="376703420">
      <w:bodyDiv w:val="1"/>
      <w:marLeft w:val="0"/>
      <w:marRight w:val="0"/>
      <w:marTop w:val="0"/>
      <w:marBottom w:val="0"/>
      <w:divBdr>
        <w:top w:val="none" w:sz="0" w:space="0" w:color="auto"/>
        <w:left w:val="none" w:sz="0" w:space="0" w:color="auto"/>
        <w:bottom w:val="none" w:sz="0" w:space="0" w:color="auto"/>
        <w:right w:val="none" w:sz="0" w:space="0" w:color="auto"/>
      </w:divBdr>
    </w:div>
    <w:div w:id="377708551">
      <w:bodyDiv w:val="1"/>
      <w:marLeft w:val="0"/>
      <w:marRight w:val="0"/>
      <w:marTop w:val="0"/>
      <w:marBottom w:val="0"/>
      <w:divBdr>
        <w:top w:val="none" w:sz="0" w:space="0" w:color="auto"/>
        <w:left w:val="none" w:sz="0" w:space="0" w:color="auto"/>
        <w:bottom w:val="none" w:sz="0" w:space="0" w:color="auto"/>
        <w:right w:val="none" w:sz="0" w:space="0" w:color="auto"/>
      </w:divBdr>
    </w:div>
    <w:div w:id="378289537">
      <w:bodyDiv w:val="1"/>
      <w:marLeft w:val="0"/>
      <w:marRight w:val="0"/>
      <w:marTop w:val="0"/>
      <w:marBottom w:val="0"/>
      <w:divBdr>
        <w:top w:val="none" w:sz="0" w:space="0" w:color="auto"/>
        <w:left w:val="none" w:sz="0" w:space="0" w:color="auto"/>
        <w:bottom w:val="none" w:sz="0" w:space="0" w:color="auto"/>
        <w:right w:val="none" w:sz="0" w:space="0" w:color="auto"/>
      </w:divBdr>
    </w:div>
    <w:div w:id="378936945">
      <w:bodyDiv w:val="1"/>
      <w:marLeft w:val="0"/>
      <w:marRight w:val="0"/>
      <w:marTop w:val="0"/>
      <w:marBottom w:val="0"/>
      <w:divBdr>
        <w:top w:val="none" w:sz="0" w:space="0" w:color="auto"/>
        <w:left w:val="none" w:sz="0" w:space="0" w:color="auto"/>
        <w:bottom w:val="none" w:sz="0" w:space="0" w:color="auto"/>
        <w:right w:val="none" w:sz="0" w:space="0" w:color="auto"/>
      </w:divBdr>
    </w:div>
    <w:div w:id="394353429">
      <w:bodyDiv w:val="1"/>
      <w:marLeft w:val="0"/>
      <w:marRight w:val="0"/>
      <w:marTop w:val="0"/>
      <w:marBottom w:val="0"/>
      <w:divBdr>
        <w:top w:val="none" w:sz="0" w:space="0" w:color="auto"/>
        <w:left w:val="none" w:sz="0" w:space="0" w:color="auto"/>
        <w:bottom w:val="none" w:sz="0" w:space="0" w:color="auto"/>
        <w:right w:val="none" w:sz="0" w:space="0" w:color="auto"/>
      </w:divBdr>
    </w:div>
    <w:div w:id="405152598">
      <w:bodyDiv w:val="1"/>
      <w:marLeft w:val="0"/>
      <w:marRight w:val="0"/>
      <w:marTop w:val="0"/>
      <w:marBottom w:val="0"/>
      <w:divBdr>
        <w:top w:val="none" w:sz="0" w:space="0" w:color="auto"/>
        <w:left w:val="none" w:sz="0" w:space="0" w:color="auto"/>
        <w:bottom w:val="none" w:sz="0" w:space="0" w:color="auto"/>
        <w:right w:val="none" w:sz="0" w:space="0" w:color="auto"/>
      </w:divBdr>
    </w:div>
    <w:div w:id="406419258">
      <w:bodyDiv w:val="1"/>
      <w:marLeft w:val="0"/>
      <w:marRight w:val="0"/>
      <w:marTop w:val="0"/>
      <w:marBottom w:val="0"/>
      <w:divBdr>
        <w:top w:val="none" w:sz="0" w:space="0" w:color="auto"/>
        <w:left w:val="none" w:sz="0" w:space="0" w:color="auto"/>
        <w:bottom w:val="none" w:sz="0" w:space="0" w:color="auto"/>
        <w:right w:val="none" w:sz="0" w:space="0" w:color="auto"/>
      </w:divBdr>
    </w:div>
    <w:div w:id="408115986">
      <w:bodyDiv w:val="1"/>
      <w:marLeft w:val="0"/>
      <w:marRight w:val="0"/>
      <w:marTop w:val="0"/>
      <w:marBottom w:val="0"/>
      <w:divBdr>
        <w:top w:val="none" w:sz="0" w:space="0" w:color="auto"/>
        <w:left w:val="none" w:sz="0" w:space="0" w:color="auto"/>
        <w:bottom w:val="none" w:sz="0" w:space="0" w:color="auto"/>
        <w:right w:val="none" w:sz="0" w:space="0" w:color="auto"/>
      </w:divBdr>
    </w:div>
    <w:div w:id="570194954">
      <w:bodyDiv w:val="1"/>
      <w:marLeft w:val="0"/>
      <w:marRight w:val="0"/>
      <w:marTop w:val="0"/>
      <w:marBottom w:val="0"/>
      <w:divBdr>
        <w:top w:val="none" w:sz="0" w:space="0" w:color="auto"/>
        <w:left w:val="none" w:sz="0" w:space="0" w:color="auto"/>
        <w:bottom w:val="none" w:sz="0" w:space="0" w:color="auto"/>
        <w:right w:val="none" w:sz="0" w:space="0" w:color="auto"/>
      </w:divBdr>
    </w:div>
    <w:div w:id="593637960">
      <w:bodyDiv w:val="1"/>
      <w:marLeft w:val="0"/>
      <w:marRight w:val="0"/>
      <w:marTop w:val="0"/>
      <w:marBottom w:val="0"/>
      <w:divBdr>
        <w:top w:val="none" w:sz="0" w:space="0" w:color="auto"/>
        <w:left w:val="none" w:sz="0" w:space="0" w:color="auto"/>
        <w:bottom w:val="none" w:sz="0" w:space="0" w:color="auto"/>
        <w:right w:val="none" w:sz="0" w:space="0" w:color="auto"/>
      </w:divBdr>
    </w:div>
    <w:div w:id="596795835">
      <w:bodyDiv w:val="1"/>
      <w:marLeft w:val="0"/>
      <w:marRight w:val="0"/>
      <w:marTop w:val="0"/>
      <w:marBottom w:val="0"/>
      <w:divBdr>
        <w:top w:val="none" w:sz="0" w:space="0" w:color="auto"/>
        <w:left w:val="none" w:sz="0" w:space="0" w:color="auto"/>
        <w:bottom w:val="none" w:sz="0" w:space="0" w:color="auto"/>
        <w:right w:val="none" w:sz="0" w:space="0" w:color="auto"/>
      </w:divBdr>
    </w:div>
    <w:div w:id="642852203">
      <w:bodyDiv w:val="1"/>
      <w:marLeft w:val="0"/>
      <w:marRight w:val="0"/>
      <w:marTop w:val="0"/>
      <w:marBottom w:val="0"/>
      <w:divBdr>
        <w:top w:val="none" w:sz="0" w:space="0" w:color="auto"/>
        <w:left w:val="none" w:sz="0" w:space="0" w:color="auto"/>
        <w:bottom w:val="none" w:sz="0" w:space="0" w:color="auto"/>
        <w:right w:val="none" w:sz="0" w:space="0" w:color="auto"/>
      </w:divBdr>
    </w:div>
    <w:div w:id="651062221">
      <w:bodyDiv w:val="1"/>
      <w:marLeft w:val="0"/>
      <w:marRight w:val="0"/>
      <w:marTop w:val="0"/>
      <w:marBottom w:val="0"/>
      <w:divBdr>
        <w:top w:val="none" w:sz="0" w:space="0" w:color="auto"/>
        <w:left w:val="none" w:sz="0" w:space="0" w:color="auto"/>
        <w:bottom w:val="none" w:sz="0" w:space="0" w:color="auto"/>
        <w:right w:val="none" w:sz="0" w:space="0" w:color="auto"/>
      </w:divBdr>
    </w:div>
    <w:div w:id="657997313">
      <w:bodyDiv w:val="1"/>
      <w:marLeft w:val="0"/>
      <w:marRight w:val="0"/>
      <w:marTop w:val="0"/>
      <w:marBottom w:val="0"/>
      <w:divBdr>
        <w:top w:val="none" w:sz="0" w:space="0" w:color="auto"/>
        <w:left w:val="none" w:sz="0" w:space="0" w:color="auto"/>
        <w:bottom w:val="none" w:sz="0" w:space="0" w:color="auto"/>
        <w:right w:val="none" w:sz="0" w:space="0" w:color="auto"/>
      </w:divBdr>
    </w:div>
    <w:div w:id="677581387">
      <w:bodyDiv w:val="1"/>
      <w:marLeft w:val="0"/>
      <w:marRight w:val="0"/>
      <w:marTop w:val="0"/>
      <w:marBottom w:val="0"/>
      <w:divBdr>
        <w:top w:val="none" w:sz="0" w:space="0" w:color="auto"/>
        <w:left w:val="none" w:sz="0" w:space="0" w:color="auto"/>
        <w:bottom w:val="none" w:sz="0" w:space="0" w:color="auto"/>
        <w:right w:val="none" w:sz="0" w:space="0" w:color="auto"/>
      </w:divBdr>
    </w:div>
    <w:div w:id="707336772">
      <w:bodyDiv w:val="1"/>
      <w:marLeft w:val="0"/>
      <w:marRight w:val="0"/>
      <w:marTop w:val="0"/>
      <w:marBottom w:val="0"/>
      <w:divBdr>
        <w:top w:val="none" w:sz="0" w:space="0" w:color="auto"/>
        <w:left w:val="none" w:sz="0" w:space="0" w:color="auto"/>
        <w:bottom w:val="none" w:sz="0" w:space="0" w:color="auto"/>
        <w:right w:val="none" w:sz="0" w:space="0" w:color="auto"/>
      </w:divBdr>
    </w:div>
    <w:div w:id="732435421">
      <w:bodyDiv w:val="1"/>
      <w:marLeft w:val="0"/>
      <w:marRight w:val="0"/>
      <w:marTop w:val="0"/>
      <w:marBottom w:val="0"/>
      <w:divBdr>
        <w:top w:val="none" w:sz="0" w:space="0" w:color="auto"/>
        <w:left w:val="none" w:sz="0" w:space="0" w:color="auto"/>
        <w:bottom w:val="none" w:sz="0" w:space="0" w:color="auto"/>
        <w:right w:val="none" w:sz="0" w:space="0" w:color="auto"/>
      </w:divBdr>
    </w:div>
    <w:div w:id="735275622">
      <w:bodyDiv w:val="1"/>
      <w:marLeft w:val="0"/>
      <w:marRight w:val="0"/>
      <w:marTop w:val="0"/>
      <w:marBottom w:val="0"/>
      <w:divBdr>
        <w:top w:val="none" w:sz="0" w:space="0" w:color="auto"/>
        <w:left w:val="none" w:sz="0" w:space="0" w:color="auto"/>
        <w:bottom w:val="none" w:sz="0" w:space="0" w:color="auto"/>
        <w:right w:val="none" w:sz="0" w:space="0" w:color="auto"/>
      </w:divBdr>
    </w:div>
    <w:div w:id="757139114">
      <w:bodyDiv w:val="1"/>
      <w:marLeft w:val="0"/>
      <w:marRight w:val="0"/>
      <w:marTop w:val="0"/>
      <w:marBottom w:val="0"/>
      <w:divBdr>
        <w:top w:val="none" w:sz="0" w:space="0" w:color="auto"/>
        <w:left w:val="none" w:sz="0" w:space="0" w:color="auto"/>
        <w:bottom w:val="none" w:sz="0" w:space="0" w:color="auto"/>
        <w:right w:val="none" w:sz="0" w:space="0" w:color="auto"/>
      </w:divBdr>
    </w:div>
    <w:div w:id="824860345">
      <w:bodyDiv w:val="1"/>
      <w:marLeft w:val="0"/>
      <w:marRight w:val="0"/>
      <w:marTop w:val="0"/>
      <w:marBottom w:val="0"/>
      <w:divBdr>
        <w:top w:val="none" w:sz="0" w:space="0" w:color="auto"/>
        <w:left w:val="none" w:sz="0" w:space="0" w:color="auto"/>
        <w:bottom w:val="none" w:sz="0" w:space="0" w:color="auto"/>
        <w:right w:val="none" w:sz="0" w:space="0" w:color="auto"/>
      </w:divBdr>
    </w:div>
    <w:div w:id="905728144">
      <w:bodyDiv w:val="1"/>
      <w:marLeft w:val="0"/>
      <w:marRight w:val="0"/>
      <w:marTop w:val="0"/>
      <w:marBottom w:val="0"/>
      <w:divBdr>
        <w:top w:val="none" w:sz="0" w:space="0" w:color="auto"/>
        <w:left w:val="none" w:sz="0" w:space="0" w:color="auto"/>
        <w:bottom w:val="none" w:sz="0" w:space="0" w:color="auto"/>
        <w:right w:val="none" w:sz="0" w:space="0" w:color="auto"/>
      </w:divBdr>
    </w:div>
    <w:div w:id="989405529">
      <w:bodyDiv w:val="1"/>
      <w:marLeft w:val="0"/>
      <w:marRight w:val="0"/>
      <w:marTop w:val="0"/>
      <w:marBottom w:val="0"/>
      <w:divBdr>
        <w:top w:val="none" w:sz="0" w:space="0" w:color="auto"/>
        <w:left w:val="none" w:sz="0" w:space="0" w:color="auto"/>
        <w:bottom w:val="none" w:sz="0" w:space="0" w:color="auto"/>
        <w:right w:val="none" w:sz="0" w:space="0" w:color="auto"/>
      </w:divBdr>
    </w:div>
    <w:div w:id="1016152644">
      <w:bodyDiv w:val="1"/>
      <w:marLeft w:val="0"/>
      <w:marRight w:val="0"/>
      <w:marTop w:val="0"/>
      <w:marBottom w:val="0"/>
      <w:divBdr>
        <w:top w:val="none" w:sz="0" w:space="0" w:color="auto"/>
        <w:left w:val="none" w:sz="0" w:space="0" w:color="auto"/>
        <w:bottom w:val="none" w:sz="0" w:space="0" w:color="auto"/>
        <w:right w:val="none" w:sz="0" w:space="0" w:color="auto"/>
      </w:divBdr>
    </w:div>
    <w:div w:id="1030716048">
      <w:bodyDiv w:val="1"/>
      <w:marLeft w:val="0"/>
      <w:marRight w:val="0"/>
      <w:marTop w:val="0"/>
      <w:marBottom w:val="0"/>
      <w:divBdr>
        <w:top w:val="none" w:sz="0" w:space="0" w:color="auto"/>
        <w:left w:val="none" w:sz="0" w:space="0" w:color="auto"/>
        <w:bottom w:val="none" w:sz="0" w:space="0" w:color="auto"/>
        <w:right w:val="none" w:sz="0" w:space="0" w:color="auto"/>
      </w:divBdr>
      <w:divsChild>
        <w:div w:id="873152011">
          <w:marLeft w:val="0"/>
          <w:marRight w:val="0"/>
          <w:marTop w:val="0"/>
          <w:marBottom w:val="0"/>
          <w:divBdr>
            <w:top w:val="none" w:sz="0" w:space="0" w:color="auto"/>
            <w:left w:val="none" w:sz="0" w:space="0" w:color="auto"/>
            <w:bottom w:val="none" w:sz="0" w:space="0" w:color="auto"/>
            <w:right w:val="none" w:sz="0" w:space="0" w:color="auto"/>
          </w:divBdr>
        </w:div>
        <w:div w:id="1855145964">
          <w:marLeft w:val="0"/>
          <w:marRight w:val="0"/>
          <w:marTop w:val="0"/>
          <w:marBottom w:val="0"/>
          <w:divBdr>
            <w:top w:val="none" w:sz="0" w:space="0" w:color="auto"/>
            <w:left w:val="none" w:sz="0" w:space="0" w:color="auto"/>
            <w:bottom w:val="none" w:sz="0" w:space="0" w:color="auto"/>
            <w:right w:val="none" w:sz="0" w:space="0" w:color="auto"/>
          </w:divBdr>
        </w:div>
      </w:divsChild>
    </w:div>
    <w:div w:id="1045325661">
      <w:bodyDiv w:val="1"/>
      <w:marLeft w:val="0"/>
      <w:marRight w:val="0"/>
      <w:marTop w:val="0"/>
      <w:marBottom w:val="0"/>
      <w:divBdr>
        <w:top w:val="none" w:sz="0" w:space="0" w:color="auto"/>
        <w:left w:val="none" w:sz="0" w:space="0" w:color="auto"/>
        <w:bottom w:val="none" w:sz="0" w:space="0" w:color="auto"/>
        <w:right w:val="none" w:sz="0" w:space="0" w:color="auto"/>
      </w:divBdr>
    </w:div>
    <w:div w:id="1063067885">
      <w:bodyDiv w:val="1"/>
      <w:marLeft w:val="0"/>
      <w:marRight w:val="0"/>
      <w:marTop w:val="0"/>
      <w:marBottom w:val="0"/>
      <w:divBdr>
        <w:top w:val="none" w:sz="0" w:space="0" w:color="auto"/>
        <w:left w:val="none" w:sz="0" w:space="0" w:color="auto"/>
        <w:bottom w:val="none" w:sz="0" w:space="0" w:color="auto"/>
        <w:right w:val="none" w:sz="0" w:space="0" w:color="auto"/>
      </w:divBdr>
    </w:div>
    <w:div w:id="1090662569">
      <w:bodyDiv w:val="1"/>
      <w:marLeft w:val="0"/>
      <w:marRight w:val="0"/>
      <w:marTop w:val="0"/>
      <w:marBottom w:val="0"/>
      <w:divBdr>
        <w:top w:val="none" w:sz="0" w:space="0" w:color="auto"/>
        <w:left w:val="none" w:sz="0" w:space="0" w:color="auto"/>
        <w:bottom w:val="none" w:sz="0" w:space="0" w:color="auto"/>
        <w:right w:val="none" w:sz="0" w:space="0" w:color="auto"/>
      </w:divBdr>
    </w:div>
    <w:div w:id="1093747826">
      <w:bodyDiv w:val="1"/>
      <w:marLeft w:val="0"/>
      <w:marRight w:val="0"/>
      <w:marTop w:val="0"/>
      <w:marBottom w:val="0"/>
      <w:divBdr>
        <w:top w:val="none" w:sz="0" w:space="0" w:color="auto"/>
        <w:left w:val="none" w:sz="0" w:space="0" w:color="auto"/>
        <w:bottom w:val="none" w:sz="0" w:space="0" w:color="auto"/>
        <w:right w:val="none" w:sz="0" w:space="0" w:color="auto"/>
      </w:divBdr>
    </w:div>
    <w:div w:id="1101342017">
      <w:bodyDiv w:val="1"/>
      <w:marLeft w:val="0"/>
      <w:marRight w:val="0"/>
      <w:marTop w:val="0"/>
      <w:marBottom w:val="0"/>
      <w:divBdr>
        <w:top w:val="none" w:sz="0" w:space="0" w:color="auto"/>
        <w:left w:val="none" w:sz="0" w:space="0" w:color="auto"/>
        <w:bottom w:val="none" w:sz="0" w:space="0" w:color="auto"/>
        <w:right w:val="none" w:sz="0" w:space="0" w:color="auto"/>
      </w:divBdr>
    </w:div>
    <w:div w:id="1225675411">
      <w:bodyDiv w:val="1"/>
      <w:marLeft w:val="0"/>
      <w:marRight w:val="0"/>
      <w:marTop w:val="0"/>
      <w:marBottom w:val="0"/>
      <w:divBdr>
        <w:top w:val="none" w:sz="0" w:space="0" w:color="auto"/>
        <w:left w:val="none" w:sz="0" w:space="0" w:color="auto"/>
        <w:bottom w:val="none" w:sz="0" w:space="0" w:color="auto"/>
        <w:right w:val="none" w:sz="0" w:space="0" w:color="auto"/>
      </w:divBdr>
      <w:divsChild>
        <w:div w:id="747189353">
          <w:marLeft w:val="0"/>
          <w:marRight w:val="0"/>
          <w:marTop w:val="0"/>
          <w:marBottom w:val="0"/>
          <w:divBdr>
            <w:top w:val="none" w:sz="0" w:space="0" w:color="auto"/>
            <w:left w:val="none" w:sz="0" w:space="0" w:color="auto"/>
            <w:bottom w:val="none" w:sz="0" w:space="0" w:color="auto"/>
            <w:right w:val="none" w:sz="0" w:space="0" w:color="auto"/>
          </w:divBdr>
          <w:divsChild>
            <w:div w:id="953486218">
              <w:marLeft w:val="0"/>
              <w:marRight w:val="0"/>
              <w:marTop w:val="0"/>
              <w:marBottom w:val="0"/>
              <w:divBdr>
                <w:top w:val="none" w:sz="0" w:space="0" w:color="auto"/>
                <w:left w:val="none" w:sz="0" w:space="0" w:color="auto"/>
                <w:bottom w:val="none" w:sz="0" w:space="0" w:color="auto"/>
                <w:right w:val="none" w:sz="0" w:space="0" w:color="auto"/>
              </w:divBdr>
              <w:divsChild>
                <w:div w:id="654380719">
                  <w:marLeft w:val="0"/>
                  <w:marRight w:val="0"/>
                  <w:marTop w:val="0"/>
                  <w:marBottom w:val="0"/>
                  <w:divBdr>
                    <w:top w:val="none" w:sz="0" w:space="0" w:color="auto"/>
                    <w:left w:val="none" w:sz="0" w:space="0" w:color="auto"/>
                    <w:bottom w:val="none" w:sz="0" w:space="0" w:color="auto"/>
                    <w:right w:val="none" w:sz="0" w:space="0" w:color="auto"/>
                  </w:divBdr>
                </w:div>
                <w:div w:id="17087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06071">
      <w:bodyDiv w:val="1"/>
      <w:marLeft w:val="0"/>
      <w:marRight w:val="0"/>
      <w:marTop w:val="0"/>
      <w:marBottom w:val="0"/>
      <w:divBdr>
        <w:top w:val="none" w:sz="0" w:space="0" w:color="auto"/>
        <w:left w:val="none" w:sz="0" w:space="0" w:color="auto"/>
        <w:bottom w:val="none" w:sz="0" w:space="0" w:color="auto"/>
        <w:right w:val="none" w:sz="0" w:space="0" w:color="auto"/>
      </w:divBdr>
    </w:div>
    <w:div w:id="1282760664">
      <w:bodyDiv w:val="1"/>
      <w:marLeft w:val="0"/>
      <w:marRight w:val="0"/>
      <w:marTop w:val="0"/>
      <w:marBottom w:val="0"/>
      <w:divBdr>
        <w:top w:val="none" w:sz="0" w:space="0" w:color="auto"/>
        <w:left w:val="none" w:sz="0" w:space="0" w:color="auto"/>
        <w:bottom w:val="none" w:sz="0" w:space="0" w:color="auto"/>
        <w:right w:val="none" w:sz="0" w:space="0" w:color="auto"/>
      </w:divBdr>
    </w:div>
    <w:div w:id="1306396338">
      <w:bodyDiv w:val="1"/>
      <w:marLeft w:val="0"/>
      <w:marRight w:val="0"/>
      <w:marTop w:val="0"/>
      <w:marBottom w:val="0"/>
      <w:divBdr>
        <w:top w:val="none" w:sz="0" w:space="0" w:color="auto"/>
        <w:left w:val="none" w:sz="0" w:space="0" w:color="auto"/>
        <w:bottom w:val="none" w:sz="0" w:space="0" w:color="auto"/>
        <w:right w:val="none" w:sz="0" w:space="0" w:color="auto"/>
      </w:divBdr>
    </w:div>
    <w:div w:id="1346634850">
      <w:bodyDiv w:val="1"/>
      <w:marLeft w:val="0"/>
      <w:marRight w:val="0"/>
      <w:marTop w:val="0"/>
      <w:marBottom w:val="0"/>
      <w:divBdr>
        <w:top w:val="none" w:sz="0" w:space="0" w:color="auto"/>
        <w:left w:val="none" w:sz="0" w:space="0" w:color="auto"/>
        <w:bottom w:val="none" w:sz="0" w:space="0" w:color="auto"/>
        <w:right w:val="none" w:sz="0" w:space="0" w:color="auto"/>
      </w:divBdr>
    </w:div>
    <w:div w:id="1385256008">
      <w:bodyDiv w:val="1"/>
      <w:marLeft w:val="0"/>
      <w:marRight w:val="0"/>
      <w:marTop w:val="0"/>
      <w:marBottom w:val="0"/>
      <w:divBdr>
        <w:top w:val="none" w:sz="0" w:space="0" w:color="auto"/>
        <w:left w:val="none" w:sz="0" w:space="0" w:color="auto"/>
        <w:bottom w:val="none" w:sz="0" w:space="0" w:color="auto"/>
        <w:right w:val="none" w:sz="0" w:space="0" w:color="auto"/>
      </w:divBdr>
    </w:div>
    <w:div w:id="1487890959">
      <w:bodyDiv w:val="1"/>
      <w:marLeft w:val="0"/>
      <w:marRight w:val="0"/>
      <w:marTop w:val="0"/>
      <w:marBottom w:val="0"/>
      <w:divBdr>
        <w:top w:val="none" w:sz="0" w:space="0" w:color="auto"/>
        <w:left w:val="none" w:sz="0" w:space="0" w:color="auto"/>
        <w:bottom w:val="none" w:sz="0" w:space="0" w:color="auto"/>
        <w:right w:val="none" w:sz="0" w:space="0" w:color="auto"/>
      </w:divBdr>
    </w:div>
    <w:div w:id="1488279200">
      <w:bodyDiv w:val="1"/>
      <w:marLeft w:val="0"/>
      <w:marRight w:val="0"/>
      <w:marTop w:val="0"/>
      <w:marBottom w:val="0"/>
      <w:divBdr>
        <w:top w:val="none" w:sz="0" w:space="0" w:color="auto"/>
        <w:left w:val="none" w:sz="0" w:space="0" w:color="auto"/>
        <w:bottom w:val="none" w:sz="0" w:space="0" w:color="auto"/>
        <w:right w:val="none" w:sz="0" w:space="0" w:color="auto"/>
      </w:divBdr>
    </w:div>
    <w:div w:id="1533496881">
      <w:bodyDiv w:val="1"/>
      <w:marLeft w:val="0"/>
      <w:marRight w:val="0"/>
      <w:marTop w:val="0"/>
      <w:marBottom w:val="0"/>
      <w:divBdr>
        <w:top w:val="none" w:sz="0" w:space="0" w:color="auto"/>
        <w:left w:val="none" w:sz="0" w:space="0" w:color="auto"/>
        <w:bottom w:val="none" w:sz="0" w:space="0" w:color="auto"/>
        <w:right w:val="none" w:sz="0" w:space="0" w:color="auto"/>
      </w:divBdr>
    </w:div>
    <w:div w:id="1571767572">
      <w:bodyDiv w:val="1"/>
      <w:marLeft w:val="0"/>
      <w:marRight w:val="0"/>
      <w:marTop w:val="0"/>
      <w:marBottom w:val="0"/>
      <w:divBdr>
        <w:top w:val="none" w:sz="0" w:space="0" w:color="auto"/>
        <w:left w:val="none" w:sz="0" w:space="0" w:color="auto"/>
        <w:bottom w:val="none" w:sz="0" w:space="0" w:color="auto"/>
        <w:right w:val="none" w:sz="0" w:space="0" w:color="auto"/>
      </w:divBdr>
    </w:div>
    <w:div w:id="1611547070">
      <w:bodyDiv w:val="1"/>
      <w:marLeft w:val="0"/>
      <w:marRight w:val="0"/>
      <w:marTop w:val="0"/>
      <w:marBottom w:val="0"/>
      <w:divBdr>
        <w:top w:val="none" w:sz="0" w:space="0" w:color="auto"/>
        <w:left w:val="none" w:sz="0" w:space="0" w:color="auto"/>
        <w:bottom w:val="none" w:sz="0" w:space="0" w:color="auto"/>
        <w:right w:val="none" w:sz="0" w:space="0" w:color="auto"/>
      </w:divBdr>
    </w:div>
    <w:div w:id="1649243477">
      <w:bodyDiv w:val="1"/>
      <w:marLeft w:val="0"/>
      <w:marRight w:val="0"/>
      <w:marTop w:val="0"/>
      <w:marBottom w:val="0"/>
      <w:divBdr>
        <w:top w:val="none" w:sz="0" w:space="0" w:color="auto"/>
        <w:left w:val="none" w:sz="0" w:space="0" w:color="auto"/>
        <w:bottom w:val="none" w:sz="0" w:space="0" w:color="auto"/>
        <w:right w:val="none" w:sz="0" w:space="0" w:color="auto"/>
      </w:divBdr>
    </w:div>
    <w:div w:id="1690332956">
      <w:bodyDiv w:val="1"/>
      <w:marLeft w:val="0"/>
      <w:marRight w:val="0"/>
      <w:marTop w:val="0"/>
      <w:marBottom w:val="0"/>
      <w:divBdr>
        <w:top w:val="none" w:sz="0" w:space="0" w:color="auto"/>
        <w:left w:val="none" w:sz="0" w:space="0" w:color="auto"/>
        <w:bottom w:val="none" w:sz="0" w:space="0" w:color="auto"/>
        <w:right w:val="none" w:sz="0" w:space="0" w:color="auto"/>
      </w:divBdr>
    </w:div>
    <w:div w:id="1833402216">
      <w:bodyDiv w:val="1"/>
      <w:marLeft w:val="0"/>
      <w:marRight w:val="0"/>
      <w:marTop w:val="0"/>
      <w:marBottom w:val="0"/>
      <w:divBdr>
        <w:top w:val="none" w:sz="0" w:space="0" w:color="auto"/>
        <w:left w:val="none" w:sz="0" w:space="0" w:color="auto"/>
        <w:bottom w:val="none" w:sz="0" w:space="0" w:color="auto"/>
        <w:right w:val="none" w:sz="0" w:space="0" w:color="auto"/>
      </w:divBdr>
    </w:div>
    <w:div w:id="1878001721">
      <w:bodyDiv w:val="1"/>
      <w:marLeft w:val="0"/>
      <w:marRight w:val="0"/>
      <w:marTop w:val="0"/>
      <w:marBottom w:val="0"/>
      <w:divBdr>
        <w:top w:val="none" w:sz="0" w:space="0" w:color="auto"/>
        <w:left w:val="none" w:sz="0" w:space="0" w:color="auto"/>
        <w:bottom w:val="none" w:sz="0" w:space="0" w:color="auto"/>
        <w:right w:val="none" w:sz="0" w:space="0" w:color="auto"/>
      </w:divBdr>
    </w:div>
    <w:div w:id="1918131929">
      <w:bodyDiv w:val="1"/>
      <w:marLeft w:val="0"/>
      <w:marRight w:val="0"/>
      <w:marTop w:val="0"/>
      <w:marBottom w:val="0"/>
      <w:divBdr>
        <w:top w:val="none" w:sz="0" w:space="0" w:color="auto"/>
        <w:left w:val="none" w:sz="0" w:space="0" w:color="auto"/>
        <w:bottom w:val="none" w:sz="0" w:space="0" w:color="auto"/>
        <w:right w:val="none" w:sz="0" w:space="0" w:color="auto"/>
      </w:divBdr>
    </w:div>
    <w:div w:id="1948268279">
      <w:bodyDiv w:val="1"/>
      <w:marLeft w:val="0"/>
      <w:marRight w:val="0"/>
      <w:marTop w:val="0"/>
      <w:marBottom w:val="0"/>
      <w:divBdr>
        <w:top w:val="none" w:sz="0" w:space="0" w:color="auto"/>
        <w:left w:val="none" w:sz="0" w:space="0" w:color="auto"/>
        <w:bottom w:val="none" w:sz="0" w:space="0" w:color="auto"/>
        <w:right w:val="none" w:sz="0" w:space="0" w:color="auto"/>
      </w:divBdr>
    </w:div>
    <w:div w:id="1956667883">
      <w:bodyDiv w:val="1"/>
      <w:marLeft w:val="0"/>
      <w:marRight w:val="0"/>
      <w:marTop w:val="0"/>
      <w:marBottom w:val="0"/>
      <w:divBdr>
        <w:top w:val="none" w:sz="0" w:space="0" w:color="auto"/>
        <w:left w:val="none" w:sz="0" w:space="0" w:color="auto"/>
        <w:bottom w:val="none" w:sz="0" w:space="0" w:color="auto"/>
        <w:right w:val="none" w:sz="0" w:space="0" w:color="auto"/>
      </w:divBdr>
    </w:div>
    <w:div w:id="1962414423">
      <w:bodyDiv w:val="1"/>
      <w:marLeft w:val="0"/>
      <w:marRight w:val="0"/>
      <w:marTop w:val="0"/>
      <w:marBottom w:val="0"/>
      <w:divBdr>
        <w:top w:val="none" w:sz="0" w:space="0" w:color="auto"/>
        <w:left w:val="none" w:sz="0" w:space="0" w:color="auto"/>
        <w:bottom w:val="none" w:sz="0" w:space="0" w:color="auto"/>
        <w:right w:val="none" w:sz="0" w:space="0" w:color="auto"/>
      </w:divBdr>
    </w:div>
    <w:div w:id="1997101202">
      <w:bodyDiv w:val="1"/>
      <w:marLeft w:val="0"/>
      <w:marRight w:val="0"/>
      <w:marTop w:val="0"/>
      <w:marBottom w:val="0"/>
      <w:divBdr>
        <w:top w:val="none" w:sz="0" w:space="0" w:color="auto"/>
        <w:left w:val="none" w:sz="0" w:space="0" w:color="auto"/>
        <w:bottom w:val="none" w:sz="0" w:space="0" w:color="auto"/>
        <w:right w:val="none" w:sz="0" w:space="0" w:color="auto"/>
      </w:divBdr>
    </w:div>
    <w:div w:id="2006202318">
      <w:bodyDiv w:val="1"/>
      <w:marLeft w:val="0"/>
      <w:marRight w:val="0"/>
      <w:marTop w:val="0"/>
      <w:marBottom w:val="0"/>
      <w:divBdr>
        <w:top w:val="none" w:sz="0" w:space="0" w:color="auto"/>
        <w:left w:val="none" w:sz="0" w:space="0" w:color="auto"/>
        <w:bottom w:val="none" w:sz="0" w:space="0" w:color="auto"/>
        <w:right w:val="none" w:sz="0" w:space="0" w:color="auto"/>
      </w:divBdr>
    </w:div>
    <w:div w:id="2029136296">
      <w:bodyDiv w:val="1"/>
      <w:marLeft w:val="0"/>
      <w:marRight w:val="0"/>
      <w:marTop w:val="0"/>
      <w:marBottom w:val="0"/>
      <w:divBdr>
        <w:top w:val="none" w:sz="0" w:space="0" w:color="auto"/>
        <w:left w:val="none" w:sz="0" w:space="0" w:color="auto"/>
        <w:bottom w:val="none" w:sz="0" w:space="0" w:color="auto"/>
        <w:right w:val="none" w:sz="0" w:space="0" w:color="auto"/>
      </w:divBdr>
    </w:div>
    <w:div w:id="2050183597">
      <w:bodyDiv w:val="1"/>
      <w:marLeft w:val="0"/>
      <w:marRight w:val="0"/>
      <w:marTop w:val="0"/>
      <w:marBottom w:val="0"/>
      <w:divBdr>
        <w:top w:val="none" w:sz="0" w:space="0" w:color="auto"/>
        <w:left w:val="none" w:sz="0" w:space="0" w:color="auto"/>
        <w:bottom w:val="none" w:sz="0" w:space="0" w:color="auto"/>
        <w:right w:val="none" w:sz="0" w:space="0" w:color="auto"/>
      </w:divBdr>
    </w:div>
    <w:div w:id="2055080745">
      <w:bodyDiv w:val="1"/>
      <w:marLeft w:val="0"/>
      <w:marRight w:val="0"/>
      <w:marTop w:val="0"/>
      <w:marBottom w:val="0"/>
      <w:divBdr>
        <w:top w:val="none" w:sz="0" w:space="0" w:color="auto"/>
        <w:left w:val="none" w:sz="0" w:space="0" w:color="auto"/>
        <w:bottom w:val="none" w:sz="0" w:space="0" w:color="auto"/>
        <w:right w:val="none" w:sz="0" w:space="0" w:color="auto"/>
      </w:divBdr>
    </w:div>
    <w:div w:id="2059474427">
      <w:bodyDiv w:val="1"/>
      <w:marLeft w:val="0"/>
      <w:marRight w:val="0"/>
      <w:marTop w:val="0"/>
      <w:marBottom w:val="0"/>
      <w:divBdr>
        <w:top w:val="none" w:sz="0" w:space="0" w:color="auto"/>
        <w:left w:val="none" w:sz="0" w:space="0" w:color="auto"/>
        <w:bottom w:val="none" w:sz="0" w:space="0" w:color="auto"/>
        <w:right w:val="none" w:sz="0" w:space="0" w:color="auto"/>
      </w:divBdr>
    </w:div>
    <w:div w:id="2071028223">
      <w:bodyDiv w:val="1"/>
      <w:marLeft w:val="0"/>
      <w:marRight w:val="0"/>
      <w:marTop w:val="0"/>
      <w:marBottom w:val="0"/>
      <w:divBdr>
        <w:top w:val="none" w:sz="0" w:space="0" w:color="auto"/>
        <w:left w:val="none" w:sz="0" w:space="0" w:color="auto"/>
        <w:bottom w:val="none" w:sz="0" w:space="0" w:color="auto"/>
        <w:right w:val="none" w:sz="0" w:space="0" w:color="auto"/>
      </w:divBdr>
      <w:divsChild>
        <w:div w:id="80102854">
          <w:marLeft w:val="0"/>
          <w:marRight w:val="0"/>
          <w:marTop w:val="0"/>
          <w:marBottom w:val="0"/>
          <w:divBdr>
            <w:top w:val="none" w:sz="0" w:space="0" w:color="auto"/>
            <w:left w:val="none" w:sz="0" w:space="0" w:color="auto"/>
            <w:bottom w:val="none" w:sz="0" w:space="0" w:color="auto"/>
            <w:right w:val="none" w:sz="0" w:space="0" w:color="auto"/>
          </w:divBdr>
        </w:div>
        <w:div w:id="592250600">
          <w:marLeft w:val="0"/>
          <w:marRight w:val="0"/>
          <w:marTop w:val="0"/>
          <w:marBottom w:val="0"/>
          <w:divBdr>
            <w:top w:val="none" w:sz="0" w:space="0" w:color="auto"/>
            <w:left w:val="none" w:sz="0" w:space="0" w:color="auto"/>
            <w:bottom w:val="none" w:sz="0" w:space="0" w:color="auto"/>
            <w:right w:val="none" w:sz="0" w:space="0" w:color="auto"/>
          </w:divBdr>
          <w:divsChild>
            <w:div w:id="15963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masmamas1@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ECFD-C607-4289-ABD2-07631FCF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_</vt:lpstr>
    </vt:vector>
  </TitlesOfParts>
  <Company>UHS</Company>
  <LinksUpToDate>false</LinksUpToDate>
  <CharactersWithSpaces>31838</CharactersWithSpaces>
  <SharedDoc>false</SharedDoc>
  <HLinks>
    <vt:vector size="126" baseType="variant">
      <vt:variant>
        <vt:i4>7864387</vt:i4>
      </vt:variant>
      <vt:variant>
        <vt:i4>3</vt:i4>
      </vt:variant>
      <vt:variant>
        <vt:i4>0</vt:i4>
      </vt:variant>
      <vt:variant>
        <vt:i4>5</vt:i4>
      </vt:variant>
      <vt:variant>
        <vt:lpwstr>mailto:mamasmamas1@yahoo.co.uk</vt:lpwstr>
      </vt:variant>
      <vt:variant>
        <vt:lpwstr/>
      </vt:variant>
      <vt:variant>
        <vt:i4>6619256</vt:i4>
      </vt:variant>
      <vt:variant>
        <vt:i4>0</vt:i4>
      </vt:variant>
      <vt:variant>
        <vt:i4>0</vt:i4>
      </vt:variant>
      <vt:variant>
        <vt:i4>5</vt:i4>
      </vt:variant>
      <vt:variant>
        <vt:lpwstr>mailto:shingkwok@doctors.org.uk</vt:lpwstr>
      </vt:variant>
      <vt:variant>
        <vt:lpwstr/>
      </vt:variant>
      <vt:variant>
        <vt:i4>524382</vt:i4>
      </vt:variant>
      <vt:variant>
        <vt:i4>54</vt:i4>
      </vt:variant>
      <vt:variant>
        <vt:i4>0</vt:i4>
      </vt:variant>
      <vt:variant>
        <vt:i4>5</vt:i4>
      </vt:variant>
      <vt:variant>
        <vt:lpwstr>https://www.ncbi.nlm.nih.gov/pubmed/25301457</vt:lpwstr>
      </vt:variant>
      <vt:variant>
        <vt:lpwstr/>
      </vt:variant>
      <vt:variant>
        <vt:i4>524382</vt:i4>
      </vt:variant>
      <vt:variant>
        <vt:i4>51</vt:i4>
      </vt:variant>
      <vt:variant>
        <vt:i4>0</vt:i4>
      </vt:variant>
      <vt:variant>
        <vt:i4>5</vt:i4>
      </vt:variant>
      <vt:variant>
        <vt:lpwstr>https://www.ncbi.nlm.nih.gov/pubmed/25301457</vt:lpwstr>
      </vt:variant>
      <vt:variant>
        <vt:lpwstr/>
      </vt:variant>
      <vt:variant>
        <vt:i4>2949124</vt:i4>
      </vt:variant>
      <vt:variant>
        <vt:i4>48</vt:i4>
      </vt:variant>
      <vt:variant>
        <vt:i4>0</vt:i4>
      </vt:variant>
      <vt:variant>
        <vt:i4>5</vt:i4>
      </vt:variant>
      <vt:variant>
        <vt:lpwstr>https://www.ncbi.nlm.nih.gov/pubmed/?term=Stone GW%5BAuthor%5D&amp;cauthor=true&amp;cauthor_uid=21700252</vt:lpwstr>
      </vt:variant>
      <vt:variant>
        <vt:lpwstr/>
      </vt:variant>
      <vt:variant>
        <vt:i4>4259952</vt:i4>
      </vt:variant>
      <vt:variant>
        <vt:i4>45</vt:i4>
      </vt:variant>
      <vt:variant>
        <vt:i4>0</vt:i4>
      </vt:variant>
      <vt:variant>
        <vt:i4>5</vt:i4>
      </vt:variant>
      <vt:variant>
        <vt:lpwstr>https://www.ncbi.nlm.nih.gov/pubmed/?term=Lincoff AM%5BAuthor%5D&amp;cauthor=true&amp;cauthor_uid=21700252</vt:lpwstr>
      </vt:variant>
      <vt:variant>
        <vt:lpwstr/>
      </vt:variant>
      <vt:variant>
        <vt:i4>4784154</vt:i4>
      </vt:variant>
      <vt:variant>
        <vt:i4>42</vt:i4>
      </vt:variant>
      <vt:variant>
        <vt:i4>0</vt:i4>
      </vt:variant>
      <vt:variant>
        <vt:i4>5</vt:i4>
      </vt:variant>
      <vt:variant>
        <vt:lpwstr>https://www.ncbi.nlm.nih.gov/pubmed/?term=Lansky AJ%5BAuthor%5D&amp;cauthor=true&amp;cauthor_uid=21700252</vt:lpwstr>
      </vt:variant>
      <vt:variant>
        <vt:lpwstr/>
      </vt:variant>
      <vt:variant>
        <vt:i4>6619211</vt:i4>
      </vt:variant>
      <vt:variant>
        <vt:i4>39</vt:i4>
      </vt:variant>
      <vt:variant>
        <vt:i4>0</vt:i4>
      </vt:variant>
      <vt:variant>
        <vt:i4>5</vt:i4>
      </vt:variant>
      <vt:variant>
        <vt:lpwstr>https://www.ncbi.nlm.nih.gov/pubmed/?term=Parise H%5BAuthor%5D&amp;cauthor=true&amp;cauthor_uid=21700252</vt:lpwstr>
      </vt:variant>
      <vt:variant>
        <vt:lpwstr/>
      </vt:variant>
      <vt:variant>
        <vt:i4>2359315</vt:i4>
      </vt:variant>
      <vt:variant>
        <vt:i4>36</vt:i4>
      </vt:variant>
      <vt:variant>
        <vt:i4>0</vt:i4>
      </vt:variant>
      <vt:variant>
        <vt:i4>5</vt:i4>
      </vt:variant>
      <vt:variant>
        <vt:lpwstr>https://www.ncbi.nlm.nih.gov/pubmed/?term=Ohman EM%5BAuthor%5D&amp;cauthor=true&amp;cauthor_uid=21700252</vt:lpwstr>
      </vt:variant>
      <vt:variant>
        <vt:lpwstr/>
      </vt:variant>
      <vt:variant>
        <vt:i4>1638454</vt:i4>
      </vt:variant>
      <vt:variant>
        <vt:i4>33</vt:i4>
      </vt:variant>
      <vt:variant>
        <vt:i4>0</vt:i4>
      </vt:variant>
      <vt:variant>
        <vt:i4>5</vt:i4>
      </vt:variant>
      <vt:variant>
        <vt:lpwstr>https://www.ncbi.nlm.nih.gov/pubmed/?term=Bertrand M%5BAuthor%5D&amp;cauthor=true&amp;cauthor_uid=21700252</vt:lpwstr>
      </vt:variant>
      <vt:variant>
        <vt:lpwstr/>
      </vt:variant>
      <vt:variant>
        <vt:i4>8323114</vt:i4>
      </vt:variant>
      <vt:variant>
        <vt:i4>30</vt:i4>
      </vt:variant>
      <vt:variant>
        <vt:i4>0</vt:i4>
      </vt:variant>
      <vt:variant>
        <vt:i4>5</vt:i4>
      </vt:variant>
      <vt:variant>
        <vt:lpwstr>https://www.ncbi.nlm.nih.gov/pubmed/?term=White H%5BAuthor%5D&amp;cauthor=true&amp;cauthor_uid=21700252</vt:lpwstr>
      </vt:variant>
      <vt:variant>
        <vt:lpwstr/>
      </vt:variant>
      <vt:variant>
        <vt:i4>3276824</vt:i4>
      </vt:variant>
      <vt:variant>
        <vt:i4>27</vt:i4>
      </vt:variant>
      <vt:variant>
        <vt:i4>0</vt:i4>
      </vt:variant>
      <vt:variant>
        <vt:i4>5</vt:i4>
      </vt:variant>
      <vt:variant>
        <vt:lpwstr>https://www.ncbi.nlm.nih.gov/pubmed/?term=Manoukian SV%5BAuthor%5D&amp;cauthor=true&amp;cauthor_uid=21700252</vt:lpwstr>
      </vt:variant>
      <vt:variant>
        <vt:lpwstr/>
      </vt:variant>
      <vt:variant>
        <vt:i4>1507381</vt:i4>
      </vt:variant>
      <vt:variant>
        <vt:i4>24</vt:i4>
      </vt:variant>
      <vt:variant>
        <vt:i4>0</vt:i4>
      </vt:variant>
      <vt:variant>
        <vt:i4>5</vt:i4>
      </vt:variant>
      <vt:variant>
        <vt:lpwstr>https://www.ncbi.nlm.nih.gov/pubmed/?term=Feit F%5BAuthor%5D&amp;cauthor=true&amp;cauthor_uid=21700252</vt:lpwstr>
      </vt:variant>
      <vt:variant>
        <vt:lpwstr/>
      </vt:variant>
      <vt:variant>
        <vt:i4>917590</vt:i4>
      </vt:variant>
      <vt:variant>
        <vt:i4>21</vt:i4>
      </vt:variant>
      <vt:variant>
        <vt:i4>0</vt:i4>
      </vt:variant>
      <vt:variant>
        <vt:i4>5</vt:i4>
      </vt:variant>
      <vt:variant>
        <vt:lpwstr>https://www.ncbi.nlm.nih.gov/pubmed/?term=Caixeta A%5BAuthor%5D&amp;cauthor=true&amp;cauthor_uid=21700252</vt:lpwstr>
      </vt:variant>
      <vt:variant>
        <vt:lpwstr/>
      </vt:variant>
      <vt:variant>
        <vt:i4>3473512</vt:i4>
      </vt:variant>
      <vt:variant>
        <vt:i4>18</vt:i4>
      </vt:variant>
      <vt:variant>
        <vt:i4>0</vt:i4>
      </vt:variant>
      <vt:variant>
        <vt:i4>5</vt:i4>
      </vt:variant>
      <vt:variant>
        <vt:lpwstr>https://www.ncbi.nlm.nih.gov/pubmed/?term=Claessen BE%5BAuthor%5D&amp;cauthor=true&amp;cauthor_uid=21700252</vt:lpwstr>
      </vt:variant>
      <vt:variant>
        <vt:lpwstr/>
      </vt:variant>
      <vt:variant>
        <vt:i4>1638485</vt:i4>
      </vt:variant>
      <vt:variant>
        <vt:i4>15</vt:i4>
      </vt:variant>
      <vt:variant>
        <vt:i4>0</vt:i4>
      </vt:variant>
      <vt:variant>
        <vt:i4>5</vt:i4>
      </vt:variant>
      <vt:variant>
        <vt:lpwstr>https://www.ncbi.nlm.nih.gov/pubmed/?term=Clayton T%5BAuthor%5D&amp;cauthor=true&amp;cauthor_uid=21700252</vt:lpwstr>
      </vt:variant>
      <vt:variant>
        <vt:lpwstr/>
      </vt:variant>
      <vt:variant>
        <vt:i4>5308438</vt:i4>
      </vt:variant>
      <vt:variant>
        <vt:i4>12</vt:i4>
      </vt:variant>
      <vt:variant>
        <vt:i4>0</vt:i4>
      </vt:variant>
      <vt:variant>
        <vt:i4>5</vt:i4>
      </vt:variant>
      <vt:variant>
        <vt:lpwstr>https://www.ncbi.nlm.nih.gov/pubmed/?term=Dangas GD%5BAuthor%5D&amp;cauthor=true&amp;cauthor_uid=21700252</vt:lpwstr>
      </vt:variant>
      <vt:variant>
        <vt:lpwstr/>
      </vt:variant>
      <vt:variant>
        <vt:i4>589880</vt:i4>
      </vt:variant>
      <vt:variant>
        <vt:i4>9</vt:i4>
      </vt:variant>
      <vt:variant>
        <vt:i4>0</vt:i4>
      </vt:variant>
      <vt:variant>
        <vt:i4>5</vt:i4>
      </vt:variant>
      <vt:variant>
        <vt:lpwstr>https://www.ncbi.nlm.nih.gov/pubmed/?term=Nikolsky E%5BAuthor%5D&amp;cauthor=true&amp;cauthor_uid=21700252</vt:lpwstr>
      </vt:variant>
      <vt:variant>
        <vt:lpwstr/>
      </vt:variant>
      <vt:variant>
        <vt:i4>7864394</vt:i4>
      </vt:variant>
      <vt:variant>
        <vt:i4>6</vt:i4>
      </vt:variant>
      <vt:variant>
        <vt:i4>0</vt:i4>
      </vt:variant>
      <vt:variant>
        <vt:i4>5</vt:i4>
      </vt:variant>
      <vt:variant>
        <vt:lpwstr>https://www.ncbi.nlm.nih.gov/pubmed/?term=Pocock S%5BAuthor%5D&amp;cauthor=true&amp;cauthor_uid=21700252</vt:lpwstr>
      </vt:variant>
      <vt:variant>
        <vt:lpwstr/>
      </vt:variant>
      <vt:variant>
        <vt:i4>7012446</vt:i4>
      </vt:variant>
      <vt:variant>
        <vt:i4>3</vt:i4>
      </vt:variant>
      <vt:variant>
        <vt:i4>0</vt:i4>
      </vt:variant>
      <vt:variant>
        <vt:i4>5</vt:i4>
      </vt:variant>
      <vt:variant>
        <vt:lpwstr>https://www.ncbi.nlm.nih.gov/pubmed/?term=Mehran R%5BAuthor%5D&amp;cauthor=true&amp;cauthor_uid=21700252</vt:lpwstr>
      </vt:variant>
      <vt:variant>
        <vt:lpwstr/>
      </vt:variant>
      <vt:variant>
        <vt:i4>6357084</vt:i4>
      </vt:variant>
      <vt:variant>
        <vt:i4>0</vt:i4>
      </vt:variant>
      <vt:variant>
        <vt:i4>0</vt:i4>
      </vt:variant>
      <vt:variant>
        <vt:i4>5</vt:i4>
      </vt:variant>
      <vt:variant>
        <vt:lpwstr>https://www.ncbi.nlm.nih.gov/pubmed/?term=Impact+of+Bleeding+on+Mortality+After+Percutaneous+Coronary+Intervention+%3A+Results+From+a+Patient-Level+Pooled+Analysis+of+the+REPLACE-2+%28Randomized+Evaluation+of+PCI+Linking+Angiomax+to+Reduced+Clinical+Events%29%2C+ACUITY+%28Acute+Catheterization+and+Urgent+Intervention+Triage+Strategy%29%2C+and+HORIZONS-AMI+%28Harmonizing+Outcomes+With+Revascularization+and+Stents+in+Acute+Myocardial+Infarction%29+T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Ivan Olier</dc:creator>
  <cp:keywords/>
  <dc:description/>
  <cp:lastModifiedBy>Muhammad Rashid</cp:lastModifiedBy>
  <cp:revision>4</cp:revision>
  <cp:lastPrinted>2016-03-17T09:16:00Z</cp:lastPrinted>
  <dcterms:created xsi:type="dcterms:W3CDTF">2018-05-18T11:33:00Z</dcterms:created>
  <dcterms:modified xsi:type="dcterms:W3CDTF">2018-05-18T16:26:00Z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iaolier@gmail.com@www.mendeley.com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WnCUserId">
    <vt:lpwstr>6521</vt:lpwstr>
  </property>
  <property fmtid="{D5CDD505-2E9C-101B-9397-08002B2CF9AE}" pid="26" name="WnCSubscriberId">
    <vt:lpwstr>5428</vt:lpwstr>
  </property>
  <property fmtid="{D5CDD505-2E9C-101B-9397-08002B2CF9AE}" pid="27" name="WnCOutputStyleId">
    <vt:lpwstr>193</vt:lpwstr>
  </property>
  <property fmtid="{D5CDD505-2E9C-101B-9397-08002B2CF9AE}" pid="28" name="RWProductId">
    <vt:lpwstr>WnC</vt:lpwstr>
  </property>
  <property fmtid="{D5CDD505-2E9C-101B-9397-08002B2CF9AE}" pid="29" name="WnCUser">
    <vt:lpwstr>(null)_5428</vt:lpwstr>
  </property>
  <property fmtid="{D5CDD505-2E9C-101B-9397-08002B2CF9AE}" pid="30" name="WnC4Folder">
    <vt:lpwstr>Documents///Bleeding manuscript revised</vt:lpwstr>
  </property>
</Properties>
</file>