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1216" w14:textId="77777777" w:rsidR="00A6326D" w:rsidRPr="00753B7F" w:rsidRDefault="00A6326D" w:rsidP="00A6326D">
      <w:pPr>
        <w:spacing w:line="480" w:lineRule="auto"/>
        <w:jc w:val="center"/>
        <w:rPr>
          <w:rFonts w:cstheme="minorHAnsi"/>
          <w:sz w:val="36"/>
          <w:szCs w:val="24"/>
        </w:rPr>
      </w:pPr>
      <w:bookmarkStart w:id="0" w:name="_GoBack"/>
      <w:bookmarkEnd w:id="0"/>
      <w:r w:rsidRPr="005B155F">
        <w:rPr>
          <w:rFonts w:cstheme="minorHAnsi"/>
          <w:sz w:val="24"/>
          <w:szCs w:val="19"/>
        </w:rPr>
        <w:t>Biocompatible Solutions and Long-Term Changes in Peritoneal Solute Transport</w:t>
      </w:r>
    </w:p>
    <w:p w14:paraId="0145A7F8" w14:textId="77777777" w:rsidR="001B43D7" w:rsidRPr="000C4295" w:rsidRDefault="006E5ACC" w:rsidP="00622078">
      <w:pPr>
        <w:spacing w:line="480" w:lineRule="auto"/>
        <w:rPr>
          <w:rFonts w:cs="Arial"/>
          <w:sz w:val="24"/>
          <w:szCs w:val="24"/>
          <w:vertAlign w:val="superscript"/>
        </w:rPr>
      </w:pPr>
      <w:r w:rsidRPr="00195C12">
        <w:rPr>
          <w:rFonts w:cs="Arial"/>
          <w:sz w:val="24"/>
          <w:szCs w:val="24"/>
        </w:rPr>
        <w:t>Emma H Elphick</w:t>
      </w:r>
      <w:r w:rsidR="00504D3A" w:rsidRPr="00504D3A">
        <w:rPr>
          <w:rFonts w:cs="Arial"/>
          <w:sz w:val="24"/>
          <w:szCs w:val="24"/>
          <w:vertAlign w:val="superscript"/>
        </w:rPr>
        <w:t>1</w:t>
      </w:r>
      <w:r w:rsidRPr="00195C12">
        <w:rPr>
          <w:rFonts w:cs="Arial"/>
          <w:sz w:val="24"/>
          <w:szCs w:val="24"/>
        </w:rPr>
        <w:t xml:space="preserve">, </w:t>
      </w:r>
      <w:r w:rsidR="00622078" w:rsidRPr="00195C12">
        <w:rPr>
          <w:rFonts w:cs="Arial"/>
          <w:sz w:val="24"/>
          <w:szCs w:val="24"/>
        </w:rPr>
        <w:t xml:space="preserve">Lucy </w:t>
      </w:r>
      <w:r w:rsidR="000E6F46">
        <w:rPr>
          <w:rFonts w:cs="Arial"/>
          <w:sz w:val="24"/>
          <w:szCs w:val="24"/>
        </w:rPr>
        <w:t>Teece</w:t>
      </w:r>
      <w:r w:rsidR="000E6F46" w:rsidRPr="00504D3A">
        <w:rPr>
          <w:rFonts w:cs="Arial"/>
          <w:sz w:val="24"/>
          <w:szCs w:val="24"/>
          <w:vertAlign w:val="superscript"/>
        </w:rPr>
        <w:t>1</w:t>
      </w:r>
      <w:r w:rsidR="00622078">
        <w:rPr>
          <w:rFonts w:cs="Arial"/>
          <w:sz w:val="24"/>
          <w:szCs w:val="24"/>
        </w:rPr>
        <w:t>,</w:t>
      </w:r>
      <w:r w:rsidR="00622078" w:rsidRPr="00195C12">
        <w:rPr>
          <w:rFonts w:cs="Arial"/>
          <w:sz w:val="24"/>
          <w:szCs w:val="24"/>
        </w:rPr>
        <w:t xml:space="preserve"> </w:t>
      </w:r>
      <w:r w:rsidR="007D1058" w:rsidRPr="00195C12">
        <w:rPr>
          <w:rFonts w:cs="Arial"/>
          <w:sz w:val="24"/>
          <w:szCs w:val="24"/>
        </w:rPr>
        <w:t>James A. Che</w:t>
      </w:r>
      <w:r w:rsidR="004B41FF">
        <w:rPr>
          <w:rFonts w:cs="Arial"/>
          <w:sz w:val="24"/>
          <w:szCs w:val="24"/>
        </w:rPr>
        <w:t>s</w:t>
      </w:r>
      <w:r w:rsidR="0066287E">
        <w:rPr>
          <w:rFonts w:cs="Arial"/>
          <w:sz w:val="24"/>
          <w:szCs w:val="24"/>
        </w:rPr>
        <w:t>s</w:t>
      </w:r>
      <w:r w:rsidR="007D1058" w:rsidRPr="00504D3A">
        <w:rPr>
          <w:rFonts w:cs="Arial"/>
          <w:sz w:val="24"/>
          <w:szCs w:val="24"/>
          <w:vertAlign w:val="superscript"/>
        </w:rPr>
        <w:t>2</w:t>
      </w:r>
      <w:r w:rsidR="007D1058" w:rsidRPr="00195C12">
        <w:rPr>
          <w:rFonts w:cs="Arial"/>
          <w:sz w:val="24"/>
          <w:szCs w:val="24"/>
        </w:rPr>
        <w:t xml:space="preserve">, </w:t>
      </w:r>
      <w:r w:rsidRPr="00195C12">
        <w:rPr>
          <w:rFonts w:cs="Arial"/>
          <w:sz w:val="24"/>
          <w:szCs w:val="24"/>
        </w:rPr>
        <w:t>Jun-Young Do</w:t>
      </w:r>
      <w:r w:rsidR="000C4295">
        <w:rPr>
          <w:rFonts w:cs="Arial"/>
          <w:sz w:val="24"/>
          <w:szCs w:val="24"/>
          <w:vertAlign w:val="superscript"/>
        </w:rPr>
        <w:t>3</w:t>
      </w:r>
      <w:r w:rsidRPr="00195C12">
        <w:rPr>
          <w:rFonts w:cs="Arial"/>
          <w:sz w:val="24"/>
          <w:szCs w:val="24"/>
        </w:rPr>
        <w:t>, Yong-Lim Kim</w:t>
      </w:r>
      <w:r w:rsidR="000C4295">
        <w:rPr>
          <w:rFonts w:cs="Arial"/>
          <w:sz w:val="24"/>
          <w:szCs w:val="24"/>
          <w:vertAlign w:val="superscript"/>
        </w:rPr>
        <w:t>4</w:t>
      </w:r>
      <w:r w:rsidRPr="00195C12">
        <w:rPr>
          <w:rFonts w:cs="Arial"/>
          <w:sz w:val="24"/>
          <w:szCs w:val="24"/>
        </w:rPr>
        <w:t>, H. Bahl Lee</w:t>
      </w:r>
      <w:r w:rsidR="000C4295">
        <w:rPr>
          <w:rFonts w:cs="Arial"/>
          <w:sz w:val="24"/>
          <w:szCs w:val="24"/>
          <w:vertAlign w:val="superscript"/>
        </w:rPr>
        <w:t>5</w:t>
      </w:r>
      <w:r w:rsidRPr="00195C12">
        <w:rPr>
          <w:rFonts w:cs="Arial"/>
          <w:sz w:val="24"/>
          <w:szCs w:val="24"/>
        </w:rPr>
        <w:t>, Sara N. Davison</w:t>
      </w:r>
      <w:r w:rsidR="000C4295">
        <w:rPr>
          <w:rFonts w:cs="Arial"/>
          <w:sz w:val="24"/>
          <w:szCs w:val="24"/>
          <w:vertAlign w:val="superscript"/>
        </w:rPr>
        <w:t>6</w:t>
      </w:r>
      <w:r w:rsidRPr="00195C12">
        <w:rPr>
          <w:rFonts w:cs="Arial"/>
          <w:sz w:val="24"/>
          <w:szCs w:val="24"/>
        </w:rPr>
        <w:t xml:space="preserve">, </w:t>
      </w:r>
      <w:r w:rsidR="00874AF7" w:rsidRPr="00195C12">
        <w:rPr>
          <w:rFonts w:cs="Arial"/>
          <w:sz w:val="24"/>
          <w:szCs w:val="24"/>
        </w:rPr>
        <w:t>Nicholas Topley</w:t>
      </w:r>
      <w:r w:rsidR="000C4295">
        <w:rPr>
          <w:rFonts w:cs="Arial"/>
          <w:sz w:val="24"/>
          <w:szCs w:val="24"/>
          <w:vertAlign w:val="superscript"/>
        </w:rPr>
        <w:t>7</w:t>
      </w:r>
      <w:r w:rsidR="00874AF7" w:rsidRPr="00D60190">
        <w:rPr>
          <w:sz w:val="24"/>
          <w:vertAlign w:val="superscript"/>
        </w:rPr>
        <w:t xml:space="preserve"> </w:t>
      </w:r>
      <w:r w:rsidR="00622078" w:rsidRPr="00195C12">
        <w:rPr>
          <w:rFonts w:cs="Arial"/>
          <w:sz w:val="24"/>
          <w:szCs w:val="24"/>
        </w:rPr>
        <w:t>Simon J. Davies</w:t>
      </w:r>
      <w:r w:rsidR="000C4295">
        <w:rPr>
          <w:rFonts w:cs="Arial"/>
          <w:sz w:val="24"/>
          <w:szCs w:val="24"/>
          <w:vertAlign w:val="superscript"/>
        </w:rPr>
        <w:t>1</w:t>
      </w:r>
      <w:r w:rsidR="00622078" w:rsidRPr="00622078">
        <w:rPr>
          <w:rFonts w:cs="Arial"/>
          <w:sz w:val="24"/>
          <w:szCs w:val="24"/>
        </w:rPr>
        <w:t xml:space="preserve"> </w:t>
      </w:r>
      <w:r w:rsidR="00874AF7">
        <w:rPr>
          <w:rFonts w:cs="Arial"/>
          <w:sz w:val="24"/>
          <w:szCs w:val="24"/>
        </w:rPr>
        <w:t>and Mark Lambie</w:t>
      </w:r>
      <w:r w:rsidR="000C4295">
        <w:rPr>
          <w:rFonts w:cs="Arial"/>
          <w:sz w:val="24"/>
          <w:szCs w:val="24"/>
          <w:vertAlign w:val="superscript"/>
        </w:rPr>
        <w:t>1</w:t>
      </w:r>
    </w:p>
    <w:p w14:paraId="68497DA1" w14:textId="77777777" w:rsidR="00195C12" w:rsidRPr="00195C12" w:rsidRDefault="006E5ACC" w:rsidP="000C4295">
      <w:pPr>
        <w:spacing w:line="480" w:lineRule="auto"/>
        <w:rPr>
          <w:rFonts w:cs="Arial"/>
          <w:sz w:val="24"/>
          <w:szCs w:val="24"/>
        </w:rPr>
      </w:pPr>
      <w:r w:rsidRPr="00195C12">
        <w:rPr>
          <w:rFonts w:cs="Arial"/>
          <w:sz w:val="24"/>
          <w:szCs w:val="24"/>
        </w:rPr>
        <w:t>1</w:t>
      </w:r>
      <w:r w:rsidR="000C4295">
        <w:rPr>
          <w:rFonts w:cs="Arial"/>
          <w:sz w:val="24"/>
          <w:szCs w:val="24"/>
        </w:rPr>
        <w:t xml:space="preserve"> Institute of Applied Clinical Sciences, </w:t>
      </w:r>
      <w:r w:rsidRPr="00195C12">
        <w:rPr>
          <w:rFonts w:cs="Arial"/>
          <w:sz w:val="24"/>
          <w:szCs w:val="24"/>
        </w:rPr>
        <w:t>Keele U</w:t>
      </w:r>
      <w:r w:rsidR="00D7115E">
        <w:rPr>
          <w:rFonts w:cs="Arial"/>
          <w:sz w:val="24"/>
          <w:szCs w:val="24"/>
        </w:rPr>
        <w:t>niversity</w:t>
      </w:r>
      <w:r w:rsidR="000C4295">
        <w:rPr>
          <w:rFonts w:cs="Arial"/>
          <w:sz w:val="24"/>
          <w:szCs w:val="24"/>
        </w:rPr>
        <w:t>, UK</w:t>
      </w:r>
      <w:r w:rsidR="00D7115E">
        <w:rPr>
          <w:rFonts w:cs="Arial"/>
          <w:sz w:val="24"/>
          <w:szCs w:val="24"/>
        </w:rPr>
        <w:t>; 2</w:t>
      </w:r>
      <w:r w:rsidR="000C4295">
        <w:rPr>
          <w:rFonts w:cs="Arial"/>
          <w:sz w:val="24"/>
          <w:szCs w:val="24"/>
        </w:rPr>
        <w:t xml:space="preserve"> </w:t>
      </w:r>
      <w:r w:rsidR="00D7115E">
        <w:rPr>
          <w:rFonts w:cs="Arial"/>
          <w:sz w:val="24"/>
          <w:szCs w:val="24"/>
        </w:rPr>
        <w:t>Morriston Hospital</w:t>
      </w:r>
      <w:r w:rsidR="000C4295">
        <w:rPr>
          <w:rFonts w:cs="Arial"/>
          <w:sz w:val="24"/>
          <w:szCs w:val="24"/>
        </w:rPr>
        <w:t>, Swansea, UK</w:t>
      </w:r>
      <w:r w:rsidR="00D7115E">
        <w:rPr>
          <w:rFonts w:cs="Arial"/>
          <w:sz w:val="24"/>
          <w:szCs w:val="24"/>
        </w:rPr>
        <w:t>;</w:t>
      </w:r>
      <w:r w:rsidR="000C4295">
        <w:rPr>
          <w:rFonts w:cs="Arial"/>
          <w:sz w:val="24"/>
          <w:szCs w:val="24"/>
        </w:rPr>
        <w:t xml:space="preserve"> 3 </w:t>
      </w:r>
      <w:r w:rsidR="000C4295" w:rsidRPr="000C4295">
        <w:rPr>
          <w:rFonts w:cs="Arial"/>
          <w:sz w:val="24"/>
          <w:szCs w:val="24"/>
        </w:rPr>
        <w:t>Division of</w:t>
      </w:r>
      <w:r w:rsidR="000C4295">
        <w:rPr>
          <w:rFonts w:cs="Arial"/>
          <w:sz w:val="24"/>
          <w:szCs w:val="24"/>
        </w:rPr>
        <w:t xml:space="preserve"> </w:t>
      </w:r>
      <w:r w:rsidR="000C4295" w:rsidRPr="000C4295">
        <w:rPr>
          <w:rFonts w:cs="Arial"/>
          <w:sz w:val="24"/>
          <w:szCs w:val="24"/>
        </w:rPr>
        <w:t>Nephrology, Yeungnam University Hospital, Daegu, South Korea</w:t>
      </w:r>
      <w:r w:rsidR="000C4295">
        <w:rPr>
          <w:rFonts w:cs="Arial"/>
          <w:sz w:val="24"/>
          <w:szCs w:val="24"/>
        </w:rPr>
        <w:t>;</w:t>
      </w:r>
      <w:r w:rsidRPr="00195C12">
        <w:rPr>
          <w:rFonts w:cs="Arial"/>
          <w:sz w:val="24"/>
          <w:szCs w:val="24"/>
        </w:rPr>
        <w:t xml:space="preserve"> 4</w:t>
      </w:r>
      <w:r w:rsidR="000C4295">
        <w:rPr>
          <w:rFonts w:cs="Arial"/>
          <w:sz w:val="24"/>
          <w:szCs w:val="24"/>
        </w:rPr>
        <w:t xml:space="preserve"> </w:t>
      </w:r>
      <w:r w:rsidRPr="00195C12">
        <w:rPr>
          <w:rFonts w:cs="Arial"/>
          <w:sz w:val="24"/>
          <w:szCs w:val="24"/>
        </w:rPr>
        <w:t>Kyungpook National University Hospital; 5</w:t>
      </w:r>
      <w:r w:rsidR="000C4295">
        <w:rPr>
          <w:rFonts w:cs="Arial"/>
          <w:sz w:val="24"/>
          <w:szCs w:val="24"/>
        </w:rPr>
        <w:t xml:space="preserve"> </w:t>
      </w:r>
      <w:r w:rsidR="000C4295" w:rsidRPr="000C4295">
        <w:rPr>
          <w:rFonts w:cs="Arial"/>
          <w:sz w:val="24"/>
          <w:szCs w:val="24"/>
        </w:rPr>
        <w:t>Hyonam Kidney Laboratory, Soon Chun Hyang</w:t>
      </w:r>
      <w:r w:rsidR="000C4295">
        <w:rPr>
          <w:rFonts w:cs="Arial"/>
          <w:sz w:val="24"/>
          <w:szCs w:val="24"/>
        </w:rPr>
        <w:t xml:space="preserve"> </w:t>
      </w:r>
      <w:r w:rsidR="000C4295" w:rsidRPr="000C4295">
        <w:rPr>
          <w:rFonts w:cs="Arial"/>
          <w:sz w:val="24"/>
          <w:szCs w:val="24"/>
        </w:rPr>
        <w:t>University, Seoul, South Korea</w:t>
      </w:r>
      <w:r w:rsidRPr="00195C12">
        <w:rPr>
          <w:rFonts w:cs="Arial"/>
          <w:sz w:val="24"/>
          <w:szCs w:val="24"/>
        </w:rPr>
        <w:t xml:space="preserve">; </w:t>
      </w:r>
      <w:r w:rsidR="000C4295">
        <w:rPr>
          <w:rFonts w:cs="Arial"/>
          <w:sz w:val="24"/>
          <w:szCs w:val="24"/>
        </w:rPr>
        <w:t xml:space="preserve">6 </w:t>
      </w:r>
      <w:r w:rsidRPr="00195C12">
        <w:rPr>
          <w:rFonts w:cs="Arial"/>
          <w:sz w:val="24"/>
          <w:szCs w:val="24"/>
        </w:rPr>
        <w:t xml:space="preserve">University of Alberta; </w:t>
      </w:r>
      <w:r w:rsidR="000C4295">
        <w:rPr>
          <w:rFonts w:cs="Arial"/>
          <w:sz w:val="24"/>
          <w:szCs w:val="24"/>
        </w:rPr>
        <w:t>7</w:t>
      </w:r>
      <w:r w:rsidR="007D1058">
        <w:rPr>
          <w:rFonts w:cs="Arial"/>
          <w:sz w:val="24"/>
          <w:szCs w:val="24"/>
        </w:rPr>
        <w:t xml:space="preserve"> </w:t>
      </w:r>
      <w:r w:rsidR="000C4295" w:rsidRPr="000C4295">
        <w:rPr>
          <w:rFonts w:cs="Arial"/>
          <w:sz w:val="24"/>
          <w:szCs w:val="24"/>
        </w:rPr>
        <w:t>Cardiff University School of Medicine, Heath Park, Cardiff, United Kingdom</w:t>
      </w:r>
      <w:r w:rsidR="000C4295">
        <w:rPr>
          <w:rFonts w:cs="Arial"/>
          <w:sz w:val="24"/>
          <w:szCs w:val="24"/>
        </w:rPr>
        <w:t>.</w:t>
      </w:r>
    </w:p>
    <w:p w14:paraId="66656D97" w14:textId="77777777" w:rsidR="00195C12" w:rsidRPr="00195C12" w:rsidRDefault="00195C12" w:rsidP="00195C12">
      <w:pPr>
        <w:spacing w:line="480" w:lineRule="auto"/>
        <w:rPr>
          <w:rFonts w:cs="Arial"/>
          <w:sz w:val="24"/>
          <w:szCs w:val="24"/>
        </w:rPr>
      </w:pPr>
    </w:p>
    <w:p w14:paraId="5C2A38EF" w14:textId="77777777" w:rsidR="00CD5299" w:rsidRDefault="00154942" w:rsidP="00195C12">
      <w:pPr>
        <w:spacing w:line="480" w:lineRule="auto"/>
        <w:rPr>
          <w:rFonts w:cs="Arial"/>
          <w:sz w:val="24"/>
          <w:szCs w:val="24"/>
        </w:rPr>
      </w:pPr>
      <w:r>
        <w:rPr>
          <w:rFonts w:cs="Arial"/>
          <w:sz w:val="24"/>
          <w:szCs w:val="24"/>
        </w:rPr>
        <w:t xml:space="preserve">Word Count: Abstract </w:t>
      </w:r>
      <w:r w:rsidR="00D11C54">
        <w:rPr>
          <w:rFonts w:cs="Arial"/>
          <w:sz w:val="24"/>
          <w:szCs w:val="24"/>
        </w:rPr>
        <w:t>301</w:t>
      </w:r>
      <w:r>
        <w:rPr>
          <w:rFonts w:cs="Arial"/>
          <w:sz w:val="24"/>
          <w:szCs w:val="24"/>
        </w:rPr>
        <w:t xml:space="preserve">, Main Text </w:t>
      </w:r>
      <w:r w:rsidR="00D11C54">
        <w:rPr>
          <w:rFonts w:cs="Arial"/>
          <w:sz w:val="24"/>
          <w:szCs w:val="24"/>
        </w:rPr>
        <w:t>3179</w:t>
      </w:r>
    </w:p>
    <w:p w14:paraId="5AD7050F" w14:textId="77777777" w:rsidR="00154942" w:rsidRDefault="00154942" w:rsidP="00195C12">
      <w:pPr>
        <w:spacing w:line="480" w:lineRule="auto"/>
        <w:rPr>
          <w:rFonts w:cs="Arial"/>
          <w:sz w:val="24"/>
          <w:szCs w:val="24"/>
        </w:rPr>
      </w:pPr>
      <w:r>
        <w:rPr>
          <w:rFonts w:cs="Arial"/>
          <w:sz w:val="24"/>
          <w:szCs w:val="24"/>
        </w:rPr>
        <w:t xml:space="preserve">Running Head: Solute Transport and biocompatibility in </w:t>
      </w:r>
      <w:r w:rsidR="00FD3AD4">
        <w:rPr>
          <w:rFonts w:cs="Arial"/>
          <w:sz w:val="24"/>
          <w:szCs w:val="24"/>
        </w:rPr>
        <w:t>PD</w:t>
      </w:r>
    </w:p>
    <w:p w14:paraId="05EA014C" w14:textId="77777777" w:rsidR="00605604" w:rsidRDefault="00605604" w:rsidP="00195C12">
      <w:pPr>
        <w:spacing w:line="480" w:lineRule="auto"/>
        <w:rPr>
          <w:rFonts w:cs="Arial"/>
          <w:b/>
          <w:sz w:val="24"/>
          <w:szCs w:val="24"/>
        </w:rPr>
      </w:pPr>
    </w:p>
    <w:p w14:paraId="7D4062D9" w14:textId="77777777" w:rsidR="00154942" w:rsidRPr="00154942" w:rsidRDefault="00154942" w:rsidP="00195C12">
      <w:pPr>
        <w:spacing w:line="480" w:lineRule="auto"/>
        <w:rPr>
          <w:rFonts w:cs="Arial"/>
          <w:b/>
          <w:sz w:val="24"/>
          <w:szCs w:val="24"/>
        </w:rPr>
      </w:pPr>
      <w:r>
        <w:rPr>
          <w:rFonts w:cs="Arial"/>
          <w:b/>
          <w:sz w:val="24"/>
          <w:szCs w:val="24"/>
        </w:rPr>
        <w:t xml:space="preserve">Corresponding Author: </w:t>
      </w:r>
      <w:r>
        <w:rPr>
          <w:rFonts w:cs="Arial"/>
          <w:sz w:val="24"/>
          <w:szCs w:val="24"/>
        </w:rPr>
        <w:t>Dr. Mark Lambie</w:t>
      </w:r>
    </w:p>
    <w:p w14:paraId="2A1D1F69" w14:textId="77777777" w:rsidR="00154942" w:rsidRDefault="00154942" w:rsidP="00195C12">
      <w:pPr>
        <w:spacing w:line="480" w:lineRule="auto"/>
        <w:rPr>
          <w:rFonts w:cs="Arial"/>
          <w:sz w:val="24"/>
          <w:szCs w:val="24"/>
        </w:rPr>
      </w:pPr>
      <w:r>
        <w:rPr>
          <w:rFonts w:cs="Arial"/>
          <w:sz w:val="24"/>
          <w:szCs w:val="24"/>
        </w:rPr>
        <w:t>Addre</w:t>
      </w:r>
      <w:r w:rsidR="0066287E">
        <w:rPr>
          <w:rFonts w:cs="Arial"/>
          <w:sz w:val="24"/>
          <w:szCs w:val="24"/>
        </w:rPr>
        <w:t>ss</w:t>
      </w:r>
      <w:r>
        <w:rPr>
          <w:rFonts w:cs="Arial"/>
          <w:sz w:val="24"/>
          <w:szCs w:val="24"/>
        </w:rPr>
        <w:t>: Renal Unit, Royal Stoke University Hospital, Stoke on Trent. ST4 6QG.</w:t>
      </w:r>
    </w:p>
    <w:p w14:paraId="3A4ACD4C" w14:textId="77777777" w:rsidR="00154942" w:rsidRDefault="00154942" w:rsidP="00195C12">
      <w:pPr>
        <w:spacing w:line="480" w:lineRule="auto"/>
        <w:rPr>
          <w:rFonts w:cs="Arial"/>
          <w:sz w:val="24"/>
          <w:szCs w:val="24"/>
        </w:rPr>
      </w:pPr>
      <w:r>
        <w:rPr>
          <w:rFonts w:cs="Arial"/>
          <w:sz w:val="24"/>
          <w:szCs w:val="24"/>
        </w:rPr>
        <w:t xml:space="preserve">Telephone: 01782 676346  </w:t>
      </w:r>
    </w:p>
    <w:p w14:paraId="62B2A164" w14:textId="77777777" w:rsidR="00154942" w:rsidRDefault="00154942" w:rsidP="00195C12">
      <w:pPr>
        <w:spacing w:line="480" w:lineRule="auto"/>
        <w:rPr>
          <w:rFonts w:cs="Arial"/>
          <w:sz w:val="24"/>
          <w:szCs w:val="24"/>
        </w:rPr>
      </w:pPr>
      <w:r>
        <w:rPr>
          <w:rFonts w:cs="Arial"/>
          <w:sz w:val="24"/>
          <w:szCs w:val="24"/>
        </w:rPr>
        <w:t>Email: lambiem@doctors.org.uk</w:t>
      </w:r>
    </w:p>
    <w:p w14:paraId="79E66FC9" w14:textId="77777777" w:rsidR="00154942" w:rsidRDefault="00154942" w:rsidP="00195C12">
      <w:pPr>
        <w:spacing w:line="480" w:lineRule="auto"/>
        <w:rPr>
          <w:rFonts w:cs="Arial"/>
          <w:sz w:val="24"/>
          <w:szCs w:val="24"/>
        </w:rPr>
      </w:pPr>
    </w:p>
    <w:p w14:paraId="185B78E5" w14:textId="77777777" w:rsidR="00154942" w:rsidRPr="00154942" w:rsidRDefault="00154942" w:rsidP="00195C12">
      <w:pPr>
        <w:spacing w:line="480" w:lineRule="auto"/>
        <w:rPr>
          <w:rFonts w:cs="Arial"/>
          <w:sz w:val="24"/>
          <w:szCs w:val="24"/>
        </w:rPr>
        <w:sectPr w:rsidR="00154942" w:rsidRPr="00154942" w:rsidSect="001B43D7">
          <w:footerReference w:type="default" r:id="rId9"/>
          <w:pgSz w:w="11906" w:h="16838"/>
          <w:pgMar w:top="1440" w:right="1440" w:bottom="1440" w:left="1440" w:header="708" w:footer="708" w:gutter="0"/>
          <w:cols w:space="708"/>
          <w:docGrid w:linePitch="360"/>
        </w:sectPr>
      </w:pPr>
    </w:p>
    <w:p w14:paraId="08399ADF" w14:textId="77777777" w:rsidR="006E5ACC" w:rsidRDefault="006E5ACC" w:rsidP="00195C12">
      <w:pPr>
        <w:spacing w:line="480" w:lineRule="auto"/>
        <w:rPr>
          <w:rFonts w:cs="Arial"/>
          <w:b/>
          <w:sz w:val="24"/>
          <w:szCs w:val="24"/>
        </w:rPr>
      </w:pPr>
      <w:r w:rsidRPr="00195C12">
        <w:rPr>
          <w:rFonts w:cs="Arial"/>
          <w:b/>
          <w:sz w:val="24"/>
          <w:szCs w:val="24"/>
        </w:rPr>
        <w:lastRenderedPageBreak/>
        <w:t>Abstract</w:t>
      </w:r>
    </w:p>
    <w:p w14:paraId="24F720E6" w14:textId="77777777" w:rsidR="00A6326D" w:rsidRPr="00E61FF8" w:rsidRDefault="00E61FF8" w:rsidP="00195C12">
      <w:pPr>
        <w:spacing w:line="480" w:lineRule="auto"/>
        <w:rPr>
          <w:rFonts w:cs="Arial"/>
          <w:b/>
          <w:sz w:val="24"/>
          <w:szCs w:val="24"/>
        </w:rPr>
      </w:pPr>
      <w:r w:rsidRPr="00E61FF8">
        <w:rPr>
          <w:rFonts w:cs="Arial"/>
          <w:b/>
          <w:sz w:val="24"/>
          <w:szCs w:val="24"/>
        </w:rPr>
        <w:t xml:space="preserve">Background and objectives </w:t>
      </w:r>
    </w:p>
    <w:p w14:paraId="37B5E0C3" w14:textId="77777777" w:rsidR="006E5ACC" w:rsidRPr="006330A2" w:rsidRDefault="00E61FF8" w:rsidP="00195C12">
      <w:pPr>
        <w:spacing w:line="480" w:lineRule="auto"/>
        <w:rPr>
          <w:rFonts w:cs="Arial"/>
          <w:sz w:val="24"/>
          <w:szCs w:val="24"/>
        </w:rPr>
      </w:pPr>
      <w:r w:rsidRPr="00E61FF8">
        <w:rPr>
          <w:rFonts w:cs="Arial"/>
          <w:sz w:val="24"/>
          <w:szCs w:val="24"/>
        </w:rPr>
        <w:t>The inflammation-driven increase in peritoneal solute transport rate (</w:t>
      </w:r>
      <w:r w:rsidR="00E16959">
        <w:rPr>
          <w:rFonts w:cs="Arial"/>
          <w:sz w:val="24"/>
          <w:szCs w:val="24"/>
        </w:rPr>
        <w:t>PSTR</w:t>
      </w:r>
      <w:r w:rsidRPr="00E61FF8">
        <w:rPr>
          <w:rFonts w:cs="Arial"/>
          <w:sz w:val="24"/>
          <w:szCs w:val="24"/>
        </w:rPr>
        <w:t>) that occurs during long-term peritoneal dialysis (</w:t>
      </w:r>
      <w:r w:rsidR="00FD3AD4">
        <w:rPr>
          <w:rFonts w:cs="Arial"/>
          <w:sz w:val="24"/>
          <w:szCs w:val="24"/>
        </w:rPr>
        <w:t>PD</w:t>
      </w:r>
      <w:r w:rsidRPr="00E61FF8">
        <w:rPr>
          <w:rFonts w:cs="Arial"/>
          <w:sz w:val="24"/>
          <w:szCs w:val="24"/>
        </w:rPr>
        <w:t>) is a</w:t>
      </w:r>
      <w:r w:rsidR="0066287E">
        <w:rPr>
          <w:rFonts w:cs="Arial"/>
          <w:sz w:val="24"/>
          <w:szCs w:val="24"/>
        </w:rPr>
        <w:t>ss</w:t>
      </w:r>
      <w:r w:rsidRPr="00E61FF8">
        <w:rPr>
          <w:rFonts w:cs="Arial"/>
          <w:sz w:val="24"/>
          <w:szCs w:val="24"/>
        </w:rPr>
        <w:t xml:space="preserve">ociated with </w:t>
      </w:r>
      <w:r w:rsidR="00235137">
        <w:rPr>
          <w:rFonts w:cs="Arial"/>
          <w:sz w:val="24"/>
          <w:szCs w:val="24"/>
        </w:rPr>
        <w:t>higher</w:t>
      </w:r>
      <w:r w:rsidR="00235137" w:rsidRPr="00E61FF8">
        <w:rPr>
          <w:rFonts w:cs="Arial"/>
          <w:sz w:val="24"/>
          <w:szCs w:val="24"/>
        </w:rPr>
        <w:t xml:space="preserve"> </w:t>
      </w:r>
      <w:r w:rsidRPr="00E61FF8">
        <w:rPr>
          <w:rFonts w:cs="Arial"/>
          <w:sz w:val="24"/>
          <w:szCs w:val="24"/>
        </w:rPr>
        <w:t xml:space="preserve">mortality, </w:t>
      </w:r>
      <w:r w:rsidR="009D69B9" w:rsidRPr="00E61FF8">
        <w:rPr>
          <w:rFonts w:cs="Arial"/>
          <w:sz w:val="24"/>
          <w:szCs w:val="24"/>
        </w:rPr>
        <w:t>hospitali</w:t>
      </w:r>
      <w:r w:rsidR="009D69B9">
        <w:rPr>
          <w:rFonts w:cs="Arial"/>
          <w:sz w:val="24"/>
          <w:szCs w:val="24"/>
        </w:rPr>
        <w:t>z</w:t>
      </w:r>
      <w:r w:rsidR="009D69B9" w:rsidRPr="00E61FF8">
        <w:rPr>
          <w:rFonts w:cs="Arial"/>
          <w:sz w:val="24"/>
          <w:szCs w:val="24"/>
        </w:rPr>
        <w:t xml:space="preserve">ation </w:t>
      </w:r>
      <w:r w:rsidRPr="00E61FF8">
        <w:rPr>
          <w:rFonts w:cs="Arial"/>
          <w:sz w:val="24"/>
          <w:szCs w:val="24"/>
        </w:rPr>
        <w:t>and encapsulating peritoneal sclerosis. As biocompatible solutions were developed to mitigate these effects, we examined the</w:t>
      </w:r>
      <w:r w:rsidR="00235137">
        <w:rPr>
          <w:rFonts w:cs="Arial"/>
          <w:sz w:val="24"/>
          <w:szCs w:val="24"/>
        </w:rPr>
        <w:t xml:space="preserve"> association with the</w:t>
      </w:r>
      <w:r w:rsidRPr="00E61FF8">
        <w:rPr>
          <w:rFonts w:cs="Arial"/>
          <w:sz w:val="24"/>
          <w:szCs w:val="24"/>
        </w:rPr>
        <w:t xml:space="preserve">ir </w:t>
      </w:r>
      <w:r w:rsidR="00235137">
        <w:rPr>
          <w:rFonts w:cs="Arial"/>
          <w:sz w:val="24"/>
          <w:szCs w:val="24"/>
        </w:rPr>
        <w:t>use</w:t>
      </w:r>
      <w:r w:rsidR="00235137" w:rsidRPr="00E61FF8">
        <w:rPr>
          <w:rFonts w:cs="Arial"/>
          <w:sz w:val="24"/>
          <w:szCs w:val="24"/>
        </w:rPr>
        <w:t xml:space="preserve"> </w:t>
      </w:r>
      <w:r w:rsidR="00B63329">
        <w:rPr>
          <w:rFonts w:cs="Arial"/>
          <w:sz w:val="24"/>
          <w:szCs w:val="24"/>
        </w:rPr>
        <w:t>and</w:t>
      </w:r>
      <w:r w:rsidR="00B63329" w:rsidRPr="00E61FF8">
        <w:rPr>
          <w:rFonts w:cs="Arial"/>
          <w:sz w:val="24"/>
          <w:szCs w:val="24"/>
        </w:rPr>
        <w:t xml:space="preserve"> </w:t>
      </w:r>
      <w:r w:rsidRPr="00E61FF8">
        <w:rPr>
          <w:rFonts w:cs="Arial"/>
          <w:sz w:val="24"/>
          <w:szCs w:val="24"/>
        </w:rPr>
        <w:t xml:space="preserve">longitudinal </w:t>
      </w:r>
      <w:r w:rsidR="00E16959">
        <w:rPr>
          <w:rFonts w:cs="Arial"/>
          <w:sz w:val="24"/>
          <w:szCs w:val="24"/>
        </w:rPr>
        <w:t>PSTR</w:t>
      </w:r>
      <w:r w:rsidRPr="00E61FF8">
        <w:rPr>
          <w:rFonts w:cs="Arial"/>
          <w:sz w:val="24"/>
          <w:szCs w:val="24"/>
        </w:rPr>
        <w:t>.</w:t>
      </w:r>
    </w:p>
    <w:p w14:paraId="577C5E13" w14:textId="77777777" w:rsidR="00A6326D" w:rsidRPr="001B558D" w:rsidRDefault="00E61FF8" w:rsidP="00195C12">
      <w:pPr>
        <w:spacing w:line="480" w:lineRule="auto"/>
        <w:rPr>
          <w:rFonts w:cs="Arial"/>
          <w:sz w:val="24"/>
          <w:szCs w:val="24"/>
        </w:rPr>
      </w:pPr>
      <w:r w:rsidRPr="001B558D">
        <w:rPr>
          <w:rFonts w:cs="Arial"/>
          <w:b/>
          <w:sz w:val="24"/>
          <w:szCs w:val="24"/>
        </w:rPr>
        <w:t>Design, setting, participants, and measurements</w:t>
      </w:r>
      <w:r w:rsidRPr="001B558D">
        <w:rPr>
          <w:rFonts w:cs="Arial"/>
          <w:sz w:val="24"/>
          <w:szCs w:val="24"/>
        </w:rPr>
        <w:t xml:space="preserve"> </w:t>
      </w:r>
    </w:p>
    <w:p w14:paraId="5931D272" w14:textId="623C60D1" w:rsidR="006E5ACC" w:rsidRPr="001B558D" w:rsidRDefault="00E61FF8" w:rsidP="00195C12">
      <w:pPr>
        <w:spacing w:line="480" w:lineRule="auto"/>
        <w:rPr>
          <w:rFonts w:cs="Arial"/>
          <w:sz w:val="24"/>
          <w:szCs w:val="24"/>
        </w:rPr>
      </w:pPr>
      <w:r w:rsidRPr="001B558D">
        <w:rPr>
          <w:rFonts w:cs="Arial"/>
          <w:sz w:val="24"/>
          <w:szCs w:val="24"/>
        </w:rPr>
        <w:t xml:space="preserve">We analysed subjects from the multinational prospective </w:t>
      </w:r>
      <w:r w:rsidR="00F4228B">
        <w:rPr>
          <w:rFonts w:cs="Arial"/>
          <w:sz w:val="24"/>
          <w:szCs w:val="24"/>
        </w:rPr>
        <w:t>G</w:t>
      </w:r>
      <w:r w:rsidRPr="001B558D">
        <w:rPr>
          <w:rFonts w:cs="Arial"/>
          <w:sz w:val="24"/>
          <w:szCs w:val="24"/>
        </w:rPr>
        <w:t xml:space="preserve">lobal </w:t>
      </w:r>
      <w:r w:rsidR="00F4228B">
        <w:rPr>
          <w:rFonts w:cs="Arial"/>
          <w:sz w:val="24"/>
          <w:szCs w:val="24"/>
        </w:rPr>
        <w:t>F</w:t>
      </w:r>
      <w:r w:rsidRPr="001B558D">
        <w:rPr>
          <w:rFonts w:cs="Arial"/>
          <w:sz w:val="24"/>
          <w:szCs w:val="24"/>
        </w:rPr>
        <w:t xml:space="preserve">luid </w:t>
      </w:r>
      <w:r w:rsidR="00F4228B">
        <w:rPr>
          <w:rFonts w:cs="Arial"/>
          <w:sz w:val="24"/>
          <w:szCs w:val="24"/>
        </w:rPr>
        <w:t>S</w:t>
      </w:r>
      <w:r w:rsidRPr="001B558D">
        <w:rPr>
          <w:rFonts w:cs="Arial"/>
          <w:sz w:val="24"/>
          <w:szCs w:val="24"/>
        </w:rPr>
        <w:t xml:space="preserve">tudy with ≥three </w:t>
      </w:r>
      <w:r w:rsidR="00E16959">
        <w:rPr>
          <w:rFonts w:cs="Arial"/>
          <w:sz w:val="24"/>
          <w:szCs w:val="24"/>
        </w:rPr>
        <w:t>PSTR</w:t>
      </w:r>
      <w:r w:rsidRPr="001B558D">
        <w:rPr>
          <w:rFonts w:cs="Arial"/>
          <w:sz w:val="24"/>
          <w:szCs w:val="24"/>
        </w:rPr>
        <w:t xml:space="preserve"> measurements more than two months from the start of </w:t>
      </w:r>
      <w:r w:rsidR="00FD3AD4">
        <w:rPr>
          <w:rFonts w:cs="Arial"/>
          <w:sz w:val="24"/>
          <w:szCs w:val="24"/>
        </w:rPr>
        <w:t>PD</w:t>
      </w:r>
      <w:r w:rsidRPr="001B558D">
        <w:rPr>
          <w:rFonts w:cs="Arial"/>
          <w:sz w:val="24"/>
          <w:szCs w:val="24"/>
        </w:rPr>
        <w:t xml:space="preserve">. Follow up was for 7.5 years (median of 2.3 </w:t>
      </w:r>
      <w:r w:rsidR="00BE5D8A">
        <w:rPr>
          <w:rFonts w:cs="Arial"/>
          <w:sz w:val="24"/>
          <w:szCs w:val="24"/>
        </w:rPr>
        <w:t xml:space="preserve">IQR </w:t>
      </w:r>
      <w:r w:rsidRPr="001B558D">
        <w:rPr>
          <w:rFonts w:cs="Arial"/>
          <w:sz w:val="24"/>
          <w:szCs w:val="24"/>
        </w:rPr>
        <w:t>1.8-</w:t>
      </w:r>
      <w:r w:rsidR="0029089F">
        <w:rPr>
          <w:rFonts w:cs="Arial"/>
          <w:sz w:val="24"/>
          <w:szCs w:val="24"/>
        </w:rPr>
        <w:t>3.6) in biocompatible solutions</w:t>
      </w:r>
      <w:r w:rsidRPr="00753B7F">
        <w:rPr>
          <w:rFonts w:cs="Arial"/>
          <w:sz w:val="24"/>
          <w:szCs w:val="24"/>
        </w:rPr>
        <w:t xml:space="preserve"> and 12.8 years (median 3.2 </w:t>
      </w:r>
      <w:r w:rsidR="00BE5D8A">
        <w:rPr>
          <w:rFonts w:cs="Arial"/>
          <w:sz w:val="24"/>
          <w:szCs w:val="24"/>
        </w:rPr>
        <w:t xml:space="preserve">IQR </w:t>
      </w:r>
      <w:r w:rsidRPr="00753B7F">
        <w:rPr>
          <w:rFonts w:cs="Arial"/>
          <w:sz w:val="24"/>
          <w:szCs w:val="24"/>
        </w:rPr>
        <w:t xml:space="preserve">1.9-4.3) for standard solutions. Using a random intercept/slopes multilevel model we examined the </w:t>
      </w:r>
      <w:r w:rsidR="00235137">
        <w:rPr>
          <w:rFonts w:cs="Arial"/>
          <w:sz w:val="24"/>
          <w:szCs w:val="24"/>
        </w:rPr>
        <w:t xml:space="preserve">association </w:t>
      </w:r>
      <w:r w:rsidR="009920DC">
        <w:rPr>
          <w:rFonts w:cs="Arial"/>
          <w:sz w:val="24"/>
          <w:szCs w:val="24"/>
        </w:rPr>
        <w:t xml:space="preserve">of patients using </w:t>
      </w:r>
      <w:r w:rsidRPr="00753B7F">
        <w:rPr>
          <w:rFonts w:cs="Arial"/>
          <w:sz w:val="24"/>
          <w:szCs w:val="24"/>
        </w:rPr>
        <w:t xml:space="preserve">biocompatible solutions </w:t>
      </w:r>
      <w:r w:rsidR="00B63329">
        <w:rPr>
          <w:rFonts w:cs="Arial"/>
          <w:sz w:val="24"/>
          <w:szCs w:val="24"/>
        </w:rPr>
        <w:t>and</w:t>
      </w:r>
      <w:r w:rsidR="00B63329" w:rsidRPr="00753B7F">
        <w:rPr>
          <w:rFonts w:cs="Arial"/>
          <w:sz w:val="24"/>
          <w:szCs w:val="24"/>
        </w:rPr>
        <w:t xml:space="preserve"> </w:t>
      </w:r>
      <w:r w:rsidR="00E16959">
        <w:rPr>
          <w:rFonts w:cs="Arial"/>
          <w:sz w:val="24"/>
          <w:szCs w:val="24"/>
        </w:rPr>
        <w:t>PSTR</w:t>
      </w:r>
      <w:r w:rsidRPr="001B558D">
        <w:rPr>
          <w:rFonts w:cs="Arial"/>
          <w:sz w:val="24"/>
          <w:szCs w:val="24"/>
        </w:rPr>
        <w:t xml:space="preserve"> over time adjusting for centre effects, dialysate </w:t>
      </w:r>
      <w:r w:rsidR="001A2732">
        <w:rPr>
          <w:rFonts w:cs="Arial"/>
          <w:sz w:val="24"/>
          <w:szCs w:val="24"/>
        </w:rPr>
        <w:t>dextrose concentration</w:t>
      </w:r>
      <w:r w:rsidRPr="001B558D">
        <w:rPr>
          <w:rFonts w:cs="Arial"/>
          <w:sz w:val="24"/>
          <w:szCs w:val="24"/>
        </w:rPr>
        <w:t xml:space="preserve">, baseline dialysate interleukin-6 concentration, icodextrin use, residual </w:t>
      </w:r>
      <w:r w:rsidR="006330A2">
        <w:rPr>
          <w:rFonts w:cs="Arial"/>
          <w:sz w:val="24"/>
          <w:szCs w:val="24"/>
        </w:rPr>
        <w:t>kidney</w:t>
      </w:r>
      <w:r w:rsidRPr="001B558D">
        <w:rPr>
          <w:rFonts w:cs="Arial"/>
          <w:sz w:val="24"/>
          <w:szCs w:val="24"/>
        </w:rPr>
        <w:t xml:space="preserve"> function and peritonitis. </w:t>
      </w:r>
    </w:p>
    <w:p w14:paraId="67634D8E" w14:textId="77777777" w:rsidR="00A6326D" w:rsidRPr="00415CAC" w:rsidRDefault="00E61FF8" w:rsidP="00195C12">
      <w:pPr>
        <w:spacing w:line="480" w:lineRule="auto"/>
        <w:rPr>
          <w:rFonts w:cs="Arial"/>
          <w:b/>
          <w:sz w:val="24"/>
          <w:szCs w:val="24"/>
        </w:rPr>
      </w:pPr>
      <w:r w:rsidRPr="00415CAC">
        <w:rPr>
          <w:rFonts w:cs="Arial"/>
          <w:b/>
          <w:sz w:val="24"/>
          <w:szCs w:val="24"/>
        </w:rPr>
        <w:t xml:space="preserve">Results </w:t>
      </w:r>
    </w:p>
    <w:p w14:paraId="67A3413C" w14:textId="00B6C70B" w:rsidR="0095276D" w:rsidRPr="001B558D" w:rsidRDefault="00E61FF8" w:rsidP="0095276D">
      <w:pPr>
        <w:spacing w:line="480" w:lineRule="auto"/>
        <w:rPr>
          <w:rFonts w:cs="Arial"/>
          <w:sz w:val="24"/>
          <w:szCs w:val="24"/>
        </w:rPr>
      </w:pPr>
      <w:r w:rsidRPr="00753B7F">
        <w:rPr>
          <w:rFonts w:cs="Arial"/>
          <w:sz w:val="24"/>
          <w:szCs w:val="24"/>
        </w:rPr>
        <w:t xml:space="preserve">Of 366 patients, </w:t>
      </w:r>
      <w:r w:rsidR="00791AFD">
        <w:rPr>
          <w:rFonts w:cs="Arial"/>
          <w:sz w:val="24"/>
          <w:szCs w:val="24"/>
        </w:rPr>
        <w:t xml:space="preserve">the </w:t>
      </w:r>
      <w:r w:rsidRPr="00753B7F">
        <w:rPr>
          <w:rFonts w:cs="Arial"/>
          <w:sz w:val="24"/>
          <w:szCs w:val="24"/>
        </w:rPr>
        <w:t>71 receiv</w:t>
      </w:r>
      <w:r w:rsidR="00791AFD">
        <w:rPr>
          <w:rFonts w:cs="Arial"/>
          <w:sz w:val="24"/>
          <w:szCs w:val="24"/>
        </w:rPr>
        <w:t>ing</w:t>
      </w:r>
      <w:r w:rsidRPr="00753B7F">
        <w:rPr>
          <w:rFonts w:cs="Arial"/>
          <w:sz w:val="24"/>
          <w:szCs w:val="24"/>
        </w:rPr>
        <w:t xml:space="preserve"> biocompatible solutions throughout their time on </w:t>
      </w:r>
      <w:r w:rsidR="00FD3AD4">
        <w:rPr>
          <w:rFonts w:cs="Arial"/>
          <w:sz w:val="24"/>
          <w:szCs w:val="24"/>
        </w:rPr>
        <w:t>PD</w:t>
      </w:r>
      <w:r w:rsidRPr="001B558D">
        <w:rPr>
          <w:rFonts w:cs="Arial"/>
          <w:sz w:val="24"/>
          <w:szCs w:val="24"/>
        </w:rPr>
        <w:t xml:space="preserve"> had a mean adjusted</w:t>
      </w:r>
      <w:r w:rsidRPr="00753B7F">
        <w:rPr>
          <w:rFonts w:cs="Arial"/>
          <w:sz w:val="24"/>
          <w:szCs w:val="24"/>
        </w:rPr>
        <w:t xml:space="preserve"> dialysate to plasma creatinine ratio (</w:t>
      </w:r>
      <w:r w:rsidR="00157B09" w:rsidRPr="00753B7F">
        <w:rPr>
          <w:rFonts w:cs="Arial"/>
          <w:sz w:val="24"/>
          <w:szCs w:val="24"/>
        </w:rPr>
        <w:t>D/P CR</w:t>
      </w:r>
      <w:r w:rsidRPr="00753B7F">
        <w:rPr>
          <w:rFonts w:cs="Arial"/>
          <w:sz w:val="24"/>
          <w:szCs w:val="24"/>
        </w:rPr>
        <w:t xml:space="preserve">) of 0.67, compared to 0.72 for </w:t>
      </w:r>
      <w:r w:rsidR="0066287E">
        <w:rPr>
          <w:rFonts w:cs="Arial"/>
          <w:sz w:val="24"/>
          <w:szCs w:val="24"/>
        </w:rPr>
        <w:t>standard solutions</w:t>
      </w:r>
      <w:r w:rsidRPr="001B558D">
        <w:rPr>
          <w:rFonts w:cs="Arial"/>
          <w:sz w:val="24"/>
          <w:szCs w:val="24"/>
        </w:rPr>
        <w:t xml:space="preserve"> (p=0.02). With duration of treatment there was a continuous increase in </w:t>
      </w:r>
      <w:r w:rsidR="00E16959">
        <w:rPr>
          <w:rFonts w:cs="Arial"/>
          <w:sz w:val="24"/>
          <w:szCs w:val="24"/>
        </w:rPr>
        <w:t>PSTR</w:t>
      </w:r>
      <w:r w:rsidRPr="001B558D">
        <w:rPr>
          <w:rFonts w:cs="Arial"/>
          <w:sz w:val="24"/>
          <w:szCs w:val="24"/>
        </w:rPr>
        <w:t xml:space="preserve"> in patients using </w:t>
      </w:r>
      <w:r w:rsidR="0066287E">
        <w:rPr>
          <w:rFonts w:cs="Arial"/>
          <w:sz w:val="24"/>
          <w:szCs w:val="24"/>
        </w:rPr>
        <w:t>standard solutions</w:t>
      </w:r>
      <w:r w:rsidRPr="001B558D">
        <w:rPr>
          <w:rFonts w:cs="Arial"/>
          <w:sz w:val="24"/>
          <w:szCs w:val="24"/>
        </w:rPr>
        <w:t xml:space="preserve"> (range 2 months to 4 years</w:t>
      </w:r>
      <w:r w:rsidR="009920DC">
        <w:rPr>
          <w:rFonts w:cs="Arial"/>
          <w:sz w:val="24"/>
          <w:szCs w:val="24"/>
        </w:rPr>
        <w:t xml:space="preserve">). In contrast, patients using </w:t>
      </w:r>
      <w:r w:rsidRPr="001B558D">
        <w:rPr>
          <w:rFonts w:cs="Arial"/>
          <w:sz w:val="24"/>
          <w:szCs w:val="24"/>
        </w:rPr>
        <w:t xml:space="preserve">biocompatible solutions </w:t>
      </w:r>
      <w:r w:rsidR="00E16959">
        <w:rPr>
          <w:rFonts w:cs="Arial"/>
          <w:sz w:val="24"/>
          <w:szCs w:val="24"/>
        </w:rPr>
        <w:t>PSTR</w:t>
      </w:r>
      <w:r w:rsidRPr="001B558D">
        <w:rPr>
          <w:rFonts w:cs="Arial"/>
          <w:sz w:val="24"/>
          <w:szCs w:val="24"/>
        </w:rPr>
        <w:t xml:space="preserve"> plateaued after two years of therapy. These changes in </w:t>
      </w:r>
      <w:r w:rsidR="00E16959">
        <w:rPr>
          <w:rFonts w:cs="Arial"/>
          <w:sz w:val="24"/>
          <w:szCs w:val="24"/>
        </w:rPr>
        <w:t>PSTR</w:t>
      </w:r>
      <w:r w:rsidRPr="001B558D">
        <w:rPr>
          <w:rFonts w:cs="Arial"/>
          <w:sz w:val="24"/>
          <w:szCs w:val="24"/>
        </w:rPr>
        <w:t xml:space="preserve"> were independent from baseline inflammation and of time varying predictors of </w:t>
      </w:r>
      <w:r w:rsidR="00FC568D">
        <w:rPr>
          <w:rFonts w:cs="Arial"/>
          <w:sz w:val="24"/>
          <w:szCs w:val="24"/>
        </w:rPr>
        <w:t>faster</w:t>
      </w:r>
      <w:r w:rsidR="00FC568D" w:rsidRPr="001B558D">
        <w:rPr>
          <w:rFonts w:cs="Arial"/>
          <w:sz w:val="24"/>
          <w:szCs w:val="24"/>
        </w:rPr>
        <w:t xml:space="preserve"> </w:t>
      </w:r>
      <w:r w:rsidR="00E16959">
        <w:rPr>
          <w:rFonts w:cs="Arial"/>
          <w:sz w:val="24"/>
          <w:szCs w:val="24"/>
        </w:rPr>
        <w:t>PSTR</w:t>
      </w:r>
      <w:r w:rsidRPr="001B558D">
        <w:rPr>
          <w:rFonts w:cs="Arial"/>
          <w:sz w:val="24"/>
          <w:szCs w:val="24"/>
        </w:rPr>
        <w:t xml:space="preserve">. In patients suffering episodes of peritonitis whilst using </w:t>
      </w:r>
      <w:r w:rsidR="0066287E">
        <w:rPr>
          <w:rFonts w:cs="Arial"/>
          <w:sz w:val="24"/>
          <w:szCs w:val="24"/>
        </w:rPr>
        <w:t>standard solutions</w:t>
      </w:r>
      <w:r w:rsidRPr="001B558D">
        <w:rPr>
          <w:rFonts w:cs="Arial"/>
          <w:sz w:val="24"/>
          <w:szCs w:val="24"/>
        </w:rPr>
        <w:t xml:space="preserve">, there was </w:t>
      </w:r>
      <w:r w:rsidRPr="001B558D">
        <w:rPr>
          <w:rFonts w:cs="Arial"/>
          <w:sz w:val="24"/>
          <w:szCs w:val="24"/>
        </w:rPr>
        <w:lastRenderedPageBreak/>
        <w:t>an a</w:t>
      </w:r>
      <w:r w:rsidR="0066287E">
        <w:rPr>
          <w:rFonts w:cs="Arial"/>
          <w:sz w:val="24"/>
          <w:szCs w:val="24"/>
        </w:rPr>
        <w:t>ss</w:t>
      </w:r>
      <w:r w:rsidRPr="001B558D">
        <w:rPr>
          <w:rFonts w:cs="Arial"/>
          <w:sz w:val="24"/>
          <w:szCs w:val="24"/>
        </w:rPr>
        <w:t xml:space="preserve">ociated increase in </w:t>
      </w:r>
      <w:r w:rsidR="00E16959">
        <w:rPr>
          <w:rFonts w:cs="Arial"/>
          <w:sz w:val="24"/>
          <w:szCs w:val="24"/>
        </w:rPr>
        <w:t>PSTR</w:t>
      </w:r>
      <w:r w:rsidRPr="001B558D">
        <w:rPr>
          <w:rFonts w:cs="Arial"/>
          <w:sz w:val="24"/>
          <w:szCs w:val="24"/>
        </w:rPr>
        <w:t xml:space="preserve"> of 0.033 (95% </w:t>
      </w:r>
      <w:r w:rsidR="00B5542E">
        <w:rPr>
          <w:rFonts w:cs="Arial"/>
          <w:sz w:val="24"/>
          <w:szCs w:val="24"/>
        </w:rPr>
        <w:t xml:space="preserve">CI </w:t>
      </w:r>
      <w:r w:rsidRPr="001B558D">
        <w:rPr>
          <w:rFonts w:cs="Arial"/>
          <w:sz w:val="24"/>
          <w:szCs w:val="24"/>
        </w:rPr>
        <w:t>0.015, 0.052) per episode, wherea</w:t>
      </w:r>
      <w:r w:rsidR="009920DC">
        <w:rPr>
          <w:rFonts w:cs="Arial"/>
          <w:sz w:val="24"/>
          <w:szCs w:val="24"/>
        </w:rPr>
        <w:t xml:space="preserve">s in patients using </w:t>
      </w:r>
      <w:r w:rsidRPr="001B558D">
        <w:rPr>
          <w:rFonts w:cs="Arial"/>
          <w:sz w:val="24"/>
          <w:szCs w:val="24"/>
        </w:rPr>
        <w:t xml:space="preserve">biocompatible solutions there was no change in this parameter (-0.014, 95% </w:t>
      </w:r>
      <w:r w:rsidR="00B5542E">
        <w:rPr>
          <w:rFonts w:cs="Arial"/>
          <w:sz w:val="24"/>
          <w:szCs w:val="24"/>
        </w:rPr>
        <w:t xml:space="preserve">CI </w:t>
      </w:r>
      <w:r w:rsidRPr="001B558D">
        <w:rPr>
          <w:rFonts w:cs="Arial"/>
          <w:sz w:val="24"/>
          <w:szCs w:val="24"/>
        </w:rPr>
        <w:t xml:space="preserve">-0.033, 0.003). </w:t>
      </w:r>
    </w:p>
    <w:p w14:paraId="7D0A9646" w14:textId="77777777" w:rsidR="00A6326D" w:rsidRPr="00415CAC" w:rsidRDefault="00E61FF8" w:rsidP="0095276D">
      <w:pPr>
        <w:spacing w:line="480" w:lineRule="auto"/>
        <w:rPr>
          <w:rFonts w:cs="Arial"/>
          <w:b/>
          <w:sz w:val="24"/>
          <w:szCs w:val="24"/>
        </w:rPr>
      </w:pPr>
      <w:r w:rsidRPr="00415CAC">
        <w:rPr>
          <w:rFonts w:cs="Arial"/>
          <w:b/>
          <w:sz w:val="24"/>
          <w:szCs w:val="24"/>
        </w:rPr>
        <w:t>Conclusions</w:t>
      </w:r>
    </w:p>
    <w:p w14:paraId="1A3408D2" w14:textId="77777777" w:rsidR="0095276D" w:rsidRPr="00E61FF8" w:rsidRDefault="00E61FF8" w:rsidP="0095276D">
      <w:pPr>
        <w:spacing w:line="480" w:lineRule="auto"/>
        <w:rPr>
          <w:rFonts w:cs="Arial"/>
          <w:sz w:val="24"/>
          <w:szCs w:val="24"/>
        </w:rPr>
      </w:pPr>
      <w:r w:rsidRPr="00753B7F">
        <w:rPr>
          <w:rFonts w:cs="Arial"/>
          <w:sz w:val="24"/>
          <w:szCs w:val="24"/>
        </w:rPr>
        <w:t xml:space="preserve"> </w:t>
      </w:r>
      <w:r w:rsidR="00EC50F3">
        <w:rPr>
          <w:rFonts w:cs="Arial"/>
          <w:sz w:val="24"/>
          <w:szCs w:val="24"/>
        </w:rPr>
        <w:t>T</w:t>
      </w:r>
      <w:r w:rsidRPr="00753B7F">
        <w:rPr>
          <w:rFonts w:cs="Arial"/>
          <w:sz w:val="24"/>
          <w:szCs w:val="24"/>
        </w:rPr>
        <w:t xml:space="preserve">hese data suggest a different temporal pattern in changes in </w:t>
      </w:r>
      <w:r w:rsidR="00E16959">
        <w:rPr>
          <w:rFonts w:cs="Arial"/>
          <w:sz w:val="24"/>
          <w:szCs w:val="24"/>
        </w:rPr>
        <w:t>PSTR</w:t>
      </w:r>
      <w:r w:rsidRPr="001B558D">
        <w:rPr>
          <w:rFonts w:cs="Arial"/>
          <w:sz w:val="24"/>
          <w:szCs w:val="24"/>
        </w:rPr>
        <w:t xml:space="preserve"> occur during the course of </w:t>
      </w:r>
      <w:r w:rsidR="00FD3AD4">
        <w:rPr>
          <w:rFonts w:cs="Arial"/>
          <w:sz w:val="24"/>
          <w:szCs w:val="24"/>
        </w:rPr>
        <w:t>PD</w:t>
      </w:r>
      <w:r w:rsidRPr="001B558D">
        <w:rPr>
          <w:rFonts w:cs="Arial"/>
          <w:sz w:val="24"/>
          <w:szCs w:val="24"/>
        </w:rPr>
        <w:t xml:space="preserve"> according to solution type and</w:t>
      </w:r>
      <w:r w:rsidR="009920DC">
        <w:rPr>
          <w:rFonts w:cs="Arial"/>
          <w:sz w:val="24"/>
          <w:szCs w:val="24"/>
        </w:rPr>
        <w:t xml:space="preserve"> that patients using</w:t>
      </w:r>
      <w:r w:rsidRPr="001B558D">
        <w:rPr>
          <w:rFonts w:cs="Arial"/>
          <w:sz w:val="24"/>
          <w:szCs w:val="24"/>
        </w:rPr>
        <w:t xml:space="preserve"> biocompatible solutions  avoid the increase in solute transport a</w:t>
      </w:r>
      <w:r w:rsidR="0066287E">
        <w:rPr>
          <w:rFonts w:cs="Arial"/>
          <w:sz w:val="24"/>
          <w:szCs w:val="24"/>
        </w:rPr>
        <w:t>ss</w:t>
      </w:r>
      <w:r w:rsidRPr="001B558D">
        <w:rPr>
          <w:rFonts w:cs="Arial"/>
          <w:sz w:val="24"/>
          <w:szCs w:val="24"/>
        </w:rPr>
        <w:t xml:space="preserve">ociated with peritonitis.                                                                                                                                                                                                                                                                                                                                                                                                                                                                                                                                                                                                                                                                                                                                                                                                                                                                                                                                                                                                                                                                                                                                                                                                                                                                                                                                                                                                                                                                                                                                                                          </w:t>
      </w:r>
      <w:r w:rsidRPr="00753B7F">
        <w:rPr>
          <w:rFonts w:cs="Arial"/>
          <w:sz w:val="24"/>
          <w:szCs w:val="24"/>
        </w:rPr>
        <w:t xml:space="preserve">                                                                                                                                                                                                                                                                                                                                                                                                                                                                                                                                                                                                                                                                                                                                                                                                                                                                                                                                                                                                                                                                                                                                                                                                                                                                                                                                                                                                                                                                                                                                                                                                                                                                                                                                                                                                                                                                                                                                                                                                                                                                                                                                                                                                                                                                                                                                                                                                                                                                                                                                                                                                                                                                                                                                                                                                                                                                                                                                                                                                                                                                                                                                                                                          </w:t>
      </w:r>
      <w:r w:rsidRPr="00A6318E">
        <w:rPr>
          <w:rFonts w:cs="Arial"/>
          <w:sz w:val="24"/>
          <w:szCs w:val="24"/>
        </w:rPr>
        <w:t xml:space="preserve">                                                                                                                                                                                                                                                                                                                                                                                                                                                                                                                                                                                                                                                                                                                                                                                                                                                                                                                                                                                                                                                                                                                                                                                                                                                                                                                                                                                                                                                                                                                                                                                               </w:t>
      </w:r>
      <w:r w:rsidRPr="001556BA">
        <w:rPr>
          <w:rFonts w:cs="Arial"/>
          <w:sz w:val="24"/>
          <w:szCs w:val="24"/>
        </w:rPr>
        <w:t xml:space="preserve">                                                                                                                                                                                                                                                                                                                                                                                                                                                                                                                                                                                                                                                                                                                                                                                                                                                                                                                                                                                                                                                                                                                                                                                                                                                                                                                                </w:t>
      </w:r>
      <w:r w:rsidRPr="00E61FF8">
        <w:rPr>
          <w:rFonts w:cs="Arial"/>
          <w:sz w:val="24"/>
          <w:szCs w:val="24"/>
        </w:rPr>
        <w:t xml:space="preserve">                                                                                                                                                                                                                                                                                                                                                                                                                                                                                                                                                                                                                                                                                                                                                                                                                                                                                                                                                                                                                                                                                                                                                                                                                                                                                                                                                                                                                                                                                                                                                                                                                                                                                                                                                                                                                                                                                                                                                                                                                                                                                                                                                                                                                                                                                                                                                                                                                                                                                                                                                                                                                                                                                                                                                                                                                                                                                                                                                                                                                                                                                                                                                                                                                                                                                                                                                                                                                                                                                                                                                                                                                                                                                                                                                                                                                                                                                                                                                                                                                                                                                                                                                                                                                                                                                                                                                                                                                                                                   </w:t>
      </w:r>
    </w:p>
    <w:p w14:paraId="594330D6" w14:textId="77777777" w:rsidR="0095276D" w:rsidRPr="00E61FF8" w:rsidRDefault="00E61FF8" w:rsidP="0095276D">
      <w:pPr>
        <w:tabs>
          <w:tab w:val="left" w:pos="3192"/>
        </w:tabs>
        <w:rPr>
          <w:rFonts w:cs="Arial"/>
          <w:sz w:val="24"/>
          <w:szCs w:val="24"/>
        </w:rPr>
      </w:pPr>
      <w:r w:rsidRPr="00E61FF8">
        <w:rPr>
          <w:rFonts w:cs="Arial"/>
          <w:sz w:val="24"/>
          <w:szCs w:val="24"/>
        </w:rPr>
        <w:tab/>
      </w:r>
    </w:p>
    <w:p w14:paraId="01B565B3" w14:textId="77777777" w:rsidR="0073462C" w:rsidRPr="00E61FF8" w:rsidRDefault="00E61FF8" w:rsidP="0095276D">
      <w:pPr>
        <w:tabs>
          <w:tab w:val="left" w:pos="3192"/>
        </w:tabs>
        <w:rPr>
          <w:rFonts w:cs="Arial"/>
          <w:sz w:val="24"/>
          <w:szCs w:val="24"/>
        </w:rPr>
        <w:sectPr w:rsidR="0073462C" w:rsidRPr="00E61FF8" w:rsidSect="001B43D7">
          <w:pgSz w:w="11906" w:h="16838"/>
          <w:pgMar w:top="1440" w:right="1440" w:bottom="1440" w:left="1440" w:header="708" w:footer="708" w:gutter="0"/>
          <w:cols w:space="708"/>
          <w:docGrid w:linePitch="360"/>
        </w:sectPr>
      </w:pPr>
      <w:r w:rsidRPr="00E61FF8">
        <w:rPr>
          <w:rFonts w:cs="Arial"/>
          <w:sz w:val="24"/>
          <w:szCs w:val="24"/>
        </w:rPr>
        <w:tab/>
      </w:r>
    </w:p>
    <w:p w14:paraId="270B4358" w14:textId="77777777" w:rsidR="00224FBB" w:rsidRPr="00E61FF8" w:rsidRDefault="00E61FF8" w:rsidP="00195C12">
      <w:pPr>
        <w:spacing w:line="480" w:lineRule="auto"/>
        <w:rPr>
          <w:rFonts w:cs="Arial"/>
          <w:b/>
          <w:sz w:val="24"/>
          <w:szCs w:val="24"/>
        </w:rPr>
      </w:pPr>
      <w:r w:rsidRPr="00E61FF8">
        <w:rPr>
          <w:rFonts w:cs="Arial"/>
          <w:b/>
          <w:sz w:val="24"/>
          <w:szCs w:val="24"/>
        </w:rPr>
        <w:lastRenderedPageBreak/>
        <w:t>Introduction</w:t>
      </w:r>
    </w:p>
    <w:p w14:paraId="76234D1A" w14:textId="77777777" w:rsidR="001618F7" w:rsidRPr="00E61FF8" w:rsidRDefault="00E61FF8" w:rsidP="00FB2AE4">
      <w:pPr>
        <w:spacing w:line="480" w:lineRule="auto"/>
        <w:rPr>
          <w:rFonts w:cs="Arial"/>
          <w:sz w:val="24"/>
          <w:szCs w:val="24"/>
          <w:vertAlign w:val="superscript"/>
        </w:rPr>
      </w:pPr>
      <w:r w:rsidRPr="00E61FF8">
        <w:rPr>
          <w:rFonts w:cs="Arial"/>
          <w:sz w:val="24"/>
          <w:szCs w:val="24"/>
        </w:rPr>
        <w:t>Over time peritoneal dialysis (</w:t>
      </w:r>
      <w:r w:rsidR="00FD3AD4">
        <w:rPr>
          <w:rFonts w:cs="Arial"/>
          <w:sz w:val="24"/>
          <w:szCs w:val="24"/>
        </w:rPr>
        <w:t>PD</w:t>
      </w:r>
      <w:r w:rsidRPr="001B558D">
        <w:rPr>
          <w:rFonts w:cs="Arial"/>
          <w:sz w:val="24"/>
          <w:szCs w:val="24"/>
        </w:rPr>
        <w:t>) can cause progre</w:t>
      </w:r>
      <w:r w:rsidR="0066287E">
        <w:rPr>
          <w:rFonts w:cs="Arial"/>
          <w:sz w:val="24"/>
          <w:szCs w:val="24"/>
        </w:rPr>
        <w:t>ss</w:t>
      </w:r>
      <w:r w:rsidRPr="001B558D">
        <w:rPr>
          <w:rFonts w:cs="Arial"/>
          <w:sz w:val="24"/>
          <w:szCs w:val="24"/>
        </w:rPr>
        <w:t>ive injury to the peritoneal membrane. Local inflammation, with an increase in membrane vascularity, is the likely driver of this, evidenced by faster peritoneal solute transport rate (</w:t>
      </w:r>
      <w:r w:rsidR="00E16959">
        <w:rPr>
          <w:rFonts w:cs="Arial"/>
          <w:sz w:val="24"/>
          <w:szCs w:val="24"/>
        </w:rPr>
        <w:t>PSTR</w:t>
      </w:r>
      <w:r w:rsidRPr="001B558D">
        <w:rPr>
          <w:rFonts w:cs="Arial"/>
          <w:sz w:val="24"/>
          <w:szCs w:val="24"/>
        </w:rPr>
        <w:t>).</w:t>
      </w:r>
      <w:r w:rsidR="003C71B0" w:rsidRPr="00E61FF8">
        <w:rPr>
          <w:rFonts w:ascii="Arial" w:hAnsi="Arial" w:cs="Arial"/>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ascii="Arial" w:hAnsi="Arial" w:cs="Arial"/>
        </w:rPr>
        <w:instrText xml:space="preserve"> ADDIN EN.CITE </w:instrText>
      </w:r>
      <w:r w:rsidR="003C71B0" w:rsidRPr="009E14B0">
        <w:rPr>
          <w:rFonts w:ascii="Arial" w:hAnsi="Arial" w:cs="Arial"/>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ascii="Arial" w:hAnsi="Arial" w:cs="Arial"/>
        </w:rPr>
        <w:instrText xml:space="preserve"> ADDIN EN.CITE.DATA </w:instrText>
      </w:r>
      <w:r w:rsidR="003C71B0" w:rsidRPr="009E14B0">
        <w:rPr>
          <w:rFonts w:ascii="Arial" w:hAnsi="Arial" w:cs="Arial"/>
        </w:rPr>
      </w:r>
      <w:r w:rsidR="003C71B0" w:rsidRPr="009E14B0">
        <w:rPr>
          <w:rFonts w:ascii="Arial" w:hAnsi="Arial" w:cs="Arial"/>
        </w:rPr>
        <w:fldChar w:fldCharType="end"/>
      </w:r>
      <w:r w:rsidR="003C71B0" w:rsidRPr="00E61FF8">
        <w:rPr>
          <w:rFonts w:ascii="Arial" w:hAnsi="Arial" w:cs="Arial"/>
        </w:rPr>
      </w:r>
      <w:r w:rsidR="003C71B0" w:rsidRPr="00E61FF8">
        <w:rPr>
          <w:rFonts w:ascii="Arial" w:hAnsi="Arial" w:cs="Arial"/>
        </w:rPr>
        <w:fldChar w:fldCharType="separate"/>
      </w:r>
      <w:r w:rsidRPr="00E61FF8">
        <w:rPr>
          <w:rFonts w:ascii="Arial" w:hAnsi="Arial" w:cs="Arial"/>
          <w:noProof/>
          <w:vertAlign w:val="superscript"/>
        </w:rPr>
        <w:t>1</w:t>
      </w:r>
      <w:r w:rsidR="003C71B0" w:rsidRPr="00E61FF8">
        <w:rPr>
          <w:rFonts w:ascii="Arial" w:hAnsi="Arial" w:cs="Arial"/>
        </w:rPr>
        <w:fldChar w:fldCharType="end"/>
      </w:r>
      <w:r w:rsidRPr="00E61FF8">
        <w:rPr>
          <w:rFonts w:ascii="Arial" w:hAnsi="Arial" w:cs="Arial"/>
          <w:vertAlign w:val="superscript"/>
        </w:rPr>
        <w:t>,2</w:t>
      </w:r>
      <w:r w:rsidRPr="00E61FF8">
        <w:rPr>
          <w:rFonts w:ascii="Arial" w:hAnsi="Arial" w:cs="Arial"/>
        </w:rPr>
        <w:t xml:space="preserve"> </w:t>
      </w:r>
      <w:r w:rsidR="00FC568D">
        <w:rPr>
          <w:rFonts w:cs="Arial"/>
          <w:sz w:val="24"/>
          <w:szCs w:val="24"/>
        </w:rPr>
        <w:t>Faster</w:t>
      </w:r>
      <w:r w:rsidRPr="00E61FF8">
        <w:rPr>
          <w:rFonts w:cs="Arial"/>
          <w:sz w:val="24"/>
          <w:szCs w:val="24"/>
        </w:rPr>
        <w:t xml:space="preserve"> </w:t>
      </w:r>
      <w:r w:rsidR="00E16959">
        <w:rPr>
          <w:rFonts w:cs="Arial"/>
          <w:sz w:val="24"/>
          <w:szCs w:val="24"/>
        </w:rPr>
        <w:t>PSTR</w:t>
      </w:r>
      <w:r w:rsidRPr="00E61FF8">
        <w:rPr>
          <w:rFonts w:cs="Arial"/>
          <w:sz w:val="24"/>
          <w:szCs w:val="24"/>
        </w:rPr>
        <w:t xml:space="preserve"> is strongly a</w:t>
      </w:r>
      <w:r w:rsidR="0066287E">
        <w:rPr>
          <w:rFonts w:cs="Arial"/>
          <w:sz w:val="24"/>
          <w:szCs w:val="24"/>
        </w:rPr>
        <w:t>ss</w:t>
      </w:r>
      <w:r w:rsidRPr="00E61FF8">
        <w:rPr>
          <w:rFonts w:cs="Arial"/>
          <w:sz w:val="24"/>
          <w:szCs w:val="24"/>
        </w:rPr>
        <w:t>ociated with the likelihood of poor outcomes including technique failure</w:t>
      </w:r>
      <w:r w:rsidR="004B647C">
        <w:rPr>
          <w:rFonts w:cs="Arial"/>
          <w:sz w:val="24"/>
          <w:szCs w:val="24"/>
        </w:rPr>
        <w:t xml:space="preserve"> and </w:t>
      </w:r>
      <w:r w:rsidRPr="00E61FF8">
        <w:rPr>
          <w:rFonts w:cs="Arial"/>
          <w:sz w:val="24"/>
          <w:szCs w:val="24"/>
        </w:rPr>
        <w:t>mortality</w:t>
      </w:r>
      <w:r w:rsidR="00EC50F3">
        <w:rPr>
          <w:rFonts w:cs="Arial"/>
          <w:sz w:val="24"/>
          <w:szCs w:val="24"/>
        </w:rPr>
        <w:t>.</w:t>
      </w:r>
      <w:r w:rsidRPr="00E61FF8">
        <w:rPr>
          <w:rFonts w:cs="Arial"/>
          <w:sz w:val="24"/>
          <w:szCs w:val="24"/>
        </w:rPr>
        <w:t xml:space="preserve"> </w:t>
      </w:r>
      <w:r w:rsidR="003C71B0" w:rsidRPr="00E61FF8">
        <w:rPr>
          <w:rFonts w:ascii="Arial" w:hAnsi="Arial" w:cs="Arial"/>
        </w:rPr>
        <w:fldChar w:fldCharType="begin"/>
      </w:r>
      <w:r w:rsidR="00942322" w:rsidRPr="00E61FF8">
        <w:rPr>
          <w:rFonts w:ascii="Arial" w:hAnsi="Arial" w:cs="Arial"/>
        </w:rPr>
        <w:instrText xml:space="preserve"> ADDIN EN.CITE &lt;EndNote&gt;&lt;Cite&gt;&lt;Author&gt;Brimble&lt;/Author&gt;&lt;Year&gt;2006&lt;/Year&gt;&lt;IDText&gt;Meta-analysis: peritoneal membrane transport, mortality, and technique failure in peritoneal dialysis&lt;/IDText&gt;&lt;DisplayText&gt;&lt;style face="superscript"&gt;3&lt;/style&gt;&lt;/DisplayText&gt;&lt;record&gt;&lt;keywords&gt;&lt;keyword&gt;Biological Transport*&lt;/keyword&gt;&lt;keyword&gt;Peritoneal Dialysis/*mortality&lt;/keyword&gt;&lt;keyword&gt;Peritoneum/*metabolism&lt;/keyword&gt;&lt;keyword&gt;Creatinine/blood&lt;/keyword&gt;&lt;keyword&gt;Humans&lt;/keyword&gt;&lt;keyword&gt;Peritoneal Dialysis/adverse effects&lt;/keyword&gt;&lt;keyword&gt;Risk&lt;/keyword&gt;&lt;keyword&gt;Treatment Failure&lt;/keyword&gt;&lt;/keywords&gt;&lt;urls&gt;&lt;related-urls&gt;&lt;url&gt;http://search.ebscohost.com/login.aspx?direct=true&amp;amp;AuthType=ip,url,uid,shib&amp;amp;db=cmedm&amp;amp;AN=16885406&amp;amp;site=ehost-live&lt;/url&gt;&lt;/related-urls&gt;&lt;/urls&gt;&lt;isbn&gt;1046-6673&lt;/isbn&gt;&lt;titles&gt;&lt;title&gt;Meta-analysis: peritoneal membrane transport, mortality, and technique failure in peritoneal dialysis&lt;/title&gt;&lt;secondary-title&gt;Journal Of The American Society Of Nephrology: JASN&lt;/secondary-title&gt;&lt;/titles&gt;&lt;pages&gt;2591-2598&lt;/pages&gt;&lt;number&gt;9&lt;/number&gt;&lt;contributors&gt;&lt;authors&gt;&lt;author&gt;Brimble, K. Scott&lt;/author&gt;&lt;author&gt;Walker, Michelle&lt;/author&gt;&lt;author&gt;Margetts, Peter J.&lt;/author&gt;&lt;author&gt;Kundhal, Kiran K.&lt;/author&gt;&lt;author&gt;Rabbat, Christian G.&lt;/author&gt;&lt;/authors&gt;&lt;/contributors&gt;&lt;added-date format="utc"&gt;1381742265&lt;/added-date&gt;&lt;pub-location&gt;United States&lt;/pub-location&gt;&lt;ref-type name="Journal Article"&gt;17&lt;/ref-type&gt;&lt;auth-address&gt;25 Charlton Avenue East, Hamilton, ON, Canada, L8N 1Y2. brimbles@mcmaster.ca&lt;/auth-address&gt;&lt;dates&gt;&lt;year&gt;2006&lt;/year&gt;&lt;/dates&gt;&lt;remote-database-provider&gt;EBSCOhost&lt;/remote-database-provider&gt;&lt;rec-number&gt;186&lt;/rec-number&gt;&lt;publisher&gt;American Society of Nephrology&lt;/publisher&gt;&lt;last-updated-date format="utc"&gt;1389955220&lt;/last-updated-date&gt;&lt;accession-num&gt;16885406&lt;/accession-num&gt;&lt;volume&gt;17&lt;/volume&gt;&lt;remote-database-name&gt;cmedm&lt;/remote-database-name&gt;&lt;/record&gt;&lt;/Cite&gt;&lt;/EndNote&gt;</w:instrText>
      </w:r>
      <w:r w:rsidR="003C71B0" w:rsidRPr="00E61FF8">
        <w:rPr>
          <w:rFonts w:ascii="Arial" w:hAnsi="Arial" w:cs="Arial"/>
        </w:rPr>
        <w:fldChar w:fldCharType="separate"/>
      </w:r>
      <w:r w:rsidRPr="00E61FF8">
        <w:rPr>
          <w:rFonts w:ascii="Arial" w:hAnsi="Arial" w:cs="Arial"/>
          <w:noProof/>
          <w:vertAlign w:val="superscript"/>
        </w:rPr>
        <w:t>3</w:t>
      </w:r>
      <w:r w:rsidR="003C71B0" w:rsidRPr="00E61FF8">
        <w:rPr>
          <w:rFonts w:ascii="Arial" w:hAnsi="Arial" w:cs="Arial"/>
        </w:rPr>
        <w:fldChar w:fldCharType="end"/>
      </w:r>
      <w:r w:rsidR="004B647C">
        <w:rPr>
          <w:rFonts w:cs="Arial"/>
          <w:sz w:val="24"/>
          <w:szCs w:val="24"/>
        </w:rPr>
        <w:t xml:space="preserve"> E</w:t>
      </w:r>
      <w:r w:rsidRPr="00E61FF8">
        <w:rPr>
          <w:rFonts w:cs="Arial"/>
          <w:sz w:val="24"/>
          <w:szCs w:val="24"/>
        </w:rPr>
        <w:t>ncapsulating peritoneal sclerosis</w:t>
      </w:r>
      <w:r w:rsidR="004B647C">
        <w:rPr>
          <w:rFonts w:cs="Arial"/>
          <w:sz w:val="24"/>
          <w:szCs w:val="24"/>
        </w:rPr>
        <w:t xml:space="preserve"> is a rare b</w:t>
      </w:r>
      <w:r w:rsidR="00C222F0">
        <w:rPr>
          <w:rFonts w:cs="Arial"/>
          <w:sz w:val="24"/>
          <w:szCs w:val="24"/>
        </w:rPr>
        <w:t>ut</w:t>
      </w:r>
      <w:r w:rsidR="004B647C">
        <w:rPr>
          <w:rFonts w:cs="Arial"/>
          <w:sz w:val="24"/>
          <w:szCs w:val="24"/>
        </w:rPr>
        <w:t xml:space="preserve"> serious complication also associated with higher PSTR</w:t>
      </w:r>
      <w:r w:rsidR="00EC50F3">
        <w:rPr>
          <w:rFonts w:cs="Arial"/>
          <w:sz w:val="24"/>
          <w:szCs w:val="24"/>
        </w:rPr>
        <w:t>.</w:t>
      </w:r>
      <w:r w:rsidR="003C71B0" w:rsidRPr="00E61FF8">
        <w:rPr>
          <w:rFonts w:cs="Arial"/>
          <w:sz w:val="24"/>
          <w:szCs w:val="24"/>
        </w:rPr>
        <w:fldChar w:fldCharType="begin">
          <w:fldData xml:space="preserve">PEVuZE5vdGU+PENpdGU+PEF1dGhvcj5MYW1iaWU8L0F1dGhvcj48WWVhcj4yMDEwPC9ZZWFyPjxJ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</w:fldData>
        </w:fldChar>
      </w:r>
      <w:r w:rsidR="00695BDB" w:rsidRPr="00E61FF8">
        <w:rPr>
          <w:rFonts w:cs="Arial"/>
          <w:sz w:val="24"/>
          <w:szCs w:val="24"/>
        </w:rPr>
        <w:instrText xml:space="preserve"> ADDIN EN.CITE </w:instrText>
      </w:r>
      <w:r w:rsidR="003C71B0" w:rsidRPr="009E14B0">
        <w:rPr>
          <w:rFonts w:cs="Arial"/>
          <w:sz w:val="24"/>
          <w:szCs w:val="24"/>
        </w:rPr>
        <w:fldChar w:fldCharType="begin">
          <w:fldData xml:space="preserve">PEVuZE5vdGU+PENpdGU+PEF1dGhvcj5MYW1iaWU8L0F1dGhvcj48WWVhcj4yMDEwPC9ZZWFyPjxJ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</w:fldData>
        </w:fldChar>
      </w:r>
      <w:r w:rsidR="00695BDB" w:rsidRPr="00E61FF8">
        <w:rPr>
          <w:rFonts w:cs="Arial"/>
          <w:sz w:val="24"/>
          <w:szCs w:val="24"/>
        </w:rPr>
        <w:instrText xml:space="preserve"> ADDIN EN.CITE.DATA </w:instrText>
      </w:r>
      <w:r w:rsidR="003C71B0" w:rsidRPr="009E14B0">
        <w:rPr>
          <w:rFonts w:cs="Arial"/>
          <w:sz w:val="24"/>
          <w:szCs w:val="24"/>
        </w:rPr>
      </w:r>
      <w:r w:rsidR="003C71B0" w:rsidRPr="009E14B0">
        <w:rPr>
          <w:rFonts w:cs="Arial"/>
          <w:sz w:val="24"/>
          <w:szCs w:val="24"/>
        </w:rPr>
        <w:fldChar w:fldCharType="end"/>
      </w:r>
      <w:r w:rsidR="003C71B0" w:rsidRPr="00E61FF8">
        <w:rPr>
          <w:rFonts w:cs="Arial"/>
          <w:sz w:val="24"/>
          <w:szCs w:val="24"/>
        </w:rPr>
      </w:r>
      <w:r w:rsidR="003C71B0" w:rsidRPr="00E61FF8">
        <w:rPr>
          <w:rFonts w:cs="Arial"/>
          <w:sz w:val="24"/>
          <w:szCs w:val="24"/>
        </w:rPr>
        <w:fldChar w:fldCharType="separate"/>
      </w:r>
      <w:r w:rsidRPr="00E61FF8">
        <w:rPr>
          <w:rFonts w:cs="Arial"/>
          <w:noProof/>
          <w:sz w:val="24"/>
          <w:szCs w:val="24"/>
          <w:vertAlign w:val="superscript"/>
        </w:rPr>
        <w:t>4</w:t>
      </w:r>
      <w:r w:rsidR="003C71B0" w:rsidRPr="00E61FF8">
        <w:rPr>
          <w:rFonts w:cs="Arial"/>
          <w:sz w:val="24"/>
          <w:szCs w:val="24"/>
        </w:rPr>
        <w:fldChar w:fldCharType="end"/>
      </w:r>
      <w:r w:rsidRPr="00E61FF8">
        <w:rPr>
          <w:rFonts w:cs="Arial"/>
          <w:sz w:val="24"/>
          <w:szCs w:val="24"/>
        </w:rPr>
        <w:t xml:space="preserve"> </w:t>
      </w:r>
      <w:r w:rsidR="004B647C">
        <w:rPr>
          <w:rFonts w:cs="Arial"/>
          <w:sz w:val="24"/>
          <w:szCs w:val="24"/>
        </w:rPr>
        <w:t>M</w:t>
      </w:r>
      <w:r w:rsidRPr="00E61FF8">
        <w:rPr>
          <w:rFonts w:cs="Arial"/>
          <w:sz w:val="24"/>
          <w:szCs w:val="24"/>
        </w:rPr>
        <w:t>echanisms leading to this increase are multifactorial but may include conventional (bioincompatible) dialysis solutions, cumulative glucose (or glucose degradation product) exposure and episodic peritonitis.</w:t>
      </w:r>
      <w:r w:rsidRPr="00E61FF8">
        <w:rPr>
          <w:rFonts w:cs="Arial"/>
          <w:sz w:val="24"/>
          <w:szCs w:val="24"/>
          <w:vertAlign w:val="superscript"/>
        </w:rPr>
        <w:t>5</w:t>
      </w:r>
    </w:p>
    <w:p w14:paraId="4351CFE3" w14:textId="2FD57F1B" w:rsidR="00480BAB" w:rsidRPr="001B558D" w:rsidRDefault="00E61FF8" w:rsidP="00FB2AE4">
      <w:pPr>
        <w:spacing w:line="480" w:lineRule="auto"/>
        <w:rPr>
          <w:rFonts w:cs="Arial"/>
          <w:sz w:val="24"/>
          <w:szCs w:val="24"/>
        </w:rPr>
      </w:pPr>
      <w:r w:rsidRPr="006330A2">
        <w:rPr>
          <w:rFonts w:cs="Arial"/>
          <w:sz w:val="24"/>
          <w:szCs w:val="24"/>
        </w:rPr>
        <w:t xml:space="preserve">Animal model data suggests that </w:t>
      </w:r>
      <w:r w:rsidRPr="006330A2">
        <w:rPr>
          <w:rFonts w:cstheme="minorHAnsi"/>
          <w:sz w:val="24"/>
          <w:szCs w:val="24"/>
        </w:rPr>
        <w:t>biocompa</w:t>
      </w:r>
      <w:r w:rsidRPr="001B558D">
        <w:rPr>
          <w:rFonts w:cstheme="minorHAnsi"/>
          <w:sz w:val="24"/>
          <w:szCs w:val="24"/>
        </w:rPr>
        <w:t>tible solution</w:t>
      </w:r>
      <w:r w:rsidR="00157B09">
        <w:rPr>
          <w:rFonts w:cstheme="minorHAnsi"/>
          <w:sz w:val="24"/>
          <w:szCs w:val="24"/>
        </w:rPr>
        <w:t>s</w:t>
      </w:r>
      <w:r w:rsidRPr="001B558D">
        <w:rPr>
          <w:rFonts w:cstheme="minorHAnsi"/>
          <w:sz w:val="24"/>
          <w:szCs w:val="24"/>
        </w:rPr>
        <w:t xml:space="preserve"> are better able to preserve membrane integrity </w:t>
      </w:r>
      <w:r w:rsidRPr="001B558D">
        <w:rPr>
          <w:rFonts w:cstheme="minorHAnsi"/>
          <w:i/>
          <w:sz w:val="24"/>
          <w:szCs w:val="24"/>
        </w:rPr>
        <w:t>in vivo</w:t>
      </w:r>
      <w:r w:rsidRPr="001B558D">
        <w:rPr>
          <w:rFonts w:cstheme="minorHAnsi"/>
          <w:sz w:val="24"/>
          <w:szCs w:val="24"/>
        </w:rPr>
        <w:t xml:space="preserve"> after exposure to </w:t>
      </w:r>
      <w:r w:rsidR="00FD3AD4">
        <w:rPr>
          <w:rFonts w:cstheme="minorHAnsi"/>
          <w:sz w:val="24"/>
          <w:szCs w:val="24"/>
        </w:rPr>
        <w:t>PD</w:t>
      </w:r>
      <w:r w:rsidRPr="001B558D">
        <w:rPr>
          <w:rFonts w:cstheme="minorHAnsi"/>
          <w:sz w:val="24"/>
          <w:szCs w:val="24"/>
        </w:rPr>
        <w:t xml:space="preserve"> solutions</w:t>
      </w:r>
      <w:r w:rsidRPr="001B558D">
        <w:rPr>
          <w:rFonts w:cstheme="minorHAnsi"/>
          <w:sz w:val="24"/>
          <w:szCs w:val="24"/>
          <w:vertAlign w:val="superscript"/>
        </w:rPr>
        <w:t>6</w:t>
      </w:r>
      <w:r w:rsidRPr="001B558D">
        <w:rPr>
          <w:rFonts w:cstheme="minorHAnsi"/>
          <w:sz w:val="24"/>
          <w:szCs w:val="24"/>
        </w:rPr>
        <w:t xml:space="preserve"> and data on peritoneal morphology suggests fewer adverse changes with biocompatible solutions .</w:t>
      </w:r>
      <w:r w:rsidRPr="001B558D">
        <w:rPr>
          <w:rFonts w:cstheme="minorHAnsi"/>
          <w:sz w:val="24"/>
          <w:szCs w:val="24"/>
          <w:vertAlign w:val="superscript"/>
        </w:rPr>
        <w:t>7</w:t>
      </w:r>
      <w:r w:rsidRPr="00753B7F">
        <w:rPr>
          <w:rFonts w:cstheme="minorHAnsi"/>
          <w:sz w:val="24"/>
          <w:szCs w:val="24"/>
        </w:rPr>
        <w:t xml:space="preserve"> an early cro</w:t>
      </w:r>
      <w:r w:rsidR="0066287E">
        <w:rPr>
          <w:rFonts w:cstheme="minorHAnsi"/>
          <w:sz w:val="24"/>
          <w:szCs w:val="24"/>
        </w:rPr>
        <w:t>ss</w:t>
      </w:r>
      <w:r w:rsidRPr="001B558D">
        <w:rPr>
          <w:rFonts w:cstheme="minorHAnsi"/>
          <w:sz w:val="24"/>
          <w:szCs w:val="24"/>
        </w:rPr>
        <w:t xml:space="preserve">-over study in patients suggested that biocompatible solutions may increase </w:t>
      </w:r>
      <w:r w:rsidR="00E16959">
        <w:rPr>
          <w:rFonts w:cstheme="minorHAnsi"/>
          <w:sz w:val="24"/>
          <w:szCs w:val="24"/>
        </w:rPr>
        <w:t>PSTR</w:t>
      </w:r>
      <w:r w:rsidRPr="001B558D">
        <w:rPr>
          <w:rFonts w:cstheme="minorHAnsi"/>
          <w:sz w:val="24"/>
          <w:szCs w:val="24"/>
        </w:rPr>
        <w:t>,</w:t>
      </w:r>
      <w:r w:rsidRPr="001B558D">
        <w:rPr>
          <w:rFonts w:cstheme="minorHAnsi"/>
          <w:sz w:val="24"/>
          <w:szCs w:val="24"/>
          <w:vertAlign w:val="superscript"/>
        </w:rPr>
        <w:t>8</w:t>
      </w:r>
      <w:r w:rsidRPr="001B558D">
        <w:rPr>
          <w:rFonts w:cstheme="minorHAnsi"/>
          <w:sz w:val="24"/>
          <w:szCs w:val="24"/>
        </w:rPr>
        <w:t xml:space="preserve"> but more recent meta-analyses </w:t>
      </w:r>
      <w:r w:rsidRPr="001B558D">
        <w:rPr>
          <w:rFonts w:cstheme="minorHAnsi"/>
          <w:sz w:val="24"/>
          <w:szCs w:val="24"/>
          <w:vertAlign w:val="superscript"/>
        </w:rPr>
        <w:t>9,10</w:t>
      </w:r>
      <w:r w:rsidRPr="001B558D">
        <w:rPr>
          <w:rFonts w:cstheme="minorHAnsi"/>
          <w:sz w:val="24"/>
          <w:szCs w:val="24"/>
        </w:rPr>
        <w:t xml:space="preserve"> have failed to demonstrate a consistent effect. As shown in the</w:t>
      </w:r>
      <w:r w:rsidR="00B63329">
        <w:rPr>
          <w:rFonts w:cstheme="minorHAnsi"/>
          <w:sz w:val="24"/>
          <w:szCs w:val="24"/>
        </w:rPr>
        <w:t xml:space="preserve"> Balance in Australia and New Zealand peritoneal dialysis patients</w:t>
      </w:r>
      <w:r w:rsidRPr="001B558D">
        <w:rPr>
          <w:rFonts w:cstheme="minorHAnsi"/>
          <w:sz w:val="24"/>
          <w:szCs w:val="24"/>
        </w:rPr>
        <w:t xml:space="preserve"> </w:t>
      </w:r>
      <w:r w:rsidR="00F4228B">
        <w:rPr>
          <w:rFonts w:cstheme="minorHAnsi"/>
          <w:sz w:val="24"/>
          <w:szCs w:val="24"/>
        </w:rPr>
        <w:t>B</w:t>
      </w:r>
      <w:r w:rsidRPr="001B558D">
        <w:rPr>
          <w:rFonts w:cstheme="minorHAnsi"/>
          <w:sz w:val="24"/>
          <w:szCs w:val="24"/>
        </w:rPr>
        <w:t>al</w:t>
      </w:r>
      <w:r w:rsidR="00A80F33">
        <w:rPr>
          <w:rFonts w:cstheme="minorHAnsi"/>
          <w:sz w:val="24"/>
          <w:szCs w:val="24"/>
        </w:rPr>
        <w:t>ANZ</w:t>
      </w:r>
      <w:r w:rsidRPr="001B558D">
        <w:rPr>
          <w:rFonts w:cstheme="minorHAnsi"/>
          <w:sz w:val="24"/>
          <w:szCs w:val="24"/>
        </w:rPr>
        <w:t xml:space="preserve">® study, </w:t>
      </w:r>
      <w:r w:rsidRPr="001B558D">
        <w:rPr>
          <w:rFonts w:cs="Arial"/>
          <w:sz w:val="24"/>
          <w:szCs w:val="24"/>
          <w:vertAlign w:val="superscript"/>
        </w:rPr>
        <w:t xml:space="preserve">11 </w:t>
      </w:r>
      <w:r w:rsidRPr="001B558D">
        <w:rPr>
          <w:rFonts w:cstheme="minorHAnsi"/>
          <w:sz w:val="24"/>
          <w:szCs w:val="24"/>
        </w:rPr>
        <w:t>differences may vary over time, however t</w:t>
      </w:r>
      <w:r w:rsidRPr="00753B7F">
        <w:rPr>
          <w:rFonts w:cs="Arial"/>
          <w:sz w:val="24"/>
          <w:szCs w:val="24"/>
        </w:rPr>
        <w:t xml:space="preserve">he greatest clinical concern is over long-term changes in </w:t>
      </w:r>
      <w:r w:rsidR="00E16959">
        <w:rPr>
          <w:rFonts w:cs="Arial"/>
          <w:sz w:val="24"/>
          <w:szCs w:val="24"/>
        </w:rPr>
        <w:t>PSTR</w:t>
      </w:r>
      <w:r w:rsidRPr="001B558D">
        <w:rPr>
          <w:rFonts w:cs="Arial"/>
          <w:sz w:val="24"/>
          <w:szCs w:val="24"/>
        </w:rPr>
        <w:t>, which no randomised trials have directly addre</w:t>
      </w:r>
      <w:r w:rsidR="0066287E">
        <w:rPr>
          <w:rFonts w:cs="Arial"/>
          <w:sz w:val="24"/>
          <w:szCs w:val="24"/>
        </w:rPr>
        <w:t>ss</w:t>
      </w:r>
      <w:r w:rsidRPr="001B558D">
        <w:rPr>
          <w:rFonts w:cs="Arial"/>
          <w:sz w:val="24"/>
          <w:szCs w:val="24"/>
        </w:rPr>
        <w:t xml:space="preserve">ed. </w:t>
      </w:r>
    </w:p>
    <w:p w14:paraId="34A1119B" w14:textId="77777777" w:rsidR="00AF08D6" w:rsidRPr="00E61FF8" w:rsidRDefault="00E61FF8" w:rsidP="00195C12">
      <w:pPr>
        <w:spacing w:line="480" w:lineRule="auto"/>
        <w:rPr>
          <w:rFonts w:cs="Arial"/>
          <w:sz w:val="24"/>
          <w:szCs w:val="24"/>
        </w:rPr>
        <w:sectPr w:rsidR="00AF08D6" w:rsidRPr="00E61FF8" w:rsidSect="001B43D7">
          <w:pgSz w:w="11906" w:h="16838"/>
          <w:pgMar w:top="1440" w:right="1440" w:bottom="1440" w:left="1440" w:header="708" w:footer="708" w:gutter="0"/>
          <w:cols w:space="708"/>
          <w:docGrid w:linePitch="360"/>
        </w:sectPr>
      </w:pPr>
      <w:r w:rsidRPr="001B558D">
        <w:rPr>
          <w:rFonts w:cs="Arial"/>
          <w:sz w:val="24"/>
          <w:szCs w:val="24"/>
        </w:rPr>
        <w:t>In the present study we undertook the first longitudinal analysis of the global fluid study coho</w:t>
      </w:r>
      <w:r w:rsidR="009920DC">
        <w:rPr>
          <w:rFonts w:cs="Arial"/>
          <w:sz w:val="24"/>
          <w:szCs w:val="24"/>
        </w:rPr>
        <w:t xml:space="preserve">rt to test the hypothesis that </w:t>
      </w:r>
      <w:r w:rsidRPr="001B558D">
        <w:rPr>
          <w:rFonts w:cs="Arial"/>
          <w:sz w:val="24"/>
          <w:szCs w:val="24"/>
        </w:rPr>
        <w:t xml:space="preserve">biocompatible solutions </w:t>
      </w:r>
      <w:r w:rsidR="00BA3B21">
        <w:rPr>
          <w:rFonts w:cs="Arial"/>
          <w:sz w:val="24"/>
          <w:szCs w:val="24"/>
        </w:rPr>
        <w:t>reduces long term rises in PSTR</w:t>
      </w:r>
      <w:r w:rsidRPr="00753B7F">
        <w:rPr>
          <w:rFonts w:cs="Arial"/>
          <w:sz w:val="24"/>
          <w:szCs w:val="24"/>
        </w:rPr>
        <w:t xml:space="preserve">, leading to stable </w:t>
      </w:r>
      <w:r w:rsidR="00E16959">
        <w:rPr>
          <w:rFonts w:cs="Arial"/>
          <w:sz w:val="24"/>
          <w:szCs w:val="24"/>
        </w:rPr>
        <w:t>PSTR</w:t>
      </w:r>
      <w:r w:rsidRPr="001B558D">
        <w:rPr>
          <w:rFonts w:cs="Arial"/>
          <w:sz w:val="24"/>
          <w:szCs w:val="24"/>
        </w:rPr>
        <w:t xml:space="preserve"> over longer periods on </w:t>
      </w:r>
      <w:r w:rsidR="00FD3AD4">
        <w:rPr>
          <w:rFonts w:cs="Arial"/>
          <w:sz w:val="24"/>
          <w:szCs w:val="24"/>
        </w:rPr>
        <w:t>PD</w:t>
      </w:r>
      <w:r w:rsidRPr="001B558D">
        <w:rPr>
          <w:rFonts w:cs="Arial"/>
          <w:sz w:val="24"/>
          <w:szCs w:val="24"/>
        </w:rPr>
        <w:t xml:space="preserve">. </w:t>
      </w:r>
    </w:p>
    <w:p w14:paraId="222D2E7E" w14:textId="77777777" w:rsidR="008A0017" w:rsidRPr="00E61FF8" w:rsidRDefault="00E61FF8" w:rsidP="008A0017">
      <w:pPr>
        <w:spacing w:line="480" w:lineRule="auto"/>
        <w:rPr>
          <w:rFonts w:cs="Arial"/>
          <w:b/>
          <w:sz w:val="24"/>
          <w:szCs w:val="24"/>
        </w:rPr>
      </w:pPr>
      <w:r w:rsidRPr="00E61FF8">
        <w:rPr>
          <w:rFonts w:cs="Arial"/>
          <w:b/>
          <w:sz w:val="24"/>
          <w:szCs w:val="24"/>
        </w:rPr>
        <w:lastRenderedPageBreak/>
        <w:t>Methods</w:t>
      </w:r>
    </w:p>
    <w:p w14:paraId="3A5D60AE" w14:textId="77777777" w:rsidR="008A0017" w:rsidRPr="00E61FF8" w:rsidRDefault="00E61FF8" w:rsidP="008A0017">
      <w:pPr>
        <w:spacing w:line="480" w:lineRule="auto"/>
        <w:rPr>
          <w:rFonts w:cs="Arial"/>
          <w:i/>
          <w:sz w:val="24"/>
          <w:szCs w:val="24"/>
        </w:rPr>
      </w:pPr>
      <w:r w:rsidRPr="00E61FF8">
        <w:rPr>
          <w:rFonts w:cs="Arial"/>
          <w:i/>
          <w:sz w:val="24"/>
          <w:szCs w:val="24"/>
        </w:rPr>
        <w:t>Study design</w:t>
      </w:r>
    </w:p>
    <w:p w14:paraId="2B52C2F0" w14:textId="77777777" w:rsidR="008A0017" w:rsidRPr="001B558D" w:rsidRDefault="00E61FF8" w:rsidP="008A0017">
      <w:pPr>
        <w:spacing w:line="480" w:lineRule="auto"/>
        <w:rPr>
          <w:rFonts w:cs="Arial"/>
          <w:sz w:val="24"/>
          <w:szCs w:val="24"/>
        </w:rPr>
      </w:pPr>
      <w:r w:rsidRPr="00E61FF8">
        <w:rPr>
          <w:rFonts w:cs="Arial"/>
          <w:sz w:val="24"/>
          <w:szCs w:val="24"/>
        </w:rPr>
        <w:t xml:space="preserve">The </w:t>
      </w:r>
      <w:r w:rsidR="00F4228B">
        <w:rPr>
          <w:rFonts w:cs="Arial"/>
          <w:sz w:val="24"/>
          <w:szCs w:val="24"/>
        </w:rPr>
        <w:t>G</w:t>
      </w:r>
      <w:r w:rsidRPr="00E61FF8">
        <w:rPr>
          <w:rFonts w:cs="Arial"/>
          <w:sz w:val="24"/>
          <w:szCs w:val="24"/>
        </w:rPr>
        <w:t xml:space="preserve">lobal </w:t>
      </w:r>
      <w:r w:rsidR="00F4228B">
        <w:rPr>
          <w:rFonts w:cs="Arial"/>
          <w:sz w:val="24"/>
          <w:szCs w:val="24"/>
        </w:rPr>
        <w:t>F</w:t>
      </w:r>
      <w:r w:rsidRPr="00E61FF8">
        <w:rPr>
          <w:rFonts w:cs="Arial"/>
          <w:sz w:val="24"/>
          <w:szCs w:val="24"/>
        </w:rPr>
        <w:t xml:space="preserve">luid </w:t>
      </w:r>
      <w:r w:rsidR="00F4228B">
        <w:rPr>
          <w:rFonts w:cs="Arial"/>
          <w:sz w:val="24"/>
          <w:szCs w:val="24"/>
        </w:rPr>
        <w:t>S</w:t>
      </w:r>
      <w:r w:rsidRPr="00E61FF8">
        <w:rPr>
          <w:rFonts w:cs="Arial"/>
          <w:sz w:val="24"/>
          <w:szCs w:val="24"/>
        </w:rPr>
        <w:t xml:space="preserve">tudy was an international multi-centre prospective observational cohort study, detailed by </w:t>
      </w:r>
      <w:r w:rsidR="002F006F">
        <w:rPr>
          <w:rFonts w:cs="Arial"/>
          <w:sz w:val="24"/>
          <w:szCs w:val="24"/>
        </w:rPr>
        <w:t>L</w:t>
      </w:r>
      <w:r w:rsidRPr="001B558D">
        <w:rPr>
          <w:rFonts w:cs="Arial"/>
          <w:sz w:val="24"/>
          <w:szCs w:val="24"/>
        </w:rPr>
        <w:t xml:space="preserve">ambie </w:t>
      </w:r>
      <w:r w:rsidRPr="001B558D">
        <w:rPr>
          <w:rFonts w:cs="Arial"/>
          <w:i/>
          <w:sz w:val="24"/>
          <w:szCs w:val="24"/>
        </w:rPr>
        <w:t>et al</w:t>
      </w:r>
      <w:r w:rsidRPr="001B558D">
        <w:rPr>
          <w:rFonts w:cs="Arial"/>
          <w:sz w:val="24"/>
          <w:szCs w:val="24"/>
        </w:rPr>
        <w:t>.</w:t>
      </w:r>
      <w:r w:rsidRPr="001B558D">
        <w:rPr>
          <w:rFonts w:cs="Arial"/>
          <w:sz w:val="24"/>
          <w:szCs w:val="24"/>
          <w:vertAlign w:val="superscript"/>
        </w:rPr>
        <w:t>1</w:t>
      </w:r>
      <w:r w:rsidR="0018779F">
        <w:rPr>
          <w:rFonts w:cs="Arial"/>
          <w:sz w:val="24"/>
          <w:szCs w:val="24"/>
          <w:vertAlign w:val="superscript"/>
        </w:rPr>
        <w:t>2</w:t>
      </w:r>
      <w:r w:rsidR="00844F45">
        <w:rPr>
          <w:rFonts w:cs="Arial"/>
          <w:sz w:val="24"/>
          <w:szCs w:val="24"/>
        </w:rPr>
        <w:t xml:space="preserve"> T</w:t>
      </w:r>
      <w:r w:rsidRPr="001B558D">
        <w:rPr>
          <w:rFonts w:cs="Arial"/>
          <w:sz w:val="24"/>
          <w:szCs w:val="24"/>
        </w:rPr>
        <w:t xml:space="preserve">he study included 10 centres from the </w:t>
      </w:r>
      <w:r w:rsidR="001B558D">
        <w:rPr>
          <w:rFonts w:cs="Arial"/>
          <w:sz w:val="24"/>
          <w:szCs w:val="24"/>
        </w:rPr>
        <w:t>UK</w:t>
      </w:r>
      <w:r w:rsidRPr="001B558D">
        <w:rPr>
          <w:rFonts w:cs="Arial"/>
          <w:sz w:val="24"/>
          <w:szCs w:val="24"/>
        </w:rPr>
        <w:t xml:space="preserve">, </w:t>
      </w:r>
      <w:r w:rsidR="001B558D">
        <w:rPr>
          <w:rFonts w:cs="Arial"/>
          <w:sz w:val="24"/>
          <w:szCs w:val="24"/>
        </w:rPr>
        <w:t>C</w:t>
      </w:r>
      <w:r w:rsidRPr="001B558D">
        <w:rPr>
          <w:rFonts w:cs="Arial"/>
          <w:sz w:val="24"/>
          <w:szCs w:val="24"/>
        </w:rPr>
        <w:t xml:space="preserve">anada and </w:t>
      </w:r>
      <w:r w:rsidR="00B63329">
        <w:rPr>
          <w:rFonts w:cs="Arial"/>
          <w:sz w:val="24"/>
          <w:szCs w:val="24"/>
        </w:rPr>
        <w:t xml:space="preserve">South </w:t>
      </w:r>
      <w:r w:rsidR="001B558D">
        <w:rPr>
          <w:rFonts w:cs="Arial"/>
          <w:sz w:val="24"/>
          <w:szCs w:val="24"/>
        </w:rPr>
        <w:t>K</w:t>
      </w:r>
      <w:r w:rsidRPr="001B558D">
        <w:rPr>
          <w:rFonts w:cs="Arial"/>
          <w:sz w:val="24"/>
          <w:szCs w:val="24"/>
        </w:rPr>
        <w:t xml:space="preserve">orea enrolling patients from </w:t>
      </w:r>
      <w:r w:rsidR="001B558D">
        <w:rPr>
          <w:rFonts w:cs="Arial"/>
          <w:sz w:val="24"/>
          <w:szCs w:val="24"/>
        </w:rPr>
        <w:t>J</w:t>
      </w:r>
      <w:r w:rsidRPr="001B558D">
        <w:rPr>
          <w:rFonts w:cs="Arial"/>
          <w:sz w:val="24"/>
          <w:szCs w:val="24"/>
        </w:rPr>
        <w:t xml:space="preserve">une 2002 to </w:t>
      </w:r>
      <w:r w:rsidR="001B558D">
        <w:rPr>
          <w:rFonts w:cs="Arial"/>
          <w:sz w:val="24"/>
          <w:szCs w:val="24"/>
        </w:rPr>
        <w:t>D</w:t>
      </w:r>
      <w:r w:rsidRPr="001B558D">
        <w:rPr>
          <w:rFonts w:cs="Arial"/>
          <w:sz w:val="24"/>
          <w:szCs w:val="24"/>
        </w:rPr>
        <w:t xml:space="preserve">ecember 2008, censored at centre specific dates during </w:t>
      </w:r>
      <w:r w:rsidR="001B558D">
        <w:rPr>
          <w:rFonts w:cs="Arial"/>
          <w:sz w:val="24"/>
          <w:szCs w:val="24"/>
        </w:rPr>
        <w:t>D</w:t>
      </w:r>
      <w:r w:rsidRPr="001B558D">
        <w:rPr>
          <w:rFonts w:cs="Arial"/>
          <w:sz w:val="24"/>
          <w:szCs w:val="24"/>
        </w:rPr>
        <w:t xml:space="preserve">ecember 2010. Any patient on </w:t>
      </w:r>
      <w:r w:rsidR="00FD3AD4">
        <w:rPr>
          <w:rFonts w:cs="Arial"/>
          <w:sz w:val="24"/>
          <w:szCs w:val="24"/>
        </w:rPr>
        <w:t>PD</w:t>
      </w:r>
      <w:r w:rsidRPr="001B558D">
        <w:rPr>
          <w:rFonts w:cs="Arial"/>
          <w:sz w:val="24"/>
          <w:szCs w:val="24"/>
        </w:rPr>
        <w:t xml:space="preserve"> capable of informed consent was eligible.</w:t>
      </w:r>
    </w:p>
    <w:p w14:paraId="210D2EDB" w14:textId="77777777" w:rsidR="008A0017" w:rsidRPr="001B558D" w:rsidRDefault="00E61FF8" w:rsidP="008A0017">
      <w:pPr>
        <w:spacing w:line="480" w:lineRule="auto"/>
      </w:pPr>
      <w:r w:rsidRPr="001B558D">
        <w:rPr>
          <w:rFonts w:cs="Arial"/>
          <w:sz w:val="24"/>
          <w:szCs w:val="24"/>
        </w:rPr>
        <w:t>Data was collected on a purpose-built acce</w:t>
      </w:r>
      <w:r w:rsidR="0066287E">
        <w:rPr>
          <w:rFonts w:cs="Arial"/>
          <w:sz w:val="24"/>
          <w:szCs w:val="24"/>
        </w:rPr>
        <w:t>ss</w:t>
      </w:r>
      <w:r w:rsidRPr="001B558D">
        <w:rPr>
          <w:rFonts w:cs="Arial"/>
          <w:sz w:val="24"/>
          <w:szCs w:val="24"/>
        </w:rPr>
        <w:t xml:space="preserve"> database (</w:t>
      </w:r>
      <w:r w:rsidR="00FD3AD4">
        <w:rPr>
          <w:rFonts w:cs="Arial"/>
          <w:sz w:val="24"/>
          <w:szCs w:val="24"/>
        </w:rPr>
        <w:t>PD</w:t>
      </w:r>
      <w:r w:rsidR="00F4228B">
        <w:rPr>
          <w:rFonts w:cs="Arial"/>
          <w:sz w:val="24"/>
          <w:szCs w:val="24"/>
        </w:rPr>
        <w:t>DB</w:t>
      </w:r>
      <w:r w:rsidRPr="001B558D">
        <w:rPr>
          <w:rFonts w:cs="Arial"/>
          <w:sz w:val="24"/>
          <w:szCs w:val="24"/>
        </w:rPr>
        <w:t xml:space="preserve">). </w:t>
      </w:r>
      <w:r w:rsidRPr="001B558D">
        <w:rPr>
          <w:sz w:val="24"/>
        </w:rPr>
        <w:t xml:space="preserve">Ethical approval was obtained from the multi-centre research ethics committee for </w:t>
      </w:r>
      <w:r w:rsidR="005234A6">
        <w:rPr>
          <w:sz w:val="24"/>
        </w:rPr>
        <w:t>W</w:t>
      </w:r>
      <w:r w:rsidRPr="001B558D">
        <w:rPr>
          <w:sz w:val="24"/>
        </w:rPr>
        <w:t xml:space="preserve">ales, from </w:t>
      </w:r>
      <w:r w:rsidR="001B558D">
        <w:rPr>
          <w:sz w:val="24"/>
        </w:rPr>
        <w:t>K</w:t>
      </w:r>
      <w:r w:rsidRPr="001B558D">
        <w:rPr>
          <w:sz w:val="24"/>
        </w:rPr>
        <w:t xml:space="preserve">yungpook </w:t>
      </w:r>
      <w:r w:rsidR="00F4228B">
        <w:rPr>
          <w:sz w:val="24"/>
        </w:rPr>
        <w:t>N</w:t>
      </w:r>
      <w:r w:rsidRPr="001B558D">
        <w:rPr>
          <w:sz w:val="24"/>
        </w:rPr>
        <w:t xml:space="preserve">ational </w:t>
      </w:r>
      <w:r w:rsidR="00F4228B">
        <w:rPr>
          <w:sz w:val="24"/>
        </w:rPr>
        <w:t>U</w:t>
      </w:r>
      <w:r w:rsidRPr="001B558D">
        <w:rPr>
          <w:sz w:val="24"/>
        </w:rPr>
        <w:t xml:space="preserve">niversity </w:t>
      </w:r>
      <w:r w:rsidR="00F4228B">
        <w:rPr>
          <w:sz w:val="24"/>
        </w:rPr>
        <w:t>H</w:t>
      </w:r>
      <w:r w:rsidRPr="001B558D">
        <w:rPr>
          <w:sz w:val="24"/>
        </w:rPr>
        <w:t xml:space="preserve">ospital ethics committee and from </w:t>
      </w:r>
      <w:r w:rsidR="00F4228B">
        <w:rPr>
          <w:sz w:val="24"/>
        </w:rPr>
        <w:t>U</w:t>
      </w:r>
      <w:r w:rsidRPr="001B558D">
        <w:rPr>
          <w:sz w:val="24"/>
        </w:rPr>
        <w:t xml:space="preserve">niversity of </w:t>
      </w:r>
      <w:r w:rsidR="001B558D">
        <w:rPr>
          <w:sz w:val="24"/>
        </w:rPr>
        <w:t>A</w:t>
      </w:r>
      <w:r w:rsidRPr="001B558D">
        <w:rPr>
          <w:sz w:val="24"/>
        </w:rPr>
        <w:t xml:space="preserve">lberta ethics committee. The study adhered to the </w:t>
      </w:r>
      <w:r w:rsidR="001B558D">
        <w:rPr>
          <w:sz w:val="24"/>
        </w:rPr>
        <w:t>D</w:t>
      </w:r>
      <w:r w:rsidRPr="001B558D">
        <w:rPr>
          <w:sz w:val="24"/>
        </w:rPr>
        <w:t xml:space="preserve">eclaration of </w:t>
      </w:r>
      <w:r w:rsidR="001B558D">
        <w:rPr>
          <w:sz w:val="24"/>
        </w:rPr>
        <w:t>H</w:t>
      </w:r>
      <w:r w:rsidRPr="001B558D">
        <w:rPr>
          <w:sz w:val="24"/>
        </w:rPr>
        <w:t>elsinki. Written informed consent was obtained from all patients.</w:t>
      </w:r>
    </w:p>
    <w:p w14:paraId="11CB4DD8" w14:textId="0BCD128E" w:rsidR="008A0017" w:rsidRPr="001B558D" w:rsidRDefault="00E61FF8" w:rsidP="008A0017">
      <w:pPr>
        <w:spacing w:line="480" w:lineRule="auto"/>
        <w:rPr>
          <w:rFonts w:cs="Arial"/>
          <w:sz w:val="24"/>
          <w:szCs w:val="24"/>
        </w:rPr>
      </w:pPr>
      <w:r w:rsidRPr="00753B7F">
        <w:rPr>
          <w:rFonts w:cs="Arial"/>
          <w:sz w:val="24"/>
          <w:szCs w:val="24"/>
        </w:rPr>
        <w:t xml:space="preserve">Comorbidity data utilised the validated </w:t>
      </w:r>
      <w:r w:rsidR="0018779F">
        <w:rPr>
          <w:rFonts w:cs="Arial"/>
          <w:sz w:val="24"/>
          <w:szCs w:val="24"/>
        </w:rPr>
        <w:t>S</w:t>
      </w:r>
      <w:r w:rsidRPr="00753B7F">
        <w:rPr>
          <w:rFonts w:cs="Arial"/>
          <w:sz w:val="24"/>
          <w:szCs w:val="24"/>
        </w:rPr>
        <w:t xml:space="preserve">toke </w:t>
      </w:r>
      <w:r w:rsidR="0018779F">
        <w:rPr>
          <w:rFonts w:cs="Arial"/>
          <w:sz w:val="24"/>
          <w:szCs w:val="24"/>
        </w:rPr>
        <w:t>C</w:t>
      </w:r>
      <w:r w:rsidRPr="00753B7F">
        <w:rPr>
          <w:rFonts w:cs="Arial"/>
          <w:sz w:val="24"/>
          <w:szCs w:val="24"/>
        </w:rPr>
        <w:t xml:space="preserve">omorbidity </w:t>
      </w:r>
      <w:r w:rsidR="0018779F">
        <w:rPr>
          <w:rFonts w:cs="Arial"/>
          <w:sz w:val="24"/>
          <w:szCs w:val="24"/>
        </w:rPr>
        <w:t>I</w:t>
      </w:r>
      <w:r w:rsidRPr="00753B7F">
        <w:rPr>
          <w:rFonts w:cs="Arial"/>
          <w:sz w:val="24"/>
          <w:szCs w:val="24"/>
        </w:rPr>
        <w:t>ndex</w:t>
      </w:r>
      <w:r w:rsidR="0018779F">
        <w:rPr>
          <w:rFonts w:cs="Arial"/>
          <w:sz w:val="24"/>
          <w:szCs w:val="24"/>
          <w:vertAlign w:val="superscript"/>
        </w:rPr>
        <w:t>13</w:t>
      </w:r>
      <w:r w:rsidRPr="00753B7F">
        <w:rPr>
          <w:rFonts w:cs="Arial"/>
          <w:sz w:val="24"/>
          <w:szCs w:val="24"/>
        </w:rPr>
        <w:t xml:space="preserve">. Data collected on </w:t>
      </w:r>
      <w:r w:rsidR="00FD3AD4">
        <w:rPr>
          <w:rFonts w:cs="Arial"/>
          <w:sz w:val="24"/>
          <w:szCs w:val="24"/>
        </w:rPr>
        <w:t>PD</w:t>
      </w:r>
      <w:r w:rsidRPr="001B558D">
        <w:rPr>
          <w:rFonts w:cs="Arial"/>
          <w:sz w:val="24"/>
          <w:szCs w:val="24"/>
        </w:rPr>
        <w:t xml:space="preserve"> regime included type of </w:t>
      </w:r>
      <w:r w:rsidR="00FD3AD4">
        <w:rPr>
          <w:rFonts w:cs="Arial"/>
          <w:sz w:val="24"/>
          <w:szCs w:val="24"/>
        </w:rPr>
        <w:t>PD</w:t>
      </w:r>
      <w:r w:rsidRPr="001B558D">
        <w:rPr>
          <w:rFonts w:cs="Arial"/>
          <w:sz w:val="24"/>
          <w:szCs w:val="24"/>
        </w:rPr>
        <w:t xml:space="preserve">, use of icodextrin, brand of solution and dose. </w:t>
      </w:r>
      <w:r w:rsidR="00E16959">
        <w:rPr>
          <w:rFonts w:cstheme="minorHAnsi"/>
          <w:sz w:val="24"/>
          <w:szCs w:val="24"/>
        </w:rPr>
        <w:t>PSTR</w:t>
      </w:r>
      <w:r w:rsidRPr="001B558D">
        <w:rPr>
          <w:rFonts w:cs="Arial"/>
          <w:sz w:val="24"/>
          <w:szCs w:val="24"/>
        </w:rPr>
        <w:t xml:space="preserve"> was measured as the 4-hour dialysate/plasma creatinine ratio with 2.</w:t>
      </w:r>
      <w:r w:rsidR="003B7E85">
        <w:rPr>
          <w:rFonts w:cs="Arial"/>
          <w:sz w:val="24"/>
          <w:szCs w:val="24"/>
        </w:rPr>
        <w:t>5</w:t>
      </w:r>
      <w:r w:rsidRPr="001B558D">
        <w:rPr>
          <w:rFonts w:cs="Arial"/>
          <w:sz w:val="24"/>
          <w:szCs w:val="24"/>
        </w:rPr>
        <w:t xml:space="preserve">% or </w:t>
      </w:r>
      <w:r w:rsidR="003B7E85">
        <w:rPr>
          <w:rFonts w:cs="Arial"/>
          <w:sz w:val="24"/>
          <w:szCs w:val="24"/>
        </w:rPr>
        <w:t>4.25</w:t>
      </w:r>
      <w:r w:rsidRPr="001B558D">
        <w:rPr>
          <w:rFonts w:cs="Arial"/>
          <w:sz w:val="24"/>
          <w:szCs w:val="24"/>
        </w:rPr>
        <w:t xml:space="preserve">% </w:t>
      </w:r>
      <w:r w:rsidR="001A2732">
        <w:rPr>
          <w:rFonts w:cs="Arial"/>
          <w:sz w:val="24"/>
          <w:szCs w:val="24"/>
        </w:rPr>
        <w:t>dextrose</w:t>
      </w:r>
      <w:r w:rsidRPr="001B558D">
        <w:rPr>
          <w:rFonts w:cs="Arial"/>
          <w:sz w:val="24"/>
          <w:szCs w:val="24"/>
        </w:rPr>
        <w:t xml:space="preserve"> approximately every 6 months. Daily dialysate </w:t>
      </w:r>
      <w:r w:rsidR="001A2732">
        <w:rPr>
          <w:rFonts w:cs="Arial"/>
          <w:sz w:val="24"/>
          <w:szCs w:val="24"/>
        </w:rPr>
        <w:t>dextrose concentration</w:t>
      </w:r>
      <w:r w:rsidRPr="001B558D">
        <w:rPr>
          <w:rFonts w:cs="Arial"/>
          <w:sz w:val="24"/>
          <w:szCs w:val="24"/>
        </w:rPr>
        <w:t xml:space="preserve"> was calculated as the average of the </w:t>
      </w:r>
      <w:r w:rsidR="001A2732">
        <w:rPr>
          <w:rFonts w:cs="Arial"/>
          <w:sz w:val="24"/>
          <w:szCs w:val="24"/>
        </w:rPr>
        <w:t>dextrose concentration</w:t>
      </w:r>
      <w:r w:rsidRPr="001B558D">
        <w:rPr>
          <w:rFonts w:cs="Arial"/>
          <w:sz w:val="24"/>
          <w:szCs w:val="24"/>
        </w:rPr>
        <w:t>s in all bags used in a 24-hour period e.g. a regime of 2 bags of 2 lit</w:t>
      </w:r>
      <w:r w:rsidR="008D3F95">
        <w:rPr>
          <w:rFonts w:cs="Arial"/>
          <w:sz w:val="24"/>
          <w:szCs w:val="24"/>
        </w:rPr>
        <w:t>er</w:t>
      </w:r>
      <w:r w:rsidRPr="001B558D">
        <w:rPr>
          <w:rFonts w:cs="Arial"/>
          <w:sz w:val="24"/>
          <w:szCs w:val="24"/>
        </w:rPr>
        <w:t>s at 1.</w:t>
      </w:r>
      <w:r w:rsidR="00AC636A">
        <w:rPr>
          <w:rFonts w:cs="Arial"/>
          <w:sz w:val="24"/>
          <w:szCs w:val="24"/>
        </w:rPr>
        <w:t>5</w:t>
      </w:r>
      <w:r w:rsidRPr="001B558D">
        <w:rPr>
          <w:rFonts w:cs="Arial"/>
          <w:sz w:val="24"/>
          <w:szCs w:val="24"/>
        </w:rPr>
        <w:t>%</w:t>
      </w:r>
      <w:r w:rsidR="003B7E85">
        <w:rPr>
          <w:rFonts w:cs="Arial"/>
          <w:sz w:val="24"/>
          <w:szCs w:val="24"/>
        </w:rPr>
        <w:t xml:space="preserve"> dextrose</w:t>
      </w:r>
      <w:r w:rsidRPr="001B558D">
        <w:rPr>
          <w:rFonts w:cs="Arial"/>
          <w:sz w:val="24"/>
          <w:szCs w:val="24"/>
        </w:rPr>
        <w:t>, one bag of 2 lit</w:t>
      </w:r>
      <w:r w:rsidR="008D3F95">
        <w:rPr>
          <w:rFonts w:cs="Arial"/>
          <w:sz w:val="24"/>
          <w:szCs w:val="24"/>
        </w:rPr>
        <w:t>er</w:t>
      </w:r>
      <w:r w:rsidRPr="001B558D">
        <w:rPr>
          <w:rFonts w:cs="Arial"/>
          <w:sz w:val="24"/>
          <w:szCs w:val="24"/>
        </w:rPr>
        <w:t>s at 2.</w:t>
      </w:r>
      <w:r w:rsidR="00AC636A">
        <w:rPr>
          <w:rFonts w:cs="Arial"/>
          <w:sz w:val="24"/>
          <w:szCs w:val="24"/>
        </w:rPr>
        <w:t>5</w:t>
      </w:r>
      <w:r w:rsidRPr="001B558D">
        <w:rPr>
          <w:rFonts w:cs="Arial"/>
          <w:sz w:val="24"/>
          <w:szCs w:val="24"/>
        </w:rPr>
        <w:t>%</w:t>
      </w:r>
      <w:r w:rsidR="003B7E85">
        <w:rPr>
          <w:rFonts w:cs="Arial"/>
          <w:sz w:val="24"/>
          <w:szCs w:val="24"/>
        </w:rPr>
        <w:t xml:space="preserve"> dextrose,</w:t>
      </w:r>
      <w:r w:rsidRPr="001B558D">
        <w:rPr>
          <w:rFonts w:cs="Arial"/>
          <w:sz w:val="24"/>
          <w:szCs w:val="24"/>
        </w:rPr>
        <w:t xml:space="preserve"> and one bag of 1.5 lit</w:t>
      </w:r>
      <w:r w:rsidR="008D3F95">
        <w:rPr>
          <w:rFonts w:cs="Arial"/>
          <w:sz w:val="24"/>
          <w:szCs w:val="24"/>
        </w:rPr>
        <w:t>er</w:t>
      </w:r>
      <w:r w:rsidRPr="001B558D">
        <w:rPr>
          <w:rFonts w:cs="Arial"/>
          <w:sz w:val="24"/>
          <w:szCs w:val="24"/>
        </w:rPr>
        <w:t xml:space="preserve">s of </w:t>
      </w:r>
      <w:r w:rsidR="003B7E85">
        <w:rPr>
          <w:rFonts w:cs="Arial"/>
          <w:sz w:val="24"/>
          <w:szCs w:val="24"/>
        </w:rPr>
        <w:t xml:space="preserve">7.5% </w:t>
      </w:r>
      <w:r w:rsidRPr="001B558D">
        <w:rPr>
          <w:rFonts w:cs="Arial"/>
          <w:sz w:val="24"/>
          <w:szCs w:val="24"/>
        </w:rPr>
        <w:t xml:space="preserve">icodextrin has a daily dialysate </w:t>
      </w:r>
      <w:r w:rsidR="001A2732">
        <w:rPr>
          <w:rFonts w:cs="Arial"/>
          <w:sz w:val="24"/>
          <w:szCs w:val="24"/>
        </w:rPr>
        <w:t>dextrose concentration</w:t>
      </w:r>
      <w:r w:rsidRPr="001B558D">
        <w:rPr>
          <w:rFonts w:cs="Arial"/>
          <w:sz w:val="24"/>
          <w:szCs w:val="24"/>
        </w:rPr>
        <w:t xml:space="preserve"> = (4x1.</w:t>
      </w:r>
      <w:r w:rsidR="00AC636A">
        <w:rPr>
          <w:rFonts w:cs="Arial"/>
          <w:sz w:val="24"/>
          <w:szCs w:val="24"/>
        </w:rPr>
        <w:t>5</w:t>
      </w:r>
      <w:r w:rsidRPr="001B558D">
        <w:rPr>
          <w:rFonts w:cs="Arial"/>
          <w:sz w:val="24"/>
          <w:szCs w:val="24"/>
        </w:rPr>
        <w:t xml:space="preserve"> + 2x2.</w:t>
      </w:r>
      <w:r w:rsidR="00AC636A">
        <w:rPr>
          <w:rFonts w:cs="Arial"/>
          <w:sz w:val="24"/>
          <w:szCs w:val="24"/>
        </w:rPr>
        <w:t>5</w:t>
      </w:r>
      <w:r w:rsidRPr="001B558D">
        <w:rPr>
          <w:rFonts w:cs="Arial"/>
          <w:sz w:val="24"/>
          <w:szCs w:val="24"/>
        </w:rPr>
        <w:t xml:space="preserve"> + </w:t>
      </w:r>
      <w:r w:rsidR="00C222F0">
        <w:rPr>
          <w:rFonts w:cs="Arial"/>
          <w:sz w:val="24"/>
          <w:szCs w:val="24"/>
        </w:rPr>
        <w:t>1.5</w:t>
      </w:r>
      <w:r w:rsidRPr="001B558D">
        <w:rPr>
          <w:rFonts w:cs="Arial"/>
          <w:sz w:val="24"/>
          <w:szCs w:val="24"/>
        </w:rPr>
        <w:t>x0)/8 = 1.</w:t>
      </w:r>
      <w:r w:rsidR="00AC636A">
        <w:rPr>
          <w:rFonts w:cs="Arial"/>
          <w:sz w:val="24"/>
          <w:szCs w:val="24"/>
        </w:rPr>
        <w:t>38</w:t>
      </w:r>
      <w:r w:rsidRPr="001B558D">
        <w:rPr>
          <w:rFonts w:cs="Arial"/>
          <w:sz w:val="24"/>
          <w:szCs w:val="24"/>
        </w:rPr>
        <w:t>%</w:t>
      </w:r>
      <w:r w:rsidR="00EC50F3">
        <w:rPr>
          <w:rFonts w:cs="Arial"/>
          <w:sz w:val="24"/>
          <w:szCs w:val="24"/>
        </w:rPr>
        <w:t>)</w:t>
      </w:r>
      <w:r w:rsidRPr="001B558D">
        <w:rPr>
          <w:rFonts w:cs="Arial"/>
          <w:sz w:val="24"/>
          <w:szCs w:val="24"/>
        </w:rPr>
        <w:t xml:space="preserve">. </w:t>
      </w:r>
    </w:p>
    <w:p w14:paraId="3F76197B" w14:textId="77777777" w:rsidR="008A0017" w:rsidRPr="001B558D" w:rsidRDefault="00E61FF8" w:rsidP="008A0017">
      <w:pPr>
        <w:spacing w:line="480" w:lineRule="auto"/>
        <w:rPr>
          <w:rFonts w:cs="Arial"/>
          <w:sz w:val="24"/>
          <w:szCs w:val="24"/>
        </w:rPr>
      </w:pPr>
      <w:r w:rsidRPr="001B558D">
        <w:rPr>
          <w:rFonts w:cs="Arial"/>
          <w:sz w:val="24"/>
          <w:szCs w:val="24"/>
        </w:rPr>
        <w:t>Dialysate and plasma samples were taken during routine clinical testing, stored locally at -80°c and transferred to a central laboratory (</w:t>
      </w:r>
      <w:r w:rsidR="00157B09">
        <w:rPr>
          <w:rFonts w:cs="Arial"/>
          <w:sz w:val="24"/>
          <w:szCs w:val="24"/>
        </w:rPr>
        <w:t>C</w:t>
      </w:r>
      <w:r w:rsidRPr="001B558D">
        <w:rPr>
          <w:rFonts w:cs="Arial"/>
          <w:sz w:val="24"/>
          <w:szCs w:val="24"/>
        </w:rPr>
        <w:t xml:space="preserve">ardiff, </w:t>
      </w:r>
      <w:r w:rsidR="00157B09">
        <w:rPr>
          <w:rFonts w:cs="Arial"/>
          <w:sz w:val="24"/>
          <w:szCs w:val="24"/>
        </w:rPr>
        <w:t>UK</w:t>
      </w:r>
      <w:r w:rsidRPr="001B558D">
        <w:rPr>
          <w:rFonts w:cs="Arial"/>
          <w:sz w:val="24"/>
          <w:szCs w:val="24"/>
        </w:rPr>
        <w:t xml:space="preserve">). Electrochemiluminescence </w:t>
      </w:r>
      <w:r w:rsidRPr="001B558D">
        <w:rPr>
          <w:rFonts w:cs="Arial"/>
          <w:sz w:val="24"/>
          <w:szCs w:val="24"/>
        </w:rPr>
        <w:lastRenderedPageBreak/>
        <w:t>immune a</w:t>
      </w:r>
      <w:r w:rsidR="002F006F">
        <w:rPr>
          <w:rFonts w:cs="Arial"/>
          <w:sz w:val="24"/>
          <w:szCs w:val="24"/>
        </w:rPr>
        <w:t>s</w:t>
      </w:r>
      <w:r w:rsidR="0066287E">
        <w:rPr>
          <w:rFonts w:cs="Arial"/>
          <w:sz w:val="24"/>
          <w:szCs w:val="24"/>
        </w:rPr>
        <w:t>s</w:t>
      </w:r>
      <w:r w:rsidRPr="001B558D">
        <w:rPr>
          <w:rFonts w:cs="Arial"/>
          <w:sz w:val="24"/>
          <w:szCs w:val="24"/>
        </w:rPr>
        <w:t>ays for</w:t>
      </w:r>
      <w:r w:rsidR="00B63329">
        <w:rPr>
          <w:rFonts w:cs="Arial"/>
          <w:sz w:val="24"/>
          <w:szCs w:val="24"/>
        </w:rPr>
        <w:t xml:space="preserve"> Interleukin-6</w:t>
      </w:r>
      <w:r w:rsidRPr="001B558D">
        <w:rPr>
          <w:rFonts w:cs="Arial"/>
          <w:sz w:val="24"/>
          <w:szCs w:val="24"/>
        </w:rPr>
        <w:t xml:space="preserve"> </w:t>
      </w:r>
      <w:r w:rsidR="00100A88">
        <w:rPr>
          <w:rFonts w:cs="Arial"/>
          <w:sz w:val="24"/>
          <w:szCs w:val="24"/>
        </w:rPr>
        <w:t>IL-6</w:t>
      </w:r>
      <w:r w:rsidRPr="001B558D">
        <w:rPr>
          <w:rFonts w:cs="Arial"/>
          <w:sz w:val="24"/>
          <w:szCs w:val="24"/>
        </w:rPr>
        <w:t xml:space="preserve"> levels</w:t>
      </w:r>
      <w:r w:rsidRPr="001B558D">
        <w:rPr>
          <w:sz w:val="24"/>
          <w:szCs w:val="24"/>
        </w:rPr>
        <w:t xml:space="preserve"> used the commercially available pro-inflammatory i 4-plex (meso-scale discovery, </w:t>
      </w:r>
      <w:r w:rsidR="00157B09">
        <w:rPr>
          <w:sz w:val="24"/>
          <w:szCs w:val="24"/>
        </w:rPr>
        <w:t>G</w:t>
      </w:r>
      <w:r w:rsidRPr="001B558D">
        <w:rPr>
          <w:sz w:val="24"/>
          <w:szCs w:val="24"/>
        </w:rPr>
        <w:t xml:space="preserve">aithersburg, </w:t>
      </w:r>
      <w:r w:rsidR="00157B09">
        <w:rPr>
          <w:sz w:val="24"/>
          <w:szCs w:val="24"/>
        </w:rPr>
        <w:t>M</w:t>
      </w:r>
      <w:r w:rsidRPr="001B558D">
        <w:rPr>
          <w:sz w:val="24"/>
          <w:szCs w:val="24"/>
        </w:rPr>
        <w:t xml:space="preserve">aryland, </w:t>
      </w:r>
      <w:r w:rsidR="00157B09">
        <w:rPr>
          <w:sz w:val="24"/>
          <w:szCs w:val="24"/>
        </w:rPr>
        <w:t>USA</w:t>
      </w:r>
      <w:r w:rsidRPr="001B558D">
        <w:rPr>
          <w:sz w:val="24"/>
          <w:szCs w:val="24"/>
        </w:rPr>
        <w:t>)</w:t>
      </w:r>
      <w:r w:rsidRPr="001B558D">
        <w:rPr>
          <w:rFonts w:cs="Arial"/>
          <w:sz w:val="24"/>
          <w:szCs w:val="24"/>
        </w:rPr>
        <w:t xml:space="preserve">. </w:t>
      </w:r>
      <w:r w:rsidR="002111C4">
        <w:rPr>
          <w:rFonts w:cs="Arial"/>
          <w:sz w:val="24"/>
          <w:szCs w:val="24"/>
        </w:rPr>
        <w:t xml:space="preserve">Baseline dialysate and peritoneal </w:t>
      </w:r>
      <w:r w:rsidR="00100A88">
        <w:rPr>
          <w:rFonts w:cs="Arial"/>
          <w:sz w:val="24"/>
          <w:szCs w:val="24"/>
        </w:rPr>
        <w:t>IL-6</w:t>
      </w:r>
      <w:r w:rsidR="002111C4">
        <w:rPr>
          <w:rFonts w:cs="Arial"/>
          <w:sz w:val="24"/>
          <w:szCs w:val="24"/>
        </w:rPr>
        <w:t xml:space="preserve"> were used for this analysis</w:t>
      </w:r>
      <w:r w:rsidR="002D0D11">
        <w:rPr>
          <w:rFonts w:cs="Arial"/>
          <w:sz w:val="24"/>
          <w:szCs w:val="24"/>
        </w:rPr>
        <w:t>, log transformed</w:t>
      </w:r>
      <w:r w:rsidR="004A541E">
        <w:rPr>
          <w:rFonts w:cs="Arial"/>
          <w:sz w:val="24"/>
          <w:szCs w:val="24"/>
        </w:rPr>
        <w:t xml:space="preserve"> due to their log-normal distribution</w:t>
      </w:r>
      <w:r w:rsidR="002D0D11">
        <w:rPr>
          <w:rFonts w:cs="Arial"/>
          <w:sz w:val="24"/>
          <w:szCs w:val="24"/>
        </w:rPr>
        <w:t xml:space="preserve">. </w:t>
      </w:r>
    </w:p>
    <w:p w14:paraId="30BC5E7F" w14:textId="77777777" w:rsidR="008A0017" w:rsidRPr="00753B7F" w:rsidRDefault="00E61FF8" w:rsidP="008A0017">
      <w:pPr>
        <w:spacing w:line="480" w:lineRule="auto"/>
        <w:rPr>
          <w:rFonts w:cs="Arial"/>
          <w:sz w:val="24"/>
          <w:szCs w:val="24"/>
        </w:rPr>
      </w:pPr>
      <w:r w:rsidRPr="001B558D">
        <w:rPr>
          <w:rFonts w:cs="Arial"/>
          <w:sz w:val="24"/>
          <w:szCs w:val="24"/>
        </w:rPr>
        <w:t xml:space="preserve">Patients were included if they had had three or more </w:t>
      </w:r>
      <w:r w:rsidR="00E16959">
        <w:rPr>
          <w:rFonts w:cstheme="minorHAnsi"/>
          <w:sz w:val="24"/>
          <w:szCs w:val="24"/>
        </w:rPr>
        <w:t>PSTR</w:t>
      </w:r>
      <w:r w:rsidRPr="001B558D">
        <w:rPr>
          <w:rFonts w:cs="Arial"/>
          <w:sz w:val="24"/>
          <w:szCs w:val="24"/>
        </w:rPr>
        <w:t xml:space="preserve"> measurements </w:t>
      </w:r>
      <w:r w:rsidR="00FD3AD4">
        <w:rPr>
          <w:rFonts w:cs="Arial"/>
          <w:sz w:val="24"/>
          <w:szCs w:val="24"/>
        </w:rPr>
        <w:t>beyond the first</w:t>
      </w:r>
      <w:r w:rsidRPr="001B558D">
        <w:rPr>
          <w:rFonts w:cs="Arial"/>
          <w:sz w:val="24"/>
          <w:szCs w:val="24"/>
        </w:rPr>
        <w:t xml:space="preserve"> 2 months</w:t>
      </w:r>
      <w:r w:rsidR="00FD3AD4">
        <w:rPr>
          <w:rFonts w:cs="Arial"/>
          <w:sz w:val="24"/>
          <w:szCs w:val="24"/>
        </w:rPr>
        <w:t xml:space="preserve"> on PD</w:t>
      </w:r>
      <w:r w:rsidRPr="001B558D">
        <w:rPr>
          <w:rFonts w:cs="Arial"/>
          <w:sz w:val="24"/>
          <w:szCs w:val="24"/>
        </w:rPr>
        <w:t>, with the first</w:t>
      </w:r>
      <w:r w:rsidR="00B63329">
        <w:rPr>
          <w:rFonts w:cs="Arial"/>
          <w:sz w:val="24"/>
          <w:szCs w:val="24"/>
        </w:rPr>
        <w:t xml:space="preserve"> measurement</w:t>
      </w:r>
      <w:r w:rsidRPr="001B558D">
        <w:rPr>
          <w:rFonts w:cs="Arial"/>
          <w:sz w:val="24"/>
          <w:szCs w:val="24"/>
        </w:rPr>
        <w:t xml:space="preserve"> </w:t>
      </w:r>
      <w:r w:rsidR="00B63329">
        <w:rPr>
          <w:rFonts w:cs="Arial"/>
          <w:sz w:val="24"/>
          <w:szCs w:val="24"/>
        </w:rPr>
        <w:t xml:space="preserve">less than </w:t>
      </w:r>
      <w:r w:rsidRPr="001B558D">
        <w:rPr>
          <w:rFonts w:cs="Arial"/>
          <w:sz w:val="24"/>
          <w:szCs w:val="24"/>
        </w:rPr>
        <w:t xml:space="preserve">twelve months from the start of </w:t>
      </w:r>
      <w:r w:rsidR="00FD3AD4">
        <w:rPr>
          <w:rFonts w:cs="Arial"/>
          <w:sz w:val="24"/>
          <w:szCs w:val="24"/>
        </w:rPr>
        <w:t>PD</w:t>
      </w:r>
      <w:r w:rsidRPr="001B558D">
        <w:rPr>
          <w:rFonts w:cs="Arial"/>
          <w:sz w:val="24"/>
          <w:szCs w:val="24"/>
        </w:rPr>
        <w:t>, and remained on</w:t>
      </w:r>
      <w:r w:rsidR="009920DC">
        <w:rPr>
          <w:rFonts w:cs="Arial"/>
          <w:sz w:val="24"/>
          <w:szCs w:val="24"/>
        </w:rPr>
        <w:t xml:space="preserve"> either </w:t>
      </w:r>
      <w:r w:rsidRPr="001B558D">
        <w:rPr>
          <w:rFonts w:cs="Arial"/>
          <w:sz w:val="24"/>
          <w:szCs w:val="24"/>
        </w:rPr>
        <w:t xml:space="preserve">biocompatible solutions </w:t>
      </w:r>
      <w:r w:rsidRPr="00753B7F">
        <w:rPr>
          <w:rFonts w:cs="Arial"/>
          <w:sz w:val="24"/>
          <w:szCs w:val="24"/>
        </w:rPr>
        <w:t xml:space="preserve">or </w:t>
      </w:r>
      <w:r w:rsidR="0066287E">
        <w:rPr>
          <w:rFonts w:cs="Arial"/>
          <w:sz w:val="24"/>
          <w:szCs w:val="24"/>
        </w:rPr>
        <w:t>standard solutions</w:t>
      </w:r>
      <w:r w:rsidRPr="001B558D">
        <w:rPr>
          <w:rFonts w:cs="Arial"/>
          <w:sz w:val="24"/>
          <w:szCs w:val="24"/>
        </w:rPr>
        <w:t xml:space="preserve"> during follow up. Measurements over 7 years after the start of </w:t>
      </w:r>
      <w:r w:rsidR="00FD3AD4">
        <w:rPr>
          <w:rFonts w:cs="Arial"/>
          <w:sz w:val="24"/>
          <w:szCs w:val="24"/>
        </w:rPr>
        <w:t>PD</w:t>
      </w:r>
      <w:r w:rsidRPr="001B558D">
        <w:rPr>
          <w:rFonts w:cs="Arial"/>
          <w:sz w:val="24"/>
          <w:szCs w:val="24"/>
        </w:rPr>
        <w:t xml:space="preserve"> were removed du</w:t>
      </w:r>
      <w:r w:rsidR="009920DC">
        <w:rPr>
          <w:rFonts w:cs="Arial"/>
          <w:sz w:val="24"/>
          <w:szCs w:val="24"/>
        </w:rPr>
        <w:t>e to low patient numbers and no</w:t>
      </w:r>
      <w:r w:rsidRPr="001B558D">
        <w:rPr>
          <w:rFonts w:cs="Arial"/>
          <w:sz w:val="24"/>
          <w:szCs w:val="24"/>
        </w:rPr>
        <w:t xml:space="preserve"> biocompatible solutions patients having measurements past 7 years. 2 centres were not included as one lacked longitudinal follow up data and another did not </w:t>
      </w:r>
      <w:r w:rsidR="009D69B9" w:rsidRPr="001B558D">
        <w:rPr>
          <w:rFonts w:cs="Arial"/>
          <w:sz w:val="24"/>
          <w:szCs w:val="24"/>
        </w:rPr>
        <w:t xml:space="preserve">use </w:t>
      </w:r>
      <w:r w:rsidR="009D69B9" w:rsidRPr="00753B7F">
        <w:rPr>
          <w:rFonts w:cs="Arial"/>
          <w:sz w:val="24"/>
          <w:szCs w:val="24"/>
        </w:rPr>
        <w:t>biocompatible</w:t>
      </w:r>
      <w:r w:rsidRPr="00753B7F">
        <w:rPr>
          <w:rFonts w:cs="Arial"/>
          <w:sz w:val="24"/>
          <w:szCs w:val="24"/>
        </w:rPr>
        <w:t xml:space="preserve"> solutions </w:t>
      </w:r>
    </w:p>
    <w:p w14:paraId="45820DAC" w14:textId="77777777" w:rsidR="008A0017" w:rsidRPr="00753B7F" w:rsidRDefault="00E61FF8" w:rsidP="008A0017">
      <w:pPr>
        <w:spacing w:line="480" w:lineRule="auto"/>
        <w:rPr>
          <w:rFonts w:cs="Arial"/>
          <w:i/>
          <w:sz w:val="24"/>
          <w:szCs w:val="24"/>
        </w:rPr>
      </w:pPr>
      <w:r w:rsidRPr="00753B7F">
        <w:rPr>
          <w:rFonts w:cs="Arial"/>
          <w:i/>
          <w:sz w:val="24"/>
          <w:szCs w:val="24"/>
        </w:rPr>
        <w:t>Statistical analysis</w:t>
      </w:r>
    </w:p>
    <w:p w14:paraId="295349AA" w14:textId="77777777" w:rsidR="008A0017" w:rsidRPr="001B558D" w:rsidRDefault="00E61FF8" w:rsidP="008A0017">
      <w:pPr>
        <w:spacing w:line="480" w:lineRule="auto"/>
        <w:rPr>
          <w:rFonts w:cs="Arial"/>
          <w:sz w:val="24"/>
          <w:szCs w:val="24"/>
        </w:rPr>
      </w:pPr>
      <w:r w:rsidRPr="0079578F">
        <w:rPr>
          <w:rFonts w:cs="Arial"/>
          <w:sz w:val="24"/>
          <w:szCs w:val="24"/>
        </w:rPr>
        <w:t>A multi-level model</w:t>
      </w:r>
      <w:r w:rsidR="00F64ABF">
        <w:rPr>
          <w:rFonts w:cs="Arial"/>
          <w:sz w:val="24"/>
          <w:szCs w:val="24"/>
        </w:rPr>
        <w:t xml:space="preserve"> with an unstructured covariance matrix</w:t>
      </w:r>
      <w:r w:rsidRPr="0079578F">
        <w:rPr>
          <w:rFonts w:cs="Arial"/>
          <w:sz w:val="24"/>
          <w:szCs w:val="24"/>
        </w:rPr>
        <w:t xml:space="preserve"> was used to a</w:t>
      </w:r>
      <w:r w:rsidR="0066287E">
        <w:rPr>
          <w:rFonts w:cs="Arial"/>
          <w:sz w:val="24"/>
          <w:szCs w:val="24"/>
        </w:rPr>
        <w:t>ss</w:t>
      </w:r>
      <w:r w:rsidRPr="001B558D">
        <w:rPr>
          <w:rFonts w:cs="Arial"/>
          <w:sz w:val="24"/>
          <w:szCs w:val="24"/>
        </w:rPr>
        <w:t>e</w:t>
      </w:r>
      <w:r w:rsidR="0066287E">
        <w:rPr>
          <w:rFonts w:cs="Arial"/>
          <w:sz w:val="24"/>
          <w:szCs w:val="24"/>
        </w:rPr>
        <w:t>ss</w:t>
      </w:r>
      <w:r w:rsidRPr="001B558D">
        <w:rPr>
          <w:rFonts w:cs="Arial"/>
          <w:sz w:val="24"/>
          <w:szCs w:val="24"/>
        </w:rPr>
        <w:t xml:space="preserve"> patterns of </w:t>
      </w:r>
      <w:r w:rsidR="00E16959">
        <w:rPr>
          <w:rFonts w:cstheme="minorHAnsi"/>
          <w:sz w:val="24"/>
          <w:szCs w:val="24"/>
        </w:rPr>
        <w:t>PSTR</w:t>
      </w:r>
      <w:r w:rsidRPr="001B558D">
        <w:rPr>
          <w:rFonts w:cs="Arial"/>
          <w:sz w:val="24"/>
          <w:szCs w:val="24"/>
        </w:rPr>
        <w:t xml:space="preserve"> over time.  </w:t>
      </w:r>
      <w:r>
        <w:rPr>
          <w:rFonts w:cs="Arial"/>
          <w:sz w:val="24"/>
          <w:szCs w:val="24"/>
        </w:rPr>
        <w:t>B</w:t>
      </w:r>
      <w:r w:rsidRPr="00E61FF8">
        <w:rPr>
          <w:rFonts w:cs="Arial"/>
          <w:sz w:val="24"/>
          <w:szCs w:val="24"/>
        </w:rPr>
        <w:t xml:space="preserve">iocompatible solutions usage </w:t>
      </w:r>
      <w:r w:rsidRPr="00753B7F">
        <w:rPr>
          <w:rFonts w:cs="Arial"/>
          <w:sz w:val="24"/>
          <w:szCs w:val="24"/>
        </w:rPr>
        <w:t xml:space="preserve">and the main effect of time were forced in, and a quadratic term for time retained as highly significant. </w:t>
      </w:r>
      <w:r w:rsidR="00ED3228">
        <w:rPr>
          <w:rFonts w:cs="Arial"/>
          <w:sz w:val="24"/>
          <w:szCs w:val="24"/>
        </w:rPr>
        <w:t>C</w:t>
      </w:r>
      <w:r w:rsidR="00ED3228" w:rsidRPr="00195C12">
        <w:rPr>
          <w:rFonts w:cs="Arial"/>
          <w:sz w:val="24"/>
          <w:szCs w:val="24"/>
        </w:rPr>
        <w:t xml:space="preserve">entre, icodextrin use, average </w:t>
      </w:r>
      <w:r w:rsidR="00ED3228">
        <w:rPr>
          <w:rFonts w:cs="Arial"/>
          <w:sz w:val="24"/>
          <w:szCs w:val="24"/>
        </w:rPr>
        <w:t>dextrose</w:t>
      </w:r>
      <w:r w:rsidR="00ED3228" w:rsidRPr="00195C12">
        <w:rPr>
          <w:rFonts w:cs="Arial"/>
          <w:sz w:val="24"/>
          <w:szCs w:val="24"/>
        </w:rPr>
        <w:t xml:space="preserve"> exposure, dialysate and plasma IL-6 levels, urine volume, peritonitis count, age, gen</w:t>
      </w:r>
      <w:r w:rsidR="00ED3228">
        <w:rPr>
          <w:rFonts w:cs="Arial"/>
          <w:sz w:val="24"/>
          <w:szCs w:val="24"/>
        </w:rPr>
        <w:t>der, CAPD or APD</w:t>
      </w:r>
      <w:r w:rsidR="00ED3228" w:rsidRPr="00195C12">
        <w:rPr>
          <w:rFonts w:cs="Arial"/>
          <w:sz w:val="24"/>
          <w:szCs w:val="24"/>
        </w:rPr>
        <w:t xml:space="preserve"> and comorbidity score </w:t>
      </w:r>
      <w:r w:rsidR="00ED3228">
        <w:rPr>
          <w:rFonts w:cs="Arial"/>
          <w:sz w:val="24"/>
          <w:szCs w:val="24"/>
        </w:rPr>
        <w:t>and</w:t>
      </w:r>
      <w:r w:rsidR="00ED3228" w:rsidRPr="00195C12">
        <w:rPr>
          <w:rFonts w:cs="Arial"/>
          <w:sz w:val="24"/>
          <w:szCs w:val="24"/>
        </w:rPr>
        <w:t xml:space="preserve"> their interactions with time were tested for </w:t>
      </w:r>
      <w:r w:rsidR="00ED3228">
        <w:rPr>
          <w:rFonts w:cs="Arial"/>
          <w:sz w:val="24"/>
          <w:szCs w:val="24"/>
        </w:rPr>
        <w:t>with</w:t>
      </w:r>
      <w:r w:rsidR="00ED3228" w:rsidRPr="00195C12">
        <w:rPr>
          <w:rFonts w:cs="Arial"/>
          <w:sz w:val="24"/>
          <w:szCs w:val="24"/>
        </w:rPr>
        <w:t xml:space="preserve"> backwards selection</w:t>
      </w:r>
      <w:r w:rsidRPr="00753B7F">
        <w:rPr>
          <w:rFonts w:cs="Arial"/>
          <w:sz w:val="24"/>
          <w:szCs w:val="24"/>
        </w:rPr>
        <w:t xml:space="preserve">. Dialysate </w:t>
      </w:r>
      <w:r w:rsidR="006E650D">
        <w:rPr>
          <w:rFonts w:cs="Arial"/>
          <w:sz w:val="24"/>
          <w:szCs w:val="24"/>
        </w:rPr>
        <w:t xml:space="preserve">and plasma </w:t>
      </w:r>
      <w:r w:rsidR="006B278F">
        <w:rPr>
          <w:rFonts w:cs="Arial"/>
          <w:sz w:val="24"/>
          <w:szCs w:val="24"/>
        </w:rPr>
        <w:t xml:space="preserve">IL-6 </w:t>
      </w:r>
      <w:r w:rsidR="006E650D">
        <w:rPr>
          <w:rFonts w:cs="Arial"/>
          <w:sz w:val="24"/>
          <w:szCs w:val="24"/>
        </w:rPr>
        <w:t xml:space="preserve">were </w:t>
      </w:r>
      <w:r w:rsidRPr="00753B7F">
        <w:rPr>
          <w:rFonts w:cs="Arial"/>
          <w:sz w:val="24"/>
          <w:szCs w:val="24"/>
        </w:rPr>
        <w:t>transformed to log</w:t>
      </w:r>
      <w:r w:rsidRPr="00753B7F">
        <w:rPr>
          <w:rFonts w:cs="Arial"/>
          <w:sz w:val="24"/>
          <w:szCs w:val="24"/>
          <w:vertAlign w:val="subscript"/>
        </w:rPr>
        <w:t>10</w:t>
      </w:r>
      <w:r w:rsidR="006E650D">
        <w:rPr>
          <w:rFonts w:cs="Arial"/>
          <w:sz w:val="24"/>
          <w:szCs w:val="24"/>
          <w:vertAlign w:val="subscript"/>
        </w:rPr>
        <w:t xml:space="preserve"> </w:t>
      </w:r>
      <w:r w:rsidR="006E650D">
        <w:rPr>
          <w:rFonts w:cs="Arial"/>
          <w:sz w:val="24"/>
          <w:szCs w:val="24"/>
        </w:rPr>
        <w:t>due to the log-normal distribution</w:t>
      </w:r>
      <w:r w:rsidRPr="00753B7F">
        <w:rPr>
          <w:rFonts w:cs="Arial"/>
          <w:sz w:val="24"/>
          <w:szCs w:val="24"/>
        </w:rPr>
        <w:t xml:space="preserve">. A random intercept at patient level and random slopes for linear and quadratic time variables were significant and between person variance over time was determined from these. </w:t>
      </w:r>
      <w:r w:rsidR="00EA6957" w:rsidRPr="006B278F">
        <w:rPr>
          <w:rFonts w:cs="Arial"/>
          <w:sz w:val="24"/>
          <w:szCs w:val="24"/>
        </w:rPr>
        <w:t>Homoskedasticity and level 2 normality assumptions were tested</w:t>
      </w:r>
      <w:r w:rsidR="00EA6957" w:rsidRPr="00753B7F">
        <w:rPr>
          <w:rFonts w:cs="Arial"/>
          <w:sz w:val="24"/>
          <w:szCs w:val="24"/>
        </w:rPr>
        <w:t>.</w:t>
      </w:r>
      <w:r w:rsidR="007E3CF5">
        <w:rPr>
          <w:rFonts w:cs="Arial"/>
          <w:sz w:val="24"/>
          <w:szCs w:val="24"/>
        </w:rPr>
        <w:t xml:space="preserve"> </w:t>
      </w:r>
      <w:r w:rsidR="00A360A3">
        <w:rPr>
          <w:rFonts w:cs="Arial"/>
          <w:sz w:val="24"/>
          <w:szCs w:val="24"/>
        </w:rPr>
        <w:t xml:space="preserve">Marginal plots were used </w:t>
      </w:r>
      <w:r w:rsidR="00C222F0">
        <w:rPr>
          <w:rFonts w:cs="Arial"/>
          <w:sz w:val="24"/>
          <w:szCs w:val="24"/>
        </w:rPr>
        <w:t xml:space="preserve">for </w:t>
      </w:r>
      <w:r w:rsidR="007E3CF5">
        <w:rPr>
          <w:rFonts w:cs="Arial"/>
          <w:sz w:val="24"/>
          <w:szCs w:val="24"/>
        </w:rPr>
        <w:t>adjusted PSTR results</w:t>
      </w:r>
      <w:r w:rsidR="0079578F">
        <w:rPr>
          <w:rFonts w:cs="Arial"/>
          <w:sz w:val="24"/>
          <w:szCs w:val="24"/>
        </w:rPr>
        <w:t xml:space="preserve">. </w:t>
      </w:r>
      <w:r w:rsidR="00A360A3">
        <w:rPr>
          <w:rFonts w:cs="Arial"/>
          <w:sz w:val="24"/>
          <w:szCs w:val="24"/>
        </w:rPr>
        <w:t>AIC and BIC were used to assess dialysate glucose measures in a sensitivity analysis.</w:t>
      </w:r>
    </w:p>
    <w:p w14:paraId="7B3DD1DA" w14:textId="77777777" w:rsidR="008A0017" w:rsidRPr="00753B7F" w:rsidRDefault="00034461" w:rsidP="008A0017">
      <w:pPr>
        <w:spacing w:line="480" w:lineRule="auto"/>
        <w:rPr>
          <w:rFonts w:cs="Arial"/>
          <w:sz w:val="24"/>
          <w:szCs w:val="24"/>
        </w:rPr>
      </w:pPr>
      <w:r>
        <w:rPr>
          <w:rFonts w:cs="Arial"/>
          <w:sz w:val="24"/>
          <w:szCs w:val="24"/>
        </w:rPr>
        <w:t xml:space="preserve">Cox proportional hazards models adjusted for centre, dextrose exposure, icodextrin and dialysate IL-6 </w:t>
      </w:r>
      <w:r w:rsidR="00E61FF8" w:rsidRPr="001B558D">
        <w:rPr>
          <w:rFonts w:cs="Arial"/>
          <w:sz w:val="24"/>
          <w:szCs w:val="24"/>
        </w:rPr>
        <w:t>were tested for proportionality with log-log plots</w:t>
      </w:r>
      <w:r w:rsidR="00BA3649">
        <w:rPr>
          <w:rFonts w:cs="Arial"/>
          <w:sz w:val="24"/>
          <w:szCs w:val="24"/>
        </w:rPr>
        <w:t>.</w:t>
      </w:r>
      <w:r w:rsidR="00E61FF8" w:rsidRPr="001B558D">
        <w:rPr>
          <w:rFonts w:cs="Arial"/>
          <w:sz w:val="24"/>
          <w:szCs w:val="24"/>
        </w:rPr>
        <w:t xml:space="preserve"> Mi</w:t>
      </w:r>
      <w:r w:rsidR="0066287E">
        <w:rPr>
          <w:rFonts w:cs="Arial"/>
          <w:sz w:val="24"/>
          <w:szCs w:val="24"/>
        </w:rPr>
        <w:t>ss</w:t>
      </w:r>
      <w:r w:rsidR="00E61FF8" w:rsidRPr="001B558D">
        <w:rPr>
          <w:rFonts w:cs="Arial"/>
          <w:sz w:val="24"/>
          <w:szCs w:val="24"/>
        </w:rPr>
        <w:t xml:space="preserve">ing data, ranging from 0% to </w:t>
      </w:r>
      <w:r w:rsidR="007A4429">
        <w:rPr>
          <w:rFonts w:cs="Arial"/>
          <w:sz w:val="24"/>
          <w:szCs w:val="24"/>
        </w:rPr>
        <w:t>5</w:t>
      </w:r>
      <w:r w:rsidR="00E61FF8" w:rsidRPr="001B558D">
        <w:rPr>
          <w:rFonts w:cs="Arial"/>
          <w:sz w:val="24"/>
          <w:szCs w:val="24"/>
        </w:rPr>
        <w:t>% for different variables, were considered mi</w:t>
      </w:r>
      <w:r w:rsidR="0066287E">
        <w:rPr>
          <w:rFonts w:cs="Arial"/>
          <w:sz w:val="24"/>
          <w:szCs w:val="24"/>
        </w:rPr>
        <w:t>ss</w:t>
      </w:r>
      <w:r w:rsidR="00E61FF8" w:rsidRPr="001B558D">
        <w:rPr>
          <w:rFonts w:cs="Arial"/>
          <w:sz w:val="24"/>
          <w:szCs w:val="24"/>
        </w:rPr>
        <w:t>ing at random and complete case analysis used all analyses used stata</w:t>
      </w:r>
      <w:r w:rsidR="00E52E32">
        <w:rPr>
          <w:rFonts w:cs="Arial"/>
          <w:sz w:val="24"/>
          <w:szCs w:val="24"/>
        </w:rPr>
        <w:t>IC</w:t>
      </w:r>
      <w:r w:rsidR="00E61FF8" w:rsidRPr="001B558D">
        <w:rPr>
          <w:rFonts w:cs="Arial"/>
          <w:sz w:val="24"/>
          <w:szCs w:val="24"/>
        </w:rPr>
        <w:t xml:space="preserve"> version12 (college station, tx), with runmlwin </w:t>
      </w:r>
      <w:r w:rsidR="00C222F0">
        <w:rPr>
          <w:rFonts w:cs="Arial"/>
          <w:sz w:val="24"/>
          <w:szCs w:val="24"/>
        </w:rPr>
        <w:t>for</w:t>
      </w:r>
      <w:r w:rsidR="00FE757B">
        <w:rPr>
          <w:rFonts w:cs="Arial"/>
          <w:sz w:val="24"/>
          <w:szCs w:val="24"/>
        </w:rPr>
        <w:t xml:space="preserve"> the multi-level model in M</w:t>
      </w:r>
      <w:r w:rsidR="00141650">
        <w:rPr>
          <w:rFonts w:cs="Arial"/>
          <w:sz w:val="24"/>
          <w:szCs w:val="24"/>
        </w:rPr>
        <w:t>L</w:t>
      </w:r>
      <w:r w:rsidR="00E61FF8" w:rsidRPr="001B558D">
        <w:rPr>
          <w:rFonts w:cs="Arial"/>
          <w:sz w:val="24"/>
          <w:szCs w:val="24"/>
        </w:rPr>
        <w:t>wi</w:t>
      </w:r>
      <w:r w:rsidR="00141650">
        <w:rPr>
          <w:rFonts w:cs="Arial"/>
          <w:sz w:val="24"/>
          <w:szCs w:val="24"/>
        </w:rPr>
        <w:t>N</w:t>
      </w:r>
      <w:r w:rsidR="00E61FF8" w:rsidRPr="001B558D">
        <w:rPr>
          <w:rFonts w:cs="Arial"/>
          <w:sz w:val="24"/>
          <w:szCs w:val="24"/>
        </w:rPr>
        <w:t xml:space="preserve"> (v2.31). </w:t>
      </w:r>
    </w:p>
    <w:p w14:paraId="0DA882E6" w14:textId="77777777" w:rsidR="008A0017" w:rsidRPr="00E61FF8" w:rsidRDefault="00E61FF8" w:rsidP="008A0017">
      <w:pPr>
        <w:rPr>
          <w:rFonts w:cs="Arial"/>
          <w:b/>
          <w:sz w:val="24"/>
          <w:szCs w:val="24"/>
        </w:rPr>
      </w:pPr>
      <w:r w:rsidRPr="00E61FF8">
        <w:rPr>
          <w:rFonts w:cs="Arial"/>
          <w:b/>
          <w:sz w:val="24"/>
          <w:szCs w:val="24"/>
        </w:rPr>
        <w:br w:type="page"/>
      </w:r>
    </w:p>
    <w:p w14:paraId="14B257D9" w14:textId="77777777" w:rsidR="000C1C1D" w:rsidRPr="00E61FF8" w:rsidRDefault="00E61FF8" w:rsidP="00195C12">
      <w:pPr>
        <w:spacing w:line="480" w:lineRule="auto"/>
        <w:rPr>
          <w:rFonts w:cs="Arial"/>
          <w:sz w:val="24"/>
          <w:szCs w:val="24"/>
        </w:rPr>
      </w:pPr>
      <w:r w:rsidRPr="00E61FF8">
        <w:rPr>
          <w:rFonts w:cs="Arial"/>
          <w:b/>
          <w:sz w:val="24"/>
          <w:szCs w:val="24"/>
        </w:rPr>
        <w:t xml:space="preserve">Results </w:t>
      </w:r>
    </w:p>
    <w:p w14:paraId="18E0CC58" w14:textId="77777777" w:rsidR="00C47FC4" w:rsidRPr="00E61FF8" w:rsidRDefault="00E61FF8" w:rsidP="00195C12">
      <w:pPr>
        <w:spacing w:line="480" w:lineRule="auto"/>
        <w:rPr>
          <w:rFonts w:cs="Arial"/>
          <w:i/>
          <w:sz w:val="24"/>
          <w:szCs w:val="24"/>
        </w:rPr>
      </w:pPr>
      <w:r w:rsidRPr="00E61FF8">
        <w:rPr>
          <w:rFonts w:cs="Arial"/>
          <w:i/>
          <w:sz w:val="24"/>
          <w:szCs w:val="24"/>
        </w:rPr>
        <w:t>Patient characteristics</w:t>
      </w:r>
    </w:p>
    <w:p w14:paraId="030BFB67" w14:textId="77777777" w:rsidR="00B20366" w:rsidRPr="001B558D" w:rsidRDefault="00E61FF8" w:rsidP="00195C12">
      <w:pPr>
        <w:spacing w:line="480" w:lineRule="auto"/>
        <w:rPr>
          <w:rFonts w:cs="Arial"/>
          <w:sz w:val="24"/>
          <w:szCs w:val="24"/>
        </w:rPr>
      </w:pPr>
      <w:r w:rsidRPr="00E61FF8">
        <w:rPr>
          <w:rFonts w:cs="Arial"/>
          <w:sz w:val="24"/>
          <w:szCs w:val="24"/>
        </w:rPr>
        <w:t>366 patients with 2290 measurements were included in the final analysis (</w:t>
      </w:r>
      <w:r w:rsidR="00100A88">
        <w:rPr>
          <w:rFonts w:cs="Arial"/>
          <w:sz w:val="24"/>
          <w:szCs w:val="24"/>
        </w:rPr>
        <w:t>F</w:t>
      </w:r>
      <w:r w:rsidRPr="00753B7F">
        <w:rPr>
          <w:rFonts w:cs="Arial"/>
          <w:sz w:val="24"/>
          <w:szCs w:val="24"/>
        </w:rPr>
        <w:t>igure</w:t>
      </w:r>
      <w:r w:rsidR="009920DC">
        <w:rPr>
          <w:rFonts w:cs="Arial"/>
          <w:sz w:val="24"/>
          <w:szCs w:val="24"/>
        </w:rPr>
        <w:t xml:space="preserve"> 1). Of the 71 patients in the </w:t>
      </w:r>
      <w:r w:rsidRPr="00753B7F">
        <w:rPr>
          <w:rFonts w:cs="Arial"/>
          <w:sz w:val="24"/>
          <w:szCs w:val="24"/>
        </w:rPr>
        <w:t>biocompatible solutions -only group, 58 (8</w:t>
      </w:r>
      <w:r w:rsidR="00F3538B">
        <w:rPr>
          <w:rFonts w:cs="Arial"/>
          <w:sz w:val="24"/>
          <w:szCs w:val="24"/>
        </w:rPr>
        <w:t>2</w:t>
      </w:r>
      <w:r w:rsidRPr="001B558D">
        <w:rPr>
          <w:rFonts w:cs="Arial"/>
          <w:sz w:val="24"/>
          <w:szCs w:val="24"/>
        </w:rPr>
        <w:t xml:space="preserve">%) used </w:t>
      </w:r>
      <w:r w:rsidR="00131366">
        <w:rPr>
          <w:rFonts w:cs="Arial"/>
          <w:sz w:val="24"/>
          <w:szCs w:val="24"/>
        </w:rPr>
        <w:t>B</w:t>
      </w:r>
      <w:r w:rsidRPr="001B558D">
        <w:rPr>
          <w:rFonts w:cs="Arial"/>
          <w:sz w:val="24"/>
          <w:szCs w:val="24"/>
        </w:rPr>
        <w:t xml:space="preserve">axter </w:t>
      </w:r>
      <w:r w:rsidR="00131366">
        <w:rPr>
          <w:rFonts w:cs="Arial"/>
          <w:sz w:val="24"/>
          <w:szCs w:val="24"/>
        </w:rPr>
        <w:t>P</w:t>
      </w:r>
      <w:r w:rsidRPr="001B558D">
        <w:rPr>
          <w:rFonts w:cs="Arial"/>
          <w:sz w:val="24"/>
          <w:szCs w:val="24"/>
        </w:rPr>
        <w:t xml:space="preserve">hysioneal, 8 (11%) used </w:t>
      </w:r>
      <w:r w:rsidR="00131366">
        <w:rPr>
          <w:rFonts w:cs="Arial"/>
          <w:sz w:val="24"/>
          <w:szCs w:val="24"/>
        </w:rPr>
        <w:t>F</w:t>
      </w:r>
      <w:r w:rsidRPr="001B558D">
        <w:rPr>
          <w:rFonts w:cs="Arial"/>
          <w:sz w:val="24"/>
          <w:szCs w:val="24"/>
        </w:rPr>
        <w:t xml:space="preserve">resenius </w:t>
      </w:r>
      <w:r w:rsidR="00131366">
        <w:rPr>
          <w:rFonts w:cs="Arial"/>
          <w:sz w:val="24"/>
          <w:szCs w:val="24"/>
        </w:rPr>
        <w:t>S</w:t>
      </w:r>
      <w:r w:rsidRPr="001B558D">
        <w:rPr>
          <w:rFonts w:cs="Arial"/>
          <w:sz w:val="24"/>
          <w:szCs w:val="24"/>
        </w:rPr>
        <w:t xml:space="preserve">taysafe® balance and 5 (7%) used </w:t>
      </w:r>
      <w:r w:rsidR="00131366">
        <w:rPr>
          <w:rFonts w:cs="Arial"/>
          <w:sz w:val="24"/>
          <w:szCs w:val="24"/>
        </w:rPr>
        <w:t>G</w:t>
      </w:r>
      <w:r w:rsidRPr="001B558D">
        <w:rPr>
          <w:rFonts w:cs="Arial"/>
          <w:sz w:val="24"/>
          <w:szCs w:val="24"/>
        </w:rPr>
        <w:t>ambrosol-</w:t>
      </w:r>
      <w:r w:rsidR="00131366">
        <w:rPr>
          <w:rFonts w:cs="Arial"/>
          <w:sz w:val="24"/>
          <w:szCs w:val="24"/>
        </w:rPr>
        <w:t>T</w:t>
      </w:r>
      <w:r w:rsidRPr="001B558D">
        <w:rPr>
          <w:rFonts w:cs="Arial"/>
          <w:sz w:val="24"/>
          <w:szCs w:val="24"/>
        </w:rPr>
        <w:t xml:space="preserve">rio. Of the 295 patients in the </w:t>
      </w:r>
      <w:r w:rsidR="0066287E">
        <w:rPr>
          <w:rFonts w:cs="Arial"/>
          <w:sz w:val="24"/>
          <w:szCs w:val="24"/>
        </w:rPr>
        <w:t>standard solutions</w:t>
      </w:r>
      <w:r w:rsidRPr="001B558D">
        <w:rPr>
          <w:rFonts w:cs="Arial"/>
          <w:sz w:val="24"/>
          <w:szCs w:val="24"/>
        </w:rPr>
        <w:t xml:space="preserve">-only group, 245 used </w:t>
      </w:r>
      <w:r w:rsidR="00131366">
        <w:rPr>
          <w:rFonts w:cs="Arial"/>
          <w:sz w:val="24"/>
          <w:szCs w:val="24"/>
        </w:rPr>
        <w:t>B</w:t>
      </w:r>
      <w:r w:rsidRPr="001B558D">
        <w:rPr>
          <w:rFonts w:cs="Arial"/>
          <w:sz w:val="24"/>
          <w:szCs w:val="24"/>
        </w:rPr>
        <w:t xml:space="preserve">axter </w:t>
      </w:r>
      <w:r w:rsidR="00131366">
        <w:rPr>
          <w:rFonts w:cs="Arial"/>
          <w:sz w:val="24"/>
          <w:szCs w:val="24"/>
        </w:rPr>
        <w:t>D</w:t>
      </w:r>
      <w:r w:rsidRPr="001B558D">
        <w:rPr>
          <w:rFonts w:cs="Arial"/>
          <w:sz w:val="24"/>
          <w:szCs w:val="24"/>
        </w:rPr>
        <w:t xml:space="preserve">ianeal, 50 used </w:t>
      </w:r>
      <w:r w:rsidR="00131366">
        <w:rPr>
          <w:rFonts w:cs="Arial"/>
          <w:sz w:val="24"/>
          <w:szCs w:val="24"/>
        </w:rPr>
        <w:t>F</w:t>
      </w:r>
      <w:r w:rsidRPr="001B558D">
        <w:rPr>
          <w:rFonts w:cs="Arial"/>
          <w:sz w:val="24"/>
          <w:szCs w:val="24"/>
        </w:rPr>
        <w:t xml:space="preserve">resenius </w:t>
      </w:r>
      <w:r w:rsidR="00131366">
        <w:rPr>
          <w:rFonts w:cs="Arial"/>
          <w:sz w:val="24"/>
          <w:szCs w:val="24"/>
        </w:rPr>
        <w:t>S</w:t>
      </w:r>
      <w:r w:rsidRPr="001B558D">
        <w:rPr>
          <w:rFonts w:cs="Arial"/>
          <w:sz w:val="24"/>
          <w:szCs w:val="24"/>
        </w:rPr>
        <w:t xml:space="preserve">taysafe® and one used </w:t>
      </w:r>
      <w:r w:rsidR="00131366">
        <w:rPr>
          <w:rFonts w:cs="Arial"/>
          <w:sz w:val="24"/>
          <w:szCs w:val="24"/>
        </w:rPr>
        <w:t>B</w:t>
      </w:r>
      <w:r w:rsidRPr="001B558D">
        <w:rPr>
          <w:rFonts w:cs="Arial"/>
          <w:sz w:val="24"/>
          <w:szCs w:val="24"/>
        </w:rPr>
        <w:t xml:space="preserve">oryung </w:t>
      </w:r>
      <w:r w:rsidR="00131366">
        <w:rPr>
          <w:rFonts w:cs="Arial"/>
          <w:sz w:val="24"/>
          <w:szCs w:val="24"/>
        </w:rPr>
        <w:t>P</w:t>
      </w:r>
      <w:r w:rsidR="009920DC">
        <w:rPr>
          <w:rFonts w:cs="Arial"/>
          <w:sz w:val="24"/>
          <w:szCs w:val="24"/>
        </w:rPr>
        <w:t xml:space="preserve">eresis. Patients using </w:t>
      </w:r>
      <w:r w:rsidRPr="001B558D">
        <w:rPr>
          <w:rFonts w:cs="Arial"/>
          <w:sz w:val="24"/>
          <w:szCs w:val="24"/>
        </w:rPr>
        <w:t>biocompatible solutions were le</w:t>
      </w:r>
      <w:r w:rsidR="0066287E">
        <w:rPr>
          <w:rFonts w:cs="Arial"/>
          <w:sz w:val="24"/>
          <w:szCs w:val="24"/>
        </w:rPr>
        <w:t>ss</w:t>
      </w:r>
      <w:r w:rsidRPr="001B558D">
        <w:rPr>
          <w:rFonts w:cs="Arial"/>
          <w:sz w:val="24"/>
          <w:szCs w:val="24"/>
        </w:rPr>
        <w:t xml:space="preserve"> likely to be on </w:t>
      </w:r>
      <w:r w:rsidR="00FD3AD4">
        <w:rPr>
          <w:rFonts w:cs="Arial"/>
          <w:sz w:val="24"/>
          <w:szCs w:val="24"/>
        </w:rPr>
        <w:t>APD</w:t>
      </w:r>
      <w:r w:rsidRPr="001B558D">
        <w:rPr>
          <w:rFonts w:cs="Arial"/>
          <w:sz w:val="24"/>
          <w:szCs w:val="24"/>
        </w:rPr>
        <w:t xml:space="preserve"> and had a shorter duration on </w:t>
      </w:r>
      <w:r w:rsidR="00FD3AD4">
        <w:rPr>
          <w:rFonts w:cs="Arial"/>
          <w:sz w:val="24"/>
          <w:szCs w:val="24"/>
        </w:rPr>
        <w:t>PD</w:t>
      </w:r>
      <w:r w:rsidRPr="001B558D">
        <w:rPr>
          <w:rFonts w:cs="Arial"/>
          <w:sz w:val="24"/>
          <w:szCs w:val="24"/>
        </w:rPr>
        <w:t xml:space="preserve"> due to the small number of pr</w:t>
      </w:r>
      <w:r w:rsidR="009920DC">
        <w:rPr>
          <w:rFonts w:cs="Arial"/>
          <w:sz w:val="24"/>
          <w:szCs w:val="24"/>
        </w:rPr>
        <w:t>evalent patients using</w:t>
      </w:r>
      <w:r w:rsidRPr="001B558D">
        <w:rPr>
          <w:rFonts w:cs="Arial"/>
          <w:sz w:val="24"/>
          <w:szCs w:val="24"/>
        </w:rPr>
        <w:t xml:space="preserve"> biocompatible solutions. (</w:t>
      </w:r>
      <w:r w:rsidR="001556BA">
        <w:rPr>
          <w:rFonts w:cs="Arial"/>
          <w:sz w:val="24"/>
          <w:szCs w:val="24"/>
        </w:rPr>
        <w:t>T</w:t>
      </w:r>
      <w:r w:rsidRPr="001B558D">
        <w:rPr>
          <w:rFonts w:cs="Arial"/>
          <w:sz w:val="24"/>
          <w:szCs w:val="24"/>
        </w:rPr>
        <w:t xml:space="preserve">able 1). </w:t>
      </w:r>
      <w:r w:rsidR="001556BA" w:rsidRPr="001B558D">
        <w:rPr>
          <w:rFonts w:cs="Arial"/>
          <w:sz w:val="24"/>
          <w:szCs w:val="24"/>
        </w:rPr>
        <w:t xml:space="preserve">Follow up was for 7.5 years (median of 2.3 </w:t>
      </w:r>
      <w:r w:rsidR="001556BA">
        <w:rPr>
          <w:rFonts w:cs="Arial"/>
          <w:sz w:val="24"/>
          <w:szCs w:val="24"/>
        </w:rPr>
        <w:t xml:space="preserve">IQR </w:t>
      </w:r>
      <w:r w:rsidR="001556BA" w:rsidRPr="001B558D">
        <w:rPr>
          <w:rFonts w:cs="Arial"/>
          <w:sz w:val="24"/>
          <w:szCs w:val="24"/>
        </w:rPr>
        <w:t>1.8-3.6) in biocompatible solutions</w:t>
      </w:r>
      <w:r w:rsidR="001556BA" w:rsidRPr="00753B7F">
        <w:rPr>
          <w:rFonts w:cs="Arial"/>
          <w:sz w:val="24"/>
          <w:szCs w:val="24"/>
        </w:rPr>
        <w:t xml:space="preserve"> and 12.8 years (median 3.2 </w:t>
      </w:r>
      <w:r w:rsidR="001556BA">
        <w:rPr>
          <w:rFonts w:cs="Arial"/>
          <w:sz w:val="24"/>
          <w:szCs w:val="24"/>
        </w:rPr>
        <w:t xml:space="preserve">IQR </w:t>
      </w:r>
      <w:r w:rsidR="001556BA" w:rsidRPr="00753B7F">
        <w:rPr>
          <w:rFonts w:cs="Arial"/>
          <w:sz w:val="24"/>
          <w:szCs w:val="24"/>
        </w:rPr>
        <w:t xml:space="preserve">1.9-4.3) for standard solutions. </w:t>
      </w:r>
      <w:r w:rsidRPr="001B558D">
        <w:rPr>
          <w:rFonts w:cs="Arial"/>
          <w:sz w:val="24"/>
          <w:szCs w:val="24"/>
        </w:rPr>
        <w:t xml:space="preserve">There was no apparent difference in time to treatment failure between </w:t>
      </w:r>
      <w:r w:rsidRPr="00753B7F">
        <w:rPr>
          <w:rFonts w:cs="Arial"/>
          <w:sz w:val="24"/>
          <w:szCs w:val="24"/>
        </w:rPr>
        <w:t xml:space="preserve">biocompatible solutions and </w:t>
      </w:r>
      <w:r w:rsidR="0066287E">
        <w:rPr>
          <w:rFonts w:cs="Arial"/>
          <w:sz w:val="24"/>
          <w:szCs w:val="24"/>
        </w:rPr>
        <w:t>standard solutions</w:t>
      </w:r>
      <w:r w:rsidRPr="001B558D">
        <w:rPr>
          <w:rFonts w:cs="Arial"/>
          <w:sz w:val="24"/>
          <w:szCs w:val="24"/>
        </w:rPr>
        <w:t xml:space="preserve"> (cox proportional hazards regr</w:t>
      </w:r>
      <w:r w:rsidR="0066287E">
        <w:rPr>
          <w:rFonts w:cs="Arial"/>
          <w:sz w:val="24"/>
          <w:szCs w:val="24"/>
        </w:rPr>
        <w:t>ess</w:t>
      </w:r>
      <w:r w:rsidRPr="001B558D">
        <w:rPr>
          <w:rFonts w:cs="Arial"/>
          <w:sz w:val="24"/>
          <w:szCs w:val="24"/>
        </w:rPr>
        <w:t xml:space="preserve">ion hr 1.18, 95% </w:t>
      </w:r>
      <w:r w:rsidR="00B5542E">
        <w:rPr>
          <w:rFonts w:cs="Arial"/>
          <w:sz w:val="24"/>
          <w:szCs w:val="24"/>
        </w:rPr>
        <w:t xml:space="preserve">CI </w:t>
      </w:r>
      <w:r w:rsidRPr="001B558D">
        <w:rPr>
          <w:rFonts w:cs="Arial"/>
          <w:sz w:val="24"/>
          <w:szCs w:val="24"/>
        </w:rPr>
        <w:t xml:space="preserve">0.67 to 2.06). Drop-out caused by death, transplantation or treatment failure in the </w:t>
      </w:r>
      <w:r w:rsidRPr="00753B7F">
        <w:rPr>
          <w:rFonts w:cs="Arial"/>
          <w:sz w:val="24"/>
          <w:szCs w:val="24"/>
        </w:rPr>
        <w:t>biocompatible solutions and standard groups were 50% (n=25) and</w:t>
      </w:r>
      <w:r w:rsidR="00F23338">
        <w:rPr>
          <w:rFonts w:cs="Arial"/>
          <w:sz w:val="24"/>
          <w:szCs w:val="24"/>
        </w:rPr>
        <w:t xml:space="preserve"> </w:t>
      </w:r>
      <w:r w:rsidRPr="00753B7F">
        <w:rPr>
          <w:rFonts w:cs="Arial"/>
          <w:sz w:val="24"/>
          <w:szCs w:val="24"/>
        </w:rPr>
        <w:t xml:space="preserve">61% (n=138) respectively after 3.5 years. </w:t>
      </w:r>
      <w:r w:rsidR="001556BA">
        <w:rPr>
          <w:rFonts w:cs="Arial"/>
          <w:sz w:val="24"/>
          <w:szCs w:val="24"/>
        </w:rPr>
        <w:t xml:space="preserve"> </w:t>
      </w:r>
      <w:r w:rsidRPr="00753B7F">
        <w:rPr>
          <w:rFonts w:cs="Arial"/>
          <w:sz w:val="24"/>
          <w:szCs w:val="24"/>
        </w:rPr>
        <w:t>1</w:t>
      </w:r>
      <w:r w:rsidR="009920DC">
        <w:rPr>
          <w:rFonts w:cs="Arial"/>
          <w:sz w:val="24"/>
          <w:szCs w:val="24"/>
        </w:rPr>
        <w:t>24 patients recorded using both</w:t>
      </w:r>
      <w:r w:rsidRPr="00753B7F">
        <w:rPr>
          <w:rFonts w:cs="Arial"/>
          <w:sz w:val="24"/>
          <w:szCs w:val="24"/>
        </w:rPr>
        <w:t xml:space="preserve"> biocompatible solutions and </w:t>
      </w:r>
      <w:r w:rsidR="0066287E">
        <w:rPr>
          <w:rFonts w:cs="Arial"/>
          <w:sz w:val="24"/>
          <w:szCs w:val="24"/>
        </w:rPr>
        <w:t>standard solutions</w:t>
      </w:r>
      <w:r w:rsidRPr="001B558D">
        <w:rPr>
          <w:rFonts w:cs="Arial"/>
          <w:sz w:val="24"/>
          <w:szCs w:val="24"/>
        </w:rPr>
        <w:t xml:space="preserve"> at different time points were not included in the analysis. Baseline characteristics in this group compared to patients included in the final analysis were not clinically significantly different for age, gender comorbidity score and urine volume but were clinically significantly different with regards to time on </w:t>
      </w:r>
      <w:r w:rsidR="00FD3AD4">
        <w:rPr>
          <w:rFonts w:cs="Arial"/>
          <w:sz w:val="24"/>
          <w:szCs w:val="24"/>
        </w:rPr>
        <w:t>PD</w:t>
      </w:r>
      <w:r w:rsidRPr="001B558D">
        <w:rPr>
          <w:rFonts w:cs="Arial"/>
          <w:sz w:val="24"/>
          <w:szCs w:val="24"/>
        </w:rPr>
        <w:t xml:space="preserve"> and modality of </w:t>
      </w:r>
      <w:r w:rsidR="00FD3AD4">
        <w:rPr>
          <w:rFonts w:cs="Arial"/>
          <w:sz w:val="24"/>
          <w:szCs w:val="24"/>
        </w:rPr>
        <w:t>PD</w:t>
      </w:r>
      <w:r w:rsidRPr="001B558D">
        <w:rPr>
          <w:rFonts w:cs="Arial"/>
          <w:sz w:val="24"/>
          <w:szCs w:val="24"/>
        </w:rPr>
        <w:t>. (</w:t>
      </w:r>
      <w:r w:rsidR="00100A88">
        <w:rPr>
          <w:rFonts w:cs="Arial"/>
          <w:sz w:val="24"/>
          <w:szCs w:val="24"/>
        </w:rPr>
        <w:t>T</w:t>
      </w:r>
      <w:r w:rsidRPr="001B558D">
        <w:rPr>
          <w:rFonts w:cs="Arial"/>
          <w:sz w:val="24"/>
          <w:szCs w:val="24"/>
        </w:rPr>
        <w:t>able 1)</w:t>
      </w:r>
    </w:p>
    <w:p w14:paraId="7DB85111" w14:textId="77777777" w:rsidR="00E240BB" w:rsidRPr="00753B7F" w:rsidRDefault="00E61FF8" w:rsidP="00195C12">
      <w:pPr>
        <w:spacing w:line="480" w:lineRule="auto"/>
        <w:rPr>
          <w:rFonts w:cs="Arial"/>
          <w:i/>
          <w:sz w:val="24"/>
          <w:szCs w:val="24"/>
        </w:rPr>
      </w:pPr>
      <w:r w:rsidRPr="00753B7F">
        <w:rPr>
          <w:rFonts w:cs="Arial"/>
          <w:i/>
          <w:sz w:val="24"/>
          <w:szCs w:val="24"/>
        </w:rPr>
        <w:t>Peritoneal transport over time</w:t>
      </w:r>
    </w:p>
    <w:p w14:paraId="230AF14A" w14:textId="5E4F1F52" w:rsidR="00C7130A" w:rsidRPr="001B558D" w:rsidRDefault="0029089F" w:rsidP="00195C12">
      <w:pPr>
        <w:spacing w:line="480" w:lineRule="auto"/>
        <w:rPr>
          <w:rFonts w:cs="Arial"/>
          <w:sz w:val="24"/>
          <w:szCs w:val="24"/>
        </w:rPr>
      </w:pPr>
      <w:r>
        <w:rPr>
          <w:rFonts w:cs="Arial"/>
          <w:sz w:val="24"/>
          <w:szCs w:val="24"/>
        </w:rPr>
        <w:t>The</w:t>
      </w:r>
      <w:r w:rsidR="00E61FF8" w:rsidRPr="00753B7F">
        <w:rPr>
          <w:rFonts w:cs="Arial"/>
          <w:sz w:val="24"/>
          <w:szCs w:val="24"/>
        </w:rPr>
        <w:t xml:space="preserve"> </w:t>
      </w:r>
      <w:r w:rsidR="009412E0">
        <w:rPr>
          <w:rFonts w:cstheme="minorHAnsi"/>
          <w:sz w:val="24"/>
          <w:szCs w:val="24"/>
        </w:rPr>
        <w:t xml:space="preserve">adjusted </w:t>
      </w:r>
      <w:r w:rsidR="00E16959">
        <w:rPr>
          <w:rFonts w:cstheme="minorHAnsi"/>
          <w:sz w:val="24"/>
          <w:szCs w:val="24"/>
        </w:rPr>
        <w:t>PSTR</w:t>
      </w:r>
      <w:r w:rsidR="00E61FF8" w:rsidRPr="001B558D">
        <w:rPr>
          <w:rFonts w:cs="Arial"/>
          <w:sz w:val="24"/>
          <w:szCs w:val="24"/>
        </w:rPr>
        <w:t xml:space="preserve"> two months after the start of </w:t>
      </w:r>
      <w:r w:rsidR="00FD3AD4">
        <w:rPr>
          <w:rFonts w:cs="Arial"/>
          <w:sz w:val="24"/>
          <w:szCs w:val="24"/>
        </w:rPr>
        <w:t>PD</w:t>
      </w:r>
      <w:r w:rsidR="00E61FF8" w:rsidRPr="001B558D">
        <w:rPr>
          <w:rFonts w:cs="Arial"/>
          <w:sz w:val="24"/>
          <w:szCs w:val="24"/>
        </w:rPr>
        <w:t xml:space="preserve"> was higher in </w:t>
      </w:r>
      <w:r w:rsidR="0066287E">
        <w:rPr>
          <w:rFonts w:cs="Arial"/>
          <w:sz w:val="24"/>
          <w:szCs w:val="24"/>
        </w:rPr>
        <w:t>standard solutions</w:t>
      </w:r>
      <w:r w:rsidR="009920DC">
        <w:rPr>
          <w:rFonts w:cs="Arial"/>
          <w:sz w:val="24"/>
          <w:szCs w:val="24"/>
        </w:rPr>
        <w:t xml:space="preserve"> (0.721) compared with</w:t>
      </w:r>
      <w:r w:rsidR="00E61FF8" w:rsidRPr="001B558D">
        <w:rPr>
          <w:rFonts w:cs="Arial"/>
          <w:sz w:val="24"/>
          <w:szCs w:val="24"/>
        </w:rPr>
        <w:t xml:space="preserve"> biocompatible solutions (0.622).  With </w:t>
      </w:r>
      <w:r w:rsidR="0066287E">
        <w:rPr>
          <w:rFonts w:cs="Arial"/>
          <w:sz w:val="24"/>
          <w:szCs w:val="24"/>
        </w:rPr>
        <w:t>standard solutions</w:t>
      </w:r>
      <w:r w:rsidR="00E61FF8" w:rsidRPr="001B558D">
        <w:rPr>
          <w:rFonts w:cs="Arial"/>
          <w:sz w:val="24"/>
          <w:szCs w:val="24"/>
        </w:rPr>
        <w:t xml:space="preserve">, </w:t>
      </w:r>
      <w:r w:rsidR="00F14DFA">
        <w:rPr>
          <w:rFonts w:cs="Arial"/>
          <w:sz w:val="24"/>
          <w:szCs w:val="24"/>
        </w:rPr>
        <w:t xml:space="preserve">PSTR remains </w:t>
      </w:r>
      <w:r w:rsidR="004C0961">
        <w:rPr>
          <w:rFonts w:cs="Arial"/>
          <w:sz w:val="24"/>
          <w:szCs w:val="24"/>
        </w:rPr>
        <w:t>approximately level until</w:t>
      </w:r>
      <w:r w:rsidR="00E61FF8" w:rsidRPr="001B558D">
        <w:rPr>
          <w:rFonts w:cs="Arial"/>
          <w:sz w:val="24"/>
          <w:szCs w:val="24"/>
        </w:rPr>
        <w:t xml:space="preserve"> an increase between 3.5</w:t>
      </w:r>
      <w:r w:rsidR="00BC7BEF">
        <w:rPr>
          <w:rFonts w:cs="Arial"/>
          <w:sz w:val="24"/>
          <w:szCs w:val="24"/>
        </w:rPr>
        <w:t xml:space="preserve"> </w:t>
      </w:r>
      <w:r w:rsidR="003246BE">
        <w:rPr>
          <w:rFonts w:cs="Arial"/>
          <w:sz w:val="24"/>
          <w:szCs w:val="24"/>
        </w:rPr>
        <w:t>(</w:t>
      </w:r>
      <w:r w:rsidR="000C26FE">
        <w:rPr>
          <w:rFonts w:ascii="Arial" w:hAnsi="Arial" w:cs="Arial"/>
          <w:sz w:val="24"/>
          <w:szCs w:val="24"/>
        </w:rPr>
        <w:t>0.7</w:t>
      </w:r>
      <w:r w:rsidR="00BD6C48">
        <w:rPr>
          <w:rFonts w:ascii="Arial" w:hAnsi="Arial" w:cs="Arial"/>
          <w:sz w:val="24"/>
          <w:szCs w:val="24"/>
        </w:rPr>
        <w:t>21</w:t>
      </w:r>
      <w:r w:rsidR="003246BE">
        <w:rPr>
          <w:rFonts w:ascii="Arial" w:hAnsi="Arial" w:cs="Arial"/>
          <w:sz w:val="24"/>
          <w:szCs w:val="24"/>
        </w:rPr>
        <w:t>)</w:t>
      </w:r>
      <w:r w:rsidR="000C26FE" w:rsidDel="000C26FE">
        <w:rPr>
          <w:rFonts w:cs="Arial"/>
          <w:sz w:val="24"/>
          <w:szCs w:val="24"/>
        </w:rPr>
        <w:t xml:space="preserve"> </w:t>
      </w:r>
      <w:r w:rsidR="00E61FF8" w:rsidRPr="001B558D">
        <w:rPr>
          <w:rFonts w:cs="Arial"/>
          <w:sz w:val="24"/>
          <w:szCs w:val="24"/>
        </w:rPr>
        <w:t xml:space="preserve">and 7 years </w:t>
      </w:r>
      <w:r w:rsidR="007137A3">
        <w:rPr>
          <w:rFonts w:cs="Arial"/>
          <w:sz w:val="24"/>
          <w:szCs w:val="24"/>
        </w:rPr>
        <w:t>(</w:t>
      </w:r>
      <w:r w:rsidR="00BD6C48">
        <w:rPr>
          <w:rFonts w:cs="Arial"/>
          <w:sz w:val="24"/>
          <w:szCs w:val="24"/>
        </w:rPr>
        <w:t>0.741</w:t>
      </w:r>
      <w:r w:rsidR="007137A3">
        <w:rPr>
          <w:rFonts w:cs="Arial"/>
          <w:sz w:val="24"/>
          <w:szCs w:val="24"/>
        </w:rPr>
        <w:t>)</w:t>
      </w:r>
      <w:r w:rsidR="00BC7BEF">
        <w:rPr>
          <w:rFonts w:cs="Arial"/>
          <w:sz w:val="24"/>
          <w:szCs w:val="24"/>
        </w:rPr>
        <w:t xml:space="preserve"> </w:t>
      </w:r>
      <w:r w:rsidR="00E61FF8" w:rsidRPr="001B558D">
        <w:rPr>
          <w:rFonts w:cs="Arial"/>
          <w:sz w:val="24"/>
          <w:szCs w:val="24"/>
        </w:rPr>
        <w:t>of treatment (</w:t>
      </w:r>
      <w:r w:rsidR="00100A88">
        <w:rPr>
          <w:rFonts w:cs="Arial"/>
          <w:sz w:val="24"/>
          <w:szCs w:val="24"/>
        </w:rPr>
        <w:t>F</w:t>
      </w:r>
      <w:r w:rsidR="00E61FF8" w:rsidRPr="001B558D">
        <w:rPr>
          <w:rFonts w:cs="Arial"/>
          <w:sz w:val="24"/>
          <w:szCs w:val="24"/>
        </w:rPr>
        <w:t xml:space="preserve">igure 2) when adjusted for other known determinants of </w:t>
      </w:r>
      <w:r w:rsidR="00E16959">
        <w:rPr>
          <w:rFonts w:cs="Arial"/>
          <w:sz w:val="24"/>
          <w:szCs w:val="24"/>
        </w:rPr>
        <w:t>PSTR</w:t>
      </w:r>
      <w:r w:rsidR="009920DC">
        <w:rPr>
          <w:rFonts w:cs="Arial"/>
          <w:sz w:val="24"/>
          <w:szCs w:val="24"/>
        </w:rPr>
        <w:t xml:space="preserve">. With </w:t>
      </w:r>
      <w:r w:rsidR="00E61FF8" w:rsidRPr="001B558D">
        <w:rPr>
          <w:rFonts w:cs="Arial"/>
          <w:sz w:val="24"/>
          <w:szCs w:val="24"/>
        </w:rPr>
        <w:t xml:space="preserve">biocompatible solutions, </w:t>
      </w:r>
      <w:r w:rsidR="00E16959">
        <w:rPr>
          <w:rFonts w:cs="Arial"/>
          <w:sz w:val="24"/>
          <w:szCs w:val="24"/>
        </w:rPr>
        <w:t>PSTR</w:t>
      </w:r>
      <w:r w:rsidR="00E61FF8" w:rsidRPr="001B558D">
        <w:rPr>
          <w:rFonts w:cs="Arial"/>
          <w:sz w:val="24"/>
          <w:szCs w:val="24"/>
        </w:rPr>
        <w:t xml:space="preserve"> was lower at baseline with a steeper initial </w:t>
      </w:r>
      <w:r w:rsidR="006F7F59">
        <w:rPr>
          <w:rFonts w:cs="Arial"/>
          <w:sz w:val="24"/>
          <w:szCs w:val="24"/>
        </w:rPr>
        <w:t>rise</w:t>
      </w:r>
      <w:r w:rsidR="00E61FF8" w:rsidRPr="001B558D">
        <w:rPr>
          <w:rFonts w:cs="Arial"/>
          <w:sz w:val="24"/>
          <w:szCs w:val="24"/>
        </w:rPr>
        <w:t xml:space="preserve"> in </w:t>
      </w:r>
      <w:r w:rsidR="00E16959">
        <w:rPr>
          <w:rFonts w:cstheme="minorHAnsi"/>
          <w:sz w:val="24"/>
          <w:szCs w:val="24"/>
        </w:rPr>
        <w:t>PSTR</w:t>
      </w:r>
      <w:r w:rsidR="00E61FF8" w:rsidRPr="001B558D">
        <w:rPr>
          <w:rFonts w:cs="Arial"/>
          <w:sz w:val="24"/>
          <w:szCs w:val="24"/>
        </w:rPr>
        <w:t xml:space="preserve">. By two years therapy </w:t>
      </w:r>
      <w:r w:rsidR="00E16959">
        <w:rPr>
          <w:rFonts w:cs="Arial"/>
          <w:sz w:val="24"/>
          <w:szCs w:val="24"/>
        </w:rPr>
        <w:t>PSTR</w:t>
      </w:r>
      <w:r w:rsidR="00E61FF8" w:rsidRPr="001B558D">
        <w:rPr>
          <w:rFonts w:cs="Arial"/>
          <w:sz w:val="24"/>
          <w:szCs w:val="24"/>
        </w:rPr>
        <w:t xml:space="preserve"> was similar for both solutions (</w:t>
      </w:r>
      <w:r w:rsidR="00FD3AD4">
        <w:rPr>
          <w:rFonts w:cs="Arial"/>
          <w:sz w:val="24"/>
          <w:szCs w:val="24"/>
        </w:rPr>
        <w:t>adjusted</w:t>
      </w:r>
      <w:r w:rsidR="00E61FF8" w:rsidRPr="001B558D">
        <w:rPr>
          <w:rFonts w:cs="Arial"/>
          <w:sz w:val="24"/>
          <w:szCs w:val="24"/>
        </w:rPr>
        <w:t xml:space="preserve"> </w:t>
      </w:r>
      <w:r w:rsidR="00E16959">
        <w:rPr>
          <w:rFonts w:cs="Arial"/>
          <w:sz w:val="24"/>
          <w:szCs w:val="24"/>
        </w:rPr>
        <w:t>PSTR</w:t>
      </w:r>
      <w:r w:rsidR="00E61FF8" w:rsidRPr="001B558D">
        <w:rPr>
          <w:rFonts w:cs="Arial"/>
          <w:sz w:val="24"/>
          <w:szCs w:val="24"/>
        </w:rPr>
        <w:t xml:space="preserve"> </w:t>
      </w:r>
      <w:r w:rsidR="0066287E">
        <w:rPr>
          <w:rFonts w:cs="Arial"/>
          <w:sz w:val="24"/>
          <w:szCs w:val="24"/>
        </w:rPr>
        <w:t>standard solutions</w:t>
      </w:r>
      <w:r w:rsidR="00E61FF8" w:rsidRPr="001B558D">
        <w:rPr>
          <w:rFonts w:cs="Arial"/>
          <w:sz w:val="24"/>
          <w:szCs w:val="24"/>
        </w:rPr>
        <w:t xml:space="preserve"> 0.724 95% </w:t>
      </w:r>
      <w:r w:rsidR="00B5542E">
        <w:rPr>
          <w:rFonts w:cs="Arial"/>
          <w:sz w:val="24"/>
          <w:szCs w:val="24"/>
        </w:rPr>
        <w:t xml:space="preserve">CI </w:t>
      </w:r>
      <w:r w:rsidR="009920DC">
        <w:rPr>
          <w:rFonts w:cs="Arial"/>
          <w:sz w:val="24"/>
          <w:szCs w:val="24"/>
        </w:rPr>
        <w:t xml:space="preserve">0.709 to 0.738, </w:t>
      </w:r>
      <w:r w:rsidR="00E61FF8" w:rsidRPr="001B558D">
        <w:rPr>
          <w:rFonts w:cs="Arial"/>
          <w:sz w:val="24"/>
          <w:szCs w:val="24"/>
        </w:rPr>
        <w:t xml:space="preserve">biocompatible solutions 0.722 </w:t>
      </w:r>
      <w:r w:rsidR="00F23338">
        <w:rPr>
          <w:rFonts w:cs="Arial"/>
          <w:sz w:val="24"/>
          <w:szCs w:val="24"/>
        </w:rPr>
        <w:t>(</w:t>
      </w:r>
      <w:r w:rsidR="00E61FF8" w:rsidRPr="001B558D">
        <w:rPr>
          <w:rFonts w:cs="Arial"/>
          <w:sz w:val="24"/>
          <w:szCs w:val="24"/>
        </w:rPr>
        <w:t xml:space="preserve">95% </w:t>
      </w:r>
      <w:r w:rsidR="00B5542E">
        <w:rPr>
          <w:rFonts w:cs="Arial"/>
          <w:sz w:val="24"/>
          <w:szCs w:val="24"/>
        </w:rPr>
        <w:t xml:space="preserve">CI </w:t>
      </w:r>
      <w:r w:rsidR="00E61FF8" w:rsidRPr="001B558D">
        <w:rPr>
          <w:rFonts w:cs="Arial"/>
          <w:sz w:val="24"/>
          <w:szCs w:val="24"/>
        </w:rPr>
        <w:t xml:space="preserve">0.689 to 0.751). There was, however, no further increase in </w:t>
      </w:r>
      <w:r w:rsidR="00E16959">
        <w:rPr>
          <w:rFonts w:cs="Arial"/>
          <w:sz w:val="24"/>
          <w:szCs w:val="24"/>
        </w:rPr>
        <w:t>PSTR</w:t>
      </w:r>
      <w:r w:rsidR="009920DC">
        <w:rPr>
          <w:rFonts w:cs="Arial"/>
          <w:sz w:val="24"/>
          <w:szCs w:val="24"/>
        </w:rPr>
        <w:t xml:space="preserve"> in patients using</w:t>
      </w:r>
      <w:r w:rsidR="00E61FF8" w:rsidRPr="001B558D">
        <w:rPr>
          <w:rFonts w:cs="Arial"/>
          <w:sz w:val="24"/>
          <w:szCs w:val="24"/>
        </w:rPr>
        <w:t xml:space="preserve"> biocompatible solutions between years 2 and 4 of treatment.</w:t>
      </w:r>
      <w:r w:rsidR="000E4FAD">
        <w:rPr>
          <w:rFonts w:cs="Arial"/>
          <w:sz w:val="24"/>
          <w:szCs w:val="24"/>
        </w:rPr>
        <w:t xml:space="preserve"> Supplementary Figure </w:t>
      </w:r>
      <w:r w:rsidR="004F6141">
        <w:rPr>
          <w:rFonts w:cs="Arial"/>
          <w:sz w:val="24"/>
          <w:szCs w:val="24"/>
        </w:rPr>
        <w:t>1</w:t>
      </w:r>
      <w:r w:rsidR="000E4FAD">
        <w:rPr>
          <w:rFonts w:cs="Arial"/>
          <w:sz w:val="24"/>
          <w:szCs w:val="24"/>
        </w:rPr>
        <w:t xml:space="preserve"> shows adjusted change over time overlying individual changes over time</w:t>
      </w:r>
      <w:r w:rsidR="00A6318E">
        <w:rPr>
          <w:rFonts w:cs="Arial"/>
          <w:sz w:val="24"/>
          <w:szCs w:val="24"/>
        </w:rPr>
        <w:t xml:space="preserve">. </w:t>
      </w:r>
    </w:p>
    <w:p w14:paraId="75D774E1" w14:textId="77777777" w:rsidR="003E758A" w:rsidRPr="00753B7F" w:rsidRDefault="00E61FF8" w:rsidP="00195C12">
      <w:pPr>
        <w:spacing w:line="480" w:lineRule="auto"/>
        <w:rPr>
          <w:rFonts w:cs="Arial"/>
          <w:sz w:val="24"/>
          <w:szCs w:val="24"/>
        </w:rPr>
      </w:pPr>
      <w:r w:rsidRPr="001B558D">
        <w:rPr>
          <w:rFonts w:cs="Arial"/>
          <w:sz w:val="24"/>
          <w:szCs w:val="24"/>
        </w:rPr>
        <w:t xml:space="preserve">Including measurements from the start of </w:t>
      </w:r>
      <w:r w:rsidR="00FD3AD4">
        <w:rPr>
          <w:rFonts w:cs="Arial"/>
          <w:sz w:val="24"/>
          <w:szCs w:val="24"/>
        </w:rPr>
        <w:t>PD</w:t>
      </w:r>
      <w:r w:rsidRPr="001B558D">
        <w:rPr>
          <w:rFonts w:cs="Arial"/>
          <w:sz w:val="24"/>
          <w:szCs w:val="24"/>
        </w:rPr>
        <w:t xml:space="preserve"> rather than 2 months after the start made no apparent difference </w:t>
      </w:r>
      <w:r w:rsidR="00100A88">
        <w:rPr>
          <w:rFonts w:cs="Arial"/>
          <w:sz w:val="24"/>
          <w:szCs w:val="24"/>
        </w:rPr>
        <w:t>(S</w:t>
      </w:r>
      <w:r w:rsidRPr="001B558D">
        <w:rPr>
          <w:rFonts w:cs="Arial"/>
          <w:sz w:val="24"/>
          <w:szCs w:val="24"/>
        </w:rPr>
        <w:t xml:space="preserve">upplementary </w:t>
      </w:r>
      <w:r w:rsidR="00100A88">
        <w:rPr>
          <w:rFonts w:cs="Arial"/>
          <w:sz w:val="24"/>
          <w:szCs w:val="24"/>
        </w:rPr>
        <w:t>T</w:t>
      </w:r>
      <w:r w:rsidRPr="001B558D">
        <w:rPr>
          <w:rFonts w:cs="Arial"/>
          <w:sz w:val="24"/>
          <w:szCs w:val="24"/>
        </w:rPr>
        <w:t xml:space="preserve">able </w:t>
      </w:r>
      <w:r w:rsidR="003142EF">
        <w:rPr>
          <w:rFonts w:cs="Arial"/>
          <w:sz w:val="24"/>
          <w:szCs w:val="24"/>
        </w:rPr>
        <w:t>2</w:t>
      </w:r>
      <w:r w:rsidRPr="001B558D">
        <w:rPr>
          <w:rFonts w:cs="Arial"/>
          <w:sz w:val="24"/>
          <w:szCs w:val="24"/>
        </w:rPr>
        <w:t>). Both linear and quadratic time functions were included to allow non-linear changes, and these, as well as r</w:t>
      </w:r>
      <w:r w:rsidRPr="001B558D">
        <w:rPr>
          <w:sz w:val="24"/>
        </w:rPr>
        <w:t>andom effects for them (allowing the trajectory to vary between individuals in a non-linear way) remained significant within the model. (</w:t>
      </w:r>
      <w:r w:rsidR="00100A88">
        <w:rPr>
          <w:sz w:val="24"/>
        </w:rPr>
        <w:t>T</w:t>
      </w:r>
      <w:r w:rsidRPr="001B558D">
        <w:rPr>
          <w:sz w:val="24"/>
        </w:rPr>
        <w:t>able 2)</w:t>
      </w:r>
      <w:r w:rsidR="005234A6">
        <w:rPr>
          <w:sz w:val="24"/>
        </w:rPr>
        <w:t xml:space="preserve"> A sensitivity analysis retaining all variables without backwards selection made little difference (Supplementary Table 5).</w:t>
      </w:r>
    </w:p>
    <w:p w14:paraId="65ABC323" w14:textId="77777777" w:rsidR="007175E6" w:rsidRPr="00753B7F" w:rsidRDefault="00E61FF8" w:rsidP="00195C12">
      <w:pPr>
        <w:tabs>
          <w:tab w:val="center" w:pos="4513"/>
        </w:tabs>
        <w:spacing w:line="480" w:lineRule="auto"/>
        <w:rPr>
          <w:rFonts w:cs="Arial"/>
          <w:i/>
          <w:sz w:val="24"/>
          <w:szCs w:val="24"/>
        </w:rPr>
      </w:pPr>
      <w:r w:rsidRPr="00753B7F">
        <w:rPr>
          <w:rFonts w:cs="Arial"/>
          <w:i/>
          <w:sz w:val="24"/>
          <w:szCs w:val="24"/>
        </w:rPr>
        <w:t xml:space="preserve">Dialysate </w:t>
      </w:r>
      <w:r w:rsidR="00100A88">
        <w:rPr>
          <w:rFonts w:cs="Arial"/>
          <w:i/>
          <w:sz w:val="24"/>
          <w:szCs w:val="24"/>
        </w:rPr>
        <w:t>IL</w:t>
      </w:r>
      <w:r w:rsidRPr="00753B7F">
        <w:rPr>
          <w:rFonts w:cs="Arial"/>
          <w:i/>
          <w:sz w:val="24"/>
          <w:szCs w:val="24"/>
        </w:rPr>
        <w:t xml:space="preserve">-6 </w:t>
      </w:r>
    </w:p>
    <w:p w14:paraId="096A0908" w14:textId="77777777" w:rsidR="007175E6" w:rsidRPr="001B558D" w:rsidRDefault="00E61FF8" w:rsidP="00195C12">
      <w:pPr>
        <w:tabs>
          <w:tab w:val="center" w:pos="4513"/>
        </w:tabs>
        <w:spacing w:line="480" w:lineRule="auto"/>
        <w:rPr>
          <w:rFonts w:cs="Arial"/>
          <w:sz w:val="24"/>
          <w:szCs w:val="24"/>
        </w:rPr>
      </w:pPr>
      <w:r w:rsidRPr="00753B7F">
        <w:rPr>
          <w:rFonts w:cs="Arial"/>
          <w:sz w:val="24"/>
          <w:szCs w:val="24"/>
        </w:rPr>
        <w:t xml:space="preserve">Higher baseline dialysate </w:t>
      </w:r>
      <w:r w:rsidR="00100A88">
        <w:rPr>
          <w:rFonts w:cs="Arial"/>
          <w:sz w:val="24"/>
          <w:szCs w:val="24"/>
        </w:rPr>
        <w:t>IL</w:t>
      </w:r>
      <w:r w:rsidRPr="00753B7F">
        <w:rPr>
          <w:rFonts w:cs="Arial"/>
          <w:sz w:val="24"/>
          <w:szCs w:val="24"/>
        </w:rPr>
        <w:t>-6 concentrations were a</w:t>
      </w:r>
      <w:r w:rsidR="0066287E">
        <w:rPr>
          <w:rFonts w:cs="Arial"/>
          <w:sz w:val="24"/>
          <w:szCs w:val="24"/>
        </w:rPr>
        <w:t>ss</w:t>
      </w:r>
      <w:r w:rsidRPr="001B558D">
        <w:rPr>
          <w:rFonts w:cs="Arial"/>
          <w:sz w:val="24"/>
          <w:szCs w:val="24"/>
        </w:rPr>
        <w:t xml:space="preserve">ociated with a faster </w:t>
      </w:r>
      <w:r w:rsidR="00E16959">
        <w:rPr>
          <w:rFonts w:cs="Arial"/>
          <w:sz w:val="24"/>
          <w:szCs w:val="24"/>
        </w:rPr>
        <w:t>PSTR</w:t>
      </w:r>
      <w:r w:rsidRPr="001B558D">
        <w:rPr>
          <w:rFonts w:cs="Arial"/>
          <w:sz w:val="24"/>
          <w:szCs w:val="24"/>
        </w:rPr>
        <w:t xml:space="preserve"> for the duration of follow up (</w:t>
      </w:r>
      <w:r w:rsidR="00100A88">
        <w:rPr>
          <w:rFonts w:cs="Arial"/>
          <w:sz w:val="24"/>
          <w:szCs w:val="24"/>
        </w:rPr>
        <w:t>T</w:t>
      </w:r>
      <w:r w:rsidRPr="001B558D">
        <w:rPr>
          <w:rFonts w:cs="Arial"/>
          <w:sz w:val="24"/>
          <w:szCs w:val="24"/>
        </w:rPr>
        <w:t xml:space="preserve">able 2). Plasma </w:t>
      </w:r>
      <w:r w:rsidR="00100A88">
        <w:rPr>
          <w:rFonts w:cs="Arial"/>
          <w:sz w:val="24"/>
          <w:szCs w:val="24"/>
        </w:rPr>
        <w:t>IL-6</w:t>
      </w:r>
      <w:r w:rsidRPr="001B558D">
        <w:rPr>
          <w:rFonts w:cs="Arial"/>
          <w:sz w:val="24"/>
          <w:szCs w:val="24"/>
        </w:rPr>
        <w:t xml:space="preserve"> levels had no significant a</w:t>
      </w:r>
      <w:r w:rsidR="0066287E">
        <w:rPr>
          <w:rFonts w:cs="Arial"/>
          <w:sz w:val="24"/>
          <w:szCs w:val="24"/>
        </w:rPr>
        <w:t>ss</w:t>
      </w:r>
      <w:r w:rsidRPr="001B558D">
        <w:rPr>
          <w:rFonts w:cs="Arial"/>
          <w:sz w:val="24"/>
          <w:szCs w:val="24"/>
        </w:rPr>
        <w:t xml:space="preserve">ociation with </w:t>
      </w:r>
      <w:r w:rsidR="00E16959">
        <w:rPr>
          <w:rFonts w:cs="Arial"/>
          <w:sz w:val="24"/>
          <w:szCs w:val="24"/>
        </w:rPr>
        <w:t>PSTR</w:t>
      </w:r>
      <w:r w:rsidRPr="001B558D">
        <w:rPr>
          <w:rFonts w:cs="Arial"/>
          <w:sz w:val="24"/>
          <w:szCs w:val="24"/>
        </w:rPr>
        <w:t xml:space="preserve"> (change in </w:t>
      </w:r>
      <w:r w:rsidR="00E16959">
        <w:rPr>
          <w:rFonts w:cs="Arial"/>
          <w:sz w:val="24"/>
          <w:szCs w:val="24"/>
        </w:rPr>
        <w:t>PSTR</w:t>
      </w:r>
      <w:r w:rsidRPr="001B558D">
        <w:rPr>
          <w:rFonts w:cs="Arial"/>
          <w:sz w:val="24"/>
          <w:szCs w:val="24"/>
        </w:rPr>
        <w:t xml:space="preserve"> with one log</w:t>
      </w:r>
      <w:r w:rsidRPr="001B558D">
        <w:rPr>
          <w:rFonts w:cs="Arial"/>
          <w:sz w:val="24"/>
          <w:szCs w:val="24"/>
          <w:vertAlign w:val="subscript"/>
        </w:rPr>
        <w:t xml:space="preserve">10 </w:t>
      </w:r>
      <w:r w:rsidRPr="001B558D">
        <w:rPr>
          <w:rFonts w:cs="Arial"/>
          <w:sz w:val="24"/>
          <w:szCs w:val="24"/>
        </w:rPr>
        <w:t xml:space="preserve">increase in plasma </w:t>
      </w:r>
      <w:r w:rsidR="00100A88">
        <w:rPr>
          <w:rFonts w:cs="Arial"/>
          <w:sz w:val="24"/>
          <w:szCs w:val="24"/>
        </w:rPr>
        <w:t>IL-6</w:t>
      </w:r>
      <w:r w:rsidRPr="001B558D">
        <w:rPr>
          <w:rFonts w:cs="Arial"/>
          <w:sz w:val="24"/>
          <w:szCs w:val="24"/>
        </w:rPr>
        <w:t xml:space="preserve"> concentration =0.009, 95% </w:t>
      </w:r>
      <w:r w:rsidR="00B5542E">
        <w:rPr>
          <w:rFonts w:cs="Arial"/>
          <w:sz w:val="24"/>
          <w:szCs w:val="24"/>
        </w:rPr>
        <w:t xml:space="preserve">CI </w:t>
      </w:r>
      <w:r w:rsidRPr="001B558D">
        <w:rPr>
          <w:rFonts w:cs="Arial"/>
          <w:sz w:val="24"/>
          <w:szCs w:val="24"/>
        </w:rPr>
        <w:t>-0.049 to 0.069).</w:t>
      </w:r>
    </w:p>
    <w:p w14:paraId="43E94049" w14:textId="77777777" w:rsidR="00B20366" w:rsidRPr="001B558D" w:rsidRDefault="00E61FF8" w:rsidP="00195C12">
      <w:pPr>
        <w:tabs>
          <w:tab w:val="center" w:pos="4513"/>
        </w:tabs>
        <w:spacing w:line="480" w:lineRule="auto"/>
        <w:rPr>
          <w:rFonts w:cs="Arial"/>
          <w:i/>
          <w:sz w:val="24"/>
          <w:szCs w:val="24"/>
        </w:rPr>
      </w:pPr>
      <w:r w:rsidRPr="00753B7F">
        <w:rPr>
          <w:rFonts w:cs="Arial"/>
          <w:i/>
          <w:sz w:val="24"/>
          <w:szCs w:val="24"/>
        </w:rPr>
        <w:t xml:space="preserve">Peritoneal fluid </w:t>
      </w:r>
      <w:r w:rsidR="001A2732">
        <w:rPr>
          <w:rFonts w:cs="Arial"/>
          <w:i/>
          <w:sz w:val="24"/>
          <w:szCs w:val="24"/>
        </w:rPr>
        <w:t>dextrose</w:t>
      </w:r>
      <w:r w:rsidRPr="001B558D">
        <w:rPr>
          <w:rFonts w:cs="Arial"/>
          <w:i/>
          <w:sz w:val="24"/>
          <w:szCs w:val="24"/>
        </w:rPr>
        <w:t xml:space="preserve"> and icodextrin </w:t>
      </w:r>
      <w:r w:rsidRPr="001B558D">
        <w:rPr>
          <w:rFonts w:cs="Arial"/>
          <w:i/>
          <w:sz w:val="24"/>
          <w:szCs w:val="24"/>
        </w:rPr>
        <w:tab/>
      </w:r>
    </w:p>
    <w:p w14:paraId="66541C31" w14:textId="7156BD2B" w:rsidR="005811F5" w:rsidRPr="001B558D" w:rsidRDefault="00E61FF8" w:rsidP="000075E3">
      <w:pPr>
        <w:pStyle w:val="CommentText"/>
        <w:spacing w:line="480" w:lineRule="auto"/>
        <w:rPr>
          <w:rFonts w:cs="Arial"/>
          <w:sz w:val="24"/>
          <w:szCs w:val="24"/>
        </w:rPr>
      </w:pPr>
      <w:r w:rsidRPr="001B558D">
        <w:rPr>
          <w:rFonts w:cs="Arial"/>
          <w:sz w:val="24"/>
          <w:szCs w:val="24"/>
        </w:rPr>
        <w:t xml:space="preserve">The median peritoneal daily </w:t>
      </w:r>
      <w:r w:rsidR="001A2732">
        <w:rPr>
          <w:rFonts w:cs="Arial"/>
          <w:sz w:val="24"/>
          <w:szCs w:val="24"/>
        </w:rPr>
        <w:t>dextrose concentration</w:t>
      </w:r>
      <w:r w:rsidRPr="001B558D">
        <w:rPr>
          <w:rFonts w:cs="Arial"/>
          <w:sz w:val="24"/>
          <w:szCs w:val="24"/>
        </w:rPr>
        <w:t xml:space="preserve"> increased with time, from 1.</w:t>
      </w:r>
      <w:r w:rsidR="00AC636A">
        <w:rPr>
          <w:rFonts w:cs="Arial"/>
          <w:sz w:val="24"/>
          <w:szCs w:val="24"/>
        </w:rPr>
        <w:t>5</w:t>
      </w:r>
      <w:r w:rsidRPr="001B558D">
        <w:rPr>
          <w:rFonts w:cs="Arial"/>
          <w:sz w:val="24"/>
          <w:szCs w:val="24"/>
        </w:rPr>
        <w:t xml:space="preserve">% </w:t>
      </w:r>
      <w:r w:rsidR="0029089F">
        <w:rPr>
          <w:rFonts w:cs="Arial"/>
          <w:sz w:val="24"/>
          <w:szCs w:val="24"/>
        </w:rPr>
        <w:t xml:space="preserve">(IQR 1.38-1.88) </w:t>
      </w:r>
      <w:r w:rsidR="003B7E85">
        <w:rPr>
          <w:rFonts w:cs="Arial"/>
          <w:sz w:val="24"/>
          <w:szCs w:val="24"/>
        </w:rPr>
        <w:t xml:space="preserve">dextrose </w:t>
      </w:r>
      <w:r w:rsidRPr="001B558D">
        <w:rPr>
          <w:rFonts w:cs="Arial"/>
          <w:sz w:val="24"/>
          <w:szCs w:val="24"/>
        </w:rPr>
        <w:t>at one year to 1.</w:t>
      </w:r>
      <w:r w:rsidR="00AC636A">
        <w:rPr>
          <w:rFonts w:cs="Arial"/>
          <w:sz w:val="24"/>
          <w:szCs w:val="24"/>
        </w:rPr>
        <w:t>74</w:t>
      </w:r>
      <w:r w:rsidRPr="001B558D">
        <w:rPr>
          <w:rFonts w:cs="Arial"/>
          <w:sz w:val="24"/>
          <w:szCs w:val="24"/>
        </w:rPr>
        <w:t>%</w:t>
      </w:r>
      <w:r w:rsidR="0029089F">
        <w:rPr>
          <w:rFonts w:cs="Arial"/>
          <w:sz w:val="24"/>
          <w:szCs w:val="24"/>
        </w:rPr>
        <w:t xml:space="preserve"> (IQR 1.38-2.19)</w:t>
      </w:r>
      <w:r w:rsidRPr="001B558D">
        <w:rPr>
          <w:rFonts w:cs="Arial"/>
          <w:sz w:val="24"/>
          <w:szCs w:val="24"/>
        </w:rPr>
        <w:t xml:space="preserve"> </w:t>
      </w:r>
      <w:r w:rsidR="003B7E85">
        <w:rPr>
          <w:rFonts w:cs="Arial"/>
          <w:sz w:val="24"/>
          <w:szCs w:val="24"/>
        </w:rPr>
        <w:t xml:space="preserve">dextrose </w:t>
      </w:r>
      <w:r w:rsidRPr="001B558D">
        <w:rPr>
          <w:rFonts w:cs="Arial"/>
          <w:sz w:val="24"/>
          <w:szCs w:val="24"/>
        </w:rPr>
        <w:t xml:space="preserve">at six years. Icodextrin use also increased with </w:t>
      </w:r>
      <w:r w:rsidR="00FD3AD4">
        <w:rPr>
          <w:rFonts w:cs="Arial"/>
          <w:sz w:val="24"/>
          <w:szCs w:val="24"/>
        </w:rPr>
        <w:t>PD</w:t>
      </w:r>
      <w:r w:rsidRPr="001B558D">
        <w:rPr>
          <w:rFonts w:cs="Arial"/>
          <w:sz w:val="24"/>
          <w:szCs w:val="24"/>
        </w:rPr>
        <w:t xml:space="preserve"> duration (31% of patients in the first 6 months rising to 55% after 3.5 years) and it was a</w:t>
      </w:r>
      <w:r w:rsidR="0066287E">
        <w:rPr>
          <w:rFonts w:cs="Arial"/>
          <w:sz w:val="24"/>
          <w:szCs w:val="24"/>
        </w:rPr>
        <w:t>ss</w:t>
      </w:r>
      <w:r w:rsidRPr="001B558D">
        <w:rPr>
          <w:rFonts w:cs="Arial"/>
          <w:sz w:val="24"/>
          <w:szCs w:val="24"/>
        </w:rPr>
        <w:t xml:space="preserve">ociated with a faster solute transport in the fully adjusted multilevel model (table 2). </w:t>
      </w:r>
    </w:p>
    <w:p w14:paraId="43CA5E50" w14:textId="77777777" w:rsidR="005C3653" w:rsidRPr="00753B7F" w:rsidRDefault="00E61FF8" w:rsidP="005811F5">
      <w:pPr>
        <w:pStyle w:val="CommentText"/>
        <w:spacing w:line="480" w:lineRule="auto"/>
        <w:rPr>
          <w:rFonts w:cs="Arial"/>
          <w:sz w:val="24"/>
          <w:szCs w:val="24"/>
        </w:rPr>
      </w:pPr>
      <w:r w:rsidRPr="001B558D">
        <w:rPr>
          <w:rFonts w:cs="Arial"/>
          <w:sz w:val="24"/>
          <w:szCs w:val="24"/>
        </w:rPr>
        <w:t>In the fully adjusted model, icodextrin use had no a</w:t>
      </w:r>
      <w:r w:rsidR="0066287E">
        <w:rPr>
          <w:rFonts w:cs="Arial"/>
          <w:sz w:val="24"/>
          <w:szCs w:val="24"/>
        </w:rPr>
        <w:t>ss</w:t>
      </w:r>
      <w:r w:rsidRPr="001B558D">
        <w:rPr>
          <w:rFonts w:cs="Arial"/>
          <w:sz w:val="24"/>
          <w:szCs w:val="24"/>
        </w:rPr>
        <w:t xml:space="preserve">ociation with the trajectory of </w:t>
      </w:r>
      <w:r w:rsidR="00E16959">
        <w:rPr>
          <w:rFonts w:cs="Arial"/>
          <w:sz w:val="24"/>
          <w:szCs w:val="24"/>
        </w:rPr>
        <w:t>PSTR</w:t>
      </w:r>
      <w:r w:rsidRPr="001B558D">
        <w:rPr>
          <w:rFonts w:cs="Arial"/>
          <w:sz w:val="24"/>
          <w:szCs w:val="24"/>
        </w:rPr>
        <w:t xml:space="preserve"> over time, but the daily </w:t>
      </w:r>
      <w:r w:rsidR="001A2732">
        <w:rPr>
          <w:rFonts w:cs="Arial"/>
          <w:sz w:val="24"/>
          <w:szCs w:val="24"/>
        </w:rPr>
        <w:t>dextrose concentration</w:t>
      </w:r>
      <w:r w:rsidRPr="001B558D">
        <w:rPr>
          <w:rFonts w:cs="Arial"/>
          <w:sz w:val="24"/>
          <w:szCs w:val="24"/>
        </w:rPr>
        <w:t xml:space="preserve"> did (</w:t>
      </w:r>
      <w:r w:rsidR="0018779F">
        <w:rPr>
          <w:rFonts w:cs="Arial"/>
          <w:sz w:val="24"/>
          <w:szCs w:val="24"/>
        </w:rPr>
        <w:t>F</w:t>
      </w:r>
      <w:r w:rsidRPr="001B558D">
        <w:rPr>
          <w:rFonts w:cs="Arial"/>
          <w:sz w:val="24"/>
          <w:szCs w:val="24"/>
        </w:rPr>
        <w:t xml:space="preserve">igure 3), with little difference in </w:t>
      </w:r>
      <w:r w:rsidR="00E16959">
        <w:rPr>
          <w:rFonts w:cs="Arial"/>
          <w:sz w:val="24"/>
          <w:szCs w:val="24"/>
        </w:rPr>
        <w:t>PSTR</w:t>
      </w:r>
      <w:r w:rsidRPr="001B558D">
        <w:rPr>
          <w:rFonts w:cs="Arial"/>
          <w:sz w:val="24"/>
          <w:szCs w:val="24"/>
        </w:rPr>
        <w:t xml:space="preserve"> at the start and increasing difference with duration of </w:t>
      </w:r>
      <w:r w:rsidR="00FD3AD4">
        <w:rPr>
          <w:rFonts w:cs="Arial"/>
          <w:sz w:val="24"/>
          <w:szCs w:val="24"/>
        </w:rPr>
        <w:t>PD</w:t>
      </w:r>
      <w:r w:rsidRPr="001B558D">
        <w:rPr>
          <w:rFonts w:cs="Arial"/>
          <w:sz w:val="24"/>
          <w:szCs w:val="24"/>
        </w:rPr>
        <w:t>. A 1.</w:t>
      </w:r>
      <w:r w:rsidR="00AC636A">
        <w:rPr>
          <w:rFonts w:cs="Arial"/>
          <w:sz w:val="24"/>
          <w:szCs w:val="24"/>
        </w:rPr>
        <w:t>93</w:t>
      </w:r>
      <w:r w:rsidRPr="001B558D">
        <w:rPr>
          <w:rFonts w:cs="Arial"/>
          <w:sz w:val="24"/>
          <w:szCs w:val="24"/>
        </w:rPr>
        <w:t xml:space="preserve">% daily </w:t>
      </w:r>
      <w:r w:rsidR="001A2732">
        <w:rPr>
          <w:rFonts w:cs="Arial"/>
          <w:sz w:val="24"/>
          <w:szCs w:val="24"/>
        </w:rPr>
        <w:t>dextrose concentration</w:t>
      </w:r>
      <w:r w:rsidRPr="001B558D">
        <w:rPr>
          <w:rFonts w:cs="Arial"/>
          <w:sz w:val="24"/>
          <w:szCs w:val="24"/>
        </w:rPr>
        <w:t xml:space="preserve"> (75</w:t>
      </w:r>
      <w:r w:rsidRPr="001B558D">
        <w:rPr>
          <w:rFonts w:cs="Arial"/>
          <w:sz w:val="24"/>
          <w:szCs w:val="24"/>
          <w:vertAlign w:val="superscript"/>
        </w:rPr>
        <w:t>th</w:t>
      </w:r>
      <w:r w:rsidRPr="001B558D">
        <w:rPr>
          <w:rFonts w:cs="Arial"/>
          <w:sz w:val="24"/>
          <w:szCs w:val="24"/>
        </w:rPr>
        <w:t xml:space="preserve"> centile, “high glucose”) had a</w:t>
      </w:r>
      <w:r w:rsidR="00FD3AD4">
        <w:rPr>
          <w:rFonts w:cs="Arial"/>
          <w:sz w:val="24"/>
          <w:szCs w:val="24"/>
        </w:rPr>
        <w:t>n adjusted</w:t>
      </w:r>
      <w:r w:rsidRPr="001B558D">
        <w:rPr>
          <w:rFonts w:cs="Arial"/>
          <w:sz w:val="24"/>
          <w:szCs w:val="24"/>
        </w:rPr>
        <w:t xml:space="preserve"> </w:t>
      </w:r>
      <w:r w:rsidR="00E16959">
        <w:rPr>
          <w:rFonts w:cstheme="minorHAnsi"/>
          <w:sz w:val="24"/>
          <w:szCs w:val="24"/>
        </w:rPr>
        <w:t>PSTR</w:t>
      </w:r>
      <w:r w:rsidRPr="001B558D">
        <w:rPr>
          <w:rFonts w:cs="Arial"/>
          <w:sz w:val="24"/>
          <w:szCs w:val="24"/>
        </w:rPr>
        <w:t xml:space="preserve"> of </w:t>
      </w:r>
      <w:r w:rsidRPr="001B558D">
        <w:rPr>
          <w:sz w:val="24"/>
        </w:rPr>
        <w:t xml:space="preserve">0.727 (95% </w:t>
      </w:r>
      <w:r w:rsidR="00B5542E">
        <w:rPr>
          <w:sz w:val="24"/>
        </w:rPr>
        <w:t xml:space="preserve">CI </w:t>
      </w:r>
      <w:r w:rsidRPr="001B558D">
        <w:rPr>
          <w:sz w:val="24"/>
        </w:rPr>
        <w:t>0.712 to 0.741) at 2 years and</w:t>
      </w:r>
      <w:r w:rsidRPr="001B558D">
        <w:rPr>
          <w:rFonts w:cs="Arial"/>
          <w:sz w:val="24"/>
          <w:szCs w:val="24"/>
        </w:rPr>
        <w:t xml:space="preserve"> 0.811 </w:t>
      </w:r>
      <w:r w:rsidRPr="001B558D">
        <w:rPr>
          <w:sz w:val="24"/>
        </w:rPr>
        <w:t xml:space="preserve">(95% </w:t>
      </w:r>
      <w:r w:rsidR="00B5542E">
        <w:rPr>
          <w:sz w:val="24"/>
        </w:rPr>
        <w:t xml:space="preserve">CI </w:t>
      </w:r>
      <w:r w:rsidRPr="001B558D">
        <w:rPr>
          <w:sz w:val="24"/>
        </w:rPr>
        <w:t xml:space="preserve">0.775 to 0.846) </w:t>
      </w:r>
      <w:r w:rsidRPr="00753B7F">
        <w:rPr>
          <w:rFonts w:cs="Arial"/>
          <w:sz w:val="24"/>
          <w:szCs w:val="24"/>
        </w:rPr>
        <w:t xml:space="preserve">after 6 years on </w:t>
      </w:r>
      <w:r w:rsidR="00FD3AD4">
        <w:rPr>
          <w:rFonts w:cs="Arial"/>
          <w:sz w:val="24"/>
          <w:szCs w:val="24"/>
        </w:rPr>
        <w:t>PD</w:t>
      </w:r>
      <w:r w:rsidRPr="001B558D">
        <w:rPr>
          <w:rFonts w:cs="Arial"/>
          <w:sz w:val="24"/>
          <w:szCs w:val="24"/>
        </w:rPr>
        <w:t>. A 1.</w:t>
      </w:r>
      <w:r w:rsidR="00AC636A">
        <w:rPr>
          <w:rFonts w:cs="Arial"/>
          <w:sz w:val="24"/>
          <w:szCs w:val="24"/>
        </w:rPr>
        <w:t>33</w:t>
      </w:r>
      <w:r w:rsidRPr="001B558D">
        <w:rPr>
          <w:rFonts w:cs="Arial"/>
          <w:sz w:val="24"/>
          <w:szCs w:val="24"/>
        </w:rPr>
        <w:t xml:space="preserve">% daily </w:t>
      </w:r>
      <w:r w:rsidR="001A2732">
        <w:rPr>
          <w:rFonts w:cs="Arial"/>
          <w:sz w:val="24"/>
          <w:szCs w:val="24"/>
        </w:rPr>
        <w:t>dextrose concentration</w:t>
      </w:r>
      <w:r w:rsidRPr="001B558D">
        <w:rPr>
          <w:rFonts w:cs="Arial"/>
          <w:sz w:val="24"/>
          <w:szCs w:val="24"/>
        </w:rPr>
        <w:t xml:space="preserve"> (25</w:t>
      </w:r>
      <w:r w:rsidRPr="001B558D">
        <w:rPr>
          <w:rFonts w:cs="Arial"/>
          <w:sz w:val="24"/>
          <w:szCs w:val="24"/>
          <w:vertAlign w:val="superscript"/>
        </w:rPr>
        <w:t>th</w:t>
      </w:r>
      <w:r w:rsidRPr="001B558D">
        <w:rPr>
          <w:rFonts w:cs="Arial"/>
          <w:sz w:val="24"/>
          <w:szCs w:val="24"/>
        </w:rPr>
        <w:t xml:space="preserve"> centile, “low glucose”) had a</w:t>
      </w:r>
      <w:r w:rsidR="00FD3AD4">
        <w:rPr>
          <w:rFonts w:cs="Arial"/>
          <w:sz w:val="24"/>
          <w:szCs w:val="24"/>
        </w:rPr>
        <w:t>n adjusted</w:t>
      </w:r>
      <w:r w:rsidRPr="001B558D">
        <w:rPr>
          <w:rFonts w:cs="Arial"/>
          <w:sz w:val="24"/>
          <w:szCs w:val="24"/>
        </w:rPr>
        <w:t xml:space="preserve"> </w:t>
      </w:r>
      <w:r w:rsidR="00E16959">
        <w:rPr>
          <w:rFonts w:cstheme="minorHAnsi"/>
          <w:sz w:val="24"/>
          <w:szCs w:val="24"/>
        </w:rPr>
        <w:t>PSTR</w:t>
      </w:r>
      <w:r w:rsidRPr="001B558D">
        <w:rPr>
          <w:rFonts w:cs="Arial"/>
          <w:sz w:val="24"/>
          <w:szCs w:val="24"/>
        </w:rPr>
        <w:t xml:space="preserve"> of </w:t>
      </w:r>
      <w:r w:rsidRPr="001B558D">
        <w:rPr>
          <w:sz w:val="24"/>
        </w:rPr>
        <w:t xml:space="preserve">0.720 (95% </w:t>
      </w:r>
      <w:r w:rsidR="00B5542E">
        <w:rPr>
          <w:sz w:val="24"/>
        </w:rPr>
        <w:t xml:space="preserve">CI </w:t>
      </w:r>
      <w:r w:rsidRPr="001B558D">
        <w:rPr>
          <w:sz w:val="24"/>
        </w:rPr>
        <w:t xml:space="preserve">0.705 to 0.736) at 2 years and </w:t>
      </w:r>
      <w:r w:rsidRPr="001B558D">
        <w:rPr>
          <w:rFonts w:cs="Arial"/>
          <w:sz w:val="24"/>
          <w:szCs w:val="24"/>
        </w:rPr>
        <w:t xml:space="preserve">0.713 </w:t>
      </w:r>
      <w:r w:rsidRPr="001B558D">
        <w:rPr>
          <w:sz w:val="24"/>
        </w:rPr>
        <w:t xml:space="preserve">(95% </w:t>
      </w:r>
      <w:r w:rsidR="00B5542E">
        <w:rPr>
          <w:sz w:val="24"/>
        </w:rPr>
        <w:t xml:space="preserve">CI </w:t>
      </w:r>
      <w:r w:rsidRPr="001B558D">
        <w:rPr>
          <w:sz w:val="24"/>
        </w:rPr>
        <w:t xml:space="preserve">0.676 to 0.749) </w:t>
      </w:r>
      <w:r w:rsidRPr="00753B7F">
        <w:rPr>
          <w:rFonts w:cs="Arial"/>
          <w:sz w:val="24"/>
          <w:szCs w:val="24"/>
        </w:rPr>
        <w:t xml:space="preserve">at 6 years. </w:t>
      </w:r>
    </w:p>
    <w:p w14:paraId="45910D16" w14:textId="77777777" w:rsidR="004F13E4" w:rsidRPr="001B558D" w:rsidRDefault="00E61FF8" w:rsidP="00195C12">
      <w:pPr>
        <w:tabs>
          <w:tab w:val="center" w:pos="4513"/>
        </w:tabs>
        <w:spacing w:line="480" w:lineRule="auto"/>
        <w:rPr>
          <w:rFonts w:cs="Arial"/>
          <w:sz w:val="24"/>
          <w:szCs w:val="24"/>
        </w:rPr>
      </w:pPr>
      <w:r w:rsidRPr="00753B7F">
        <w:rPr>
          <w:rFonts w:cs="Arial"/>
          <w:sz w:val="24"/>
          <w:szCs w:val="24"/>
        </w:rPr>
        <w:t xml:space="preserve">Sensitivity analysis </w:t>
      </w:r>
      <w:r w:rsidR="00233B7A">
        <w:rPr>
          <w:rFonts w:cs="Arial"/>
          <w:sz w:val="24"/>
          <w:szCs w:val="24"/>
        </w:rPr>
        <w:t xml:space="preserve">included </w:t>
      </w:r>
      <w:r w:rsidRPr="00753B7F">
        <w:rPr>
          <w:rFonts w:cs="Arial"/>
          <w:sz w:val="24"/>
          <w:szCs w:val="24"/>
        </w:rPr>
        <w:t>substituting daily ma</w:t>
      </w:r>
      <w:r w:rsidR="0066287E">
        <w:rPr>
          <w:rFonts w:cs="Arial"/>
          <w:sz w:val="24"/>
          <w:szCs w:val="24"/>
        </w:rPr>
        <w:t>ss</w:t>
      </w:r>
      <w:r w:rsidRPr="001B558D">
        <w:rPr>
          <w:rFonts w:cs="Arial"/>
          <w:sz w:val="24"/>
          <w:szCs w:val="24"/>
        </w:rPr>
        <w:t xml:space="preserve"> of </w:t>
      </w:r>
      <w:r w:rsidR="001A2732">
        <w:rPr>
          <w:rFonts w:cs="Arial"/>
          <w:sz w:val="24"/>
          <w:szCs w:val="24"/>
        </w:rPr>
        <w:t>dextrose</w:t>
      </w:r>
      <w:r w:rsidRPr="001B558D">
        <w:rPr>
          <w:rFonts w:cs="Arial"/>
          <w:sz w:val="24"/>
          <w:szCs w:val="24"/>
        </w:rPr>
        <w:t xml:space="preserve"> (g/day) for daily </w:t>
      </w:r>
      <w:r w:rsidR="001A2732">
        <w:rPr>
          <w:rFonts w:cs="Arial"/>
          <w:sz w:val="24"/>
          <w:szCs w:val="24"/>
        </w:rPr>
        <w:t>dextrose concentration</w:t>
      </w:r>
      <w:r w:rsidRPr="001B558D">
        <w:rPr>
          <w:rFonts w:cs="Arial"/>
          <w:sz w:val="24"/>
          <w:szCs w:val="24"/>
        </w:rPr>
        <w:t xml:space="preserve"> resulted in a worse fit for the model (</w:t>
      </w:r>
      <w:r w:rsidR="003B4728">
        <w:rPr>
          <w:rFonts w:cs="Arial"/>
          <w:sz w:val="24"/>
          <w:szCs w:val="24"/>
        </w:rPr>
        <w:t>AIC</w:t>
      </w:r>
      <w:r w:rsidRPr="001B558D">
        <w:rPr>
          <w:rFonts w:cs="Arial"/>
          <w:sz w:val="24"/>
          <w:szCs w:val="24"/>
        </w:rPr>
        <w:t xml:space="preserve"> -335.9 and -333.5, </w:t>
      </w:r>
      <w:r w:rsidR="003B4728">
        <w:rPr>
          <w:rFonts w:cs="Arial"/>
          <w:sz w:val="24"/>
          <w:szCs w:val="24"/>
        </w:rPr>
        <w:t>BIC</w:t>
      </w:r>
      <w:r w:rsidRPr="001B558D">
        <w:rPr>
          <w:rFonts w:cs="Arial"/>
          <w:sz w:val="24"/>
          <w:szCs w:val="24"/>
        </w:rPr>
        <w:t xml:space="preserve"> -3186.7 and -3174.4 for concentration and ma</w:t>
      </w:r>
      <w:r w:rsidR="0066287E">
        <w:rPr>
          <w:rFonts w:cs="Arial"/>
          <w:sz w:val="24"/>
          <w:szCs w:val="24"/>
        </w:rPr>
        <w:t>ss</w:t>
      </w:r>
      <w:r w:rsidRPr="001B558D">
        <w:rPr>
          <w:rFonts w:cs="Arial"/>
          <w:sz w:val="24"/>
          <w:szCs w:val="24"/>
        </w:rPr>
        <w:t xml:space="preserve"> respectively, more negative values representing an improved fit).</w:t>
      </w:r>
      <w:r w:rsidR="009745FF">
        <w:rPr>
          <w:rFonts w:cs="Arial"/>
          <w:sz w:val="24"/>
          <w:szCs w:val="24"/>
        </w:rPr>
        <w:t xml:space="preserve"> </w:t>
      </w:r>
      <w:r w:rsidR="00233B7A">
        <w:rPr>
          <w:rFonts w:cs="Arial"/>
          <w:sz w:val="24"/>
          <w:szCs w:val="24"/>
        </w:rPr>
        <w:t xml:space="preserve">Biocompatible solution usage had similar effects on </w:t>
      </w:r>
      <w:r w:rsidR="00E16959">
        <w:rPr>
          <w:rFonts w:cs="Arial"/>
          <w:sz w:val="24"/>
          <w:szCs w:val="24"/>
        </w:rPr>
        <w:t>PSTR</w:t>
      </w:r>
      <w:r w:rsidR="00330C78">
        <w:rPr>
          <w:rFonts w:cs="Arial"/>
          <w:sz w:val="24"/>
          <w:szCs w:val="24"/>
        </w:rPr>
        <w:t xml:space="preserve"> </w:t>
      </w:r>
      <w:r w:rsidR="00233B7A">
        <w:rPr>
          <w:rFonts w:cs="Arial"/>
          <w:sz w:val="24"/>
          <w:szCs w:val="24"/>
        </w:rPr>
        <w:t>in patients not using Icodextrin</w:t>
      </w:r>
      <w:r w:rsidR="00753B7F">
        <w:rPr>
          <w:rFonts w:cs="Arial"/>
          <w:sz w:val="24"/>
          <w:szCs w:val="24"/>
        </w:rPr>
        <w:t xml:space="preserve"> </w:t>
      </w:r>
      <w:r w:rsidR="00284F2D">
        <w:rPr>
          <w:rFonts w:cs="Arial"/>
          <w:sz w:val="24"/>
          <w:szCs w:val="24"/>
        </w:rPr>
        <w:t>(</w:t>
      </w:r>
      <w:r w:rsidR="00100A88">
        <w:rPr>
          <w:rFonts w:cs="Arial"/>
          <w:sz w:val="24"/>
          <w:szCs w:val="24"/>
        </w:rPr>
        <w:t>S</w:t>
      </w:r>
      <w:r w:rsidR="00284F2D">
        <w:rPr>
          <w:rFonts w:cs="Arial"/>
          <w:sz w:val="24"/>
          <w:szCs w:val="24"/>
        </w:rPr>
        <w:t xml:space="preserve">upplementary </w:t>
      </w:r>
      <w:r w:rsidR="00100A88">
        <w:rPr>
          <w:rFonts w:cs="Arial"/>
          <w:sz w:val="24"/>
          <w:szCs w:val="24"/>
        </w:rPr>
        <w:t>T</w:t>
      </w:r>
      <w:r w:rsidR="00284F2D">
        <w:rPr>
          <w:rFonts w:cs="Arial"/>
          <w:sz w:val="24"/>
          <w:szCs w:val="24"/>
        </w:rPr>
        <w:t xml:space="preserve">able </w:t>
      </w:r>
      <w:r w:rsidR="004B59FF">
        <w:rPr>
          <w:rFonts w:cs="Arial"/>
          <w:sz w:val="24"/>
          <w:szCs w:val="24"/>
        </w:rPr>
        <w:t>3</w:t>
      </w:r>
      <w:r w:rsidR="00284F2D">
        <w:rPr>
          <w:rFonts w:cs="Arial"/>
          <w:sz w:val="24"/>
          <w:szCs w:val="24"/>
        </w:rPr>
        <w:t>)</w:t>
      </w:r>
      <w:r w:rsidR="00330C78">
        <w:rPr>
          <w:rFonts w:cs="Arial"/>
          <w:sz w:val="24"/>
          <w:szCs w:val="24"/>
        </w:rPr>
        <w:t>.</w:t>
      </w:r>
      <w:r w:rsidR="00233B7A">
        <w:rPr>
          <w:rFonts w:cs="Arial"/>
          <w:sz w:val="24"/>
          <w:szCs w:val="24"/>
        </w:rPr>
        <w:t xml:space="preserve"> There was no interaction between Icodextrin usage and biocompatible solutions usage.</w:t>
      </w:r>
    </w:p>
    <w:p w14:paraId="68AFDFA7" w14:textId="77777777" w:rsidR="00546F2C" w:rsidRPr="001B558D" w:rsidRDefault="00E61FF8" w:rsidP="00195C12">
      <w:pPr>
        <w:tabs>
          <w:tab w:val="center" w:pos="4513"/>
        </w:tabs>
        <w:spacing w:line="480" w:lineRule="auto"/>
        <w:rPr>
          <w:rFonts w:cs="Arial"/>
          <w:i/>
          <w:sz w:val="24"/>
          <w:szCs w:val="24"/>
        </w:rPr>
      </w:pPr>
      <w:r w:rsidRPr="001B558D">
        <w:rPr>
          <w:rFonts w:cs="Arial"/>
          <w:i/>
          <w:sz w:val="24"/>
          <w:szCs w:val="24"/>
        </w:rPr>
        <w:t xml:space="preserve">Residual </w:t>
      </w:r>
      <w:r w:rsidR="0066287E">
        <w:rPr>
          <w:rFonts w:cs="Arial"/>
          <w:i/>
          <w:sz w:val="24"/>
          <w:szCs w:val="24"/>
        </w:rPr>
        <w:t>kidney</w:t>
      </w:r>
      <w:r w:rsidRPr="001B558D">
        <w:rPr>
          <w:rFonts w:cs="Arial"/>
          <w:i/>
          <w:sz w:val="24"/>
          <w:szCs w:val="24"/>
        </w:rPr>
        <w:t xml:space="preserve"> function </w:t>
      </w:r>
    </w:p>
    <w:p w14:paraId="3E2401A1" w14:textId="77777777" w:rsidR="00DF3C11" w:rsidRPr="001B558D" w:rsidRDefault="00E61FF8" w:rsidP="00B87D11">
      <w:pPr>
        <w:pStyle w:val="Default"/>
        <w:spacing w:line="480" w:lineRule="auto"/>
        <w:rPr>
          <w:rFonts w:asciiTheme="minorHAnsi" w:hAnsiTheme="minorHAnsi"/>
        </w:rPr>
      </w:pPr>
      <w:r w:rsidRPr="001B558D">
        <w:rPr>
          <w:rFonts w:asciiTheme="minorHAnsi" w:hAnsiTheme="minorHAnsi" w:cs="Arial"/>
        </w:rPr>
        <w:t>A larger urine volume was a</w:t>
      </w:r>
      <w:r w:rsidR="0066287E">
        <w:rPr>
          <w:rFonts w:asciiTheme="minorHAnsi" w:hAnsiTheme="minorHAnsi" w:cs="Arial"/>
        </w:rPr>
        <w:t>ss</w:t>
      </w:r>
      <w:r w:rsidRPr="001B558D">
        <w:rPr>
          <w:rFonts w:asciiTheme="minorHAnsi" w:hAnsiTheme="minorHAnsi" w:cs="Arial"/>
        </w:rPr>
        <w:t xml:space="preserve">ociated with a higher </w:t>
      </w:r>
      <w:r w:rsidR="00E16959">
        <w:rPr>
          <w:rFonts w:asciiTheme="minorHAnsi" w:hAnsiTheme="minorHAnsi" w:cs="Arial"/>
        </w:rPr>
        <w:t>PSTR</w:t>
      </w:r>
      <w:r w:rsidRPr="001B558D">
        <w:rPr>
          <w:rFonts w:asciiTheme="minorHAnsi" w:hAnsiTheme="minorHAnsi" w:cs="Arial"/>
        </w:rPr>
        <w:t xml:space="preserve"> (table 2</w:t>
      </w:r>
      <w:r w:rsidRPr="001B558D">
        <w:rPr>
          <w:rFonts w:asciiTheme="minorHAnsi" w:hAnsiTheme="minorHAnsi" w:cs="Arial"/>
          <w:color w:val="auto"/>
        </w:rPr>
        <w:t>)</w:t>
      </w:r>
      <w:r w:rsidRPr="001B558D">
        <w:rPr>
          <w:rFonts w:asciiTheme="minorHAnsi" w:hAnsiTheme="minorHAnsi" w:cs="Arial"/>
        </w:rPr>
        <w:t xml:space="preserve">. Urine volume reduced with time on therapy, with the median volume at one year being 775ml (interquartile range 270-1223) and 375 ml (interquartile range 0-1160) at six years. Neither </w:t>
      </w:r>
      <w:r w:rsidR="00A72276">
        <w:rPr>
          <w:rFonts w:asciiTheme="minorHAnsi" w:hAnsiTheme="minorHAnsi" w:cs="Arial"/>
        </w:rPr>
        <w:t>kidney</w:t>
      </w:r>
      <w:r w:rsidR="00A72276" w:rsidRPr="001B558D">
        <w:rPr>
          <w:rFonts w:asciiTheme="minorHAnsi" w:hAnsiTheme="minorHAnsi" w:cs="Arial"/>
        </w:rPr>
        <w:t xml:space="preserve"> </w:t>
      </w:r>
      <w:r w:rsidR="002E4191">
        <w:rPr>
          <w:rFonts w:asciiTheme="minorHAnsi" w:hAnsiTheme="minorHAnsi" w:cs="Arial"/>
        </w:rPr>
        <w:t>K</w:t>
      </w:r>
      <w:r w:rsidRPr="001B558D">
        <w:rPr>
          <w:rFonts w:asciiTheme="minorHAnsi" w:hAnsiTheme="minorHAnsi" w:cs="Arial"/>
        </w:rPr>
        <w:t>t/</w:t>
      </w:r>
      <w:r w:rsidR="002E4191">
        <w:rPr>
          <w:rFonts w:asciiTheme="minorHAnsi" w:hAnsiTheme="minorHAnsi" w:cs="Arial"/>
        </w:rPr>
        <w:t>V</w:t>
      </w:r>
      <w:r w:rsidRPr="001B558D">
        <w:rPr>
          <w:rFonts w:asciiTheme="minorHAnsi" w:hAnsiTheme="minorHAnsi" w:cs="Arial"/>
        </w:rPr>
        <w:t xml:space="preserve"> nor mean urea/creatinine </w:t>
      </w:r>
      <w:r w:rsidR="00A72276">
        <w:rPr>
          <w:rFonts w:asciiTheme="minorHAnsi" w:hAnsiTheme="minorHAnsi" w:cs="Arial"/>
        </w:rPr>
        <w:t xml:space="preserve">kidney </w:t>
      </w:r>
      <w:r w:rsidRPr="001B558D">
        <w:rPr>
          <w:rFonts w:asciiTheme="minorHAnsi" w:hAnsiTheme="minorHAnsi" w:cs="Arial"/>
        </w:rPr>
        <w:t>clearance were a</w:t>
      </w:r>
      <w:r w:rsidR="0066287E">
        <w:rPr>
          <w:rFonts w:asciiTheme="minorHAnsi" w:hAnsiTheme="minorHAnsi" w:cs="Arial"/>
        </w:rPr>
        <w:t>ss</w:t>
      </w:r>
      <w:r w:rsidRPr="001B558D">
        <w:rPr>
          <w:rFonts w:asciiTheme="minorHAnsi" w:hAnsiTheme="minorHAnsi" w:cs="Arial"/>
        </w:rPr>
        <w:t xml:space="preserve">ociated with </w:t>
      </w:r>
      <w:r w:rsidR="00E16959">
        <w:rPr>
          <w:rFonts w:asciiTheme="minorHAnsi" w:hAnsiTheme="minorHAnsi" w:cs="Arial"/>
        </w:rPr>
        <w:t>PSTR</w:t>
      </w:r>
      <w:r w:rsidRPr="001B558D">
        <w:rPr>
          <w:rFonts w:asciiTheme="minorHAnsi" w:hAnsiTheme="minorHAnsi" w:cs="Arial"/>
        </w:rPr>
        <w:t xml:space="preserve"> when substituted for urine volume (increase in </w:t>
      </w:r>
      <w:r w:rsidR="00E16959">
        <w:rPr>
          <w:rFonts w:asciiTheme="minorHAnsi" w:hAnsiTheme="minorHAnsi" w:cs="Arial"/>
        </w:rPr>
        <w:t>PSTR</w:t>
      </w:r>
      <w:r w:rsidRPr="001B558D">
        <w:rPr>
          <w:rFonts w:asciiTheme="minorHAnsi" w:hAnsiTheme="minorHAnsi" w:cs="Arial"/>
        </w:rPr>
        <w:t xml:space="preserve">: per unit of </w:t>
      </w:r>
      <w:r w:rsidR="00A72276">
        <w:rPr>
          <w:rFonts w:asciiTheme="minorHAnsi" w:hAnsiTheme="minorHAnsi" w:cs="Arial"/>
        </w:rPr>
        <w:t>kidney</w:t>
      </w:r>
      <w:r w:rsidR="00A72276" w:rsidRPr="001B558D">
        <w:rPr>
          <w:rFonts w:asciiTheme="minorHAnsi" w:hAnsiTheme="minorHAnsi" w:cs="Arial"/>
        </w:rPr>
        <w:t xml:space="preserve"> </w:t>
      </w:r>
      <w:r w:rsidR="00D57997">
        <w:rPr>
          <w:rFonts w:asciiTheme="minorHAnsi" w:hAnsiTheme="minorHAnsi" w:cs="Arial"/>
        </w:rPr>
        <w:t>K</w:t>
      </w:r>
      <w:r w:rsidRPr="001B558D">
        <w:rPr>
          <w:rFonts w:asciiTheme="minorHAnsi" w:hAnsiTheme="minorHAnsi" w:cs="Arial"/>
        </w:rPr>
        <w:t>t/</w:t>
      </w:r>
      <w:r w:rsidR="00D57997">
        <w:rPr>
          <w:rFonts w:asciiTheme="minorHAnsi" w:hAnsiTheme="minorHAnsi" w:cs="Arial"/>
        </w:rPr>
        <w:t>V</w:t>
      </w:r>
      <w:r w:rsidRPr="001B558D">
        <w:rPr>
          <w:rFonts w:asciiTheme="minorHAnsi" w:hAnsiTheme="minorHAnsi" w:cs="Arial"/>
        </w:rPr>
        <w:t xml:space="preserve"> =0.001, 95% </w:t>
      </w:r>
      <w:r w:rsidR="00B5542E">
        <w:rPr>
          <w:rFonts w:asciiTheme="minorHAnsi" w:hAnsiTheme="minorHAnsi" w:cs="Arial"/>
        </w:rPr>
        <w:t xml:space="preserve">CI </w:t>
      </w:r>
      <w:r w:rsidRPr="001B558D">
        <w:rPr>
          <w:rFonts w:asciiTheme="minorHAnsi" w:hAnsiTheme="minorHAnsi" w:cs="Arial"/>
        </w:rPr>
        <w:t xml:space="preserve">-0.010 to 0.012, per unit of </w:t>
      </w:r>
      <w:r w:rsidR="00A72276">
        <w:rPr>
          <w:rFonts w:asciiTheme="minorHAnsi" w:hAnsiTheme="minorHAnsi" w:cs="Arial"/>
        </w:rPr>
        <w:t>kidney</w:t>
      </w:r>
      <w:r w:rsidR="00A72276" w:rsidRPr="001B558D">
        <w:rPr>
          <w:rFonts w:asciiTheme="minorHAnsi" w:hAnsiTheme="minorHAnsi" w:cs="Arial"/>
        </w:rPr>
        <w:t xml:space="preserve"> </w:t>
      </w:r>
      <w:r w:rsidRPr="001B558D">
        <w:rPr>
          <w:rFonts w:asciiTheme="minorHAnsi" w:hAnsiTheme="minorHAnsi" w:cs="Arial"/>
        </w:rPr>
        <w:t xml:space="preserve">clearance =0.0001, 95% </w:t>
      </w:r>
      <w:r w:rsidR="00B5542E">
        <w:rPr>
          <w:rFonts w:asciiTheme="minorHAnsi" w:hAnsiTheme="minorHAnsi" w:cs="Arial"/>
        </w:rPr>
        <w:t xml:space="preserve">CI </w:t>
      </w:r>
      <w:r w:rsidRPr="001B558D">
        <w:rPr>
          <w:rFonts w:asciiTheme="minorHAnsi" w:hAnsiTheme="minorHAnsi" w:cs="Arial"/>
        </w:rPr>
        <w:t>-0.0001 to 0.0004). There was no significant int</w:t>
      </w:r>
      <w:r w:rsidR="009920DC">
        <w:rPr>
          <w:rFonts w:asciiTheme="minorHAnsi" w:hAnsiTheme="minorHAnsi" w:cs="Arial"/>
        </w:rPr>
        <w:t>eraction with biocompatibility.</w:t>
      </w:r>
      <w:r w:rsidRPr="001B558D">
        <w:rPr>
          <w:rFonts w:asciiTheme="minorHAnsi" w:hAnsiTheme="minorHAnsi" w:cs="Arial"/>
        </w:rPr>
        <w:t xml:space="preserve"> </w:t>
      </w:r>
      <w:r>
        <w:rPr>
          <w:rFonts w:asciiTheme="minorHAnsi" w:hAnsiTheme="minorHAnsi" w:cs="Arial"/>
        </w:rPr>
        <w:t>B</w:t>
      </w:r>
      <w:r w:rsidRPr="00E61FF8">
        <w:rPr>
          <w:rFonts w:asciiTheme="minorHAnsi" w:hAnsiTheme="minorHAnsi" w:cs="Arial"/>
        </w:rPr>
        <w:t xml:space="preserve">iocompatible solutions use was not </w:t>
      </w:r>
      <w:r w:rsidR="0066287E">
        <w:rPr>
          <w:rFonts w:asciiTheme="minorHAnsi" w:hAnsiTheme="minorHAnsi" w:cs="Arial"/>
        </w:rPr>
        <w:t>ass</w:t>
      </w:r>
      <w:r w:rsidRPr="00E61FF8">
        <w:rPr>
          <w:rFonts w:asciiTheme="minorHAnsi" w:hAnsiTheme="minorHAnsi" w:cs="Arial"/>
        </w:rPr>
        <w:t xml:space="preserve">ociated with urine volume in a separate multilevel model (biocompatible solutions </w:t>
      </w:r>
      <w:r w:rsidRPr="006330A2">
        <w:rPr>
          <w:rFonts w:asciiTheme="minorHAnsi" w:hAnsiTheme="minorHAnsi" w:cs="Arial"/>
        </w:rPr>
        <w:t xml:space="preserve">coefficient 120 95% </w:t>
      </w:r>
      <w:r w:rsidR="00B5542E">
        <w:rPr>
          <w:rFonts w:asciiTheme="minorHAnsi" w:hAnsiTheme="minorHAnsi" w:cs="Arial"/>
        </w:rPr>
        <w:t xml:space="preserve">CI </w:t>
      </w:r>
      <w:r w:rsidRPr="006330A2">
        <w:rPr>
          <w:rFonts w:asciiTheme="minorHAnsi" w:hAnsiTheme="minorHAnsi" w:cs="Arial"/>
        </w:rPr>
        <w:t xml:space="preserve">-39 to 280). </w:t>
      </w:r>
    </w:p>
    <w:p w14:paraId="065F4FEA" w14:textId="77777777" w:rsidR="00B60F64" w:rsidRPr="00753B7F" w:rsidRDefault="00B60F64" w:rsidP="00B60F64">
      <w:pPr>
        <w:pStyle w:val="Default"/>
        <w:spacing w:line="480" w:lineRule="auto"/>
        <w:rPr>
          <w:rFonts w:asciiTheme="minorHAnsi" w:hAnsiTheme="minorHAnsi" w:cs="Arial"/>
        </w:rPr>
      </w:pPr>
    </w:p>
    <w:p w14:paraId="11896FFE" w14:textId="77777777" w:rsidR="00547FEB" w:rsidRPr="00753B7F" w:rsidRDefault="00E61FF8" w:rsidP="00195C12">
      <w:pPr>
        <w:tabs>
          <w:tab w:val="center" w:pos="4513"/>
        </w:tabs>
        <w:spacing w:line="480" w:lineRule="auto"/>
        <w:rPr>
          <w:rFonts w:cs="Arial"/>
          <w:i/>
          <w:sz w:val="24"/>
          <w:szCs w:val="24"/>
        </w:rPr>
      </w:pPr>
      <w:r w:rsidRPr="00753B7F">
        <w:rPr>
          <w:rFonts w:cs="Arial"/>
          <w:i/>
          <w:sz w:val="24"/>
          <w:szCs w:val="24"/>
        </w:rPr>
        <w:t>Peritonitis</w:t>
      </w:r>
    </w:p>
    <w:p w14:paraId="609A2EA6" w14:textId="77777777" w:rsidR="00AA0EB5" w:rsidRPr="001B558D" w:rsidRDefault="00E61FF8" w:rsidP="00195C12">
      <w:pPr>
        <w:tabs>
          <w:tab w:val="center" w:pos="4513"/>
        </w:tabs>
        <w:spacing w:line="480" w:lineRule="auto"/>
        <w:rPr>
          <w:rFonts w:cs="Arial"/>
          <w:sz w:val="24"/>
          <w:szCs w:val="24"/>
        </w:rPr>
      </w:pPr>
      <w:r w:rsidRPr="00753B7F">
        <w:rPr>
          <w:rFonts w:cs="Arial"/>
          <w:sz w:val="24"/>
          <w:szCs w:val="24"/>
        </w:rPr>
        <w:t xml:space="preserve">One or more episodes of peritonitis occurred in 198 of the patients studied, 29 </w:t>
      </w:r>
      <w:r w:rsidRPr="00A6318E">
        <w:rPr>
          <w:rFonts w:cs="Arial"/>
          <w:sz w:val="24"/>
          <w:szCs w:val="24"/>
        </w:rPr>
        <w:t xml:space="preserve">biocompatible solutions </w:t>
      </w:r>
      <w:r w:rsidRPr="001556BA">
        <w:rPr>
          <w:rFonts w:cs="Arial"/>
          <w:sz w:val="24"/>
          <w:szCs w:val="24"/>
        </w:rPr>
        <w:t>(4</w:t>
      </w:r>
      <w:r w:rsidR="0066287E">
        <w:rPr>
          <w:rFonts w:cs="Arial"/>
          <w:sz w:val="24"/>
          <w:szCs w:val="24"/>
        </w:rPr>
        <w:t>1</w:t>
      </w:r>
      <w:r w:rsidRPr="001B558D">
        <w:rPr>
          <w:rFonts w:cs="Arial"/>
          <w:sz w:val="24"/>
          <w:szCs w:val="24"/>
        </w:rPr>
        <w:t xml:space="preserve">%) and 169 </w:t>
      </w:r>
      <w:r w:rsidR="0066287E">
        <w:rPr>
          <w:rFonts w:cs="Arial"/>
          <w:sz w:val="24"/>
          <w:szCs w:val="24"/>
        </w:rPr>
        <w:t>standard solutions</w:t>
      </w:r>
      <w:r w:rsidRPr="001B558D">
        <w:rPr>
          <w:rFonts w:cs="Arial"/>
          <w:sz w:val="24"/>
          <w:szCs w:val="24"/>
        </w:rPr>
        <w:t xml:space="preserve"> (57%). The most common organism in both groups was coag</w:t>
      </w:r>
      <w:r w:rsidR="009920DC">
        <w:rPr>
          <w:rFonts w:cs="Arial"/>
          <w:sz w:val="24"/>
          <w:szCs w:val="24"/>
        </w:rPr>
        <w:t>ulase negative staphylococcus (</w:t>
      </w:r>
      <w:r w:rsidRPr="001B558D">
        <w:rPr>
          <w:rFonts w:cs="Arial"/>
          <w:sz w:val="24"/>
          <w:szCs w:val="24"/>
        </w:rPr>
        <w:t xml:space="preserve">biocompatible solutions </w:t>
      </w:r>
      <w:r w:rsidR="00454F7D">
        <w:rPr>
          <w:rFonts w:cs="Arial"/>
          <w:sz w:val="24"/>
          <w:szCs w:val="24"/>
        </w:rPr>
        <w:t>24</w:t>
      </w:r>
      <w:r w:rsidRPr="001B558D">
        <w:rPr>
          <w:rFonts w:cs="Arial"/>
          <w:sz w:val="24"/>
          <w:szCs w:val="24"/>
        </w:rPr>
        <w:t xml:space="preserve">% </w:t>
      </w:r>
      <w:r w:rsidR="0066287E">
        <w:rPr>
          <w:rFonts w:cs="Arial"/>
          <w:sz w:val="24"/>
          <w:szCs w:val="24"/>
        </w:rPr>
        <w:t>standard solutions</w:t>
      </w:r>
      <w:r w:rsidRPr="001B558D">
        <w:rPr>
          <w:rFonts w:cs="Arial"/>
          <w:sz w:val="24"/>
          <w:szCs w:val="24"/>
        </w:rPr>
        <w:t xml:space="preserve"> </w:t>
      </w:r>
      <w:r w:rsidR="00454F7D">
        <w:rPr>
          <w:rFonts w:cs="Arial"/>
          <w:sz w:val="24"/>
          <w:szCs w:val="24"/>
        </w:rPr>
        <w:t>28</w:t>
      </w:r>
      <w:r w:rsidRPr="001B558D">
        <w:rPr>
          <w:rFonts w:cs="Arial"/>
          <w:sz w:val="24"/>
          <w:szCs w:val="24"/>
        </w:rPr>
        <w:t>%), and culture negative peritonitis</w:t>
      </w:r>
      <w:r w:rsidR="009412E0">
        <w:rPr>
          <w:rFonts w:cs="Arial"/>
          <w:sz w:val="24"/>
          <w:szCs w:val="24"/>
        </w:rPr>
        <w:t>/no organism reported</w:t>
      </w:r>
      <w:r w:rsidRPr="001B558D">
        <w:rPr>
          <w:rFonts w:cs="Arial"/>
          <w:sz w:val="24"/>
          <w:szCs w:val="24"/>
        </w:rPr>
        <w:t xml:space="preserve"> was seen in </w:t>
      </w:r>
      <w:r w:rsidR="00454F7D">
        <w:rPr>
          <w:rFonts w:cs="Arial"/>
          <w:sz w:val="24"/>
          <w:szCs w:val="24"/>
        </w:rPr>
        <w:t>31</w:t>
      </w:r>
      <w:r w:rsidRPr="001B558D">
        <w:rPr>
          <w:rFonts w:cs="Arial"/>
          <w:sz w:val="24"/>
          <w:szCs w:val="24"/>
        </w:rPr>
        <w:t xml:space="preserve">% and </w:t>
      </w:r>
      <w:r w:rsidR="00454F7D">
        <w:rPr>
          <w:rFonts w:cs="Arial"/>
          <w:sz w:val="24"/>
          <w:szCs w:val="24"/>
        </w:rPr>
        <w:t>38</w:t>
      </w:r>
      <w:r w:rsidR="009920DC">
        <w:rPr>
          <w:rFonts w:cs="Arial"/>
          <w:sz w:val="24"/>
          <w:szCs w:val="24"/>
        </w:rPr>
        <w:t>% (</w:t>
      </w:r>
      <w:r w:rsidRPr="001B558D">
        <w:rPr>
          <w:rFonts w:cs="Arial"/>
          <w:sz w:val="24"/>
          <w:szCs w:val="24"/>
        </w:rPr>
        <w:t xml:space="preserve">biocompatible solutions </w:t>
      </w:r>
      <w:r w:rsidRPr="00753B7F">
        <w:rPr>
          <w:rFonts w:cs="Arial"/>
          <w:sz w:val="24"/>
          <w:szCs w:val="24"/>
        </w:rPr>
        <w:t xml:space="preserve">and </w:t>
      </w:r>
      <w:r w:rsidR="0066287E">
        <w:rPr>
          <w:rFonts w:cs="Arial"/>
          <w:sz w:val="24"/>
          <w:szCs w:val="24"/>
        </w:rPr>
        <w:t>standard solutions</w:t>
      </w:r>
      <w:r w:rsidRPr="001B558D">
        <w:rPr>
          <w:rFonts w:cs="Arial"/>
          <w:sz w:val="24"/>
          <w:szCs w:val="24"/>
        </w:rPr>
        <w:t xml:space="preserve"> respectively).  A post peritonitis </w:t>
      </w:r>
      <w:r w:rsidR="00100A88">
        <w:rPr>
          <w:rFonts w:cs="Arial"/>
          <w:sz w:val="24"/>
          <w:szCs w:val="24"/>
        </w:rPr>
        <w:t>rise</w:t>
      </w:r>
      <w:r w:rsidRPr="001B558D">
        <w:rPr>
          <w:rFonts w:cs="Arial"/>
          <w:sz w:val="24"/>
          <w:szCs w:val="24"/>
        </w:rPr>
        <w:t xml:space="preserve"> in </w:t>
      </w:r>
      <w:r w:rsidR="00E16959">
        <w:rPr>
          <w:rFonts w:cs="Arial"/>
          <w:sz w:val="24"/>
          <w:szCs w:val="24"/>
        </w:rPr>
        <w:t>PSTR</w:t>
      </w:r>
      <w:r w:rsidRPr="001B558D">
        <w:rPr>
          <w:rFonts w:cs="Arial"/>
          <w:sz w:val="24"/>
          <w:szCs w:val="24"/>
        </w:rPr>
        <w:t xml:space="preserve"> was seen in </w:t>
      </w:r>
      <w:r w:rsidR="0066287E">
        <w:rPr>
          <w:rFonts w:cs="Arial"/>
          <w:sz w:val="24"/>
          <w:szCs w:val="24"/>
        </w:rPr>
        <w:t>standard solutions</w:t>
      </w:r>
      <w:r w:rsidRPr="001B558D">
        <w:rPr>
          <w:rFonts w:cs="Arial"/>
          <w:sz w:val="24"/>
          <w:szCs w:val="24"/>
        </w:rPr>
        <w:t xml:space="preserve"> with no significant effect of peritonitis on </w:t>
      </w:r>
      <w:r w:rsidR="00E16959">
        <w:rPr>
          <w:rFonts w:cs="Arial"/>
          <w:sz w:val="24"/>
          <w:szCs w:val="24"/>
        </w:rPr>
        <w:t>PSTR</w:t>
      </w:r>
      <w:r w:rsidR="009920DC">
        <w:rPr>
          <w:rFonts w:cs="Arial"/>
          <w:sz w:val="24"/>
          <w:szCs w:val="24"/>
        </w:rPr>
        <w:t xml:space="preserve"> in </w:t>
      </w:r>
      <w:r w:rsidRPr="001B558D">
        <w:rPr>
          <w:rFonts w:cs="Arial"/>
          <w:sz w:val="24"/>
          <w:szCs w:val="24"/>
        </w:rPr>
        <w:t>biocompatible solutions (</w:t>
      </w:r>
      <w:r w:rsidR="005234A6">
        <w:rPr>
          <w:rFonts w:cs="Arial"/>
          <w:sz w:val="24"/>
          <w:szCs w:val="24"/>
        </w:rPr>
        <w:t>table 2). In a C</w:t>
      </w:r>
      <w:r w:rsidRPr="001B558D">
        <w:rPr>
          <w:rFonts w:cs="Arial"/>
          <w:sz w:val="24"/>
          <w:szCs w:val="24"/>
        </w:rPr>
        <w:t xml:space="preserve">ox model there was no difference in time to first peritonitis episode between biocompatible and standard solutions, when adjusted for centre, glucose exposure, icodextrin and dialysate </w:t>
      </w:r>
      <w:r w:rsidR="00100A88">
        <w:rPr>
          <w:rFonts w:cs="Arial"/>
          <w:sz w:val="24"/>
          <w:szCs w:val="24"/>
        </w:rPr>
        <w:t>IL-6</w:t>
      </w:r>
      <w:r w:rsidRPr="001B558D">
        <w:rPr>
          <w:rFonts w:cs="Arial"/>
          <w:sz w:val="24"/>
          <w:szCs w:val="24"/>
        </w:rPr>
        <w:t xml:space="preserve"> (</w:t>
      </w:r>
      <w:r w:rsidR="007D2909">
        <w:rPr>
          <w:rFonts w:cs="Arial"/>
          <w:sz w:val="24"/>
          <w:szCs w:val="24"/>
        </w:rPr>
        <w:t>HR</w:t>
      </w:r>
      <w:r w:rsidRPr="001B558D">
        <w:rPr>
          <w:rFonts w:cs="Arial"/>
          <w:sz w:val="24"/>
          <w:szCs w:val="24"/>
        </w:rPr>
        <w:t xml:space="preserve"> 1.54 95% </w:t>
      </w:r>
      <w:r w:rsidR="00B5542E">
        <w:rPr>
          <w:rFonts w:cs="Arial"/>
          <w:sz w:val="24"/>
          <w:szCs w:val="24"/>
        </w:rPr>
        <w:t xml:space="preserve">CI </w:t>
      </w:r>
      <w:r w:rsidRPr="001B558D">
        <w:rPr>
          <w:rFonts w:cs="Arial"/>
          <w:sz w:val="24"/>
          <w:szCs w:val="24"/>
        </w:rPr>
        <w:t>0.94 to 2.52).</w:t>
      </w:r>
      <w:r w:rsidR="00284F2D">
        <w:rPr>
          <w:rFonts w:cs="Arial"/>
          <w:sz w:val="24"/>
          <w:szCs w:val="24"/>
        </w:rPr>
        <w:t xml:space="preserve"> There were no significant differences in outcome of 1</w:t>
      </w:r>
      <w:r w:rsidR="007829E1" w:rsidRPr="007829E1">
        <w:rPr>
          <w:rFonts w:cs="Arial"/>
          <w:sz w:val="24"/>
          <w:szCs w:val="24"/>
          <w:vertAlign w:val="superscript"/>
        </w:rPr>
        <w:t>st</w:t>
      </w:r>
      <w:r w:rsidR="00284F2D">
        <w:rPr>
          <w:rFonts w:cs="Arial"/>
          <w:sz w:val="24"/>
          <w:szCs w:val="24"/>
        </w:rPr>
        <w:t xml:space="preserve"> peritonitis episode between groups (</w:t>
      </w:r>
      <w:r w:rsidR="00BA3B21">
        <w:rPr>
          <w:rFonts w:cs="Arial"/>
          <w:sz w:val="24"/>
          <w:szCs w:val="24"/>
        </w:rPr>
        <w:t>S</w:t>
      </w:r>
      <w:r w:rsidR="00284F2D">
        <w:rPr>
          <w:rFonts w:cs="Arial"/>
          <w:sz w:val="24"/>
          <w:szCs w:val="24"/>
        </w:rPr>
        <w:t xml:space="preserve">upplementary </w:t>
      </w:r>
      <w:r w:rsidR="00BA3B21">
        <w:rPr>
          <w:rFonts w:cs="Arial"/>
          <w:sz w:val="24"/>
          <w:szCs w:val="24"/>
        </w:rPr>
        <w:t>T</w:t>
      </w:r>
      <w:r w:rsidR="00284F2D">
        <w:rPr>
          <w:rFonts w:cs="Arial"/>
          <w:sz w:val="24"/>
          <w:szCs w:val="24"/>
        </w:rPr>
        <w:t xml:space="preserve">able </w:t>
      </w:r>
      <w:r w:rsidR="00C60E56">
        <w:rPr>
          <w:rFonts w:cs="Arial"/>
          <w:sz w:val="24"/>
          <w:szCs w:val="24"/>
        </w:rPr>
        <w:t>4</w:t>
      </w:r>
      <w:r w:rsidR="00284F2D">
        <w:rPr>
          <w:rFonts w:cs="Arial"/>
          <w:sz w:val="24"/>
          <w:szCs w:val="24"/>
        </w:rPr>
        <w:t>).</w:t>
      </w:r>
    </w:p>
    <w:p w14:paraId="15FC8C2B" w14:textId="77777777" w:rsidR="001348E5" w:rsidRPr="00753B7F" w:rsidRDefault="00E61FF8" w:rsidP="00195C12">
      <w:pPr>
        <w:tabs>
          <w:tab w:val="center" w:pos="4513"/>
        </w:tabs>
        <w:spacing w:line="480" w:lineRule="auto"/>
        <w:rPr>
          <w:rFonts w:cs="Arial"/>
          <w:i/>
          <w:sz w:val="24"/>
          <w:szCs w:val="24"/>
        </w:rPr>
      </w:pPr>
      <w:r w:rsidRPr="00753B7F">
        <w:rPr>
          <w:rFonts w:cs="Arial"/>
          <w:i/>
          <w:sz w:val="24"/>
          <w:szCs w:val="24"/>
        </w:rPr>
        <w:t>Effect of time varying covariates</w:t>
      </w:r>
    </w:p>
    <w:p w14:paraId="149A1CC0" w14:textId="77777777" w:rsidR="004D53D6" w:rsidRPr="001B558D" w:rsidRDefault="00E61FF8" w:rsidP="00195C12">
      <w:pPr>
        <w:tabs>
          <w:tab w:val="center" w:pos="4513"/>
        </w:tabs>
        <w:spacing w:line="480" w:lineRule="auto"/>
        <w:rPr>
          <w:rFonts w:cs="Arial"/>
          <w:sz w:val="24"/>
          <w:szCs w:val="24"/>
        </w:rPr>
      </w:pPr>
      <w:r w:rsidRPr="00753B7F">
        <w:rPr>
          <w:rFonts w:cs="Arial"/>
          <w:sz w:val="24"/>
          <w:szCs w:val="24"/>
        </w:rPr>
        <w:t xml:space="preserve">Measures of peritonitis, urine volume and daily dialysate </w:t>
      </w:r>
      <w:r w:rsidR="001A2732">
        <w:rPr>
          <w:rFonts w:cs="Arial"/>
          <w:sz w:val="24"/>
          <w:szCs w:val="24"/>
        </w:rPr>
        <w:t>dextrose concentration</w:t>
      </w:r>
      <w:r w:rsidRPr="001B558D">
        <w:rPr>
          <w:rFonts w:cs="Arial"/>
          <w:sz w:val="24"/>
          <w:szCs w:val="24"/>
        </w:rPr>
        <w:t xml:space="preserve"> deteriorate over time, explaining a lot of the measured change in </w:t>
      </w:r>
      <w:r w:rsidR="00E16959">
        <w:rPr>
          <w:rFonts w:cs="Arial"/>
          <w:sz w:val="24"/>
          <w:szCs w:val="24"/>
        </w:rPr>
        <w:t>PSTR</w:t>
      </w:r>
      <w:r w:rsidRPr="001B558D">
        <w:rPr>
          <w:rFonts w:cs="Arial"/>
          <w:sz w:val="24"/>
          <w:szCs w:val="24"/>
        </w:rPr>
        <w:t xml:space="preserve"> as illustrated by the small change in the adjusted models (</w:t>
      </w:r>
      <w:r w:rsidR="0018779F">
        <w:rPr>
          <w:rFonts w:cs="Arial"/>
          <w:sz w:val="24"/>
          <w:szCs w:val="24"/>
        </w:rPr>
        <w:t>F</w:t>
      </w:r>
      <w:r w:rsidRPr="001B558D">
        <w:rPr>
          <w:rFonts w:cs="Arial"/>
          <w:sz w:val="24"/>
          <w:szCs w:val="24"/>
        </w:rPr>
        <w:t xml:space="preserve">igures 2 and 3). If these time varying covariates are not adjusted for, the change in </w:t>
      </w:r>
      <w:r w:rsidR="00E16959">
        <w:rPr>
          <w:rFonts w:cs="Arial"/>
          <w:sz w:val="24"/>
          <w:szCs w:val="24"/>
        </w:rPr>
        <w:t>PSTR</w:t>
      </w:r>
      <w:r w:rsidRPr="001B558D">
        <w:rPr>
          <w:rFonts w:cs="Arial"/>
          <w:sz w:val="24"/>
          <w:szCs w:val="24"/>
        </w:rPr>
        <w:t xml:space="preserve"> is far greater (</w:t>
      </w:r>
      <w:r w:rsidR="0018779F">
        <w:rPr>
          <w:rFonts w:cs="Arial"/>
          <w:sz w:val="24"/>
          <w:szCs w:val="24"/>
        </w:rPr>
        <w:t>F</w:t>
      </w:r>
      <w:r w:rsidRPr="001B558D">
        <w:rPr>
          <w:rFonts w:cs="Arial"/>
          <w:sz w:val="24"/>
          <w:szCs w:val="24"/>
        </w:rPr>
        <w:t xml:space="preserve">igure </w:t>
      </w:r>
      <w:r w:rsidR="007B7636">
        <w:rPr>
          <w:rFonts w:cs="Arial"/>
          <w:sz w:val="24"/>
          <w:szCs w:val="24"/>
        </w:rPr>
        <w:t>4</w:t>
      </w:r>
      <w:r w:rsidRPr="001B558D">
        <w:rPr>
          <w:rFonts w:cs="Arial"/>
          <w:sz w:val="24"/>
          <w:szCs w:val="24"/>
        </w:rPr>
        <w:t xml:space="preserve">).               </w:t>
      </w:r>
    </w:p>
    <w:p w14:paraId="774D9E08" w14:textId="77777777" w:rsidR="00741912" w:rsidRPr="00753B7F" w:rsidRDefault="00E61FF8" w:rsidP="00195C12">
      <w:pPr>
        <w:tabs>
          <w:tab w:val="center" w:pos="4513"/>
        </w:tabs>
        <w:spacing w:line="480" w:lineRule="auto"/>
        <w:rPr>
          <w:rFonts w:cs="Arial"/>
          <w:i/>
          <w:sz w:val="24"/>
          <w:szCs w:val="24"/>
        </w:rPr>
      </w:pPr>
      <w:r w:rsidRPr="00753B7F">
        <w:rPr>
          <w:rFonts w:cs="Arial"/>
          <w:i/>
          <w:sz w:val="24"/>
          <w:szCs w:val="24"/>
        </w:rPr>
        <w:t>Changes in variance over time</w:t>
      </w:r>
    </w:p>
    <w:p w14:paraId="77B48028" w14:textId="77777777" w:rsidR="00BE5C8F" w:rsidRPr="00753B7F" w:rsidRDefault="00E61FF8" w:rsidP="00195C12">
      <w:pPr>
        <w:tabs>
          <w:tab w:val="center" w:pos="4513"/>
        </w:tabs>
        <w:spacing w:line="480" w:lineRule="auto"/>
        <w:rPr>
          <w:rFonts w:cs="Arial"/>
          <w:i/>
          <w:sz w:val="24"/>
          <w:szCs w:val="24"/>
        </w:rPr>
      </w:pPr>
      <w:r w:rsidRPr="00753B7F">
        <w:rPr>
          <w:rFonts w:cs="Arial"/>
          <w:sz w:val="24"/>
          <w:szCs w:val="24"/>
        </w:rPr>
        <w:t xml:space="preserve">Examination of both the spaghetti plots and the covariance of the random effects suggested that the variance in </w:t>
      </w:r>
      <w:r w:rsidR="00E16959">
        <w:rPr>
          <w:rFonts w:cs="Arial"/>
          <w:sz w:val="24"/>
          <w:szCs w:val="24"/>
        </w:rPr>
        <w:t>PSTR</w:t>
      </w:r>
      <w:r w:rsidRPr="001B558D">
        <w:rPr>
          <w:rFonts w:cs="Arial"/>
          <w:sz w:val="24"/>
          <w:szCs w:val="24"/>
        </w:rPr>
        <w:t xml:space="preserve"> decreased with time on </w:t>
      </w:r>
      <w:r w:rsidR="00FD3AD4">
        <w:rPr>
          <w:rFonts w:cs="Arial"/>
          <w:sz w:val="24"/>
          <w:szCs w:val="24"/>
        </w:rPr>
        <w:t>PD</w:t>
      </w:r>
      <w:r w:rsidRPr="001B558D">
        <w:rPr>
          <w:rFonts w:cs="Arial"/>
          <w:sz w:val="24"/>
          <w:szCs w:val="24"/>
        </w:rPr>
        <w:t xml:space="preserve"> i.e. higher initial measurements are a</w:t>
      </w:r>
      <w:r w:rsidR="0066287E">
        <w:rPr>
          <w:rFonts w:cs="Arial"/>
          <w:sz w:val="24"/>
          <w:szCs w:val="24"/>
        </w:rPr>
        <w:t>ss</w:t>
      </w:r>
      <w:r w:rsidRPr="001B558D">
        <w:rPr>
          <w:rFonts w:cs="Arial"/>
          <w:sz w:val="24"/>
          <w:szCs w:val="24"/>
        </w:rPr>
        <w:t xml:space="preserve">ociated with a subsequent fall, and vice versa. Avoiding problems with </w:t>
      </w:r>
      <w:r w:rsidR="0066287E" w:rsidRPr="00753B7F">
        <w:rPr>
          <w:rFonts w:cs="Arial"/>
          <w:sz w:val="24"/>
          <w:szCs w:val="24"/>
        </w:rPr>
        <w:t>regre</w:t>
      </w:r>
      <w:r w:rsidR="0066287E">
        <w:rPr>
          <w:rFonts w:cs="Arial"/>
          <w:sz w:val="24"/>
          <w:szCs w:val="24"/>
        </w:rPr>
        <w:t>s</w:t>
      </w:r>
      <w:r w:rsidR="0066287E" w:rsidRPr="001B558D">
        <w:rPr>
          <w:rFonts w:cs="Arial"/>
          <w:sz w:val="24"/>
          <w:szCs w:val="24"/>
        </w:rPr>
        <w:t>sion</w:t>
      </w:r>
      <w:r w:rsidRPr="001B558D">
        <w:rPr>
          <w:rFonts w:cs="Arial"/>
          <w:sz w:val="24"/>
          <w:szCs w:val="24"/>
        </w:rPr>
        <w:t xml:space="preserve"> to the mean, the person-level variance was plotted against duration of </w:t>
      </w:r>
      <w:r w:rsidR="00FD3AD4">
        <w:rPr>
          <w:rFonts w:cs="Arial"/>
          <w:sz w:val="24"/>
          <w:szCs w:val="24"/>
        </w:rPr>
        <w:t>PD</w:t>
      </w:r>
      <w:r w:rsidRPr="001B558D">
        <w:rPr>
          <w:rFonts w:cs="Arial"/>
          <w:sz w:val="24"/>
          <w:szCs w:val="24"/>
        </w:rPr>
        <w:t xml:space="preserve"> (</w:t>
      </w:r>
      <w:r w:rsidR="0018779F">
        <w:rPr>
          <w:rFonts w:cs="Arial"/>
          <w:sz w:val="24"/>
          <w:szCs w:val="24"/>
        </w:rPr>
        <w:t>F</w:t>
      </w:r>
      <w:r w:rsidRPr="001B558D">
        <w:rPr>
          <w:rFonts w:cs="Arial"/>
          <w:sz w:val="24"/>
          <w:szCs w:val="24"/>
        </w:rPr>
        <w:t xml:space="preserve">igure </w:t>
      </w:r>
      <w:r w:rsidR="007B7636">
        <w:rPr>
          <w:rFonts w:cs="Arial"/>
          <w:sz w:val="24"/>
          <w:szCs w:val="24"/>
        </w:rPr>
        <w:t>5</w:t>
      </w:r>
      <w:r w:rsidRPr="001B558D">
        <w:rPr>
          <w:rFonts w:cs="Arial"/>
          <w:sz w:val="24"/>
          <w:szCs w:val="24"/>
        </w:rPr>
        <w:t xml:space="preserve">), confirming a fall in variance with time. Most of this decrease is accounted for by the covariates included i.e. dialysate </w:t>
      </w:r>
      <w:r w:rsidR="001A2732">
        <w:rPr>
          <w:rFonts w:cs="Arial"/>
          <w:sz w:val="24"/>
          <w:szCs w:val="24"/>
        </w:rPr>
        <w:t>dextrose concentration</w:t>
      </w:r>
      <w:r w:rsidRPr="001B558D">
        <w:rPr>
          <w:rFonts w:cs="Arial"/>
          <w:sz w:val="24"/>
          <w:szCs w:val="24"/>
        </w:rPr>
        <w:t xml:space="preserve">, dialysate </w:t>
      </w:r>
      <w:r w:rsidR="00100A88">
        <w:rPr>
          <w:rFonts w:cs="Arial"/>
          <w:sz w:val="24"/>
          <w:szCs w:val="24"/>
        </w:rPr>
        <w:t>IL-6</w:t>
      </w:r>
      <w:r w:rsidRPr="001B558D">
        <w:rPr>
          <w:rFonts w:cs="Arial"/>
          <w:sz w:val="24"/>
          <w:szCs w:val="24"/>
        </w:rPr>
        <w:t xml:space="preserve">, use of icodextrin, urine volume and use of </w:t>
      </w:r>
      <w:r w:rsidR="0066287E">
        <w:rPr>
          <w:rFonts w:cs="Arial"/>
          <w:sz w:val="24"/>
          <w:szCs w:val="24"/>
        </w:rPr>
        <w:t>standard solutions</w:t>
      </w:r>
      <w:r w:rsidRPr="001B558D">
        <w:rPr>
          <w:rFonts w:cs="Arial"/>
          <w:sz w:val="24"/>
          <w:szCs w:val="24"/>
        </w:rPr>
        <w:t xml:space="preserve">/ biocompatible solutions (compare line 4 with line 1, </w:t>
      </w:r>
      <w:r w:rsidR="0018779F">
        <w:rPr>
          <w:rFonts w:cs="Arial"/>
          <w:sz w:val="24"/>
          <w:szCs w:val="24"/>
        </w:rPr>
        <w:t>F</w:t>
      </w:r>
      <w:r w:rsidRPr="00753B7F">
        <w:rPr>
          <w:rFonts w:cs="Arial"/>
          <w:sz w:val="24"/>
          <w:szCs w:val="24"/>
        </w:rPr>
        <w:t xml:space="preserve">igure </w:t>
      </w:r>
      <w:r w:rsidR="007B7636">
        <w:rPr>
          <w:rFonts w:cs="Arial"/>
          <w:sz w:val="24"/>
          <w:szCs w:val="24"/>
        </w:rPr>
        <w:t>5</w:t>
      </w:r>
      <w:r w:rsidRPr="00753B7F">
        <w:rPr>
          <w:rFonts w:cs="Arial"/>
          <w:sz w:val="24"/>
          <w:szCs w:val="24"/>
        </w:rPr>
        <w:t xml:space="preserve">). </w:t>
      </w:r>
    </w:p>
    <w:p w14:paraId="62A5640F" w14:textId="77777777" w:rsidR="00BE5C8F" w:rsidRPr="00E61FF8" w:rsidRDefault="00BE5C8F" w:rsidP="00195C12">
      <w:pPr>
        <w:tabs>
          <w:tab w:val="center" w:pos="4513"/>
        </w:tabs>
        <w:spacing w:line="480" w:lineRule="auto"/>
        <w:rPr>
          <w:rFonts w:cs="Arial"/>
          <w:i/>
          <w:sz w:val="24"/>
          <w:szCs w:val="24"/>
        </w:rPr>
        <w:sectPr w:rsidR="00BE5C8F" w:rsidRPr="00E61FF8" w:rsidSect="001B43D7">
          <w:pgSz w:w="11906" w:h="16838"/>
          <w:pgMar w:top="1440" w:right="1440" w:bottom="1440" w:left="1440" w:header="708" w:footer="708" w:gutter="0"/>
          <w:cols w:space="708"/>
          <w:docGrid w:linePitch="360"/>
        </w:sectPr>
      </w:pPr>
    </w:p>
    <w:p w14:paraId="7DFC7215" w14:textId="77777777" w:rsidR="001B0DE7" w:rsidRPr="001B558D" w:rsidRDefault="00E61FF8" w:rsidP="00195C12">
      <w:pPr>
        <w:tabs>
          <w:tab w:val="right" w:pos="9026"/>
        </w:tabs>
        <w:spacing w:line="480" w:lineRule="auto"/>
        <w:rPr>
          <w:rFonts w:cs="Arial"/>
          <w:b/>
          <w:sz w:val="24"/>
          <w:szCs w:val="24"/>
        </w:rPr>
      </w:pPr>
      <w:r w:rsidRPr="00E61FF8">
        <w:rPr>
          <w:rFonts w:cs="Arial"/>
          <w:b/>
          <w:sz w:val="24"/>
          <w:szCs w:val="24"/>
        </w:rPr>
        <w:t>Discu</w:t>
      </w:r>
      <w:r w:rsidR="0066287E">
        <w:rPr>
          <w:rFonts w:cs="Arial"/>
          <w:b/>
          <w:sz w:val="24"/>
          <w:szCs w:val="24"/>
        </w:rPr>
        <w:t>s</w:t>
      </w:r>
      <w:r w:rsidR="002F006F">
        <w:rPr>
          <w:rFonts w:cs="Arial"/>
          <w:b/>
          <w:sz w:val="24"/>
          <w:szCs w:val="24"/>
        </w:rPr>
        <w:t>s</w:t>
      </w:r>
      <w:r w:rsidRPr="001B558D">
        <w:rPr>
          <w:rFonts w:cs="Arial"/>
          <w:b/>
          <w:sz w:val="24"/>
          <w:szCs w:val="24"/>
        </w:rPr>
        <w:t xml:space="preserve">ion </w:t>
      </w:r>
    </w:p>
    <w:p w14:paraId="58B17947" w14:textId="77777777" w:rsidR="00306745" w:rsidRPr="001B558D" w:rsidRDefault="00E61FF8" w:rsidP="00195C12">
      <w:pPr>
        <w:tabs>
          <w:tab w:val="right" w:pos="9026"/>
        </w:tabs>
        <w:spacing w:line="480" w:lineRule="auto"/>
        <w:rPr>
          <w:rFonts w:cs="Arial"/>
          <w:sz w:val="24"/>
          <w:szCs w:val="24"/>
        </w:rPr>
      </w:pPr>
      <w:r w:rsidRPr="001B558D">
        <w:rPr>
          <w:rFonts w:cs="Arial"/>
          <w:sz w:val="24"/>
          <w:szCs w:val="24"/>
        </w:rPr>
        <w:t xml:space="preserve">In the primary longitudinal analysis of this large multi-national cohort study, we tested the hypothesis that </w:t>
      </w:r>
      <w:r w:rsidRPr="00753B7F">
        <w:rPr>
          <w:rFonts w:cs="Arial"/>
          <w:sz w:val="24"/>
          <w:szCs w:val="24"/>
        </w:rPr>
        <w:t>biocompatible solutions use would be a</w:t>
      </w:r>
      <w:r w:rsidR="0066287E">
        <w:rPr>
          <w:rFonts w:cs="Arial"/>
          <w:sz w:val="24"/>
          <w:szCs w:val="24"/>
        </w:rPr>
        <w:t>ss</w:t>
      </w:r>
      <w:r w:rsidRPr="001B558D">
        <w:rPr>
          <w:rFonts w:cs="Arial"/>
          <w:sz w:val="24"/>
          <w:szCs w:val="24"/>
        </w:rPr>
        <w:t xml:space="preserve">ociated with stable short to medium term membrane function. This hypothesis proved false as </w:t>
      </w:r>
      <w:r w:rsidR="00E16959">
        <w:rPr>
          <w:rFonts w:cs="Arial"/>
          <w:sz w:val="24"/>
          <w:szCs w:val="24"/>
        </w:rPr>
        <w:t>PSTR</w:t>
      </w:r>
      <w:r w:rsidRPr="001B558D">
        <w:rPr>
          <w:rFonts w:cs="Arial"/>
          <w:sz w:val="24"/>
          <w:szCs w:val="24"/>
        </w:rPr>
        <w:t>, although sta</w:t>
      </w:r>
      <w:r w:rsidR="009920DC">
        <w:rPr>
          <w:rFonts w:cs="Arial"/>
          <w:sz w:val="24"/>
          <w:szCs w:val="24"/>
        </w:rPr>
        <w:t xml:space="preserve">rting slower in patients using </w:t>
      </w:r>
      <w:r w:rsidRPr="001B558D">
        <w:rPr>
          <w:rFonts w:cs="Arial"/>
          <w:sz w:val="24"/>
          <w:szCs w:val="24"/>
        </w:rPr>
        <w:t xml:space="preserve">biocompatible solutions, rises to similar levels seen in </w:t>
      </w:r>
      <w:r w:rsidR="0066287E">
        <w:rPr>
          <w:rFonts w:cs="Arial"/>
          <w:sz w:val="24"/>
          <w:szCs w:val="24"/>
        </w:rPr>
        <w:t>standard solutions</w:t>
      </w:r>
      <w:r w:rsidRPr="001B558D">
        <w:rPr>
          <w:rFonts w:cs="Arial"/>
          <w:sz w:val="24"/>
          <w:szCs w:val="24"/>
        </w:rPr>
        <w:t xml:space="preserve"> after two years treatment. After 2 years, there was a po</w:t>
      </w:r>
      <w:r w:rsidR="009920DC">
        <w:rPr>
          <w:rFonts w:cs="Arial"/>
          <w:sz w:val="24"/>
          <w:szCs w:val="24"/>
        </w:rPr>
        <w:t xml:space="preserve">tentially beneficial effect of </w:t>
      </w:r>
      <w:r w:rsidRPr="001B558D">
        <w:rPr>
          <w:rFonts w:cs="Arial"/>
          <w:sz w:val="24"/>
          <w:szCs w:val="24"/>
        </w:rPr>
        <w:t xml:space="preserve">biocompatible solutions </w:t>
      </w:r>
      <w:r w:rsidRPr="00753B7F">
        <w:rPr>
          <w:rFonts w:cs="Arial"/>
          <w:sz w:val="24"/>
          <w:szCs w:val="24"/>
        </w:rPr>
        <w:t xml:space="preserve">on </w:t>
      </w:r>
      <w:r w:rsidR="00E16959">
        <w:rPr>
          <w:rFonts w:cs="Arial"/>
          <w:sz w:val="24"/>
          <w:szCs w:val="24"/>
        </w:rPr>
        <w:t>PSTR</w:t>
      </w:r>
      <w:r w:rsidRPr="001B558D">
        <w:rPr>
          <w:rFonts w:cs="Arial"/>
          <w:sz w:val="24"/>
          <w:szCs w:val="24"/>
        </w:rPr>
        <w:t xml:space="preserve">, with abrogation of the increases in </w:t>
      </w:r>
      <w:r w:rsidR="00E16959">
        <w:rPr>
          <w:rFonts w:cs="Arial"/>
          <w:sz w:val="24"/>
          <w:szCs w:val="24"/>
        </w:rPr>
        <w:t>PSTR</w:t>
      </w:r>
      <w:r w:rsidRPr="001B558D">
        <w:rPr>
          <w:rFonts w:cs="Arial"/>
          <w:sz w:val="24"/>
          <w:szCs w:val="24"/>
        </w:rPr>
        <w:t xml:space="preserve"> observed in patients using </w:t>
      </w:r>
      <w:r w:rsidR="0066287E">
        <w:rPr>
          <w:rFonts w:cs="Arial"/>
          <w:sz w:val="24"/>
          <w:szCs w:val="24"/>
        </w:rPr>
        <w:t>standard solutions</w:t>
      </w:r>
      <w:r w:rsidRPr="001B558D">
        <w:rPr>
          <w:rFonts w:cs="Arial"/>
          <w:sz w:val="24"/>
          <w:szCs w:val="24"/>
        </w:rPr>
        <w:t xml:space="preserve">. In addition, the increases in </w:t>
      </w:r>
      <w:r w:rsidR="00E16959">
        <w:rPr>
          <w:rFonts w:cs="Arial"/>
          <w:sz w:val="24"/>
          <w:szCs w:val="24"/>
        </w:rPr>
        <w:t>PSTR</w:t>
      </w:r>
      <w:r w:rsidRPr="001B558D">
        <w:rPr>
          <w:rFonts w:cs="Arial"/>
          <w:sz w:val="24"/>
          <w:szCs w:val="24"/>
        </w:rPr>
        <w:t xml:space="preserve"> a</w:t>
      </w:r>
      <w:r w:rsidR="0066287E">
        <w:rPr>
          <w:rFonts w:cs="Arial"/>
          <w:sz w:val="24"/>
          <w:szCs w:val="24"/>
        </w:rPr>
        <w:t>ss</w:t>
      </w:r>
      <w:r w:rsidRPr="001B558D">
        <w:rPr>
          <w:rFonts w:cs="Arial"/>
          <w:sz w:val="24"/>
          <w:szCs w:val="24"/>
        </w:rPr>
        <w:t>ociated with peritonitis episodes</w:t>
      </w:r>
      <w:r w:rsidR="009920DC">
        <w:rPr>
          <w:rFonts w:cs="Arial"/>
          <w:sz w:val="24"/>
          <w:szCs w:val="24"/>
        </w:rPr>
        <w:t xml:space="preserve"> were absent in patients using </w:t>
      </w:r>
      <w:r w:rsidRPr="001B558D">
        <w:rPr>
          <w:rFonts w:cs="Arial"/>
          <w:sz w:val="24"/>
          <w:szCs w:val="24"/>
        </w:rPr>
        <w:t>biocompatible solutions</w:t>
      </w:r>
      <w:r w:rsidRPr="00753B7F">
        <w:rPr>
          <w:rFonts w:cs="Arial"/>
          <w:sz w:val="24"/>
          <w:szCs w:val="24"/>
        </w:rPr>
        <w:t>. The magnitude of these effects was le</w:t>
      </w:r>
      <w:r w:rsidR="0066287E">
        <w:rPr>
          <w:rFonts w:cs="Arial"/>
          <w:sz w:val="24"/>
          <w:szCs w:val="24"/>
        </w:rPr>
        <w:t>ss</w:t>
      </w:r>
      <w:r w:rsidRPr="001B558D">
        <w:rPr>
          <w:rFonts w:cs="Arial"/>
          <w:sz w:val="24"/>
          <w:szCs w:val="24"/>
        </w:rPr>
        <w:t xml:space="preserve"> than the impact of using higher dialysate </w:t>
      </w:r>
      <w:r w:rsidR="001A2732">
        <w:rPr>
          <w:rFonts w:cs="Arial"/>
          <w:sz w:val="24"/>
          <w:szCs w:val="24"/>
        </w:rPr>
        <w:t>dextrose concentration</w:t>
      </w:r>
      <w:r w:rsidRPr="001B558D">
        <w:rPr>
          <w:rFonts w:cs="Arial"/>
          <w:sz w:val="24"/>
          <w:szCs w:val="24"/>
        </w:rPr>
        <w:t>s.</w:t>
      </w:r>
    </w:p>
    <w:p w14:paraId="2B867721" w14:textId="77777777" w:rsidR="00554CBB" w:rsidRPr="006B278F" w:rsidRDefault="00E61FF8" w:rsidP="00554CBB">
      <w:pPr>
        <w:tabs>
          <w:tab w:val="right" w:pos="9026"/>
        </w:tabs>
        <w:spacing w:line="480" w:lineRule="auto"/>
        <w:rPr>
          <w:rFonts w:ascii="Arial" w:hAnsi="Arial" w:cs="Arial"/>
          <w:vertAlign w:val="superscript"/>
        </w:rPr>
      </w:pPr>
      <w:r w:rsidRPr="001B558D">
        <w:rPr>
          <w:rFonts w:cs="Arial"/>
          <w:sz w:val="24"/>
          <w:szCs w:val="24"/>
        </w:rPr>
        <w:t xml:space="preserve">For </w:t>
      </w:r>
      <w:r w:rsidR="0066287E">
        <w:rPr>
          <w:rFonts w:cs="Arial"/>
          <w:sz w:val="24"/>
          <w:szCs w:val="24"/>
        </w:rPr>
        <w:t>standard solutions</w:t>
      </w:r>
      <w:r w:rsidRPr="001B558D">
        <w:rPr>
          <w:rFonts w:cs="Arial"/>
          <w:sz w:val="24"/>
          <w:szCs w:val="24"/>
        </w:rPr>
        <w:t xml:space="preserve">, when adjusted for peritonitis, daily glucose exposure and urine volume, there was no evidence of an increase in </w:t>
      </w:r>
      <w:r w:rsidR="00E16959">
        <w:rPr>
          <w:rFonts w:cs="Arial"/>
          <w:sz w:val="24"/>
          <w:szCs w:val="24"/>
        </w:rPr>
        <w:t>PSTR</w:t>
      </w:r>
      <w:r w:rsidRPr="001B558D">
        <w:rPr>
          <w:rFonts w:cs="Arial"/>
          <w:sz w:val="24"/>
          <w:szCs w:val="24"/>
        </w:rPr>
        <w:t xml:space="preserve"> over the first two years of treatment. This finding contrasts with previous studies finding either a reduction in </w:t>
      </w:r>
      <w:r w:rsidR="00E16959">
        <w:rPr>
          <w:rFonts w:cs="Arial"/>
          <w:sz w:val="24"/>
          <w:szCs w:val="24"/>
        </w:rPr>
        <w:t>PSTR</w:t>
      </w:r>
      <w:r w:rsidRPr="001B558D">
        <w:rPr>
          <w:rFonts w:cs="Arial"/>
          <w:sz w:val="24"/>
          <w:szCs w:val="24"/>
        </w:rPr>
        <w:t xml:space="preserve"> between one and four months of treatment, </w:t>
      </w:r>
      <w:r w:rsidRPr="001B558D">
        <w:rPr>
          <w:rFonts w:ascii="Arial" w:hAnsi="Arial" w:cs="Arial"/>
          <w:vertAlign w:val="superscript"/>
        </w:rPr>
        <w:t>1</w:t>
      </w:r>
      <w:r w:rsidR="0018779F">
        <w:rPr>
          <w:rFonts w:ascii="Arial" w:hAnsi="Arial" w:cs="Arial"/>
          <w:vertAlign w:val="superscript"/>
        </w:rPr>
        <w:t>4</w:t>
      </w:r>
      <w:r w:rsidR="00BB602B">
        <w:rPr>
          <w:rFonts w:ascii="Arial" w:hAnsi="Arial" w:cs="Arial"/>
          <w:vertAlign w:val="superscript"/>
        </w:rPr>
        <w:t xml:space="preserve"> </w:t>
      </w:r>
      <w:r w:rsidR="00BB602B">
        <w:rPr>
          <w:rFonts w:cs="Arial"/>
          <w:sz w:val="24"/>
          <w:szCs w:val="24"/>
        </w:rPr>
        <w:t>o</w:t>
      </w:r>
      <w:r w:rsidRPr="001B558D">
        <w:rPr>
          <w:rFonts w:cs="Arial"/>
          <w:sz w:val="24"/>
          <w:szCs w:val="24"/>
        </w:rPr>
        <w:t xml:space="preserve">r a significant increase in </w:t>
      </w:r>
      <w:r w:rsidR="00E16959">
        <w:rPr>
          <w:rFonts w:cstheme="minorHAnsi"/>
          <w:sz w:val="24"/>
          <w:szCs w:val="24"/>
        </w:rPr>
        <w:t>PSTR</w:t>
      </w:r>
      <w:r w:rsidRPr="001B558D">
        <w:rPr>
          <w:rFonts w:cs="Arial"/>
          <w:sz w:val="24"/>
          <w:szCs w:val="24"/>
        </w:rPr>
        <w:t xml:space="preserve"> between one month and six months in patients. </w:t>
      </w:r>
      <w:r w:rsidR="003C71B0" w:rsidRPr="00E61FF8">
        <w:rPr>
          <w:rFonts w:cs="Arial"/>
          <w:sz w:val="24"/>
          <w:szCs w:val="24"/>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cs="Arial"/>
          <w:sz w:val="24"/>
          <w:szCs w:val="24"/>
        </w:rPr>
        <w:instrText xml:space="preserve"> ADDIN EN.CITE </w:instrText>
      </w:r>
      <w:r w:rsidR="003C71B0" w:rsidRPr="00AB749A">
        <w:rPr>
          <w:rFonts w:cs="Arial"/>
          <w:sz w:val="24"/>
          <w:szCs w:val="24"/>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cs="Arial"/>
          <w:sz w:val="24"/>
          <w:szCs w:val="24"/>
        </w:rPr>
        <w:instrText xml:space="preserve"> ADDIN EN.CITE.DATA </w:instrText>
      </w:r>
      <w:r w:rsidR="003C71B0" w:rsidRPr="00AB749A">
        <w:rPr>
          <w:rFonts w:cs="Arial"/>
          <w:sz w:val="24"/>
          <w:szCs w:val="24"/>
        </w:rPr>
      </w:r>
      <w:r w:rsidR="003C71B0" w:rsidRPr="00AB749A">
        <w:rPr>
          <w:rFonts w:cs="Arial"/>
          <w:sz w:val="24"/>
          <w:szCs w:val="24"/>
        </w:rPr>
        <w:fldChar w:fldCharType="end"/>
      </w:r>
      <w:r w:rsidR="003C71B0" w:rsidRPr="00E61FF8">
        <w:rPr>
          <w:rFonts w:cs="Arial"/>
          <w:sz w:val="24"/>
          <w:szCs w:val="24"/>
        </w:rPr>
      </w:r>
      <w:r w:rsidR="003C71B0" w:rsidRPr="00E61FF8">
        <w:rPr>
          <w:rFonts w:cs="Arial"/>
          <w:sz w:val="24"/>
          <w:szCs w:val="24"/>
        </w:rPr>
        <w:fldChar w:fldCharType="separate"/>
      </w:r>
      <w:r w:rsidRPr="00E61FF8">
        <w:rPr>
          <w:rFonts w:cs="Arial"/>
          <w:noProof/>
          <w:sz w:val="24"/>
          <w:szCs w:val="24"/>
          <w:vertAlign w:val="superscript"/>
        </w:rPr>
        <w:t>1</w:t>
      </w:r>
      <w:r w:rsidR="003C71B0" w:rsidRPr="00E61FF8">
        <w:rPr>
          <w:rFonts w:cs="Arial"/>
          <w:sz w:val="24"/>
          <w:szCs w:val="24"/>
        </w:rPr>
        <w:fldChar w:fldCharType="end"/>
      </w:r>
      <w:r w:rsidRPr="00E61FF8">
        <w:rPr>
          <w:rFonts w:cs="Arial"/>
          <w:sz w:val="24"/>
          <w:szCs w:val="24"/>
        </w:rPr>
        <w:t xml:space="preserve"> two explanations can potentially resolve these apparently contradictory observations. Firstly, there may well be differences in the definition of </w:t>
      </w:r>
      <w:r w:rsidR="00FD3AD4">
        <w:rPr>
          <w:rFonts w:cs="Arial"/>
          <w:sz w:val="24"/>
          <w:szCs w:val="24"/>
        </w:rPr>
        <w:t>PD</w:t>
      </w:r>
      <w:r w:rsidRPr="00E61FF8">
        <w:rPr>
          <w:rFonts w:cs="Arial"/>
          <w:sz w:val="24"/>
          <w:szCs w:val="24"/>
        </w:rPr>
        <w:t xml:space="preserve"> start date and in the exact timing of the first peritoneal equilibration test, a period with rapid changes in </w:t>
      </w:r>
      <w:r w:rsidR="00E16959">
        <w:rPr>
          <w:rFonts w:cs="Arial"/>
          <w:sz w:val="24"/>
          <w:szCs w:val="24"/>
        </w:rPr>
        <w:t>PSTR</w:t>
      </w:r>
      <w:r w:rsidRPr="00E61FF8">
        <w:rPr>
          <w:rFonts w:cs="Arial"/>
          <w:sz w:val="24"/>
          <w:szCs w:val="24"/>
        </w:rPr>
        <w:t>.</w:t>
      </w:r>
      <w:r w:rsidRPr="006330A2">
        <w:rPr>
          <w:rFonts w:cs="Arial"/>
          <w:sz w:val="24"/>
          <w:szCs w:val="24"/>
          <w:vertAlign w:val="superscript"/>
        </w:rPr>
        <w:t>1</w:t>
      </w:r>
      <w:r w:rsidR="0018779F">
        <w:rPr>
          <w:rFonts w:cs="Arial"/>
          <w:sz w:val="24"/>
          <w:szCs w:val="24"/>
          <w:vertAlign w:val="superscript"/>
        </w:rPr>
        <w:t>5</w:t>
      </w:r>
      <w:r w:rsidR="00BB602B">
        <w:rPr>
          <w:rFonts w:cs="Arial"/>
          <w:sz w:val="24"/>
          <w:szCs w:val="24"/>
        </w:rPr>
        <w:t xml:space="preserve"> </w:t>
      </w:r>
      <w:r w:rsidRPr="001B558D">
        <w:rPr>
          <w:rFonts w:cs="Arial"/>
          <w:sz w:val="24"/>
          <w:szCs w:val="24"/>
        </w:rPr>
        <w:t xml:space="preserve">indeed, we found significant between-patient variability during the first year of </w:t>
      </w:r>
      <w:r w:rsidR="00FD3AD4">
        <w:rPr>
          <w:rFonts w:cs="Arial"/>
          <w:sz w:val="24"/>
          <w:szCs w:val="24"/>
        </w:rPr>
        <w:t>PD</w:t>
      </w:r>
      <w:r w:rsidRPr="001B558D">
        <w:rPr>
          <w:rFonts w:cs="Arial"/>
          <w:sz w:val="24"/>
          <w:szCs w:val="24"/>
        </w:rPr>
        <w:t xml:space="preserve">, visible on the spaghetti plots with the </w:t>
      </w:r>
      <w:r w:rsidR="00E16959">
        <w:rPr>
          <w:rFonts w:cstheme="minorHAnsi"/>
          <w:sz w:val="24"/>
          <w:szCs w:val="24"/>
        </w:rPr>
        <w:t>PSTR</w:t>
      </w:r>
      <w:r w:rsidRPr="001B558D">
        <w:rPr>
          <w:rFonts w:cs="Arial"/>
          <w:sz w:val="24"/>
          <w:szCs w:val="24"/>
        </w:rPr>
        <w:t xml:space="preserve"> falling during the early period in some patients and rising in others. Secondly, there is a significant effect of dialysate glucose, residual </w:t>
      </w:r>
      <w:r w:rsidR="0066287E">
        <w:rPr>
          <w:rFonts w:cs="Arial"/>
          <w:sz w:val="24"/>
          <w:szCs w:val="24"/>
        </w:rPr>
        <w:t>kidney</w:t>
      </w:r>
      <w:r w:rsidRPr="001B558D">
        <w:rPr>
          <w:rFonts w:cs="Arial"/>
          <w:sz w:val="24"/>
          <w:szCs w:val="24"/>
        </w:rPr>
        <w:t xml:space="preserve"> function and a cumulative effect of peritonitis, all of which can change with time and have been adjusted for in our analysis. Therefore, the different conclusions in the previous studies could be due to differences in the definition of </w:t>
      </w:r>
      <w:r w:rsidR="00FD3AD4">
        <w:rPr>
          <w:rFonts w:cs="Arial"/>
          <w:sz w:val="24"/>
          <w:szCs w:val="24"/>
        </w:rPr>
        <w:t>PD</w:t>
      </w:r>
      <w:r w:rsidRPr="001B558D">
        <w:rPr>
          <w:rFonts w:cs="Arial"/>
          <w:sz w:val="24"/>
          <w:szCs w:val="24"/>
        </w:rPr>
        <w:t xml:space="preserve"> start date, unmeasured determinants of the early variability in solute transport and variation in peritonitis, residual </w:t>
      </w:r>
      <w:r w:rsidR="0066287E">
        <w:rPr>
          <w:rFonts w:cs="Arial"/>
          <w:sz w:val="24"/>
          <w:szCs w:val="24"/>
        </w:rPr>
        <w:t>kidney</w:t>
      </w:r>
      <w:r w:rsidRPr="001B558D">
        <w:rPr>
          <w:rFonts w:cs="Arial"/>
          <w:sz w:val="24"/>
          <w:szCs w:val="24"/>
        </w:rPr>
        <w:t xml:space="preserve"> function and dialysate </w:t>
      </w:r>
      <w:r w:rsidR="001A2732">
        <w:rPr>
          <w:rFonts w:cs="Arial"/>
          <w:sz w:val="24"/>
          <w:szCs w:val="24"/>
        </w:rPr>
        <w:t>dextrose concentration</w:t>
      </w:r>
      <w:r w:rsidRPr="001B558D">
        <w:rPr>
          <w:rFonts w:cs="Arial"/>
          <w:sz w:val="24"/>
          <w:szCs w:val="24"/>
        </w:rPr>
        <w:t xml:space="preserve">. </w:t>
      </w:r>
    </w:p>
    <w:p w14:paraId="6094FAC3" w14:textId="77777777" w:rsidR="00DC0DFF" w:rsidRPr="001B558D" w:rsidRDefault="00E61FF8" w:rsidP="00DC0DFF">
      <w:pPr>
        <w:tabs>
          <w:tab w:val="right" w:pos="9026"/>
        </w:tabs>
        <w:spacing w:line="480" w:lineRule="auto"/>
        <w:rPr>
          <w:rFonts w:ascii="Arial" w:hAnsi="Arial"/>
          <w:vertAlign w:val="superscript"/>
        </w:rPr>
      </w:pPr>
      <w:r w:rsidRPr="001B558D">
        <w:rPr>
          <w:rFonts w:cs="Arial"/>
          <w:sz w:val="24"/>
          <w:szCs w:val="24"/>
        </w:rPr>
        <w:t xml:space="preserve">The unadjusted model showed a clear overall increase in </w:t>
      </w:r>
      <w:r w:rsidR="00E16959">
        <w:rPr>
          <w:rFonts w:cs="Arial"/>
          <w:sz w:val="24"/>
          <w:szCs w:val="24"/>
        </w:rPr>
        <w:t>PSTR</w:t>
      </w:r>
      <w:r w:rsidRPr="001B558D">
        <w:rPr>
          <w:rFonts w:cs="Arial"/>
          <w:sz w:val="24"/>
          <w:szCs w:val="24"/>
        </w:rPr>
        <w:t xml:space="preserve"> over time (</w:t>
      </w:r>
      <w:r w:rsidR="00423F2C">
        <w:rPr>
          <w:rFonts w:cs="Arial"/>
          <w:sz w:val="24"/>
          <w:szCs w:val="24"/>
        </w:rPr>
        <w:t>S</w:t>
      </w:r>
      <w:r w:rsidRPr="001B558D">
        <w:rPr>
          <w:rFonts w:cs="Arial"/>
          <w:sz w:val="24"/>
          <w:szCs w:val="24"/>
        </w:rPr>
        <w:t xml:space="preserve">upplementary </w:t>
      </w:r>
      <w:r w:rsidR="00423F2C">
        <w:rPr>
          <w:rFonts w:cs="Arial"/>
          <w:sz w:val="24"/>
          <w:szCs w:val="24"/>
        </w:rPr>
        <w:t>T</w:t>
      </w:r>
      <w:r w:rsidRPr="001B558D">
        <w:rPr>
          <w:rFonts w:cs="Arial"/>
          <w:sz w:val="24"/>
          <w:szCs w:val="24"/>
        </w:rPr>
        <w:t xml:space="preserve">able 1), mostly accounted for by peritonitis, glucose exposure and residual </w:t>
      </w:r>
      <w:r w:rsidR="0066287E">
        <w:rPr>
          <w:rFonts w:cs="Arial"/>
          <w:sz w:val="24"/>
          <w:szCs w:val="24"/>
        </w:rPr>
        <w:t>kidney</w:t>
      </w:r>
      <w:r w:rsidRPr="001B558D">
        <w:rPr>
          <w:rFonts w:cs="Arial"/>
          <w:sz w:val="24"/>
          <w:szCs w:val="24"/>
        </w:rPr>
        <w:t xml:space="preserve"> function. This finding is in keeping with previous cohort studies describing membrane injury, explained by changes in peritonitis, glucose exposure and r</w:t>
      </w:r>
      <w:r w:rsidR="004C0961">
        <w:rPr>
          <w:rFonts w:cs="Arial"/>
          <w:sz w:val="24"/>
          <w:szCs w:val="24"/>
        </w:rPr>
        <w:t>esidual kidney function</w:t>
      </w:r>
      <w:r w:rsidRPr="001B558D">
        <w:rPr>
          <w:rFonts w:cs="Arial"/>
          <w:sz w:val="24"/>
          <w:szCs w:val="24"/>
        </w:rPr>
        <w:t xml:space="preserve">. </w:t>
      </w:r>
      <w:r w:rsidRPr="001B558D">
        <w:rPr>
          <w:rFonts w:ascii="Arial" w:hAnsi="Arial" w:cs="Arial"/>
          <w:vertAlign w:val="superscript"/>
        </w:rPr>
        <w:t>1,3,1</w:t>
      </w:r>
      <w:r w:rsidR="0018779F">
        <w:rPr>
          <w:rFonts w:ascii="Arial" w:hAnsi="Arial" w:cs="Arial"/>
          <w:vertAlign w:val="superscript"/>
        </w:rPr>
        <w:t>6</w:t>
      </w:r>
      <w:r w:rsidRPr="001B558D">
        <w:rPr>
          <w:rFonts w:ascii="Arial" w:hAnsi="Arial" w:cs="Arial"/>
          <w:vertAlign w:val="superscript"/>
        </w:rPr>
        <w:t>,1</w:t>
      </w:r>
      <w:r w:rsidR="0018779F">
        <w:rPr>
          <w:rFonts w:ascii="Arial" w:hAnsi="Arial" w:cs="Arial"/>
          <w:vertAlign w:val="superscript"/>
        </w:rPr>
        <w:t>7</w:t>
      </w:r>
    </w:p>
    <w:p w14:paraId="4E64F982" w14:textId="77777777" w:rsidR="00E26FE8" w:rsidRPr="001B558D" w:rsidRDefault="00E61FF8" w:rsidP="00195C12">
      <w:pPr>
        <w:tabs>
          <w:tab w:val="right" w:pos="9026"/>
        </w:tabs>
        <w:spacing w:line="480" w:lineRule="auto"/>
        <w:rPr>
          <w:rFonts w:cs="Arial"/>
          <w:sz w:val="24"/>
          <w:szCs w:val="24"/>
        </w:rPr>
      </w:pPr>
      <w:r w:rsidRPr="00753B7F">
        <w:rPr>
          <w:rFonts w:cs="Arial"/>
          <w:sz w:val="24"/>
          <w:szCs w:val="24"/>
        </w:rPr>
        <w:t xml:space="preserve">As found previously </w:t>
      </w:r>
      <w:r w:rsidRPr="00753B7F">
        <w:rPr>
          <w:rFonts w:cs="Arial"/>
          <w:sz w:val="24"/>
          <w:szCs w:val="24"/>
          <w:vertAlign w:val="superscript"/>
        </w:rPr>
        <w:t>1</w:t>
      </w:r>
      <w:r w:rsidR="0018779F">
        <w:rPr>
          <w:rFonts w:cs="Arial"/>
          <w:sz w:val="24"/>
          <w:szCs w:val="24"/>
          <w:vertAlign w:val="superscript"/>
        </w:rPr>
        <w:t>7</w:t>
      </w:r>
      <w:r w:rsidRPr="00753B7F">
        <w:rPr>
          <w:rFonts w:cs="Arial"/>
          <w:sz w:val="24"/>
          <w:szCs w:val="24"/>
          <w:vertAlign w:val="superscript"/>
        </w:rPr>
        <w:t>,1</w:t>
      </w:r>
      <w:r w:rsidR="0018779F">
        <w:rPr>
          <w:rFonts w:cs="Arial"/>
          <w:sz w:val="24"/>
          <w:szCs w:val="24"/>
          <w:vertAlign w:val="superscript"/>
        </w:rPr>
        <w:t>8</w:t>
      </w:r>
      <w:r w:rsidRPr="00753B7F">
        <w:rPr>
          <w:rFonts w:cs="Arial"/>
          <w:sz w:val="24"/>
          <w:szCs w:val="24"/>
        </w:rPr>
        <w:t xml:space="preserve"> these results show that increasing daily glucose exposure is a</w:t>
      </w:r>
      <w:r w:rsidR="0066287E">
        <w:rPr>
          <w:rFonts w:cs="Arial"/>
          <w:sz w:val="24"/>
          <w:szCs w:val="24"/>
        </w:rPr>
        <w:t>ss</w:t>
      </w:r>
      <w:r w:rsidRPr="001B558D">
        <w:rPr>
          <w:rFonts w:cs="Arial"/>
          <w:sz w:val="24"/>
          <w:szCs w:val="24"/>
        </w:rPr>
        <w:t xml:space="preserve">ociated with long-term increases in </w:t>
      </w:r>
      <w:r w:rsidR="00E16959">
        <w:rPr>
          <w:rFonts w:cs="Arial"/>
          <w:sz w:val="24"/>
          <w:szCs w:val="24"/>
        </w:rPr>
        <w:t>PSTR</w:t>
      </w:r>
      <w:r w:rsidRPr="001B558D">
        <w:rPr>
          <w:rFonts w:cs="Arial"/>
          <w:sz w:val="24"/>
          <w:szCs w:val="24"/>
        </w:rPr>
        <w:t xml:space="preserve">. This could be a result of glucose-driven pathophysiological changes in the membrane and/or this could be a treatment response to increasing membrane permeability driven by other clinical factors e.g. peritonitis. </w:t>
      </w:r>
    </w:p>
    <w:p w14:paraId="12C4D4EF" w14:textId="77777777" w:rsidR="00EB3EEC" w:rsidRPr="00753B7F" w:rsidRDefault="00E61FF8" w:rsidP="00195C12">
      <w:pPr>
        <w:tabs>
          <w:tab w:val="right" w:pos="9026"/>
        </w:tabs>
        <w:spacing w:line="480" w:lineRule="auto"/>
        <w:rPr>
          <w:rFonts w:cs="Arial"/>
          <w:sz w:val="24"/>
          <w:szCs w:val="24"/>
        </w:rPr>
      </w:pPr>
      <w:r w:rsidRPr="001B558D">
        <w:rPr>
          <w:rFonts w:cs="Arial"/>
          <w:sz w:val="24"/>
          <w:szCs w:val="24"/>
        </w:rPr>
        <w:t>The largest r</w:t>
      </w:r>
      <w:r w:rsidRPr="00753B7F">
        <w:rPr>
          <w:rFonts w:cs="Arial"/>
          <w:sz w:val="24"/>
          <w:szCs w:val="24"/>
        </w:rPr>
        <w:t>andomise</w:t>
      </w:r>
      <w:r w:rsidR="009920DC">
        <w:rPr>
          <w:rFonts w:cs="Arial"/>
          <w:sz w:val="24"/>
          <w:szCs w:val="24"/>
        </w:rPr>
        <w:t>d study examining the effect of</w:t>
      </w:r>
      <w:r w:rsidRPr="00753B7F">
        <w:rPr>
          <w:rFonts w:cs="Arial"/>
          <w:sz w:val="24"/>
          <w:szCs w:val="24"/>
        </w:rPr>
        <w:t xml:space="preserve"> biocompatible solutions on membrane function is the bal</w:t>
      </w:r>
      <w:r w:rsidR="00A80F33">
        <w:rPr>
          <w:rFonts w:cs="Arial"/>
          <w:sz w:val="24"/>
          <w:szCs w:val="24"/>
        </w:rPr>
        <w:t>ANZ</w:t>
      </w:r>
      <w:r w:rsidRPr="00753B7F">
        <w:rPr>
          <w:rFonts w:cs="Arial"/>
          <w:sz w:val="24"/>
          <w:szCs w:val="24"/>
        </w:rPr>
        <w:t xml:space="preserve"> study, demonstrating that initial </w:t>
      </w:r>
      <w:r w:rsidR="00E16959">
        <w:rPr>
          <w:rFonts w:cstheme="minorHAnsi"/>
          <w:sz w:val="24"/>
          <w:szCs w:val="24"/>
        </w:rPr>
        <w:t>PSTR</w:t>
      </w:r>
      <w:r w:rsidRPr="001B558D">
        <w:rPr>
          <w:rFonts w:cs="Arial"/>
          <w:sz w:val="24"/>
          <w:szCs w:val="24"/>
        </w:rPr>
        <w:t xml:space="preserve"> was fa</w:t>
      </w:r>
      <w:r w:rsidR="009920DC">
        <w:rPr>
          <w:rFonts w:cs="Arial"/>
          <w:sz w:val="24"/>
          <w:szCs w:val="24"/>
        </w:rPr>
        <w:t xml:space="preserve">ster with </w:t>
      </w:r>
      <w:r w:rsidRPr="001B558D">
        <w:rPr>
          <w:rFonts w:cs="Arial"/>
          <w:sz w:val="24"/>
          <w:szCs w:val="24"/>
        </w:rPr>
        <w:t xml:space="preserve">biocompatible solutions compared to </w:t>
      </w:r>
      <w:r w:rsidR="0066287E">
        <w:rPr>
          <w:rFonts w:cs="Arial"/>
          <w:sz w:val="24"/>
          <w:szCs w:val="24"/>
        </w:rPr>
        <w:t>standard solutions</w:t>
      </w:r>
      <w:r w:rsidRPr="001B558D">
        <w:rPr>
          <w:rFonts w:cs="Arial"/>
          <w:sz w:val="24"/>
          <w:szCs w:val="24"/>
        </w:rPr>
        <w:t xml:space="preserve">. Over two years the </w:t>
      </w:r>
      <w:r w:rsidR="00E16959">
        <w:rPr>
          <w:rFonts w:cstheme="minorHAnsi"/>
          <w:sz w:val="24"/>
          <w:szCs w:val="24"/>
        </w:rPr>
        <w:t>PSTR</w:t>
      </w:r>
      <w:r w:rsidRPr="001B558D">
        <w:rPr>
          <w:rFonts w:cs="Arial"/>
          <w:sz w:val="24"/>
          <w:szCs w:val="24"/>
        </w:rPr>
        <w:t xml:space="preserve"> remained stable in biocompatible solutions treated patients whereas it increased in patients treated with </w:t>
      </w:r>
      <w:r w:rsidR="0066287E">
        <w:rPr>
          <w:rFonts w:cs="Arial"/>
          <w:sz w:val="24"/>
          <w:szCs w:val="24"/>
        </w:rPr>
        <w:t>standard solutions</w:t>
      </w:r>
      <w:r w:rsidRPr="001B558D">
        <w:rPr>
          <w:rFonts w:cs="Arial"/>
          <w:sz w:val="24"/>
          <w:szCs w:val="24"/>
        </w:rPr>
        <w:t>.</w:t>
      </w:r>
      <w:r w:rsidRPr="001B558D">
        <w:rPr>
          <w:rFonts w:cs="Arial"/>
          <w:sz w:val="24"/>
          <w:szCs w:val="24"/>
          <w:vertAlign w:val="superscript"/>
        </w:rPr>
        <w:t>1</w:t>
      </w:r>
      <w:r w:rsidR="00E97EBE">
        <w:rPr>
          <w:rFonts w:cs="Arial"/>
          <w:sz w:val="24"/>
          <w:szCs w:val="24"/>
          <w:vertAlign w:val="superscript"/>
        </w:rPr>
        <w:t>1</w:t>
      </w:r>
      <w:r w:rsidR="00BB602B">
        <w:rPr>
          <w:sz w:val="24"/>
          <w:vertAlign w:val="superscript"/>
        </w:rPr>
        <w:t xml:space="preserve"> </w:t>
      </w:r>
      <w:r w:rsidRPr="001B558D">
        <w:rPr>
          <w:rFonts w:cs="Arial"/>
          <w:sz w:val="24"/>
          <w:szCs w:val="24"/>
        </w:rPr>
        <w:t xml:space="preserve">in contrast, in this observational cohort we found a slower </w:t>
      </w:r>
      <w:r w:rsidR="00E16959">
        <w:rPr>
          <w:rFonts w:cstheme="minorHAnsi"/>
          <w:sz w:val="24"/>
          <w:szCs w:val="24"/>
        </w:rPr>
        <w:t>PSTR</w:t>
      </w:r>
      <w:r w:rsidRPr="001B558D">
        <w:rPr>
          <w:rFonts w:cs="Arial"/>
          <w:sz w:val="24"/>
          <w:szCs w:val="24"/>
        </w:rPr>
        <w:t xml:space="preserve"> in biocompatible solutions at the beginning of therapy but differences disappeared after two years treatment. Between two to four years of treatment, average</w:t>
      </w:r>
      <w:r w:rsidRPr="00753B7F">
        <w:rPr>
          <w:rFonts w:cs="Arial"/>
          <w:sz w:val="24"/>
          <w:szCs w:val="24"/>
        </w:rPr>
        <w:t xml:space="preserve"> </w:t>
      </w:r>
      <w:r w:rsidR="00E16959">
        <w:rPr>
          <w:rFonts w:cstheme="minorHAnsi"/>
          <w:sz w:val="24"/>
          <w:szCs w:val="24"/>
        </w:rPr>
        <w:t>PSTR</w:t>
      </w:r>
      <w:r w:rsidRPr="001B558D">
        <w:rPr>
          <w:rFonts w:cs="Arial"/>
          <w:sz w:val="24"/>
          <w:szCs w:val="24"/>
        </w:rPr>
        <w:t xml:space="preserve"> remained stable in the biocompatible solutions group but increased in the </w:t>
      </w:r>
      <w:r w:rsidR="0066287E">
        <w:rPr>
          <w:rFonts w:cs="Arial"/>
          <w:sz w:val="24"/>
          <w:szCs w:val="24"/>
        </w:rPr>
        <w:t>standard solutions</w:t>
      </w:r>
      <w:r w:rsidRPr="001B558D">
        <w:rPr>
          <w:rFonts w:cs="Arial"/>
          <w:sz w:val="24"/>
          <w:szCs w:val="24"/>
        </w:rPr>
        <w:t xml:space="preserve"> group. One po</w:t>
      </w:r>
      <w:r w:rsidR="0066287E">
        <w:rPr>
          <w:rFonts w:cs="Arial"/>
          <w:sz w:val="24"/>
          <w:szCs w:val="24"/>
        </w:rPr>
        <w:t>ss</w:t>
      </w:r>
      <w:r w:rsidRPr="001B558D">
        <w:rPr>
          <w:rFonts w:cs="Arial"/>
          <w:sz w:val="24"/>
          <w:szCs w:val="24"/>
        </w:rPr>
        <w:t>ible explanat</w:t>
      </w:r>
      <w:r w:rsidRPr="00753B7F">
        <w:rPr>
          <w:rFonts w:cs="Arial"/>
          <w:sz w:val="24"/>
          <w:szCs w:val="24"/>
        </w:rPr>
        <w:t>ion for these observed differences could be differences in the manufacturer/composition of solutions used. Although the electrolytes in most solutions are similar, they are manufactured differently, contain different buffers, have different p</w:t>
      </w:r>
      <w:r w:rsidR="00B21DA7">
        <w:rPr>
          <w:rFonts w:cs="Arial"/>
          <w:sz w:val="24"/>
          <w:szCs w:val="24"/>
        </w:rPr>
        <w:t>H</w:t>
      </w:r>
      <w:r w:rsidRPr="00753B7F">
        <w:rPr>
          <w:rFonts w:cs="Arial"/>
          <w:sz w:val="24"/>
          <w:szCs w:val="24"/>
        </w:rPr>
        <w:t xml:space="preserve"> values and are reported to have different levels of glucose degradation products. This study, although based on larger numbers with longer spells on </w:t>
      </w:r>
      <w:r w:rsidR="00FD3AD4">
        <w:rPr>
          <w:rFonts w:cs="Arial"/>
          <w:sz w:val="24"/>
          <w:szCs w:val="24"/>
        </w:rPr>
        <w:t>PD</w:t>
      </w:r>
      <w:r w:rsidRPr="001B558D">
        <w:rPr>
          <w:rFonts w:cs="Arial"/>
          <w:sz w:val="24"/>
          <w:szCs w:val="24"/>
        </w:rPr>
        <w:t xml:space="preserve">, contained three different brands of biocompatible solutions, with the majority on </w:t>
      </w:r>
      <w:r w:rsidR="00131366">
        <w:rPr>
          <w:rFonts w:cs="Arial"/>
          <w:sz w:val="24"/>
          <w:szCs w:val="24"/>
        </w:rPr>
        <w:t>P</w:t>
      </w:r>
      <w:r w:rsidRPr="001B558D">
        <w:rPr>
          <w:rFonts w:cs="Arial"/>
          <w:sz w:val="24"/>
          <w:szCs w:val="24"/>
        </w:rPr>
        <w:t>hysioneal using a bicarbon</w:t>
      </w:r>
      <w:r w:rsidRPr="00753B7F">
        <w:rPr>
          <w:rFonts w:cs="Arial"/>
          <w:sz w:val="24"/>
          <w:szCs w:val="24"/>
        </w:rPr>
        <w:t>ate/lactate buffer. Bal</w:t>
      </w:r>
      <w:r w:rsidR="00A80F33">
        <w:rPr>
          <w:rFonts w:cs="Arial"/>
          <w:sz w:val="24"/>
          <w:szCs w:val="24"/>
        </w:rPr>
        <w:t>ANZ</w:t>
      </w:r>
      <w:r w:rsidRPr="00753B7F">
        <w:rPr>
          <w:rFonts w:cs="Arial"/>
          <w:sz w:val="24"/>
          <w:szCs w:val="24"/>
        </w:rPr>
        <w:t xml:space="preserve"> exclusively used the lactate-buffered balance with a p</w:t>
      </w:r>
      <w:r w:rsidR="00B21DA7">
        <w:rPr>
          <w:rFonts w:cs="Arial"/>
          <w:sz w:val="24"/>
          <w:szCs w:val="24"/>
        </w:rPr>
        <w:t>H</w:t>
      </w:r>
      <w:r w:rsidRPr="00753B7F">
        <w:rPr>
          <w:rFonts w:cs="Arial"/>
          <w:sz w:val="24"/>
          <w:szCs w:val="24"/>
        </w:rPr>
        <w:t xml:space="preserve"> of 7.0. Unfortunately, we did not have sufficient numbers using the different manufacturers solutions for a meaningful comparison. Although the data may be viewed as inconsistent, taken together these studies unequivocally demonstrate differences in </w:t>
      </w:r>
      <w:r w:rsidR="00E16959">
        <w:rPr>
          <w:rFonts w:cs="Arial"/>
          <w:sz w:val="24"/>
          <w:szCs w:val="24"/>
        </w:rPr>
        <w:t>PSTR</w:t>
      </w:r>
      <w:r w:rsidRPr="001B558D">
        <w:rPr>
          <w:rFonts w:cs="Arial"/>
          <w:sz w:val="24"/>
          <w:szCs w:val="24"/>
        </w:rPr>
        <w:t xml:space="preserve"> changes in patients using standard and biocompatible solutions. Whilst the impact of these differences on clinical outcome remain to be robustly determined, stabilisation of solute transport would generally be regarded as clinically beneficial. </w:t>
      </w:r>
      <w:r w:rsidR="00E97EBE">
        <w:rPr>
          <w:rFonts w:cs="Arial"/>
          <w:sz w:val="24"/>
          <w:szCs w:val="24"/>
          <w:vertAlign w:val="superscript"/>
        </w:rPr>
        <w:t>19</w:t>
      </w:r>
      <w:r w:rsidRPr="00753B7F">
        <w:rPr>
          <w:rFonts w:cs="Arial"/>
          <w:sz w:val="24"/>
          <w:szCs w:val="24"/>
          <w:vertAlign w:val="superscript"/>
        </w:rPr>
        <w:t>,</w:t>
      </w:r>
      <w:r w:rsidR="0018779F">
        <w:rPr>
          <w:rFonts w:cs="Arial"/>
          <w:sz w:val="24"/>
          <w:szCs w:val="24"/>
          <w:vertAlign w:val="superscript"/>
        </w:rPr>
        <w:t>2</w:t>
      </w:r>
      <w:r w:rsidR="00E97EBE">
        <w:rPr>
          <w:rFonts w:cs="Arial"/>
          <w:sz w:val="24"/>
          <w:szCs w:val="24"/>
          <w:vertAlign w:val="superscript"/>
        </w:rPr>
        <w:t>0</w:t>
      </w:r>
    </w:p>
    <w:p w14:paraId="24298D19" w14:textId="77777777" w:rsidR="00917448" w:rsidRPr="001B558D" w:rsidRDefault="00E61FF8" w:rsidP="00195C12">
      <w:pPr>
        <w:tabs>
          <w:tab w:val="right" w:pos="9026"/>
        </w:tabs>
        <w:spacing w:line="480" w:lineRule="auto"/>
        <w:rPr>
          <w:rFonts w:cs="Arial"/>
          <w:sz w:val="24"/>
          <w:szCs w:val="24"/>
        </w:rPr>
      </w:pPr>
      <w:r w:rsidRPr="00753B7F">
        <w:rPr>
          <w:rFonts w:cs="Arial"/>
          <w:sz w:val="24"/>
          <w:szCs w:val="24"/>
        </w:rPr>
        <w:t xml:space="preserve">We observed that patients using icodextrin had an overall faster </w:t>
      </w:r>
      <w:r w:rsidR="00E16959">
        <w:rPr>
          <w:rFonts w:cs="Arial"/>
          <w:sz w:val="24"/>
          <w:szCs w:val="24"/>
        </w:rPr>
        <w:t>PSTR</w:t>
      </w:r>
      <w:r w:rsidRPr="001B558D">
        <w:rPr>
          <w:rFonts w:cs="Arial"/>
          <w:sz w:val="24"/>
          <w:szCs w:val="24"/>
        </w:rPr>
        <w:t xml:space="preserve"> </w:t>
      </w:r>
      <w:r w:rsidR="00AB749A">
        <w:rPr>
          <w:rFonts w:cs="Arial"/>
          <w:sz w:val="24"/>
          <w:szCs w:val="24"/>
        </w:rPr>
        <w:t>w</w:t>
      </w:r>
      <w:r w:rsidRPr="001B558D">
        <w:rPr>
          <w:rFonts w:cs="Arial"/>
          <w:sz w:val="24"/>
          <w:szCs w:val="24"/>
        </w:rPr>
        <w:t>hi</w:t>
      </w:r>
      <w:r w:rsidR="00AB749A">
        <w:rPr>
          <w:rFonts w:cs="Arial"/>
          <w:sz w:val="24"/>
          <w:szCs w:val="24"/>
        </w:rPr>
        <w:t>ch</w:t>
      </w:r>
      <w:r w:rsidRPr="001B558D">
        <w:rPr>
          <w:rFonts w:cs="Arial"/>
          <w:sz w:val="24"/>
          <w:szCs w:val="24"/>
        </w:rPr>
        <w:t xml:space="preserve"> may be the result of indication bi</w:t>
      </w:r>
      <w:r w:rsidR="00EA4847">
        <w:rPr>
          <w:rFonts w:cs="Arial"/>
          <w:sz w:val="24"/>
          <w:szCs w:val="24"/>
        </w:rPr>
        <w:t>as</w:t>
      </w:r>
      <w:r w:rsidR="00AB749A">
        <w:rPr>
          <w:rFonts w:cs="Arial"/>
          <w:sz w:val="24"/>
          <w:szCs w:val="24"/>
        </w:rPr>
        <w:t>.</w:t>
      </w:r>
      <w:r w:rsidRPr="001B558D">
        <w:rPr>
          <w:rFonts w:cs="Arial"/>
          <w:sz w:val="24"/>
          <w:szCs w:val="24"/>
        </w:rPr>
        <w:t xml:space="preserve"> </w:t>
      </w:r>
      <w:r w:rsidR="00FE7D34">
        <w:rPr>
          <w:rFonts w:cs="Arial"/>
          <w:sz w:val="24"/>
          <w:szCs w:val="24"/>
        </w:rPr>
        <w:t>A</w:t>
      </w:r>
      <w:r w:rsidRPr="001B558D">
        <w:rPr>
          <w:rFonts w:cs="Arial"/>
          <w:sz w:val="24"/>
          <w:szCs w:val="24"/>
        </w:rPr>
        <w:t xml:space="preserve">s opposed to dialysate glucose, there was no deterioration over time in </w:t>
      </w:r>
      <w:r w:rsidR="00E16959">
        <w:rPr>
          <w:rFonts w:cs="Arial"/>
          <w:sz w:val="24"/>
          <w:szCs w:val="24"/>
        </w:rPr>
        <w:t>PSTR</w:t>
      </w:r>
      <w:r w:rsidRPr="001B558D">
        <w:rPr>
          <w:rFonts w:cs="Arial"/>
          <w:sz w:val="24"/>
          <w:szCs w:val="24"/>
        </w:rPr>
        <w:t xml:space="preserve"> with icodextrin. </w:t>
      </w:r>
    </w:p>
    <w:p w14:paraId="6916BB5E" w14:textId="77777777" w:rsidR="00210F68" w:rsidRPr="00753B7F" w:rsidRDefault="00E61FF8" w:rsidP="00195C12">
      <w:pPr>
        <w:tabs>
          <w:tab w:val="right" w:pos="9026"/>
        </w:tabs>
        <w:spacing w:line="480" w:lineRule="auto"/>
        <w:rPr>
          <w:sz w:val="24"/>
          <w:vertAlign w:val="superscript"/>
        </w:rPr>
      </w:pPr>
      <w:r w:rsidRPr="001B558D">
        <w:rPr>
          <w:rFonts w:cs="Arial"/>
          <w:sz w:val="24"/>
          <w:szCs w:val="24"/>
        </w:rPr>
        <w:t>In keeping with previous research demonstrating a robust a</w:t>
      </w:r>
      <w:r w:rsidR="0066287E">
        <w:rPr>
          <w:rFonts w:cs="Arial"/>
          <w:sz w:val="24"/>
          <w:szCs w:val="24"/>
        </w:rPr>
        <w:t>ss</w:t>
      </w:r>
      <w:r w:rsidRPr="001B558D">
        <w:rPr>
          <w:rFonts w:cs="Arial"/>
          <w:sz w:val="24"/>
          <w:szCs w:val="24"/>
        </w:rPr>
        <w:t>ociation between intra-peritoneal interleukin 6 (</w:t>
      </w:r>
      <w:r w:rsidR="00100A88">
        <w:rPr>
          <w:rFonts w:cs="Arial"/>
          <w:sz w:val="24"/>
          <w:szCs w:val="24"/>
        </w:rPr>
        <w:t>IL-6</w:t>
      </w:r>
      <w:r w:rsidRPr="001B558D">
        <w:rPr>
          <w:rFonts w:cs="Arial"/>
          <w:sz w:val="24"/>
          <w:szCs w:val="24"/>
        </w:rPr>
        <w:t xml:space="preserve">) production and faster </w:t>
      </w:r>
      <w:r w:rsidR="00E16959">
        <w:rPr>
          <w:rFonts w:cs="Arial"/>
          <w:sz w:val="24"/>
          <w:szCs w:val="24"/>
        </w:rPr>
        <w:t>PSTR</w:t>
      </w:r>
      <w:r w:rsidRPr="001B558D">
        <w:rPr>
          <w:rFonts w:cs="Arial"/>
          <w:sz w:val="24"/>
          <w:szCs w:val="24"/>
        </w:rPr>
        <w:t xml:space="preserve">, </w:t>
      </w:r>
      <w:r w:rsidRPr="001B558D">
        <w:rPr>
          <w:rFonts w:ascii="Arial" w:hAnsi="Arial" w:cs="Arial"/>
          <w:vertAlign w:val="superscript"/>
        </w:rPr>
        <w:t>1</w:t>
      </w:r>
      <w:r w:rsidR="0018779F">
        <w:rPr>
          <w:rFonts w:ascii="Arial" w:hAnsi="Arial" w:cs="Arial"/>
          <w:vertAlign w:val="superscript"/>
        </w:rPr>
        <w:t>2</w:t>
      </w:r>
      <w:r w:rsidR="00A10105">
        <w:rPr>
          <w:rFonts w:ascii="Arial" w:hAnsi="Arial" w:cs="Arial"/>
          <w:vertAlign w:val="superscript"/>
        </w:rPr>
        <w:t>,2</w:t>
      </w:r>
      <w:r w:rsidR="00E97EBE">
        <w:rPr>
          <w:rFonts w:ascii="Arial" w:hAnsi="Arial" w:cs="Arial"/>
          <w:vertAlign w:val="superscript"/>
        </w:rPr>
        <w:t>1</w:t>
      </w:r>
      <w:r w:rsidR="00A10105">
        <w:rPr>
          <w:rFonts w:ascii="Arial" w:hAnsi="Arial" w:cs="Arial"/>
          <w:vertAlign w:val="superscript"/>
        </w:rPr>
        <w:t>,</w:t>
      </w:r>
      <w:r w:rsidRPr="001B558D">
        <w:rPr>
          <w:rFonts w:ascii="Arial" w:hAnsi="Arial" w:cs="Arial"/>
          <w:vertAlign w:val="superscript"/>
        </w:rPr>
        <w:t>2</w:t>
      </w:r>
      <w:r w:rsidR="00E97EBE">
        <w:rPr>
          <w:rFonts w:ascii="Arial" w:hAnsi="Arial" w:cs="Arial"/>
          <w:vertAlign w:val="superscript"/>
        </w:rPr>
        <w:t>2</w:t>
      </w:r>
      <w:r w:rsidRPr="001B558D">
        <w:rPr>
          <w:rFonts w:ascii="Arial" w:hAnsi="Arial"/>
          <w:vertAlign w:val="superscript"/>
        </w:rPr>
        <w:t xml:space="preserve"> </w:t>
      </w:r>
      <w:r w:rsidRPr="001B558D">
        <w:rPr>
          <w:rFonts w:cs="Arial"/>
          <w:sz w:val="24"/>
          <w:szCs w:val="24"/>
        </w:rPr>
        <w:t xml:space="preserve">baseline dialysate </w:t>
      </w:r>
      <w:r w:rsidR="00100A88">
        <w:rPr>
          <w:rFonts w:cs="Arial"/>
          <w:sz w:val="24"/>
          <w:szCs w:val="24"/>
        </w:rPr>
        <w:t>IL-6</w:t>
      </w:r>
      <w:r w:rsidRPr="001B558D">
        <w:rPr>
          <w:rFonts w:cs="Arial"/>
          <w:sz w:val="24"/>
          <w:szCs w:val="24"/>
        </w:rPr>
        <w:t xml:space="preserve"> levels were a</w:t>
      </w:r>
      <w:r w:rsidR="0066287E">
        <w:rPr>
          <w:rFonts w:cs="Arial"/>
          <w:sz w:val="24"/>
          <w:szCs w:val="24"/>
        </w:rPr>
        <w:t>ss</w:t>
      </w:r>
      <w:r w:rsidRPr="001B558D">
        <w:rPr>
          <w:rFonts w:cs="Arial"/>
          <w:sz w:val="24"/>
          <w:szCs w:val="24"/>
        </w:rPr>
        <w:t xml:space="preserve">ociated with faster </w:t>
      </w:r>
      <w:r w:rsidR="00E16959">
        <w:rPr>
          <w:rFonts w:cs="Arial"/>
          <w:sz w:val="24"/>
          <w:szCs w:val="24"/>
        </w:rPr>
        <w:t>PSTR</w:t>
      </w:r>
      <w:r w:rsidRPr="001B558D">
        <w:rPr>
          <w:rFonts w:cs="Arial"/>
          <w:sz w:val="24"/>
          <w:szCs w:val="24"/>
        </w:rPr>
        <w:t xml:space="preserve"> for the duration of follow up, whilst plasma </w:t>
      </w:r>
      <w:r w:rsidR="00100A88">
        <w:rPr>
          <w:rFonts w:cs="Arial"/>
          <w:sz w:val="24"/>
          <w:szCs w:val="24"/>
        </w:rPr>
        <w:t>IL-6</w:t>
      </w:r>
      <w:r w:rsidRPr="001B558D">
        <w:rPr>
          <w:rFonts w:cs="Arial"/>
          <w:sz w:val="24"/>
          <w:szCs w:val="24"/>
        </w:rPr>
        <w:t xml:space="preserve"> had no effect. Whilst </w:t>
      </w:r>
      <w:r w:rsidR="00100A88">
        <w:rPr>
          <w:rFonts w:cs="Arial"/>
          <w:sz w:val="24"/>
          <w:szCs w:val="24"/>
        </w:rPr>
        <w:t>IL-6</w:t>
      </w:r>
      <w:r w:rsidRPr="001B558D">
        <w:rPr>
          <w:rFonts w:cs="Arial"/>
          <w:sz w:val="24"/>
          <w:szCs w:val="24"/>
        </w:rPr>
        <w:t xml:space="preserve"> has many immunomodulatory effects </w:t>
      </w:r>
      <w:r w:rsidRPr="00753B7F">
        <w:rPr>
          <w:rFonts w:cs="Arial"/>
          <w:sz w:val="24"/>
          <w:szCs w:val="24"/>
          <w:vertAlign w:val="superscript"/>
        </w:rPr>
        <w:t>2</w:t>
      </w:r>
      <w:r w:rsidR="00E97EBE">
        <w:rPr>
          <w:rFonts w:cs="Arial"/>
          <w:sz w:val="24"/>
          <w:szCs w:val="24"/>
          <w:vertAlign w:val="superscript"/>
        </w:rPr>
        <w:t>3</w:t>
      </w:r>
      <w:r w:rsidRPr="00753B7F">
        <w:rPr>
          <w:rFonts w:cs="Arial"/>
          <w:sz w:val="24"/>
          <w:szCs w:val="24"/>
          <w:vertAlign w:val="superscript"/>
        </w:rPr>
        <w:t>,2</w:t>
      </w:r>
      <w:r w:rsidR="00E97EBE">
        <w:rPr>
          <w:rFonts w:cs="Arial"/>
          <w:sz w:val="24"/>
          <w:szCs w:val="24"/>
          <w:vertAlign w:val="superscript"/>
        </w:rPr>
        <w:t>4</w:t>
      </w:r>
      <w:r w:rsidRPr="00753B7F">
        <w:rPr>
          <w:rFonts w:cs="Arial"/>
          <w:sz w:val="24"/>
          <w:szCs w:val="24"/>
        </w:rPr>
        <w:t xml:space="preserve"> recent observations linking </w:t>
      </w:r>
      <w:r w:rsidR="00100A88">
        <w:rPr>
          <w:rFonts w:cs="Arial"/>
          <w:sz w:val="24"/>
          <w:szCs w:val="24"/>
        </w:rPr>
        <w:t>IL-6</w:t>
      </w:r>
      <w:r w:rsidRPr="00753B7F">
        <w:rPr>
          <w:rFonts w:cs="Arial"/>
          <w:sz w:val="24"/>
          <w:szCs w:val="24"/>
        </w:rPr>
        <w:t xml:space="preserve"> signalling to </w:t>
      </w:r>
      <w:r w:rsidR="006E650D">
        <w:rPr>
          <w:rFonts w:cs="Arial"/>
          <w:sz w:val="24"/>
          <w:szCs w:val="24"/>
        </w:rPr>
        <w:t>peritoneal</w:t>
      </w:r>
      <w:r w:rsidR="006E650D" w:rsidRPr="00753B7F">
        <w:rPr>
          <w:rFonts w:cs="Arial"/>
          <w:sz w:val="24"/>
          <w:szCs w:val="24"/>
        </w:rPr>
        <w:t xml:space="preserve"> </w:t>
      </w:r>
      <w:r w:rsidR="008A6B50">
        <w:rPr>
          <w:rFonts w:cs="Arial"/>
          <w:sz w:val="24"/>
          <w:szCs w:val="24"/>
        </w:rPr>
        <w:t>VEGF</w:t>
      </w:r>
      <w:r w:rsidRPr="00753B7F">
        <w:rPr>
          <w:rFonts w:cs="Arial"/>
          <w:sz w:val="24"/>
          <w:szCs w:val="24"/>
        </w:rPr>
        <w:t xml:space="preserve"> production</w:t>
      </w:r>
      <w:r w:rsidR="006E650D">
        <w:rPr>
          <w:rFonts w:cs="Arial"/>
          <w:sz w:val="24"/>
          <w:szCs w:val="24"/>
        </w:rPr>
        <w:t xml:space="preserve"> provide</w:t>
      </w:r>
      <w:r w:rsidRPr="00753B7F">
        <w:rPr>
          <w:rFonts w:cs="Arial"/>
          <w:sz w:val="24"/>
          <w:szCs w:val="24"/>
        </w:rPr>
        <w:t xml:space="preserve"> a mechanism by which </w:t>
      </w:r>
      <w:r w:rsidR="00100A88">
        <w:rPr>
          <w:rFonts w:cs="Arial"/>
          <w:sz w:val="24"/>
          <w:szCs w:val="24"/>
        </w:rPr>
        <w:t>IL-6</w:t>
      </w:r>
      <w:r w:rsidRPr="00753B7F">
        <w:rPr>
          <w:rFonts w:cs="Arial"/>
          <w:sz w:val="24"/>
          <w:szCs w:val="24"/>
        </w:rPr>
        <w:t xml:space="preserve">, not </w:t>
      </w:r>
      <w:r w:rsidR="006E650D" w:rsidRPr="00753B7F">
        <w:rPr>
          <w:rFonts w:cs="Arial"/>
          <w:sz w:val="24"/>
          <w:szCs w:val="24"/>
        </w:rPr>
        <w:t xml:space="preserve">itself </w:t>
      </w:r>
      <w:r w:rsidRPr="00753B7F">
        <w:rPr>
          <w:rFonts w:cs="Arial"/>
          <w:sz w:val="24"/>
          <w:szCs w:val="24"/>
        </w:rPr>
        <w:t xml:space="preserve">vasoactive, might alter angiogenesis and vascular permeability in the peritoneal membrane. </w:t>
      </w:r>
      <w:r w:rsidRPr="00753B7F">
        <w:rPr>
          <w:rFonts w:cs="Arial"/>
          <w:sz w:val="24"/>
          <w:szCs w:val="24"/>
          <w:vertAlign w:val="superscript"/>
        </w:rPr>
        <w:t>2</w:t>
      </w:r>
      <w:r w:rsidR="00E97EBE">
        <w:rPr>
          <w:rFonts w:cs="Arial"/>
          <w:sz w:val="24"/>
          <w:szCs w:val="24"/>
          <w:vertAlign w:val="superscript"/>
        </w:rPr>
        <w:t>5</w:t>
      </w:r>
    </w:p>
    <w:p w14:paraId="281EE356" w14:textId="77777777" w:rsidR="00210F68" w:rsidRPr="001B558D" w:rsidRDefault="00E61FF8" w:rsidP="00195C12">
      <w:pPr>
        <w:tabs>
          <w:tab w:val="right" w:pos="9026"/>
        </w:tabs>
        <w:spacing w:line="480" w:lineRule="auto"/>
        <w:rPr>
          <w:rFonts w:cs="Arial"/>
          <w:sz w:val="24"/>
          <w:szCs w:val="24"/>
        </w:rPr>
      </w:pPr>
      <w:r w:rsidRPr="00753B7F">
        <w:rPr>
          <w:rFonts w:cs="Arial"/>
          <w:sz w:val="24"/>
          <w:szCs w:val="24"/>
        </w:rPr>
        <w:t>Baseline urine volume has previously been ass</w:t>
      </w:r>
      <w:r w:rsidRPr="001B558D">
        <w:rPr>
          <w:rFonts w:cs="Arial"/>
          <w:sz w:val="24"/>
          <w:szCs w:val="24"/>
        </w:rPr>
        <w:t xml:space="preserve">ociated with a faster solute transport, </w:t>
      </w:r>
      <w:r w:rsidRPr="001B558D">
        <w:rPr>
          <w:rFonts w:cs="Arial"/>
          <w:sz w:val="24"/>
          <w:szCs w:val="24"/>
          <w:vertAlign w:val="superscript"/>
        </w:rPr>
        <w:t>2</w:t>
      </w:r>
      <w:r w:rsidR="00E97EBE">
        <w:rPr>
          <w:sz w:val="24"/>
          <w:vertAlign w:val="superscript"/>
        </w:rPr>
        <w:t xml:space="preserve">6 </w:t>
      </w:r>
      <w:r w:rsidRPr="001B558D">
        <w:rPr>
          <w:rFonts w:cs="Arial"/>
          <w:sz w:val="24"/>
          <w:szCs w:val="24"/>
        </w:rPr>
        <w:t xml:space="preserve">a finding replicated in this analysis although with only weak to moderate evidence. As there was no association in this study between </w:t>
      </w:r>
      <w:r w:rsidR="00E16959">
        <w:rPr>
          <w:rFonts w:cstheme="minorHAnsi"/>
          <w:sz w:val="24"/>
          <w:szCs w:val="24"/>
        </w:rPr>
        <w:t>PSTR</w:t>
      </w:r>
      <w:r w:rsidRPr="001B558D">
        <w:rPr>
          <w:rFonts w:cs="Arial"/>
          <w:sz w:val="24"/>
          <w:szCs w:val="24"/>
        </w:rPr>
        <w:t xml:space="preserve"> and </w:t>
      </w:r>
      <w:r w:rsidR="00A72276">
        <w:rPr>
          <w:rFonts w:cs="Arial"/>
          <w:sz w:val="24"/>
          <w:szCs w:val="24"/>
        </w:rPr>
        <w:t>kidney</w:t>
      </w:r>
      <w:r w:rsidR="00A72276" w:rsidRPr="001B558D">
        <w:rPr>
          <w:rFonts w:cs="Arial"/>
          <w:sz w:val="24"/>
          <w:szCs w:val="24"/>
        </w:rPr>
        <w:t xml:space="preserve"> </w:t>
      </w:r>
      <w:r w:rsidR="00D57997">
        <w:rPr>
          <w:rFonts w:cs="Arial"/>
          <w:sz w:val="24"/>
          <w:szCs w:val="24"/>
        </w:rPr>
        <w:t>K</w:t>
      </w:r>
      <w:r w:rsidRPr="001B558D">
        <w:rPr>
          <w:rFonts w:cs="Arial"/>
          <w:sz w:val="24"/>
          <w:szCs w:val="24"/>
        </w:rPr>
        <w:t>t/</w:t>
      </w:r>
      <w:r w:rsidR="00D57997">
        <w:rPr>
          <w:rFonts w:cs="Arial"/>
          <w:sz w:val="24"/>
          <w:szCs w:val="24"/>
        </w:rPr>
        <w:t>V</w:t>
      </w:r>
      <w:r w:rsidRPr="001B558D">
        <w:rPr>
          <w:rFonts w:cs="Arial"/>
          <w:sz w:val="24"/>
          <w:szCs w:val="24"/>
        </w:rPr>
        <w:t xml:space="preserve"> or clearance the association with urine volume is more likely to be related to fluid balance than clearance </w:t>
      </w:r>
      <w:r w:rsidRPr="001B558D">
        <w:rPr>
          <w:rFonts w:cs="Arial"/>
          <w:i/>
          <w:sz w:val="24"/>
          <w:szCs w:val="24"/>
        </w:rPr>
        <w:t>per se</w:t>
      </w:r>
      <w:r w:rsidRPr="001B558D">
        <w:rPr>
          <w:rFonts w:cs="Arial"/>
          <w:sz w:val="24"/>
          <w:szCs w:val="24"/>
        </w:rPr>
        <w:t xml:space="preserve">. </w:t>
      </w:r>
    </w:p>
    <w:p w14:paraId="44041A15" w14:textId="77777777" w:rsidR="00A26F57" w:rsidRPr="001B558D" w:rsidRDefault="00E61FF8" w:rsidP="00195C12">
      <w:pPr>
        <w:tabs>
          <w:tab w:val="right" w:pos="9026"/>
        </w:tabs>
        <w:spacing w:line="480" w:lineRule="auto"/>
        <w:rPr>
          <w:rFonts w:cs="Arial"/>
          <w:sz w:val="24"/>
          <w:szCs w:val="24"/>
        </w:rPr>
      </w:pPr>
      <w:r w:rsidRPr="001B558D">
        <w:rPr>
          <w:rFonts w:cs="Arial"/>
          <w:sz w:val="24"/>
          <w:szCs w:val="24"/>
        </w:rPr>
        <w:t xml:space="preserve">Long-term </w:t>
      </w:r>
      <w:r w:rsidR="00BA7D0C">
        <w:rPr>
          <w:rFonts w:cs="Arial"/>
          <w:sz w:val="24"/>
          <w:szCs w:val="24"/>
        </w:rPr>
        <w:t>rises</w:t>
      </w:r>
      <w:r w:rsidR="00BA7D0C" w:rsidRPr="001B558D">
        <w:rPr>
          <w:rFonts w:cs="Arial"/>
          <w:sz w:val="24"/>
          <w:szCs w:val="24"/>
        </w:rPr>
        <w:t xml:space="preserve"> </w:t>
      </w:r>
      <w:r w:rsidRPr="001B558D">
        <w:rPr>
          <w:rFonts w:cs="Arial"/>
          <w:sz w:val="24"/>
          <w:szCs w:val="24"/>
        </w:rPr>
        <w:t xml:space="preserve">in </w:t>
      </w:r>
      <w:r w:rsidR="00E16959">
        <w:rPr>
          <w:rFonts w:cstheme="minorHAnsi"/>
          <w:sz w:val="24"/>
          <w:szCs w:val="24"/>
        </w:rPr>
        <w:t>PSTR</w:t>
      </w:r>
      <w:r w:rsidRPr="001B558D">
        <w:rPr>
          <w:rFonts w:cs="Arial"/>
          <w:sz w:val="24"/>
          <w:szCs w:val="24"/>
        </w:rPr>
        <w:t xml:space="preserve"> occur in patients with severe peritonitis or clusters of peritonitis episodes, </w:t>
      </w:r>
      <w:r w:rsidR="003C71B0" w:rsidRPr="00E61FF8">
        <w:rPr>
          <w:rFonts w:cs="Arial"/>
          <w:sz w:val="24"/>
          <w:szCs w:val="24"/>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cs="Arial"/>
          <w:sz w:val="24"/>
          <w:szCs w:val="24"/>
        </w:rPr>
        <w:instrText xml:space="preserve"> ADDIN EN.CITE </w:instrText>
      </w:r>
      <w:r w:rsidR="003C71B0" w:rsidRPr="006B278F">
        <w:rPr>
          <w:rFonts w:cs="Arial"/>
          <w:sz w:val="24"/>
          <w:szCs w:val="24"/>
        </w:rPr>
        <w:fldChar w:fldCharType="begin">
          <w:fldData xml:space="preserve">PEVuZE5vdGU+PENpdGU+PEF1dGhvcj5EYXZpZXM8L0F1dGhvcj48WWVhcj4xOTk2PC9ZZWFyPjxJ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</w:fldData>
        </w:fldChar>
      </w:r>
      <w:r w:rsidR="00942322" w:rsidRPr="00E61FF8">
        <w:rPr>
          <w:rFonts w:cs="Arial"/>
          <w:sz w:val="24"/>
          <w:szCs w:val="24"/>
        </w:rPr>
        <w:instrText xml:space="preserve"> ADDIN EN.CITE.DATA </w:instrText>
      </w:r>
      <w:r w:rsidR="003C71B0" w:rsidRPr="006B278F">
        <w:rPr>
          <w:rFonts w:cs="Arial"/>
          <w:sz w:val="24"/>
          <w:szCs w:val="24"/>
        </w:rPr>
      </w:r>
      <w:r w:rsidR="003C71B0" w:rsidRPr="006B278F">
        <w:rPr>
          <w:rFonts w:cs="Arial"/>
          <w:sz w:val="24"/>
          <w:szCs w:val="24"/>
        </w:rPr>
        <w:fldChar w:fldCharType="end"/>
      </w:r>
      <w:r w:rsidR="003C71B0" w:rsidRPr="00E61FF8">
        <w:rPr>
          <w:rFonts w:cs="Arial"/>
          <w:sz w:val="24"/>
          <w:szCs w:val="24"/>
        </w:rPr>
      </w:r>
      <w:r w:rsidR="003C71B0" w:rsidRPr="00E61FF8">
        <w:rPr>
          <w:rFonts w:cs="Arial"/>
          <w:sz w:val="24"/>
          <w:szCs w:val="24"/>
        </w:rPr>
        <w:fldChar w:fldCharType="separate"/>
      </w:r>
      <w:r w:rsidRPr="00E61FF8">
        <w:rPr>
          <w:rFonts w:cs="Arial"/>
          <w:noProof/>
          <w:sz w:val="24"/>
          <w:szCs w:val="24"/>
          <w:vertAlign w:val="superscript"/>
        </w:rPr>
        <w:t>1</w:t>
      </w:r>
      <w:r w:rsidR="003C71B0" w:rsidRPr="00E61FF8">
        <w:rPr>
          <w:rFonts w:cs="Arial"/>
          <w:sz w:val="24"/>
          <w:szCs w:val="24"/>
        </w:rPr>
        <w:fldChar w:fldCharType="end"/>
      </w:r>
      <w:r w:rsidRPr="00E61FF8">
        <w:rPr>
          <w:rFonts w:cs="Arial"/>
          <w:sz w:val="24"/>
          <w:szCs w:val="24"/>
        </w:rPr>
        <w:t xml:space="preserve"> and the increased power of this study extended this, showing a small but </w:t>
      </w:r>
      <w:r w:rsidR="00B1539E">
        <w:rPr>
          <w:rFonts w:cs="Arial"/>
          <w:sz w:val="24"/>
          <w:szCs w:val="24"/>
        </w:rPr>
        <w:t>measurable</w:t>
      </w:r>
      <w:r w:rsidR="00B1539E" w:rsidRPr="00E61FF8">
        <w:rPr>
          <w:rFonts w:cs="Arial"/>
          <w:sz w:val="24"/>
          <w:szCs w:val="24"/>
        </w:rPr>
        <w:t xml:space="preserve"> </w:t>
      </w:r>
      <w:r w:rsidRPr="00E61FF8">
        <w:rPr>
          <w:rFonts w:cs="Arial"/>
          <w:sz w:val="24"/>
          <w:szCs w:val="24"/>
        </w:rPr>
        <w:t xml:space="preserve">long-term </w:t>
      </w:r>
      <w:r w:rsidR="00BA7D0C">
        <w:rPr>
          <w:rFonts w:cs="Arial"/>
          <w:sz w:val="24"/>
          <w:szCs w:val="24"/>
        </w:rPr>
        <w:t>rise</w:t>
      </w:r>
      <w:r w:rsidR="00BA7D0C" w:rsidRPr="00E61FF8">
        <w:rPr>
          <w:rFonts w:cs="Arial"/>
          <w:sz w:val="24"/>
          <w:szCs w:val="24"/>
        </w:rPr>
        <w:t xml:space="preserve"> </w:t>
      </w:r>
      <w:r w:rsidRPr="00E61FF8">
        <w:rPr>
          <w:rFonts w:cs="Arial"/>
          <w:sz w:val="24"/>
          <w:szCs w:val="24"/>
        </w:rPr>
        <w:t xml:space="preserve">in </w:t>
      </w:r>
      <w:r w:rsidR="00E16959">
        <w:rPr>
          <w:rFonts w:cstheme="minorHAnsi"/>
          <w:sz w:val="24"/>
          <w:szCs w:val="24"/>
        </w:rPr>
        <w:t>PSTR</w:t>
      </w:r>
      <w:r w:rsidRPr="00E61FF8">
        <w:rPr>
          <w:rFonts w:cs="Arial"/>
          <w:sz w:val="24"/>
          <w:szCs w:val="24"/>
        </w:rPr>
        <w:t xml:space="preserve"> after a single episode for patients on </w:t>
      </w:r>
      <w:r w:rsidR="0066287E">
        <w:rPr>
          <w:rFonts w:cs="Arial"/>
          <w:sz w:val="24"/>
          <w:szCs w:val="24"/>
        </w:rPr>
        <w:t>standard solutions</w:t>
      </w:r>
      <w:r w:rsidRPr="00E61FF8">
        <w:rPr>
          <w:rFonts w:cs="Arial"/>
          <w:sz w:val="24"/>
          <w:szCs w:val="24"/>
        </w:rPr>
        <w:t xml:space="preserve">. This is consistent with another report suggesting that the first episode of peritonitis results in </w:t>
      </w:r>
      <w:r w:rsidR="00E16959">
        <w:rPr>
          <w:rFonts w:cs="Arial"/>
          <w:sz w:val="24"/>
          <w:szCs w:val="24"/>
        </w:rPr>
        <w:t>PSTR</w:t>
      </w:r>
      <w:r w:rsidRPr="00E61FF8">
        <w:rPr>
          <w:rFonts w:cs="Arial"/>
          <w:sz w:val="24"/>
          <w:szCs w:val="24"/>
        </w:rPr>
        <w:t xml:space="preserve"> cha</w:t>
      </w:r>
      <w:r w:rsidRPr="006330A2">
        <w:rPr>
          <w:rFonts w:cs="Arial"/>
          <w:sz w:val="24"/>
          <w:szCs w:val="24"/>
        </w:rPr>
        <w:t xml:space="preserve">nges. </w:t>
      </w:r>
      <w:r w:rsidRPr="006330A2">
        <w:rPr>
          <w:rFonts w:ascii="Arial" w:hAnsi="Arial" w:cs="Arial"/>
          <w:vertAlign w:val="superscript"/>
        </w:rPr>
        <w:t>2</w:t>
      </w:r>
      <w:r w:rsidR="00E97EBE">
        <w:rPr>
          <w:rFonts w:ascii="Arial" w:hAnsi="Arial" w:cs="Arial"/>
          <w:vertAlign w:val="superscript"/>
        </w:rPr>
        <w:t>7</w:t>
      </w:r>
      <w:r w:rsidRPr="006330A2">
        <w:rPr>
          <w:rFonts w:cs="Arial"/>
          <w:sz w:val="24"/>
          <w:szCs w:val="24"/>
        </w:rPr>
        <w:t xml:space="preserve"> </w:t>
      </w:r>
    </w:p>
    <w:p w14:paraId="6C69682D" w14:textId="77777777" w:rsidR="00092222" w:rsidRPr="001B558D" w:rsidRDefault="00E61FF8" w:rsidP="00195C12">
      <w:pPr>
        <w:tabs>
          <w:tab w:val="right" w:pos="9026"/>
        </w:tabs>
        <w:spacing w:line="480" w:lineRule="auto"/>
        <w:rPr>
          <w:sz w:val="24"/>
          <w:vertAlign w:val="superscript"/>
        </w:rPr>
      </w:pPr>
      <w:r w:rsidRPr="00753B7F">
        <w:rPr>
          <w:rFonts w:cs="Arial"/>
          <w:sz w:val="24"/>
          <w:szCs w:val="24"/>
        </w:rPr>
        <w:t>Whilst we did find a significant change in solute transport over time with biocompatible solution</w:t>
      </w:r>
      <w:r>
        <w:rPr>
          <w:rFonts w:cs="Arial"/>
          <w:sz w:val="24"/>
          <w:szCs w:val="24"/>
        </w:rPr>
        <w:t>s</w:t>
      </w:r>
      <w:r w:rsidRPr="00E61FF8">
        <w:rPr>
          <w:rFonts w:cs="Arial"/>
          <w:sz w:val="24"/>
          <w:szCs w:val="24"/>
        </w:rPr>
        <w:t xml:space="preserve">, the association between peritonitis and a faster </w:t>
      </w:r>
      <w:r w:rsidR="00E16959">
        <w:rPr>
          <w:rFonts w:cs="Arial"/>
          <w:sz w:val="24"/>
          <w:szCs w:val="24"/>
        </w:rPr>
        <w:t>PSTR</w:t>
      </w:r>
      <w:r w:rsidR="009920DC">
        <w:rPr>
          <w:rFonts w:cs="Arial"/>
          <w:sz w:val="24"/>
          <w:szCs w:val="24"/>
        </w:rPr>
        <w:t xml:space="preserve"> disappeared in patients using</w:t>
      </w:r>
      <w:r w:rsidRPr="00E61FF8">
        <w:rPr>
          <w:rFonts w:cs="Arial"/>
          <w:sz w:val="24"/>
          <w:szCs w:val="24"/>
        </w:rPr>
        <w:t xml:space="preserve"> biocompatible solutions. One potential explanation for this protective effect could be reduced severity of peritonitis with</w:t>
      </w:r>
      <w:r w:rsidRPr="006330A2">
        <w:rPr>
          <w:rFonts w:cs="Arial"/>
          <w:sz w:val="24"/>
          <w:szCs w:val="24"/>
        </w:rPr>
        <w:t xml:space="preserve"> biocompatible solutions, as suggested in the </w:t>
      </w:r>
      <w:r w:rsidR="008A6B50">
        <w:rPr>
          <w:rFonts w:cs="Arial"/>
          <w:sz w:val="24"/>
          <w:szCs w:val="24"/>
        </w:rPr>
        <w:t>B</w:t>
      </w:r>
      <w:r w:rsidRPr="006330A2">
        <w:rPr>
          <w:rFonts w:cs="Arial"/>
          <w:sz w:val="24"/>
          <w:szCs w:val="24"/>
        </w:rPr>
        <w:t>al</w:t>
      </w:r>
      <w:r w:rsidR="00A80F33">
        <w:rPr>
          <w:rFonts w:cs="Arial"/>
          <w:sz w:val="24"/>
          <w:szCs w:val="24"/>
        </w:rPr>
        <w:t>ANZ</w:t>
      </w:r>
      <w:r w:rsidRPr="006330A2">
        <w:rPr>
          <w:rFonts w:cs="Arial"/>
          <w:sz w:val="24"/>
          <w:szCs w:val="24"/>
        </w:rPr>
        <w:t xml:space="preserve"> study. </w:t>
      </w:r>
      <w:r w:rsidRPr="001B558D">
        <w:rPr>
          <w:rFonts w:ascii="Arial" w:hAnsi="Arial" w:cs="Arial"/>
          <w:vertAlign w:val="superscript"/>
        </w:rPr>
        <w:t>1</w:t>
      </w:r>
      <w:r w:rsidR="00E97EBE">
        <w:rPr>
          <w:rFonts w:ascii="Arial" w:hAnsi="Arial" w:cs="Arial"/>
          <w:vertAlign w:val="superscript"/>
        </w:rPr>
        <w:t>6</w:t>
      </w:r>
    </w:p>
    <w:p w14:paraId="22CE6A4E" w14:textId="18B496F9" w:rsidR="000C1C1D" w:rsidRPr="001B558D" w:rsidRDefault="00E61FF8" w:rsidP="00195C12">
      <w:pPr>
        <w:tabs>
          <w:tab w:val="right" w:pos="9026"/>
        </w:tabs>
        <w:spacing w:line="480" w:lineRule="auto"/>
        <w:rPr>
          <w:rFonts w:cs="Arial"/>
          <w:sz w:val="24"/>
          <w:szCs w:val="24"/>
        </w:rPr>
      </w:pPr>
      <w:r w:rsidRPr="00753B7F">
        <w:rPr>
          <w:rFonts w:cs="Arial"/>
          <w:color w:val="000000" w:themeColor="text1"/>
          <w:sz w:val="24"/>
          <w:szCs w:val="24"/>
        </w:rPr>
        <w:t xml:space="preserve">The strengths of the current study lie in the large size ensuring adequate power, good generalisability with different centres in different countries and the robust and validated statistical approach. </w:t>
      </w:r>
      <w:r w:rsidRPr="00753B7F">
        <w:rPr>
          <w:rFonts w:cs="Arial"/>
          <w:sz w:val="24"/>
          <w:szCs w:val="24"/>
        </w:rPr>
        <w:t xml:space="preserve">The limitations of our analysis include the observational nature of the study, meaning that causality cannot be proven although there were few clinically significant differences between the two patient groups with extensive adjustment for potential confounders. As with all </w:t>
      </w:r>
      <w:r w:rsidR="00FD3AD4">
        <w:rPr>
          <w:rFonts w:cs="Arial"/>
          <w:sz w:val="24"/>
          <w:szCs w:val="24"/>
        </w:rPr>
        <w:t>PD</w:t>
      </w:r>
      <w:r w:rsidRPr="001B558D">
        <w:rPr>
          <w:rFonts w:cs="Arial"/>
          <w:sz w:val="24"/>
          <w:szCs w:val="24"/>
        </w:rPr>
        <w:t xml:space="preserve"> studies, informative censoring is a potential i</w:t>
      </w:r>
      <w:r w:rsidR="0066287E">
        <w:rPr>
          <w:rFonts w:cs="Arial"/>
          <w:sz w:val="24"/>
          <w:szCs w:val="24"/>
        </w:rPr>
        <w:t>ss</w:t>
      </w:r>
      <w:r w:rsidRPr="001B558D">
        <w:rPr>
          <w:rFonts w:cs="Arial"/>
          <w:sz w:val="24"/>
          <w:szCs w:val="24"/>
        </w:rPr>
        <w:t>ue with no</w:t>
      </w:r>
      <w:r w:rsidRPr="00753B7F">
        <w:rPr>
          <w:rFonts w:cs="Arial"/>
          <w:sz w:val="24"/>
          <w:szCs w:val="24"/>
        </w:rPr>
        <w:t xml:space="preserve">n-random dropout of patients. We used an ‘as treated analysis’, excluding patients who switched between standard and biocompatible solutions, limiting the generalisability of the results although there were few significant differences in baseline characteristics between those included and excluded. We did not have sufficient data </w:t>
      </w:r>
      <w:r w:rsidR="0085640D">
        <w:rPr>
          <w:rFonts w:cs="Arial"/>
          <w:sz w:val="24"/>
          <w:szCs w:val="24"/>
        </w:rPr>
        <w:t>within</w:t>
      </w:r>
      <w:r w:rsidRPr="00753B7F">
        <w:rPr>
          <w:rFonts w:cs="Arial"/>
          <w:sz w:val="24"/>
          <w:szCs w:val="24"/>
        </w:rPr>
        <w:t xml:space="preserve"> the first two months of </w:t>
      </w:r>
      <w:r w:rsidR="00FD3AD4">
        <w:rPr>
          <w:rFonts w:cs="Arial"/>
          <w:sz w:val="24"/>
          <w:szCs w:val="24"/>
        </w:rPr>
        <w:t>PD</w:t>
      </w:r>
      <w:r w:rsidRPr="001B558D">
        <w:rPr>
          <w:rFonts w:cs="Arial"/>
          <w:sz w:val="24"/>
          <w:szCs w:val="24"/>
        </w:rPr>
        <w:t xml:space="preserve"> to adequately model the rapid changes known to occur in this period. The biocompatible solutions group as a smaller cohort had a lower number of peritonitis episodes compared to </w:t>
      </w:r>
      <w:r w:rsidR="0066287E">
        <w:rPr>
          <w:rFonts w:cs="Arial"/>
          <w:sz w:val="24"/>
          <w:szCs w:val="24"/>
        </w:rPr>
        <w:t>standard solutions</w:t>
      </w:r>
      <w:r w:rsidRPr="001B558D">
        <w:rPr>
          <w:rFonts w:cs="Arial"/>
          <w:sz w:val="24"/>
          <w:szCs w:val="24"/>
        </w:rPr>
        <w:t xml:space="preserve"> but the estimated effects had narrow confidence intervals. There were too few patients to test whether effects differed by manufacturer.</w:t>
      </w:r>
    </w:p>
    <w:p w14:paraId="63D0F1CC" w14:textId="77777777" w:rsidR="00084352" w:rsidRPr="001B558D" w:rsidRDefault="00E61FF8" w:rsidP="00195C12">
      <w:pPr>
        <w:spacing w:line="480" w:lineRule="auto"/>
        <w:rPr>
          <w:rFonts w:cs="Arial"/>
          <w:sz w:val="24"/>
          <w:szCs w:val="24"/>
        </w:rPr>
      </w:pPr>
      <w:r w:rsidRPr="001B558D">
        <w:rPr>
          <w:rFonts w:cs="Arial"/>
          <w:sz w:val="24"/>
          <w:szCs w:val="24"/>
        </w:rPr>
        <w:t>In conclusion, the use of biocompatible solutions</w:t>
      </w:r>
      <w:r w:rsidRPr="00753B7F">
        <w:rPr>
          <w:rFonts w:cs="Arial"/>
          <w:sz w:val="24"/>
          <w:szCs w:val="24"/>
        </w:rPr>
        <w:t xml:space="preserve"> (in this case irrespective of manufacturer) was ass</w:t>
      </w:r>
      <w:r w:rsidRPr="001B558D">
        <w:rPr>
          <w:rFonts w:cs="Arial"/>
          <w:sz w:val="24"/>
          <w:szCs w:val="24"/>
        </w:rPr>
        <w:t xml:space="preserve">ociated with alterations in solute transport rates at different phases of </w:t>
      </w:r>
      <w:r w:rsidR="00FD3AD4">
        <w:rPr>
          <w:rFonts w:cs="Arial"/>
          <w:sz w:val="24"/>
          <w:szCs w:val="24"/>
        </w:rPr>
        <w:t>PD</w:t>
      </w:r>
      <w:r w:rsidRPr="001B558D">
        <w:rPr>
          <w:rFonts w:cs="Arial"/>
          <w:sz w:val="24"/>
          <w:szCs w:val="24"/>
        </w:rPr>
        <w:t xml:space="preserve"> treatment</w:t>
      </w:r>
      <w:r w:rsidR="00EB61DC">
        <w:rPr>
          <w:rFonts w:cs="Arial"/>
          <w:sz w:val="24"/>
          <w:szCs w:val="24"/>
        </w:rPr>
        <w:t>. I</w:t>
      </w:r>
      <w:r w:rsidRPr="001B558D">
        <w:rPr>
          <w:rFonts w:cs="Arial"/>
          <w:sz w:val="24"/>
          <w:szCs w:val="24"/>
        </w:rPr>
        <w:t>nitially slower and then equivalent at two years</w:t>
      </w:r>
      <w:r w:rsidR="00EB61DC">
        <w:rPr>
          <w:rFonts w:cs="Arial"/>
          <w:sz w:val="24"/>
          <w:szCs w:val="24"/>
        </w:rPr>
        <w:t xml:space="preserve"> biocompatible solutions then have a stable PSTR between 2 and 4 years</w:t>
      </w:r>
      <w:r w:rsidRPr="00753B7F">
        <w:rPr>
          <w:rFonts w:cs="Arial"/>
          <w:sz w:val="24"/>
          <w:szCs w:val="24"/>
        </w:rPr>
        <w:t>. These findings add weight to the notion that biocompatible solutions may have long-term clinical benefits although appropriately powered studies will be required to definitively show this is a</w:t>
      </w:r>
      <w:r w:rsidR="0066287E">
        <w:rPr>
          <w:rFonts w:cs="Arial"/>
          <w:sz w:val="24"/>
          <w:szCs w:val="24"/>
        </w:rPr>
        <w:t>ss</w:t>
      </w:r>
      <w:r w:rsidRPr="001B558D">
        <w:rPr>
          <w:rFonts w:cs="Arial"/>
          <w:sz w:val="24"/>
          <w:szCs w:val="24"/>
        </w:rPr>
        <w:t>ociated with improved outcomes.</w:t>
      </w:r>
    </w:p>
    <w:p w14:paraId="61D9198A" w14:textId="77777777" w:rsidR="00195C12" w:rsidRDefault="005E4050" w:rsidP="00195C12">
      <w:pPr>
        <w:spacing w:line="480" w:lineRule="auto"/>
        <w:rPr>
          <w:rFonts w:cs="Arial"/>
          <w:sz w:val="24"/>
          <w:szCs w:val="24"/>
        </w:rPr>
        <w:sectPr w:rsidR="00195C12" w:rsidSect="001B43D7">
          <w:pgSz w:w="11906" w:h="16838"/>
          <w:pgMar w:top="1440" w:right="1440" w:bottom="1440" w:left="1440" w:header="708" w:footer="708" w:gutter="0"/>
          <w:cols w:space="708"/>
          <w:docGrid w:linePitch="360"/>
        </w:sectPr>
      </w:pPr>
      <w:r>
        <w:rPr>
          <w:rFonts w:cs="Arial"/>
          <w:sz w:val="24"/>
          <w:szCs w:val="24"/>
        </w:rPr>
        <w:t xml:space="preserve"> </w:t>
      </w:r>
    </w:p>
    <w:p w14:paraId="60B5BBB1" w14:textId="77777777" w:rsidR="008A0017" w:rsidRDefault="008A0017">
      <w:pPr>
        <w:rPr>
          <w:rFonts w:cs="Arial"/>
          <w:b/>
          <w:sz w:val="24"/>
          <w:szCs w:val="24"/>
        </w:rPr>
      </w:pPr>
      <w:r>
        <w:rPr>
          <w:rFonts w:cs="Arial"/>
          <w:b/>
          <w:sz w:val="24"/>
          <w:szCs w:val="24"/>
        </w:rPr>
        <w:t>Disclosures</w:t>
      </w:r>
    </w:p>
    <w:p w14:paraId="36EE591B" w14:textId="77777777" w:rsidR="0065506F" w:rsidRDefault="0065506F">
      <w:pPr>
        <w:rPr>
          <w:rFonts w:cs="Arial"/>
          <w:b/>
          <w:sz w:val="24"/>
          <w:szCs w:val="24"/>
        </w:rPr>
      </w:pPr>
    </w:p>
    <w:p w14:paraId="70DD388C" w14:textId="77777777" w:rsidR="00F62896" w:rsidRDefault="00F62896">
      <w:pPr>
        <w:rPr>
          <w:rFonts w:cs="Arial"/>
          <w:sz w:val="24"/>
          <w:szCs w:val="24"/>
        </w:rPr>
      </w:pPr>
      <w:r>
        <w:rPr>
          <w:rFonts w:cs="Arial"/>
          <w:sz w:val="24"/>
          <w:szCs w:val="24"/>
        </w:rPr>
        <w:t xml:space="preserve">EE, LT, </w:t>
      </w:r>
      <w:r w:rsidR="00FC6B28">
        <w:rPr>
          <w:rFonts w:cs="Arial"/>
          <w:sz w:val="24"/>
          <w:szCs w:val="24"/>
        </w:rPr>
        <w:t>JC</w:t>
      </w:r>
      <w:r w:rsidR="00ED13FC">
        <w:rPr>
          <w:rFonts w:cs="Arial"/>
          <w:sz w:val="24"/>
          <w:szCs w:val="24"/>
        </w:rPr>
        <w:t xml:space="preserve">, </w:t>
      </w:r>
      <w:r w:rsidR="005D75AF">
        <w:rPr>
          <w:rFonts w:cs="Arial"/>
          <w:sz w:val="24"/>
          <w:szCs w:val="24"/>
        </w:rPr>
        <w:t xml:space="preserve">Y-LK, J-YD, H-BL, SD, </w:t>
      </w:r>
      <w:r w:rsidR="00ED13FC">
        <w:rPr>
          <w:rFonts w:cs="Arial"/>
          <w:sz w:val="24"/>
          <w:szCs w:val="24"/>
        </w:rPr>
        <w:t>NT</w:t>
      </w:r>
      <w:r w:rsidR="005D75AF">
        <w:rPr>
          <w:rFonts w:cs="Arial"/>
          <w:sz w:val="24"/>
          <w:szCs w:val="24"/>
        </w:rPr>
        <w:t>,</w:t>
      </w:r>
      <w:r w:rsidR="00ED13FC">
        <w:rPr>
          <w:rFonts w:cs="Arial"/>
          <w:sz w:val="24"/>
          <w:szCs w:val="24"/>
        </w:rPr>
        <w:t xml:space="preserve"> </w:t>
      </w:r>
      <w:r w:rsidR="005D75AF">
        <w:rPr>
          <w:rFonts w:cs="Arial"/>
          <w:sz w:val="24"/>
          <w:szCs w:val="24"/>
        </w:rPr>
        <w:t xml:space="preserve">SJD </w:t>
      </w:r>
      <w:r>
        <w:rPr>
          <w:rFonts w:cs="Arial"/>
          <w:sz w:val="24"/>
          <w:szCs w:val="24"/>
        </w:rPr>
        <w:t xml:space="preserve">and </w:t>
      </w:r>
      <w:r w:rsidR="005D75AF">
        <w:rPr>
          <w:rFonts w:cs="Arial"/>
          <w:sz w:val="24"/>
          <w:szCs w:val="24"/>
        </w:rPr>
        <w:t xml:space="preserve">ML </w:t>
      </w:r>
      <w:r>
        <w:rPr>
          <w:rFonts w:cs="Arial"/>
          <w:sz w:val="24"/>
          <w:szCs w:val="24"/>
        </w:rPr>
        <w:t>have no conflicts to declare.</w:t>
      </w:r>
    </w:p>
    <w:p w14:paraId="71CF4798" w14:textId="77777777" w:rsidR="008A0017" w:rsidRDefault="008A0017">
      <w:pPr>
        <w:rPr>
          <w:rFonts w:cs="Arial"/>
          <w:b/>
          <w:sz w:val="24"/>
          <w:szCs w:val="24"/>
        </w:rPr>
      </w:pPr>
      <w:r>
        <w:rPr>
          <w:rFonts w:cs="Arial"/>
          <w:b/>
          <w:sz w:val="24"/>
          <w:szCs w:val="24"/>
        </w:rPr>
        <w:br w:type="page"/>
      </w:r>
    </w:p>
    <w:p w14:paraId="37FA926C" w14:textId="77777777" w:rsidR="00874AF7" w:rsidRPr="00874AF7" w:rsidRDefault="00874AF7" w:rsidP="00195C12">
      <w:pPr>
        <w:spacing w:line="480" w:lineRule="auto"/>
        <w:rPr>
          <w:rFonts w:cs="Arial"/>
          <w:b/>
          <w:sz w:val="24"/>
          <w:szCs w:val="24"/>
        </w:rPr>
      </w:pPr>
      <w:r w:rsidRPr="00874AF7">
        <w:rPr>
          <w:rFonts w:cs="Arial"/>
          <w:b/>
          <w:sz w:val="24"/>
          <w:szCs w:val="24"/>
        </w:rPr>
        <w:t>Acknowledgements</w:t>
      </w:r>
    </w:p>
    <w:p w14:paraId="22D00AFC" w14:textId="77777777" w:rsidR="00874AF7" w:rsidRPr="00874AF7" w:rsidRDefault="00874AF7" w:rsidP="00874AF7">
      <w:pPr>
        <w:spacing w:line="480" w:lineRule="auto"/>
        <w:rPr>
          <w:rFonts w:cs="Arial"/>
          <w:sz w:val="24"/>
          <w:szCs w:val="24"/>
        </w:rPr>
      </w:pPr>
      <w:r w:rsidRPr="00874AF7">
        <w:rPr>
          <w:rFonts w:cs="Arial"/>
          <w:sz w:val="24"/>
          <w:szCs w:val="24"/>
        </w:rPr>
        <w:t>The authors would like to acknowledge the support of Anna-Clare</w:t>
      </w:r>
      <w:r>
        <w:rPr>
          <w:rFonts w:cs="Arial"/>
          <w:sz w:val="24"/>
          <w:szCs w:val="24"/>
        </w:rPr>
        <w:t xml:space="preserve"> </w:t>
      </w:r>
      <w:r w:rsidRPr="00874AF7">
        <w:rPr>
          <w:rFonts w:cs="Arial"/>
          <w:sz w:val="24"/>
          <w:szCs w:val="24"/>
        </w:rPr>
        <w:t>Smith, Kathryn Craig, Maureen Fallon, and Charlotte James in the</w:t>
      </w:r>
      <w:r>
        <w:rPr>
          <w:rFonts w:cs="Arial"/>
          <w:sz w:val="24"/>
          <w:szCs w:val="24"/>
        </w:rPr>
        <w:t xml:space="preserve"> </w:t>
      </w:r>
      <w:r w:rsidRPr="00874AF7">
        <w:rPr>
          <w:rFonts w:cs="Arial"/>
          <w:sz w:val="24"/>
          <w:szCs w:val="24"/>
        </w:rPr>
        <w:t>coordination of the GLOBAL</w:t>
      </w:r>
      <w:r>
        <w:rPr>
          <w:rFonts w:cs="Arial"/>
          <w:sz w:val="24"/>
          <w:szCs w:val="24"/>
        </w:rPr>
        <w:t xml:space="preserve"> </w:t>
      </w:r>
      <w:r w:rsidRPr="00874AF7">
        <w:rPr>
          <w:rFonts w:cs="Arial"/>
          <w:sz w:val="24"/>
          <w:szCs w:val="24"/>
        </w:rPr>
        <w:t>study and the following clinical staff in the</w:t>
      </w:r>
      <w:r>
        <w:rPr>
          <w:rFonts w:cs="Arial"/>
          <w:sz w:val="24"/>
          <w:szCs w:val="24"/>
        </w:rPr>
        <w:t xml:space="preserve"> </w:t>
      </w:r>
      <w:r w:rsidRPr="00874AF7">
        <w:rPr>
          <w:rFonts w:cs="Arial"/>
          <w:sz w:val="24"/>
          <w:szCs w:val="24"/>
        </w:rPr>
        <w:t>centers in coordination of sample and clinical data collection: Hilary</w:t>
      </w:r>
      <w:r>
        <w:rPr>
          <w:rFonts w:cs="Arial"/>
          <w:sz w:val="24"/>
          <w:szCs w:val="24"/>
        </w:rPr>
        <w:t xml:space="preserve"> </w:t>
      </w:r>
      <w:r w:rsidRPr="00874AF7">
        <w:rPr>
          <w:rFonts w:cs="Arial"/>
          <w:sz w:val="24"/>
          <w:szCs w:val="24"/>
        </w:rPr>
        <w:t>Huxtable, SRN (Renal Unit, Morriston Hospital, Swansea, United</w:t>
      </w:r>
      <w:r>
        <w:rPr>
          <w:rFonts w:cs="Arial"/>
          <w:sz w:val="24"/>
          <w:szCs w:val="24"/>
        </w:rPr>
        <w:t xml:space="preserve"> </w:t>
      </w:r>
      <w:r w:rsidRPr="00874AF7">
        <w:rPr>
          <w:rFonts w:cs="Arial"/>
          <w:sz w:val="24"/>
          <w:szCs w:val="24"/>
        </w:rPr>
        <w:t>Kingdom);</w:t>
      </w:r>
      <w:r>
        <w:rPr>
          <w:rFonts w:cs="Arial"/>
          <w:sz w:val="24"/>
          <w:szCs w:val="24"/>
        </w:rPr>
        <w:t xml:space="preserve"> Dr. Paul Williams,</w:t>
      </w:r>
      <w:r w:rsidRPr="00874AF7">
        <w:rPr>
          <w:rFonts w:cs="Arial"/>
          <w:sz w:val="24"/>
          <w:szCs w:val="24"/>
        </w:rPr>
        <w:t xml:space="preserve"> Gill Gilbert, RGN (Hons) (Ipswich Hospital NHS Trust);</w:t>
      </w:r>
      <w:r>
        <w:rPr>
          <w:rFonts w:cs="Arial"/>
          <w:sz w:val="24"/>
          <w:szCs w:val="24"/>
        </w:rPr>
        <w:t xml:space="preserve"> </w:t>
      </w:r>
      <w:r w:rsidRPr="00874AF7">
        <w:rPr>
          <w:rFonts w:cs="Arial"/>
          <w:sz w:val="24"/>
          <w:szCs w:val="24"/>
        </w:rPr>
        <w:t>Catherine Jones, RGN, and Jane Hollis, RGN (Hons) (Cambridge</w:t>
      </w:r>
      <w:r>
        <w:rPr>
          <w:rFonts w:cs="Arial"/>
          <w:sz w:val="24"/>
          <w:szCs w:val="24"/>
        </w:rPr>
        <w:t xml:space="preserve"> </w:t>
      </w:r>
      <w:r w:rsidRPr="00874AF7">
        <w:rPr>
          <w:rFonts w:cs="Arial"/>
          <w:sz w:val="24"/>
          <w:szCs w:val="24"/>
        </w:rPr>
        <w:t>University Hospitals, NHS Foundation Trust); Jung-Ju Seo (Kyungpook</w:t>
      </w:r>
      <w:r>
        <w:rPr>
          <w:rFonts w:cs="Arial"/>
          <w:sz w:val="24"/>
          <w:szCs w:val="24"/>
        </w:rPr>
        <w:t xml:space="preserve"> </w:t>
      </w:r>
      <w:r w:rsidRPr="00874AF7">
        <w:rPr>
          <w:rFonts w:cs="Arial"/>
          <w:sz w:val="24"/>
          <w:szCs w:val="24"/>
        </w:rPr>
        <w:t>National University Hospital, Daegu, South Korea); Kei-Lim Shin</w:t>
      </w:r>
      <w:r>
        <w:rPr>
          <w:rFonts w:cs="Arial"/>
          <w:sz w:val="24"/>
          <w:szCs w:val="24"/>
        </w:rPr>
        <w:t xml:space="preserve"> </w:t>
      </w:r>
      <w:r w:rsidRPr="00874AF7">
        <w:rPr>
          <w:rFonts w:cs="Arial"/>
          <w:sz w:val="24"/>
          <w:szCs w:val="24"/>
        </w:rPr>
        <w:t>(Yeungnam</w:t>
      </w:r>
      <w:r>
        <w:rPr>
          <w:rFonts w:cs="Arial"/>
          <w:sz w:val="24"/>
          <w:szCs w:val="24"/>
        </w:rPr>
        <w:t xml:space="preserve"> </w:t>
      </w:r>
      <w:r w:rsidRPr="00874AF7">
        <w:rPr>
          <w:rFonts w:cs="Arial"/>
          <w:sz w:val="24"/>
          <w:szCs w:val="24"/>
        </w:rPr>
        <w:t>University</w:t>
      </w:r>
      <w:r>
        <w:rPr>
          <w:rFonts w:cs="Arial"/>
          <w:sz w:val="24"/>
          <w:szCs w:val="24"/>
        </w:rPr>
        <w:t xml:space="preserve"> </w:t>
      </w:r>
      <w:r w:rsidRPr="00874AF7">
        <w:rPr>
          <w:rFonts w:cs="Arial"/>
          <w:sz w:val="24"/>
          <w:szCs w:val="24"/>
        </w:rPr>
        <w:t>Hospital, Daegu, South Korea); Sung</w:t>
      </w:r>
      <w:r>
        <w:rPr>
          <w:rFonts w:cs="Arial"/>
          <w:sz w:val="24"/>
          <w:szCs w:val="24"/>
        </w:rPr>
        <w:t xml:space="preserve"> </w:t>
      </w:r>
      <w:r w:rsidRPr="00874AF7">
        <w:rPr>
          <w:rFonts w:cs="Arial"/>
          <w:sz w:val="24"/>
          <w:szCs w:val="24"/>
        </w:rPr>
        <w:t>Hee Chung</w:t>
      </w:r>
      <w:r>
        <w:rPr>
          <w:rFonts w:cs="Arial"/>
          <w:sz w:val="24"/>
          <w:szCs w:val="24"/>
        </w:rPr>
        <w:t xml:space="preserve"> </w:t>
      </w:r>
      <w:r w:rsidRPr="00874AF7">
        <w:rPr>
          <w:rFonts w:cs="Arial"/>
          <w:sz w:val="24"/>
          <w:szCs w:val="24"/>
        </w:rPr>
        <w:t>(Hyonam Kidney Laboratory, Soon Chun</w:t>
      </w:r>
      <w:r>
        <w:rPr>
          <w:rFonts w:cs="Arial"/>
          <w:sz w:val="24"/>
          <w:szCs w:val="24"/>
        </w:rPr>
        <w:t xml:space="preserve"> </w:t>
      </w:r>
      <w:r w:rsidRPr="00874AF7">
        <w:rPr>
          <w:rFonts w:cs="Arial"/>
          <w:sz w:val="24"/>
          <w:szCs w:val="24"/>
        </w:rPr>
        <w:t>Hyang University, Seoul, South</w:t>
      </w:r>
      <w:r>
        <w:rPr>
          <w:rFonts w:cs="Arial"/>
          <w:sz w:val="24"/>
          <w:szCs w:val="24"/>
        </w:rPr>
        <w:t xml:space="preserve"> </w:t>
      </w:r>
      <w:r w:rsidRPr="00874AF7">
        <w:rPr>
          <w:rFonts w:cs="Arial"/>
          <w:sz w:val="24"/>
          <w:szCs w:val="24"/>
        </w:rPr>
        <w:t>Korea);</w:t>
      </w:r>
      <w:r>
        <w:rPr>
          <w:rFonts w:cs="Arial"/>
          <w:sz w:val="24"/>
          <w:szCs w:val="24"/>
        </w:rPr>
        <w:t xml:space="preserve"> Dr. Marc Dorval,</w:t>
      </w:r>
      <w:r w:rsidRPr="00874AF7">
        <w:rPr>
          <w:rFonts w:cs="Arial"/>
          <w:sz w:val="24"/>
          <w:szCs w:val="24"/>
        </w:rPr>
        <w:t xml:space="preserve"> Joanne Leblanc-Chia</w:t>
      </w:r>
      <w:r w:rsidR="0066287E">
        <w:rPr>
          <w:rFonts w:cs="Arial"/>
          <w:sz w:val="24"/>
          <w:szCs w:val="24"/>
        </w:rPr>
        <w:t>ss</w:t>
      </w:r>
      <w:r w:rsidRPr="00874AF7">
        <w:rPr>
          <w:rFonts w:cs="Arial"/>
          <w:sz w:val="24"/>
          <w:szCs w:val="24"/>
        </w:rPr>
        <w:t>on, Rachel Belliveau, and Régina Arsenault (research a</w:t>
      </w:r>
      <w:r w:rsidR="0066287E">
        <w:rPr>
          <w:rFonts w:cs="Arial"/>
          <w:sz w:val="24"/>
          <w:szCs w:val="24"/>
        </w:rPr>
        <w:t>ss</w:t>
      </w:r>
      <w:r w:rsidRPr="00874AF7">
        <w:rPr>
          <w:rFonts w:cs="Arial"/>
          <w:sz w:val="24"/>
          <w:szCs w:val="24"/>
        </w:rPr>
        <w:t xml:space="preserve">istant) (Dr. Georges-L.-Dumont </w:t>
      </w:r>
      <w:r>
        <w:rPr>
          <w:rFonts w:cs="Arial"/>
          <w:sz w:val="24"/>
          <w:szCs w:val="24"/>
        </w:rPr>
        <w:t xml:space="preserve"> H</w:t>
      </w:r>
      <w:r w:rsidRPr="00874AF7">
        <w:rPr>
          <w:rFonts w:cs="Arial"/>
          <w:sz w:val="24"/>
          <w:szCs w:val="24"/>
        </w:rPr>
        <w:t>ospital, Moncton, New Brunswick, Canada); Kathy Yetzer and Donna Hackman</w:t>
      </w:r>
      <w:r>
        <w:rPr>
          <w:rFonts w:cs="Arial"/>
          <w:sz w:val="24"/>
          <w:szCs w:val="24"/>
        </w:rPr>
        <w:t xml:space="preserve"> </w:t>
      </w:r>
      <w:r w:rsidRPr="00874AF7">
        <w:rPr>
          <w:rFonts w:cs="Arial"/>
          <w:sz w:val="24"/>
          <w:szCs w:val="24"/>
        </w:rPr>
        <w:t>(Division of Nephrology and Immunology, Department of Medicine,</w:t>
      </w:r>
      <w:r>
        <w:rPr>
          <w:rFonts w:cs="Arial"/>
          <w:sz w:val="24"/>
          <w:szCs w:val="24"/>
        </w:rPr>
        <w:t xml:space="preserve"> </w:t>
      </w:r>
      <w:r w:rsidRPr="00874AF7">
        <w:rPr>
          <w:rFonts w:cs="Arial"/>
          <w:sz w:val="24"/>
          <w:szCs w:val="24"/>
        </w:rPr>
        <w:t>University of Alberta, Edmonton, Canada); and the nursing team on the</w:t>
      </w:r>
      <w:r>
        <w:rPr>
          <w:rFonts w:cs="Arial"/>
          <w:sz w:val="24"/>
          <w:szCs w:val="24"/>
        </w:rPr>
        <w:t xml:space="preserve"> </w:t>
      </w:r>
      <w:r w:rsidR="00FD3AD4">
        <w:rPr>
          <w:rFonts w:cs="Arial"/>
          <w:sz w:val="24"/>
          <w:szCs w:val="24"/>
        </w:rPr>
        <w:t>PD</w:t>
      </w:r>
      <w:r w:rsidRPr="00874AF7">
        <w:rPr>
          <w:rFonts w:cs="Arial"/>
          <w:sz w:val="24"/>
          <w:szCs w:val="24"/>
        </w:rPr>
        <w:t xml:space="preserve"> Unit at the University Hospital of Wales, Cardiff, United Kingdom.</w:t>
      </w:r>
    </w:p>
    <w:p w14:paraId="22421F8B" w14:textId="77777777" w:rsidR="006D1E53" w:rsidRDefault="00874AF7" w:rsidP="00874AF7">
      <w:pPr>
        <w:spacing w:line="480" w:lineRule="auto"/>
        <w:rPr>
          <w:rFonts w:cs="Arial"/>
          <w:sz w:val="24"/>
          <w:szCs w:val="24"/>
        </w:rPr>
      </w:pPr>
      <w:r w:rsidRPr="00874AF7">
        <w:rPr>
          <w:rFonts w:cs="Arial"/>
          <w:sz w:val="24"/>
          <w:szCs w:val="24"/>
        </w:rPr>
        <w:t>Infrastructure support for the establishment of the GLOBAL fluid</w:t>
      </w:r>
      <w:r>
        <w:rPr>
          <w:rFonts w:cs="Arial"/>
          <w:sz w:val="24"/>
          <w:szCs w:val="24"/>
        </w:rPr>
        <w:t xml:space="preserve"> </w:t>
      </w:r>
      <w:r w:rsidRPr="00874AF7">
        <w:rPr>
          <w:rFonts w:cs="Arial"/>
          <w:sz w:val="24"/>
          <w:szCs w:val="24"/>
        </w:rPr>
        <w:t>study was provided as unrestricted educational grants from the International Society for Peritoneal Dialysis and Baxter Healthcare</w:t>
      </w:r>
      <w:r>
        <w:rPr>
          <w:rFonts w:cs="Arial"/>
          <w:sz w:val="24"/>
          <w:szCs w:val="24"/>
        </w:rPr>
        <w:t xml:space="preserve"> </w:t>
      </w:r>
      <w:r w:rsidRPr="00874AF7">
        <w:rPr>
          <w:rFonts w:cs="Arial"/>
          <w:sz w:val="24"/>
          <w:szCs w:val="24"/>
        </w:rPr>
        <w:t>Renal Division, and we are grateful for their continued financial</w:t>
      </w:r>
      <w:r>
        <w:rPr>
          <w:rFonts w:cs="Arial"/>
          <w:sz w:val="24"/>
          <w:szCs w:val="24"/>
        </w:rPr>
        <w:t xml:space="preserve"> </w:t>
      </w:r>
      <w:r w:rsidRPr="00874AF7">
        <w:rPr>
          <w:rFonts w:cs="Arial"/>
          <w:sz w:val="24"/>
          <w:szCs w:val="24"/>
        </w:rPr>
        <w:t>support, including sample analysis (special thanks to Dr. Cliff</w:t>
      </w:r>
      <w:r>
        <w:rPr>
          <w:rFonts w:cs="Arial"/>
          <w:sz w:val="24"/>
          <w:szCs w:val="24"/>
        </w:rPr>
        <w:t xml:space="preserve"> </w:t>
      </w:r>
      <w:r w:rsidRPr="00874AF7">
        <w:rPr>
          <w:rFonts w:cs="Arial"/>
          <w:sz w:val="24"/>
          <w:szCs w:val="24"/>
        </w:rPr>
        <w:t>Holmes). The study was officially endorsed by the International</w:t>
      </w:r>
      <w:r>
        <w:rPr>
          <w:rFonts w:cs="Arial"/>
          <w:sz w:val="24"/>
          <w:szCs w:val="24"/>
        </w:rPr>
        <w:t xml:space="preserve"> </w:t>
      </w:r>
      <w:r w:rsidRPr="00874AF7">
        <w:rPr>
          <w:rFonts w:cs="Arial"/>
          <w:sz w:val="24"/>
          <w:szCs w:val="24"/>
        </w:rPr>
        <w:t>Society for Peritoneal Dialysis (www.is</w:t>
      </w:r>
      <w:r w:rsidR="00FD3AD4">
        <w:rPr>
          <w:rFonts w:cs="Arial"/>
          <w:sz w:val="24"/>
          <w:szCs w:val="24"/>
        </w:rPr>
        <w:t>PD</w:t>
      </w:r>
      <w:r w:rsidRPr="00874AF7">
        <w:rPr>
          <w:rFonts w:cs="Arial"/>
          <w:sz w:val="24"/>
          <w:szCs w:val="24"/>
        </w:rPr>
        <w:t>.org) and by the British</w:t>
      </w:r>
      <w:r>
        <w:rPr>
          <w:rFonts w:cs="Arial"/>
          <w:sz w:val="24"/>
          <w:szCs w:val="24"/>
        </w:rPr>
        <w:t xml:space="preserve"> </w:t>
      </w:r>
      <w:r w:rsidRPr="00874AF7">
        <w:rPr>
          <w:rFonts w:cs="Arial"/>
          <w:sz w:val="24"/>
          <w:szCs w:val="24"/>
        </w:rPr>
        <w:t>Renal Society (www.britishrenal.org)</w:t>
      </w:r>
      <w:r>
        <w:rPr>
          <w:rFonts w:cs="Arial"/>
          <w:sz w:val="24"/>
          <w:szCs w:val="24"/>
        </w:rPr>
        <w:t>.</w:t>
      </w:r>
    </w:p>
    <w:p w14:paraId="5DC0E199" w14:textId="77777777" w:rsidR="00754316" w:rsidRDefault="00754316" w:rsidP="00754316">
      <w:pPr>
        <w:rPr>
          <w:rFonts w:cs="Arial"/>
          <w:sz w:val="24"/>
          <w:szCs w:val="24"/>
        </w:rPr>
      </w:pPr>
    </w:p>
    <w:p w14:paraId="4B9B9D12" w14:textId="77777777" w:rsidR="00756DB7" w:rsidRDefault="00756DB7">
      <w:r>
        <w:br w:type="page"/>
      </w:r>
    </w:p>
    <w:p w14:paraId="2BE5AA5C" w14:textId="77777777" w:rsidR="00754316" w:rsidRPr="00756DB7" w:rsidRDefault="00754316" w:rsidP="00754316">
      <w:pPr>
        <w:rPr>
          <w:b/>
        </w:rPr>
      </w:pPr>
      <w:r w:rsidRPr="00756DB7">
        <w:rPr>
          <w:b/>
        </w:rPr>
        <w:t>References</w:t>
      </w:r>
    </w:p>
    <w:p w14:paraId="24C557B3" w14:textId="77777777" w:rsidR="00754316" w:rsidRPr="00B36CF2" w:rsidRDefault="00754316" w:rsidP="00754316">
      <w:pPr>
        <w:spacing w:line="480" w:lineRule="auto"/>
      </w:pPr>
      <w:r w:rsidRPr="00B36CF2">
        <w:t>1.</w:t>
      </w:r>
      <w:r w:rsidRPr="00B36CF2">
        <w:tab/>
        <w:t xml:space="preserve">Davies SJ, Bryan J, Phillips L, et al. Longitudinal changes in peritoneal kinetics: the effects of peritoneal dialysis and peritonitis. </w:t>
      </w:r>
      <w:r w:rsidRPr="00B36CF2">
        <w:rPr>
          <w:i/>
        </w:rPr>
        <w:t>Nephrol Dial Transplant</w:t>
      </w:r>
      <w:r w:rsidRPr="00B36CF2">
        <w:t xml:space="preserve"> 1996; 11: 498-506.</w:t>
      </w:r>
      <w:r w:rsidRPr="00B36CF2">
        <w:tab/>
      </w:r>
    </w:p>
    <w:p w14:paraId="41C2446B" w14:textId="77777777" w:rsidR="00754316" w:rsidRPr="00B36CF2" w:rsidRDefault="00754316" w:rsidP="00754316">
      <w:pPr>
        <w:spacing w:line="480" w:lineRule="auto"/>
      </w:pPr>
      <w:r w:rsidRPr="00B36CF2">
        <w:t>2.</w:t>
      </w:r>
      <w:r w:rsidRPr="00B36CF2">
        <w:tab/>
        <w:t>Fle</w:t>
      </w:r>
      <w:r w:rsidR="0066287E">
        <w:t>ss</w:t>
      </w:r>
      <w:r w:rsidRPr="00B36CF2">
        <w:t>ner MF. Inflammation from sterile dialysis solutions and the longevity of the peritoneal barrier.</w:t>
      </w:r>
      <w:r w:rsidRPr="00B36CF2">
        <w:rPr>
          <w:i/>
        </w:rPr>
        <w:t xml:space="preserve"> Clin Nephrology </w:t>
      </w:r>
      <w:r w:rsidRPr="00B36CF2">
        <w:t>2007;</w:t>
      </w:r>
      <w:r w:rsidRPr="00B36CF2">
        <w:rPr>
          <w:i/>
        </w:rPr>
        <w:t xml:space="preserve"> </w:t>
      </w:r>
      <w:r w:rsidRPr="00B36CF2">
        <w:t>68: 341-348.</w:t>
      </w:r>
    </w:p>
    <w:p w14:paraId="54C7A745" w14:textId="77777777" w:rsidR="00754316" w:rsidRPr="00B36CF2" w:rsidRDefault="00754316" w:rsidP="00754316">
      <w:pPr>
        <w:spacing w:line="480" w:lineRule="auto"/>
      </w:pPr>
      <w:r w:rsidRPr="00B36CF2">
        <w:t>3.</w:t>
      </w:r>
      <w:r w:rsidRPr="00B36CF2">
        <w:tab/>
        <w:t xml:space="preserve">Brimble KS, Walker M, Margetts PJ, et al. Meta-analysis: peritoneal membrane transport, mortality, and technique failure in peritoneal dialysis. </w:t>
      </w:r>
      <w:r w:rsidRPr="00B36CF2">
        <w:rPr>
          <w:i/>
        </w:rPr>
        <w:t xml:space="preserve">J Am Soc Nephrol </w:t>
      </w:r>
      <w:r w:rsidRPr="00B36CF2">
        <w:t>2006;</w:t>
      </w:r>
      <w:r w:rsidRPr="00B36CF2">
        <w:rPr>
          <w:i/>
        </w:rPr>
        <w:t xml:space="preserve"> </w:t>
      </w:r>
      <w:r w:rsidRPr="00B36CF2">
        <w:t>17: 2591-2598.</w:t>
      </w:r>
    </w:p>
    <w:p w14:paraId="0A68D936" w14:textId="77777777" w:rsidR="00754316" w:rsidRPr="00B36CF2" w:rsidRDefault="00754316" w:rsidP="00754316">
      <w:pPr>
        <w:spacing w:line="480" w:lineRule="auto"/>
      </w:pPr>
      <w:r w:rsidRPr="00B36CF2">
        <w:t>4.</w:t>
      </w:r>
      <w:r w:rsidRPr="00B36CF2">
        <w:tab/>
        <w:t xml:space="preserve">Lambie ML, John B, Mushahar L, et al. The peritoneal osmotic conductance is low well before the diagnosis of encapsulating peritoneal sclerosis is made. </w:t>
      </w:r>
      <w:r w:rsidRPr="00B36CF2">
        <w:rPr>
          <w:i/>
        </w:rPr>
        <w:t>Kidney Int</w:t>
      </w:r>
      <w:r w:rsidRPr="00B36CF2">
        <w:t xml:space="preserve"> 2010; 78: 611-618.</w:t>
      </w:r>
    </w:p>
    <w:p w14:paraId="7361A99B" w14:textId="77777777" w:rsidR="00754316" w:rsidRDefault="00754316" w:rsidP="00754316">
      <w:pPr>
        <w:pStyle w:val="EndNoteBibliography"/>
        <w:spacing w:line="480" w:lineRule="auto"/>
        <w:ind w:left="720" w:hanging="720"/>
      </w:pPr>
      <w:r w:rsidRPr="00B36CF2">
        <w:rPr>
          <w:rFonts w:cstheme="minorHAnsi"/>
        </w:rPr>
        <w:t>5.</w:t>
      </w:r>
      <w:r w:rsidRPr="00B36CF2">
        <w:tab/>
        <w:t xml:space="preserve">Devuyst O, Margetts PJ, Topley N. The pathophysiology of the peritoneal membrane. </w:t>
      </w:r>
      <w:r w:rsidRPr="00B36CF2">
        <w:rPr>
          <w:i/>
        </w:rPr>
        <w:t>Journal</w:t>
      </w:r>
      <w:r>
        <w:rPr>
          <w:i/>
        </w:rPr>
        <w:t xml:space="preserve"> </w:t>
      </w:r>
      <w:r w:rsidRPr="00B36CF2">
        <w:rPr>
          <w:i/>
        </w:rPr>
        <w:t>Of The American Society Of Nephrology: JASN</w:t>
      </w:r>
      <w:r w:rsidRPr="00B36CF2">
        <w:t xml:space="preserve"> 2010; 21: 1077-1085.</w:t>
      </w:r>
    </w:p>
    <w:p w14:paraId="04B499F8" w14:textId="77777777" w:rsidR="00754316" w:rsidRPr="00B36CF2" w:rsidRDefault="00754316" w:rsidP="00754316">
      <w:pPr>
        <w:pStyle w:val="EndNoteBibliography"/>
        <w:spacing w:line="480" w:lineRule="auto"/>
        <w:ind w:left="720" w:hanging="720"/>
        <w:rPr>
          <w:i/>
        </w:rPr>
      </w:pPr>
      <w:r w:rsidRPr="00B36CF2">
        <w:t>6.</w:t>
      </w:r>
      <w:r w:rsidRPr="00B36CF2">
        <w:tab/>
        <w:t xml:space="preserve">Mortier S, Faict D, Schalkwijk CG, et al. Long-term exposure to new peritoneal dialysis solutions: Effects on the peritoneal membrane. </w:t>
      </w:r>
      <w:r w:rsidRPr="00B36CF2">
        <w:rPr>
          <w:i/>
        </w:rPr>
        <w:t>Kidney Int</w:t>
      </w:r>
      <w:r w:rsidRPr="00B36CF2">
        <w:t xml:space="preserve"> 2004; 66: 1257-1265.</w:t>
      </w:r>
    </w:p>
    <w:p w14:paraId="1F837FE9" w14:textId="77777777" w:rsidR="00754316" w:rsidRPr="00B36CF2" w:rsidRDefault="00754316" w:rsidP="00754316">
      <w:pPr>
        <w:pStyle w:val="EndNoteBibliography"/>
        <w:spacing w:line="480" w:lineRule="auto"/>
        <w:rPr>
          <w:rFonts w:asciiTheme="minorHAnsi" w:hAnsiTheme="minorHAnsi" w:cstheme="minorHAnsi"/>
        </w:rPr>
      </w:pPr>
      <w:r w:rsidRPr="00B36CF2">
        <w:rPr>
          <w:rFonts w:asciiTheme="minorHAnsi" w:hAnsiTheme="minorHAnsi" w:cstheme="minorHAnsi"/>
        </w:rPr>
        <w:t xml:space="preserve">7. </w:t>
      </w:r>
      <w:r w:rsidRPr="00B36CF2">
        <w:rPr>
          <w:rFonts w:asciiTheme="minorHAnsi" w:hAnsiTheme="minorHAnsi" w:cstheme="minorHAnsi"/>
        </w:rPr>
        <w:tab/>
        <w:t>Haas S, Schmitt CP, Arbeiter K</w:t>
      </w:r>
      <w:r w:rsidRPr="00B36CF2">
        <w:rPr>
          <w:rFonts w:asciiTheme="minorHAnsi" w:hAnsiTheme="minorHAnsi" w:cstheme="minorHAnsi"/>
          <w:i/>
        </w:rPr>
        <w:t>, et al.</w:t>
      </w:r>
      <w:r w:rsidRPr="00B36CF2">
        <w:rPr>
          <w:rFonts w:asciiTheme="minorHAnsi" w:hAnsiTheme="minorHAnsi" w:cstheme="minorHAnsi"/>
        </w:rPr>
        <w:t xml:space="preserve"> Improved acidosis correction and recovery of mesothelial cell ma</w:t>
      </w:r>
      <w:r w:rsidR="0066287E">
        <w:rPr>
          <w:rFonts w:asciiTheme="minorHAnsi" w:hAnsiTheme="minorHAnsi" w:cstheme="minorHAnsi"/>
        </w:rPr>
        <w:t>ss</w:t>
      </w:r>
      <w:r w:rsidRPr="00B36CF2">
        <w:rPr>
          <w:rFonts w:asciiTheme="minorHAnsi" w:hAnsiTheme="minorHAnsi" w:cstheme="minorHAnsi"/>
        </w:rPr>
        <w:t xml:space="preserve"> with neutral-pH bicarbonate dialysis solution among children undergoing automated peritoneal dialysis. </w:t>
      </w:r>
      <w:r w:rsidRPr="00B36CF2">
        <w:rPr>
          <w:rFonts w:cstheme="minorHAnsi"/>
          <w:i/>
        </w:rPr>
        <w:t>J Am Soc Nephrol</w:t>
      </w:r>
      <w:r w:rsidRPr="00B36CF2">
        <w:rPr>
          <w:rFonts w:asciiTheme="minorHAnsi" w:hAnsiTheme="minorHAnsi" w:cstheme="minorHAnsi"/>
        </w:rPr>
        <w:t xml:space="preserve"> 2003; 14: 2632-2638.</w:t>
      </w:r>
    </w:p>
    <w:p w14:paraId="12CEC5B2" w14:textId="77777777" w:rsidR="00754316" w:rsidRPr="00B36CF2" w:rsidRDefault="00754316" w:rsidP="00754316">
      <w:pPr>
        <w:pStyle w:val="EndNoteBibliography"/>
        <w:spacing w:line="480" w:lineRule="auto"/>
        <w:rPr>
          <w:rFonts w:asciiTheme="minorHAnsi" w:hAnsiTheme="minorHAnsi"/>
        </w:rPr>
      </w:pPr>
      <w:r w:rsidRPr="00B36CF2">
        <w:rPr>
          <w:rFonts w:asciiTheme="minorHAnsi" w:hAnsiTheme="minorHAnsi" w:cstheme="minorHAnsi"/>
        </w:rPr>
        <w:t xml:space="preserve">8. </w:t>
      </w:r>
      <w:r w:rsidRPr="00B36CF2">
        <w:rPr>
          <w:rFonts w:asciiTheme="minorHAnsi" w:hAnsiTheme="minorHAnsi" w:cstheme="minorHAnsi"/>
        </w:rPr>
        <w:tab/>
        <w:t>Williams JD</w:t>
      </w:r>
      <w:r w:rsidRPr="00B36CF2">
        <w:rPr>
          <w:rFonts w:asciiTheme="minorHAnsi" w:hAnsiTheme="minorHAnsi"/>
        </w:rPr>
        <w:t xml:space="preserve">, Topley N, </w:t>
      </w:r>
      <w:r w:rsidRPr="00B36CF2">
        <w:rPr>
          <w:rFonts w:asciiTheme="minorHAnsi" w:hAnsiTheme="minorHAnsi" w:cstheme="minorHAnsi"/>
        </w:rPr>
        <w:t>Craig KJ</w:t>
      </w:r>
      <w:r w:rsidRPr="00B36CF2">
        <w:rPr>
          <w:rFonts w:asciiTheme="minorHAnsi" w:hAnsiTheme="minorHAnsi" w:cstheme="minorHAnsi"/>
          <w:i/>
        </w:rPr>
        <w:t>, et al.</w:t>
      </w:r>
      <w:r w:rsidRPr="00B36CF2">
        <w:rPr>
          <w:rFonts w:asciiTheme="minorHAnsi" w:hAnsiTheme="minorHAnsi" w:cstheme="minorHAnsi"/>
        </w:rPr>
        <w:t xml:space="preserve"> The Euro-Balance Trial:</w:t>
      </w:r>
      <w:r w:rsidRPr="00B36CF2">
        <w:rPr>
          <w:rFonts w:asciiTheme="minorHAnsi" w:hAnsiTheme="minorHAnsi"/>
        </w:rPr>
        <w:t xml:space="preserve"> the </w:t>
      </w:r>
      <w:r w:rsidRPr="00B36CF2">
        <w:rPr>
          <w:rFonts w:asciiTheme="minorHAnsi" w:hAnsiTheme="minorHAnsi" w:cstheme="minorHAnsi"/>
        </w:rPr>
        <w:t>effect of a new</w:t>
      </w:r>
      <w:r w:rsidRPr="00B36CF2">
        <w:rPr>
          <w:rFonts w:asciiTheme="minorHAnsi" w:hAnsiTheme="minorHAnsi"/>
        </w:rPr>
        <w:t xml:space="preserve"> biocompatible </w:t>
      </w:r>
      <w:r w:rsidRPr="00B36CF2">
        <w:rPr>
          <w:rFonts w:asciiTheme="minorHAnsi" w:hAnsiTheme="minorHAnsi" w:cstheme="minorHAnsi"/>
        </w:rPr>
        <w:t xml:space="preserve">peritoneal dialysis fluid (balance) on the peritoneal membrane. </w:t>
      </w:r>
      <w:r w:rsidRPr="00B36CF2">
        <w:rPr>
          <w:rFonts w:asciiTheme="minorHAnsi" w:hAnsiTheme="minorHAnsi" w:cstheme="minorHAnsi"/>
          <w:i/>
        </w:rPr>
        <w:t>Kidney Int</w:t>
      </w:r>
      <w:r w:rsidRPr="00B36CF2">
        <w:rPr>
          <w:rFonts w:asciiTheme="minorHAnsi" w:hAnsiTheme="minorHAnsi" w:cstheme="minorHAnsi"/>
        </w:rPr>
        <w:t xml:space="preserve"> 2004; 66: 408-418</w:t>
      </w:r>
      <w:r w:rsidRPr="00B36CF2">
        <w:rPr>
          <w:rFonts w:asciiTheme="minorHAnsi" w:hAnsiTheme="minorHAnsi"/>
        </w:rPr>
        <w:t>.</w:t>
      </w:r>
    </w:p>
    <w:p w14:paraId="2182EC0C" w14:textId="77777777" w:rsidR="00754316" w:rsidRPr="00B36CF2" w:rsidRDefault="00754316" w:rsidP="00754316">
      <w:pPr>
        <w:spacing w:line="480" w:lineRule="auto"/>
      </w:pPr>
      <w:r w:rsidRPr="00B36CF2">
        <w:rPr>
          <w:rFonts w:cstheme="minorHAnsi"/>
        </w:rPr>
        <w:t>9</w:t>
      </w:r>
      <w:r w:rsidRPr="00B36CF2">
        <w:t>.</w:t>
      </w:r>
      <w:r w:rsidRPr="00B36CF2">
        <w:tab/>
        <w:t xml:space="preserve">Cho Y, Johnson DW. Does the use of neutral pH, low glucose degradation product peritoneal dialysis fluids lead to better patient outcomes? </w:t>
      </w:r>
      <w:r w:rsidRPr="00B36CF2">
        <w:rPr>
          <w:i/>
        </w:rPr>
        <w:t>Curr Opin Nephrol Hypertens</w:t>
      </w:r>
      <w:r w:rsidRPr="00B36CF2">
        <w:t xml:space="preserve"> 2014; 23: 192-197.</w:t>
      </w:r>
    </w:p>
    <w:p w14:paraId="36A64C8C" w14:textId="77777777" w:rsidR="00754316" w:rsidRPr="00B36CF2" w:rsidRDefault="00754316" w:rsidP="00754316">
      <w:pPr>
        <w:pStyle w:val="EndNoteBibliography"/>
        <w:spacing w:line="480" w:lineRule="auto"/>
        <w:rPr>
          <w:rFonts w:asciiTheme="minorHAnsi" w:hAnsiTheme="minorHAnsi" w:cstheme="minorHAnsi"/>
        </w:rPr>
      </w:pPr>
      <w:r w:rsidRPr="00B36CF2">
        <w:rPr>
          <w:rFonts w:asciiTheme="minorHAnsi" w:hAnsiTheme="minorHAnsi" w:cstheme="minorHAnsi"/>
        </w:rPr>
        <w:t xml:space="preserve">10. </w:t>
      </w:r>
      <w:r w:rsidRPr="00B36CF2">
        <w:rPr>
          <w:rFonts w:asciiTheme="minorHAnsi" w:hAnsiTheme="minorHAnsi" w:cstheme="minorHAnsi"/>
        </w:rPr>
        <w:tab/>
        <w:t>Yohanna S, Alkatheeri AMA, Brimble SK</w:t>
      </w:r>
      <w:r w:rsidRPr="00B36CF2">
        <w:rPr>
          <w:rFonts w:asciiTheme="minorHAnsi" w:hAnsiTheme="minorHAnsi" w:cstheme="minorHAnsi"/>
          <w:i/>
        </w:rPr>
        <w:t>, et al.</w:t>
      </w:r>
      <w:r w:rsidRPr="00B36CF2">
        <w:rPr>
          <w:rFonts w:asciiTheme="minorHAnsi" w:hAnsiTheme="minorHAnsi" w:cstheme="minorHAnsi"/>
        </w:rPr>
        <w:t xml:space="preserve"> Effect of Neutral-pH, Low-Glucose Degradation Product Peritoneal Dialysis Solutions on Residual Renal Function, Urine Volume, and Ultrafiltration: A Systematic Review and Meta-Analysis. </w:t>
      </w:r>
      <w:r w:rsidRPr="00B36CF2">
        <w:rPr>
          <w:rStyle w:val="Strong"/>
          <w:rFonts w:asciiTheme="minorHAnsi" w:hAnsiTheme="minorHAnsi" w:cstheme="minorHAnsi"/>
          <w:b w:val="0"/>
          <w:i/>
          <w:sz w:val="20"/>
          <w:szCs w:val="20"/>
        </w:rPr>
        <w:t>Clin</w:t>
      </w:r>
      <w:r w:rsidRPr="00B36CF2">
        <w:rPr>
          <w:rFonts w:asciiTheme="minorHAnsi" w:hAnsiTheme="minorHAnsi" w:cstheme="minorHAnsi"/>
          <w:i/>
          <w:sz w:val="20"/>
          <w:szCs w:val="20"/>
        </w:rPr>
        <w:t xml:space="preserve"> J </w:t>
      </w:r>
      <w:r w:rsidRPr="00B36CF2">
        <w:rPr>
          <w:rStyle w:val="Strong"/>
          <w:rFonts w:asciiTheme="minorHAnsi" w:hAnsiTheme="minorHAnsi" w:cstheme="minorHAnsi"/>
          <w:b w:val="0"/>
          <w:i/>
          <w:sz w:val="20"/>
          <w:szCs w:val="20"/>
        </w:rPr>
        <w:t>Am Soc</w:t>
      </w:r>
      <w:r w:rsidRPr="00B36CF2">
        <w:rPr>
          <w:rFonts w:asciiTheme="minorHAnsi" w:hAnsiTheme="minorHAnsi" w:cstheme="minorHAnsi"/>
          <w:i/>
          <w:sz w:val="20"/>
          <w:szCs w:val="20"/>
        </w:rPr>
        <w:t xml:space="preserve"> Nephrol</w:t>
      </w:r>
      <w:r w:rsidRPr="00B36CF2">
        <w:rPr>
          <w:rFonts w:asciiTheme="minorHAnsi" w:hAnsiTheme="minorHAnsi" w:cstheme="minorHAnsi"/>
        </w:rPr>
        <w:t xml:space="preserve"> 2015; 10: 1380-1388.</w:t>
      </w:r>
    </w:p>
    <w:p w14:paraId="24D35594" w14:textId="77777777" w:rsidR="0018779F" w:rsidRDefault="00754316" w:rsidP="00BB602B">
      <w:pPr>
        <w:shd w:val="clear" w:color="auto" w:fill="FFFFFF"/>
        <w:spacing w:line="480" w:lineRule="auto"/>
      </w:pPr>
      <w:r w:rsidRPr="00B36CF2">
        <w:rPr>
          <w:rFonts w:cstheme="minorHAnsi"/>
        </w:rPr>
        <w:t>11</w:t>
      </w:r>
      <w:r w:rsidRPr="00B36CF2">
        <w:t>.</w:t>
      </w:r>
      <w:r w:rsidRPr="00B36CF2">
        <w:tab/>
      </w:r>
      <w:r w:rsidR="0018779F" w:rsidRPr="00B36CF2">
        <w:t>Johnson DW, Brown FG, Clarke M, et al. The effect of low glucose degradation product, neutral pH versus standard peritoneal dialysis solutions on peritoneal membrane function: the balANZ trial.</w:t>
      </w:r>
      <w:r w:rsidR="0018779F" w:rsidRPr="00B36CF2">
        <w:rPr>
          <w:i/>
        </w:rPr>
        <w:t xml:space="preserve"> Nephrol Dial Transplant</w:t>
      </w:r>
      <w:r w:rsidR="0018779F" w:rsidRPr="00B36CF2">
        <w:t xml:space="preserve"> 2012; 27: 4445-4453.</w:t>
      </w:r>
    </w:p>
    <w:p w14:paraId="5A86C384" w14:textId="77777777" w:rsidR="00FE757B" w:rsidRDefault="0018779F">
      <w:pPr>
        <w:shd w:val="clear" w:color="auto" w:fill="FFFFFF"/>
        <w:spacing w:line="480" w:lineRule="auto"/>
        <w:rPr>
          <w:color w:val="2A2A2A"/>
          <w:sz w:val="24"/>
        </w:rPr>
      </w:pPr>
      <w:r>
        <w:t>12.</w:t>
      </w:r>
      <w:r>
        <w:tab/>
      </w:r>
      <w:r w:rsidR="00BB602B" w:rsidRPr="00B36CF2">
        <w:t>Lambie M, Che</w:t>
      </w:r>
      <w:r w:rsidR="00BB602B">
        <w:t>ss</w:t>
      </w:r>
      <w:r w:rsidR="00BB602B" w:rsidRPr="00B36CF2">
        <w:t xml:space="preserve"> J, Donovan KL, et al. Independent effects of systemic and local peritoneal inflammation on membrane function and survival of </w:t>
      </w:r>
      <w:r w:rsidR="00BB602B">
        <w:t>PD</w:t>
      </w:r>
      <w:r w:rsidR="00BB602B" w:rsidRPr="00B36CF2">
        <w:t xml:space="preserve"> patients: results from the GLOBAL Fluid Study. </w:t>
      </w:r>
      <w:r w:rsidR="00BB602B" w:rsidRPr="00B36CF2">
        <w:rPr>
          <w:rFonts w:eastAsia="Times New Roman" w:cstheme="minorHAnsi"/>
          <w:i/>
          <w:color w:val="2A2A2A"/>
          <w:szCs w:val="24"/>
          <w:lang w:eastAsia="en-GB"/>
        </w:rPr>
        <w:t xml:space="preserve">J Am Soc Nephrol </w:t>
      </w:r>
      <w:r w:rsidR="00BB602B" w:rsidRPr="00B36CF2">
        <w:rPr>
          <w:rFonts w:eastAsia="Times New Roman" w:cstheme="minorHAnsi"/>
          <w:color w:val="2A2A2A"/>
          <w:szCs w:val="24"/>
          <w:lang w:eastAsia="en-GB"/>
        </w:rPr>
        <w:t>2013;</w:t>
      </w:r>
      <w:r w:rsidR="00BB602B" w:rsidRPr="00B36CF2">
        <w:rPr>
          <w:rFonts w:eastAsia="Times New Roman" w:cstheme="minorHAnsi"/>
          <w:i/>
          <w:color w:val="2A2A2A"/>
          <w:szCs w:val="24"/>
          <w:lang w:eastAsia="en-GB"/>
        </w:rPr>
        <w:t xml:space="preserve"> </w:t>
      </w:r>
      <w:r w:rsidR="00BB602B" w:rsidRPr="00B36CF2">
        <w:rPr>
          <w:rFonts w:eastAsia="Times New Roman" w:cstheme="minorHAnsi"/>
          <w:color w:val="2A2A2A"/>
          <w:szCs w:val="24"/>
          <w:lang w:eastAsia="en-GB"/>
        </w:rPr>
        <w:t>24: 2071–2080.</w:t>
      </w:r>
    </w:p>
    <w:p w14:paraId="7F0773FE" w14:textId="77777777" w:rsidR="00FE757B" w:rsidRDefault="00754316">
      <w:pPr>
        <w:pStyle w:val="EndNoteBibliography"/>
        <w:spacing w:line="480" w:lineRule="auto"/>
        <w:ind w:left="720" w:hanging="720"/>
      </w:pPr>
      <w:r w:rsidRPr="00B36CF2">
        <w:rPr>
          <w:rFonts w:cstheme="minorHAnsi"/>
        </w:rPr>
        <w:t>1</w:t>
      </w:r>
      <w:r w:rsidR="0018779F">
        <w:rPr>
          <w:rFonts w:cstheme="minorHAnsi"/>
        </w:rPr>
        <w:t>3</w:t>
      </w:r>
      <w:r w:rsidRPr="00B36CF2">
        <w:rPr>
          <w:rFonts w:cstheme="minorHAnsi"/>
        </w:rPr>
        <w:t xml:space="preserve">. </w:t>
      </w:r>
      <w:r w:rsidRPr="00B36CF2">
        <w:rPr>
          <w:rFonts w:cstheme="minorHAnsi"/>
        </w:rPr>
        <w:tab/>
      </w:r>
      <w:r w:rsidR="005155B3" w:rsidRPr="005155B3">
        <w:t>Davies SJ, Phillips L, Naish PF</w:t>
      </w:r>
      <w:r w:rsidR="005155B3" w:rsidRPr="005155B3">
        <w:rPr>
          <w:i/>
        </w:rPr>
        <w:t>, et al.</w:t>
      </w:r>
      <w:r w:rsidR="005155B3" w:rsidRPr="005155B3">
        <w:t xml:space="preserve"> Quantifying comorbidity in peritoneal dialysis</w:t>
      </w:r>
      <w:r w:rsidR="0018779F">
        <w:t xml:space="preserve"> </w:t>
      </w:r>
      <w:r w:rsidR="005155B3" w:rsidRPr="005155B3">
        <w:t xml:space="preserve">patients and its relationship to other predictors of survival. </w:t>
      </w:r>
      <w:r w:rsidR="005155B3" w:rsidRPr="005155B3">
        <w:rPr>
          <w:i/>
        </w:rPr>
        <w:t xml:space="preserve">Nephrol, Dial, Transplant </w:t>
      </w:r>
      <w:r w:rsidR="005155B3" w:rsidRPr="005155B3">
        <w:t>2002; 17:</w:t>
      </w:r>
      <w:r w:rsidR="005155B3" w:rsidRPr="005155B3">
        <w:rPr>
          <w:b/>
        </w:rPr>
        <w:t xml:space="preserve"> </w:t>
      </w:r>
      <w:r w:rsidR="005155B3" w:rsidRPr="005155B3">
        <w:t>1085-1092.</w:t>
      </w:r>
    </w:p>
    <w:p w14:paraId="5BF9DDB2" w14:textId="77777777" w:rsidR="00754316" w:rsidRDefault="0018779F" w:rsidP="00754316">
      <w:pPr>
        <w:spacing w:line="480" w:lineRule="auto"/>
        <w:rPr>
          <w:rFonts w:cstheme="minorHAnsi"/>
        </w:rPr>
      </w:pPr>
      <w:r>
        <w:rPr>
          <w:rFonts w:cstheme="minorHAnsi"/>
        </w:rPr>
        <w:t>14.</w:t>
      </w:r>
      <w:r>
        <w:rPr>
          <w:rFonts w:cstheme="minorHAnsi"/>
        </w:rPr>
        <w:tab/>
      </w:r>
      <w:r w:rsidR="00754316" w:rsidRPr="00B36CF2">
        <w:rPr>
          <w:rFonts w:cstheme="minorHAnsi"/>
        </w:rPr>
        <w:t>Struijk DG, Krediet RT, Koomen GC, et al. A prospective study of peritoneal transport in CA</w:t>
      </w:r>
      <w:r w:rsidR="00FD3AD4">
        <w:rPr>
          <w:rFonts w:cstheme="minorHAnsi"/>
        </w:rPr>
        <w:t>PD</w:t>
      </w:r>
      <w:r w:rsidR="00754316" w:rsidRPr="00B36CF2">
        <w:rPr>
          <w:rFonts w:cstheme="minorHAnsi"/>
        </w:rPr>
        <w:t xml:space="preserve"> patients. </w:t>
      </w:r>
      <w:r w:rsidR="00754316" w:rsidRPr="00B36CF2">
        <w:rPr>
          <w:rFonts w:cstheme="minorHAnsi"/>
          <w:i/>
        </w:rPr>
        <w:t>Kidney Int</w:t>
      </w:r>
      <w:r w:rsidR="00754316" w:rsidRPr="00B36CF2">
        <w:rPr>
          <w:rFonts w:cstheme="minorHAnsi"/>
        </w:rPr>
        <w:t xml:space="preserve"> 1994; 45: 1739-1744.</w:t>
      </w:r>
    </w:p>
    <w:p w14:paraId="1BBACA69" w14:textId="77777777" w:rsidR="0018353A" w:rsidRPr="00B36CF2" w:rsidRDefault="0018353A" w:rsidP="00754316">
      <w:pPr>
        <w:spacing w:line="480" w:lineRule="auto"/>
        <w:rPr>
          <w:rFonts w:cstheme="minorHAnsi"/>
        </w:rPr>
      </w:pPr>
      <w:r>
        <w:rPr>
          <w:rFonts w:cstheme="minorHAnsi"/>
        </w:rPr>
        <w:t>1</w:t>
      </w:r>
      <w:r w:rsidR="00E97EBE">
        <w:rPr>
          <w:rFonts w:cstheme="minorHAnsi"/>
        </w:rPr>
        <w:t>5</w:t>
      </w:r>
      <w:r>
        <w:rPr>
          <w:rFonts w:cstheme="minorHAnsi"/>
        </w:rPr>
        <w:t xml:space="preserve">. </w:t>
      </w:r>
      <w:r>
        <w:rPr>
          <w:rFonts w:cstheme="minorHAnsi"/>
        </w:rPr>
        <w:tab/>
        <w:t xml:space="preserve">Johnson DW, Mudge D, Blizzard S, et al. </w:t>
      </w:r>
      <w:r w:rsidRPr="0018353A">
        <w:rPr>
          <w:rFonts w:cstheme="minorHAnsi"/>
        </w:rPr>
        <w:t xml:space="preserve">A comparison of peritoneal equilibration tests performed 1 and 4 weeks after </w:t>
      </w:r>
      <w:r w:rsidR="00FD3AD4">
        <w:rPr>
          <w:rFonts w:cstheme="minorHAnsi"/>
        </w:rPr>
        <w:t>PD</w:t>
      </w:r>
      <w:r w:rsidRPr="0018353A">
        <w:rPr>
          <w:rFonts w:cstheme="minorHAnsi"/>
        </w:rPr>
        <w:t xml:space="preserve"> commencement</w:t>
      </w:r>
      <w:r>
        <w:rPr>
          <w:rFonts w:cstheme="minorHAnsi"/>
        </w:rPr>
        <w:t xml:space="preserve">. </w:t>
      </w:r>
      <w:r w:rsidRPr="0018353A">
        <w:rPr>
          <w:rFonts w:cstheme="minorHAnsi"/>
          <w:i/>
        </w:rPr>
        <w:t>Perit Dial Int</w:t>
      </w:r>
      <w:r>
        <w:rPr>
          <w:rFonts w:cstheme="minorHAnsi"/>
        </w:rPr>
        <w:t xml:space="preserve"> 2004; 24:460-5</w:t>
      </w:r>
    </w:p>
    <w:p w14:paraId="67F3E254" w14:textId="77777777" w:rsidR="00754316" w:rsidRPr="00B36CF2" w:rsidRDefault="00754316" w:rsidP="00754316">
      <w:pPr>
        <w:spacing w:line="480" w:lineRule="auto"/>
      </w:pPr>
      <w:r w:rsidRPr="00B36CF2">
        <w:rPr>
          <w:rFonts w:cstheme="minorHAnsi"/>
        </w:rPr>
        <w:t>1</w:t>
      </w:r>
      <w:r w:rsidR="00E97EBE">
        <w:rPr>
          <w:rFonts w:cstheme="minorHAnsi"/>
        </w:rPr>
        <w:t>6</w:t>
      </w:r>
      <w:r w:rsidRPr="00B36CF2">
        <w:t>.</w:t>
      </w:r>
      <w:r w:rsidRPr="00B36CF2">
        <w:tab/>
        <w:t xml:space="preserve">Johnson DW, Brown FG, Clarke M, et al. The effects of biocompatible compared with standard peritoneal dialysis solutions on peritonitis microbiology, treatment, and outcomes: the balANZ trial. </w:t>
      </w:r>
      <w:r w:rsidRPr="00B36CF2">
        <w:rPr>
          <w:i/>
        </w:rPr>
        <w:t>Perit Dial Int</w:t>
      </w:r>
      <w:r w:rsidRPr="00B36CF2">
        <w:t xml:space="preserve"> 2012; 32: 497-506.</w:t>
      </w:r>
    </w:p>
    <w:p w14:paraId="123E9599" w14:textId="77777777" w:rsidR="00754316" w:rsidRPr="00B36CF2" w:rsidRDefault="00754316" w:rsidP="00754316">
      <w:pPr>
        <w:spacing w:line="480" w:lineRule="auto"/>
      </w:pPr>
      <w:r w:rsidRPr="00B36CF2">
        <w:rPr>
          <w:rFonts w:cstheme="minorHAnsi"/>
        </w:rPr>
        <w:t>1</w:t>
      </w:r>
      <w:r w:rsidR="00E97EBE">
        <w:rPr>
          <w:rFonts w:cstheme="minorHAnsi"/>
        </w:rPr>
        <w:t>7</w:t>
      </w:r>
      <w:r w:rsidRPr="00B36CF2">
        <w:t>.</w:t>
      </w:r>
      <w:r w:rsidRPr="00B36CF2">
        <w:tab/>
        <w:t xml:space="preserve">Davies SJ, Phillips L, Naish PF, et al. Peritoneal glucose exposure and changes in membrane solute transport with time on peritoneal dialysis. </w:t>
      </w:r>
      <w:r w:rsidRPr="00B36CF2">
        <w:rPr>
          <w:i/>
        </w:rPr>
        <w:t>J Am Soc Nephrol</w:t>
      </w:r>
      <w:r w:rsidRPr="00B36CF2">
        <w:t xml:space="preserve"> 2001; 12: 1046-1051.</w:t>
      </w:r>
    </w:p>
    <w:p w14:paraId="05FDC356" w14:textId="77777777" w:rsidR="00FE757B" w:rsidRDefault="00754316">
      <w:pPr>
        <w:pStyle w:val="EndNoteBibliography"/>
        <w:spacing w:line="480" w:lineRule="auto"/>
      </w:pPr>
      <w:r w:rsidRPr="00B36CF2">
        <w:rPr>
          <w:rFonts w:asciiTheme="minorHAnsi" w:hAnsiTheme="minorHAnsi" w:cstheme="minorHAnsi"/>
        </w:rPr>
        <w:t>1</w:t>
      </w:r>
      <w:r w:rsidR="00E97EBE">
        <w:rPr>
          <w:rFonts w:asciiTheme="minorHAnsi" w:hAnsiTheme="minorHAnsi" w:cstheme="minorHAnsi"/>
        </w:rPr>
        <w:t>8</w:t>
      </w:r>
      <w:r w:rsidRPr="00B36CF2">
        <w:rPr>
          <w:rFonts w:asciiTheme="minorHAnsi" w:hAnsiTheme="minorHAnsi" w:cstheme="minorHAnsi"/>
        </w:rPr>
        <w:t xml:space="preserve">.  </w:t>
      </w:r>
      <w:r w:rsidRPr="00B36CF2">
        <w:rPr>
          <w:rFonts w:asciiTheme="minorHAnsi" w:hAnsiTheme="minorHAnsi" w:cstheme="minorHAnsi"/>
        </w:rPr>
        <w:tab/>
        <w:t>Williams JD, Craig KJ, Topley N</w:t>
      </w:r>
      <w:r w:rsidRPr="00B36CF2">
        <w:rPr>
          <w:rFonts w:asciiTheme="minorHAnsi" w:hAnsiTheme="minorHAnsi"/>
          <w:i/>
        </w:rPr>
        <w:t>, et al.</w:t>
      </w:r>
      <w:r w:rsidRPr="00B36CF2">
        <w:rPr>
          <w:rFonts w:asciiTheme="minorHAnsi" w:hAnsiTheme="minorHAnsi"/>
        </w:rPr>
        <w:t xml:space="preserve"> </w:t>
      </w:r>
      <w:r w:rsidRPr="00B36CF2">
        <w:rPr>
          <w:rFonts w:asciiTheme="minorHAnsi" w:hAnsiTheme="minorHAnsi" w:cstheme="minorHAnsi"/>
        </w:rPr>
        <w:t>Morphologic</w:t>
      </w:r>
      <w:r w:rsidRPr="00B36CF2">
        <w:rPr>
          <w:rFonts w:asciiTheme="minorHAnsi" w:hAnsiTheme="minorHAnsi"/>
        </w:rPr>
        <w:t xml:space="preserve"> changes </w:t>
      </w:r>
      <w:r w:rsidRPr="00B36CF2">
        <w:rPr>
          <w:rFonts w:asciiTheme="minorHAnsi" w:hAnsiTheme="minorHAnsi" w:cstheme="minorHAnsi"/>
        </w:rPr>
        <w:t xml:space="preserve">in the </w:t>
      </w:r>
      <w:r w:rsidRPr="00B36CF2">
        <w:rPr>
          <w:rFonts w:asciiTheme="minorHAnsi" w:hAnsiTheme="minorHAnsi"/>
        </w:rPr>
        <w:t xml:space="preserve">peritoneal </w:t>
      </w:r>
      <w:r w:rsidRPr="00B36CF2">
        <w:rPr>
          <w:rFonts w:asciiTheme="minorHAnsi" w:hAnsiTheme="minorHAnsi" w:cstheme="minorHAnsi"/>
        </w:rPr>
        <w:t xml:space="preserve">membrane of patients with renal disease. </w:t>
      </w:r>
      <w:r w:rsidRPr="00B36CF2">
        <w:rPr>
          <w:rFonts w:cstheme="minorHAnsi"/>
          <w:i/>
        </w:rPr>
        <w:t>J Am Soc</w:t>
      </w:r>
      <w:r w:rsidRPr="00B36CF2">
        <w:rPr>
          <w:i/>
        </w:rPr>
        <w:t xml:space="preserve"> Nephrol</w:t>
      </w:r>
      <w:r w:rsidRPr="00B36CF2">
        <w:rPr>
          <w:rFonts w:asciiTheme="minorHAnsi" w:hAnsiTheme="minorHAnsi"/>
        </w:rPr>
        <w:t xml:space="preserve"> </w:t>
      </w:r>
      <w:r w:rsidRPr="00B36CF2">
        <w:rPr>
          <w:rFonts w:asciiTheme="minorHAnsi" w:hAnsiTheme="minorHAnsi" w:cstheme="minorHAnsi"/>
        </w:rPr>
        <w:t>2002; 13: 470-479</w:t>
      </w:r>
      <w:r w:rsidRPr="00B36CF2">
        <w:rPr>
          <w:rFonts w:asciiTheme="minorHAnsi" w:hAnsiTheme="minorHAnsi"/>
        </w:rPr>
        <w:t>.</w:t>
      </w:r>
      <w:r w:rsidRPr="00B36CF2">
        <w:rPr>
          <w:rFonts w:cstheme="minorHAnsi"/>
        </w:rPr>
        <w:tab/>
      </w:r>
    </w:p>
    <w:p w14:paraId="733B68EB" w14:textId="77777777" w:rsidR="00754316" w:rsidRPr="00B36CF2" w:rsidRDefault="00BB602B" w:rsidP="00754316">
      <w:pPr>
        <w:pStyle w:val="EndNoteBibliography"/>
        <w:spacing w:line="480" w:lineRule="auto"/>
        <w:ind w:left="720" w:hanging="720"/>
      </w:pPr>
      <w:r>
        <w:t>1</w:t>
      </w:r>
      <w:r w:rsidR="00E97EBE">
        <w:t>9</w:t>
      </w:r>
      <w:r>
        <w:t>.</w:t>
      </w:r>
      <w:r>
        <w:tab/>
      </w:r>
      <w:r w:rsidR="00754316" w:rsidRPr="00B36CF2">
        <w:t>Mehrotra R, Devuyst O, Davies SJ</w:t>
      </w:r>
      <w:r w:rsidR="00754316" w:rsidRPr="00B36CF2">
        <w:rPr>
          <w:i/>
        </w:rPr>
        <w:t>, et al.</w:t>
      </w:r>
      <w:r w:rsidR="00754316" w:rsidRPr="00B36CF2">
        <w:t xml:space="preserve"> The Current State of Peritoneal Dialysis. </w:t>
      </w:r>
      <w:r w:rsidR="00754316" w:rsidRPr="00B36CF2">
        <w:rPr>
          <w:i/>
        </w:rPr>
        <w:t>J  Am Soc Nephrol: JASN</w:t>
      </w:r>
      <w:r w:rsidR="00754316" w:rsidRPr="00B36CF2">
        <w:t xml:space="preserve"> 2016; 27: 3238-3252.</w:t>
      </w:r>
    </w:p>
    <w:p w14:paraId="493505CB" w14:textId="77777777" w:rsidR="00754316" w:rsidRPr="00B36CF2" w:rsidRDefault="00E97EBE" w:rsidP="005B155F">
      <w:pPr>
        <w:spacing w:line="480" w:lineRule="auto"/>
        <w:rPr>
          <w:color w:val="2A2A2A"/>
          <w:sz w:val="24"/>
        </w:rPr>
      </w:pPr>
      <w:r>
        <w:rPr>
          <w:rFonts w:cstheme="minorHAnsi"/>
        </w:rPr>
        <w:t>20</w:t>
      </w:r>
      <w:r w:rsidR="00754316" w:rsidRPr="00B36CF2">
        <w:rPr>
          <w:rFonts w:cstheme="minorHAnsi"/>
        </w:rPr>
        <w:t>.</w:t>
      </w:r>
      <w:r w:rsidR="00754316" w:rsidRPr="00B36CF2">
        <w:rPr>
          <w:rFonts w:cstheme="minorHAnsi"/>
        </w:rPr>
        <w:tab/>
      </w:r>
      <w:r w:rsidR="00754316" w:rsidRPr="00B36CF2">
        <w:rPr>
          <w:rFonts w:cstheme="minorHAnsi"/>
          <w:noProof/>
        </w:rPr>
        <w:t>Davies SJ, Phillips L, Ru</w:t>
      </w:r>
      <w:r w:rsidR="0066287E">
        <w:rPr>
          <w:rFonts w:cstheme="minorHAnsi"/>
          <w:noProof/>
        </w:rPr>
        <w:t>ss</w:t>
      </w:r>
      <w:r w:rsidR="00754316" w:rsidRPr="00B36CF2">
        <w:rPr>
          <w:rFonts w:cstheme="minorHAnsi"/>
          <w:noProof/>
        </w:rPr>
        <w:t>ell GI. Peritoneal solute transport predicts survival on CA</w:t>
      </w:r>
      <w:r w:rsidR="00FD3AD4">
        <w:rPr>
          <w:rFonts w:cstheme="minorHAnsi"/>
          <w:noProof/>
        </w:rPr>
        <w:t>PD</w:t>
      </w:r>
      <w:r w:rsidR="00754316" w:rsidRPr="00B36CF2">
        <w:rPr>
          <w:rFonts w:cstheme="minorHAnsi"/>
          <w:noProof/>
        </w:rPr>
        <w:t xml:space="preserve"> independently of residual renal function. </w:t>
      </w:r>
      <w:r w:rsidR="00754316" w:rsidRPr="00B36CF2">
        <w:rPr>
          <w:rFonts w:cstheme="minorHAnsi"/>
          <w:i/>
          <w:noProof/>
        </w:rPr>
        <w:t xml:space="preserve">Nephrol Dial Transplant </w:t>
      </w:r>
      <w:r w:rsidR="00754316" w:rsidRPr="00B36CF2">
        <w:rPr>
          <w:rFonts w:cstheme="minorHAnsi"/>
          <w:noProof/>
        </w:rPr>
        <w:t>1998; 13: 962-968.</w:t>
      </w:r>
    </w:p>
    <w:p w14:paraId="122C117E" w14:textId="77777777" w:rsidR="00754316" w:rsidRPr="00B36CF2" w:rsidRDefault="0018353A" w:rsidP="00D6406C">
      <w:pPr>
        <w:spacing w:line="480" w:lineRule="auto"/>
      </w:pPr>
      <w:r>
        <w:rPr>
          <w:rFonts w:cstheme="minorHAnsi"/>
        </w:rPr>
        <w:t>2</w:t>
      </w:r>
      <w:r w:rsidR="00E97EBE">
        <w:rPr>
          <w:rFonts w:cstheme="minorHAnsi"/>
        </w:rPr>
        <w:t>1</w:t>
      </w:r>
      <w:r w:rsidR="00754316" w:rsidRPr="00B36CF2">
        <w:t>.</w:t>
      </w:r>
      <w:r w:rsidR="00754316" w:rsidRPr="00B36CF2">
        <w:tab/>
        <w:t xml:space="preserve">Pecoits-Filho R, Carvalho MJ, Stenvinkel P, et al. Systemic and intraperitoneal interleukin-6 system during the first year of peritoneal dialysis. </w:t>
      </w:r>
      <w:r w:rsidR="00754316" w:rsidRPr="00B36CF2">
        <w:rPr>
          <w:i/>
        </w:rPr>
        <w:t>Perit Dial Int</w:t>
      </w:r>
      <w:r w:rsidR="00754316" w:rsidRPr="00B36CF2">
        <w:t xml:space="preserve"> 2006; 26: 53-63.</w:t>
      </w:r>
    </w:p>
    <w:p w14:paraId="3FA7D2F5" w14:textId="77777777" w:rsidR="00754316" w:rsidRPr="00B36CF2" w:rsidRDefault="00754316" w:rsidP="00D6406C">
      <w:pPr>
        <w:spacing w:line="480" w:lineRule="auto"/>
      </w:pPr>
      <w:r w:rsidRPr="00B36CF2">
        <w:rPr>
          <w:rFonts w:cstheme="minorHAnsi"/>
        </w:rPr>
        <w:t>2</w:t>
      </w:r>
      <w:r w:rsidR="00E97EBE">
        <w:rPr>
          <w:rFonts w:cstheme="minorHAnsi"/>
        </w:rPr>
        <w:t>2</w:t>
      </w:r>
      <w:r w:rsidRPr="00B36CF2">
        <w:t>.</w:t>
      </w:r>
      <w:r w:rsidRPr="00B36CF2">
        <w:tab/>
        <w:t xml:space="preserve">Oh K-H, Jung JY, Yoon MO, et al. Intra-peritoneal interleukin-6 system is a potent determinant of the baseline peritoneal solute transport in incident peritoneal dialysis patients. </w:t>
      </w:r>
      <w:r w:rsidRPr="00B36CF2">
        <w:rPr>
          <w:i/>
        </w:rPr>
        <w:t>Nephrol Dial Transplant</w:t>
      </w:r>
      <w:r w:rsidRPr="00B36CF2">
        <w:t xml:space="preserve"> 2010; 25: 1639-1646.</w:t>
      </w:r>
    </w:p>
    <w:p w14:paraId="2454E616" w14:textId="77777777" w:rsidR="00754316" w:rsidRPr="00B36CF2" w:rsidRDefault="00754316" w:rsidP="00754316">
      <w:pPr>
        <w:spacing w:line="480" w:lineRule="auto"/>
        <w:rPr>
          <w:rFonts w:cstheme="minorHAnsi"/>
          <w:noProof/>
        </w:rPr>
      </w:pPr>
      <w:r w:rsidRPr="00B36CF2">
        <w:rPr>
          <w:rFonts w:cstheme="minorHAnsi"/>
        </w:rPr>
        <w:t>2</w:t>
      </w:r>
      <w:r w:rsidR="00E97EBE">
        <w:rPr>
          <w:rFonts w:cstheme="minorHAnsi"/>
        </w:rPr>
        <w:t>3</w:t>
      </w:r>
      <w:r w:rsidRPr="00B36CF2">
        <w:rPr>
          <w:rFonts w:cstheme="minorHAnsi"/>
        </w:rPr>
        <w:t>.</w:t>
      </w:r>
      <w:r w:rsidRPr="00B36CF2">
        <w:rPr>
          <w:rFonts w:cstheme="minorHAnsi"/>
        </w:rPr>
        <w:tab/>
        <w:t xml:space="preserve"> </w:t>
      </w:r>
      <w:r w:rsidRPr="00B36CF2">
        <w:rPr>
          <w:rFonts w:cstheme="minorHAnsi"/>
          <w:noProof/>
        </w:rPr>
        <w:t>Jones SA, Fraser DJ, Fielding CA</w:t>
      </w:r>
      <w:r w:rsidRPr="00B36CF2">
        <w:rPr>
          <w:rFonts w:cstheme="minorHAnsi"/>
          <w:i/>
          <w:noProof/>
        </w:rPr>
        <w:t>, et al.</w:t>
      </w:r>
      <w:r w:rsidRPr="00B36CF2">
        <w:rPr>
          <w:rFonts w:cstheme="minorHAnsi"/>
          <w:noProof/>
        </w:rPr>
        <w:t xml:space="preserve"> Interleukin-6 in renal disease and therapy. </w:t>
      </w:r>
      <w:r w:rsidRPr="00B36CF2">
        <w:rPr>
          <w:rFonts w:cstheme="minorHAnsi"/>
          <w:i/>
          <w:noProof/>
        </w:rPr>
        <w:t xml:space="preserve">Nephrol Dial Transplant </w:t>
      </w:r>
      <w:r w:rsidRPr="00B36CF2">
        <w:rPr>
          <w:rFonts w:cstheme="minorHAnsi"/>
          <w:noProof/>
        </w:rPr>
        <w:t xml:space="preserve"> 2015; 30: 564-574.</w:t>
      </w:r>
    </w:p>
    <w:p w14:paraId="680B8EBD" w14:textId="77777777" w:rsidR="00754316" w:rsidRPr="00B36CF2" w:rsidRDefault="00754316" w:rsidP="00754316">
      <w:pPr>
        <w:pStyle w:val="EndNoteBibliography"/>
        <w:spacing w:line="480" w:lineRule="auto"/>
        <w:ind w:left="720" w:hanging="720"/>
      </w:pPr>
      <w:r w:rsidRPr="00B36CF2">
        <w:rPr>
          <w:rFonts w:cstheme="minorHAnsi"/>
        </w:rPr>
        <w:t>2</w:t>
      </w:r>
      <w:r w:rsidR="00E97EBE">
        <w:rPr>
          <w:rFonts w:cstheme="minorHAnsi"/>
        </w:rPr>
        <w:t>4</w:t>
      </w:r>
      <w:r w:rsidRPr="00B36CF2">
        <w:rPr>
          <w:rFonts w:cstheme="minorHAnsi"/>
        </w:rPr>
        <w:t>.</w:t>
      </w:r>
      <w:r w:rsidRPr="00B36CF2">
        <w:rPr>
          <w:rFonts w:cstheme="minorHAnsi"/>
        </w:rPr>
        <w:tab/>
      </w:r>
      <w:r w:rsidRPr="00B36CF2">
        <w:t>Jones SA, Horiuchi S, Topley N</w:t>
      </w:r>
      <w:r w:rsidRPr="00B36CF2">
        <w:rPr>
          <w:i/>
        </w:rPr>
        <w:t>, et al.</w:t>
      </w:r>
      <w:r w:rsidRPr="00B36CF2">
        <w:t xml:space="preserve"> The soluble interleukin 6 receptor: mechanisms of production and implications in disease. </w:t>
      </w:r>
      <w:r w:rsidRPr="00B36CF2">
        <w:rPr>
          <w:i/>
        </w:rPr>
        <w:t xml:space="preserve">FASEB J </w:t>
      </w:r>
      <w:r w:rsidRPr="00B36CF2">
        <w:t xml:space="preserve"> 2001; 15: 43-58.</w:t>
      </w:r>
    </w:p>
    <w:p w14:paraId="1E6FE412" w14:textId="77777777" w:rsidR="00754316" w:rsidRPr="00B36CF2" w:rsidRDefault="00754316" w:rsidP="00754316">
      <w:pPr>
        <w:spacing w:line="480" w:lineRule="auto"/>
        <w:rPr>
          <w:rFonts w:cstheme="minorHAnsi"/>
        </w:rPr>
      </w:pPr>
      <w:r w:rsidRPr="00B36CF2">
        <w:rPr>
          <w:rFonts w:cstheme="minorHAnsi"/>
        </w:rPr>
        <w:t>2</w:t>
      </w:r>
      <w:r w:rsidR="00E97EBE">
        <w:rPr>
          <w:rFonts w:cstheme="minorHAnsi"/>
        </w:rPr>
        <w:t>5</w:t>
      </w:r>
      <w:r w:rsidRPr="00B36CF2">
        <w:rPr>
          <w:rFonts w:cstheme="minorHAnsi"/>
        </w:rPr>
        <w:t xml:space="preserve">. </w:t>
      </w:r>
      <w:r w:rsidRPr="00B36CF2">
        <w:rPr>
          <w:rFonts w:cstheme="minorHAnsi"/>
        </w:rPr>
        <w:tab/>
      </w:r>
      <w:r w:rsidRPr="00B36CF2">
        <w:rPr>
          <w:rFonts w:cstheme="minorHAnsi"/>
          <w:noProof/>
        </w:rPr>
        <w:t>Catar R, Witowski J, Zhu N</w:t>
      </w:r>
      <w:r w:rsidRPr="00B36CF2">
        <w:rPr>
          <w:rFonts w:cstheme="minorHAnsi"/>
          <w:i/>
          <w:noProof/>
        </w:rPr>
        <w:t>, et al.</w:t>
      </w:r>
      <w:r w:rsidRPr="00B36CF2">
        <w:rPr>
          <w:rFonts w:cstheme="minorHAnsi"/>
          <w:noProof/>
        </w:rPr>
        <w:t xml:space="preserve"> </w:t>
      </w:r>
      <w:r w:rsidR="00100A88">
        <w:rPr>
          <w:rFonts w:cstheme="minorHAnsi"/>
          <w:noProof/>
        </w:rPr>
        <w:t>IL-6</w:t>
      </w:r>
      <w:r w:rsidRPr="00B36CF2">
        <w:rPr>
          <w:rFonts w:cstheme="minorHAnsi"/>
          <w:noProof/>
        </w:rPr>
        <w:t xml:space="preserve"> Trans-Signaling Links Inflammation with Angiogenesis in the Peritoneal Membrane. </w:t>
      </w:r>
      <w:r w:rsidRPr="00B36CF2">
        <w:rPr>
          <w:rFonts w:cstheme="minorHAnsi"/>
          <w:i/>
          <w:noProof/>
        </w:rPr>
        <w:t>J Am Soc Nephrol</w:t>
      </w:r>
      <w:r w:rsidRPr="00B36CF2">
        <w:rPr>
          <w:rFonts w:cstheme="minorHAnsi"/>
          <w:noProof/>
        </w:rPr>
        <w:t xml:space="preserve"> 2017; 28: 1188-1199.</w:t>
      </w:r>
    </w:p>
    <w:p w14:paraId="458D403C" w14:textId="77777777" w:rsidR="00754316" w:rsidRPr="00B36CF2" w:rsidRDefault="00754316" w:rsidP="00D6406C">
      <w:pPr>
        <w:spacing w:line="480" w:lineRule="auto"/>
      </w:pPr>
      <w:r w:rsidRPr="00B36CF2">
        <w:rPr>
          <w:rFonts w:cstheme="minorHAnsi"/>
        </w:rPr>
        <w:t>2</w:t>
      </w:r>
      <w:r w:rsidR="00E97EBE">
        <w:rPr>
          <w:rFonts w:cstheme="minorHAnsi"/>
        </w:rPr>
        <w:t>6</w:t>
      </w:r>
      <w:r w:rsidRPr="00B36CF2">
        <w:t>.</w:t>
      </w:r>
      <w:r w:rsidRPr="00B36CF2">
        <w:tab/>
        <w:t xml:space="preserve">Davies SJ. Longitudinal relationship between solute transport and ultrafiltration capacity in peritoneal dialysis patients. </w:t>
      </w:r>
      <w:r w:rsidRPr="00B36CF2">
        <w:rPr>
          <w:i/>
        </w:rPr>
        <w:t>Kidney Int</w:t>
      </w:r>
      <w:r w:rsidRPr="00B36CF2">
        <w:t xml:space="preserve"> 2004; 66: 2437-2445.</w:t>
      </w:r>
    </w:p>
    <w:p w14:paraId="56E61264" w14:textId="77777777" w:rsidR="00754316" w:rsidRPr="00B36CF2" w:rsidRDefault="00754316" w:rsidP="00754316">
      <w:pPr>
        <w:spacing w:line="480" w:lineRule="auto"/>
      </w:pPr>
      <w:r w:rsidRPr="00B36CF2">
        <w:rPr>
          <w:rFonts w:cstheme="minorHAnsi"/>
        </w:rPr>
        <w:t>2</w:t>
      </w:r>
      <w:r w:rsidR="00E97EBE">
        <w:rPr>
          <w:rFonts w:cstheme="minorHAnsi"/>
        </w:rPr>
        <w:t>7</w:t>
      </w:r>
      <w:r w:rsidRPr="00B36CF2">
        <w:t>.</w:t>
      </w:r>
      <w:r w:rsidRPr="00B36CF2">
        <w:tab/>
        <w:t xml:space="preserve">van Diepen AT, van Esch S, Struijk DG, et al. The first peritonitis episode alters the natural course of peritoneal membrane characteristics in peritoneal dialysis patients. </w:t>
      </w:r>
      <w:r w:rsidRPr="00B36CF2">
        <w:rPr>
          <w:i/>
        </w:rPr>
        <w:t>Perit Dial Int</w:t>
      </w:r>
      <w:r w:rsidRPr="00B36CF2">
        <w:rPr>
          <w:rFonts w:cstheme="minorHAnsi"/>
        </w:rPr>
        <w:t xml:space="preserve"> 2014;</w:t>
      </w:r>
      <w:r w:rsidRPr="00B36CF2">
        <w:t xml:space="preserve"> 35: 324-33</w:t>
      </w:r>
      <w:r>
        <w:t>.</w:t>
      </w:r>
    </w:p>
    <w:p w14:paraId="535C62F0" w14:textId="77777777" w:rsidR="002F4442" w:rsidRPr="00195C12" w:rsidRDefault="002F4442" w:rsidP="00195C12">
      <w:pPr>
        <w:spacing w:line="480" w:lineRule="auto"/>
        <w:rPr>
          <w:rFonts w:cs="Arial"/>
          <w:sz w:val="24"/>
          <w:szCs w:val="24"/>
        </w:rPr>
        <w:sectPr w:rsidR="002F4442" w:rsidRPr="00195C12" w:rsidSect="001B43D7">
          <w:pgSz w:w="11906" w:h="16838"/>
          <w:pgMar w:top="1440" w:right="1440" w:bottom="1440" w:left="1440" w:header="708" w:footer="708" w:gutter="0"/>
          <w:cols w:space="708"/>
          <w:docGrid w:linePitch="360"/>
        </w:sectPr>
      </w:pPr>
    </w:p>
    <w:p w14:paraId="1A4C7E83" w14:textId="77777777" w:rsidR="00195C12" w:rsidRPr="00195C12" w:rsidRDefault="00195C12" w:rsidP="00195C12">
      <w:pPr>
        <w:spacing w:line="480" w:lineRule="auto"/>
        <w:rPr>
          <w:rFonts w:cs="Arial"/>
          <w:b/>
          <w:sz w:val="24"/>
          <w:szCs w:val="24"/>
        </w:rPr>
      </w:pPr>
      <w:r w:rsidRPr="00195C12">
        <w:rPr>
          <w:rFonts w:cs="Arial"/>
          <w:b/>
          <w:sz w:val="24"/>
          <w:szCs w:val="24"/>
        </w:rPr>
        <w:t xml:space="preserve">Tables and Figures </w:t>
      </w:r>
    </w:p>
    <w:p w14:paraId="039E1B98" w14:textId="77777777" w:rsidR="00D1013D" w:rsidRPr="00195C12" w:rsidRDefault="00D1013D" w:rsidP="00195C12">
      <w:pPr>
        <w:spacing w:line="480" w:lineRule="auto"/>
        <w:rPr>
          <w:rFonts w:cs="Arial"/>
          <w:i/>
          <w:sz w:val="24"/>
          <w:szCs w:val="24"/>
        </w:rPr>
      </w:pPr>
      <w:r w:rsidRPr="00195C12">
        <w:rPr>
          <w:rFonts w:cs="Arial"/>
          <w:i/>
          <w:sz w:val="24"/>
          <w:szCs w:val="24"/>
        </w:rPr>
        <w:t>Table 1. Baseline characteristics for patients using biocompatible or standard solutions</w:t>
      </w:r>
      <w:r w:rsidR="00423F2C">
        <w:rPr>
          <w:rFonts w:cs="Arial"/>
          <w:i/>
          <w:sz w:val="24"/>
          <w:szCs w:val="24"/>
        </w:rPr>
        <w:t>.</w:t>
      </w:r>
      <w:r w:rsidR="00C61BAB">
        <w:rPr>
          <w:rFonts w:cs="Arial"/>
          <w:i/>
          <w:sz w:val="24"/>
          <w:szCs w:val="24"/>
        </w:rPr>
        <w:t xml:space="preserve"> Characteristics for patients excluded as using both biocompatible and standard solutions</w:t>
      </w:r>
      <w:r w:rsidR="00423F2C">
        <w:rPr>
          <w:rFonts w:cs="Arial"/>
          <w:i/>
          <w:sz w:val="24"/>
          <w:szCs w:val="24"/>
        </w:rPr>
        <w:t xml:space="preserve"> included in </w:t>
      </w:r>
      <w:r w:rsidR="00C61BAB">
        <w:rPr>
          <w:rFonts w:cs="Arial"/>
          <w:i/>
          <w:sz w:val="24"/>
          <w:szCs w:val="24"/>
        </w:rPr>
        <w:t>S</w:t>
      </w:r>
      <w:r w:rsidR="00423F2C">
        <w:rPr>
          <w:rFonts w:cs="Arial"/>
          <w:i/>
          <w:sz w:val="24"/>
          <w:szCs w:val="24"/>
        </w:rPr>
        <w:t xml:space="preserve">upplementary </w:t>
      </w:r>
      <w:r w:rsidR="00C61BAB">
        <w:rPr>
          <w:rFonts w:cs="Arial"/>
          <w:i/>
          <w:sz w:val="24"/>
          <w:szCs w:val="24"/>
        </w:rPr>
        <w:t>T</w:t>
      </w:r>
      <w:r w:rsidR="00423F2C">
        <w:rPr>
          <w:rFonts w:cs="Arial"/>
          <w:i/>
          <w:sz w:val="24"/>
          <w:szCs w:val="24"/>
        </w:rPr>
        <w:t xml:space="preserve">able 1 </w:t>
      </w:r>
    </w:p>
    <w:tbl>
      <w:tblPr>
        <w:tblStyle w:val="TableGrid"/>
        <w:tblW w:w="3142" w:type="pct"/>
        <w:tblLook w:val="04A0" w:firstRow="1" w:lastRow="0" w:firstColumn="1" w:lastColumn="0" w:noHBand="0" w:noVBand="1"/>
      </w:tblPr>
      <w:tblGrid>
        <w:gridCol w:w="1367"/>
        <w:gridCol w:w="1688"/>
        <w:gridCol w:w="1303"/>
        <w:gridCol w:w="1450"/>
      </w:tblGrid>
      <w:tr w:rsidR="00382A9A" w:rsidRPr="00195C12" w14:paraId="03F833F6" w14:textId="77777777" w:rsidTr="005B155F">
        <w:trPr>
          <w:trHeight w:val="623"/>
        </w:trPr>
        <w:tc>
          <w:tcPr>
            <w:tcW w:w="1177" w:type="pct"/>
            <w:vMerge w:val="restart"/>
            <w:hideMark/>
          </w:tcPr>
          <w:p w14:paraId="63954BF1" w14:textId="77777777" w:rsidR="00382A9A" w:rsidRPr="00195C12" w:rsidRDefault="00382A9A" w:rsidP="007C0C1A">
            <w:pPr>
              <w:spacing w:after="200"/>
              <w:rPr>
                <w:rFonts w:cs="Arial"/>
                <w:b/>
                <w:sz w:val="16"/>
                <w:szCs w:val="24"/>
              </w:rPr>
            </w:pPr>
            <w:bookmarkStart w:id="1" w:name="_Hlk505804243"/>
          </w:p>
        </w:tc>
        <w:tc>
          <w:tcPr>
            <w:tcW w:w="1453" w:type="pct"/>
          </w:tcPr>
          <w:p w14:paraId="718F3F74" w14:textId="77777777" w:rsidR="00382A9A" w:rsidRPr="00195C12" w:rsidRDefault="00382A9A" w:rsidP="007C0C1A">
            <w:pPr>
              <w:rPr>
                <w:rFonts w:cs="Arial"/>
                <w:b/>
                <w:bCs/>
                <w:sz w:val="16"/>
                <w:szCs w:val="24"/>
              </w:rPr>
            </w:pPr>
          </w:p>
        </w:tc>
        <w:tc>
          <w:tcPr>
            <w:tcW w:w="1122" w:type="pct"/>
            <w:hideMark/>
          </w:tcPr>
          <w:p w14:paraId="1F823C5B" w14:textId="77777777" w:rsidR="00382A9A" w:rsidRPr="00195C12" w:rsidRDefault="00382A9A" w:rsidP="007C0C1A">
            <w:pPr>
              <w:spacing w:after="200"/>
              <w:rPr>
                <w:rFonts w:cs="Arial"/>
                <w:b/>
                <w:sz w:val="16"/>
                <w:szCs w:val="24"/>
              </w:rPr>
            </w:pPr>
            <w:r>
              <w:rPr>
                <w:rFonts w:cs="Arial"/>
                <w:b/>
                <w:bCs/>
                <w:sz w:val="16"/>
                <w:szCs w:val="24"/>
              </w:rPr>
              <w:t>Biocompatible solutions</w:t>
            </w:r>
            <w:r w:rsidRPr="00195C12">
              <w:rPr>
                <w:rFonts w:cs="Arial"/>
                <w:b/>
                <w:bCs/>
                <w:sz w:val="16"/>
                <w:szCs w:val="24"/>
              </w:rPr>
              <w:t xml:space="preserve"> (n=71)</w:t>
            </w:r>
          </w:p>
        </w:tc>
        <w:tc>
          <w:tcPr>
            <w:tcW w:w="1248" w:type="pct"/>
            <w:hideMark/>
          </w:tcPr>
          <w:p w14:paraId="6252223C" w14:textId="77777777" w:rsidR="00382A9A" w:rsidRPr="00195C12" w:rsidRDefault="00382A9A" w:rsidP="007C0C1A">
            <w:pPr>
              <w:spacing w:after="200"/>
              <w:rPr>
                <w:rFonts w:cs="Arial"/>
                <w:b/>
                <w:sz w:val="16"/>
                <w:szCs w:val="24"/>
              </w:rPr>
            </w:pPr>
            <w:r w:rsidRPr="00195C12">
              <w:rPr>
                <w:rFonts w:cs="Arial"/>
                <w:b/>
                <w:bCs/>
                <w:sz w:val="16"/>
                <w:szCs w:val="24"/>
              </w:rPr>
              <w:t xml:space="preserve">Standard </w:t>
            </w:r>
            <w:r>
              <w:rPr>
                <w:rFonts w:cs="Arial"/>
                <w:b/>
                <w:bCs/>
                <w:sz w:val="16"/>
                <w:szCs w:val="24"/>
              </w:rPr>
              <w:t xml:space="preserve">solutions </w:t>
            </w:r>
            <w:r w:rsidRPr="00195C12">
              <w:rPr>
                <w:rFonts w:cs="Arial"/>
                <w:b/>
                <w:bCs/>
                <w:sz w:val="16"/>
                <w:szCs w:val="24"/>
              </w:rPr>
              <w:t>(n=295)</w:t>
            </w:r>
          </w:p>
        </w:tc>
      </w:tr>
      <w:tr w:rsidR="00382A9A" w:rsidRPr="00195C12" w14:paraId="32C1B702" w14:textId="77777777" w:rsidTr="005B155F">
        <w:trPr>
          <w:trHeight w:val="442"/>
        </w:trPr>
        <w:tc>
          <w:tcPr>
            <w:tcW w:w="1177" w:type="pct"/>
            <w:vMerge/>
          </w:tcPr>
          <w:p w14:paraId="63EE27E0" w14:textId="77777777" w:rsidR="00382A9A" w:rsidRPr="00195C12" w:rsidRDefault="00382A9A" w:rsidP="007C0C1A">
            <w:pPr>
              <w:spacing w:after="200"/>
              <w:rPr>
                <w:rFonts w:cs="Arial"/>
                <w:b/>
                <w:sz w:val="16"/>
                <w:szCs w:val="24"/>
                <w:vertAlign w:val="superscript"/>
              </w:rPr>
            </w:pPr>
          </w:p>
        </w:tc>
        <w:tc>
          <w:tcPr>
            <w:tcW w:w="1453" w:type="pct"/>
          </w:tcPr>
          <w:p w14:paraId="427CAF77" w14:textId="77777777" w:rsidR="00382A9A" w:rsidRPr="00195C12" w:rsidRDefault="00382A9A" w:rsidP="007C0C1A">
            <w:pPr>
              <w:rPr>
                <w:rFonts w:cs="Arial"/>
                <w:sz w:val="16"/>
                <w:szCs w:val="24"/>
              </w:rPr>
            </w:pPr>
            <w:r w:rsidRPr="00195C12">
              <w:rPr>
                <w:rFonts w:cs="Arial"/>
                <w:b/>
                <w:bCs/>
                <w:sz w:val="16"/>
                <w:szCs w:val="24"/>
              </w:rPr>
              <w:t>Measures per person</w:t>
            </w:r>
          </w:p>
        </w:tc>
        <w:tc>
          <w:tcPr>
            <w:tcW w:w="1122" w:type="pct"/>
            <w:hideMark/>
          </w:tcPr>
          <w:p w14:paraId="44644212" w14:textId="77777777" w:rsidR="00382A9A" w:rsidRPr="00195C12" w:rsidRDefault="00382A9A" w:rsidP="007C0C1A">
            <w:pPr>
              <w:spacing w:after="200"/>
              <w:rPr>
                <w:rFonts w:cs="Arial"/>
                <w:sz w:val="16"/>
                <w:szCs w:val="24"/>
              </w:rPr>
            </w:pPr>
            <w:r w:rsidRPr="00195C12">
              <w:rPr>
                <w:rFonts w:cs="Arial"/>
                <w:sz w:val="16"/>
                <w:szCs w:val="24"/>
              </w:rPr>
              <w:t>6.4 (0.45)</w:t>
            </w:r>
          </w:p>
        </w:tc>
        <w:tc>
          <w:tcPr>
            <w:tcW w:w="1248" w:type="pct"/>
            <w:hideMark/>
          </w:tcPr>
          <w:p w14:paraId="55477E36" w14:textId="77777777" w:rsidR="00382A9A" w:rsidRPr="00195C12" w:rsidRDefault="00382A9A" w:rsidP="007C0C1A">
            <w:pPr>
              <w:spacing w:after="200"/>
              <w:rPr>
                <w:rFonts w:cs="Arial"/>
                <w:sz w:val="16"/>
                <w:szCs w:val="24"/>
              </w:rPr>
            </w:pPr>
            <w:r w:rsidRPr="00195C12">
              <w:rPr>
                <w:rFonts w:cs="Arial"/>
                <w:sz w:val="16"/>
                <w:szCs w:val="24"/>
              </w:rPr>
              <w:t>7.3 (0.21)</w:t>
            </w:r>
          </w:p>
        </w:tc>
      </w:tr>
      <w:tr w:rsidR="00382A9A" w:rsidRPr="00195C12" w14:paraId="518D26E2" w14:textId="77777777" w:rsidTr="005B155F">
        <w:trPr>
          <w:trHeight w:val="375"/>
        </w:trPr>
        <w:tc>
          <w:tcPr>
            <w:tcW w:w="1177" w:type="pct"/>
            <w:vMerge/>
          </w:tcPr>
          <w:p w14:paraId="4C9695F4" w14:textId="77777777" w:rsidR="00382A9A" w:rsidRPr="00195C12" w:rsidRDefault="00382A9A" w:rsidP="007C0C1A">
            <w:pPr>
              <w:spacing w:after="200"/>
              <w:rPr>
                <w:rFonts w:cs="Arial"/>
                <w:b/>
                <w:sz w:val="16"/>
                <w:szCs w:val="24"/>
                <w:vertAlign w:val="superscript"/>
              </w:rPr>
            </w:pPr>
          </w:p>
        </w:tc>
        <w:tc>
          <w:tcPr>
            <w:tcW w:w="1453" w:type="pct"/>
          </w:tcPr>
          <w:p w14:paraId="48037D65" w14:textId="77777777" w:rsidR="00382A9A" w:rsidRPr="00195C12" w:rsidRDefault="00382A9A" w:rsidP="007C0C1A">
            <w:pPr>
              <w:rPr>
                <w:rFonts w:cs="Arial"/>
                <w:sz w:val="16"/>
                <w:szCs w:val="24"/>
              </w:rPr>
            </w:pPr>
            <w:r w:rsidRPr="00195C12">
              <w:rPr>
                <w:rFonts w:cs="Arial"/>
                <w:b/>
                <w:bCs/>
                <w:sz w:val="16"/>
                <w:szCs w:val="24"/>
              </w:rPr>
              <w:t xml:space="preserve">Time </w:t>
            </w:r>
            <w:r>
              <w:rPr>
                <w:rFonts w:cs="Arial"/>
                <w:b/>
                <w:bCs/>
                <w:sz w:val="16"/>
                <w:szCs w:val="24"/>
              </w:rPr>
              <w:t xml:space="preserve">to end of </w:t>
            </w:r>
            <w:r w:rsidR="00FD3AD4">
              <w:rPr>
                <w:rFonts w:cs="Arial"/>
                <w:b/>
                <w:bCs/>
                <w:sz w:val="16"/>
                <w:szCs w:val="24"/>
              </w:rPr>
              <w:t>PD</w:t>
            </w:r>
            <w:r w:rsidRPr="00195C12">
              <w:rPr>
                <w:rFonts w:cs="Arial"/>
                <w:b/>
                <w:bCs/>
                <w:sz w:val="16"/>
                <w:szCs w:val="24"/>
              </w:rPr>
              <w:t xml:space="preserve"> (years)</w:t>
            </w:r>
          </w:p>
        </w:tc>
        <w:tc>
          <w:tcPr>
            <w:tcW w:w="1122" w:type="pct"/>
            <w:hideMark/>
          </w:tcPr>
          <w:p w14:paraId="48EE57AB" w14:textId="77777777" w:rsidR="00382A9A" w:rsidRPr="00195C12" w:rsidRDefault="00382A9A" w:rsidP="007C0C1A">
            <w:pPr>
              <w:spacing w:after="200"/>
              <w:rPr>
                <w:rFonts w:cs="Arial"/>
                <w:sz w:val="16"/>
                <w:szCs w:val="24"/>
              </w:rPr>
            </w:pPr>
            <w:r w:rsidRPr="00195C12">
              <w:rPr>
                <w:rFonts w:cs="Arial"/>
                <w:sz w:val="16"/>
                <w:szCs w:val="24"/>
              </w:rPr>
              <w:t>2.6 (2.0-3.9)</w:t>
            </w:r>
          </w:p>
        </w:tc>
        <w:tc>
          <w:tcPr>
            <w:tcW w:w="1248" w:type="pct"/>
            <w:hideMark/>
          </w:tcPr>
          <w:p w14:paraId="7AA61C00" w14:textId="77777777" w:rsidR="00382A9A" w:rsidRPr="00195C12" w:rsidRDefault="00382A9A" w:rsidP="007C0C1A">
            <w:pPr>
              <w:spacing w:after="200"/>
              <w:rPr>
                <w:rFonts w:cs="Arial"/>
                <w:sz w:val="16"/>
                <w:szCs w:val="24"/>
              </w:rPr>
            </w:pPr>
            <w:r w:rsidRPr="00195C12">
              <w:rPr>
                <w:rFonts w:cs="Arial"/>
                <w:sz w:val="16"/>
                <w:szCs w:val="24"/>
              </w:rPr>
              <w:t>3.5 (2.2-4.8)</w:t>
            </w:r>
          </w:p>
        </w:tc>
      </w:tr>
      <w:tr w:rsidR="00382A9A" w:rsidRPr="00195C12" w14:paraId="347F8E4A" w14:textId="77777777" w:rsidTr="005B155F">
        <w:trPr>
          <w:trHeight w:val="375"/>
        </w:trPr>
        <w:tc>
          <w:tcPr>
            <w:tcW w:w="1177" w:type="pct"/>
            <w:vMerge/>
          </w:tcPr>
          <w:p w14:paraId="2F1981BF" w14:textId="77777777" w:rsidR="00382A9A" w:rsidRPr="00195C12" w:rsidRDefault="00382A9A" w:rsidP="007C0C1A">
            <w:pPr>
              <w:rPr>
                <w:rFonts w:cs="Arial"/>
                <w:b/>
                <w:sz w:val="16"/>
                <w:szCs w:val="24"/>
                <w:vertAlign w:val="superscript"/>
              </w:rPr>
            </w:pPr>
          </w:p>
        </w:tc>
        <w:tc>
          <w:tcPr>
            <w:tcW w:w="1453" w:type="pct"/>
          </w:tcPr>
          <w:p w14:paraId="00934778" w14:textId="77777777" w:rsidR="00382A9A" w:rsidRPr="00195C12" w:rsidRDefault="00382A9A" w:rsidP="007C0C1A">
            <w:pPr>
              <w:rPr>
                <w:rFonts w:cs="Arial"/>
                <w:b/>
                <w:bCs/>
                <w:sz w:val="16"/>
                <w:szCs w:val="24"/>
              </w:rPr>
            </w:pPr>
            <w:r>
              <w:rPr>
                <w:rFonts w:cs="Arial"/>
                <w:b/>
                <w:bCs/>
                <w:sz w:val="16"/>
                <w:szCs w:val="24"/>
              </w:rPr>
              <w:t>Time to first measure (years)</w:t>
            </w:r>
          </w:p>
        </w:tc>
        <w:tc>
          <w:tcPr>
            <w:tcW w:w="1122" w:type="pct"/>
          </w:tcPr>
          <w:p w14:paraId="2D297A39" w14:textId="77777777" w:rsidR="00382A9A" w:rsidRPr="00195C12" w:rsidRDefault="00382A9A" w:rsidP="007C0C1A">
            <w:pPr>
              <w:rPr>
                <w:rFonts w:cs="Arial"/>
                <w:sz w:val="16"/>
                <w:szCs w:val="24"/>
              </w:rPr>
            </w:pPr>
            <w:r>
              <w:rPr>
                <w:rFonts w:cs="Arial"/>
                <w:sz w:val="16"/>
                <w:szCs w:val="24"/>
              </w:rPr>
              <w:t>0.52 (0.28-0.64)</w:t>
            </w:r>
          </w:p>
        </w:tc>
        <w:tc>
          <w:tcPr>
            <w:tcW w:w="1248" w:type="pct"/>
          </w:tcPr>
          <w:p w14:paraId="2B4295F4" w14:textId="77777777" w:rsidR="00382A9A" w:rsidRPr="00195C12" w:rsidRDefault="00382A9A" w:rsidP="007C0C1A">
            <w:pPr>
              <w:rPr>
                <w:rFonts w:cs="Arial"/>
                <w:sz w:val="16"/>
                <w:szCs w:val="24"/>
              </w:rPr>
            </w:pPr>
            <w:r>
              <w:rPr>
                <w:rFonts w:cs="Arial"/>
                <w:sz w:val="16"/>
                <w:szCs w:val="24"/>
              </w:rPr>
              <w:t>0.53 (0.41-0.62)</w:t>
            </w:r>
          </w:p>
        </w:tc>
      </w:tr>
      <w:tr w:rsidR="001D2C3C" w:rsidRPr="00195C12" w14:paraId="4571C6EF" w14:textId="77777777" w:rsidTr="005B155F">
        <w:trPr>
          <w:trHeight w:val="367"/>
        </w:trPr>
        <w:tc>
          <w:tcPr>
            <w:tcW w:w="1177" w:type="pct"/>
            <w:vMerge w:val="restart"/>
          </w:tcPr>
          <w:p w14:paraId="1C828A82" w14:textId="77777777" w:rsidR="001D2C3C" w:rsidRPr="00195C12" w:rsidRDefault="001D2C3C" w:rsidP="007C0C1A">
            <w:pPr>
              <w:spacing w:after="200"/>
              <w:rPr>
                <w:rFonts w:cs="Arial"/>
                <w:b/>
                <w:sz w:val="16"/>
                <w:szCs w:val="24"/>
              </w:rPr>
            </w:pPr>
            <w:r>
              <w:rPr>
                <w:rFonts w:cs="Arial"/>
                <w:b/>
                <w:sz w:val="16"/>
                <w:szCs w:val="24"/>
              </w:rPr>
              <w:t>Baseline measurements for f</w:t>
            </w:r>
            <w:r w:rsidRPr="00195C12">
              <w:rPr>
                <w:rFonts w:cs="Arial"/>
                <w:b/>
                <w:sz w:val="16"/>
                <w:szCs w:val="24"/>
              </w:rPr>
              <w:t>ixed covariates</w:t>
            </w:r>
          </w:p>
        </w:tc>
        <w:tc>
          <w:tcPr>
            <w:tcW w:w="1453" w:type="pct"/>
          </w:tcPr>
          <w:p w14:paraId="57086259" w14:textId="77777777" w:rsidR="001D2C3C" w:rsidRPr="00195C12" w:rsidRDefault="001D2C3C" w:rsidP="007C0C1A">
            <w:pPr>
              <w:rPr>
                <w:rFonts w:cs="Arial"/>
                <w:sz w:val="16"/>
                <w:szCs w:val="24"/>
              </w:rPr>
            </w:pPr>
            <w:r w:rsidRPr="00195C12">
              <w:rPr>
                <w:rFonts w:cs="Arial"/>
                <w:b/>
                <w:bCs/>
                <w:sz w:val="16"/>
                <w:szCs w:val="24"/>
              </w:rPr>
              <w:t>Age (years)</w:t>
            </w:r>
          </w:p>
        </w:tc>
        <w:tc>
          <w:tcPr>
            <w:tcW w:w="1122" w:type="pct"/>
            <w:hideMark/>
          </w:tcPr>
          <w:p w14:paraId="77B1CC9A" w14:textId="77777777" w:rsidR="001D2C3C" w:rsidRPr="00195C12" w:rsidRDefault="001D2C3C" w:rsidP="007C0C1A">
            <w:pPr>
              <w:spacing w:after="200"/>
              <w:rPr>
                <w:rFonts w:cs="Arial"/>
                <w:sz w:val="16"/>
                <w:szCs w:val="24"/>
              </w:rPr>
            </w:pPr>
            <w:r w:rsidRPr="00195C12">
              <w:rPr>
                <w:rFonts w:cs="Arial"/>
                <w:sz w:val="16"/>
                <w:szCs w:val="24"/>
              </w:rPr>
              <w:t>5</w:t>
            </w:r>
            <w:r w:rsidR="002D5EE1">
              <w:rPr>
                <w:rFonts w:cs="Arial"/>
                <w:sz w:val="16"/>
                <w:szCs w:val="24"/>
              </w:rPr>
              <w:t>5</w:t>
            </w:r>
            <w:r w:rsidRPr="00195C12">
              <w:rPr>
                <w:rFonts w:cs="Arial"/>
                <w:sz w:val="16"/>
                <w:szCs w:val="24"/>
              </w:rPr>
              <w:t xml:space="preserve"> (1</w:t>
            </w:r>
            <w:r w:rsidR="002D5EE1">
              <w:rPr>
                <w:rFonts w:cs="Arial"/>
                <w:sz w:val="16"/>
                <w:szCs w:val="24"/>
              </w:rPr>
              <w:t>4</w:t>
            </w:r>
            <w:r w:rsidRPr="00195C12">
              <w:rPr>
                <w:rFonts w:cs="Arial"/>
                <w:sz w:val="16"/>
                <w:szCs w:val="24"/>
              </w:rPr>
              <w:t>)</w:t>
            </w:r>
          </w:p>
        </w:tc>
        <w:tc>
          <w:tcPr>
            <w:tcW w:w="1248" w:type="pct"/>
            <w:hideMark/>
          </w:tcPr>
          <w:p w14:paraId="7B03376A" w14:textId="77777777" w:rsidR="001D2C3C" w:rsidRPr="00195C12" w:rsidRDefault="001D2C3C" w:rsidP="007C0C1A">
            <w:pPr>
              <w:spacing w:after="200"/>
              <w:rPr>
                <w:rFonts w:cs="Arial"/>
                <w:sz w:val="16"/>
                <w:szCs w:val="24"/>
              </w:rPr>
            </w:pPr>
            <w:r w:rsidRPr="00195C12">
              <w:rPr>
                <w:rFonts w:cs="Arial"/>
                <w:sz w:val="16"/>
                <w:szCs w:val="24"/>
              </w:rPr>
              <w:t>5</w:t>
            </w:r>
            <w:r w:rsidR="002D5EE1">
              <w:rPr>
                <w:rFonts w:cs="Arial"/>
                <w:sz w:val="16"/>
                <w:szCs w:val="24"/>
              </w:rPr>
              <w:t>4</w:t>
            </w:r>
            <w:r w:rsidRPr="00195C12">
              <w:rPr>
                <w:rFonts w:cs="Arial"/>
                <w:sz w:val="16"/>
                <w:szCs w:val="24"/>
              </w:rPr>
              <w:t xml:space="preserve"> (</w:t>
            </w:r>
            <w:r w:rsidR="002D5EE1">
              <w:rPr>
                <w:rFonts w:cs="Arial"/>
                <w:sz w:val="16"/>
                <w:szCs w:val="24"/>
              </w:rPr>
              <w:t>15</w:t>
            </w:r>
            <w:r w:rsidRPr="00195C12">
              <w:rPr>
                <w:rFonts w:cs="Arial"/>
                <w:sz w:val="16"/>
                <w:szCs w:val="24"/>
              </w:rPr>
              <w:t>)</w:t>
            </w:r>
          </w:p>
        </w:tc>
      </w:tr>
      <w:tr w:rsidR="001D2C3C" w:rsidRPr="00195C12" w14:paraId="3B802241" w14:textId="77777777" w:rsidTr="005B155F">
        <w:trPr>
          <w:trHeight w:val="340"/>
        </w:trPr>
        <w:tc>
          <w:tcPr>
            <w:tcW w:w="1177" w:type="pct"/>
            <w:vMerge/>
          </w:tcPr>
          <w:p w14:paraId="38E9882E" w14:textId="77777777" w:rsidR="001D2C3C" w:rsidRPr="00F74AB8" w:rsidRDefault="001D2C3C" w:rsidP="007C0C1A">
            <w:pPr>
              <w:spacing w:after="200" w:line="276" w:lineRule="auto"/>
              <w:rPr>
                <w:rFonts w:cs="Arial"/>
                <w:b/>
                <w:sz w:val="16"/>
                <w:szCs w:val="24"/>
                <w:vertAlign w:val="superscript"/>
              </w:rPr>
            </w:pPr>
          </w:p>
        </w:tc>
        <w:tc>
          <w:tcPr>
            <w:tcW w:w="1453" w:type="pct"/>
          </w:tcPr>
          <w:p w14:paraId="721A1FE1" w14:textId="77777777" w:rsidR="001D2C3C" w:rsidRPr="00F74AB8" w:rsidRDefault="001D2C3C" w:rsidP="007C0C1A">
            <w:pPr>
              <w:spacing w:after="200" w:line="276" w:lineRule="auto"/>
              <w:rPr>
                <w:rFonts w:cs="Arial"/>
                <w:sz w:val="16"/>
                <w:szCs w:val="24"/>
              </w:rPr>
            </w:pPr>
            <w:r w:rsidRPr="00F74AB8">
              <w:rPr>
                <w:rFonts w:cs="Arial"/>
                <w:b/>
                <w:bCs/>
                <w:sz w:val="16"/>
                <w:szCs w:val="24"/>
              </w:rPr>
              <w:t>Male Gender</w:t>
            </w:r>
          </w:p>
        </w:tc>
        <w:tc>
          <w:tcPr>
            <w:tcW w:w="1122" w:type="pct"/>
            <w:hideMark/>
          </w:tcPr>
          <w:p w14:paraId="6F45EC67" w14:textId="77777777" w:rsidR="001D2C3C" w:rsidRPr="00F74AB8" w:rsidRDefault="001D2C3C" w:rsidP="007C0C1A">
            <w:pPr>
              <w:spacing w:after="200" w:line="276" w:lineRule="auto"/>
              <w:rPr>
                <w:rFonts w:cs="Arial"/>
                <w:sz w:val="16"/>
                <w:szCs w:val="24"/>
              </w:rPr>
            </w:pPr>
            <w:r w:rsidRPr="00F74AB8">
              <w:rPr>
                <w:rFonts w:cs="Arial"/>
                <w:sz w:val="16"/>
                <w:szCs w:val="24"/>
              </w:rPr>
              <w:t>50%</w:t>
            </w:r>
          </w:p>
        </w:tc>
        <w:tc>
          <w:tcPr>
            <w:tcW w:w="1248" w:type="pct"/>
            <w:hideMark/>
          </w:tcPr>
          <w:p w14:paraId="688B1A62" w14:textId="77777777" w:rsidR="001D2C3C" w:rsidRPr="00F74AB8" w:rsidRDefault="001D2C3C" w:rsidP="007C0C1A">
            <w:pPr>
              <w:spacing w:after="200" w:line="276" w:lineRule="auto"/>
              <w:rPr>
                <w:rFonts w:cs="Arial"/>
                <w:sz w:val="16"/>
                <w:szCs w:val="24"/>
              </w:rPr>
            </w:pPr>
            <w:r w:rsidRPr="00F74AB8">
              <w:rPr>
                <w:rFonts w:cs="Arial"/>
                <w:sz w:val="16"/>
                <w:szCs w:val="24"/>
              </w:rPr>
              <w:t>59%</w:t>
            </w:r>
          </w:p>
        </w:tc>
      </w:tr>
      <w:tr w:rsidR="001D2C3C" w:rsidRPr="00195C12" w14:paraId="0DDD0A13" w14:textId="77777777" w:rsidTr="005B155F">
        <w:trPr>
          <w:trHeight w:val="506"/>
        </w:trPr>
        <w:tc>
          <w:tcPr>
            <w:tcW w:w="1177" w:type="pct"/>
            <w:vMerge/>
          </w:tcPr>
          <w:p w14:paraId="3DAEECBB" w14:textId="77777777" w:rsidR="001D2C3C" w:rsidRPr="00F74AB8" w:rsidRDefault="001D2C3C" w:rsidP="007C0C1A">
            <w:pPr>
              <w:spacing w:after="200" w:line="276" w:lineRule="auto"/>
              <w:rPr>
                <w:rFonts w:cs="Arial"/>
                <w:b/>
                <w:sz w:val="16"/>
                <w:szCs w:val="24"/>
              </w:rPr>
            </w:pPr>
          </w:p>
        </w:tc>
        <w:tc>
          <w:tcPr>
            <w:tcW w:w="1453" w:type="pct"/>
          </w:tcPr>
          <w:p w14:paraId="7ABCA8F5" w14:textId="77777777" w:rsidR="001D2C3C" w:rsidRPr="00F74AB8" w:rsidRDefault="001D2C3C" w:rsidP="007C0C1A">
            <w:pPr>
              <w:spacing w:after="200" w:line="276" w:lineRule="auto"/>
              <w:rPr>
                <w:rFonts w:cs="Arial"/>
                <w:b/>
                <w:bCs/>
                <w:sz w:val="16"/>
                <w:szCs w:val="24"/>
                <w:vertAlign w:val="superscript"/>
              </w:rPr>
            </w:pPr>
            <w:r w:rsidRPr="00F74AB8">
              <w:rPr>
                <w:rFonts w:cs="Arial"/>
                <w:b/>
                <w:bCs/>
                <w:sz w:val="16"/>
                <w:szCs w:val="24"/>
              </w:rPr>
              <w:t>Comorbidity score</w:t>
            </w:r>
          </w:p>
          <w:p w14:paraId="32AAB5D7" w14:textId="77777777" w:rsidR="001D2C3C" w:rsidRPr="00F74AB8" w:rsidRDefault="001D2C3C" w:rsidP="007C0C1A">
            <w:pPr>
              <w:spacing w:after="200" w:line="276" w:lineRule="auto"/>
              <w:rPr>
                <w:rFonts w:cs="Arial"/>
                <w:sz w:val="16"/>
                <w:szCs w:val="24"/>
              </w:rPr>
            </w:pPr>
            <w:r w:rsidRPr="00F74AB8">
              <w:rPr>
                <w:rFonts w:cs="Arial"/>
                <w:b/>
                <w:bCs/>
                <w:sz w:val="16"/>
                <w:szCs w:val="24"/>
              </w:rPr>
              <w:t>(low/medium/high)</w:t>
            </w:r>
          </w:p>
        </w:tc>
        <w:tc>
          <w:tcPr>
            <w:tcW w:w="1122" w:type="pct"/>
            <w:hideMark/>
          </w:tcPr>
          <w:p w14:paraId="5A0ED63D" w14:textId="77777777" w:rsidR="001D2C3C" w:rsidRPr="00F74AB8" w:rsidRDefault="001D2C3C" w:rsidP="007C0C1A">
            <w:pPr>
              <w:spacing w:after="200" w:line="276" w:lineRule="auto"/>
              <w:rPr>
                <w:rFonts w:cs="Arial"/>
                <w:sz w:val="16"/>
                <w:szCs w:val="24"/>
              </w:rPr>
            </w:pPr>
            <w:r w:rsidRPr="00F74AB8">
              <w:rPr>
                <w:rFonts w:cs="Arial"/>
                <w:sz w:val="16"/>
                <w:szCs w:val="24"/>
              </w:rPr>
              <w:t>48%/46%/6%</w:t>
            </w:r>
          </w:p>
        </w:tc>
        <w:tc>
          <w:tcPr>
            <w:tcW w:w="1248" w:type="pct"/>
            <w:hideMark/>
          </w:tcPr>
          <w:p w14:paraId="063DD9E6" w14:textId="77777777" w:rsidR="001D2C3C" w:rsidRPr="00F74AB8" w:rsidRDefault="001D2C3C" w:rsidP="007C0C1A">
            <w:pPr>
              <w:spacing w:after="200" w:line="276" w:lineRule="auto"/>
              <w:rPr>
                <w:rFonts w:cs="Arial"/>
                <w:sz w:val="16"/>
                <w:szCs w:val="24"/>
              </w:rPr>
            </w:pPr>
            <w:r w:rsidRPr="00F74AB8">
              <w:rPr>
                <w:rFonts w:cs="Arial"/>
                <w:sz w:val="16"/>
                <w:szCs w:val="24"/>
              </w:rPr>
              <w:t>40%/52%/8%</w:t>
            </w:r>
          </w:p>
        </w:tc>
      </w:tr>
      <w:tr w:rsidR="001D2C3C" w:rsidRPr="00195C12" w14:paraId="60384BC3" w14:textId="77777777" w:rsidTr="005B155F">
        <w:trPr>
          <w:trHeight w:val="556"/>
        </w:trPr>
        <w:tc>
          <w:tcPr>
            <w:tcW w:w="1177" w:type="pct"/>
            <w:vMerge/>
          </w:tcPr>
          <w:p w14:paraId="73D8333F" w14:textId="77777777" w:rsidR="001D2C3C" w:rsidRPr="00F74AB8" w:rsidRDefault="001D2C3C" w:rsidP="007C0C1A">
            <w:pPr>
              <w:spacing w:after="200" w:line="276" w:lineRule="auto"/>
              <w:rPr>
                <w:rFonts w:cs="Arial"/>
                <w:b/>
                <w:sz w:val="16"/>
                <w:szCs w:val="24"/>
              </w:rPr>
            </w:pPr>
          </w:p>
        </w:tc>
        <w:tc>
          <w:tcPr>
            <w:tcW w:w="1453" w:type="pct"/>
          </w:tcPr>
          <w:p w14:paraId="4832E881" w14:textId="77777777" w:rsidR="001D2C3C" w:rsidRPr="00F74AB8" w:rsidRDefault="001D2C3C" w:rsidP="007C0C1A">
            <w:pPr>
              <w:spacing w:after="200" w:line="276" w:lineRule="auto"/>
              <w:rPr>
                <w:rFonts w:cs="Arial"/>
                <w:b/>
                <w:bCs/>
                <w:sz w:val="16"/>
                <w:szCs w:val="24"/>
              </w:rPr>
            </w:pPr>
            <w:r w:rsidRPr="00F74AB8">
              <w:rPr>
                <w:rFonts w:cs="Arial"/>
                <w:b/>
                <w:bCs/>
                <w:sz w:val="16"/>
                <w:szCs w:val="24"/>
              </w:rPr>
              <w:t xml:space="preserve">Dialysate </w:t>
            </w:r>
            <w:r w:rsidR="00100A88">
              <w:rPr>
                <w:rFonts w:cs="Arial"/>
                <w:b/>
                <w:bCs/>
                <w:sz w:val="16"/>
                <w:szCs w:val="24"/>
              </w:rPr>
              <w:t>IL-6</w:t>
            </w:r>
            <w:r w:rsidRPr="00F74AB8">
              <w:rPr>
                <w:rFonts w:cs="Arial"/>
                <w:b/>
                <w:bCs/>
                <w:sz w:val="16"/>
                <w:szCs w:val="24"/>
              </w:rPr>
              <w:t xml:space="preserve"> (log transformed pg/ml)</w:t>
            </w:r>
          </w:p>
        </w:tc>
        <w:tc>
          <w:tcPr>
            <w:tcW w:w="1122" w:type="pct"/>
          </w:tcPr>
          <w:p w14:paraId="640E7700" w14:textId="77777777" w:rsidR="001D2C3C" w:rsidRPr="00F74AB8" w:rsidRDefault="001D2C3C" w:rsidP="007C0C1A">
            <w:pPr>
              <w:spacing w:after="200" w:line="276" w:lineRule="auto"/>
              <w:rPr>
                <w:rFonts w:cs="Arial"/>
                <w:sz w:val="16"/>
                <w:szCs w:val="24"/>
              </w:rPr>
            </w:pPr>
            <w:r w:rsidRPr="00F74AB8">
              <w:rPr>
                <w:rFonts w:cs="Arial"/>
                <w:sz w:val="16"/>
                <w:szCs w:val="24"/>
              </w:rPr>
              <w:t>4.8 (1.8-12.9)</w:t>
            </w:r>
          </w:p>
        </w:tc>
        <w:tc>
          <w:tcPr>
            <w:tcW w:w="1248" w:type="pct"/>
          </w:tcPr>
          <w:p w14:paraId="19F8288C" w14:textId="77777777" w:rsidR="001D2C3C" w:rsidRPr="00F74AB8" w:rsidRDefault="001D2C3C" w:rsidP="007C0C1A">
            <w:pPr>
              <w:spacing w:after="200" w:line="276" w:lineRule="auto"/>
              <w:rPr>
                <w:rFonts w:cs="Arial"/>
                <w:sz w:val="16"/>
                <w:szCs w:val="24"/>
              </w:rPr>
            </w:pPr>
            <w:r w:rsidRPr="00F74AB8">
              <w:rPr>
                <w:rFonts w:cs="Arial"/>
                <w:sz w:val="16"/>
                <w:szCs w:val="24"/>
              </w:rPr>
              <w:t>4.5 (1.5-10.8)</w:t>
            </w:r>
          </w:p>
        </w:tc>
      </w:tr>
      <w:tr w:rsidR="001D2C3C" w:rsidRPr="00195C12" w14:paraId="600029DD" w14:textId="77777777" w:rsidTr="005B155F">
        <w:trPr>
          <w:trHeight w:val="565"/>
        </w:trPr>
        <w:tc>
          <w:tcPr>
            <w:tcW w:w="1177" w:type="pct"/>
            <w:vMerge/>
          </w:tcPr>
          <w:p w14:paraId="6ABF6DED" w14:textId="77777777" w:rsidR="001D2C3C" w:rsidRPr="00F74AB8" w:rsidRDefault="001D2C3C" w:rsidP="007C0C1A">
            <w:pPr>
              <w:spacing w:after="200" w:line="276" w:lineRule="auto"/>
              <w:rPr>
                <w:rFonts w:cs="Arial"/>
                <w:b/>
                <w:sz w:val="16"/>
                <w:szCs w:val="24"/>
              </w:rPr>
            </w:pPr>
          </w:p>
        </w:tc>
        <w:tc>
          <w:tcPr>
            <w:tcW w:w="1453" w:type="pct"/>
          </w:tcPr>
          <w:p w14:paraId="4CE90120" w14:textId="77777777" w:rsidR="001D2C3C" w:rsidRPr="00F74AB8" w:rsidRDefault="001D2C3C" w:rsidP="007C0C1A">
            <w:pPr>
              <w:spacing w:after="200" w:line="276" w:lineRule="auto"/>
              <w:rPr>
                <w:rFonts w:cs="Arial"/>
                <w:b/>
                <w:bCs/>
                <w:sz w:val="16"/>
                <w:szCs w:val="24"/>
              </w:rPr>
            </w:pPr>
            <w:r w:rsidRPr="00F74AB8">
              <w:rPr>
                <w:rFonts w:cs="Arial"/>
                <w:b/>
                <w:bCs/>
                <w:sz w:val="16"/>
                <w:szCs w:val="24"/>
              </w:rPr>
              <w:t xml:space="preserve">Plasma </w:t>
            </w:r>
            <w:r w:rsidR="00100A88">
              <w:rPr>
                <w:rFonts w:cs="Arial"/>
                <w:b/>
                <w:bCs/>
                <w:sz w:val="16"/>
                <w:szCs w:val="24"/>
              </w:rPr>
              <w:t>IL-6</w:t>
            </w:r>
            <w:r w:rsidRPr="00F74AB8">
              <w:rPr>
                <w:rFonts w:cs="Arial"/>
                <w:b/>
                <w:bCs/>
                <w:sz w:val="16"/>
                <w:szCs w:val="24"/>
                <w:vertAlign w:val="superscript"/>
              </w:rPr>
              <w:t xml:space="preserve"> </w:t>
            </w:r>
            <w:r w:rsidRPr="00F74AB8">
              <w:rPr>
                <w:rFonts w:cs="Arial"/>
                <w:b/>
                <w:bCs/>
                <w:sz w:val="16"/>
                <w:szCs w:val="24"/>
              </w:rPr>
              <w:t>(log transformed pg/ml)</w:t>
            </w:r>
          </w:p>
        </w:tc>
        <w:tc>
          <w:tcPr>
            <w:tcW w:w="1122" w:type="pct"/>
          </w:tcPr>
          <w:p w14:paraId="21DD1546" w14:textId="77777777" w:rsidR="001D2C3C" w:rsidRPr="00F74AB8" w:rsidRDefault="001D2C3C" w:rsidP="007C0C1A">
            <w:pPr>
              <w:spacing w:after="200" w:line="276" w:lineRule="auto"/>
              <w:rPr>
                <w:rFonts w:cs="Arial"/>
                <w:sz w:val="16"/>
                <w:szCs w:val="24"/>
              </w:rPr>
            </w:pPr>
            <w:r w:rsidRPr="00F74AB8">
              <w:rPr>
                <w:rFonts w:cs="Arial"/>
                <w:sz w:val="16"/>
                <w:szCs w:val="24"/>
              </w:rPr>
              <w:t>1.3 (0.64-2.4)</w:t>
            </w:r>
          </w:p>
        </w:tc>
        <w:tc>
          <w:tcPr>
            <w:tcW w:w="1248" w:type="pct"/>
          </w:tcPr>
          <w:p w14:paraId="3985E071" w14:textId="77777777" w:rsidR="001D2C3C" w:rsidRPr="00F74AB8" w:rsidRDefault="001D2C3C" w:rsidP="007C0C1A">
            <w:pPr>
              <w:spacing w:after="200" w:line="276" w:lineRule="auto"/>
              <w:rPr>
                <w:rFonts w:cs="Arial"/>
                <w:sz w:val="16"/>
                <w:szCs w:val="24"/>
              </w:rPr>
            </w:pPr>
            <w:r w:rsidRPr="00F74AB8">
              <w:rPr>
                <w:rFonts w:cs="Arial"/>
                <w:sz w:val="16"/>
                <w:szCs w:val="24"/>
              </w:rPr>
              <w:t>1.3 (0.7-2.5)</w:t>
            </w:r>
          </w:p>
        </w:tc>
      </w:tr>
      <w:tr w:rsidR="001D2C3C" w:rsidRPr="00195C12" w14:paraId="396A7215" w14:textId="77777777" w:rsidTr="005B155F">
        <w:trPr>
          <w:trHeight w:val="469"/>
        </w:trPr>
        <w:tc>
          <w:tcPr>
            <w:tcW w:w="1177" w:type="pct"/>
            <w:vMerge/>
          </w:tcPr>
          <w:p w14:paraId="0152E2D3" w14:textId="77777777" w:rsidR="001D2C3C" w:rsidRPr="00F74AB8" w:rsidRDefault="001D2C3C" w:rsidP="007C0C1A">
            <w:pPr>
              <w:spacing w:after="200" w:line="276" w:lineRule="auto"/>
              <w:rPr>
                <w:rFonts w:cs="Arial"/>
                <w:b/>
                <w:sz w:val="16"/>
                <w:szCs w:val="24"/>
                <w:vertAlign w:val="superscript"/>
              </w:rPr>
            </w:pPr>
          </w:p>
        </w:tc>
        <w:tc>
          <w:tcPr>
            <w:tcW w:w="1453" w:type="pct"/>
          </w:tcPr>
          <w:p w14:paraId="63D45C77" w14:textId="77777777" w:rsidR="001D2C3C" w:rsidRPr="00F74AB8" w:rsidRDefault="001D2C3C" w:rsidP="007C0C1A">
            <w:pPr>
              <w:spacing w:after="200" w:line="276" w:lineRule="auto"/>
              <w:rPr>
                <w:rFonts w:cs="Arial"/>
                <w:sz w:val="16"/>
                <w:szCs w:val="24"/>
              </w:rPr>
            </w:pPr>
            <w:r w:rsidRPr="00F74AB8">
              <w:rPr>
                <w:rFonts w:cs="Arial"/>
                <w:b/>
                <w:bCs/>
                <w:sz w:val="16"/>
                <w:szCs w:val="24"/>
              </w:rPr>
              <w:t>A</w:t>
            </w:r>
            <w:r w:rsidR="00FD3AD4">
              <w:rPr>
                <w:rFonts w:cs="Arial"/>
                <w:b/>
                <w:bCs/>
                <w:sz w:val="16"/>
                <w:szCs w:val="24"/>
              </w:rPr>
              <w:t>PD</w:t>
            </w:r>
            <w:r w:rsidRPr="00F74AB8">
              <w:rPr>
                <w:rFonts w:cs="Arial"/>
                <w:b/>
                <w:bCs/>
                <w:sz w:val="16"/>
                <w:szCs w:val="24"/>
              </w:rPr>
              <w:t xml:space="preserve"> usage compared to CA</w:t>
            </w:r>
            <w:r w:rsidR="00FD3AD4">
              <w:rPr>
                <w:rFonts w:cs="Arial"/>
                <w:b/>
                <w:bCs/>
                <w:sz w:val="16"/>
                <w:szCs w:val="24"/>
              </w:rPr>
              <w:t>PD</w:t>
            </w:r>
            <w:r w:rsidRPr="00F74AB8">
              <w:rPr>
                <w:rFonts w:cs="Arial"/>
                <w:b/>
                <w:bCs/>
                <w:sz w:val="16"/>
                <w:szCs w:val="24"/>
              </w:rPr>
              <w:t xml:space="preserve"> usage</w:t>
            </w:r>
          </w:p>
        </w:tc>
        <w:tc>
          <w:tcPr>
            <w:tcW w:w="1122" w:type="pct"/>
          </w:tcPr>
          <w:p w14:paraId="64EC3AB0" w14:textId="77777777" w:rsidR="001D2C3C" w:rsidRPr="00F74AB8" w:rsidRDefault="001D2C3C" w:rsidP="007C0C1A">
            <w:pPr>
              <w:spacing w:after="200" w:line="276" w:lineRule="auto"/>
              <w:rPr>
                <w:rFonts w:cs="Arial"/>
                <w:sz w:val="16"/>
                <w:szCs w:val="24"/>
              </w:rPr>
            </w:pPr>
            <w:r w:rsidRPr="00F74AB8">
              <w:rPr>
                <w:rFonts w:cs="Arial"/>
                <w:sz w:val="16"/>
                <w:szCs w:val="24"/>
              </w:rPr>
              <w:t>6%</w:t>
            </w:r>
          </w:p>
        </w:tc>
        <w:tc>
          <w:tcPr>
            <w:tcW w:w="1248" w:type="pct"/>
          </w:tcPr>
          <w:p w14:paraId="55946819" w14:textId="77777777" w:rsidR="001D2C3C" w:rsidRPr="00F74AB8" w:rsidRDefault="001D2C3C" w:rsidP="007C0C1A">
            <w:pPr>
              <w:spacing w:after="200" w:line="276" w:lineRule="auto"/>
              <w:rPr>
                <w:rFonts w:cs="Arial"/>
                <w:sz w:val="16"/>
                <w:szCs w:val="24"/>
              </w:rPr>
            </w:pPr>
            <w:r w:rsidRPr="00F74AB8">
              <w:rPr>
                <w:rFonts w:cs="Arial"/>
                <w:sz w:val="16"/>
                <w:szCs w:val="24"/>
              </w:rPr>
              <w:t>28%</w:t>
            </w:r>
          </w:p>
        </w:tc>
      </w:tr>
      <w:tr w:rsidR="001D2C3C" w:rsidRPr="00195C12" w14:paraId="3A2222BD" w14:textId="77777777" w:rsidTr="005B155F">
        <w:trPr>
          <w:trHeight w:val="469"/>
        </w:trPr>
        <w:tc>
          <w:tcPr>
            <w:tcW w:w="1177" w:type="pct"/>
            <w:vMerge/>
          </w:tcPr>
          <w:p w14:paraId="43A751CA" w14:textId="77777777" w:rsidR="001D2C3C" w:rsidRPr="00F74AB8" w:rsidRDefault="001D2C3C" w:rsidP="00382A9A">
            <w:pPr>
              <w:rPr>
                <w:rFonts w:cs="Arial"/>
                <w:b/>
                <w:sz w:val="16"/>
                <w:szCs w:val="24"/>
                <w:vertAlign w:val="superscript"/>
              </w:rPr>
            </w:pPr>
          </w:p>
        </w:tc>
        <w:tc>
          <w:tcPr>
            <w:tcW w:w="1453" w:type="pct"/>
          </w:tcPr>
          <w:p w14:paraId="04F99B23" w14:textId="77777777" w:rsidR="001D2C3C" w:rsidRPr="005B155F" w:rsidRDefault="001D2C3C" w:rsidP="00382A9A">
            <w:pPr>
              <w:rPr>
                <w:rFonts w:cs="Arial"/>
                <w:b/>
                <w:bCs/>
                <w:sz w:val="16"/>
                <w:szCs w:val="24"/>
              </w:rPr>
            </w:pPr>
            <w:r w:rsidRPr="005B155F">
              <w:rPr>
                <w:rFonts w:cs="Arial"/>
                <w:b/>
                <w:bCs/>
                <w:sz w:val="16"/>
                <w:szCs w:val="24"/>
              </w:rPr>
              <w:t>Country</w:t>
            </w:r>
          </w:p>
          <w:p w14:paraId="76C13EA4" w14:textId="77777777" w:rsidR="001D2C3C" w:rsidRPr="001B558D" w:rsidRDefault="001D2C3C" w:rsidP="00382A9A">
            <w:pPr>
              <w:rPr>
                <w:rFonts w:cs="Arial"/>
                <w:b/>
                <w:bCs/>
                <w:sz w:val="16"/>
                <w:szCs w:val="24"/>
              </w:rPr>
            </w:pPr>
            <w:r w:rsidRPr="005B155F">
              <w:rPr>
                <w:rFonts w:cs="Arial"/>
                <w:b/>
                <w:bCs/>
                <w:sz w:val="16"/>
                <w:szCs w:val="24"/>
              </w:rPr>
              <w:t>(Canada/UK/Korea)</w:t>
            </w:r>
          </w:p>
        </w:tc>
        <w:tc>
          <w:tcPr>
            <w:tcW w:w="1122" w:type="pct"/>
          </w:tcPr>
          <w:p w14:paraId="6E8D0ADE" w14:textId="77777777" w:rsidR="001D2C3C" w:rsidRPr="001B558D" w:rsidRDefault="001D2C3C" w:rsidP="00382A9A">
            <w:pPr>
              <w:rPr>
                <w:rFonts w:cs="Arial"/>
                <w:sz w:val="16"/>
                <w:szCs w:val="24"/>
              </w:rPr>
            </w:pPr>
            <w:r w:rsidRPr="005B155F">
              <w:rPr>
                <w:rFonts w:cs="Arial"/>
                <w:sz w:val="16"/>
                <w:szCs w:val="24"/>
              </w:rPr>
              <w:t>1/35/35</w:t>
            </w:r>
          </w:p>
        </w:tc>
        <w:tc>
          <w:tcPr>
            <w:tcW w:w="1248" w:type="pct"/>
          </w:tcPr>
          <w:p w14:paraId="33E6D911" w14:textId="77777777" w:rsidR="001D2C3C" w:rsidRPr="001B558D" w:rsidRDefault="001D2C3C" w:rsidP="00382A9A">
            <w:pPr>
              <w:rPr>
                <w:rFonts w:cs="Arial"/>
                <w:sz w:val="16"/>
                <w:szCs w:val="24"/>
              </w:rPr>
            </w:pPr>
            <w:r w:rsidRPr="005B155F">
              <w:rPr>
                <w:rFonts w:cs="Arial"/>
                <w:sz w:val="16"/>
                <w:szCs w:val="24"/>
              </w:rPr>
              <w:t>16/163/116</w:t>
            </w:r>
          </w:p>
        </w:tc>
      </w:tr>
      <w:tr w:rsidR="001D2C3C" w:rsidRPr="00195C12" w14:paraId="51AEDA05" w14:textId="77777777" w:rsidTr="005B155F">
        <w:trPr>
          <w:trHeight w:val="469"/>
        </w:trPr>
        <w:tc>
          <w:tcPr>
            <w:tcW w:w="1177" w:type="pct"/>
            <w:vMerge/>
          </w:tcPr>
          <w:p w14:paraId="4A9B8407" w14:textId="77777777" w:rsidR="001D2C3C" w:rsidRPr="00F74AB8" w:rsidRDefault="001D2C3C" w:rsidP="00382A9A">
            <w:pPr>
              <w:rPr>
                <w:rFonts w:cs="Arial"/>
                <w:b/>
                <w:sz w:val="16"/>
                <w:szCs w:val="24"/>
                <w:vertAlign w:val="superscript"/>
              </w:rPr>
            </w:pPr>
          </w:p>
        </w:tc>
        <w:tc>
          <w:tcPr>
            <w:tcW w:w="1453" w:type="pct"/>
          </w:tcPr>
          <w:p w14:paraId="4B24D270" w14:textId="77777777" w:rsidR="001D2C3C" w:rsidRPr="001B558D" w:rsidRDefault="001D2C3C" w:rsidP="00382A9A">
            <w:pPr>
              <w:rPr>
                <w:rFonts w:cs="Arial"/>
                <w:b/>
                <w:bCs/>
                <w:sz w:val="16"/>
                <w:szCs w:val="24"/>
              </w:rPr>
            </w:pPr>
            <w:r>
              <w:rPr>
                <w:rFonts w:cs="Arial"/>
                <w:b/>
                <w:bCs/>
                <w:sz w:val="16"/>
                <w:szCs w:val="24"/>
              </w:rPr>
              <w:t>Weight (kg)</w:t>
            </w:r>
          </w:p>
        </w:tc>
        <w:tc>
          <w:tcPr>
            <w:tcW w:w="1122" w:type="pct"/>
          </w:tcPr>
          <w:p w14:paraId="5EAA00FB" w14:textId="77777777" w:rsidR="001D2C3C" w:rsidRPr="001B558D" w:rsidRDefault="001D2C3C" w:rsidP="00382A9A">
            <w:pPr>
              <w:rPr>
                <w:rFonts w:cs="Arial"/>
                <w:sz w:val="16"/>
                <w:szCs w:val="24"/>
              </w:rPr>
            </w:pPr>
            <w:r>
              <w:rPr>
                <w:rFonts w:cs="Arial"/>
                <w:sz w:val="16"/>
                <w:szCs w:val="24"/>
              </w:rPr>
              <w:t>63 (55-76)</w:t>
            </w:r>
          </w:p>
        </w:tc>
        <w:tc>
          <w:tcPr>
            <w:tcW w:w="1248" w:type="pct"/>
          </w:tcPr>
          <w:p w14:paraId="3AF48569" w14:textId="77777777" w:rsidR="001D2C3C" w:rsidRPr="001B558D" w:rsidRDefault="001D2C3C" w:rsidP="001B558D">
            <w:pPr>
              <w:rPr>
                <w:rFonts w:cs="Arial"/>
                <w:sz w:val="16"/>
                <w:szCs w:val="24"/>
              </w:rPr>
            </w:pPr>
            <w:r>
              <w:rPr>
                <w:rFonts w:cs="Arial"/>
                <w:sz w:val="16"/>
                <w:szCs w:val="24"/>
              </w:rPr>
              <w:t>67 (58 – 77)</w:t>
            </w:r>
          </w:p>
        </w:tc>
      </w:tr>
      <w:tr w:rsidR="00382A9A" w:rsidRPr="00195C12" w14:paraId="7C15A57C" w14:textId="77777777" w:rsidTr="005B155F">
        <w:trPr>
          <w:trHeight w:val="333"/>
        </w:trPr>
        <w:tc>
          <w:tcPr>
            <w:tcW w:w="1177" w:type="pct"/>
            <w:vMerge w:val="restart"/>
          </w:tcPr>
          <w:p w14:paraId="3BEED998" w14:textId="77777777" w:rsidR="00382A9A" w:rsidRPr="00195C12" w:rsidRDefault="00382A9A" w:rsidP="007C0C1A">
            <w:pPr>
              <w:rPr>
                <w:rFonts w:cs="Arial"/>
                <w:b/>
                <w:bCs/>
                <w:sz w:val="16"/>
                <w:szCs w:val="24"/>
              </w:rPr>
            </w:pPr>
            <w:r>
              <w:rPr>
                <w:rFonts w:cs="Arial"/>
                <w:b/>
                <w:sz w:val="16"/>
                <w:szCs w:val="24"/>
              </w:rPr>
              <w:t xml:space="preserve">Baseline measurements for </w:t>
            </w:r>
            <w:r>
              <w:rPr>
                <w:rFonts w:cs="Arial"/>
                <w:b/>
                <w:bCs/>
                <w:sz w:val="16"/>
                <w:szCs w:val="24"/>
              </w:rPr>
              <w:t>t</w:t>
            </w:r>
            <w:r w:rsidRPr="00195C12">
              <w:rPr>
                <w:rFonts w:cs="Arial"/>
                <w:b/>
                <w:bCs/>
                <w:sz w:val="16"/>
                <w:szCs w:val="24"/>
              </w:rPr>
              <w:t>ime varying covariates</w:t>
            </w:r>
          </w:p>
        </w:tc>
        <w:tc>
          <w:tcPr>
            <w:tcW w:w="1453" w:type="pct"/>
          </w:tcPr>
          <w:p w14:paraId="551E65A6" w14:textId="77777777" w:rsidR="00382A9A" w:rsidRPr="00195C12" w:rsidRDefault="00382A9A" w:rsidP="007C0C1A">
            <w:pPr>
              <w:pStyle w:val="NormalWeb"/>
              <w:spacing w:before="0" w:beforeAutospacing="0" w:after="0" w:afterAutospacing="0"/>
              <w:rPr>
                <w:rFonts w:asciiTheme="minorHAnsi" w:eastAsia="Calibri" w:hAnsiTheme="minorHAnsi" w:cs="Arial"/>
                <w:bCs/>
                <w:kern w:val="24"/>
                <w:sz w:val="16"/>
              </w:rPr>
            </w:pPr>
            <w:r>
              <w:rPr>
                <w:rFonts w:asciiTheme="minorHAnsi" w:hAnsiTheme="minorHAnsi" w:cs="Arial"/>
                <w:b/>
                <w:bCs/>
                <w:sz w:val="16"/>
              </w:rPr>
              <w:t>Average Dialysate Dextrose concentration</w:t>
            </w:r>
            <w:r w:rsidRPr="00195C12">
              <w:rPr>
                <w:rFonts w:asciiTheme="minorHAnsi" w:hAnsiTheme="minorHAnsi" w:cs="Arial"/>
                <w:b/>
                <w:bCs/>
                <w:sz w:val="16"/>
                <w:vertAlign w:val="superscript"/>
              </w:rPr>
              <w:t xml:space="preserve"> </w:t>
            </w:r>
            <w:r>
              <w:rPr>
                <w:rFonts w:asciiTheme="minorHAnsi" w:hAnsiTheme="minorHAnsi" w:cs="Arial"/>
                <w:b/>
                <w:bCs/>
                <w:sz w:val="16"/>
              </w:rPr>
              <w:t>(g/L</w:t>
            </w:r>
            <w:r w:rsidRPr="00195C12">
              <w:rPr>
                <w:rFonts w:asciiTheme="minorHAnsi" w:hAnsiTheme="minorHAnsi" w:cs="Arial"/>
                <w:b/>
                <w:bCs/>
                <w:sz w:val="16"/>
              </w:rPr>
              <w:t>)</w:t>
            </w:r>
          </w:p>
        </w:tc>
        <w:tc>
          <w:tcPr>
            <w:tcW w:w="1122" w:type="pct"/>
          </w:tcPr>
          <w:p w14:paraId="0A2E6B72" w14:textId="77777777" w:rsidR="00382A9A" w:rsidRPr="006C2D5A" w:rsidRDefault="00382A9A" w:rsidP="007C0C1A">
            <w:pPr>
              <w:pStyle w:val="NormalWeb"/>
              <w:spacing w:before="0" w:beforeAutospacing="0" w:after="0" w:afterAutospacing="0"/>
              <w:rPr>
                <w:rFonts w:asciiTheme="minorHAnsi" w:hAnsiTheme="minorHAnsi" w:cs="Arial"/>
                <w:sz w:val="16"/>
              </w:rPr>
            </w:pPr>
            <w:r>
              <w:rPr>
                <w:rFonts w:asciiTheme="minorHAnsi" w:hAnsiTheme="minorHAnsi"/>
                <w:sz w:val="16"/>
                <w:szCs w:val="20"/>
              </w:rPr>
              <w:t>1</w:t>
            </w:r>
            <w:r w:rsidR="002025C2">
              <w:rPr>
                <w:rFonts w:asciiTheme="minorHAnsi" w:hAnsiTheme="minorHAnsi"/>
                <w:sz w:val="16"/>
                <w:szCs w:val="20"/>
              </w:rPr>
              <w:t>5.0</w:t>
            </w:r>
            <w:r>
              <w:rPr>
                <w:rFonts w:asciiTheme="minorHAnsi" w:hAnsiTheme="minorHAnsi"/>
                <w:sz w:val="16"/>
                <w:szCs w:val="20"/>
              </w:rPr>
              <w:t xml:space="preserve"> (1</w:t>
            </w:r>
            <w:r w:rsidR="002025C2">
              <w:rPr>
                <w:rFonts w:asciiTheme="minorHAnsi" w:hAnsiTheme="minorHAnsi"/>
                <w:sz w:val="16"/>
                <w:szCs w:val="20"/>
              </w:rPr>
              <w:t>5.0</w:t>
            </w:r>
            <w:r>
              <w:rPr>
                <w:rFonts w:asciiTheme="minorHAnsi" w:hAnsiTheme="minorHAnsi"/>
                <w:sz w:val="16"/>
                <w:szCs w:val="20"/>
              </w:rPr>
              <w:t>-1</w:t>
            </w:r>
            <w:r w:rsidR="002025C2">
              <w:rPr>
                <w:rFonts w:asciiTheme="minorHAnsi" w:hAnsiTheme="minorHAnsi"/>
                <w:sz w:val="16"/>
                <w:szCs w:val="20"/>
              </w:rPr>
              <w:t>8.7</w:t>
            </w:r>
            <w:r w:rsidRPr="006C2D5A">
              <w:rPr>
                <w:rFonts w:asciiTheme="minorHAnsi" w:hAnsiTheme="minorHAnsi"/>
                <w:sz w:val="16"/>
                <w:szCs w:val="20"/>
              </w:rPr>
              <w:t xml:space="preserve">) </w:t>
            </w:r>
          </w:p>
        </w:tc>
        <w:tc>
          <w:tcPr>
            <w:tcW w:w="1248" w:type="pct"/>
          </w:tcPr>
          <w:p w14:paraId="31DCBB99" w14:textId="77777777" w:rsidR="00382A9A" w:rsidRPr="006C2D5A" w:rsidRDefault="00382A9A" w:rsidP="007C0C1A">
            <w:pPr>
              <w:pStyle w:val="NormalWeb"/>
              <w:spacing w:before="0" w:beforeAutospacing="0" w:after="0" w:afterAutospacing="0"/>
              <w:rPr>
                <w:rFonts w:asciiTheme="minorHAnsi" w:hAnsiTheme="minorHAnsi" w:cs="Arial"/>
                <w:sz w:val="16"/>
              </w:rPr>
            </w:pPr>
            <w:r>
              <w:rPr>
                <w:rFonts w:asciiTheme="minorHAnsi" w:hAnsiTheme="minorHAnsi"/>
                <w:sz w:val="16"/>
                <w:szCs w:val="20"/>
              </w:rPr>
              <w:t>1</w:t>
            </w:r>
            <w:r w:rsidR="002025C2">
              <w:rPr>
                <w:rFonts w:asciiTheme="minorHAnsi" w:hAnsiTheme="minorHAnsi"/>
                <w:sz w:val="16"/>
                <w:szCs w:val="20"/>
              </w:rPr>
              <w:t>5.0</w:t>
            </w:r>
            <w:r>
              <w:rPr>
                <w:rFonts w:asciiTheme="minorHAnsi" w:hAnsiTheme="minorHAnsi"/>
                <w:sz w:val="16"/>
                <w:szCs w:val="20"/>
              </w:rPr>
              <w:t xml:space="preserve"> (1</w:t>
            </w:r>
            <w:r w:rsidR="002025C2">
              <w:rPr>
                <w:rFonts w:asciiTheme="minorHAnsi" w:hAnsiTheme="minorHAnsi"/>
                <w:sz w:val="16"/>
                <w:szCs w:val="20"/>
              </w:rPr>
              <w:t>5.0</w:t>
            </w:r>
            <w:r>
              <w:rPr>
                <w:rFonts w:asciiTheme="minorHAnsi" w:hAnsiTheme="minorHAnsi"/>
                <w:sz w:val="16"/>
                <w:szCs w:val="20"/>
              </w:rPr>
              <w:t xml:space="preserve"> – </w:t>
            </w:r>
            <w:r w:rsidR="002025C2">
              <w:rPr>
                <w:rFonts w:asciiTheme="minorHAnsi" w:hAnsiTheme="minorHAnsi"/>
                <w:sz w:val="16"/>
                <w:szCs w:val="20"/>
              </w:rPr>
              <w:t>20.1</w:t>
            </w:r>
            <w:r w:rsidRPr="006C2D5A">
              <w:rPr>
                <w:rFonts w:asciiTheme="minorHAnsi" w:hAnsiTheme="minorHAnsi"/>
                <w:sz w:val="16"/>
                <w:szCs w:val="20"/>
              </w:rPr>
              <w:t xml:space="preserve">) </w:t>
            </w:r>
          </w:p>
        </w:tc>
      </w:tr>
      <w:tr w:rsidR="00382A9A" w:rsidRPr="00195C12" w14:paraId="2E8E1623" w14:textId="77777777" w:rsidTr="005B155F">
        <w:trPr>
          <w:trHeight w:val="133"/>
        </w:trPr>
        <w:tc>
          <w:tcPr>
            <w:tcW w:w="1177" w:type="pct"/>
            <w:vMerge/>
          </w:tcPr>
          <w:p w14:paraId="657A7C22" w14:textId="77777777" w:rsidR="00382A9A" w:rsidRPr="00195C12" w:rsidRDefault="00382A9A" w:rsidP="007C0C1A">
            <w:pPr>
              <w:spacing w:after="200"/>
              <w:rPr>
                <w:rFonts w:cs="Arial"/>
                <w:b/>
                <w:sz w:val="16"/>
                <w:szCs w:val="24"/>
                <w:vertAlign w:val="superscript"/>
              </w:rPr>
            </w:pPr>
          </w:p>
        </w:tc>
        <w:tc>
          <w:tcPr>
            <w:tcW w:w="1453" w:type="pct"/>
          </w:tcPr>
          <w:p w14:paraId="26F90862" w14:textId="77777777" w:rsidR="00382A9A" w:rsidRPr="00195C12" w:rsidRDefault="00382A9A" w:rsidP="007C0C1A">
            <w:pPr>
              <w:rPr>
                <w:rFonts w:cs="Arial"/>
                <w:sz w:val="16"/>
                <w:szCs w:val="24"/>
              </w:rPr>
            </w:pPr>
            <w:r w:rsidRPr="00195C12">
              <w:rPr>
                <w:rFonts w:cs="Arial"/>
                <w:b/>
                <w:bCs/>
                <w:sz w:val="16"/>
                <w:szCs w:val="24"/>
              </w:rPr>
              <w:t>Urine Volume (Litres)</w:t>
            </w:r>
          </w:p>
        </w:tc>
        <w:tc>
          <w:tcPr>
            <w:tcW w:w="1122" w:type="pct"/>
            <w:hideMark/>
          </w:tcPr>
          <w:p w14:paraId="3AC35DE3" w14:textId="77777777" w:rsidR="00382A9A" w:rsidRPr="00195C12" w:rsidRDefault="00382A9A" w:rsidP="007C0C1A">
            <w:pPr>
              <w:spacing w:after="200"/>
              <w:rPr>
                <w:rFonts w:cs="Arial"/>
                <w:sz w:val="16"/>
                <w:szCs w:val="24"/>
              </w:rPr>
            </w:pPr>
            <w:r w:rsidRPr="00195C12">
              <w:rPr>
                <w:rFonts w:cs="Arial"/>
                <w:sz w:val="16"/>
                <w:szCs w:val="24"/>
              </w:rPr>
              <w:t>0.96 (0.55-1.52)</w:t>
            </w:r>
          </w:p>
        </w:tc>
        <w:tc>
          <w:tcPr>
            <w:tcW w:w="1248" w:type="pct"/>
            <w:hideMark/>
          </w:tcPr>
          <w:p w14:paraId="73F58F79" w14:textId="77777777" w:rsidR="00382A9A" w:rsidRPr="00195C12" w:rsidRDefault="00382A9A" w:rsidP="007C0C1A">
            <w:pPr>
              <w:spacing w:after="200"/>
              <w:rPr>
                <w:rFonts w:cs="Arial"/>
                <w:sz w:val="16"/>
                <w:szCs w:val="24"/>
              </w:rPr>
            </w:pPr>
            <w:r w:rsidRPr="00195C12">
              <w:rPr>
                <w:rFonts w:cs="Arial"/>
                <w:sz w:val="16"/>
                <w:szCs w:val="24"/>
              </w:rPr>
              <w:t>0.86 (0.4-1.4)</w:t>
            </w:r>
          </w:p>
        </w:tc>
      </w:tr>
      <w:tr w:rsidR="00382A9A" w:rsidRPr="00195C12" w14:paraId="4681ED9E" w14:textId="77777777" w:rsidTr="005B155F">
        <w:trPr>
          <w:trHeight w:val="428"/>
        </w:trPr>
        <w:tc>
          <w:tcPr>
            <w:tcW w:w="1177" w:type="pct"/>
            <w:vMerge/>
          </w:tcPr>
          <w:p w14:paraId="1BF3F5E3" w14:textId="77777777" w:rsidR="00382A9A" w:rsidRPr="00195C12" w:rsidRDefault="00382A9A" w:rsidP="007C0C1A">
            <w:pPr>
              <w:spacing w:after="200"/>
              <w:rPr>
                <w:rFonts w:cs="Arial"/>
                <w:b/>
                <w:sz w:val="16"/>
                <w:szCs w:val="24"/>
                <w:vertAlign w:val="superscript"/>
              </w:rPr>
            </w:pPr>
          </w:p>
        </w:tc>
        <w:tc>
          <w:tcPr>
            <w:tcW w:w="1453" w:type="pct"/>
          </w:tcPr>
          <w:p w14:paraId="792CCFA4" w14:textId="77777777" w:rsidR="00382A9A" w:rsidRPr="00195C12" w:rsidRDefault="00382A9A" w:rsidP="007C0C1A">
            <w:pPr>
              <w:rPr>
                <w:rFonts w:cs="Arial"/>
                <w:sz w:val="16"/>
                <w:szCs w:val="24"/>
              </w:rPr>
            </w:pPr>
            <w:r w:rsidRPr="00195C12">
              <w:rPr>
                <w:rFonts w:cs="Arial"/>
                <w:b/>
                <w:bCs/>
                <w:sz w:val="16"/>
                <w:szCs w:val="24"/>
              </w:rPr>
              <w:t>Icodextrin use</w:t>
            </w:r>
          </w:p>
        </w:tc>
        <w:tc>
          <w:tcPr>
            <w:tcW w:w="1122" w:type="pct"/>
            <w:hideMark/>
          </w:tcPr>
          <w:p w14:paraId="4726C009" w14:textId="77777777" w:rsidR="00382A9A" w:rsidRPr="00195C12" w:rsidRDefault="00382A9A" w:rsidP="007C0C1A">
            <w:pPr>
              <w:spacing w:after="200"/>
              <w:rPr>
                <w:rFonts w:cs="Arial"/>
                <w:sz w:val="16"/>
                <w:szCs w:val="24"/>
              </w:rPr>
            </w:pPr>
            <w:r w:rsidRPr="00195C12">
              <w:rPr>
                <w:rFonts w:cs="Arial"/>
                <w:sz w:val="16"/>
                <w:szCs w:val="24"/>
              </w:rPr>
              <w:t>29%</w:t>
            </w:r>
          </w:p>
        </w:tc>
        <w:tc>
          <w:tcPr>
            <w:tcW w:w="1248" w:type="pct"/>
            <w:hideMark/>
          </w:tcPr>
          <w:p w14:paraId="34A2040B" w14:textId="77777777" w:rsidR="00382A9A" w:rsidRPr="00195C12" w:rsidRDefault="00382A9A" w:rsidP="007C0C1A">
            <w:pPr>
              <w:spacing w:after="200"/>
              <w:rPr>
                <w:rFonts w:cs="Arial"/>
                <w:sz w:val="16"/>
                <w:szCs w:val="24"/>
              </w:rPr>
            </w:pPr>
            <w:r w:rsidRPr="00195C12">
              <w:rPr>
                <w:rFonts w:cs="Arial"/>
                <w:sz w:val="16"/>
                <w:szCs w:val="24"/>
              </w:rPr>
              <w:t>33%</w:t>
            </w:r>
          </w:p>
        </w:tc>
      </w:tr>
      <w:tr w:rsidR="00382A9A" w:rsidRPr="00195C12" w14:paraId="2CC5B4D8" w14:textId="77777777" w:rsidTr="005B155F">
        <w:trPr>
          <w:trHeight w:val="361"/>
        </w:trPr>
        <w:tc>
          <w:tcPr>
            <w:tcW w:w="1177" w:type="pct"/>
            <w:vMerge/>
          </w:tcPr>
          <w:p w14:paraId="01859527" w14:textId="77777777" w:rsidR="00382A9A" w:rsidRPr="00195C12" w:rsidRDefault="00382A9A" w:rsidP="007C0C1A">
            <w:pPr>
              <w:spacing w:after="200"/>
              <w:rPr>
                <w:rFonts w:cs="Arial"/>
                <w:b/>
                <w:sz w:val="16"/>
                <w:szCs w:val="24"/>
              </w:rPr>
            </w:pPr>
          </w:p>
        </w:tc>
        <w:tc>
          <w:tcPr>
            <w:tcW w:w="1453" w:type="pct"/>
          </w:tcPr>
          <w:p w14:paraId="7CB7A8F8" w14:textId="77777777" w:rsidR="00382A9A" w:rsidRPr="00195C12" w:rsidRDefault="00382A9A" w:rsidP="007C0C1A">
            <w:pPr>
              <w:rPr>
                <w:rFonts w:cs="Arial"/>
                <w:sz w:val="16"/>
                <w:szCs w:val="24"/>
              </w:rPr>
            </w:pPr>
            <w:r>
              <w:rPr>
                <w:rFonts w:cs="Arial"/>
                <w:b/>
                <w:bCs/>
                <w:sz w:val="16"/>
                <w:szCs w:val="24"/>
              </w:rPr>
              <w:t>Peritonitis Count (number of episodes per year)</w:t>
            </w:r>
          </w:p>
        </w:tc>
        <w:tc>
          <w:tcPr>
            <w:tcW w:w="1122" w:type="pct"/>
            <w:hideMark/>
          </w:tcPr>
          <w:p w14:paraId="2CDA2DF4" w14:textId="77777777" w:rsidR="00382A9A" w:rsidRPr="00195C12" w:rsidRDefault="00382A9A" w:rsidP="007C0C1A">
            <w:pPr>
              <w:spacing w:after="200"/>
              <w:rPr>
                <w:rFonts w:cs="Arial"/>
                <w:sz w:val="16"/>
                <w:szCs w:val="24"/>
              </w:rPr>
            </w:pPr>
            <w:r w:rsidRPr="00195C12">
              <w:rPr>
                <w:rFonts w:cs="Arial"/>
                <w:sz w:val="16"/>
                <w:szCs w:val="24"/>
              </w:rPr>
              <w:t>0</w:t>
            </w:r>
            <w:r>
              <w:rPr>
                <w:rFonts w:cs="Arial"/>
                <w:sz w:val="16"/>
                <w:szCs w:val="24"/>
              </w:rPr>
              <w:t xml:space="preserve"> (0-0.59</w:t>
            </w:r>
            <w:r w:rsidRPr="00195C12">
              <w:rPr>
                <w:rFonts w:cs="Arial"/>
                <w:sz w:val="16"/>
                <w:szCs w:val="24"/>
              </w:rPr>
              <w:t>)</w:t>
            </w:r>
          </w:p>
        </w:tc>
        <w:tc>
          <w:tcPr>
            <w:tcW w:w="1248" w:type="pct"/>
            <w:hideMark/>
          </w:tcPr>
          <w:p w14:paraId="4921B265" w14:textId="77777777" w:rsidR="00382A9A" w:rsidRPr="00195C12" w:rsidRDefault="00382A9A" w:rsidP="007C0C1A">
            <w:pPr>
              <w:spacing w:after="200"/>
              <w:rPr>
                <w:rFonts w:cs="Arial"/>
                <w:sz w:val="16"/>
                <w:szCs w:val="24"/>
              </w:rPr>
            </w:pPr>
            <w:r>
              <w:rPr>
                <w:rFonts w:cs="Arial"/>
                <w:sz w:val="16"/>
                <w:szCs w:val="24"/>
              </w:rPr>
              <w:t>0.23 (0-0.47</w:t>
            </w:r>
            <w:r w:rsidRPr="00195C12">
              <w:rPr>
                <w:rFonts w:cs="Arial"/>
                <w:sz w:val="16"/>
                <w:szCs w:val="24"/>
              </w:rPr>
              <w:t>)</w:t>
            </w:r>
          </w:p>
        </w:tc>
      </w:tr>
    </w:tbl>
    <w:bookmarkEnd w:id="1"/>
    <w:p w14:paraId="37B78861" w14:textId="77777777" w:rsidR="00177DD7" w:rsidRDefault="00447D12" w:rsidP="00195C12">
      <w:pPr>
        <w:spacing w:line="480" w:lineRule="auto"/>
        <w:rPr>
          <w:rFonts w:cs="Arial"/>
          <w:sz w:val="24"/>
          <w:szCs w:val="24"/>
        </w:rPr>
      </w:pPr>
      <w:r>
        <w:rPr>
          <w:rFonts w:cs="Arial"/>
          <w:sz w:val="24"/>
          <w:szCs w:val="24"/>
        </w:rPr>
        <w:t xml:space="preserve">Baseline measurements demonstrated using </w:t>
      </w:r>
      <w:r w:rsidR="006C2D5A">
        <w:rPr>
          <w:rFonts w:cs="Arial"/>
          <w:sz w:val="24"/>
          <w:szCs w:val="24"/>
        </w:rPr>
        <w:t>mean with standard deviation or median with interquartile range</w:t>
      </w:r>
    </w:p>
    <w:p w14:paraId="16F7B6C6" w14:textId="77777777" w:rsidR="00177DD7" w:rsidRDefault="00177DD7" w:rsidP="00195C12">
      <w:pPr>
        <w:spacing w:line="480" w:lineRule="auto"/>
        <w:rPr>
          <w:rFonts w:cs="Arial"/>
          <w:sz w:val="24"/>
          <w:szCs w:val="24"/>
        </w:rPr>
      </w:pPr>
    </w:p>
    <w:p w14:paraId="382B92FC" w14:textId="77777777" w:rsidR="00195C12" w:rsidRPr="00195C12" w:rsidRDefault="00195C12" w:rsidP="00195C12">
      <w:pPr>
        <w:spacing w:line="480" w:lineRule="auto"/>
        <w:rPr>
          <w:rFonts w:cs="Arial"/>
          <w:i/>
          <w:sz w:val="24"/>
          <w:szCs w:val="24"/>
        </w:rPr>
      </w:pPr>
      <w:r w:rsidRPr="00195C12">
        <w:rPr>
          <w:rFonts w:cs="Arial"/>
          <w:i/>
          <w:sz w:val="24"/>
          <w:szCs w:val="24"/>
        </w:rPr>
        <w:t xml:space="preserve">Table 2. </w:t>
      </w:r>
      <w:r w:rsidR="00633F0E">
        <w:rPr>
          <w:rFonts w:cs="Arial"/>
          <w:i/>
          <w:sz w:val="24"/>
          <w:szCs w:val="24"/>
        </w:rPr>
        <w:t>Predictors of changes in solute transport</w:t>
      </w:r>
      <w:r w:rsidRPr="00195C12">
        <w:rPr>
          <w:rFonts w:cs="Arial"/>
          <w:i/>
          <w:sz w:val="24"/>
          <w:szCs w:val="24"/>
        </w:rPr>
        <w:t xml:space="preserve"> over time </w:t>
      </w:r>
    </w:p>
    <w:tbl>
      <w:tblPr>
        <w:tblStyle w:val="TableGrid"/>
        <w:tblW w:w="9949" w:type="dxa"/>
        <w:tblLook w:val="04A0" w:firstRow="1" w:lastRow="0" w:firstColumn="1" w:lastColumn="0" w:noHBand="0" w:noVBand="1"/>
      </w:tblPr>
      <w:tblGrid>
        <w:gridCol w:w="4815"/>
        <w:gridCol w:w="4247"/>
        <w:gridCol w:w="887"/>
      </w:tblGrid>
      <w:tr w:rsidR="00195C12" w:rsidRPr="00195C12" w14:paraId="113FB2C0" w14:textId="77777777" w:rsidTr="00E30AAD">
        <w:trPr>
          <w:trHeight w:val="300"/>
        </w:trPr>
        <w:tc>
          <w:tcPr>
            <w:tcW w:w="4815" w:type="dxa"/>
            <w:noWrap/>
            <w:vAlign w:val="center"/>
            <w:hideMark/>
          </w:tcPr>
          <w:p w14:paraId="7AB2AB34" w14:textId="77777777" w:rsidR="00195C12" w:rsidRPr="0032631E" w:rsidRDefault="00E16959" w:rsidP="0032631E">
            <w:pPr>
              <w:jc w:val="center"/>
              <w:rPr>
                <w:rFonts w:eastAsia="Times New Roman" w:cs="Arial"/>
                <w:b/>
                <w:color w:val="000000"/>
                <w:sz w:val="24"/>
                <w:szCs w:val="24"/>
              </w:rPr>
            </w:pPr>
            <w:bookmarkStart w:id="2" w:name="_Hlk505804197"/>
            <w:r>
              <w:rPr>
                <w:rFonts w:eastAsia="Times New Roman" w:cs="Arial"/>
                <w:b/>
                <w:color w:val="000000"/>
                <w:sz w:val="24"/>
                <w:szCs w:val="24"/>
              </w:rPr>
              <w:t>PSTR</w:t>
            </w:r>
            <w:r w:rsidR="00B54ACE">
              <w:rPr>
                <w:rFonts w:eastAsia="Times New Roman" w:cs="Arial"/>
                <w:b/>
                <w:color w:val="000000"/>
                <w:sz w:val="24"/>
                <w:szCs w:val="24"/>
              </w:rPr>
              <w:t xml:space="preserve"> </w:t>
            </w:r>
          </w:p>
        </w:tc>
        <w:tc>
          <w:tcPr>
            <w:tcW w:w="4247" w:type="dxa"/>
            <w:noWrap/>
            <w:vAlign w:val="center"/>
            <w:hideMark/>
          </w:tcPr>
          <w:p w14:paraId="335EEC0B" w14:textId="77777777" w:rsidR="00195C12" w:rsidRPr="0032631E" w:rsidRDefault="00195C12" w:rsidP="0032631E">
            <w:pPr>
              <w:jc w:val="center"/>
              <w:rPr>
                <w:rFonts w:eastAsia="Times New Roman" w:cs="Arial"/>
                <w:b/>
                <w:color w:val="000000"/>
                <w:sz w:val="24"/>
                <w:szCs w:val="24"/>
              </w:rPr>
            </w:pPr>
            <w:r w:rsidRPr="0032631E">
              <w:rPr>
                <w:rFonts w:eastAsia="Times New Roman" w:cs="Arial"/>
                <w:b/>
                <w:color w:val="000000"/>
                <w:sz w:val="24"/>
                <w:szCs w:val="24"/>
              </w:rPr>
              <w:t>Coefficient</w:t>
            </w:r>
            <w:r w:rsidR="00D21564" w:rsidRPr="0032631E">
              <w:rPr>
                <w:rFonts w:eastAsia="Times New Roman" w:cs="Arial"/>
                <w:b/>
                <w:color w:val="000000"/>
                <w:sz w:val="24"/>
                <w:szCs w:val="24"/>
              </w:rPr>
              <w:t xml:space="preserve"> (95% confidence intervals)</w:t>
            </w:r>
          </w:p>
        </w:tc>
        <w:tc>
          <w:tcPr>
            <w:tcW w:w="887" w:type="dxa"/>
            <w:vAlign w:val="center"/>
          </w:tcPr>
          <w:p w14:paraId="5B92291A" w14:textId="77777777" w:rsidR="00195C12" w:rsidRPr="0032631E" w:rsidRDefault="00E30AAD" w:rsidP="0032631E">
            <w:pPr>
              <w:jc w:val="center"/>
              <w:rPr>
                <w:rFonts w:eastAsia="Times New Roman" w:cs="Arial"/>
                <w:b/>
                <w:color w:val="000000"/>
                <w:sz w:val="24"/>
                <w:szCs w:val="24"/>
              </w:rPr>
            </w:pPr>
            <w:r>
              <w:rPr>
                <w:rFonts w:eastAsia="Times New Roman" w:cs="Arial"/>
                <w:b/>
                <w:color w:val="000000"/>
                <w:sz w:val="24"/>
                <w:szCs w:val="24"/>
              </w:rPr>
              <w:t>p</w:t>
            </w:r>
            <w:r w:rsidR="00195C12" w:rsidRPr="0032631E">
              <w:rPr>
                <w:rFonts w:eastAsia="Times New Roman" w:cs="Arial"/>
                <w:b/>
                <w:color w:val="000000"/>
                <w:sz w:val="24"/>
                <w:szCs w:val="24"/>
              </w:rPr>
              <w:t xml:space="preserve"> Value</w:t>
            </w:r>
          </w:p>
        </w:tc>
      </w:tr>
      <w:tr w:rsidR="00F472A1" w:rsidRPr="00195C12" w14:paraId="55452B96" w14:textId="77777777" w:rsidTr="00E30AAD">
        <w:trPr>
          <w:trHeight w:val="300"/>
        </w:trPr>
        <w:tc>
          <w:tcPr>
            <w:tcW w:w="4815" w:type="dxa"/>
            <w:noWrap/>
            <w:vAlign w:val="center"/>
          </w:tcPr>
          <w:p w14:paraId="53B91D3B" w14:textId="77777777" w:rsidR="00F472A1" w:rsidRPr="0032631E" w:rsidRDefault="00F472A1" w:rsidP="00300784">
            <w:pPr>
              <w:jc w:val="center"/>
              <w:rPr>
                <w:rFonts w:eastAsia="Times New Roman" w:cs="Arial"/>
                <w:b/>
                <w:color w:val="000000"/>
                <w:sz w:val="24"/>
                <w:szCs w:val="24"/>
              </w:rPr>
            </w:pPr>
            <w:r>
              <w:rPr>
                <w:rFonts w:eastAsia="Times New Roman" w:cs="Arial"/>
                <w:b/>
                <w:color w:val="000000"/>
                <w:sz w:val="24"/>
                <w:szCs w:val="24"/>
              </w:rPr>
              <w:t xml:space="preserve">Difference between </w:t>
            </w:r>
            <w:r w:rsidRPr="0032631E">
              <w:rPr>
                <w:rFonts w:eastAsia="Times New Roman" w:cs="Arial"/>
                <w:b/>
                <w:color w:val="000000"/>
                <w:sz w:val="24"/>
                <w:szCs w:val="24"/>
              </w:rPr>
              <w:t>Biocompatib</w:t>
            </w:r>
            <w:r w:rsidR="00AF4EB8">
              <w:rPr>
                <w:rFonts w:eastAsia="Times New Roman" w:cs="Arial"/>
                <w:b/>
                <w:color w:val="000000"/>
                <w:sz w:val="24"/>
                <w:szCs w:val="24"/>
              </w:rPr>
              <w:t>le</w:t>
            </w:r>
            <w:r>
              <w:rPr>
                <w:rFonts w:eastAsia="Times New Roman" w:cs="Arial"/>
                <w:b/>
                <w:color w:val="000000"/>
                <w:sz w:val="24"/>
                <w:szCs w:val="24"/>
              </w:rPr>
              <w:t xml:space="preserve"> and Standard solutions at Start of </w:t>
            </w:r>
            <w:r w:rsidR="00FD3AD4">
              <w:rPr>
                <w:rFonts w:eastAsia="Times New Roman" w:cs="Arial"/>
                <w:b/>
                <w:color w:val="000000"/>
                <w:sz w:val="24"/>
                <w:szCs w:val="24"/>
              </w:rPr>
              <w:t>PD</w:t>
            </w:r>
          </w:p>
        </w:tc>
        <w:tc>
          <w:tcPr>
            <w:tcW w:w="4247" w:type="dxa"/>
            <w:tcBorders>
              <w:top w:val="nil"/>
              <w:left w:val="nil"/>
              <w:bottom w:val="single" w:sz="8" w:space="0" w:color="auto"/>
              <w:right w:val="single" w:sz="8" w:space="0" w:color="auto"/>
            </w:tcBorders>
            <w:shd w:val="clear" w:color="auto" w:fill="auto"/>
            <w:noWrap/>
            <w:vAlign w:val="center"/>
          </w:tcPr>
          <w:p w14:paraId="7FA34416" w14:textId="77777777" w:rsidR="00F472A1" w:rsidRPr="00E30AAD" w:rsidRDefault="00F472A1" w:rsidP="00300784">
            <w:pPr>
              <w:jc w:val="center"/>
              <w:rPr>
                <w:rFonts w:cs="Arial"/>
                <w:color w:val="000000"/>
              </w:rPr>
            </w:pPr>
            <w:r w:rsidRPr="00E30AAD">
              <w:rPr>
                <w:rFonts w:cs="Arial"/>
                <w:color w:val="000000"/>
              </w:rPr>
              <w:t>-0.049 (-0.091 to -0.008)</w:t>
            </w:r>
          </w:p>
        </w:tc>
        <w:tc>
          <w:tcPr>
            <w:tcW w:w="887" w:type="dxa"/>
            <w:tcBorders>
              <w:top w:val="nil"/>
              <w:left w:val="nil"/>
              <w:bottom w:val="single" w:sz="8" w:space="0" w:color="auto"/>
              <w:right w:val="single" w:sz="8" w:space="0" w:color="auto"/>
            </w:tcBorders>
            <w:shd w:val="clear" w:color="auto" w:fill="auto"/>
            <w:vAlign w:val="center"/>
          </w:tcPr>
          <w:p w14:paraId="3577F029" w14:textId="77777777" w:rsidR="00F472A1" w:rsidRPr="00E30AAD" w:rsidRDefault="00F472A1" w:rsidP="00300784">
            <w:pPr>
              <w:jc w:val="center"/>
              <w:rPr>
                <w:rFonts w:cs="Arial"/>
                <w:color w:val="000000"/>
                <w:szCs w:val="24"/>
              </w:rPr>
            </w:pPr>
            <w:r w:rsidRPr="00E30AAD">
              <w:rPr>
                <w:rFonts w:cs="Arial"/>
                <w:color w:val="000000"/>
                <w:szCs w:val="24"/>
              </w:rPr>
              <w:t>0.02</w:t>
            </w:r>
          </w:p>
        </w:tc>
      </w:tr>
      <w:tr w:rsidR="00F472A1" w:rsidRPr="00195C12" w14:paraId="3BBB4EFB" w14:textId="77777777" w:rsidTr="00E30AAD">
        <w:trPr>
          <w:trHeight w:val="610"/>
        </w:trPr>
        <w:tc>
          <w:tcPr>
            <w:tcW w:w="4815" w:type="dxa"/>
            <w:noWrap/>
            <w:vAlign w:val="center"/>
            <w:hideMark/>
          </w:tcPr>
          <w:p w14:paraId="59A5F966" w14:textId="77777777" w:rsidR="00F472A1" w:rsidRPr="0032631E" w:rsidRDefault="00F472A1" w:rsidP="00C77497">
            <w:pPr>
              <w:jc w:val="center"/>
              <w:rPr>
                <w:rFonts w:eastAsia="Times New Roman" w:cs="Arial"/>
                <w:b/>
                <w:color w:val="000000"/>
                <w:sz w:val="24"/>
                <w:szCs w:val="24"/>
              </w:rPr>
            </w:pPr>
            <w:r>
              <w:rPr>
                <w:rFonts w:eastAsia="Times New Roman" w:cs="Arial"/>
                <w:b/>
                <w:color w:val="000000"/>
                <w:sz w:val="24"/>
                <w:szCs w:val="24"/>
              </w:rPr>
              <w:t xml:space="preserve">Effect of </w:t>
            </w:r>
            <w:r w:rsidRPr="0032631E">
              <w:rPr>
                <w:rFonts w:eastAsia="Times New Roman" w:cs="Arial"/>
                <w:b/>
                <w:color w:val="000000"/>
                <w:sz w:val="24"/>
                <w:szCs w:val="24"/>
              </w:rPr>
              <w:t>Time</w:t>
            </w:r>
            <w:r>
              <w:rPr>
                <w:rFonts w:eastAsia="Times New Roman" w:cs="Arial"/>
                <w:b/>
                <w:color w:val="000000"/>
                <w:sz w:val="24"/>
                <w:szCs w:val="24"/>
              </w:rPr>
              <w:t xml:space="preserve"> with Standard Solutions</w:t>
            </w:r>
            <w:r w:rsidR="00640BB3">
              <w:rPr>
                <w:rFonts w:eastAsia="Times New Roman" w:cs="Arial"/>
                <w:b/>
                <w:color w:val="000000"/>
                <w:sz w:val="24"/>
                <w:szCs w:val="24"/>
              </w:rPr>
              <w:t xml:space="preserve"> (year</w:t>
            </w:r>
            <w:r w:rsidR="00C32C91">
              <w:rPr>
                <w:rFonts w:eastAsia="Times New Roman" w:cs="Arial"/>
                <w:b/>
                <w:color w:val="000000"/>
                <w:sz w:val="24"/>
                <w:szCs w:val="24"/>
              </w:rPr>
              <w:t>s</w:t>
            </w:r>
            <w:r w:rsidR="00640BB3">
              <w:rPr>
                <w:rFonts w:eastAsia="Times New Roman" w:cs="Arial"/>
                <w:b/>
                <w:color w:val="000000"/>
                <w:sz w:val="24"/>
                <w:szCs w:val="24"/>
              </w:rPr>
              <w:t>)</w:t>
            </w:r>
          </w:p>
        </w:tc>
        <w:tc>
          <w:tcPr>
            <w:tcW w:w="4247" w:type="dxa"/>
            <w:tcBorders>
              <w:top w:val="nil"/>
              <w:left w:val="nil"/>
              <w:right w:val="single" w:sz="8" w:space="0" w:color="auto"/>
            </w:tcBorders>
            <w:shd w:val="clear" w:color="auto" w:fill="auto"/>
            <w:noWrap/>
            <w:vAlign w:val="center"/>
          </w:tcPr>
          <w:p w14:paraId="4F5DAB13" w14:textId="77777777" w:rsidR="00F472A1" w:rsidRPr="00E30AAD" w:rsidRDefault="00F472A1" w:rsidP="0032631E">
            <w:pPr>
              <w:jc w:val="center"/>
              <w:rPr>
                <w:rFonts w:eastAsia="Times New Roman" w:cs="Arial"/>
                <w:color w:val="000000"/>
              </w:rPr>
            </w:pPr>
            <w:r w:rsidRPr="00E30AAD">
              <w:rPr>
                <w:rFonts w:cs="Arial"/>
                <w:color w:val="000000"/>
              </w:rPr>
              <w:t>Linear coeff -0.028 (-0.044 to -0.010)</w:t>
            </w:r>
          </w:p>
          <w:p w14:paraId="5778DCC1" w14:textId="77777777" w:rsidR="00F472A1" w:rsidRPr="00E30AAD" w:rsidRDefault="00F472A1" w:rsidP="0032631E">
            <w:pPr>
              <w:jc w:val="center"/>
              <w:rPr>
                <w:rFonts w:eastAsia="Times New Roman" w:cs="Arial"/>
                <w:color w:val="000000"/>
              </w:rPr>
            </w:pPr>
            <w:r w:rsidRPr="00E30AAD">
              <w:rPr>
                <w:rFonts w:cs="Arial"/>
                <w:color w:val="000000"/>
              </w:rPr>
              <w:t>Quadratic coeff 0.0009 (-0.0014 to 0.0032)</w:t>
            </w:r>
          </w:p>
        </w:tc>
        <w:tc>
          <w:tcPr>
            <w:tcW w:w="887" w:type="dxa"/>
            <w:tcBorders>
              <w:top w:val="nil"/>
              <w:left w:val="nil"/>
              <w:right w:val="single" w:sz="8" w:space="0" w:color="auto"/>
            </w:tcBorders>
            <w:shd w:val="clear" w:color="auto" w:fill="auto"/>
            <w:vAlign w:val="center"/>
          </w:tcPr>
          <w:p w14:paraId="52B9C4AF" w14:textId="77777777" w:rsidR="00F472A1" w:rsidRPr="00E30AAD" w:rsidRDefault="003B0404" w:rsidP="0032631E">
            <w:pPr>
              <w:jc w:val="center"/>
              <w:rPr>
                <w:rFonts w:cs="Arial"/>
                <w:color w:val="000000"/>
                <w:szCs w:val="24"/>
              </w:rPr>
            </w:pPr>
            <w:r>
              <w:rPr>
                <w:rFonts w:cs="Arial"/>
                <w:color w:val="000000"/>
                <w:szCs w:val="24"/>
              </w:rPr>
              <w:t xml:space="preserve"> </w:t>
            </w:r>
            <w:r w:rsidR="007D68B7">
              <w:rPr>
                <w:rFonts w:cs="Arial"/>
                <w:color w:val="000000"/>
                <w:szCs w:val="24"/>
              </w:rPr>
              <w:t>0.001</w:t>
            </w:r>
            <w:r w:rsidR="00FE67BE">
              <w:rPr>
                <w:rFonts w:cs="Arial"/>
                <w:color w:val="000000"/>
                <w:szCs w:val="24"/>
              </w:rPr>
              <w:t>*</w:t>
            </w:r>
          </w:p>
        </w:tc>
      </w:tr>
      <w:tr w:rsidR="00F472A1" w:rsidRPr="00195C12" w14:paraId="36934FB0" w14:textId="77777777" w:rsidTr="00E30AAD">
        <w:trPr>
          <w:trHeight w:val="610"/>
        </w:trPr>
        <w:tc>
          <w:tcPr>
            <w:tcW w:w="4815" w:type="dxa"/>
            <w:noWrap/>
            <w:vAlign w:val="center"/>
          </w:tcPr>
          <w:p w14:paraId="1BD1D21F" w14:textId="77777777" w:rsidR="00F472A1" w:rsidRPr="0032631E" w:rsidRDefault="00F472A1" w:rsidP="0032631E">
            <w:pPr>
              <w:jc w:val="center"/>
              <w:rPr>
                <w:rFonts w:eastAsia="Times New Roman" w:cs="Arial"/>
                <w:b/>
                <w:color w:val="000000"/>
                <w:sz w:val="24"/>
                <w:szCs w:val="24"/>
              </w:rPr>
            </w:pPr>
            <w:r>
              <w:rPr>
                <w:rFonts w:eastAsia="Times New Roman" w:cs="Arial"/>
                <w:b/>
                <w:color w:val="000000"/>
                <w:sz w:val="24"/>
                <w:szCs w:val="24"/>
              </w:rPr>
              <w:t>Effect of Time with Biocompatible Solutions</w:t>
            </w:r>
          </w:p>
        </w:tc>
        <w:tc>
          <w:tcPr>
            <w:tcW w:w="4247" w:type="dxa"/>
            <w:tcBorders>
              <w:top w:val="nil"/>
              <w:left w:val="nil"/>
              <w:right w:val="single" w:sz="8" w:space="0" w:color="auto"/>
            </w:tcBorders>
            <w:shd w:val="clear" w:color="auto" w:fill="auto"/>
            <w:noWrap/>
            <w:vAlign w:val="center"/>
          </w:tcPr>
          <w:p w14:paraId="5B76A80E" w14:textId="77777777" w:rsidR="00F472A1" w:rsidRPr="00E30AAD" w:rsidRDefault="00F472A1" w:rsidP="0032631E">
            <w:pPr>
              <w:jc w:val="center"/>
              <w:rPr>
                <w:rFonts w:cs="Arial"/>
                <w:color w:val="000000"/>
              </w:rPr>
            </w:pPr>
            <w:r w:rsidRPr="00E30AAD">
              <w:rPr>
                <w:rFonts w:cs="Arial"/>
                <w:color w:val="000000"/>
              </w:rPr>
              <w:t>Linear coeff 0.061 (0.026 to 0.095)</w:t>
            </w:r>
          </w:p>
          <w:p w14:paraId="721A1526" w14:textId="77777777" w:rsidR="00F472A1" w:rsidRPr="00E30AAD" w:rsidRDefault="00F472A1" w:rsidP="0032631E">
            <w:pPr>
              <w:jc w:val="center"/>
              <w:rPr>
                <w:rFonts w:cs="Arial"/>
                <w:color w:val="000000"/>
              </w:rPr>
            </w:pPr>
            <w:r w:rsidRPr="00E30AAD">
              <w:rPr>
                <w:rFonts w:cs="Arial"/>
                <w:color w:val="000000"/>
              </w:rPr>
              <w:t>Quadratic coeff -0.010 (-0.017 to -0.0026)</w:t>
            </w:r>
          </w:p>
        </w:tc>
        <w:tc>
          <w:tcPr>
            <w:tcW w:w="887" w:type="dxa"/>
            <w:tcBorders>
              <w:top w:val="nil"/>
              <w:left w:val="nil"/>
              <w:right w:val="single" w:sz="8" w:space="0" w:color="auto"/>
            </w:tcBorders>
            <w:shd w:val="clear" w:color="auto" w:fill="auto"/>
            <w:vAlign w:val="center"/>
          </w:tcPr>
          <w:p w14:paraId="6DAA3A81" w14:textId="77777777" w:rsidR="00F472A1" w:rsidRPr="00E30AAD" w:rsidRDefault="003B0404" w:rsidP="0032631E">
            <w:pPr>
              <w:jc w:val="center"/>
              <w:rPr>
                <w:rFonts w:cs="Arial"/>
                <w:color w:val="000000"/>
                <w:szCs w:val="24"/>
              </w:rPr>
            </w:pPr>
            <w:r>
              <w:rPr>
                <w:rFonts w:cs="Arial"/>
                <w:color w:val="000000"/>
                <w:szCs w:val="24"/>
              </w:rPr>
              <w:t xml:space="preserve"> </w:t>
            </w:r>
            <w:r w:rsidR="007D68B7">
              <w:rPr>
                <w:rFonts w:cs="Arial"/>
                <w:color w:val="000000"/>
                <w:szCs w:val="24"/>
              </w:rPr>
              <w:t>0.003</w:t>
            </w:r>
            <w:r w:rsidR="00FE67BE">
              <w:rPr>
                <w:rFonts w:cs="Arial"/>
                <w:color w:val="000000"/>
                <w:szCs w:val="24"/>
              </w:rPr>
              <w:t>*</w:t>
            </w:r>
          </w:p>
        </w:tc>
      </w:tr>
      <w:tr w:rsidR="00195C12" w:rsidRPr="00195C12" w14:paraId="6F091FA6" w14:textId="77777777" w:rsidTr="00E30AAD">
        <w:trPr>
          <w:trHeight w:val="300"/>
        </w:trPr>
        <w:tc>
          <w:tcPr>
            <w:tcW w:w="4815" w:type="dxa"/>
            <w:noWrap/>
            <w:vAlign w:val="center"/>
          </w:tcPr>
          <w:p w14:paraId="4C64F146" w14:textId="77777777" w:rsidR="00195C12" w:rsidRPr="0032631E" w:rsidRDefault="00195C12" w:rsidP="0032631E">
            <w:pPr>
              <w:jc w:val="center"/>
              <w:rPr>
                <w:rFonts w:eastAsia="Times New Roman" w:cs="Arial"/>
                <w:b/>
                <w:color w:val="000000"/>
                <w:sz w:val="24"/>
                <w:szCs w:val="24"/>
              </w:rPr>
            </w:pPr>
            <w:r w:rsidRPr="0032631E">
              <w:rPr>
                <w:rFonts w:eastAsia="Times New Roman" w:cs="Arial"/>
                <w:b/>
                <w:color w:val="000000"/>
                <w:sz w:val="24"/>
                <w:szCs w:val="24"/>
              </w:rPr>
              <w:t>Centre effect</w:t>
            </w:r>
          </w:p>
        </w:tc>
        <w:tc>
          <w:tcPr>
            <w:tcW w:w="4247" w:type="dxa"/>
            <w:tcBorders>
              <w:top w:val="nil"/>
              <w:left w:val="nil"/>
              <w:bottom w:val="single" w:sz="8" w:space="0" w:color="auto"/>
              <w:right w:val="single" w:sz="8" w:space="0" w:color="auto"/>
            </w:tcBorders>
            <w:shd w:val="clear" w:color="auto" w:fill="auto"/>
            <w:noWrap/>
            <w:vAlign w:val="center"/>
          </w:tcPr>
          <w:p w14:paraId="5788D834" w14:textId="77777777" w:rsidR="00195C12" w:rsidRPr="00E30AAD" w:rsidRDefault="00D21564" w:rsidP="0032631E">
            <w:pPr>
              <w:jc w:val="center"/>
              <w:rPr>
                <w:rFonts w:cs="Arial"/>
                <w:color w:val="000000"/>
              </w:rPr>
            </w:pPr>
            <w:r w:rsidRPr="00E30AAD">
              <w:rPr>
                <w:rFonts w:cs="Arial"/>
                <w:color w:val="000000"/>
              </w:rPr>
              <w:t>-0.13 to 0.001</w:t>
            </w:r>
          </w:p>
        </w:tc>
        <w:tc>
          <w:tcPr>
            <w:tcW w:w="887" w:type="dxa"/>
            <w:tcBorders>
              <w:top w:val="nil"/>
              <w:left w:val="nil"/>
              <w:bottom w:val="single" w:sz="8" w:space="0" w:color="auto"/>
              <w:right w:val="single" w:sz="8" w:space="0" w:color="auto"/>
            </w:tcBorders>
            <w:shd w:val="clear" w:color="auto" w:fill="auto"/>
            <w:vAlign w:val="center"/>
          </w:tcPr>
          <w:p w14:paraId="37DB318F" w14:textId="77777777" w:rsidR="00195C12" w:rsidRPr="00E30AAD" w:rsidRDefault="008C40CB" w:rsidP="0032631E">
            <w:pPr>
              <w:jc w:val="center"/>
              <w:rPr>
                <w:rFonts w:cs="Arial"/>
                <w:color w:val="000000"/>
                <w:szCs w:val="24"/>
              </w:rPr>
            </w:pPr>
            <w:r w:rsidRPr="00E30AAD">
              <w:rPr>
                <w:rFonts w:cs="Arial"/>
                <w:color w:val="000000"/>
                <w:szCs w:val="24"/>
              </w:rPr>
              <w:t>0.02</w:t>
            </w:r>
          </w:p>
        </w:tc>
      </w:tr>
      <w:tr w:rsidR="00195C12" w:rsidRPr="00195C12" w14:paraId="0BBBF403" w14:textId="77777777" w:rsidTr="00E30AAD">
        <w:trPr>
          <w:trHeight w:val="300"/>
        </w:trPr>
        <w:tc>
          <w:tcPr>
            <w:tcW w:w="4815" w:type="dxa"/>
            <w:noWrap/>
            <w:vAlign w:val="center"/>
            <w:hideMark/>
          </w:tcPr>
          <w:p w14:paraId="4C10284D" w14:textId="77777777" w:rsidR="00195C12" w:rsidRPr="0032631E" w:rsidRDefault="00195C12" w:rsidP="001F01F2">
            <w:pPr>
              <w:jc w:val="center"/>
              <w:rPr>
                <w:rFonts w:eastAsia="Times New Roman" w:cs="Arial"/>
                <w:b/>
                <w:color w:val="000000"/>
                <w:sz w:val="24"/>
                <w:szCs w:val="24"/>
              </w:rPr>
            </w:pPr>
            <w:r w:rsidRPr="0032631E">
              <w:rPr>
                <w:rFonts w:eastAsia="Times New Roman" w:cs="Arial"/>
                <w:b/>
                <w:color w:val="000000"/>
                <w:sz w:val="24"/>
                <w:szCs w:val="24"/>
              </w:rPr>
              <w:t>Icodextrin use</w:t>
            </w:r>
          </w:p>
        </w:tc>
        <w:tc>
          <w:tcPr>
            <w:tcW w:w="4247" w:type="dxa"/>
            <w:tcBorders>
              <w:top w:val="nil"/>
              <w:left w:val="nil"/>
              <w:bottom w:val="single" w:sz="8" w:space="0" w:color="auto"/>
              <w:right w:val="single" w:sz="8" w:space="0" w:color="auto"/>
            </w:tcBorders>
            <w:shd w:val="clear" w:color="auto" w:fill="auto"/>
            <w:noWrap/>
            <w:vAlign w:val="center"/>
          </w:tcPr>
          <w:p w14:paraId="22E6FBB3" w14:textId="77777777" w:rsidR="00195C12" w:rsidRPr="00E30AAD" w:rsidRDefault="00195C12" w:rsidP="0032631E">
            <w:pPr>
              <w:jc w:val="center"/>
              <w:rPr>
                <w:rFonts w:eastAsia="Times New Roman" w:cs="Arial"/>
                <w:color w:val="000000"/>
              </w:rPr>
            </w:pPr>
            <w:r w:rsidRPr="00E30AAD">
              <w:rPr>
                <w:rFonts w:cs="Arial"/>
                <w:color w:val="000000"/>
              </w:rPr>
              <w:t xml:space="preserve">0.045 </w:t>
            </w:r>
            <w:r w:rsidR="008C40CB" w:rsidRPr="00E30AAD">
              <w:rPr>
                <w:rFonts w:cs="Arial"/>
                <w:color w:val="000000"/>
              </w:rPr>
              <w:t>(0.03</w:t>
            </w:r>
            <w:r w:rsidR="00DD7D2E" w:rsidRPr="00E30AAD">
              <w:rPr>
                <w:rFonts w:cs="Arial"/>
                <w:color w:val="000000"/>
              </w:rPr>
              <w:t>0</w:t>
            </w:r>
            <w:r w:rsidR="00D37F4A" w:rsidRPr="00E30AAD">
              <w:rPr>
                <w:rFonts w:cs="Arial"/>
                <w:color w:val="000000"/>
              </w:rPr>
              <w:t xml:space="preserve"> to </w:t>
            </w:r>
            <w:r w:rsidR="008C40CB" w:rsidRPr="00E30AAD">
              <w:rPr>
                <w:rFonts w:cs="Arial"/>
                <w:color w:val="000000"/>
              </w:rPr>
              <w:t>0.06</w:t>
            </w:r>
            <w:r w:rsidRPr="00E30AAD">
              <w:rPr>
                <w:rFonts w:cs="Arial"/>
                <w:color w:val="000000"/>
              </w:rPr>
              <w:t>0)</w:t>
            </w:r>
          </w:p>
        </w:tc>
        <w:tc>
          <w:tcPr>
            <w:tcW w:w="887" w:type="dxa"/>
            <w:tcBorders>
              <w:top w:val="nil"/>
              <w:left w:val="nil"/>
              <w:bottom w:val="single" w:sz="8" w:space="0" w:color="auto"/>
              <w:right w:val="single" w:sz="8" w:space="0" w:color="auto"/>
            </w:tcBorders>
            <w:shd w:val="clear" w:color="auto" w:fill="auto"/>
            <w:vAlign w:val="center"/>
          </w:tcPr>
          <w:p w14:paraId="1252C0D2" w14:textId="77777777" w:rsidR="00195C12" w:rsidRPr="00E30AAD" w:rsidRDefault="00195C12" w:rsidP="0032631E">
            <w:pPr>
              <w:jc w:val="center"/>
              <w:rPr>
                <w:rFonts w:cs="Arial"/>
                <w:color w:val="000000"/>
                <w:szCs w:val="24"/>
              </w:rPr>
            </w:pPr>
            <w:r w:rsidRPr="00E30AAD">
              <w:rPr>
                <w:rFonts w:cs="Arial"/>
                <w:color w:val="000000"/>
                <w:szCs w:val="24"/>
              </w:rPr>
              <w:t>&lt;0.001</w:t>
            </w:r>
          </w:p>
        </w:tc>
      </w:tr>
      <w:tr w:rsidR="00195C12" w:rsidRPr="00195C12" w14:paraId="6438304D" w14:textId="77777777" w:rsidTr="00E30AAD">
        <w:trPr>
          <w:trHeight w:val="300"/>
        </w:trPr>
        <w:tc>
          <w:tcPr>
            <w:tcW w:w="4815" w:type="dxa"/>
            <w:noWrap/>
            <w:vAlign w:val="center"/>
            <w:hideMark/>
          </w:tcPr>
          <w:p w14:paraId="448CC1A6" w14:textId="77777777" w:rsidR="00195C12" w:rsidRPr="0032631E" w:rsidRDefault="00195C12" w:rsidP="0032631E">
            <w:pPr>
              <w:jc w:val="center"/>
              <w:rPr>
                <w:rFonts w:eastAsia="Times New Roman" w:cs="Arial"/>
                <w:b/>
                <w:color w:val="000000"/>
                <w:sz w:val="24"/>
                <w:szCs w:val="24"/>
              </w:rPr>
            </w:pPr>
            <w:r w:rsidRPr="0032631E">
              <w:rPr>
                <w:rFonts w:eastAsia="Times New Roman" w:cs="Arial"/>
                <w:b/>
                <w:color w:val="000000"/>
                <w:sz w:val="24"/>
                <w:szCs w:val="24"/>
              </w:rPr>
              <w:t xml:space="preserve">Average </w:t>
            </w:r>
            <w:r w:rsidR="001A2732">
              <w:rPr>
                <w:rFonts w:eastAsia="Times New Roman" w:cs="Arial"/>
                <w:b/>
                <w:color w:val="000000"/>
                <w:sz w:val="24"/>
                <w:szCs w:val="24"/>
              </w:rPr>
              <w:t>dextrose concentration</w:t>
            </w:r>
            <w:r w:rsidRPr="0032631E">
              <w:rPr>
                <w:rFonts w:eastAsia="Times New Roman" w:cs="Arial"/>
                <w:b/>
                <w:color w:val="000000"/>
                <w:sz w:val="24"/>
                <w:szCs w:val="24"/>
              </w:rPr>
              <w:t xml:space="preserve"> in 24 hours </w:t>
            </w:r>
            <w:r w:rsidRPr="00E30AAD">
              <w:rPr>
                <w:rFonts w:eastAsia="Times New Roman" w:cs="Arial"/>
                <w:b/>
                <w:color w:val="000000"/>
                <w:szCs w:val="24"/>
              </w:rPr>
              <w:t>(%)</w:t>
            </w:r>
          </w:p>
        </w:tc>
        <w:tc>
          <w:tcPr>
            <w:tcW w:w="4247" w:type="dxa"/>
            <w:tcBorders>
              <w:top w:val="nil"/>
              <w:left w:val="nil"/>
              <w:bottom w:val="single" w:sz="8" w:space="0" w:color="auto"/>
              <w:right w:val="single" w:sz="8" w:space="0" w:color="auto"/>
            </w:tcBorders>
            <w:shd w:val="clear" w:color="auto" w:fill="auto"/>
            <w:noWrap/>
            <w:vAlign w:val="center"/>
          </w:tcPr>
          <w:p w14:paraId="66EDDDBC" w14:textId="77777777" w:rsidR="00195C12" w:rsidRPr="00E30AAD" w:rsidRDefault="00DD7D2E" w:rsidP="0032631E">
            <w:pPr>
              <w:jc w:val="center"/>
              <w:rPr>
                <w:rFonts w:eastAsia="Times New Roman" w:cs="Arial"/>
                <w:color w:val="000000"/>
              </w:rPr>
            </w:pPr>
            <w:r w:rsidRPr="00E30AAD">
              <w:rPr>
                <w:rFonts w:cs="Arial"/>
                <w:color w:val="000000"/>
              </w:rPr>
              <w:t>-0.022 (-0.045</w:t>
            </w:r>
            <w:r w:rsidR="00195C12" w:rsidRPr="00E30AAD">
              <w:rPr>
                <w:rFonts w:cs="Arial"/>
                <w:color w:val="000000"/>
              </w:rPr>
              <w:t xml:space="preserve"> to 0.00</w:t>
            </w:r>
            <w:r w:rsidRPr="00E30AAD">
              <w:rPr>
                <w:rFonts w:cs="Arial"/>
                <w:color w:val="000000"/>
              </w:rPr>
              <w:t>05</w:t>
            </w:r>
            <w:r w:rsidR="00195C12" w:rsidRPr="00E30AAD">
              <w:rPr>
                <w:rFonts w:cs="Arial"/>
                <w:color w:val="000000"/>
              </w:rPr>
              <w:t>)</w:t>
            </w:r>
          </w:p>
        </w:tc>
        <w:tc>
          <w:tcPr>
            <w:tcW w:w="887" w:type="dxa"/>
            <w:tcBorders>
              <w:top w:val="nil"/>
              <w:left w:val="nil"/>
              <w:bottom w:val="single" w:sz="8" w:space="0" w:color="auto"/>
              <w:right w:val="single" w:sz="8" w:space="0" w:color="auto"/>
            </w:tcBorders>
            <w:shd w:val="clear" w:color="auto" w:fill="auto"/>
            <w:vAlign w:val="center"/>
          </w:tcPr>
          <w:p w14:paraId="4E606CBB" w14:textId="77777777" w:rsidR="00195C12" w:rsidRPr="00E30AAD" w:rsidRDefault="00195C12" w:rsidP="0032631E">
            <w:pPr>
              <w:jc w:val="center"/>
              <w:rPr>
                <w:rFonts w:cs="Arial"/>
                <w:color w:val="000000"/>
                <w:szCs w:val="24"/>
              </w:rPr>
            </w:pPr>
            <w:r w:rsidRPr="00E30AAD">
              <w:rPr>
                <w:rFonts w:cs="Arial"/>
                <w:color w:val="000000"/>
                <w:szCs w:val="24"/>
              </w:rPr>
              <w:t>0.0</w:t>
            </w:r>
            <w:r w:rsidR="002025C2">
              <w:rPr>
                <w:rFonts w:cs="Arial"/>
                <w:color w:val="000000"/>
                <w:szCs w:val="24"/>
              </w:rPr>
              <w:t>6</w:t>
            </w:r>
          </w:p>
        </w:tc>
      </w:tr>
      <w:tr w:rsidR="00195C12" w:rsidRPr="00195C12" w14:paraId="09362874" w14:textId="77777777" w:rsidTr="00E30AAD">
        <w:trPr>
          <w:trHeight w:val="300"/>
        </w:trPr>
        <w:tc>
          <w:tcPr>
            <w:tcW w:w="4815" w:type="dxa"/>
            <w:noWrap/>
            <w:vAlign w:val="center"/>
            <w:hideMark/>
          </w:tcPr>
          <w:p w14:paraId="5AA1E92A" w14:textId="77777777" w:rsidR="00195C12" w:rsidRPr="0032631E" w:rsidRDefault="00195C12" w:rsidP="0032631E">
            <w:pPr>
              <w:jc w:val="center"/>
              <w:rPr>
                <w:rFonts w:eastAsia="Times New Roman" w:cs="Arial"/>
                <w:b/>
                <w:color w:val="000000"/>
                <w:sz w:val="24"/>
                <w:szCs w:val="24"/>
              </w:rPr>
            </w:pPr>
            <w:r w:rsidRPr="0032631E">
              <w:rPr>
                <w:rFonts w:eastAsia="Times New Roman" w:cs="Arial"/>
                <w:b/>
                <w:color w:val="000000"/>
                <w:sz w:val="24"/>
                <w:szCs w:val="24"/>
              </w:rPr>
              <w:t xml:space="preserve">Average </w:t>
            </w:r>
            <w:r w:rsidR="001A2732">
              <w:rPr>
                <w:rFonts w:eastAsia="Times New Roman" w:cs="Arial"/>
                <w:b/>
                <w:color w:val="000000"/>
                <w:sz w:val="24"/>
                <w:szCs w:val="24"/>
              </w:rPr>
              <w:t>dextrose concentration</w:t>
            </w:r>
            <w:r w:rsidRPr="0032631E">
              <w:rPr>
                <w:rFonts w:eastAsia="Times New Roman" w:cs="Arial"/>
                <w:b/>
                <w:color w:val="000000"/>
                <w:sz w:val="24"/>
                <w:szCs w:val="24"/>
              </w:rPr>
              <w:t xml:space="preserve"> with time interaction</w:t>
            </w:r>
          </w:p>
        </w:tc>
        <w:tc>
          <w:tcPr>
            <w:tcW w:w="4247" w:type="dxa"/>
            <w:tcBorders>
              <w:top w:val="nil"/>
              <w:left w:val="nil"/>
              <w:bottom w:val="single" w:sz="8" w:space="0" w:color="auto"/>
              <w:right w:val="single" w:sz="8" w:space="0" w:color="auto"/>
            </w:tcBorders>
            <w:shd w:val="clear" w:color="auto" w:fill="auto"/>
            <w:noWrap/>
            <w:vAlign w:val="center"/>
          </w:tcPr>
          <w:p w14:paraId="107ADF61" w14:textId="77777777" w:rsidR="00195C12" w:rsidRPr="00E30AAD" w:rsidRDefault="00DD7D2E" w:rsidP="0032631E">
            <w:pPr>
              <w:jc w:val="center"/>
              <w:rPr>
                <w:rFonts w:eastAsia="Times New Roman" w:cs="Arial"/>
                <w:color w:val="000000"/>
              </w:rPr>
            </w:pPr>
            <w:r w:rsidRPr="00E30AAD">
              <w:rPr>
                <w:rFonts w:cs="Arial"/>
                <w:color w:val="000000"/>
              </w:rPr>
              <w:t>0.015</w:t>
            </w:r>
            <w:r w:rsidR="00465864" w:rsidRPr="00E30AAD">
              <w:rPr>
                <w:rFonts w:cs="Arial"/>
                <w:color w:val="000000"/>
              </w:rPr>
              <w:t xml:space="preserve"> (0.008</w:t>
            </w:r>
            <w:r w:rsidRPr="00E30AAD">
              <w:rPr>
                <w:rFonts w:cs="Arial"/>
                <w:color w:val="000000"/>
              </w:rPr>
              <w:t xml:space="preserve"> to 0.023</w:t>
            </w:r>
            <w:r w:rsidR="00195C12" w:rsidRPr="00E30AAD">
              <w:rPr>
                <w:rFonts w:cs="Arial"/>
                <w:color w:val="000000"/>
              </w:rPr>
              <w:t>)</w:t>
            </w:r>
          </w:p>
        </w:tc>
        <w:tc>
          <w:tcPr>
            <w:tcW w:w="887" w:type="dxa"/>
            <w:tcBorders>
              <w:top w:val="nil"/>
              <w:left w:val="nil"/>
              <w:bottom w:val="single" w:sz="8" w:space="0" w:color="auto"/>
              <w:right w:val="single" w:sz="8" w:space="0" w:color="auto"/>
            </w:tcBorders>
            <w:shd w:val="clear" w:color="auto" w:fill="auto"/>
            <w:vAlign w:val="center"/>
          </w:tcPr>
          <w:p w14:paraId="54D84E06" w14:textId="77777777" w:rsidR="00195C12" w:rsidRPr="00E30AAD" w:rsidRDefault="00195C12" w:rsidP="0032631E">
            <w:pPr>
              <w:jc w:val="center"/>
              <w:rPr>
                <w:rFonts w:cs="Arial"/>
                <w:color w:val="000000"/>
                <w:szCs w:val="24"/>
              </w:rPr>
            </w:pPr>
            <w:r w:rsidRPr="00E30AAD">
              <w:rPr>
                <w:rFonts w:cs="Arial"/>
                <w:color w:val="000000"/>
                <w:szCs w:val="24"/>
              </w:rPr>
              <w:t>&lt;0.001</w:t>
            </w:r>
          </w:p>
        </w:tc>
      </w:tr>
      <w:tr w:rsidR="00195C12" w:rsidRPr="00195C12" w14:paraId="020A2081" w14:textId="77777777" w:rsidTr="00E30AAD">
        <w:trPr>
          <w:trHeight w:val="300"/>
        </w:trPr>
        <w:tc>
          <w:tcPr>
            <w:tcW w:w="4815" w:type="dxa"/>
            <w:noWrap/>
            <w:vAlign w:val="center"/>
          </w:tcPr>
          <w:p w14:paraId="7DBAAFAC" w14:textId="77777777" w:rsidR="00195C12" w:rsidRPr="0032631E" w:rsidRDefault="00854903" w:rsidP="0032631E">
            <w:pPr>
              <w:jc w:val="center"/>
              <w:rPr>
                <w:rFonts w:eastAsia="Times New Roman" w:cs="Arial"/>
                <w:b/>
                <w:color w:val="000000"/>
                <w:sz w:val="24"/>
                <w:szCs w:val="24"/>
              </w:rPr>
            </w:pPr>
            <w:r>
              <w:rPr>
                <w:rFonts w:eastAsia="Times New Roman" w:cs="Arial"/>
                <w:b/>
                <w:color w:val="000000"/>
                <w:sz w:val="24"/>
                <w:szCs w:val="24"/>
              </w:rPr>
              <w:t xml:space="preserve">Baseline </w:t>
            </w:r>
            <w:r w:rsidR="00633F0E">
              <w:rPr>
                <w:rFonts w:eastAsia="Times New Roman" w:cs="Arial"/>
                <w:b/>
                <w:color w:val="000000"/>
                <w:sz w:val="24"/>
                <w:szCs w:val="24"/>
              </w:rPr>
              <w:t>Dialysate</w:t>
            </w:r>
            <w:r w:rsidR="00195C12" w:rsidRPr="0032631E">
              <w:rPr>
                <w:rFonts w:eastAsia="Times New Roman" w:cs="Arial"/>
                <w:b/>
                <w:color w:val="000000"/>
                <w:sz w:val="24"/>
                <w:szCs w:val="24"/>
              </w:rPr>
              <w:t xml:space="preserve"> </w:t>
            </w:r>
            <w:r w:rsidR="00100A88">
              <w:rPr>
                <w:rFonts w:eastAsia="Times New Roman" w:cs="Arial"/>
                <w:b/>
                <w:color w:val="000000"/>
                <w:sz w:val="24"/>
                <w:szCs w:val="24"/>
              </w:rPr>
              <w:t>IL-6</w:t>
            </w:r>
            <w:r w:rsidR="00195C12" w:rsidRPr="0032631E">
              <w:rPr>
                <w:rFonts w:eastAsia="Times New Roman" w:cs="Arial"/>
                <w:b/>
                <w:color w:val="000000"/>
                <w:sz w:val="24"/>
                <w:szCs w:val="24"/>
              </w:rPr>
              <w:t xml:space="preserve"> </w:t>
            </w:r>
            <w:r w:rsidR="00195C12" w:rsidRPr="00E30AAD">
              <w:rPr>
                <w:rFonts w:eastAsia="Times New Roman" w:cs="Arial"/>
                <w:b/>
                <w:color w:val="000000"/>
                <w:szCs w:val="24"/>
              </w:rPr>
              <w:t>(log transformed pg/ml)</w:t>
            </w:r>
          </w:p>
        </w:tc>
        <w:tc>
          <w:tcPr>
            <w:tcW w:w="4247" w:type="dxa"/>
            <w:tcBorders>
              <w:top w:val="nil"/>
              <w:left w:val="nil"/>
              <w:bottom w:val="single" w:sz="8" w:space="0" w:color="auto"/>
              <w:right w:val="single" w:sz="8" w:space="0" w:color="auto"/>
            </w:tcBorders>
            <w:shd w:val="clear" w:color="auto" w:fill="auto"/>
            <w:noWrap/>
            <w:vAlign w:val="center"/>
          </w:tcPr>
          <w:p w14:paraId="7DF248E6" w14:textId="77777777" w:rsidR="00195C12" w:rsidRPr="00E30AAD" w:rsidRDefault="00DD7D2E" w:rsidP="0032631E">
            <w:pPr>
              <w:jc w:val="center"/>
              <w:rPr>
                <w:rFonts w:cs="Arial"/>
                <w:color w:val="000000"/>
              </w:rPr>
            </w:pPr>
            <w:r w:rsidRPr="00E30AAD">
              <w:rPr>
                <w:rFonts w:cs="Arial"/>
                <w:color w:val="000000"/>
              </w:rPr>
              <w:t>0.048 (0.028 to 0.068</w:t>
            </w:r>
            <w:r w:rsidR="00195C12" w:rsidRPr="00E30AAD">
              <w:rPr>
                <w:rFonts w:cs="Arial"/>
                <w:color w:val="000000"/>
              </w:rPr>
              <w:t>)</w:t>
            </w:r>
          </w:p>
        </w:tc>
        <w:tc>
          <w:tcPr>
            <w:tcW w:w="887" w:type="dxa"/>
            <w:tcBorders>
              <w:top w:val="nil"/>
              <w:left w:val="nil"/>
              <w:bottom w:val="single" w:sz="8" w:space="0" w:color="auto"/>
              <w:right w:val="single" w:sz="8" w:space="0" w:color="auto"/>
            </w:tcBorders>
            <w:shd w:val="clear" w:color="auto" w:fill="auto"/>
            <w:vAlign w:val="center"/>
          </w:tcPr>
          <w:p w14:paraId="52E3A3A7" w14:textId="77777777" w:rsidR="00195C12" w:rsidRPr="00E30AAD" w:rsidRDefault="00195C12" w:rsidP="0032631E">
            <w:pPr>
              <w:jc w:val="center"/>
              <w:rPr>
                <w:rFonts w:cs="Arial"/>
                <w:color w:val="000000"/>
                <w:szCs w:val="24"/>
              </w:rPr>
            </w:pPr>
            <w:r w:rsidRPr="00E30AAD">
              <w:rPr>
                <w:rFonts w:cs="Arial"/>
                <w:color w:val="000000"/>
                <w:szCs w:val="24"/>
              </w:rPr>
              <w:t>&lt;0.001</w:t>
            </w:r>
          </w:p>
        </w:tc>
      </w:tr>
      <w:tr w:rsidR="00195C12" w:rsidRPr="00195C12" w14:paraId="5A1E3A68" w14:textId="77777777" w:rsidTr="00E30AAD">
        <w:trPr>
          <w:trHeight w:val="177"/>
        </w:trPr>
        <w:tc>
          <w:tcPr>
            <w:tcW w:w="4815" w:type="dxa"/>
            <w:noWrap/>
            <w:vAlign w:val="center"/>
            <w:hideMark/>
          </w:tcPr>
          <w:p w14:paraId="598D9861" w14:textId="77777777" w:rsidR="00195C12" w:rsidRPr="0032631E" w:rsidRDefault="00195C12" w:rsidP="0032631E">
            <w:pPr>
              <w:jc w:val="center"/>
              <w:rPr>
                <w:rFonts w:eastAsia="Times New Roman" w:cs="Arial"/>
                <w:b/>
                <w:color w:val="000000"/>
                <w:sz w:val="24"/>
                <w:szCs w:val="24"/>
              </w:rPr>
            </w:pPr>
            <w:r w:rsidRPr="0032631E">
              <w:rPr>
                <w:rFonts w:eastAsia="Times New Roman" w:cs="Arial"/>
                <w:b/>
                <w:color w:val="000000"/>
                <w:sz w:val="24"/>
                <w:szCs w:val="24"/>
              </w:rPr>
              <w:t xml:space="preserve">Urine Volume </w:t>
            </w:r>
            <w:r w:rsidRPr="00E30AAD">
              <w:rPr>
                <w:rFonts w:eastAsia="Times New Roman" w:cs="Arial"/>
                <w:b/>
                <w:color w:val="000000"/>
                <w:szCs w:val="24"/>
              </w:rPr>
              <w:t>(L)</w:t>
            </w:r>
          </w:p>
        </w:tc>
        <w:tc>
          <w:tcPr>
            <w:tcW w:w="4247" w:type="dxa"/>
            <w:tcBorders>
              <w:top w:val="nil"/>
              <w:left w:val="nil"/>
              <w:bottom w:val="single" w:sz="8" w:space="0" w:color="auto"/>
              <w:right w:val="single" w:sz="8" w:space="0" w:color="auto"/>
            </w:tcBorders>
            <w:shd w:val="clear" w:color="auto" w:fill="auto"/>
            <w:noWrap/>
            <w:vAlign w:val="center"/>
          </w:tcPr>
          <w:p w14:paraId="281B9ED4" w14:textId="77777777" w:rsidR="00195C12" w:rsidRPr="00E30AAD" w:rsidRDefault="00195C12" w:rsidP="0032631E">
            <w:pPr>
              <w:jc w:val="center"/>
              <w:rPr>
                <w:rFonts w:eastAsia="Times New Roman" w:cs="Arial"/>
                <w:color w:val="000000"/>
              </w:rPr>
            </w:pPr>
            <w:r w:rsidRPr="00E30AAD">
              <w:rPr>
                <w:rFonts w:cs="Arial"/>
                <w:color w:val="000000"/>
              </w:rPr>
              <w:t>0.011 (0.000 to 0.021)</w:t>
            </w:r>
          </w:p>
        </w:tc>
        <w:tc>
          <w:tcPr>
            <w:tcW w:w="887" w:type="dxa"/>
            <w:tcBorders>
              <w:top w:val="nil"/>
              <w:left w:val="nil"/>
              <w:bottom w:val="single" w:sz="8" w:space="0" w:color="auto"/>
              <w:right w:val="single" w:sz="8" w:space="0" w:color="auto"/>
            </w:tcBorders>
            <w:shd w:val="clear" w:color="auto" w:fill="auto"/>
            <w:vAlign w:val="center"/>
          </w:tcPr>
          <w:p w14:paraId="46A8F079" w14:textId="77777777" w:rsidR="00195C12" w:rsidRPr="00E30AAD" w:rsidRDefault="008C40CB" w:rsidP="0032631E">
            <w:pPr>
              <w:jc w:val="center"/>
              <w:rPr>
                <w:rFonts w:cs="Arial"/>
                <w:color w:val="000000"/>
                <w:szCs w:val="24"/>
              </w:rPr>
            </w:pPr>
            <w:r w:rsidRPr="00E30AAD">
              <w:rPr>
                <w:rFonts w:cs="Arial"/>
                <w:color w:val="000000"/>
                <w:szCs w:val="24"/>
              </w:rPr>
              <w:t>0.04</w:t>
            </w:r>
          </w:p>
        </w:tc>
      </w:tr>
      <w:tr w:rsidR="00195C12" w:rsidRPr="00195C12" w14:paraId="62993132" w14:textId="77777777" w:rsidTr="00E30AAD">
        <w:trPr>
          <w:trHeight w:val="300"/>
        </w:trPr>
        <w:tc>
          <w:tcPr>
            <w:tcW w:w="4815" w:type="dxa"/>
            <w:noWrap/>
            <w:vAlign w:val="center"/>
            <w:hideMark/>
          </w:tcPr>
          <w:p w14:paraId="54B38990" w14:textId="77777777" w:rsidR="00195C12" w:rsidRPr="0032631E" w:rsidRDefault="00FB2AE4">
            <w:pPr>
              <w:jc w:val="center"/>
              <w:rPr>
                <w:rFonts w:eastAsia="Times New Roman" w:cs="Arial"/>
                <w:b/>
                <w:color w:val="000000"/>
                <w:sz w:val="24"/>
                <w:szCs w:val="24"/>
              </w:rPr>
            </w:pPr>
            <w:r>
              <w:rPr>
                <w:rFonts w:eastAsia="Times New Roman" w:cs="Arial"/>
                <w:b/>
                <w:color w:val="000000"/>
                <w:sz w:val="24"/>
                <w:szCs w:val="24"/>
              </w:rPr>
              <w:t>P</w:t>
            </w:r>
            <w:r w:rsidR="00C93D59">
              <w:rPr>
                <w:rFonts w:eastAsia="Times New Roman" w:cs="Arial"/>
                <w:b/>
                <w:color w:val="000000"/>
                <w:sz w:val="24"/>
                <w:szCs w:val="24"/>
              </w:rPr>
              <w:t xml:space="preserve">eritonitis </w:t>
            </w:r>
            <w:r>
              <w:rPr>
                <w:rFonts w:eastAsia="Times New Roman" w:cs="Arial"/>
                <w:b/>
                <w:color w:val="000000"/>
                <w:sz w:val="24"/>
                <w:szCs w:val="24"/>
              </w:rPr>
              <w:t>with Biocompatible Solutions</w:t>
            </w:r>
          </w:p>
        </w:tc>
        <w:tc>
          <w:tcPr>
            <w:tcW w:w="4247" w:type="dxa"/>
            <w:tcBorders>
              <w:top w:val="nil"/>
              <w:left w:val="nil"/>
              <w:bottom w:val="single" w:sz="8" w:space="0" w:color="auto"/>
              <w:right w:val="single" w:sz="8" w:space="0" w:color="auto"/>
            </w:tcBorders>
            <w:shd w:val="clear" w:color="auto" w:fill="auto"/>
            <w:noWrap/>
            <w:vAlign w:val="center"/>
          </w:tcPr>
          <w:p w14:paraId="06B134BB" w14:textId="77777777" w:rsidR="00195C12" w:rsidRPr="00E30AAD" w:rsidRDefault="00522912" w:rsidP="0032631E">
            <w:pPr>
              <w:jc w:val="center"/>
              <w:rPr>
                <w:rFonts w:eastAsia="Times New Roman" w:cs="Arial"/>
                <w:color w:val="000000"/>
              </w:rPr>
            </w:pPr>
            <w:r w:rsidRPr="00E30AAD">
              <w:rPr>
                <w:rFonts w:cs="Arial"/>
                <w:color w:val="000000"/>
              </w:rPr>
              <w:t>-</w:t>
            </w:r>
            <w:r w:rsidR="00195C12" w:rsidRPr="00E30AAD">
              <w:rPr>
                <w:rFonts w:cs="Arial"/>
                <w:color w:val="000000"/>
              </w:rPr>
              <w:t>0.01</w:t>
            </w:r>
            <w:r w:rsidRPr="00E30AAD">
              <w:rPr>
                <w:rFonts w:cs="Arial"/>
                <w:color w:val="000000"/>
              </w:rPr>
              <w:t>4</w:t>
            </w:r>
            <w:r w:rsidR="00195C12" w:rsidRPr="00E30AAD">
              <w:rPr>
                <w:rFonts w:cs="Arial"/>
                <w:color w:val="000000"/>
              </w:rPr>
              <w:t xml:space="preserve"> (</w:t>
            </w:r>
            <w:r w:rsidRPr="00E30AAD">
              <w:rPr>
                <w:rFonts w:cs="Arial"/>
                <w:color w:val="000000"/>
              </w:rPr>
              <w:t>-</w:t>
            </w:r>
            <w:r w:rsidR="00195C12" w:rsidRPr="00E30AAD">
              <w:rPr>
                <w:rFonts w:cs="Arial"/>
                <w:color w:val="000000"/>
              </w:rPr>
              <w:t>0.0</w:t>
            </w:r>
            <w:r w:rsidR="00465864" w:rsidRPr="00E30AAD">
              <w:rPr>
                <w:rFonts w:cs="Arial"/>
                <w:color w:val="000000"/>
              </w:rPr>
              <w:t>33 to 0.005</w:t>
            </w:r>
            <w:r w:rsidR="00195C12" w:rsidRPr="00E30AAD">
              <w:rPr>
                <w:rFonts w:cs="Arial"/>
                <w:color w:val="000000"/>
              </w:rPr>
              <w:t>)</w:t>
            </w:r>
          </w:p>
        </w:tc>
        <w:tc>
          <w:tcPr>
            <w:tcW w:w="887" w:type="dxa"/>
            <w:tcBorders>
              <w:top w:val="nil"/>
              <w:left w:val="nil"/>
              <w:bottom w:val="single" w:sz="8" w:space="0" w:color="auto"/>
              <w:right w:val="single" w:sz="8" w:space="0" w:color="auto"/>
            </w:tcBorders>
            <w:shd w:val="clear" w:color="auto" w:fill="auto"/>
            <w:vAlign w:val="center"/>
          </w:tcPr>
          <w:p w14:paraId="57408E1F" w14:textId="77777777" w:rsidR="00195C12" w:rsidRPr="00E30AAD" w:rsidRDefault="00522912" w:rsidP="0032631E">
            <w:pPr>
              <w:jc w:val="center"/>
              <w:rPr>
                <w:rFonts w:cs="Arial"/>
                <w:color w:val="000000"/>
                <w:szCs w:val="24"/>
              </w:rPr>
            </w:pPr>
            <w:r w:rsidRPr="00E30AAD">
              <w:rPr>
                <w:rFonts w:cs="Arial"/>
                <w:color w:val="000000"/>
                <w:szCs w:val="24"/>
              </w:rPr>
              <w:t>0.11</w:t>
            </w:r>
          </w:p>
        </w:tc>
      </w:tr>
      <w:tr w:rsidR="00195C12" w:rsidRPr="00195C12" w14:paraId="0CA77A4D" w14:textId="77777777" w:rsidTr="00E30AAD">
        <w:trPr>
          <w:trHeight w:val="300"/>
        </w:trPr>
        <w:tc>
          <w:tcPr>
            <w:tcW w:w="4815" w:type="dxa"/>
            <w:noWrap/>
            <w:vAlign w:val="center"/>
          </w:tcPr>
          <w:p w14:paraId="2A01479F" w14:textId="77777777" w:rsidR="00195C12" w:rsidRPr="0032631E" w:rsidRDefault="00FB2AE4" w:rsidP="0032631E">
            <w:pPr>
              <w:jc w:val="center"/>
              <w:rPr>
                <w:rFonts w:eastAsia="Times New Roman" w:cs="Arial"/>
                <w:b/>
                <w:color w:val="000000"/>
                <w:sz w:val="24"/>
                <w:szCs w:val="24"/>
              </w:rPr>
            </w:pPr>
            <w:r>
              <w:rPr>
                <w:rFonts w:eastAsia="Times New Roman" w:cs="Arial"/>
                <w:b/>
                <w:color w:val="000000"/>
                <w:sz w:val="24"/>
                <w:szCs w:val="24"/>
              </w:rPr>
              <w:t>Peritonitis with Standard Solutions</w:t>
            </w:r>
          </w:p>
        </w:tc>
        <w:tc>
          <w:tcPr>
            <w:tcW w:w="4247" w:type="dxa"/>
            <w:tcBorders>
              <w:top w:val="nil"/>
              <w:left w:val="nil"/>
              <w:bottom w:val="single" w:sz="8" w:space="0" w:color="auto"/>
              <w:right w:val="single" w:sz="8" w:space="0" w:color="auto"/>
            </w:tcBorders>
            <w:shd w:val="clear" w:color="auto" w:fill="auto"/>
            <w:noWrap/>
            <w:vAlign w:val="center"/>
          </w:tcPr>
          <w:p w14:paraId="0E256D4A" w14:textId="77777777" w:rsidR="00195C12" w:rsidRPr="00E30AAD" w:rsidRDefault="00B644C9" w:rsidP="0032631E">
            <w:pPr>
              <w:jc w:val="center"/>
              <w:rPr>
                <w:rFonts w:cs="Arial"/>
                <w:color w:val="000000"/>
              </w:rPr>
            </w:pPr>
            <w:r w:rsidRPr="00E30AAD">
              <w:rPr>
                <w:rFonts w:cs="Arial"/>
                <w:color w:val="000000"/>
              </w:rPr>
              <w:t>0.020</w:t>
            </w:r>
            <w:r w:rsidR="00522912" w:rsidRPr="00E30AAD">
              <w:rPr>
                <w:rFonts w:cs="Arial"/>
                <w:color w:val="000000"/>
              </w:rPr>
              <w:t xml:space="preserve"> (0.0</w:t>
            </w:r>
            <w:r w:rsidR="00195C12" w:rsidRPr="00E30AAD">
              <w:rPr>
                <w:rFonts w:cs="Arial"/>
                <w:color w:val="000000"/>
              </w:rPr>
              <w:t>1</w:t>
            </w:r>
            <w:r w:rsidRPr="00E30AAD">
              <w:rPr>
                <w:rFonts w:cs="Arial"/>
                <w:color w:val="000000"/>
              </w:rPr>
              <w:t>3</w:t>
            </w:r>
            <w:r w:rsidR="00800563" w:rsidRPr="00E30AAD">
              <w:rPr>
                <w:rFonts w:cs="Arial"/>
                <w:color w:val="000000"/>
              </w:rPr>
              <w:t xml:space="preserve"> to </w:t>
            </w:r>
            <w:r w:rsidRPr="00E30AAD">
              <w:rPr>
                <w:rFonts w:cs="Arial"/>
                <w:color w:val="000000"/>
              </w:rPr>
              <w:t>0.027</w:t>
            </w:r>
            <w:r w:rsidR="00195C12" w:rsidRPr="00E30AAD">
              <w:rPr>
                <w:rFonts w:cs="Arial"/>
                <w:color w:val="000000"/>
              </w:rPr>
              <w:t>)</w:t>
            </w:r>
          </w:p>
        </w:tc>
        <w:tc>
          <w:tcPr>
            <w:tcW w:w="887" w:type="dxa"/>
            <w:tcBorders>
              <w:top w:val="nil"/>
              <w:left w:val="nil"/>
              <w:bottom w:val="single" w:sz="8" w:space="0" w:color="auto"/>
              <w:right w:val="single" w:sz="8" w:space="0" w:color="auto"/>
            </w:tcBorders>
            <w:shd w:val="clear" w:color="auto" w:fill="auto"/>
            <w:vAlign w:val="center"/>
          </w:tcPr>
          <w:p w14:paraId="4CDE7125" w14:textId="77777777" w:rsidR="00195C12" w:rsidRPr="00E30AAD" w:rsidRDefault="00195C12" w:rsidP="0032631E">
            <w:pPr>
              <w:jc w:val="center"/>
              <w:rPr>
                <w:rFonts w:cs="Arial"/>
                <w:color w:val="000000"/>
                <w:szCs w:val="24"/>
              </w:rPr>
            </w:pPr>
            <w:r w:rsidRPr="00E30AAD">
              <w:rPr>
                <w:rFonts w:cs="Arial"/>
                <w:color w:val="000000"/>
                <w:szCs w:val="24"/>
              </w:rPr>
              <w:t>&lt;0.001</w:t>
            </w:r>
          </w:p>
        </w:tc>
      </w:tr>
    </w:tbl>
    <w:p w14:paraId="100B97FE" w14:textId="77777777" w:rsidR="0032631E" w:rsidRDefault="001F00DD" w:rsidP="00244143">
      <w:pPr>
        <w:spacing w:before="240" w:line="480" w:lineRule="auto"/>
        <w:rPr>
          <w:rFonts w:cs="Arial"/>
          <w:sz w:val="24"/>
          <w:szCs w:val="24"/>
        </w:rPr>
      </w:pPr>
      <w:bookmarkStart w:id="3" w:name="_Hlk513981095"/>
      <w:bookmarkEnd w:id="2"/>
      <w:r>
        <w:rPr>
          <w:rFonts w:cs="Arial"/>
          <w:sz w:val="24"/>
          <w:szCs w:val="24"/>
        </w:rPr>
        <w:t>M</w:t>
      </w:r>
      <w:r w:rsidR="00706F52">
        <w:rPr>
          <w:rFonts w:cs="Arial"/>
          <w:sz w:val="24"/>
          <w:szCs w:val="24"/>
        </w:rPr>
        <w:t>ultilevel multivaria</w:t>
      </w:r>
      <w:r w:rsidR="00300784">
        <w:rPr>
          <w:rFonts w:cs="Arial"/>
          <w:sz w:val="24"/>
          <w:szCs w:val="24"/>
        </w:rPr>
        <w:t>bl</w:t>
      </w:r>
      <w:r w:rsidR="00706F52">
        <w:rPr>
          <w:rFonts w:cs="Arial"/>
          <w:sz w:val="24"/>
          <w:szCs w:val="24"/>
        </w:rPr>
        <w:t>e model demonstrating the eff</w:t>
      </w:r>
      <w:r w:rsidR="00B54ACE">
        <w:rPr>
          <w:rFonts w:cs="Arial"/>
          <w:sz w:val="24"/>
          <w:szCs w:val="24"/>
        </w:rPr>
        <w:t xml:space="preserve">ect of covariates on </w:t>
      </w:r>
      <w:r w:rsidR="00E16959">
        <w:rPr>
          <w:rFonts w:cs="Arial"/>
          <w:sz w:val="24"/>
          <w:szCs w:val="24"/>
        </w:rPr>
        <w:t>PSTR</w:t>
      </w:r>
      <w:r w:rsidR="00300784">
        <w:rPr>
          <w:rFonts w:cs="Arial"/>
          <w:sz w:val="24"/>
          <w:szCs w:val="24"/>
        </w:rPr>
        <w:t>.</w:t>
      </w:r>
      <w:r w:rsidR="00C32C91">
        <w:rPr>
          <w:rFonts w:cs="Arial"/>
          <w:sz w:val="24"/>
          <w:szCs w:val="24"/>
        </w:rPr>
        <w:t xml:space="preserve"> Coefficient</w:t>
      </w:r>
      <w:r w:rsidR="002A0C1F">
        <w:rPr>
          <w:rFonts w:cs="Arial"/>
          <w:sz w:val="24"/>
          <w:szCs w:val="24"/>
        </w:rPr>
        <w:t>s</w:t>
      </w:r>
      <w:r w:rsidR="00C32C91">
        <w:rPr>
          <w:rFonts w:cs="Arial"/>
          <w:sz w:val="24"/>
          <w:szCs w:val="24"/>
        </w:rPr>
        <w:t xml:space="preserve"> demonstrate the adjusted </w:t>
      </w:r>
      <w:r w:rsidR="00BA7D0C">
        <w:rPr>
          <w:rFonts w:cs="Arial"/>
          <w:sz w:val="24"/>
          <w:szCs w:val="24"/>
        </w:rPr>
        <w:t>rise</w:t>
      </w:r>
      <w:r w:rsidR="00C32C91">
        <w:rPr>
          <w:rFonts w:cs="Arial"/>
          <w:sz w:val="24"/>
          <w:szCs w:val="24"/>
        </w:rPr>
        <w:t xml:space="preserve"> in PSTR </w:t>
      </w:r>
      <w:r w:rsidR="002A0C1F">
        <w:rPr>
          <w:rFonts w:cs="Arial"/>
          <w:sz w:val="24"/>
          <w:szCs w:val="24"/>
        </w:rPr>
        <w:t>for a</w:t>
      </w:r>
      <w:r w:rsidR="00C32C91">
        <w:rPr>
          <w:rFonts w:cs="Arial"/>
          <w:sz w:val="24"/>
          <w:szCs w:val="24"/>
        </w:rPr>
        <w:t xml:space="preserve"> 1 unit </w:t>
      </w:r>
      <w:r w:rsidR="002A0C1F">
        <w:rPr>
          <w:rFonts w:cs="Arial"/>
          <w:sz w:val="24"/>
          <w:szCs w:val="24"/>
        </w:rPr>
        <w:t xml:space="preserve">change in </w:t>
      </w:r>
      <w:r w:rsidR="00C32C91">
        <w:rPr>
          <w:rFonts w:cs="Arial"/>
          <w:sz w:val="24"/>
          <w:szCs w:val="24"/>
        </w:rPr>
        <w:t>covariate</w:t>
      </w:r>
      <w:r w:rsidR="002A0C1F">
        <w:rPr>
          <w:rFonts w:cs="Arial"/>
          <w:sz w:val="24"/>
          <w:szCs w:val="24"/>
        </w:rPr>
        <w:t>.</w:t>
      </w:r>
      <w:r w:rsidR="00C32C91">
        <w:rPr>
          <w:rFonts w:cs="Arial"/>
          <w:sz w:val="24"/>
          <w:szCs w:val="24"/>
        </w:rPr>
        <w:t xml:space="preserve"> </w:t>
      </w:r>
      <w:r w:rsidR="002A0C1F">
        <w:rPr>
          <w:rFonts w:cs="Arial"/>
          <w:sz w:val="24"/>
          <w:szCs w:val="24"/>
        </w:rPr>
        <w:t xml:space="preserve">For 1 litre of urine volume there is an </w:t>
      </w:r>
      <w:r w:rsidR="00C32C91">
        <w:rPr>
          <w:rFonts w:cs="Arial"/>
          <w:sz w:val="24"/>
          <w:szCs w:val="24"/>
        </w:rPr>
        <w:t>increase of 0.0</w:t>
      </w:r>
      <w:r w:rsidR="002A0C1F">
        <w:rPr>
          <w:rFonts w:cs="Arial"/>
          <w:sz w:val="24"/>
          <w:szCs w:val="24"/>
        </w:rPr>
        <w:t>1</w:t>
      </w:r>
      <w:r w:rsidR="00C32C91">
        <w:rPr>
          <w:rFonts w:cs="Arial"/>
          <w:sz w:val="24"/>
          <w:szCs w:val="24"/>
        </w:rPr>
        <w:t>1</w:t>
      </w:r>
      <w:r w:rsidR="002A0C1F">
        <w:rPr>
          <w:rFonts w:cs="Arial"/>
          <w:sz w:val="24"/>
          <w:szCs w:val="24"/>
        </w:rPr>
        <w:t xml:space="preserve">. For an increase of 2 years time, the change represents the sum of the two coefficients for the solution type e.g. standard solutions have a change </w:t>
      </w:r>
      <w:bookmarkStart w:id="4" w:name="_Hlk514440421"/>
      <w:r w:rsidR="002A0C1F">
        <w:rPr>
          <w:rFonts w:cs="Arial"/>
          <w:sz w:val="24"/>
          <w:szCs w:val="24"/>
        </w:rPr>
        <w:t>of 0.0009*2*2-0.028*2</w:t>
      </w:r>
      <w:bookmarkEnd w:id="4"/>
      <w:r w:rsidR="002A0C1F">
        <w:rPr>
          <w:rFonts w:cs="Arial"/>
          <w:sz w:val="24"/>
          <w:szCs w:val="24"/>
        </w:rPr>
        <w:t xml:space="preserve">. </w:t>
      </w:r>
      <w:bookmarkEnd w:id="3"/>
      <w:r w:rsidR="00300784">
        <w:rPr>
          <w:rFonts w:cs="Arial"/>
          <w:sz w:val="24"/>
          <w:szCs w:val="24"/>
        </w:rPr>
        <w:t>A</w:t>
      </w:r>
      <w:r w:rsidR="00300784" w:rsidRPr="00300784">
        <w:rPr>
          <w:rFonts w:cs="Arial"/>
          <w:sz w:val="24"/>
          <w:szCs w:val="24"/>
        </w:rPr>
        <w:t xml:space="preserve">t the start of </w:t>
      </w:r>
      <w:r w:rsidR="00FD3AD4">
        <w:rPr>
          <w:rFonts w:cs="Arial"/>
          <w:sz w:val="24"/>
          <w:szCs w:val="24"/>
        </w:rPr>
        <w:t>PD</w:t>
      </w:r>
      <w:r w:rsidR="00300784" w:rsidRPr="00300784">
        <w:rPr>
          <w:rFonts w:cs="Arial"/>
          <w:sz w:val="24"/>
          <w:szCs w:val="24"/>
        </w:rPr>
        <w:t xml:space="preserve">, </w:t>
      </w:r>
      <w:r w:rsidR="00E61FF8">
        <w:rPr>
          <w:rFonts w:cs="Arial"/>
          <w:sz w:val="24"/>
          <w:szCs w:val="24"/>
        </w:rPr>
        <w:t xml:space="preserve"> biocompatible solution</w:t>
      </w:r>
      <w:r w:rsidR="00300784" w:rsidRPr="00300784">
        <w:rPr>
          <w:rFonts w:cs="Arial"/>
          <w:sz w:val="24"/>
          <w:szCs w:val="24"/>
        </w:rPr>
        <w:t xml:space="preserve"> use w</w:t>
      </w:r>
      <w:r w:rsidR="00BA7D0C">
        <w:rPr>
          <w:rFonts w:cs="Arial"/>
          <w:sz w:val="24"/>
          <w:szCs w:val="24"/>
        </w:rPr>
        <w:t>as</w:t>
      </w:r>
      <w:r w:rsidR="00300784" w:rsidRPr="00300784">
        <w:rPr>
          <w:rFonts w:cs="Arial"/>
          <w:sz w:val="24"/>
          <w:szCs w:val="24"/>
        </w:rPr>
        <w:t xml:space="preserve"> a</w:t>
      </w:r>
      <w:r w:rsidR="0066287E">
        <w:rPr>
          <w:rFonts w:cs="Arial"/>
          <w:sz w:val="24"/>
          <w:szCs w:val="24"/>
        </w:rPr>
        <w:t>ss</w:t>
      </w:r>
      <w:r w:rsidR="00300784" w:rsidRPr="00300784">
        <w:rPr>
          <w:rFonts w:cs="Arial"/>
          <w:sz w:val="24"/>
          <w:szCs w:val="24"/>
        </w:rPr>
        <w:t xml:space="preserve">ociated with slower </w:t>
      </w:r>
      <w:r w:rsidR="00E16959">
        <w:rPr>
          <w:rFonts w:cs="Arial"/>
          <w:sz w:val="24"/>
          <w:szCs w:val="24"/>
        </w:rPr>
        <w:t>PSTR</w:t>
      </w:r>
      <w:r w:rsidR="00300784" w:rsidRPr="00300784">
        <w:rPr>
          <w:rFonts w:cs="Arial"/>
          <w:sz w:val="24"/>
          <w:szCs w:val="24"/>
        </w:rPr>
        <w:t>, increas</w:t>
      </w:r>
      <w:r w:rsidR="00300784">
        <w:rPr>
          <w:rFonts w:cs="Arial"/>
          <w:sz w:val="24"/>
          <w:szCs w:val="24"/>
        </w:rPr>
        <w:t>ing</w:t>
      </w:r>
      <w:r w:rsidR="00300784" w:rsidRPr="00300784">
        <w:rPr>
          <w:rFonts w:cs="Arial"/>
          <w:sz w:val="24"/>
          <w:szCs w:val="24"/>
        </w:rPr>
        <w:t xml:space="preserve"> significantly over the next 2-3 years</w:t>
      </w:r>
      <w:r w:rsidR="00300784">
        <w:rPr>
          <w:rFonts w:cs="Arial"/>
          <w:sz w:val="24"/>
          <w:szCs w:val="24"/>
        </w:rPr>
        <w:t xml:space="preserve"> then flattening off</w:t>
      </w:r>
      <w:r w:rsidR="00300784" w:rsidRPr="00300784">
        <w:rPr>
          <w:rFonts w:cs="Arial"/>
          <w:sz w:val="24"/>
          <w:szCs w:val="24"/>
        </w:rPr>
        <w:t xml:space="preserve">, whereas for </w:t>
      </w:r>
      <w:r w:rsidR="004B41FF" w:rsidRPr="001B558D">
        <w:rPr>
          <w:rFonts w:cs="Arial"/>
          <w:sz w:val="24"/>
          <w:szCs w:val="24"/>
        </w:rPr>
        <w:t>standard solutions</w:t>
      </w:r>
      <w:r w:rsidR="00300784" w:rsidRPr="001B558D">
        <w:rPr>
          <w:rFonts w:cs="Arial"/>
          <w:sz w:val="24"/>
          <w:szCs w:val="24"/>
        </w:rPr>
        <w:t xml:space="preserve"> </w:t>
      </w:r>
      <w:r w:rsidR="00300784" w:rsidRPr="00300784">
        <w:rPr>
          <w:rFonts w:cs="Arial"/>
          <w:sz w:val="24"/>
          <w:szCs w:val="24"/>
        </w:rPr>
        <w:t xml:space="preserve">a </w:t>
      </w:r>
      <w:r w:rsidR="00BA7D0C">
        <w:rPr>
          <w:rFonts w:cs="Arial"/>
          <w:sz w:val="24"/>
          <w:szCs w:val="24"/>
        </w:rPr>
        <w:t>trivial</w:t>
      </w:r>
      <w:r w:rsidR="00BA7D0C" w:rsidRPr="00300784">
        <w:rPr>
          <w:rFonts w:cs="Arial"/>
          <w:sz w:val="24"/>
          <w:szCs w:val="24"/>
        </w:rPr>
        <w:t xml:space="preserve"> </w:t>
      </w:r>
      <w:r w:rsidR="00300784" w:rsidRPr="00300784">
        <w:rPr>
          <w:rFonts w:cs="Arial"/>
          <w:sz w:val="24"/>
          <w:szCs w:val="24"/>
        </w:rPr>
        <w:t xml:space="preserve">reduction in </w:t>
      </w:r>
      <w:r w:rsidR="00E16959">
        <w:rPr>
          <w:rFonts w:cs="Arial"/>
          <w:sz w:val="24"/>
          <w:szCs w:val="24"/>
        </w:rPr>
        <w:t>PSTR</w:t>
      </w:r>
      <w:r w:rsidR="00300784" w:rsidRPr="00300784">
        <w:rPr>
          <w:rFonts w:cs="Arial"/>
          <w:sz w:val="24"/>
          <w:szCs w:val="24"/>
        </w:rPr>
        <w:t xml:space="preserve"> </w:t>
      </w:r>
      <w:r w:rsidR="00300784">
        <w:rPr>
          <w:rFonts w:cs="Arial"/>
          <w:sz w:val="24"/>
          <w:szCs w:val="24"/>
        </w:rPr>
        <w:t xml:space="preserve">then a slight rise </w:t>
      </w:r>
      <w:r w:rsidR="00300784" w:rsidRPr="00300784">
        <w:rPr>
          <w:rFonts w:cs="Arial"/>
          <w:sz w:val="24"/>
          <w:szCs w:val="24"/>
        </w:rPr>
        <w:t xml:space="preserve">was </w:t>
      </w:r>
      <w:r w:rsidR="00FD3AD4">
        <w:rPr>
          <w:rFonts w:cs="Arial"/>
          <w:sz w:val="24"/>
          <w:szCs w:val="24"/>
        </w:rPr>
        <w:t>seen in the</w:t>
      </w:r>
      <w:r w:rsidR="00300784" w:rsidRPr="00300784">
        <w:rPr>
          <w:rFonts w:cs="Arial"/>
          <w:sz w:val="24"/>
          <w:szCs w:val="24"/>
        </w:rPr>
        <w:t xml:space="preserve"> model (</w:t>
      </w:r>
      <w:r w:rsidR="00300784">
        <w:rPr>
          <w:rFonts w:cs="Arial"/>
          <w:sz w:val="24"/>
          <w:szCs w:val="24"/>
        </w:rPr>
        <w:t>negative</w:t>
      </w:r>
      <w:r w:rsidR="00300784" w:rsidRPr="00300784">
        <w:rPr>
          <w:rFonts w:cs="Arial"/>
          <w:sz w:val="24"/>
          <w:szCs w:val="24"/>
        </w:rPr>
        <w:t xml:space="preserve"> linear </w:t>
      </w:r>
      <w:r w:rsidR="00300784">
        <w:rPr>
          <w:rFonts w:cs="Arial"/>
          <w:sz w:val="24"/>
          <w:szCs w:val="24"/>
        </w:rPr>
        <w:t xml:space="preserve">and positive quadratic </w:t>
      </w:r>
      <w:r w:rsidR="00300784" w:rsidRPr="00300784">
        <w:rPr>
          <w:rFonts w:cs="Arial"/>
          <w:sz w:val="24"/>
          <w:szCs w:val="24"/>
        </w:rPr>
        <w:t>time coefficients). Independent of these trends, use of icodextrin, baseline inflammation and peritonitis were all a</w:t>
      </w:r>
      <w:r w:rsidR="0066287E">
        <w:rPr>
          <w:rFonts w:cs="Arial"/>
          <w:sz w:val="24"/>
          <w:szCs w:val="24"/>
        </w:rPr>
        <w:t>ss</w:t>
      </w:r>
      <w:r w:rsidR="00300784" w:rsidRPr="00300784">
        <w:rPr>
          <w:rFonts w:cs="Arial"/>
          <w:sz w:val="24"/>
          <w:szCs w:val="24"/>
        </w:rPr>
        <w:t xml:space="preserve">ociated with faster </w:t>
      </w:r>
      <w:r w:rsidR="00E16959">
        <w:rPr>
          <w:rFonts w:cs="Arial"/>
          <w:sz w:val="24"/>
          <w:szCs w:val="24"/>
        </w:rPr>
        <w:t>PSTR</w:t>
      </w:r>
      <w:r w:rsidR="00300784" w:rsidRPr="00300784">
        <w:rPr>
          <w:rFonts w:cs="Arial"/>
          <w:sz w:val="24"/>
          <w:szCs w:val="24"/>
        </w:rPr>
        <w:t xml:space="preserve">, the latter only when exposed to </w:t>
      </w:r>
      <w:r w:rsidR="004B41FF">
        <w:rPr>
          <w:rFonts w:cs="Arial"/>
          <w:sz w:val="24"/>
          <w:szCs w:val="24"/>
        </w:rPr>
        <w:t>standard solutions</w:t>
      </w:r>
      <w:r w:rsidR="00300784">
        <w:rPr>
          <w:rFonts w:cs="Arial"/>
          <w:sz w:val="24"/>
          <w:szCs w:val="24"/>
        </w:rPr>
        <w:t>.</w:t>
      </w:r>
      <w:r w:rsidR="00244143">
        <w:rPr>
          <w:rFonts w:cs="Arial"/>
          <w:sz w:val="24"/>
          <w:szCs w:val="24"/>
        </w:rPr>
        <w:t xml:space="preserve"> </w:t>
      </w:r>
      <w:r w:rsidR="00BA7D0C">
        <w:rPr>
          <w:rFonts w:cs="Arial"/>
          <w:sz w:val="24"/>
          <w:szCs w:val="24"/>
        </w:rPr>
        <w:t xml:space="preserve">Higher </w:t>
      </w:r>
      <w:r w:rsidR="00244143">
        <w:rPr>
          <w:rFonts w:cs="Arial"/>
          <w:sz w:val="24"/>
          <w:szCs w:val="24"/>
        </w:rPr>
        <w:t xml:space="preserve">Dialysate </w:t>
      </w:r>
      <w:r w:rsidR="001A2732">
        <w:rPr>
          <w:rFonts w:cs="Arial"/>
          <w:sz w:val="24"/>
          <w:szCs w:val="24"/>
        </w:rPr>
        <w:t>Dextrose concentration</w:t>
      </w:r>
      <w:r w:rsidR="00244143">
        <w:rPr>
          <w:rFonts w:cs="Arial"/>
          <w:sz w:val="24"/>
          <w:szCs w:val="24"/>
        </w:rPr>
        <w:t xml:space="preserve"> was a</w:t>
      </w:r>
      <w:r w:rsidR="0066287E">
        <w:rPr>
          <w:rFonts w:cs="Arial"/>
          <w:sz w:val="24"/>
          <w:szCs w:val="24"/>
        </w:rPr>
        <w:t>ss</w:t>
      </w:r>
      <w:r w:rsidR="00244143">
        <w:rPr>
          <w:rFonts w:cs="Arial"/>
          <w:sz w:val="24"/>
          <w:szCs w:val="24"/>
        </w:rPr>
        <w:t xml:space="preserve">ociated with faster </w:t>
      </w:r>
      <w:r w:rsidR="00E16959">
        <w:rPr>
          <w:rFonts w:cs="Arial"/>
          <w:sz w:val="24"/>
          <w:szCs w:val="24"/>
        </w:rPr>
        <w:t>PSTR</w:t>
      </w:r>
      <w:r w:rsidR="00244143">
        <w:rPr>
          <w:rFonts w:cs="Arial"/>
          <w:sz w:val="24"/>
          <w:szCs w:val="24"/>
        </w:rPr>
        <w:t xml:space="preserve"> after a prolonged period on </w:t>
      </w:r>
      <w:r w:rsidR="00FD3AD4">
        <w:rPr>
          <w:rFonts w:cs="Arial"/>
          <w:sz w:val="24"/>
          <w:szCs w:val="24"/>
        </w:rPr>
        <w:t>PD</w:t>
      </w:r>
      <w:r w:rsidR="00244143">
        <w:rPr>
          <w:rFonts w:cs="Arial"/>
          <w:sz w:val="24"/>
          <w:szCs w:val="24"/>
        </w:rPr>
        <w:t xml:space="preserve"> (positive interaction with time) but little a</w:t>
      </w:r>
      <w:r w:rsidR="0066287E">
        <w:rPr>
          <w:rFonts w:cs="Arial"/>
          <w:sz w:val="24"/>
          <w:szCs w:val="24"/>
        </w:rPr>
        <w:t>ss</w:t>
      </w:r>
      <w:r w:rsidR="00244143">
        <w:rPr>
          <w:rFonts w:cs="Arial"/>
          <w:sz w:val="24"/>
          <w:szCs w:val="24"/>
        </w:rPr>
        <w:t xml:space="preserve">ociation at the start. </w:t>
      </w:r>
      <w:r w:rsidR="0032631E">
        <w:rPr>
          <w:rFonts w:cs="Arial"/>
          <w:sz w:val="24"/>
          <w:szCs w:val="24"/>
        </w:rPr>
        <w:t xml:space="preserve">Covariates not included in the final model </w:t>
      </w:r>
      <w:r>
        <w:rPr>
          <w:rFonts w:cs="Arial"/>
          <w:sz w:val="24"/>
          <w:szCs w:val="24"/>
        </w:rPr>
        <w:t xml:space="preserve">as not significant </w:t>
      </w:r>
      <w:r w:rsidR="0032631E">
        <w:rPr>
          <w:rFonts w:cs="Arial"/>
          <w:sz w:val="24"/>
          <w:szCs w:val="24"/>
        </w:rPr>
        <w:t>include A</w:t>
      </w:r>
      <w:r w:rsidR="00FD3AD4">
        <w:rPr>
          <w:rFonts w:cs="Arial"/>
          <w:sz w:val="24"/>
          <w:szCs w:val="24"/>
        </w:rPr>
        <w:t>PD</w:t>
      </w:r>
      <w:r w:rsidR="0032631E">
        <w:rPr>
          <w:rFonts w:cs="Arial"/>
          <w:sz w:val="24"/>
          <w:szCs w:val="24"/>
        </w:rPr>
        <w:t>/C</w:t>
      </w:r>
      <w:r w:rsidR="00FD3AD4">
        <w:rPr>
          <w:rFonts w:cs="Arial"/>
          <w:sz w:val="24"/>
          <w:szCs w:val="24"/>
        </w:rPr>
        <w:t>APD</w:t>
      </w:r>
      <w:r w:rsidR="0032631E">
        <w:rPr>
          <w:rFonts w:cs="Arial"/>
          <w:sz w:val="24"/>
          <w:szCs w:val="24"/>
        </w:rPr>
        <w:t xml:space="preserve"> use, plasma </w:t>
      </w:r>
      <w:r w:rsidR="00100A88">
        <w:rPr>
          <w:rFonts w:cs="Arial"/>
          <w:sz w:val="24"/>
          <w:szCs w:val="24"/>
        </w:rPr>
        <w:t>IL-6</w:t>
      </w:r>
      <w:r w:rsidR="0032631E">
        <w:rPr>
          <w:rFonts w:cs="Arial"/>
          <w:sz w:val="24"/>
          <w:szCs w:val="24"/>
        </w:rPr>
        <w:t>, gender, age and comorbidity status</w:t>
      </w:r>
      <w:r w:rsidR="000318C5">
        <w:rPr>
          <w:rFonts w:cs="Arial"/>
          <w:sz w:val="24"/>
          <w:szCs w:val="24"/>
        </w:rPr>
        <w:t>.</w:t>
      </w:r>
      <w:r w:rsidR="00164480">
        <w:rPr>
          <w:rFonts w:cs="Arial"/>
          <w:sz w:val="24"/>
          <w:szCs w:val="24"/>
        </w:rPr>
        <w:t xml:space="preserve"> Centre had a significant effect (range of coefficient -0.</w:t>
      </w:r>
      <w:r w:rsidR="00DD3C11">
        <w:rPr>
          <w:rFonts w:cs="Arial"/>
          <w:sz w:val="24"/>
          <w:szCs w:val="24"/>
        </w:rPr>
        <w:t>13</w:t>
      </w:r>
      <w:r w:rsidR="00164480">
        <w:rPr>
          <w:rFonts w:cs="Arial"/>
          <w:sz w:val="24"/>
          <w:szCs w:val="24"/>
        </w:rPr>
        <w:t xml:space="preserve"> to 0.001)</w:t>
      </w:r>
      <w:r w:rsidR="003B0404">
        <w:rPr>
          <w:rFonts w:cs="Arial"/>
          <w:sz w:val="24"/>
          <w:szCs w:val="24"/>
        </w:rPr>
        <w:t>.</w:t>
      </w:r>
      <w:r w:rsidR="00FE67BE">
        <w:rPr>
          <w:rFonts w:cs="Arial"/>
          <w:sz w:val="24"/>
          <w:szCs w:val="24"/>
        </w:rPr>
        <w:t xml:space="preserve"> * p values for overall effect from Wald statistic.</w:t>
      </w:r>
    </w:p>
    <w:p w14:paraId="27D2B1B5" w14:textId="77777777" w:rsidR="00300784" w:rsidRDefault="00300784">
      <w:pPr>
        <w:rPr>
          <w:rFonts w:cs="Arial"/>
          <w:b/>
          <w:sz w:val="24"/>
          <w:szCs w:val="24"/>
        </w:rPr>
      </w:pPr>
      <w:r>
        <w:rPr>
          <w:rFonts w:cs="Arial"/>
          <w:b/>
          <w:sz w:val="24"/>
          <w:szCs w:val="24"/>
        </w:rPr>
        <w:br w:type="page"/>
      </w:r>
    </w:p>
    <w:p w14:paraId="58F83CB4" w14:textId="77777777" w:rsidR="00756DB7" w:rsidRPr="00756DB7" w:rsidRDefault="00756DB7" w:rsidP="000318C5">
      <w:pPr>
        <w:rPr>
          <w:rFonts w:cs="Arial"/>
          <w:b/>
          <w:sz w:val="24"/>
          <w:szCs w:val="24"/>
        </w:rPr>
      </w:pPr>
      <w:r w:rsidRPr="00756DB7">
        <w:rPr>
          <w:rFonts w:cs="Arial"/>
          <w:b/>
          <w:sz w:val="24"/>
          <w:szCs w:val="24"/>
        </w:rPr>
        <w:t>Figures and Legends</w:t>
      </w:r>
    </w:p>
    <w:p w14:paraId="463D97F6" w14:textId="77777777" w:rsidR="004E2F57" w:rsidRDefault="000427F3" w:rsidP="000318C5">
      <w:pPr>
        <w:rPr>
          <w:rFonts w:cs="Arial"/>
          <w:i/>
          <w:sz w:val="24"/>
          <w:szCs w:val="24"/>
        </w:rPr>
      </w:pPr>
      <w:r>
        <w:rPr>
          <w:rFonts w:cs="Arial"/>
          <w:i/>
          <w:sz w:val="24"/>
          <w:szCs w:val="24"/>
        </w:rPr>
        <w:t xml:space="preserve">Figure 1. Flow diagram showing inclusion of participants in analysis </w:t>
      </w:r>
    </w:p>
    <w:p w14:paraId="43FB98A6" w14:textId="77777777" w:rsidR="001F03A7" w:rsidRPr="001F03A7" w:rsidRDefault="001F03A7" w:rsidP="000318C5">
      <w:pPr>
        <w:rPr>
          <w:rFonts w:cs="Arial"/>
          <w:sz w:val="24"/>
          <w:szCs w:val="24"/>
        </w:rPr>
      </w:pPr>
      <w:r>
        <w:rPr>
          <w:rFonts w:cs="Arial"/>
          <w:sz w:val="24"/>
          <w:szCs w:val="24"/>
        </w:rPr>
        <w:t>n –number of patients, m – number of measurements</w:t>
      </w:r>
    </w:p>
    <w:p w14:paraId="261C01CE" w14:textId="77777777" w:rsidR="00C10947" w:rsidRDefault="00C10947" w:rsidP="000318C5">
      <w:pPr>
        <w:rPr>
          <w:rFonts w:cs="Arial"/>
          <w:i/>
          <w:sz w:val="24"/>
          <w:szCs w:val="24"/>
        </w:rPr>
      </w:pPr>
    </w:p>
    <w:p w14:paraId="1B7E0C16" w14:textId="77777777" w:rsidR="007E3F4D" w:rsidRPr="00195C12" w:rsidRDefault="007E3F4D" w:rsidP="007E3F4D">
      <w:pPr>
        <w:tabs>
          <w:tab w:val="left" w:pos="3067"/>
        </w:tabs>
        <w:spacing w:line="480" w:lineRule="auto"/>
        <w:rPr>
          <w:rFonts w:cs="Arial"/>
          <w:i/>
          <w:sz w:val="24"/>
          <w:szCs w:val="24"/>
        </w:rPr>
      </w:pPr>
      <w:r w:rsidRPr="00195C12">
        <w:rPr>
          <w:rFonts w:cs="Arial"/>
          <w:i/>
          <w:sz w:val="24"/>
          <w:szCs w:val="24"/>
        </w:rPr>
        <w:t xml:space="preserve">Figure </w:t>
      </w:r>
      <w:r>
        <w:rPr>
          <w:rFonts w:cs="Arial"/>
          <w:i/>
          <w:sz w:val="24"/>
          <w:szCs w:val="24"/>
        </w:rPr>
        <w:t>2</w:t>
      </w:r>
      <w:r w:rsidRPr="00195C12">
        <w:rPr>
          <w:rFonts w:cs="Arial"/>
          <w:i/>
          <w:sz w:val="24"/>
          <w:szCs w:val="24"/>
        </w:rPr>
        <w:t xml:space="preserve">. </w:t>
      </w:r>
      <w:r w:rsidR="00FD3AD4">
        <w:rPr>
          <w:rFonts w:cs="Arial"/>
          <w:i/>
          <w:sz w:val="24"/>
          <w:szCs w:val="24"/>
        </w:rPr>
        <w:t>C</w:t>
      </w:r>
      <w:r>
        <w:rPr>
          <w:rFonts w:cs="Arial"/>
          <w:i/>
          <w:sz w:val="24"/>
          <w:szCs w:val="24"/>
        </w:rPr>
        <w:t xml:space="preserve">hange in solute transport </w:t>
      </w:r>
      <w:r w:rsidRPr="00195C12">
        <w:rPr>
          <w:rFonts w:cs="Arial"/>
          <w:i/>
          <w:sz w:val="24"/>
          <w:szCs w:val="24"/>
        </w:rPr>
        <w:t xml:space="preserve">for standard (A) and biocompatible (B) solutions with comparison of average change (C) for both solutions </w:t>
      </w:r>
    </w:p>
    <w:p w14:paraId="4DA27013" w14:textId="77777777" w:rsidR="007E3F4D" w:rsidRDefault="007E3F4D" w:rsidP="007E3F4D">
      <w:pPr>
        <w:tabs>
          <w:tab w:val="left" w:pos="3067"/>
        </w:tabs>
        <w:spacing w:line="480" w:lineRule="auto"/>
        <w:rPr>
          <w:rFonts w:cs="Arial"/>
          <w:sz w:val="24"/>
          <w:szCs w:val="24"/>
        </w:rPr>
      </w:pPr>
      <w:r w:rsidRPr="0032631E">
        <w:rPr>
          <w:rFonts w:cs="Arial"/>
          <w:sz w:val="24"/>
          <w:szCs w:val="24"/>
        </w:rPr>
        <w:t>Solid grey and black lines rep</w:t>
      </w:r>
      <w:r w:rsidR="00315B1C">
        <w:rPr>
          <w:rFonts w:cs="Arial"/>
          <w:sz w:val="24"/>
          <w:szCs w:val="24"/>
        </w:rPr>
        <w:t>resent th</w:t>
      </w:r>
      <w:r w:rsidR="00910F0B">
        <w:rPr>
          <w:rFonts w:cs="Arial"/>
          <w:sz w:val="24"/>
          <w:szCs w:val="24"/>
        </w:rPr>
        <w:t>e adjusted</w:t>
      </w:r>
      <w:r w:rsidR="00315B1C">
        <w:rPr>
          <w:rFonts w:cs="Arial"/>
          <w:sz w:val="24"/>
          <w:szCs w:val="24"/>
        </w:rPr>
        <w:t xml:space="preserve"> </w:t>
      </w:r>
      <w:r w:rsidR="00E16959">
        <w:rPr>
          <w:rFonts w:cstheme="minorHAnsi"/>
          <w:sz w:val="24"/>
          <w:szCs w:val="24"/>
        </w:rPr>
        <w:t>PSTR</w:t>
      </w:r>
      <w:r w:rsidRPr="0032631E">
        <w:rPr>
          <w:rFonts w:cs="Arial"/>
          <w:sz w:val="24"/>
          <w:szCs w:val="24"/>
        </w:rPr>
        <w:t xml:space="preserve"> for standard and biocompatible solutions</w:t>
      </w:r>
      <w:r w:rsidR="00860727">
        <w:rPr>
          <w:rFonts w:cs="Arial"/>
          <w:sz w:val="24"/>
          <w:szCs w:val="24"/>
        </w:rPr>
        <w:t xml:space="preserve"> </w:t>
      </w:r>
      <w:r w:rsidRPr="0032631E">
        <w:rPr>
          <w:rFonts w:cs="Arial"/>
          <w:sz w:val="24"/>
          <w:szCs w:val="24"/>
        </w:rPr>
        <w:t>respective</w:t>
      </w:r>
      <w:r>
        <w:rPr>
          <w:rFonts w:cs="Arial"/>
          <w:sz w:val="24"/>
          <w:szCs w:val="24"/>
        </w:rPr>
        <w:t>ly with dotted lines for 95% CI</w:t>
      </w:r>
      <w:r w:rsidR="00860727">
        <w:rPr>
          <w:rFonts w:cs="Arial"/>
          <w:sz w:val="24"/>
          <w:szCs w:val="24"/>
        </w:rPr>
        <w:t xml:space="preserve">. </w:t>
      </w:r>
      <w:r w:rsidR="004B41FF">
        <w:rPr>
          <w:rFonts w:cs="Arial"/>
          <w:sz w:val="24"/>
          <w:szCs w:val="24"/>
        </w:rPr>
        <w:t>Standard solutions</w:t>
      </w:r>
      <w:r w:rsidR="00860727">
        <w:rPr>
          <w:rFonts w:cs="Arial"/>
          <w:sz w:val="24"/>
          <w:szCs w:val="24"/>
        </w:rPr>
        <w:t xml:space="preserve"> remain stable then </w:t>
      </w:r>
      <w:r w:rsidR="00BA7D0C">
        <w:rPr>
          <w:rFonts w:cs="Arial"/>
          <w:sz w:val="24"/>
          <w:szCs w:val="24"/>
        </w:rPr>
        <w:t xml:space="preserve">demonstrated </w:t>
      </w:r>
      <w:r w:rsidR="00860727">
        <w:rPr>
          <w:rFonts w:cs="Arial"/>
          <w:sz w:val="24"/>
          <w:szCs w:val="24"/>
        </w:rPr>
        <w:t xml:space="preserve">a </w:t>
      </w:r>
      <w:r w:rsidR="00BA7D0C">
        <w:rPr>
          <w:rFonts w:cs="Arial"/>
          <w:sz w:val="24"/>
          <w:szCs w:val="24"/>
        </w:rPr>
        <w:t>slight rise</w:t>
      </w:r>
      <w:r w:rsidR="00860727">
        <w:rPr>
          <w:rFonts w:cs="Arial"/>
          <w:sz w:val="24"/>
          <w:szCs w:val="24"/>
        </w:rPr>
        <w:t xml:space="preserve">. </w:t>
      </w:r>
      <w:r w:rsidR="00E61FF8">
        <w:rPr>
          <w:rFonts w:cs="Arial"/>
          <w:sz w:val="24"/>
          <w:szCs w:val="24"/>
        </w:rPr>
        <w:t xml:space="preserve"> </w:t>
      </w:r>
      <w:r w:rsidR="004B41FF">
        <w:rPr>
          <w:rFonts w:cs="Arial"/>
          <w:sz w:val="24"/>
          <w:szCs w:val="24"/>
        </w:rPr>
        <w:t>B</w:t>
      </w:r>
      <w:r w:rsidR="00E61FF8">
        <w:rPr>
          <w:rFonts w:cs="Arial"/>
          <w:sz w:val="24"/>
          <w:szCs w:val="24"/>
        </w:rPr>
        <w:t>iocompatible solutions</w:t>
      </w:r>
      <w:r w:rsidR="00860727">
        <w:rPr>
          <w:rFonts w:cs="Arial"/>
          <w:sz w:val="24"/>
          <w:szCs w:val="24"/>
        </w:rPr>
        <w:t xml:space="preserve"> </w:t>
      </w:r>
      <w:r w:rsidR="000427F3">
        <w:rPr>
          <w:rFonts w:cs="Arial"/>
          <w:sz w:val="24"/>
          <w:szCs w:val="24"/>
        </w:rPr>
        <w:t>ha</w:t>
      </w:r>
      <w:r w:rsidR="004B41FF">
        <w:rPr>
          <w:rFonts w:cs="Arial"/>
          <w:sz w:val="24"/>
          <w:szCs w:val="24"/>
        </w:rPr>
        <w:t>ve</w:t>
      </w:r>
      <w:r w:rsidR="000427F3">
        <w:rPr>
          <w:rFonts w:cs="Arial"/>
          <w:sz w:val="24"/>
          <w:szCs w:val="24"/>
        </w:rPr>
        <w:t xml:space="preserve"> a slower </w:t>
      </w:r>
      <w:r w:rsidR="00E16959">
        <w:rPr>
          <w:rFonts w:cs="Arial"/>
          <w:sz w:val="24"/>
          <w:szCs w:val="24"/>
        </w:rPr>
        <w:t>PSTR</w:t>
      </w:r>
      <w:r w:rsidR="000427F3">
        <w:rPr>
          <w:rFonts w:cs="Arial"/>
          <w:sz w:val="24"/>
          <w:szCs w:val="24"/>
        </w:rPr>
        <w:t xml:space="preserve"> at baseline but a steeper increase in </w:t>
      </w:r>
      <w:r w:rsidR="00E16959">
        <w:rPr>
          <w:rFonts w:cs="Arial"/>
          <w:sz w:val="24"/>
          <w:szCs w:val="24"/>
        </w:rPr>
        <w:t>PSTR</w:t>
      </w:r>
      <w:r w:rsidR="000427F3">
        <w:rPr>
          <w:rFonts w:cs="Arial"/>
          <w:sz w:val="24"/>
          <w:szCs w:val="24"/>
        </w:rPr>
        <w:t xml:space="preserve"> over time, this stabilises at 2 years.</w:t>
      </w:r>
      <w:r w:rsidR="006C2E8F">
        <w:rPr>
          <w:rFonts w:cs="Arial"/>
          <w:sz w:val="24"/>
          <w:szCs w:val="24"/>
        </w:rPr>
        <w:t xml:space="preserve"> </w:t>
      </w:r>
      <w:r w:rsidR="00E16959">
        <w:rPr>
          <w:rFonts w:cs="Arial"/>
          <w:sz w:val="24"/>
          <w:szCs w:val="24"/>
        </w:rPr>
        <w:t>PSTR</w:t>
      </w:r>
      <w:r w:rsidR="006C2E8F">
        <w:rPr>
          <w:rFonts w:cs="Arial"/>
          <w:sz w:val="24"/>
          <w:szCs w:val="24"/>
        </w:rPr>
        <w:t xml:space="preserve"> values are adjusted for centre, Icodextrin use, daily </w:t>
      </w:r>
      <w:r w:rsidR="001A2732">
        <w:rPr>
          <w:rFonts w:cs="Arial"/>
          <w:sz w:val="24"/>
          <w:szCs w:val="24"/>
        </w:rPr>
        <w:t>dextrose concentration</w:t>
      </w:r>
      <w:r w:rsidR="006C2E8F">
        <w:rPr>
          <w:rFonts w:cs="Arial"/>
          <w:sz w:val="24"/>
          <w:szCs w:val="24"/>
        </w:rPr>
        <w:t xml:space="preserve">, baseline dialysate </w:t>
      </w:r>
      <w:r w:rsidR="00100A88">
        <w:rPr>
          <w:rFonts w:cs="Arial"/>
          <w:sz w:val="24"/>
          <w:szCs w:val="24"/>
        </w:rPr>
        <w:t>IL-6</w:t>
      </w:r>
      <w:r w:rsidR="006C2E8F">
        <w:rPr>
          <w:rFonts w:cs="Arial"/>
          <w:sz w:val="24"/>
          <w:szCs w:val="24"/>
        </w:rPr>
        <w:t>, peritonitis and urine volume.</w:t>
      </w:r>
      <w:r w:rsidR="001B3D1C">
        <w:rPr>
          <w:rFonts w:cs="Arial"/>
          <w:sz w:val="24"/>
          <w:szCs w:val="24"/>
        </w:rPr>
        <w:t xml:space="preserve"> </w:t>
      </w:r>
      <w:r w:rsidR="001B3D1C" w:rsidRPr="00315DDB">
        <w:rPr>
          <w:rFonts w:cs="Arial"/>
          <w:sz w:val="24"/>
          <w:szCs w:val="24"/>
        </w:rPr>
        <w:t>There were 43 (60%) and 219 (60%) patients in the biocompatible and bioincompatible groups respectively at 2 years follow up and 11 (15%) and 96 (33%) at 4 years. Modelling of biocompatible solutions was stopped at 4 years due to the low patient numbers beyond this.</w:t>
      </w:r>
    </w:p>
    <w:p w14:paraId="6BB258B3" w14:textId="77777777" w:rsidR="007E3F4D" w:rsidRDefault="007E3F4D" w:rsidP="007E3F4D">
      <w:pPr>
        <w:tabs>
          <w:tab w:val="left" w:pos="3067"/>
        </w:tabs>
        <w:spacing w:line="480" w:lineRule="auto"/>
        <w:rPr>
          <w:rFonts w:cs="Arial"/>
          <w:i/>
          <w:sz w:val="24"/>
          <w:szCs w:val="24"/>
        </w:rPr>
      </w:pPr>
      <w:r w:rsidRPr="00195C12">
        <w:rPr>
          <w:rFonts w:cs="Arial"/>
          <w:i/>
          <w:sz w:val="24"/>
          <w:szCs w:val="24"/>
        </w:rPr>
        <w:t>F</w:t>
      </w:r>
      <w:r>
        <w:rPr>
          <w:rFonts w:cs="Arial"/>
          <w:i/>
          <w:sz w:val="24"/>
          <w:szCs w:val="24"/>
        </w:rPr>
        <w:t xml:space="preserve">igure </w:t>
      </w:r>
      <w:r w:rsidR="00A5768F">
        <w:rPr>
          <w:rFonts w:cs="Arial"/>
          <w:i/>
          <w:sz w:val="24"/>
          <w:szCs w:val="24"/>
        </w:rPr>
        <w:t>3</w:t>
      </w:r>
      <w:r>
        <w:rPr>
          <w:rFonts w:cs="Arial"/>
          <w:i/>
          <w:sz w:val="24"/>
          <w:szCs w:val="24"/>
        </w:rPr>
        <w:t xml:space="preserve">. </w:t>
      </w:r>
      <w:r w:rsidRPr="00195C12">
        <w:rPr>
          <w:rFonts w:cs="Arial"/>
          <w:i/>
          <w:sz w:val="24"/>
          <w:szCs w:val="24"/>
        </w:rPr>
        <w:t xml:space="preserve"> </w:t>
      </w:r>
      <w:r>
        <w:rPr>
          <w:rFonts w:cs="Arial"/>
          <w:i/>
          <w:sz w:val="24"/>
          <w:szCs w:val="24"/>
        </w:rPr>
        <w:t>C</w:t>
      </w:r>
      <w:r w:rsidRPr="00195C12">
        <w:rPr>
          <w:rFonts w:cs="Arial"/>
          <w:i/>
          <w:sz w:val="24"/>
          <w:szCs w:val="24"/>
        </w:rPr>
        <w:t xml:space="preserve">hanges in </w:t>
      </w:r>
      <w:r>
        <w:rPr>
          <w:rFonts w:cs="Arial"/>
          <w:i/>
          <w:sz w:val="24"/>
          <w:szCs w:val="24"/>
        </w:rPr>
        <w:t>solute transport for</w:t>
      </w:r>
      <w:r w:rsidRPr="00195C12">
        <w:rPr>
          <w:rFonts w:cs="Arial"/>
          <w:i/>
          <w:sz w:val="24"/>
          <w:szCs w:val="24"/>
        </w:rPr>
        <w:t xml:space="preserve"> standard solutions </w:t>
      </w:r>
      <w:r>
        <w:rPr>
          <w:rFonts w:cs="Arial"/>
          <w:i/>
          <w:sz w:val="24"/>
          <w:szCs w:val="24"/>
        </w:rPr>
        <w:t xml:space="preserve">by dialysate </w:t>
      </w:r>
      <w:r w:rsidR="001A2732">
        <w:rPr>
          <w:rFonts w:cs="Arial"/>
          <w:i/>
          <w:sz w:val="24"/>
          <w:szCs w:val="24"/>
        </w:rPr>
        <w:t>dextrose concentration</w:t>
      </w:r>
    </w:p>
    <w:p w14:paraId="3401B607" w14:textId="77777777" w:rsidR="007C0C1A" w:rsidRDefault="00910F0B" w:rsidP="007E3F4D">
      <w:pPr>
        <w:tabs>
          <w:tab w:val="left" w:pos="3067"/>
        </w:tabs>
        <w:spacing w:line="480" w:lineRule="auto"/>
        <w:rPr>
          <w:rFonts w:cs="Arial"/>
          <w:sz w:val="24"/>
          <w:szCs w:val="24"/>
        </w:rPr>
      </w:pPr>
      <w:r>
        <w:rPr>
          <w:rFonts w:cs="Arial"/>
          <w:sz w:val="24"/>
          <w:szCs w:val="24"/>
        </w:rPr>
        <w:t>T</w:t>
      </w:r>
      <w:r w:rsidR="007C0C1A" w:rsidRPr="007C0C1A">
        <w:rPr>
          <w:rFonts w:cs="Arial"/>
          <w:sz w:val="24"/>
          <w:szCs w:val="24"/>
        </w:rPr>
        <w:t>rajectory over time for low (</w:t>
      </w:r>
      <w:r w:rsidR="00374C1A">
        <w:rPr>
          <w:rFonts w:cs="Arial"/>
          <w:sz w:val="24"/>
          <w:szCs w:val="24"/>
        </w:rPr>
        <w:t>1.</w:t>
      </w:r>
      <w:r w:rsidR="002025C2">
        <w:rPr>
          <w:rFonts w:cs="Arial"/>
          <w:sz w:val="24"/>
          <w:szCs w:val="24"/>
        </w:rPr>
        <w:t>33</w:t>
      </w:r>
      <w:r w:rsidR="00374C1A">
        <w:rPr>
          <w:rFonts w:cs="Arial"/>
          <w:sz w:val="24"/>
          <w:szCs w:val="24"/>
        </w:rPr>
        <w:t>%</w:t>
      </w:r>
      <w:r w:rsidR="00163F83">
        <w:rPr>
          <w:rFonts w:cs="Arial"/>
          <w:sz w:val="24"/>
          <w:szCs w:val="24"/>
        </w:rPr>
        <w:t>, 25</w:t>
      </w:r>
      <w:r w:rsidR="00163F83" w:rsidRPr="00163F83">
        <w:rPr>
          <w:rFonts w:cs="Arial"/>
          <w:sz w:val="24"/>
          <w:szCs w:val="24"/>
          <w:vertAlign w:val="superscript"/>
        </w:rPr>
        <w:t>th</w:t>
      </w:r>
      <w:r w:rsidR="00163F83">
        <w:rPr>
          <w:rFonts w:cs="Arial"/>
          <w:sz w:val="24"/>
          <w:szCs w:val="24"/>
        </w:rPr>
        <w:t xml:space="preserve"> centile</w:t>
      </w:r>
      <w:r w:rsidR="007C0C1A" w:rsidRPr="007C0C1A">
        <w:rPr>
          <w:rFonts w:cs="Arial"/>
          <w:sz w:val="24"/>
          <w:szCs w:val="24"/>
        </w:rPr>
        <w:t>), medium (</w:t>
      </w:r>
      <w:r w:rsidR="00374C1A">
        <w:rPr>
          <w:rFonts w:cs="Arial"/>
          <w:sz w:val="24"/>
          <w:szCs w:val="24"/>
        </w:rPr>
        <w:t>1.</w:t>
      </w:r>
      <w:r w:rsidR="002025C2">
        <w:rPr>
          <w:rFonts w:cs="Arial"/>
          <w:sz w:val="24"/>
          <w:szCs w:val="24"/>
        </w:rPr>
        <w:t>5</w:t>
      </w:r>
      <w:r w:rsidR="00374C1A">
        <w:rPr>
          <w:rFonts w:cs="Arial"/>
          <w:sz w:val="24"/>
          <w:szCs w:val="24"/>
        </w:rPr>
        <w:t>%</w:t>
      </w:r>
      <w:r w:rsidR="00163F83">
        <w:rPr>
          <w:rFonts w:cs="Arial"/>
          <w:sz w:val="24"/>
          <w:szCs w:val="24"/>
        </w:rPr>
        <w:t>, 50</w:t>
      </w:r>
      <w:r w:rsidR="00163F83" w:rsidRPr="00163F83">
        <w:rPr>
          <w:rFonts w:cs="Arial"/>
          <w:sz w:val="24"/>
          <w:szCs w:val="24"/>
          <w:vertAlign w:val="superscript"/>
        </w:rPr>
        <w:t>th</w:t>
      </w:r>
      <w:r w:rsidR="00163F83">
        <w:rPr>
          <w:rFonts w:cs="Arial"/>
          <w:sz w:val="24"/>
          <w:szCs w:val="24"/>
        </w:rPr>
        <w:t xml:space="preserve"> centile</w:t>
      </w:r>
      <w:r w:rsidR="007C0C1A" w:rsidRPr="007C0C1A">
        <w:rPr>
          <w:rFonts w:cs="Arial"/>
          <w:sz w:val="24"/>
          <w:szCs w:val="24"/>
        </w:rPr>
        <w:t>) and high (</w:t>
      </w:r>
      <w:r w:rsidR="00374C1A">
        <w:rPr>
          <w:rFonts w:cs="Arial"/>
          <w:sz w:val="24"/>
          <w:szCs w:val="24"/>
        </w:rPr>
        <w:t>1.</w:t>
      </w:r>
      <w:r w:rsidR="002025C2">
        <w:rPr>
          <w:rFonts w:cs="Arial"/>
          <w:sz w:val="24"/>
          <w:szCs w:val="24"/>
        </w:rPr>
        <w:t>93</w:t>
      </w:r>
      <w:r w:rsidR="00374C1A">
        <w:rPr>
          <w:rFonts w:cs="Arial"/>
          <w:sz w:val="24"/>
          <w:szCs w:val="24"/>
        </w:rPr>
        <w:t xml:space="preserve"> %</w:t>
      </w:r>
      <w:r w:rsidR="00163F83">
        <w:rPr>
          <w:rFonts w:cs="Arial"/>
          <w:sz w:val="24"/>
          <w:szCs w:val="24"/>
        </w:rPr>
        <w:t>, 75</w:t>
      </w:r>
      <w:r w:rsidR="00163F83" w:rsidRPr="00163F83">
        <w:rPr>
          <w:rFonts w:cs="Arial"/>
          <w:sz w:val="24"/>
          <w:szCs w:val="24"/>
          <w:vertAlign w:val="superscript"/>
        </w:rPr>
        <w:t>th</w:t>
      </w:r>
      <w:r w:rsidR="00163F83">
        <w:rPr>
          <w:rFonts w:cs="Arial"/>
          <w:sz w:val="24"/>
          <w:szCs w:val="24"/>
        </w:rPr>
        <w:t xml:space="preserve"> centile</w:t>
      </w:r>
      <w:r w:rsidR="007C0C1A" w:rsidRPr="007C0C1A">
        <w:rPr>
          <w:rFonts w:cs="Arial"/>
          <w:sz w:val="24"/>
          <w:szCs w:val="24"/>
        </w:rPr>
        <w:t xml:space="preserve">) </w:t>
      </w:r>
      <w:r w:rsidR="007C0C1A">
        <w:rPr>
          <w:rFonts w:cs="Arial"/>
          <w:sz w:val="24"/>
          <w:szCs w:val="24"/>
        </w:rPr>
        <w:t xml:space="preserve">daily </w:t>
      </w:r>
      <w:r w:rsidR="001A2732">
        <w:rPr>
          <w:rFonts w:cs="Arial"/>
          <w:sz w:val="24"/>
          <w:szCs w:val="24"/>
        </w:rPr>
        <w:t>dextrose concentration</w:t>
      </w:r>
      <w:r w:rsidR="007C0C1A" w:rsidRPr="007C0C1A">
        <w:rPr>
          <w:rFonts w:cs="Arial"/>
          <w:sz w:val="24"/>
          <w:szCs w:val="24"/>
        </w:rPr>
        <w:t xml:space="preserve">. High </w:t>
      </w:r>
      <w:r w:rsidR="001A2732">
        <w:rPr>
          <w:rFonts w:cs="Arial"/>
          <w:sz w:val="24"/>
          <w:szCs w:val="24"/>
        </w:rPr>
        <w:t>dextrose concentration</w:t>
      </w:r>
      <w:r w:rsidR="007C0C1A" w:rsidRPr="007C0C1A">
        <w:rPr>
          <w:rFonts w:cs="Arial"/>
          <w:sz w:val="24"/>
          <w:szCs w:val="24"/>
        </w:rPr>
        <w:t xml:space="preserve"> is a</w:t>
      </w:r>
      <w:r w:rsidR="0066287E">
        <w:rPr>
          <w:rFonts w:cs="Arial"/>
          <w:sz w:val="24"/>
          <w:szCs w:val="24"/>
        </w:rPr>
        <w:t>ss</w:t>
      </w:r>
      <w:r w:rsidR="007C0C1A" w:rsidRPr="007C0C1A">
        <w:rPr>
          <w:rFonts w:cs="Arial"/>
          <w:sz w:val="24"/>
          <w:szCs w:val="24"/>
        </w:rPr>
        <w:t>ociated with a</w:t>
      </w:r>
      <w:r w:rsidR="00163F83">
        <w:rPr>
          <w:rFonts w:cs="Arial"/>
          <w:sz w:val="24"/>
          <w:szCs w:val="24"/>
        </w:rPr>
        <w:t>n</w:t>
      </w:r>
      <w:r w:rsidR="007C0C1A" w:rsidRPr="007C0C1A">
        <w:rPr>
          <w:rFonts w:cs="Arial"/>
          <w:sz w:val="24"/>
          <w:szCs w:val="24"/>
        </w:rPr>
        <w:t xml:space="preserve"> increase in </w:t>
      </w:r>
      <w:r w:rsidR="00E16959">
        <w:rPr>
          <w:rFonts w:cs="Arial"/>
          <w:sz w:val="24"/>
          <w:szCs w:val="24"/>
        </w:rPr>
        <w:t>PSTR</w:t>
      </w:r>
      <w:r w:rsidR="007C0C1A" w:rsidRPr="007C0C1A">
        <w:rPr>
          <w:rFonts w:cs="Arial"/>
          <w:sz w:val="24"/>
          <w:szCs w:val="24"/>
        </w:rPr>
        <w:t xml:space="preserve"> over time</w:t>
      </w:r>
      <w:r w:rsidR="00BF0CAA">
        <w:rPr>
          <w:rFonts w:cs="Arial"/>
          <w:sz w:val="24"/>
          <w:szCs w:val="24"/>
        </w:rPr>
        <w:t xml:space="preserve"> compared to low or medium concentrations.</w:t>
      </w:r>
      <w:r w:rsidR="00163F83">
        <w:rPr>
          <w:rFonts w:cs="Arial"/>
          <w:sz w:val="24"/>
          <w:szCs w:val="24"/>
        </w:rPr>
        <w:t xml:space="preserve"> This effect of dialysate </w:t>
      </w:r>
      <w:r w:rsidR="001A2732">
        <w:rPr>
          <w:rFonts w:cs="Arial"/>
          <w:sz w:val="24"/>
          <w:szCs w:val="24"/>
        </w:rPr>
        <w:t>dextrose concentration</w:t>
      </w:r>
      <w:r w:rsidR="00163F83">
        <w:rPr>
          <w:rFonts w:cs="Arial"/>
          <w:sz w:val="24"/>
          <w:szCs w:val="24"/>
        </w:rPr>
        <w:t xml:space="preserve"> on the trajectory of </w:t>
      </w:r>
      <w:r w:rsidR="00E16959">
        <w:rPr>
          <w:rFonts w:cs="Arial"/>
          <w:sz w:val="24"/>
          <w:szCs w:val="24"/>
        </w:rPr>
        <w:t>PSTR</w:t>
      </w:r>
      <w:r w:rsidR="00163F83">
        <w:rPr>
          <w:rFonts w:cs="Arial"/>
          <w:sz w:val="24"/>
          <w:szCs w:val="24"/>
        </w:rPr>
        <w:t xml:space="preserve"> has strong evidence (p&lt;0.001) in the model.</w:t>
      </w:r>
    </w:p>
    <w:p w14:paraId="40B0ECB4" w14:textId="77777777" w:rsidR="00C222F0" w:rsidRDefault="007829E1">
      <w:pPr>
        <w:tabs>
          <w:tab w:val="left" w:pos="3067"/>
        </w:tabs>
        <w:spacing w:line="480" w:lineRule="auto"/>
        <w:rPr>
          <w:rFonts w:cs="Arial"/>
          <w:sz w:val="24"/>
          <w:szCs w:val="24"/>
        </w:rPr>
      </w:pPr>
      <w:r w:rsidRPr="007829E1">
        <w:rPr>
          <w:rFonts w:cs="Arial"/>
          <w:i/>
          <w:sz w:val="24"/>
          <w:szCs w:val="24"/>
        </w:rPr>
        <w:t>Figure 4.</w:t>
      </w:r>
      <w:r w:rsidR="00EC50F3">
        <w:rPr>
          <w:rFonts w:cs="Arial"/>
          <w:sz w:val="24"/>
          <w:szCs w:val="24"/>
        </w:rPr>
        <w:t xml:space="preserve"> </w:t>
      </w:r>
      <w:r w:rsidR="00EC50F3">
        <w:rPr>
          <w:rFonts w:cs="Arial"/>
          <w:i/>
          <w:sz w:val="24"/>
          <w:szCs w:val="24"/>
        </w:rPr>
        <w:t xml:space="preserve">Change in PSTR over time and impact of time varying covariates </w:t>
      </w:r>
    </w:p>
    <w:p w14:paraId="5E759E24" w14:textId="77777777" w:rsidR="00C222F0" w:rsidRDefault="00EC50F3">
      <w:pPr>
        <w:tabs>
          <w:tab w:val="left" w:pos="6620"/>
        </w:tabs>
        <w:spacing w:line="480" w:lineRule="auto"/>
        <w:rPr>
          <w:rFonts w:cs="Arial"/>
          <w:sz w:val="24"/>
          <w:szCs w:val="24"/>
        </w:rPr>
      </w:pPr>
      <w:r>
        <w:rPr>
          <w:rFonts w:cs="Arial"/>
          <w:sz w:val="24"/>
          <w:szCs w:val="24"/>
        </w:rPr>
        <w:t xml:space="preserve">Unadjusted PSTR (D/P Cr) and 95% Confidence Intervals over time by solution type A – Standard Solutions, and B – Biocompatible Solutions. C Effect of constant average vs. time varying actual values on sample patient selected using random number generator. </w:t>
      </w:r>
    </w:p>
    <w:p w14:paraId="6140A25E" w14:textId="77777777" w:rsidR="00FB2BBB" w:rsidRDefault="007E3F4D" w:rsidP="007E3F4D">
      <w:pPr>
        <w:tabs>
          <w:tab w:val="left" w:pos="3927"/>
        </w:tabs>
        <w:spacing w:line="480" w:lineRule="auto"/>
        <w:rPr>
          <w:rFonts w:cs="Arial"/>
          <w:i/>
          <w:sz w:val="24"/>
          <w:szCs w:val="24"/>
        </w:rPr>
      </w:pPr>
      <w:r>
        <w:rPr>
          <w:rFonts w:cs="Arial"/>
          <w:i/>
          <w:sz w:val="24"/>
          <w:szCs w:val="24"/>
        </w:rPr>
        <w:t>Figure</w:t>
      </w:r>
      <w:r w:rsidR="00AE4BD0">
        <w:rPr>
          <w:rFonts w:cs="Arial"/>
          <w:i/>
          <w:sz w:val="24"/>
          <w:szCs w:val="24"/>
        </w:rPr>
        <w:t xml:space="preserve"> </w:t>
      </w:r>
      <w:r w:rsidR="00EC50F3">
        <w:rPr>
          <w:rFonts w:cs="Arial"/>
          <w:i/>
          <w:sz w:val="24"/>
          <w:szCs w:val="24"/>
        </w:rPr>
        <w:t>5</w:t>
      </w:r>
      <w:r w:rsidRPr="00B365DF">
        <w:rPr>
          <w:rFonts w:cs="Arial"/>
          <w:i/>
          <w:sz w:val="24"/>
          <w:szCs w:val="24"/>
        </w:rPr>
        <w:t xml:space="preserve">. Changing variance of </w:t>
      </w:r>
      <w:r w:rsidR="00E16959">
        <w:rPr>
          <w:rFonts w:cs="Arial"/>
          <w:i/>
          <w:sz w:val="24"/>
          <w:szCs w:val="24"/>
        </w:rPr>
        <w:t>PSTR</w:t>
      </w:r>
      <w:r w:rsidRPr="00B365DF">
        <w:rPr>
          <w:rFonts w:cs="Arial"/>
          <w:i/>
          <w:sz w:val="24"/>
          <w:szCs w:val="24"/>
        </w:rPr>
        <w:t xml:space="preserve"> with time on peritoneal dialysis</w:t>
      </w:r>
      <w:r>
        <w:rPr>
          <w:rFonts w:cs="Arial"/>
          <w:i/>
          <w:sz w:val="24"/>
          <w:szCs w:val="24"/>
        </w:rPr>
        <w:t xml:space="preserve">       </w:t>
      </w:r>
    </w:p>
    <w:p w14:paraId="07A1E172" w14:textId="77777777" w:rsidR="009D62C7" w:rsidRDefault="00FB2BBB" w:rsidP="00DE4839">
      <w:pPr>
        <w:tabs>
          <w:tab w:val="left" w:pos="3927"/>
        </w:tabs>
        <w:spacing w:line="480" w:lineRule="auto"/>
        <w:rPr>
          <w:sz w:val="24"/>
        </w:rPr>
      </w:pPr>
      <w:r w:rsidRPr="009234BD">
        <w:rPr>
          <w:sz w:val="24"/>
        </w:rPr>
        <w:t>1</w:t>
      </w:r>
      <w:r w:rsidR="00FB2AE4">
        <w:rPr>
          <w:sz w:val="24"/>
        </w:rPr>
        <w:t>, unadjusted model.</w:t>
      </w:r>
      <w:r>
        <w:rPr>
          <w:sz w:val="24"/>
        </w:rPr>
        <w:t xml:space="preserve"> 2</w:t>
      </w:r>
      <w:r w:rsidR="00FB2AE4">
        <w:rPr>
          <w:sz w:val="24"/>
        </w:rPr>
        <w:t>,</w:t>
      </w:r>
      <w:r>
        <w:rPr>
          <w:sz w:val="24"/>
        </w:rPr>
        <w:t xml:space="preserve"> Model adjusted for </w:t>
      </w:r>
      <w:r w:rsidR="00FD3AD4">
        <w:rPr>
          <w:sz w:val="24"/>
        </w:rPr>
        <w:t>PD</w:t>
      </w:r>
      <w:r>
        <w:rPr>
          <w:sz w:val="24"/>
        </w:rPr>
        <w:t xml:space="preserve"> IL6</w:t>
      </w:r>
      <w:r w:rsidR="00FB2AE4">
        <w:rPr>
          <w:sz w:val="24"/>
        </w:rPr>
        <w:t>. 3,</w:t>
      </w:r>
      <w:r>
        <w:rPr>
          <w:sz w:val="24"/>
        </w:rPr>
        <w:t xml:space="preserve"> Model adjusted for biocompatibility and </w:t>
      </w:r>
      <w:r w:rsidR="00FD3AD4">
        <w:rPr>
          <w:sz w:val="24"/>
        </w:rPr>
        <w:t>PD</w:t>
      </w:r>
      <w:r w:rsidR="00FB2AE4">
        <w:rPr>
          <w:sz w:val="24"/>
        </w:rPr>
        <w:t xml:space="preserve"> IL6. 4,</w:t>
      </w:r>
      <w:r>
        <w:rPr>
          <w:sz w:val="24"/>
        </w:rPr>
        <w:t xml:space="preserve"> Fully adjusted model. </w:t>
      </w:r>
      <w:r w:rsidR="006D32E5">
        <w:rPr>
          <w:sz w:val="24"/>
        </w:rPr>
        <w:t xml:space="preserve">The unadjusted model </w:t>
      </w:r>
      <w:r w:rsidR="00326A5A" w:rsidRPr="00FB2AE4">
        <w:rPr>
          <w:sz w:val="24"/>
        </w:rPr>
        <w:t xml:space="preserve">shows a reduction in </w:t>
      </w:r>
      <w:r w:rsidR="00304821">
        <w:rPr>
          <w:sz w:val="24"/>
        </w:rPr>
        <w:t>variability</w:t>
      </w:r>
      <w:r w:rsidR="00326A5A" w:rsidRPr="00FB2AE4">
        <w:rPr>
          <w:sz w:val="24"/>
        </w:rPr>
        <w:t xml:space="preserve"> over time, which is reduced</w:t>
      </w:r>
      <w:r w:rsidR="00EE339D">
        <w:rPr>
          <w:sz w:val="24"/>
        </w:rPr>
        <w:t xml:space="preserve"> further</w:t>
      </w:r>
      <w:r w:rsidR="00326A5A" w:rsidRPr="00FB2AE4">
        <w:rPr>
          <w:sz w:val="24"/>
        </w:rPr>
        <w:t xml:space="preserve"> in the adjusted models. This demonstrates most of the reduction in variance over time can be accounted for by covariates within the analysis. </w:t>
      </w:r>
    </w:p>
    <w:sectPr w:rsidR="009D62C7" w:rsidSect="001B4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DC71F" w14:textId="77777777" w:rsidR="00095025" w:rsidRDefault="00095025" w:rsidP="0061351E">
      <w:pPr>
        <w:spacing w:after="0" w:line="240" w:lineRule="auto"/>
      </w:pPr>
      <w:r>
        <w:separator/>
      </w:r>
    </w:p>
  </w:endnote>
  <w:endnote w:type="continuationSeparator" w:id="0">
    <w:p w14:paraId="0E5EF2C9" w14:textId="77777777" w:rsidR="00095025" w:rsidRDefault="00095025" w:rsidP="0061351E">
      <w:pPr>
        <w:spacing w:after="0" w:line="240" w:lineRule="auto"/>
      </w:pPr>
      <w:r>
        <w:continuationSeparator/>
      </w:r>
    </w:p>
  </w:endnote>
  <w:endnote w:type="continuationNotice" w:id="1">
    <w:p w14:paraId="427AD80B" w14:textId="77777777" w:rsidR="00095025" w:rsidRDefault="00095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61979"/>
      <w:docPartObj>
        <w:docPartGallery w:val="Page Numbers (Bottom of Page)"/>
        <w:docPartUnique/>
      </w:docPartObj>
    </w:sdtPr>
    <w:sdtEndPr>
      <w:rPr>
        <w:noProof/>
      </w:rPr>
    </w:sdtEndPr>
    <w:sdtContent>
      <w:p w14:paraId="1C101656" w14:textId="77777777" w:rsidR="00B63329" w:rsidRDefault="003C71B0">
        <w:pPr>
          <w:pStyle w:val="Footer"/>
        </w:pPr>
        <w:r>
          <w:rPr>
            <w:noProof/>
          </w:rPr>
          <w:fldChar w:fldCharType="begin"/>
        </w:r>
        <w:r w:rsidR="00B63329">
          <w:rPr>
            <w:noProof/>
          </w:rPr>
          <w:instrText xml:space="preserve"> PAGE   \* MERGEFORMAT </w:instrText>
        </w:r>
        <w:r>
          <w:rPr>
            <w:noProof/>
          </w:rPr>
          <w:fldChar w:fldCharType="separate"/>
        </w:r>
        <w:r w:rsidR="006C2971">
          <w:rPr>
            <w:noProof/>
          </w:rPr>
          <w:t>1</w:t>
        </w:r>
        <w:r>
          <w:rPr>
            <w:noProof/>
          </w:rPr>
          <w:fldChar w:fldCharType="end"/>
        </w:r>
      </w:p>
    </w:sdtContent>
  </w:sdt>
  <w:p w14:paraId="30359FA9" w14:textId="77777777" w:rsidR="00B63329" w:rsidRDefault="00B63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EF9D3" w14:textId="77777777" w:rsidR="00095025" w:rsidRDefault="00095025" w:rsidP="0061351E">
      <w:pPr>
        <w:spacing w:after="0" w:line="240" w:lineRule="auto"/>
      </w:pPr>
      <w:r>
        <w:separator/>
      </w:r>
    </w:p>
  </w:footnote>
  <w:footnote w:type="continuationSeparator" w:id="0">
    <w:p w14:paraId="5BB69BE4" w14:textId="77777777" w:rsidR="00095025" w:rsidRDefault="00095025" w:rsidP="0061351E">
      <w:pPr>
        <w:spacing w:after="0" w:line="240" w:lineRule="auto"/>
      </w:pPr>
      <w:r>
        <w:continuationSeparator/>
      </w:r>
    </w:p>
  </w:footnote>
  <w:footnote w:type="continuationNotice" w:id="1">
    <w:p w14:paraId="721F650F" w14:textId="77777777" w:rsidR="00095025" w:rsidRDefault="00095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3BE"/>
    <w:multiLevelType w:val="hybridMultilevel"/>
    <w:tmpl w:val="4538F45C"/>
    <w:lvl w:ilvl="0" w:tplc="E72C264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B918B1"/>
    <w:multiLevelType w:val="hybridMultilevel"/>
    <w:tmpl w:val="B500411A"/>
    <w:lvl w:ilvl="0" w:tplc="974A9C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163DED"/>
    <w:multiLevelType w:val="hybridMultilevel"/>
    <w:tmpl w:val="ADDC81EE"/>
    <w:lvl w:ilvl="0" w:tplc="E97E424C">
      <w:start w:val="1"/>
      <w:numFmt w:val="decimal"/>
      <w:lvlText w:val="%1-"/>
      <w:lvlJc w:val="left"/>
      <w:pPr>
        <w:ind w:left="720" w:hanging="360"/>
      </w:pPr>
      <w:rPr>
        <w:rFonts w:cstheme="minorBid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DD5D93"/>
    <w:multiLevelType w:val="hybridMultilevel"/>
    <w:tmpl w:val="D5189032"/>
    <w:lvl w:ilvl="0" w:tplc="E144918A">
      <w:start w:val="1"/>
      <w:numFmt w:val="decimal"/>
      <w:lvlText w:val="%1."/>
      <w:lvlJc w:val="left"/>
      <w:pPr>
        <w:ind w:left="720" w:hanging="360"/>
      </w:pPr>
      <w:rPr>
        <w:rFonts w:cstheme="minorBid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455FBA"/>
    <w:multiLevelType w:val="hybridMultilevel"/>
    <w:tmpl w:val="44642D0E"/>
    <w:lvl w:ilvl="0" w:tplc="EF36AE2C">
      <w:start w:val="1"/>
      <w:numFmt w:val="decimal"/>
      <w:lvlText w:val="%1."/>
      <w:lvlJc w:val="left"/>
      <w:pPr>
        <w:ind w:left="720" w:hanging="360"/>
      </w:pPr>
      <w:rPr>
        <w:rFonts w:cstheme="minorBid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CA5829"/>
    <w:multiLevelType w:val="hybridMultilevel"/>
    <w:tmpl w:val="C0168310"/>
    <w:lvl w:ilvl="0" w:tplc="333269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7A5269"/>
    <w:multiLevelType w:val="hybridMultilevel"/>
    <w:tmpl w:val="61B280BE"/>
    <w:lvl w:ilvl="0" w:tplc="DB4A63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Kidney Int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C575F"/>
    <w:rsid w:val="00001BD1"/>
    <w:rsid w:val="00004D90"/>
    <w:rsid w:val="000069C7"/>
    <w:rsid w:val="000075E3"/>
    <w:rsid w:val="00012FA8"/>
    <w:rsid w:val="0002281C"/>
    <w:rsid w:val="00023238"/>
    <w:rsid w:val="0002390B"/>
    <w:rsid w:val="00025A3B"/>
    <w:rsid w:val="00026E17"/>
    <w:rsid w:val="000277A0"/>
    <w:rsid w:val="00027EF2"/>
    <w:rsid w:val="000301AD"/>
    <w:rsid w:val="00031290"/>
    <w:rsid w:val="000318C5"/>
    <w:rsid w:val="00031D3D"/>
    <w:rsid w:val="00031E9D"/>
    <w:rsid w:val="0003282B"/>
    <w:rsid w:val="00033EB8"/>
    <w:rsid w:val="00034461"/>
    <w:rsid w:val="000344DE"/>
    <w:rsid w:val="000350E2"/>
    <w:rsid w:val="00037ACE"/>
    <w:rsid w:val="00040AA8"/>
    <w:rsid w:val="00041A3F"/>
    <w:rsid w:val="000427F3"/>
    <w:rsid w:val="0004420E"/>
    <w:rsid w:val="00045A44"/>
    <w:rsid w:val="00050CE6"/>
    <w:rsid w:val="000578FB"/>
    <w:rsid w:val="000623B3"/>
    <w:rsid w:val="00067E1A"/>
    <w:rsid w:val="000710E3"/>
    <w:rsid w:val="00072A77"/>
    <w:rsid w:val="00073046"/>
    <w:rsid w:val="0007322D"/>
    <w:rsid w:val="0007592C"/>
    <w:rsid w:val="00076B68"/>
    <w:rsid w:val="000827EA"/>
    <w:rsid w:val="00084352"/>
    <w:rsid w:val="000849C5"/>
    <w:rsid w:val="00090705"/>
    <w:rsid w:val="000911E6"/>
    <w:rsid w:val="0009218E"/>
    <w:rsid w:val="00092222"/>
    <w:rsid w:val="00094D25"/>
    <w:rsid w:val="00095025"/>
    <w:rsid w:val="00096D27"/>
    <w:rsid w:val="00097CBD"/>
    <w:rsid w:val="000A3146"/>
    <w:rsid w:val="000B1DC9"/>
    <w:rsid w:val="000B26CC"/>
    <w:rsid w:val="000B55A3"/>
    <w:rsid w:val="000C03DE"/>
    <w:rsid w:val="000C1C1D"/>
    <w:rsid w:val="000C26FE"/>
    <w:rsid w:val="000C4295"/>
    <w:rsid w:val="000C5835"/>
    <w:rsid w:val="000D3AFD"/>
    <w:rsid w:val="000D3EB2"/>
    <w:rsid w:val="000D79AE"/>
    <w:rsid w:val="000E0B1B"/>
    <w:rsid w:val="000E122D"/>
    <w:rsid w:val="000E2044"/>
    <w:rsid w:val="000E2144"/>
    <w:rsid w:val="000E2464"/>
    <w:rsid w:val="000E4B64"/>
    <w:rsid w:val="000E4FAD"/>
    <w:rsid w:val="000E53CF"/>
    <w:rsid w:val="000E6F46"/>
    <w:rsid w:val="000E71B7"/>
    <w:rsid w:val="000E7D2D"/>
    <w:rsid w:val="000F1A0C"/>
    <w:rsid w:val="000F2232"/>
    <w:rsid w:val="000F25E1"/>
    <w:rsid w:val="000F2CC4"/>
    <w:rsid w:val="000F484F"/>
    <w:rsid w:val="000F7347"/>
    <w:rsid w:val="000F73A2"/>
    <w:rsid w:val="000F752B"/>
    <w:rsid w:val="00100A88"/>
    <w:rsid w:val="001055E5"/>
    <w:rsid w:val="00105C7F"/>
    <w:rsid w:val="00106DBA"/>
    <w:rsid w:val="00107278"/>
    <w:rsid w:val="00110724"/>
    <w:rsid w:val="00110D2C"/>
    <w:rsid w:val="00111A31"/>
    <w:rsid w:val="00112141"/>
    <w:rsid w:val="00114714"/>
    <w:rsid w:val="00115715"/>
    <w:rsid w:val="001203BF"/>
    <w:rsid w:val="0012353D"/>
    <w:rsid w:val="00124E6C"/>
    <w:rsid w:val="001259D6"/>
    <w:rsid w:val="001262B1"/>
    <w:rsid w:val="0012745A"/>
    <w:rsid w:val="00131366"/>
    <w:rsid w:val="00132312"/>
    <w:rsid w:val="001338C8"/>
    <w:rsid w:val="001348E5"/>
    <w:rsid w:val="00135CE8"/>
    <w:rsid w:val="0013724F"/>
    <w:rsid w:val="00141650"/>
    <w:rsid w:val="00141F65"/>
    <w:rsid w:val="00144A7C"/>
    <w:rsid w:val="00147B3A"/>
    <w:rsid w:val="001536E4"/>
    <w:rsid w:val="00154942"/>
    <w:rsid w:val="0015560E"/>
    <w:rsid w:val="001556BA"/>
    <w:rsid w:val="00156398"/>
    <w:rsid w:val="00156553"/>
    <w:rsid w:val="00157B09"/>
    <w:rsid w:val="001618F7"/>
    <w:rsid w:val="00161CFF"/>
    <w:rsid w:val="00161FEC"/>
    <w:rsid w:val="00162A94"/>
    <w:rsid w:val="00162F12"/>
    <w:rsid w:val="00163F83"/>
    <w:rsid w:val="00164480"/>
    <w:rsid w:val="001650A3"/>
    <w:rsid w:val="001675DB"/>
    <w:rsid w:val="00167B5A"/>
    <w:rsid w:val="00167DC2"/>
    <w:rsid w:val="00170288"/>
    <w:rsid w:val="00171020"/>
    <w:rsid w:val="001712B4"/>
    <w:rsid w:val="00171996"/>
    <w:rsid w:val="00174029"/>
    <w:rsid w:val="0017519A"/>
    <w:rsid w:val="00176AA6"/>
    <w:rsid w:val="00176ECF"/>
    <w:rsid w:val="00177398"/>
    <w:rsid w:val="00177BAF"/>
    <w:rsid w:val="00177DD7"/>
    <w:rsid w:val="0018009B"/>
    <w:rsid w:val="00180658"/>
    <w:rsid w:val="001806F2"/>
    <w:rsid w:val="0018353A"/>
    <w:rsid w:val="0018482F"/>
    <w:rsid w:val="0018779F"/>
    <w:rsid w:val="00190CAE"/>
    <w:rsid w:val="00190FF3"/>
    <w:rsid w:val="001931A7"/>
    <w:rsid w:val="00194DF2"/>
    <w:rsid w:val="00195C12"/>
    <w:rsid w:val="00196CEF"/>
    <w:rsid w:val="00197707"/>
    <w:rsid w:val="001A0078"/>
    <w:rsid w:val="001A028B"/>
    <w:rsid w:val="001A1038"/>
    <w:rsid w:val="001A1207"/>
    <w:rsid w:val="001A22F4"/>
    <w:rsid w:val="001A2732"/>
    <w:rsid w:val="001A2FA9"/>
    <w:rsid w:val="001A46A8"/>
    <w:rsid w:val="001A61D5"/>
    <w:rsid w:val="001A6B1F"/>
    <w:rsid w:val="001B0DE7"/>
    <w:rsid w:val="001B1306"/>
    <w:rsid w:val="001B1DF7"/>
    <w:rsid w:val="001B2412"/>
    <w:rsid w:val="001B3CFA"/>
    <w:rsid w:val="001B3D1C"/>
    <w:rsid w:val="001B43D7"/>
    <w:rsid w:val="001B558D"/>
    <w:rsid w:val="001B76E9"/>
    <w:rsid w:val="001B7E29"/>
    <w:rsid w:val="001C19B7"/>
    <w:rsid w:val="001C38D9"/>
    <w:rsid w:val="001C608A"/>
    <w:rsid w:val="001C6390"/>
    <w:rsid w:val="001D26B6"/>
    <w:rsid w:val="001D2C3C"/>
    <w:rsid w:val="001E1BCA"/>
    <w:rsid w:val="001E38B9"/>
    <w:rsid w:val="001E5A68"/>
    <w:rsid w:val="001E782D"/>
    <w:rsid w:val="001F00DD"/>
    <w:rsid w:val="001F01F2"/>
    <w:rsid w:val="001F03A7"/>
    <w:rsid w:val="001F13FD"/>
    <w:rsid w:val="001F2831"/>
    <w:rsid w:val="001F71A8"/>
    <w:rsid w:val="002025C2"/>
    <w:rsid w:val="00204F28"/>
    <w:rsid w:val="00205E72"/>
    <w:rsid w:val="002066C6"/>
    <w:rsid w:val="002075A4"/>
    <w:rsid w:val="00207D65"/>
    <w:rsid w:val="00210F68"/>
    <w:rsid w:val="002111C4"/>
    <w:rsid w:val="00211D2F"/>
    <w:rsid w:val="00211E8A"/>
    <w:rsid w:val="0021340A"/>
    <w:rsid w:val="00221464"/>
    <w:rsid w:val="00221B3D"/>
    <w:rsid w:val="00221F07"/>
    <w:rsid w:val="00223270"/>
    <w:rsid w:val="00223C2E"/>
    <w:rsid w:val="00224AA5"/>
    <w:rsid w:val="00224FBB"/>
    <w:rsid w:val="00226F88"/>
    <w:rsid w:val="00230060"/>
    <w:rsid w:val="00230A84"/>
    <w:rsid w:val="00233B7A"/>
    <w:rsid w:val="00235137"/>
    <w:rsid w:val="00237940"/>
    <w:rsid w:val="0024085D"/>
    <w:rsid w:val="00244143"/>
    <w:rsid w:val="00244D2B"/>
    <w:rsid w:val="002450CF"/>
    <w:rsid w:val="002457B3"/>
    <w:rsid w:val="00245BFE"/>
    <w:rsid w:val="00247830"/>
    <w:rsid w:val="00247F04"/>
    <w:rsid w:val="002543EB"/>
    <w:rsid w:val="00255663"/>
    <w:rsid w:val="00255ECB"/>
    <w:rsid w:val="00256E5E"/>
    <w:rsid w:val="00256ECE"/>
    <w:rsid w:val="00264518"/>
    <w:rsid w:val="002653D8"/>
    <w:rsid w:val="002677ED"/>
    <w:rsid w:val="00267F8C"/>
    <w:rsid w:val="00271528"/>
    <w:rsid w:val="00272ADF"/>
    <w:rsid w:val="00273AC3"/>
    <w:rsid w:val="00276A11"/>
    <w:rsid w:val="00277414"/>
    <w:rsid w:val="00280F4F"/>
    <w:rsid w:val="002811D4"/>
    <w:rsid w:val="0028280D"/>
    <w:rsid w:val="00284F2D"/>
    <w:rsid w:val="0029089F"/>
    <w:rsid w:val="0029516E"/>
    <w:rsid w:val="00297AC7"/>
    <w:rsid w:val="002A0C1F"/>
    <w:rsid w:val="002A5CE0"/>
    <w:rsid w:val="002A6DAD"/>
    <w:rsid w:val="002B0EB9"/>
    <w:rsid w:val="002B2CD3"/>
    <w:rsid w:val="002B3B24"/>
    <w:rsid w:val="002B3D1D"/>
    <w:rsid w:val="002B6574"/>
    <w:rsid w:val="002C290B"/>
    <w:rsid w:val="002C3812"/>
    <w:rsid w:val="002C5197"/>
    <w:rsid w:val="002C7D86"/>
    <w:rsid w:val="002D0D11"/>
    <w:rsid w:val="002D13D7"/>
    <w:rsid w:val="002D1C2A"/>
    <w:rsid w:val="002D5EE1"/>
    <w:rsid w:val="002D7966"/>
    <w:rsid w:val="002E38C2"/>
    <w:rsid w:val="002E4191"/>
    <w:rsid w:val="002E45EC"/>
    <w:rsid w:val="002E6E37"/>
    <w:rsid w:val="002F006F"/>
    <w:rsid w:val="002F05F7"/>
    <w:rsid w:val="002F4442"/>
    <w:rsid w:val="002F698C"/>
    <w:rsid w:val="00300784"/>
    <w:rsid w:val="00302EAE"/>
    <w:rsid w:val="00304821"/>
    <w:rsid w:val="00304985"/>
    <w:rsid w:val="00306745"/>
    <w:rsid w:val="00313574"/>
    <w:rsid w:val="003142DF"/>
    <w:rsid w:val="003142EF"/>
    <w:rsid w:val="003152A8"/>
    <w:rsid w:val="00315B1C"/>
    <w:rsid w:val="003211A2"/>
    <w:rsid w:val="00322D1E"/>
    <w:rsid w:val="003246BE"/>
    <w:rsid w:val="00324C24"/>
    <w:rsid w:val="00325475"/>
    <w:rsid w:val="0032566D"/>
    <w:rsid w:val="0032631E"/>
    <w:rsid w:val="00326A5A"/>
    <w:rsid w:val="003302FE"/>
    <w:rsid w:val="00330C78"/>
    <w:rsid w:val="003338A6"/>
    <w:rsid w:val="00334410"/>
    <w:rsid w:val="0033569D"/>
    <w:rsid w:val="00335A01"/>
    <w:rsid w:val="00337D63"/>
    <w:rsid w:val="003438DF"/>
    <w:rsid w:val="00343E3E"/>
    <w:rsid w:val="00346C91"/>
    <w:rsid w:val="003472C3"/>
    <w:rsid w:val="0035079F"/>
    <w:rsid w:val="00351D01"/>
    <w:rsid w:val="003527F9"/>
    <w:rsid w:val="00353410"/>
    <w:rsid w:val="0035456F"/>
    <w:rsid w:val="0035763B"/>
    <w:rsid w:val="00362377"/>
    <w:rsid w:val="00363142"/>
    <w:rsid w:val="00364FBB"/>
    <w:rsid w:val="00365979"/>
    <w:rsid w:val="00367CE7"/>
    <w:rsid w:val="003721B8"/>
    <w:rsid w:val="00374C1A"/>
    <w:rsid w:val="00377586"/>
    <w:rsid w:val="00380039"/>
    <w:rsid w:val="003808FB"/>
    <w:rsid w:val="00380C46"/>
    <w:rsid w:val="00381D7E"/>
    <w:rsid w:val="00382A9A"/>
    <w:rsid w:val="00382BF7"/>
    <w:rsid w:val="00384297"/>
    <w:rsid w:val="003903A9"/>
    <w:rsid w:val="0039122B"/>
    <w:rsid w:val="00391789"/>
    <w:rsid w:val="0039569C"/>
    <w:rsid w:val="00396902"/>
    <w:rsid w:val="00396A9F"/>
    <w:rsid w:val="003A0F13"/>
    <w:rsid w:val="003A2178"/>
    <w:rsid w:val="003A339B"/>
    <w:rsid w:val="003A5053"/>
    <w:rsid w:val="003A6F75"/>
    <w:rsid w:val="003A7E7C"/>
    <w:rsid w:val="003B0404"/>
    <w:rsid w:val="003B296E"/>
    <w:rsid w:val="003B4602"/>
    <w:rsid w:val="003B4728"/>
    <w:rsid w:val="003B5115"/>
    <w:rsid w:val="003B520A"/>
    <w:rsid w:val="003B7E85"/>
    <w:rsid w:val="003C104E"/>
    <w:rsid w:val="003C5648"/>
    <w:rsid w:val="003C5AB2"/>
    <w:rsid w:val="003C71B0"/>
    <w:rsid w:val="003D53FD"/>
    <w:rsid w:val="003D66C5"/>
    <w:rsid w:val="003D77BC"/>
    <w:rsid w:val="003D7E63"/>
    <w:rsid w:val="003E25D3"/>
    <w:rsid w:val="003E42DA"/>
    <w:rsid w:val="003E4FA9"/>
    <w:rsid w:val="003E599E"/>
    <w:rsid w:val="003E5CD5"/>
    <w:rsid w:val="003E758A"/>
    <w:rsid w:val="003F0251"/>
    <w:rsid w:val="003F0F4F"/>
    <w:rsid w:val="003F7DA5"/>
    <w:rsid w:val="0040046E"/>
    <w:rsid w:val="00400B7F"/>
    <w:rsid w:val="00402F74"/>
    <w:rsid w:val="00404739"/>
    <w:rsid w:val="00407AA2"/>
    <w:rsid w:val="00411FA9"/>
    <w:rsid w:val="004123E4"/>
    <w:rsid w:val="00415CAC"/>
    <w:rsid w:val="00423F2C"/>
    <w:rsid w:val="00424B52"/>
    <w:rsid w:val="00425E79"/>
    <w:rsid w:val="004261DE"/>
    <w:rsid w:val="0042785C"/>
    <w:rsid w:val="004279D4"/>
    <w:rsid w:val="00430823"/>
    <w:rsid w:val="00435A0A"/>
    <w:rsid w:val="0043731C"/>
    <w:rsid w:val="004378CD"/>
    <w:rsid w:val="004421EC"/>
    <w:rsid w:val="00442AB1"/>
    <w:rsid w:val="00442CBF"/>
    <w:rsid w:val="004432AF"/>
    <w:rsid w:val="0044453A"/>
    <w:rsid w:val="0044481C"/>
    <w:rsid w:val="00445601"/>
    <w:rsid w:val="00446E0A"/>
    <w:rsid w:val="00447019"/>
    <w:rsid w:val="00447527"/>
    <w:rsid w:val="00447D12"/>
    <w:rsid w:val="00451763"/>
    <w:rsid w:val="00451B45"/>
    <w:rsid w:val="00454F7D"/>
    <w:rsid w:val="004603F1"/>
    <w:rsid w:val="00465864"/>
    <w:rsid w:val="0046799E"/>
    <w:rsid w:val="00470886"/>
    <w:rsid w:val="0047210E"/>
    <w:rsid w:val="00472A90"/>
    <w:rsid w:val="00474CE6"/>
    <w:rsid w:val="00480397"/>
    <w:rsid w:val="00480472"/>
    <w:rsid w:val="0048068E"/>
    <w:rsid w:val="00480BAB"/>
    <w:rsid w:val="00481C1F"/>
    <w:rsid w:val="00484FD6"/>
    <w:rsid w:val="004907DE"/>
    <w:rsid w:val="0049137B"/>
    <w:rsid w:val="00492382"/>
    <w:rsid w:val="0049300C"/>
    <w:rsid w:val="00494A92"/>
    <w:rsid w:val="00494CDE"/>
    <w:rsid w:val="00495E92"/>
    <w:rsid w:val="004A4694"/>
    <w:rsid w:val="004A4C0D"/>
    <w:rsid w:val="004A541E"/>
    <w:rsid w:val="004B2209"/>
    <w:rsid w:val="004B33C3"/>
    <w:rsid w:val="004B39B8"/>
    <w:rsid w:val="004B3F31"/>
    <w:rsid w:val="004B41FF"/>
    <w:rsid w:val="004B59FF"/>
    <w:rsid w:val="004B6335"/>
    <w:rsid w:val="004B647C"/>
    <w:rsid w:val="004C0961"/>
    <w:rsid w:val="004C2956"/>
    <w:rsid w:val="004D06DA"/>
    <w:rsid w:val="004D1F55"/>
    <w:rsid w:val="004D2A48"/>
    <w:rsid w:val="004D53D6"/>
    <w:rsid w:val="004D58DF"/>
    <w:rsid w:val="004D5E6F"/>
    <w:rsid w:val="004D651E"/>
    <w:rsid w:val="004E2D6C"/>
    <w:rsid w:val="004E2F57"/>
    <w:rsid w:val="004E3F74"/>
    <w:rsid w:val="004F13E4"/>
    <w:rsid w:val="004F1F10"/>
    <w:rsid w:val="004F27E6"/>
    <w:rsid w:val="004F4100"/>
    <w:rsid w:val="004F4194"/>
    <w:rsid w:val="004F6141"/>
    <w:rsid w:val="00502A68"/>
    <w:rsid w:val="00504D3A"/>
    <w:rsid w:val="00504DDE"/>
    <w:rsid w:val="005060C3"/>
    <w:rsid w:val="00511447"/>
    <w:rsid w:val="00514D28"/>
    <w:rsid w:val="005151BC"/>
    <w:rsid w:val="00515395"/>
    <w:rsid w:val="005155B3"/>
    <w:rsid w:val="0052172A"/>
    <w:rsid w:val="00522912"/>
    <w:rsid w:val="005234A6"/>
    <w:rsid w:val="00525524"/>
    <w:rsid w:val="00525C3A"/>
    <w:rsid w:val="00526AC6"/>
    <w:rsid w:val="00526BF4"/>
    <w:rsid w:val="005270D1"/>
    <w:rsid w:val="00527289"/>
    <w:rsid w:val="005300FD"/>
    <w:rsid w:val="00531101"/>
    <w:rsid w:val="00532395"/>
    <w:rsid w:val="00533FEA"/>
    <w:rsid w:val="00534BFF"/>
    <w:rsid w:val="00535A3F"/>
    <w:rsid w:val="00537C07"/>
    <w:rsid w:val="005414D9"/>
    <w:rsid w:val="00543DF6"/>
    <w:rsid w:val="0054425E"/>
    <w:rsid w:val="0054484C"/>
    <w:rsid w:val="00546F2C"/>
    <w:rsid w:val="00547FEB"/>
    <w:rsid w:val="005503B2"/>
    <w:rsid w:val="005507EB"/>
    <w:rsid w:val="00550C2C"/>
    <w:rsid w:val="00552118"/>
    <w:rsid w:val="00554048"/>
    <w:rsid w:val="00554263"/>
    <w:rsid w:val="00554CBB"/>
    <w:rsid w:val="00555CEF"/>
    <w:rsid w:val="005564EB"/>
    <w:rsid w:val="00556BB3"/>
    <w:rsid w:val="00560DEB"/>
    <w:rsid w:val="00561933"/>
    <w:rsid w:val="005657CC"/>
    <w:rsid w:val="00565956"/>
    <w:rsid w:val="00567388"/>
    <w:rsid w:val="00570724"/>
    <w:rsid w:val="0057149C"/>
    <w:rsid w:val="00573AA7"/>
    <w:rsid w:val="00573CB8"/>
    <w:rsid w:val="00575681"/>
    <w:rsid w:val="00575EB8"/>
    <w:rsid w:val="00576E8C"/>
    <w:rsid w:val="00577333"/>
    <w:rsid w:val="00580583"/>
    <w:rsid w:val="005811F5"/>
    <w:rsid w:val="00583FA3"/>
    <w:rsid w:val="0059070E"/>
    <w:rsid w:val="0059341A"/>
    <w:rsid w:val="00596617"/>
    <w:rsid w:val="005A0F69"/>
    <w:rsid w:val="005A33EB"/>
    <w:rsid w:val="005A4A9D"/>
    <w:rsid w:val="005A4DCC"/>
    <w:rsid w:val="005A6780"/>
    <w:rsid w:val="005A75C7"/>
    <w:rsid w:val="005B155F"/>
    <w:rsid w:val="005B2699"/>
    <w:rsid w:val="005B2BD4"/>
    <w:rsid w:val="005B663C"/>
    <w:rsid w:val="005C0891"/>
    <w:rsid w:val="005C1029"/>
    <w:rsid w:val="005C1A23"/>
    <w:rsid w:val="005C23D8"/>
    <w:rsid w:val="005C25B0"/>
    <w:rsid w:val="005C3653"/>
    <w:rsid w:val="005C523D"/>
    <w:rsid w:val="005C5C43"/>
    <w:rsid w:val="005C6973"/>
    <w:rsid w:val="005C697F"/>
    <w:rsid w:val="005D0B09"/>
    <w:rsid w:val="005D0E6E"/>
    <w:rsid w:val="005D12B4"/>
    <w:rsid w:val="005D39D8"/>
    <w:rsid w:val="005D3B0A"/>
    <w:rsid w:val="005D3B48"/>
    <w:rsid w:val="005D4E67"/>
    <w:rsid w:val="005D54C8"/>
    <w:rsid w:val="005D5D80"/>
    <w:rsid w:val="005D68F0"/>
    <w:rsid w:val="005D753B"/>
    <w:rsid w:val="005D75AF"/>
    <w:rsid w:val="005D7F33"/>
    <w:rsid w:val="005E14FF"/>
    <w:rsid w:val="005E4050"/>
    <w:rsid w:val="005E7311"/>
    <w:rsid w:val="005F193E"/>
    <w:rsid w:val="005F22A3"/>
    <w:rsid w:val="005F2ADB"/>
    <w:rsid w:val="005F35D7"/>
    <w:rsid w:val="005F43D7"/>
    <w:rsid w:val="005F4863"/>
    <w:rsid w:val="005F74E3"/>
    <w:rsid w:val="005F7F6D"/>
    <w:rsid w:val="0060080F"/>
    <w:rsid w:val="006032A4"/>
    <w:rsid w:val="00605604"/>
    <w:rsid w:val="006057EB"/>
    <w:rsid w:val="0060792F"/>
    <w:rsid w:val="0061351E"/>
    <w:rsid w:val="00614880"/>
    <w:rsid w:val="00615789"/>
    <w:rsid w:val="00617357"/>
    <w:rsid w:val="00621127"/>
    <w:rsid w:val="006215E3"/>
    <w:rsid w:val="00622078"/>
    <w:rsid w:val="0062269E"/>
    <w:rsid w:val="00624535"/>
    <w:rsid w:val="006245D9"/>
    <w:rsid w:val="00624E18"/>
    <w:rsid w:val="00625E16"/>
    <w:rsid w:val="00626107"/>
    <w:rsid w:val="006269B4"/>
    <w:rsid w:val="00630E0F"/>
    <w:rsid w:val="0063158B"/>
    <w:rsid w:val="00631B6A"/>
    <w:rsid w:val="006330A2"/>
    <w:rsid w:val="006330BF"/>
    <w:rsid w:val="0063370F"/>
    <w:rsid w:val="00633F0E"/>
    <w:rsid w:val="006344D3"/>
    <w:rsid w:val="0063770B"/>
    <w:rsid w:val="006377E8"/>
    <w:rsid w:val="00640415"/>
    <w:rsid w:val="00640BB3"/>
    <w:rsid w:val="00642EB9"/>
    <w:rsid w:val="00643C62"/>
    <w:rsid w:val="00644865"/>
    <w:rsid w:val="00646411"/>
    <w:rsid w:val="00650BAA"/>
    <w:rsid w:val="00650D7D"/>
    <w:rsid w:val="006520D8"/>
    <w:rsid w:val="006531E1"/>
    <w:rsid w:val="0065406F"/>
    <w:rsid w:val="0065458A"/>
    <w:rsid w:val="0065506F"/>
    <w:rsid w:val="006550E6"/>
    <w:rsid w:val="006567C9"/>
    <w:rsid w:val="00662190"/>
    <w:rsid w:val="0066287E"/>
    <w:rsid w:val="00666612"/>
    <w:rsid w:val="006666E4"/>
    <w:rsid w:val="00666BB3"/>
    <w:rsid w:val="0067532E"/>
    <w:rsid w:val="00684A9E"/>
    <w:rsid w:val="00685480"/>
    <w:rsid w:val="00690D68"/>
    <w:rsid w:val="006934A7"/>
    <w:rsid w:val="00694827"/>
    <w:rsid w:val="00694DB6"/>
    <w:rsid w:val="00695078"/>
    <w:rsid w:val="00695BDB"/>
    <w:rsid w:val="00696602"/>
    <w:rsid w:val="006A1359"/>
    <w:rsid w:val="006A1B7E"/>
    <w:rsid w:val="006A6464"/>
    <w:rsid w:val="006B082B"/>
    <w:rsid w:val="006B278F"/>
    <w:rsid w:val="006B5371"/>
    <w:rsid w:val="006B5C4B"/>
    <w:rsid w:val="006C0999"/>
    <w:rsid w:val="006C17CE"/>
    <w:rsid w:val="006C2971"/>
    <w:rsid w:val="006C2D5A"/>
    <w:rsid w:val="006C2E8F"/>
    <w:rsid w:val="006C491B"/>
    <w:rsid w:val="006C57A8"/>
    <w:rsid w:val="006C7CD9"/>
    <w:rsid w:val="006D1E53"/>
    <w:rsid w:val="006D32E5"/>
    <w:rsid w:val="006D3569"/>
    <w:rsid w:val="006D43CA"/>
    <w:rsid w:val="006E00F9"/>
    <w:rsid w:val="006E03F8"/>
    <w:rsid w:val="006E1F3C"/>
    <w:rsid w:val="006E21B1"/>
    <w:rsid w:val="006E4AF6"/>
    <w:rsid w:val="006E5ACC"/>
    <w:rsid w:val="006E650D"/>
    <w:rsid w:val="006F0D19"/>
    <w:rsid w:val="006F1870"/>
    <w:rsid w:val="006F191E"/>
    <w:rsid w:val="006F35ED"/>
    <w:rsid w:val="006F3888"/>
    <w:rsid w:val="006F7F59"/>
    <w:rsid w:val="0070065C"/>
    <w:rsid w:val="00703832"/>
    <w:rsid w:val="0070423A"/>
    <w:rsid w:val="00704B2D"/>
    <w:rsid w:val="007062AF"/>
    <w:rsid w:val="00706F52"/>
    <w:rsid w:val="007113FE"/>
    <w:rsid w:val="007137A3"/>
    <w:rsid w:val="007140C5"/>
    <w:rsid w:val="0071605F"/>
    <w:rsid w:val="00716A58"/>
    <w:rsid w:val="00716BC2"/>
    <w:rsid w:val="007175E6"/>
    <w:rsid w:val="00717ECC"/>
    <w:rsid w:val="00720911"/>
    <w:rsid w:val="00724752"/>
    <w:rsid w:val="00727F17"/>
    <w:rsid w:val="0073462C"/>
    <w:rsid w:val="00741912"/>
    <w:rsid w:val="00742538"/>
    <w:rsid w:val="00744F35"/>
    <w:rsid w:val="00752EB1"/>
    <w:rsid w:val="00753B7F"/>
    <w:rsid w:val="00754316"/>
    <w:rsid w:val="00756DB7"/>
    <w:rsid w:val="0075756B"/>
    <w:rsid w:val="007579DB"/>
    <w:rsid w:val="0076053F"/>
    <w:rsid w:val="007614CB"/>
    <w:rsid w:val="00762AD1"/>
    <w:rsid w:val="007643C4"/>
    <w:rsid w:val="0076664F"/>
    <w:rsid w:val="00766EC1"/>
    <w:rsid w:val="00770824"/>
    <w:rsid w:val="00771579"/>
    <w:rsid w:val="00773E53"/>
    <w:rsid w:val="00780341"/>
    <w:rsid w:val="00780593"/>
    <w:rsid w:val="007829E1"/>
    <w:rsid w:val="00783854"/>
    <w:rsid w:val="00784F3B"/>
    <w:rsid w:val="00786378"/>
    <w:rsid w:val="00786382"/>
    <w:rsid w:val="00786A94"/>
    <w:rsid w:val="00791AFD"/>
    <w:rsid w:val="007929CB"/>
    <w:rsid w:val="00792A66"/>
    <w:rsid w:val="00794F80"/>
    <w:rsid w:val="0079578F"/>
    <w:rsid w:val="00795816"/>
    <w:rsid w:val="007A3828"/>
    <w:rsid w:val="007A4429"/>
    <w:rsid w:val="007A50C7"/>
    <w:rsid w:val="007A5DD9"/>
    <w:rsid w:val="007B10A9"/>
    <w:rsid w:val="007B1177"/>
    <w:rsid w:val="007B244C"/>
    <w:rsid w:val="007B2746"/>
    <w:rsid w:val="007B3040"/>
    <w:rsid w:val="007B4ADF"/>
    <w:rsid w:val="007B7636"/>
    <w:rsid w:val="007C0C1A"/>
    <w:rsid w:val="007C12D4"/>
    <w:rsid w:val="007C331A"/>
    <w:rsid w:val="007C72E4"/>
    <w:rsid w:val="007C74C3"/>
    <w:rsid w:val="007D0BAC"/>
    <w:rsid w:val="007D1058"/>
    <w:rsid w:val="007D2909"/>
    <w:rsid w:val="007D5D6D"/>
    <w:rsid w:val="007D68B7"/>
    <w:rsid w:val="007E190E"/>
    <w:rsid w:val="007E3CF5"/>
    <w:rsid w:val="007E3EDA"/>
    <w:rsid w:val="007E3F4D"/>
    <w:rsid w:val="007E5CB4"/>
    <w:rsid w:val="007E6CAB"/>
    <w:rsid w:val="007E7E4B"/>
    <w:rsid w:val="007F166F"/>
    <w:rsid w:val="007F47CB"/>
    <w:rsid w:val="007F4882"/>
    <w:rsid w:val="007F66AE"/>
    <w:rsid w:val="007F7ADF"/>
    <w:rsid w:val="00800563"/>
    <w:rsid w:val="00800FFE"/>
    <w:rsid w:val="00801590"/>
    <w:rsid w:val="008049D5"/>
    <w:rsid w:val="00805D82"/>
    <w:rsid w:val="00806F24"/>
    <w:rsid w:val="00807294"/>
    <w:rsid w:val="00810944"/>
    <w:rsid w:val="008145CE"/>
    <w:rsid w:val="008145DD"/>
    <w:rsid w:val="00814F82"/>
    <w:rsid w:val="00815D8F"/>
    <w:rsid w:val="0081663A"/>
    <w:rsid w:val="008171AB"/>
    <w:rsid w:val="00822C7F"/>
    <w:rsid w:val="00824108"/>
    <w:rsid w:val="00826CFD"/>
    <w:rsid w:val="00827875"/>
    <w:rsid w:val="00832D01"/>
    <w:rsid w:val="008332F8"/>
    <w:rsid w:val="00834611"/>
    <w:rsid w:val="00834650"/>
    <w:rsid w:val="00840A7A"/>
    <w:rsid w:val="008449E7"/>
    <w:rsid w:val="00844AC3"/>
    <w:rsid w:val="00844F45"/>
    <w:rsid w:val="00845B6E"/>
    <w:rsid w:val="00854903"/>
    <w:rsid w:val="0085640D"/>
    <w:rsid w:val="00857C8F"/>
    <w:rsid w:val="00860727"/>
    <w:rsid w:val="00860F7D"/>
    <w:rsid w:val="00861402"/>
    <w:rsid w:val="008628FF"/>
    <w:rsid w:val="008637B7"/>
    <w:rsid w:val="00866520"/>
    <w:rsid w:val="00867170"/>
    <w:rsid w:val="0087134B"/>
    <w:rsid w:val="0087179D"/>
    <w:rsid w:val="0087272D"/>
    <w:rsid w:val="00872C65"/>
    <w:rsid w:val="00872FB2"/>
    <w:rsid w:val="00874365"/>
    <w:rsid w:val="00874AF7"/>
    <w:rsid w:val="008752C0"/>
    <w:rsid w:val="008771A1"/>
    <w:rsid w:val="008833BB"/>
    <w:rsid w:val="00893086"/>
    <w:rsid w:val="00894671"/>
    <w:rsid w:val="008952C9"/>
    <w:rsid w:val="008972CB"/>
    <w:rsid w:val="008A0017"/>
    <w:rsid w:val="008A0985"/>
    <w:rsid w:val="008A2C28"/>
    <w:rsid w:val="008A6B50"/>
    <w:rsid w:val="008B226B"/>
    <w:rsid w:val="008B273B"/>
    <w:rsid w:val="008B2E23"/>
    <w:rsid w:val="008B4FAA"/>
    <w:rsid w:val="008B521D"/>
    <w:rsid w:val="008C0F29"/>
    <w:rsid w:val="008C20E6"/>
    <w:rsid w:val="008C32AF"/>
    <w:rsid w:val="008C3CE5"/>
    <w:rsid w:val="008C40CB"/>
    <w:rsid w:val="008C4EF8"/>
    <w:rsid w:val="008D3D1D"/>
    <w:rsid w:val="008D3F95"/>
    <w:rsid w:val="008E1BCB"/>
    <w:rsid w:val="008E265F"/>
    <w:rsid w:val="008E34B6"/>
    <w:rsid w:val="008E60CA"/>
    <w:rsid w:val="008E761E"/>
    <w:rsid w:val="008E7F60"/>
    <w:rsid w:val="008F5E89"/>
    <w:rsid w:val="009017B7"/>
    <w:rsid w:val="00901B84"/>
    <w:rsid w:val="00904B6D"/>
    <w:rsid w:val="00905E51"/>
    <w:rsid w:val="00906B89"/>
    <w:rsid w:val="00907140"/>
    <w:rsid w:val="00910F0B"/>
    <w:rsid w:val="009110ED"/>
    <w:rsid w:val="009110FD"/>
    <w:rsid w:val="0091266F"/>
    <w:rsid w:val="009127FD"/>
    <w:rsid w:val="00914303"/>
    <w:rsid w:val="009148D7"/>
    <w:rsid w:val="00917448"/>
    <w:rsid w:val="00920CC6"/>
    <w:rsid w:val="00922537"/>
    <w:rsid w:val="009227D1"/>
    <w:rsid w:val="009234BD"/>
    <w:rsid w:val="00924108"/>
    <w:rsid w:val="00926BAD"/>
    <w:rsid w:val="00935EEB"/>
    <w:rsid w:val="00940F2B"/>
    <w:rsid w:val="009412E0"/>
    <w:rsid w:val="009415BC"/>
    <w:rsid w:val="00941B0B"/>
    <w:rsid w:val="00942322"/>
    <w:rsid w:val="00944EE4"/>
    <w:rsid w:val="00946C28"/>
    <w:rsid w:val="0094772F"/>
    <w:rsid w:val="00950853"/>
    <w:rsid w:val="00951742"/>
    <w:rsid w:val="0095276D"/>
    <w:rsid w:val="00952DF2"/>
    <w:rsid w:val="00955517"/>
    <w:rsid w:val="009579AA"/>
    <w:rsid w:val="009611F5"/>
    <w:rsid w:val="009617AE"/>
    <w:rsid w:val="009627F2"/>
    <w:rsid w:val="00962BFD"/>
    <w:rsid w:val="00963A76"/>
    <w:rsid w:val="00966826"/>
    <w:rsid w:val="00967F95"/>
    <w:rsid w:val="00970594"/>
    <w:rsid w:val="00973571"/>
    <w:rsid w:val="009745FF"/>
    <w:rsid w:val="00974B02"/>
    <w:rsid w:val="009757E8"/>
    <w:rsid w:val="00980144"/>
    <w:rsid w:val="00980B1A"/>
    <w:rsid w:val="00983A69"/>
    <w:rsid w:val="00985080"/>
    <w:rsid w:val="00985551"/>
    <w:rsid w:val="009920DC"/>
    <w:rsid w:val="00994FE4"/>
    <w:rsid w:val="00997326"/>
    <w:rsid w:val="0099763C"/>
    <w:rsid w:val="00997955"/>
    <w:rsid w:val="009A0205"/>
    <w:rsid w:val="009A7F2A"/>
    <w:rsid w:val="009B0AC7"/>
    <w:rsid w:val="009B1EC1"/>
    <w:rsid w:val="009B2B77"/>
    <w:rsid w:val="009B2F3A"/>
    <w:rsid w:val="009B2F92"/>
    <w:rsid w:val="009B4048"/>
    <w:rsid w:val="009B7067"/>
    <w:rsid w:val="009C0506"/>
    <w:rsid w:val="009C12F4"/>
    <w:rsid w:val="009C2742"/>
    <w:rsid w:val="009C3A55"/>
    <w:rsid w:val="009D0AF0"/>
    <w:rsid w:val="009D20D8"/>
    <w:rsid w:val="009D43D2"/>
    <w:rsid w:val="009D5C49"/>
    <w:rsid w:val="009D62C7"/>
    <w:rsid w:val="009D69B9"/>
    <w:rsid w:val="009E14B0"/>
    <w:rsid w:val="009E4AC7"/>
    <w:rsid w:val="009E51EB"/>
    <w:rsid w:val="009E5A44"/>
    <w:rsid w:val="009E5DD0"/>
    <w:rsid w:val="009E72EE"/>
    <w:rsid w:val="009F14BB"/>
    <w:rsid w:val="009F5902"/>
    <w:rsid w:val="00A00788"/>
    <w:rsid w:val="00A01560"/>
    <w:rsid w:val="00A03DBC"/>
    <w:rsid w:val="00A10105"/>
    <w:rsid w:val="00A1173D"/>
    <w:rsid w:val="00A14027"/>
    <w:rsid w:val="00A2038A"/>
    <w:rsid w:val="00A217A1"/>
    <w:rsid w:val="00A21CC7"/>
    <w:rsid w:val="00A243BB"/>
    <w:rsid w:val="00A26AA2"/>
    <w:rsid w:val="00A26F57"/>
    <w:rsid w:val="00A30ABD"/>
    <w:rsid w:val="00A316BC"/>
    <w:rsid w:val="00A31FA6"/>
    <w:rsid w:val="00A32593"/>
    <w:rsid w:val="00A3493B"/>
    <w:rsid w:val="00A360A3"/>
    <w:rsid w:val="00A362B7"/>
    <w:rsid w:val="00A362D2"/>
    <w:rsid w:val="00A36A25"/>
    <w:rsid w:val="00A41411"/>
    <w:rsid w:val="00A434B6"/>
    <w:rsid w:val="00A46A54"/>
    <w:rsid w:val="00A475EA"/>
    <w:rsid w:val="00A50DA4"/>
    <w:rsid w:val="00A5332A"/>
    <w:rsid w:val="00A53FC4"/>
    <w:rsid w:val="00A55034"/>
    <w:rsid w:val="00A55D84"/>
    <w:rsid w:val="00A5768F"/>
    <w:rsid w:val="00A60D51"/>
    <w:rsid w:val="00A6318E"/>
    <w:rsid w:val="00A6326D"/>
    <w:rsid w:val="00A63B78"/>
    <w:rsid w:val="00A63CF8"/>
    <w:rsid w:val="00A6508D"/>
    <w:rsid w:val="00A66357"/>
    <w:rsid w:val="00A72276"/>
    <w:rsid w:val="00A73825"/>
    <w:rsid w:val="00A743B0"/>
    <w:rsid w:val="00A770A2"/>
    <w:rsid w:val="00A77226"/>
    <w:rsid w:val="00A80E37"/>
    <w:rsid w:val="00A80F33"/>
    <w:rsid w:val="00A83AB4"/>
    <w:rsid w:val="00A83F4D"/>
    <w:rsid w:val="00A844CC"/>
    <w:rsid w:val="00A844CE"/>
    <w:rsid w:val="00A859E9"/>
    <w:rsid w:val="00A92F82"/>
    <w:rsid w:val="00A94F77"/>
    <w:rsid w:val="00A971BB"/>
    <w:rsid w:val="00AA034B"/>
    <w:rsid w:val="00AA03A0"/>
    <w:rsid w:val="00AA0EB5"/>
    <w:rsid w:val="00AA54DD"/>
    <w:rsid w:val="00AA5A85"/>
    <w:rsid w:val="00AA7C10"/>
    <w:rsid w:val="00AB091E"/>
    <w:rsid w:val="00AB1CFD"/>
    <w:rsid w:val="00AB2E50"/>
    <w:rsid w:val="00AB4605"/>
    <w:rsid w:val="00AB749A"/>
    <w:rsid w:val="00AB7744"/>
    <w:rsid w:val="00AC0C8D"/>
    <w:rsid w:val="00AC43D4"/>
    <w:rsid w:val="00AC636A"/>
    <w:rsid w:val="00AC7311"/>
    <w:rsid w:val="00AC7D4D"/>
    <w:rsid w:val="00AD21FB"/>
    <w:rsid w:val="00AD4ABE"/>
    <w:rsid w:val="00AE3623"/>
    <w:rsid w:val="00AE4263"/>
    <w:rsid w:val="00AE4BD0"/>
    <w:rsid w:val="00AE5003"/>
    <w:rsid w:val="00AE5BA0"/>
    <w:rsid w:val="00AE5E1D"/>
    <w:rsid w:val="00AE7BEE"/>
    <w:rsid w:val="00AE7DDE"/>
    <w:rsid w:val="00AF08D6"/>
    <w:rsid w:val="00AF0D5F"/>
    <w:rsid w:val="00AF195B"/>
    <w:rsid w:val="00AF2DFB"/>
    <w:rsid w:val="00AF4042"/>
    <w:rsid w:val="00AF4EB8"/>
    <w:rsid w:val="00AF50E1"/>
    <w:rsid w:val="00AF6CCB"/>
    <w:rsid w:val="00B049E2"/>
    <w:rsid w:val="00B04DA4"/>
    <w:rsid w:val="00B0617A"/>
    <w:rsid w:val="00B0697C"/>
    <w:rsid w:val="00B06ECE"/>
    <w:rsid w:val="00B10AAA"/>
    <w:rsid w:val="00B10EFB"/>
    <w:rsid w:val="00B11B9A"/>
    <w:rsid w:val="00B1539E"/>
    <w:rsid w:val="00B163EF"/>
    <w:rsid w:val="00B20366"/>
    <w:rsid w:val="00B206BC"/>
    <w:rsid w:val="00B21DA7"/>
    <w:rsid w:val="00B22772"/>
    <w:rsid w:val="00B3085C"/>
    <w:rsid w:val="00B30C44"/>
    <w:rsid w:val="00B3111F"/>
    <w:rsid w:val="00B339D4"/>
    <w:rsid w:val="00B365DF"/>
    <w:rsid w:val="00B41A33"/>
    <w:rsid w:val="00B41BFB"/>
    <w:rsid w:val="00B42783"/>
    <w:rsid w:val="00B43854"/>
    <w:rsid w:val="00B44AC5"/>
    <w:rsid w:val="00B44F32"/>
    <w:rsid w:val="00B478C5"/>
    <w:rsid w:val="00B5104C"/>
    <w:rsid w:val="00B52202"/>
    <w:rsid w:val="00B52BB4"/>
    <w:rsid w:val="00B5321C"/>
    <w:rsid w:val="00B5424B"/>
    <w:rsid w:val="00B54ACE"/>
    <w:rsid w:val="00B5542E"/>
    <w:rsid w:val="00B55F65"/>
    <w:rsid w:val="00B60F64"/>
    <w:rsid w:val="00B621F0"/>
    <w:rsid w:val="00B63329"/>
    <w:rsid w:val="00B644C9"/>
    <w:rsid w:val="00B65672"/>
    <w:rsid w:val="00B65D84"/>
    <w:rsid w:val="00B71A04"/>
    <w:rsid w:val="00B71A35"/>
    <w:rsid w:val="00B72061"/>
    <w:rsid w:val="00B748CC"/>
    <w:rsid w:val="00B74F1E"/>
    <w:rsid w:val="00B80457"/>
    <w:rsid w:val="00B81221"/>
    <w:rsid w:val="00B81C91"/>
    <w:rsid w:val="00B84C76"/>
    <w:rsid w:val="00B859D2"/>
    <w:rsid w:val="00B85AE7"/>
    <w:rsid w:val="00B87D11"/>
    <w:rsid w:val="00B908E9"/>
    <w:rsid w:val="00B90AD5"/>
    <w:rsid w:val="00BA3649"/>
    <w:rsid w:val="00BA3B21"/>
    <w:rsid w:val="00BA3DC3"/>
    <w:rsid w:val="00BA60D5"/>
    <w:rsid w:val="00BA7D0C"/>
    <w:rsid w:val="00BA7F51"/>
    <w:rsid w:val="00BB0FE2"/>
    <w:rsid w:val="00BB602B"/>
    <w:rsid w:val="00BC7BEF"/>
    <w:rsid w:val="00BD4A12"/>
    <w:rsid w:val="00BD4ED2"/>
    <w:rsid w:val="00BD6C48"/>
    <w:rsid w:val="00BE1796"/>
    <w:rsid w:val="00BE5C8F"/>
    <w:rsid w:val="00BE5D8A"/>
    <w:rsid w:val="00BE5FAB"/>
    <w:rsid w:val="00BF0CAA"/>
    <w:rsid w:val="00BF397C"/>
    <w:rsid w:val="00BF5715"/>
    <w:rsid w:val="00BF6B25"/>
    <w:rsid w:val="00BF6BF8"/>
    <w:rsid w:val="00BF7462"/>
    <w:rsid w:val="00BF7998"/>
    <w:rsid w:val="00BF7D41"/>
    <w:rsid w:val="00C00306"/>
    <w:rsid w:val="00C016C5"/>
    <w:rsid w:val="00C01E04"/>
    <w:rsid w:val="00C036E2"/>
    <w:rsid w:val="00C10947"/>
    <w:rsid w:val="00C10B3D"/>
    <w:rsid w:val="00C12495"/>
    <w:rsid w:val="00C140FB"/>
    <w:rsid w:val="00C164AF"/>
    <w:rsid w:val="00C17200"/>
    <w:rsid w:val="00C17CC7"/>
    <w:rsid w:val="00C20DCB"/>
    <w:rsid w:val="00C222F0"/>
    <w:rsid w:val="00C2291D"/>
    <w:rsid w:val="00C23C5B"/>
    <w:rsid w:val="00C242A9"/>
    <w:rsid w:val="00C24B6E"/>
    <w:rsid w:val="00C253DD"/>
    <w:rsid w:val="00C2680A"/>
    <w:rsid w:val="00C27DA1"/>
    <w:rsid w:val="00C31D92"/>
    <w:rsid w:val="00C32C91"/>
    <w:rsid w:val="00C33C89"/>
    <w:rsid w:val="00C34576"/>
    <w:rsid w:val="00C34A24"/>
    <w:rsid w:val="00C3531C"/>
    <w:rsid w:val="00C40E38"/>
    <w:rsid w:val="00C4198F"/>
    <w:rsid w:val="00C41DC9"/>
    <w:rsid w:val="00C4339B"/>
    <w:rsid w:val="00C443A8"/>
    <w:rsid w:val="00C44D84"/>
    <w:rsid w:val="00C4662F"/>
    <w:rsid w:val="00C47FC4"/>
    <w:rsid w:val="00C518D2"/>
    <w:rsid w:val="00C5195F"/>
    <w:rsid w:val="00C51A59"/>
    <w:rsid w:val="00C52391"/>
    <w:rsid w:val="00C527BE"/>
    <w:rsid w:val="00C557E9"/>
    <w:rsid w:val="00C60E56"/>
    <w:rsid w:val="00C61BAB"/>
    <w:rsid w:val="00C628EB"/>
    <w:rsid w:val="00C629EE"/>
    <w:rsid w:val="00C65687"/>
    <w:rsid w:val="00C70591"/>
    <w:rsid w:val="00C7130A"/>
    <w:rsid w:val="00C72401"/>
    <w:rsid w:val="00C7551B"/>
    <w:rsid w:val="00C76938"/>
    <w:rsid w:val="00C77497"/>
    <w:rsid w:val="00C77F6A"/>
    <w:rsid w:val="00C83BDD"/>
    <w:rsid w:val="00C85BD4"/>
    <w:rsid w:val="00C91F43"/>
    <w:rsid w:val="00C92E27"/>
    <w:rsid w:val="00C93D59"/>
    <w:rsid w:val="00C95123"/>
    <w:rsid w:val="00C97882"/>
    <w:rsid w:val="00CA1340"/>
    <w:rsid w:val="00CA13BE"/>
    <w:rsid w:val="00CA6CA6"/>
    <w:rsid w:val="00CA70B0"/>
    <w:rsid w:val="00CB3384"/>
    <w:rsid w:val="00CB3EA7"/>
    <w:rsid w:val="00CB4291"/>
    <w:rsid w:val="00CB53F2"/>
    <w:rsid w:val="00CB5D62"/>
    <w:rsid w:val="00CB6B32"/>
    <w:rsid w:val="00CB7154"/>
    <w:rsid w:val="00CB77A8"/>
    <w:rsid w:val="00CC00D0"/>
    <w:rsid w:val="00CC0BDC"/>
    <w:rsid w:val="00CC4F3E"/>
    <w:rsid w:val="00CC5D6B"/>
    <w:rsid w:val="00CC6068"/>
    <w:rsid w:val="00CD318E"/>
    <w:rsid w:val="00CD446E"/>
    <w:rsid w:val="00CD5299"/>
    <w:rsid w:val="00CE160D"/>
    <w:rsid w:val="00CE2F43"/>
    <w:rsid w:val="00CE41AF"/>
    <w:rsid w:val="00CE7393"/>
    <w:rsid w:val="00CE7674"/>
    <w:rsid w:val="00CF14D2"/>
    <w:rsid w:val="00CF391B"/>
    <w:rsid w:val="00CF4B14"/>
    <w:rsid w:val="00CF61E1"/>
    <w:rsid w:val="00CF6ECA"/>
    <w:rsid w:val="00D00E35"/>
    <w:rsid w:val="00D041D4"/>
    <w:rsid w:val="00D059D2"/>
    <w:rsid w:val="00D074C4"/>
    <w:rsid w:val="00D1013D"/>
    <w:rsid w:val="00D109A5"/>
    <w:rsid w:val="00D11C54"/>
    <w:rsid w:val="00D14A04"/>
    <w:rsid w:val="00D14FCF"/>
    <w:rsid w:val="00D15690"/>
    <w:rsid w:val="00D16C5C"/>
    <w:rsid w:val="00D17B78"/>
    <w:rsid w:val="00D21564"/>
    <w:rsid w:val="00D23A6D"/>
    <w:rsid w:val="00D23C03"/>
    <w:rsid w:val="00D24100"/>
    <w:rsid w:val="00D325C7"/>
    <w:rsid w:val="00D378C6"/>
    <w:rsid w:val="00D37F4A"/>
    <w:rsid w:val="00D429DA"/>
    <w:rsid w:val="00D44325"/>
    <w:rsid w:val="00D44DA2"/>
    <w:rsid w:val="00D5176F"/>
    <w:rsid w:val="00D53EBC"/>
    <w:rsid w:val="00D572BF"/>
    <w:rsid w:val="00D57997"/>
    <w:rsid w:val="00D60190"/>
    <w:rsid w:val="00D6216D"/>
    <w:rsid w:val="00D62347"/>
    <w:rsid w:val="00D6406C"/>
    <w:rsid w:val="00D65FF6"/>
    <w:rsid w:val="00D668AC"/>
    <w:rsid w:val="00D67A32"/>
    <w:rsid w:val="00D7115E"/>
    <w:rsid w:val="00D7138C"/>
    <w:rsid w:val="00D71869"/>
    <w:rsid w:val="00D77A9E"/>
    <w:rsid w:val="00D801E5"/>
    <w:rsid w:val="00D80988"/>
    <w:rsid w:val="00D85C48"/>
    <w:rsid w:val="00D87252"/>
    <w:rsid w:val="00D874E4"/>
    <w:rsid w:val="00D87845"/>
    <w:rsid w:val="00D92556"/>
    <w:rsid w:val="00D92D9B"/>
    <w:rsid w:val="00D94FEB"/>
    <w:rsid w:val="00D95768"/>
    <w:rsid w:val="00D96869"/>
    <w:rsid w:val="00D971B0"/>
    <w:rsid w:val="00D973AF"/>
    <w:rsid w:val="00DA484B"/>
    <w:rsid w:val="00DA71E8"/>
    <w:rsid w:val="00DB2523"/>
    <w:rsid w:val="00DB335B"/>
    <w:rsid w:val="00DB4865"/>
    <w:rsid w:val="00DB5BC9"/>
    <w:rsid w:val="00DB7E30"/>
    <w:rsid w:val="00DC08C6"/>
    <w:rsid w:val="00DC0A86"/>
    <w:rsid w:val="00DC0DFF"/>
    <w:rsid w:val="00DC1F7C"/>
    <w:rsid w:val="00DC2EAE"/>
    <w:rsid w:val="00DC3F16"/>
    <w:rsid w:val="00DC66EF"/>
    <w:rsid w:val="00DD22B1"/>
    <w:rsid w:val="00DD2A19"/>
    <w:rsid w:val="00DD3ABC"/>
    <w:rsid w:val="00DD3C11"/>
    <w:rsid w:val="00DD73EE"/>
    <w:rsid w:val="00DD7D2E"/>
    <w:rsid w:val="00DE1984"/>
    <w:rsid w:val="00DE1A2C"/>
    <w:rsid w:val="00DE2320"/>
    <w:rsid w:val="00DE4839"/>
    <w:rsid w:val="00DE7012"/>
    <w:rsid w:val="00DE77A3"/>
    <w:rsid w:val="00DF3C11"/>
    <w:rsid w:val="00DF590E"/>
    <w:rsid w:val="00DF6387"/>
    <w:rsid w:val="00DF6E8D"/>
    <w:rsid w:val="00DF7590"/>
    <w:rsid w:val="00E0454A"/>
    <w:rsid w:val="00E04BB9"/>
    <w:rsid w:val="00E05949"/>
    <w:rsid w:val="00E13479"/>
    <w:rsid w:val="00E138B0"/>
    <w:rsid w:val="00E14024"/>
    <w:rsid w:val="00E16849"/>
    <w:rsid w:val="00E16959"/>
    <w:rsid w:val="00E1749C"/>
    <w:rsid w:val="00E20584"/>
    <w:rsid w:val="00E211C5"/>
    <w:rsid w:val="00E240BB"/>
    <w:rsid w:val="00E25345"/>
    <w:rsid w:val="00E26FE8"/>
    <w:rsid w:val="00E30AAD"/>
    <w:rsid w:val="00E33A6A"/>
    <w:rsid w:val="00E37EA3"/>
    <w:rsid w:val="00E40F19"/>
    <w:rsid w:val="00E41D05"/>
    <w:rsid w:val="00E4538F"/>
    <w:rsid w:val="00E47C75"/>
    <w:rsid w:val="00E47D2B"/>
    <w:rsid w:val="00E51157"/>
    <w:rsid w:val="00E520CF"/>
    <w:rsid w:val="00E52DAC"/>
    <w:rsid w:val="00E52E32"/>
    <w:rsid w:val="00E54124"/>
    <w:rsid w:val="00E5461D"/>
    <w:rsid w:val="00E548DC"/>
    <w:rsid w:val="00E549A0"/>
    <w:rsid w:val="00E61FF8"/>
    <w:rsid w:val="00E63E77"/>
    <w:rsid w:val="00E66892"/>
    <w:rsid w:val="00E73A9B"/>
    <w:rsid w:val="00E744F4"/>
    <w:rsid w:val="00E75982"/>
    <w:rsid w:val="00E80D77"/>
    <w:rsid w:val="00E81253"/>
    <w:rsid w:val="00E8454D"/>
    <w:rsid w:val="00E85D63"/>
    <w:rsid w:val="00E8673B"/>
    <w:rsid w:val="00E901BD"/>
    <w:rsid w:val="00E9031A"/>
    <w:rsid w:val="00E903C4"/>
    <w:rsid w:val="00E90509"/>
    <w:rsid w:val="00E94985"/>
    <w:rsid w:val="00E97A45"/>
    <w:rsid w:val="00E97EBE"/>
    <w:rsid w:val="00EA3B32"/>
    <w:rsid w:val="00EA3B51"/>
    <w:rsid w:val="00EA4847"/>
    <w:rsid w:val="00EA6957"/>
    <w:rsid w:val="00EB1FE3"/>
    <w:rsid w:val="00EB3EEC"/>
    <w:rsid w:val="00EB61DC"/>
    <w:rsid w:val="00EC0FD4"/>
    <w:rsid w:val="00EC103E"/>
    <w:rsid w:val="00EC11A7"/>
    <w:rsid w:val="00EC17B7"/>
    <w:rsid w:val="00EC1A04"/>
    <w:rsid w:val="00EC3720"/>
    <w:rsid w:val="00EC3C3A"/>
    <w:rsid w:val="00EC50A7"/>
    <w:rsid w:val="00EC50F3"/>
    <w:rsid w:val="00EC54DE"/>
    <w:rsid w:val="00EC575F"/>
    <w:rsid w:val="00EC715E"/>
    <w:rsid w:val="00EC7180"/>
    <w:rsid w:val="00ED13FC"/>
    <w:rsid w:val="00ED1420"/>
    <w:rsid w:val="00ED3228"/>
    <w:rsid w:val="00ED75CE"/>
    <w:rsid w:val="00EE0A73"/>
    <w:rsid w:val="00EE1045"/>
    <w:rsid w:val="00EE2227"/>
    <w:rsid w:val="00EE25E5"/>
    <w:rsid w:val="00EE339D"/>
    <w:rsid w:val="00EE5A2E"/>
    <w:rsid w:val="00EF036F"/>
    <w:rsid w:val="00EF29C0"/>
    <w:rsid w:val="00EF4871"/>
    <w:rsid w:val="00EF5C5A"/>
    <w:rsid w:val="00F010D1"/>
    <w:rsid w:val="00F05F1F"/>
    <w:rsid w:val="00F0705C"/>
    <w:rsid w:val="00F071A1"/>
    <w:rsid w:val="00F14DFA"/>
    <w:rsid w:val="00F229A4"/>
    <w:rsid w:val="00F23338"/>
    <w:rsid w:val="00F2447B"/>
    <w:rsid w:val="00F24995"/>
    <w:rsid w:val="00F24C59"/>
    <w:rsid w:val="00F25578"/>
    <w:rsid w:val="00F25EC1"/>
    <w:rsid w:val="00F277E1"/>
    <w:rsid w:val="00F332A2"/>
    <w:rsid w:val="00F3538B"/>
    <w:rsid w:val="00F35519"/>
    <w:rsid w:val="00F35E6B"/>
    <w:rsid w:val="00F41082"/>
    <w:rsid w:val="00F414D2"/>
    <w:rsid w:val="00F4228B"/>
    <w:rsid w:val="00F431CE"/>
    <w:rsid w:val="00F472A1"/>
    <w:rsid w:val="00F52228"/>
    <w:rsid w:val="00F53C9B"/>
    <w:rsid w:val="00F558A4"/>
    <w:rsid w:val="00F62896"/>
    <w:rsid w:val="00F63DEE"/>
    <w:rsid w:val="00F646A5"/>
    <w:rsid w:val="00F647E7"/>
    <w:rsid w:val="00F64ABF"/>
    <w:rsid w:val="00F67546"/>
    <w:rsid w:val="00F731AF"/>
    <w:rsid w:val="00F74AB8"/>
    <w:rsid w:val="00F764A1"/>
    <w:rsid w:val="00F810B4"/>
    <w:rsid w:val="00F9238B"/>
    <w:rsid w:val="00F95745"/>
    <w:rsid w:val="00F9659A"/>
    <w:rsid w:val="00FA2055"/>
    <w:rsid w:val="00FA4220"/>
    <w:rsid w:val="00FA45CD"/>
    <w:rsid w:val="00FB06B7"/>
    <w:rsid w:val="00FB2AE4"/>
    <w:rsid w:val="00FB2BBB"/>
    <w:rsid w:val="00FB5533"/>
    <w:rsid w:val="00FC1F63"/>
    <w:rsid w:val="00FC282E"/>
    <w:rsid w:val="00FC568D"/>
    <w:rsid w:val="00FC5D75"/>
    <w:rsid w:val="00FC670F"/>
    <w:rsid w:val="00FC6B28"/>
    <w:rsid w:val="00FD0947"/>
    <w:rsid w:val="00FD09A5"/>
    <w:rsid w:val="00FD2D0B"/>
    <w:rsid w:val="00FD3AD4"/>
    <w:rsid w:val="00FE054E"/>
    <w:rsid w:val="00FE344F"/>
    <w:rsid w:val="00FE5AD7"/>
    <w:rsid w:val="00FE671D"/>
    <w:rsid w:val="00FE67BE"/>
    <w:rsid w:val="00FE757B"/>
    <w:rsid w:val="00FE75A2"/>
    <w:rsid w:val="00FE7D34"/>
    <w:rsid w:val="00FF517B"/>
    <w:rsid w:val="00FF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3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142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142DF"/>
    <w:rPr>
      <w:rFonts w:ascii="Calibri" w:hAnsi="Calibri" w:cs="Calibri"/>
      <w:noProof/>
      <w:lang w:val="en-US"/>
    </w:rPr>
  </w:style>
  <w:style w:type="paragraph" w:customStyle="1" w:styleId="EndNoteBibliography">
    <w:name w:val="EndNote Bibliography"/>
    <w:basedOn w:val="Normal"/>
    <w:link w:val="EndNoteBibliographyChar"/>
    <w:rsid w:val="003142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142DF"/>
    <w:rPr>
      <w:rFonts w:ascii="Calibri" w:hAnsi="Calibri" w:cs="Calibri"/>
      <w:noProof/>
      <w:lang w:val="en-US"/>
    </w:rPr>
  </w:style>
  <w:style w:type="paragraph" w:customStyle="1" w:styleId="Default">
    <w:name w:val="Default"/>
    <w:rsid w:val="0086140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B77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B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51E"/>
  </w:style>
  <w:style w:type="paragraph" w:styleId="Footer">
    <w:name w:val="footer"/>
    <w:basedOn w:val="Normal"/>
    <w:link w:val="FooterChar"/>
    <w:uiPriority w:val="99"/>
    <w:unhideWhenUsed/>
    <w:rsid w:val="0061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51E"/>
  </w:style>
  <w:style w:type="paragraph" w:styleId="ListParagraph">
    <w:name w:val="List Paragraph"/>
    <w:basedOn w:val="Normal"/>
    <w:uiPriority w:val="34"/>
    <w:qFormat/>
    <w:rsid w:val="00B44AC5"/>
    <w:pPr>
      <w:ind w:left="720"/>
      <w:contextualSpacing/>
    </w:pPr>
  </w:style>
  <w:style w:type="character" w:styleId="CommentReference">
    <w:name w:val="annotation reference"/>
    <w:basedOn w:val="DefaultParagraphFont"/>
    <w:uiPriority w:val="99"/>
    <w:semiHidden/>
    <w:unhideWhenUsed/>
    <w:rsid w:val="001B43D7"/>
    <w:rPr>
      <w:sz w:val="16"/>
      <w:szCs w:val="16"/>
    </w:rPr>
  </w:style>
  <w:style w:type="paragraph" w:styleId="CommentText">
    <w:name w:val="annotation text"/>
    <w:basedOn w:val="Normal"/>
    <w:link w:val="CommentTextChar"/>
    <w:uiPriority w:val="99"/>
    <w:unhideWhenUsed/>
    <w:rsid w:val="001B43D7"/>
    <w:pPr>
      <w:spacing w:line="240" w:lineRule="auto"/>
    </w:pPr>
    <w:rPr>
      <w:sz w:val="20"/>
      <w:szCs w:val="20"/>
    </w:rPr>
  </w:style>
  <w:style w:type="character" w:customStyle="1" w:styleId="CommentTextChar">
    <w:name w:val="Comment Text Char"/>
    <w:basedOn w:val="DefaultParagraphFont"/>
    <w:link w:val="CommentText"/>
    <w:uiPriority w:val="99"/>
    <w:rsid w:val="001B43D7"/>
    <w:rPr>
      <w:sz w:val="20"/>
      <w:szCs w:val="20"/>
    </w:rPr>
  </w:style>
  <w:style w:type="paragraph" w:styleId="CommentSubject">
    <w:name w:val="annotation subject"/>
    <w:basedOn w:val="CommentText"/>
    <w:next w:val="CommentText"/>
    <w:link w:val="CommentSubjectChar"/>
    <w:uiPriority w:val="99"/>
    <w:semiHidden/>
    <w:unhideWhenUsed/>
    <w:rsid w:val="001B43D7"/>
    <w:rPr>
      <w:b/>
      <w:bCs/>
    </w:rPr>
  </w:style>
  <w:style w:type="character" w:customStyle="1" w:styleId="CommentSubjectChar">
    <w:name w:val="Comment Subject Char"/>
    <w:basedOn w:val="CommentTextChar"/>
    <w:link w:val="CommentSubject"/>
    <w:uiPriority w:val="99"/>
    <w:semiHidden/>
    <w:rsid w:val="001B43D7"/>
    <w:rPr>
      <w:b/>
      <w:bCs/>
      <w:sz w:val="20"/>
      <w:szCs w:val="20"/>
    </w:rPr>
  </w:style>
  <w:style w:type="paragraph" w:styleId="BalloonText">
    <w:name w:val="Balloon Text"/>
    <w:basedOn w:val="Normal"/>
    <w:link w:val="BalloonTextChar"/>
    <w:uiPriority w:val="99"/>
    <w:semiHidden/>
    <w:unhideWhenUsed/>
    <w:rsid w:val="001B4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D7"/>
    <w:rPr>
      <w:rFonts w:ascii="Segoe UI" w:hAnsi="Segoe UI" w:cs="Segoe UI"/>
      <w:sz w:val="18"/>
      <w:szCs w:val="18"/>
    </w:rPr>
  </w:style>
  <w:style w:type="paragraph" w:styleId="Revision">
    <w:name w:val="Revision"/>
    <w:hidden/>
    <w:uiPriority w:val="99"/>
    <w:semiHidden/>
    <w:rsid w:val="002E45EC"/>
    <w:pPr>
      <w:spacing w:after="0" w:line="240" w:lineRule="auto"/>
    </w:pPr>
  </w:style>
  <w:style w:type="paragraph" w:styleId="EndnoteText">
    <w:name w:val="endnote text"/>
    <w:basedOn w:val="Normal"/>
    <w:link w:val="EndnoteTextChar"/>
    <w:uiPriority w:val="99"/>
    <w:semiHidden/>
    <w:unhideWhenUsed/>
    <w:rsid w:val="00D718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869"/>
    <w:rPr>
      <w:sz w:val="20"/>
      <w:szCs w:val="20"/>
    </w:rPr>
  </w:style>
  <w:style w:type="character" w:styleId="EndnoteReference">
    <w:name w:val="endnote reference"/>
    <w:basedOn w:val="DefaultParagraphFont"/>
    <w:uiPriority w:val="99"/>
    <w:semiHidden/>
    <w:unhideWhenUsed/>
    <w:rsid w:val="00D71869"/>
    <w:rPr>
      <w:vertAlign w:val="superscript"/>
    </w:rPr>
  </w:style>
  <w:style w:type="paragraph" w:customStyle="1" w:styleId="p1">
    <w:name w:val="p1"/>
    <w:basedOn w:val="Normal"/>
    <w:rsid w:val="00F9659A"/>
    <w:pPr>
      <w:spacing w:after="0" w:line="240" w:lineRule="auto"/>
    </w:pPr>
    <w:rPr>
      <w:rFonts w:ascii="Times" w:hAnsi="Times" w:cs="Times New Roman"/>
      <w:sz w:val="18"/>
      <w:szCs w:val="18"/>
      <w:lang w:eastAsia="en-GB"/>
    </w:rPr>
  </w:style>
  <w:style w:type="paragraph" w:customStyle="1" w:styleId="p2">
    <w:name w:val="p2"/>
    <w:basedOn w:val="Normal"/>
    <w:rsid w:val="00F9659A"/>
    <w:pPr>
      <w:spacing w:after="0" w:line="105" w:lineRule="atLeast"/>
    </w:pPr>
    <w:rPr>
      <w:rFonts w:ascii="Times" w:hAnsi="Times" w:cs="Times New Roman"/>
      <w:color w:val="2D2829"/>
      <w:sz w:val="11"/>
      <w:szCs w:val="11"/>
      <w:lang w:eastAsia="en-GB"/>
    </w:rPr>
  </w:style>
  <w:style w:type="character" w:customStyle="1" w:styleId="s2">
    <w:name w:val="s2"/>
    <w:basedOn w:val="DefaultParagraphFont"/>
    <w:rsid w:val="00F9659A"/>
    <w:rPr>
      <w:rFonts w:ascii="Helvetica" w:hAnsi="Helvetica" w:hint="default"/>
      <w:sz w:val="11"/>
      <w:szCs w:val="11"/>
    </w:rPr>
  </w:style>
  <w:style w:type="character" w:customStyle="1" w:styleId="apple-converted-space">
    <w:name w:val="apple-converted-space"/>
    <w:basedOn w:val="DefaultParagraphFont"/>
    <w:rsid w:val="00F9659A"/>
  </w:style>
  <w:style w:type="character" w:styleId="Strong">
    <w:name w:val="Strong"/>
    <w:basedOn w:val="DefaultParagraphFont"/>
    <w:uiPriority w:val="22"/>
    <w:qFormat/>
    <w:rsid w:val="00D601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142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142DF"/>
    <w:rPr>
      <w:rFonts w:ascii="Calibri" w:hAnsi="Calibri" w:cs="Calibri"/>
      <w:noProof/>
      <w:lang w:val="en-US"/>
    </w:rPr>
  </w:style>
  <w:style w:type="paragraph" w:customStyle="1" w:styleId="EndNoteBibliography">
    <w:name w:val="EndNote Bibliography"/>
    <w:basedOn w:val="Normal"/>
    <w:link w:val="EndNoteBibliographyChar"/>
    <w:rsid w:val="003142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142DF"/>
    <w:rPr>
      <w:rFonts w:ascii="Calibri" w:hAnsi="Calibri" w:cs="Calibri"/>
      <w:noProof/>
      <w:lang w:val="en-US"/>
    </w:rPr>
  </w:style>
  <w:style w:type="paragraph" w:customStyle="1" w:styleId="Default">
    <w:name w:val="Default"/>
    <w:rsid w:val="0086140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B77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B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51E"/>
  </w:style>
  <w:style w:type="paragraph" w:styleId="Footer">
    <w:name w:val="footer"/>
    <w:basedOn w:val="Normal"/>
    <w:link w:val="FooterChar"/>
    <w:uiPriority w:val="99"/>
    <w:unhideWhenUsed/>
    <w:rsid w:val="0061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51E"/>
  </w:style>
  <w:style w:type="paragraph" w:styleId="ListParagraph">
    <w:name w:val="List Paragraph"/>
    <w:basedOn w:val="Normal"/>
    <w:uiPriority w:val="34"/>
    <w:qFormat/>
    <w:rsid w:val="00B44AC5"/>
    <w:pPr>
      <w:ind w:left="720"/>
      <w:contextualSpacing/>
    </w:pPr>
  </w:style>
  <w:style w:type="character" w:styleId="CommentReference">
    <w:name w:val="annotation reference"/>
    <w:basedOn w:val="DefaultParagraphFont"/>
    <w:uiPriority w:val="99"/>
    <w:semiHidden/>
    <w:unhideWhenUsed/>
    <w:rsid w:val="001B43D7"/>
    <w:rPr>
      <w:sz w:val="16"/>
      <w:szCs w:val="16"/>
    </w:rPr>
  </w:style>
  <w:style w:type="paragraph" w:styleId="CommentText">
    <w:name w:val="annotation text"/>
    <w:basedOn w:val="Normal"/>
    <w:link w:val="CommentTextChar"/>
    <w:uiPriority w:val="99"/>
    <w:unhideWhenUsed/>
    <w:rsid w:val="001B43D7"/>
    <w:pPr>
      <w:spacing w:line="240" w:lineRule="auto"/>
    </w:pPr>
    <w:rPr>
      <w:sz w:val="20"/>
      <w:szCs w:val="20"/>
    </w:rPr>
  </w:style>
  <w:style w:type="character" w:customStyle="1" w:styleId="CommentTextChar">
    <w:name w:val="Comment Text Char"/>
    <w:basedOn w:val="DefaultParagraphFont"/>
    <w:link w:val="CommentText"/>
    <w:uiPriority w:val="99"/>
    <w:rsid w:val="001B43D7"/>
    <w:rPr>
      <w:sz w:val="20"/>
      <w:szCs w:val="20"/>
    </w:rPr>
  </w:style>
  <w:style w:type="paragraph" w:styleId="CommentSubject">
    <w:name w:val="annotation subject"/>
    <w:basedOn w:val="CommentText"/>
    <w:next w:val="CommentText"/>
    <w:link w:val="CommentSubjectChar"/>
    <w:uiPriority w:val="99"/>
    <w:semiHidden/>
    <w:unhideWhenUsed/>
    <w:rsid w:val="001B43D7"/>
    <w:rPr>
      <w:b/>
      <w:bCs/>
    </w:rPr>
  </w:style>
  <w:style w:type="character" w:customStyle="1" w:styleId="CommentSubjectChar">
    <w:name w:val="Comment Subject Char"/>
    <w:basedOn w:val="CommentTextChar"/>
    <w:link w:val="CommentSubject"/>
    <w:uiPriority w:val="99"/>
    <w:semiHidden/>
    <w:rsid w:val="001B43D7"/>
    <w:rPr>
      <w:b/>
      <w:bCs/>
      <w:sz w:val="20"/>
      <w:szCs w:val="20"/>
    </w:rPr>
  </w:style>
  <w:style w:type="paragraph" w:styleId="BalloonText">
    <w:name w:val="Balloon Text"/>
    <w:basedOn w:val="Normal"/>
    <w:link w:val="BalloonTextChar"/>
    <w:uiPriority w:val="99"/>
    <w:semiHidden/>
    <w:unhideWhenUsed/>
    <w:rsid w:val="001B4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3D7"/>
    <w:rPr>
      <w:rFonts w:ascii="Segoe UI" w:hAnsi="Segoe UI" w:cs="Segoe UI"/>
      <w:sz w:val="18"/>
      <w:szCs w:val="18"/>
    </w:rPr>
  </w:style>
  <w:style w:type="paragraph" w:styleId="Revision">
    <w:name w:val="Revision"/>
    <w:hidden/>
    <w:uiPriority w:val="99"/>
    <w:semiHidden/>
    <w:rsid w:val="002E45EC"/>
    <w:pPr>
      <w:spacing w:after="0" w:line="240" w:lineRule="auto"/>
    </w:pPr>
  </w:style>
  <w:style w:type="paragraph" w:styleId="EndnoteText">
    <w:name w:val="endnote text"/>
    <w:basedOn w:val="Normal"/>
    <w:link w:val="EndnoteTextChar"/>
    <w:uiPriority w:val="99"/>
    <w:semiHidden/>
    <w:unhideWhenUsed/>
    <w:rsid w:val="00D718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1869"/>
    <w:rPr>
      <w:sz w:val="20"/>
      <w:szCs w:val="20"/>
    </w:rPr>
  </w:style>
  <w:style w:type="character" w:styleId="EndnoteReference">
    <w:name w:val="endnote reference"/>
    <w:basedOn w:val="DefaultParagraphFont"/>
    <w:uiPriority w:val="99"/>
    <w:semiHidden/>
    <w:unhideWhenUsed/>
    <w:rsid w:val="00D71869"/>
    <w:rPr>
      <w:vertAlign w:val="superscript"/>
    </w:rPr>
  </w:style>
  <w:style w:type="paragraph" w:customStyle="1" w:styleId="p1">
    <w:name w:val="p1"/>
    <w:basedOn w:val="Normal"/>
    <w:rsid w:val="00F9659A"/>
    <w:pPr>
      <w:spacing w:after="0" w:line="240" w:lineRule="auto"/>
    </w:pPr>
    <w:rPr>
      <w:rFonts w:ascii="Times" w:hAnsi="Times" w:cs="Times New Roman"/>
      <w:sz w:val="18"/>
      <w:szCs w:val="18"/>
      <w:lang w:eastAsia="en-GB"/>
    </w:rPr>
  </w:style>
  <w:style w:type="paragraph" w:customStyle="1" w:styleId="p2">
    <w:name w:val="p2"/>
    <w:basedOn w:val="Normal"/>
    <w:rsid w:val="00F9659A"/>
    <w:pPr>
      <w:spacing w:after="0" w:line="105" w:lineRule="atLeast"/>
    </w:pPr>
    <w:rPr>
      <w:rFonts w:ascii="Times" w:hAnsi="Times" w:cs="Times New Roman"/>
      <w:color w:val="2D2829"/>
      <w:sz w:val="11"/>
      <w:szCs w:val="11"/>
      <w:lang w:eastAsia="en-GB"/>
    </w:rPr>
  </w:style>
  <w:style w:type="character" w:customStyle="1" w:styleId="s2">
    <w:name w:val="s2"/>
    <w:basedOn w:val="DefaultParagraphFont"/>
    <w:rsid w:val="00F9659A"/>
    <w:rPr>
      <w:rFonts w:ascii="Helvetica" w:hAnsi="Helvetica" w:hint="default"/>
      <w:sz w:val="11"/>
      <w:szCs w:val="11"/>
    </w:rPr>
  </w:style>
  <w:style w:type="character" w:customStyle="1" w:styleId="apple-converted-space">
    <w:name w:val="apple-converted-space"/>
    <w:basedOn w:val="DefaultParagraphFont"/>
    <w:rsid w:val="00F9659A"/>
  </w:style>
  <w:style w:type="character" w:styleId="Strong">
    <w:name w:val="Strong"/>
    <w:basedOn w:val="DefaultParagraphFont"/>
    <w:uiPriority w:val="22"/>
    <w:qFormat/>
    <w:rsid w:val="00D60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644">
      <w:bodyDiv w:val="1"/>
      <w:marLeft w:val="0"/>
      <w:marRight w:val="0"/>
      <w:marTop w:val="0"/>
      <w:marBottom w:val="0"/>
      <w:divBdr>
        <w:top w:val="none" w:sz="0" w:space="0" w:color="auto"/>
        <w:left w:val="none" w:sz="0" w:space="0" w:color="auto"/>
        <w:bottom w:val="none" w:sz="0" w:space="0" w:color="auto"/>
        <w:right w:val="none" w:sz="0" w:space="0" w:color="auto"/>
      </w:divBdr>
    </w:div>
    <w:div w:id="290063422">
      <w:bodyDiv w:val="1"/>
      <w:marLeft w:val="0"/>
      <w:marRight w:val="0"/>
      <w:marTop w:val="0"/>
      <w:marBottom w:val="0"/>
      <w:divBdr>
        <w:top w:val="none" w:sz="0" w:space="0" w:color="auto"/>
        <w:left w:val="none" w:sz="0" w:space="0" w:color="auto"/>
        <w:bottom w:val="none" w:sz="0" w:space="0" w:color="auto"/>
        <w:right w:val="none" w:sz="0" w:space="0" w:color="auto"/>
      </w:divBdr>
    </w:div>
    <w:div w:id="362484732">
      <w:bodyDiv w:val="1"/>
      <w:marLeft w:val="0"/>
      <w:marRight w:val="0"/>
      <w:marTop w:val="0"/>
      <w:marBottom w:val="0"/>
      <w:divBdr>
        <w:top w:val="none" w:sz="0" w:space="0" w:color="auto"/>
        <w:left w:val="none" w:sz="0" w:space="0" w:color="auto"/>
        <w:bottom w:val="none" w:sz="0" w:space="0" w:color="auto"/>
        <w:right w:val="none" w:sz="0" w:space="0" w:color="auto"/>
      </w:divBdr>
    </w:div>
    <w:div w:id="591426933">
      <w:bodyDiv w:val="1"/>
      <w:marLeft w:val="0"/>
      <w:marRight w:val="0"/>
      <w:marTop w:val="0"/>
      <w:marBottom w:val="0"/>
      <w:divBdr>
        <w:top w:val="none" w:sz="0" w:space="0" w:color="auto"/>
        <w:left w:val="none" w:sz="0" w:space="0" w:color="auto"/>
        <w:bottom w:val="none" w:sz="0" w:space="0" w:color="auto"/>
        <w:right w:val="none" w:sz="0" w:space="0" w:color="auto"/>
      </w:divBdr>
    </w:div>
    <w:div w:id="879169439">
      <w:bodyDiv w:val="1"/>
      <w:marLeft w:val="0"/>
      <w:marRight w:val="0"/>
      <w:marTop w:val="0"/>
      <w:marBottom w:val="0"/>
      <w:divBdr>
        <w:top w:val="none" w:sz="0" w:space="0" w:color="auto"/>
        <w:left w:val="none" w:sz="0" w:space="0" w:color="auto"/>
        <w:bottom w:val="none" w:sz="0" w:space="0" w:color="auto"/>
        <w:right w:val="none" w:sz="0" w:space="0" w:color="auto"/>
      </w:divBdr>
    </w:div>
    <w:div w:id="1062676043">
      <w:bodyDiv w:val="1"/>
      <w:marLeft w:val="0"/>
      <w:marRight w:val="0"/>
      <w:marTop w:val="0"/>
      <w:marBottom w:val="0"/>
      <w:divBdr>
        <w:top w:val="none" w:sz="0" w:space="0" w:color="auto"/>
        <w:left w:val="none" w:sz="0" w:space="0" w:color="auto"/>
        <w:bottom w:val="none" w:sz="0" w:space="0" w:color="auto"/>
        <w:right w:val="none" w:sz="0" w:space="0" w:color="auto"/>
      </w:divBdr>
    </w:div>
    <w:div w:id="1159881110">
      <w:bodyDiv w:val="1"/>
      <w:marLeft w:val="0"/>
      <w:marRight w:val="0"/>
      <w:marTop w:val="0"/>
      <w:marBottom w:val="0"/>
      <w:divBdr>
        <w:top w:val="none" w:sz="0" w:space="0" w:color="auto"/>
        <w:left w:val="none" w:sz="0" w:space="0" w:color="auto"/>
        <w:bottom w:val="none" w:sz="0" w:space="0" w:color="auto"/>
        <w:right w:val="none" w:sz="0" w:space="0" w:color="auto"/>
      </w:divBdr>
    </w:div>
    <w:div w:id="1235748199">
      <w:bodyDiv w:val="1"/>
      <w:marLeft w:val="0"/>
      <w:marRight w:val="0"/>
      <w:marTop w:val="0"/>
      <w:marBottom w:val="0"/>
      <w:divBdr>
        <w:top w:val="none" w:sz="0" w:space="0" w:color="auto"/>
        <w:left w:val="none" w:sz="0" w:space="0" w:color="auto"/>
        <w:bottom w:val="none" w:sz="0" w:space="0" w:color="auto"/>
        <w:right w:val="none" w:sz="0" w:space="0" w:color="auto"/>
      </w:divBdr>
    </w:div>
    <w:div w:id="1239242676">
      <w:bodyDiv w:val="1"/>
      <w:marLeft w:val="0"/>
      <w:marRight w:val="0"/>
      <w:marTop w:val="0"/>
      <w:marBottom w:val="0"/>
      <w:divBdr>
        <w:top w:val="none" w:sz="0" w:space="0" w:color="auto"/>
        <w:left w:val="none" w:sz="0" w:space="0" w:color="auto"/>
        <w:bottom w:val="none" w:sz="0" w:space="0" w:color="auto"/>
        <w:right w:val="none" w:sz="0" w:space="0" w:color="auto"/>
      </w:divBdr>
    </w:div>
    <w:div w:id="1261177978">
      <w:bodyDiv w:val="1"/>
      <w:marLeft w:val="0"/>
      <w:marRight w:val="0"/>
      <w:marTop w:val="0"/>
      <w:marBottom w:val="0"/>
      <w:divBdr>
        <w:top w:val="none" w:sz="0" w:space="0" w:color="auto"/>
        <w:left w:val="none" w:sz="0" w:space="0" w:color="auto"/>
        <w:bottom w:val="none" w:sz="0" w:space="0" w:color="auto"/>
        <w:right w:val="none" w:sz="0" w:space="0" w:color="auto"/>
      </w:divBdr>
    </w:div>
    <w:div w:id="14574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3DBB-EF89-439E-90C6-E4EA6D03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7562</Words>
  <Characters>43105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Elphick</dc:creator>
  <cp:lastModifiedBy>Hannah</cp:lastModifiedBy>
  <cp:revision>2</cp:revision>
  <cp:lastPrinted>2017-11-02T02:44:00Z</cp:lastPrinted>
  <dcterms:created xsi:type="dcterms:W3CDTF">2018-07-09T11:04:00Z</dcterms:created>
  <dcterms:modified xsi:type="dcterms:W3CDTF">2018-07-09T11:04:00Z</dcterms:modified>
</cp:coreProperties>
</file>