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9EAA1" w14:textId="57A40895" w:rsidR="002E06EF" w:rsidRDefault="002E06EF" w:rsidP="00F504E0">
      <w:pPr>
        <w:spacing w:line="276" w:lineRule="auto"/>
        <w:jc w:val="center"/>
        <w:rPr>
          <w:b/>
          <w:lang w:val="en-GB"/>
        </w:rPr>
      </w:pPr>
    </w:p>
    <w:p w14:paraId="4AEA29AC" w14:textId="6BB95BA9" w:rsidR="002E06EF" w:rsidRPr="002E06EF" w:rsidRDefault="002E06EF" w:rsidP="00EF5A96">
      <w:pPr>
        <w:spacing w:line="276" w:lineRule="auto"/>
        <w:outlineLvl w:val="0"/>
        <w:rPr>
          <w:b/>
          <w:sz w:val="28"/>
          <w:szCs w:val="28"/>
          <w:lang w:val="en-GB"/>
        </w:rPr>
      </w:pPr>
      <w:r w:rsidRPr="002E06EF">
        <w:rPr>
          <w:b/>
          <w:sz w:val="28"/>
          <w:szCs w:val="28"/>
          <w:lang w:val="en-GB"/>
        </w:rPr>
        <w:t xml:space="preserve">Consent to Innovative Treatment </w:t>
      </w:r>
    </w:p>
    <w:p w14:paraId="7FA36998" w14:textId="77777777" w:rsidR="002E06EF" w:rsidRPr="00001A92" w:rsidRDefault="002E06EF" w:rsidP="00EF5A96">
      <w:pPr>
        <w:pStyle w:val="Authornames"/>
        <w:spacing w:line="480" w:lineRule="auto"/>
        <w:jc w:val="both"/>
        <w:outlineLvl w:val="0"/>
        <w:rPr>
          <w:rFonts w:asciiTheme="majorBidi" w:hAnsiTheme="majorBidi" w:cstheme="majorBidi"/>
        </w:rPr>
      </w:pPr>
      <w:r w:rsidRPr="002E06EF">
        <w:t xml:space="preserve">Tina </w:t>
      </w:r>
      <w:proofErr w:type="spellStart"/>
      <w:r w:rsidRPr="002E06EF">
        <w:t>Cockburn</w:t>
      </w:r>
      <w:r w:rsidRPr="00001A92">
        <w:rPr>
          <w:rFonts w:asciiTheme="majorBidi" w:hAnsiTheme="majorBidi" w:cstheme="majorBidi"/>
          <w:vertAlign w:val="superscript"/>
        </w:rPr>
        <w:t>a</w:t>
      </w:r>
      <w:proofErr w:type="spellEnd"/>
      <w:r w:rsidRPr="00001A92">
        <w:rPr>
          <w:rFonts w:asciiTheme="majorBidi" w:hAnsiTheme="majorBidi" w:cstheme="majorBidi"/>
        </w:rPr>
        <w:t>*</w:t>
      </w:r>
      <w:r w:rsidRPr="002E06EF">
        <w:t xml:space="preserve"> </w:t>
      </w:r>
      <w:r>
        <w:t xml:space="preserve">and Michael </w:t>
      </w:r>
      <w:proofErr w:type="spellStart"/>
      <w:r>
        <w:t>Fay</w:t>
      </w:r>
      <w:r>
        <w:rPr>
          <w:rFonts w:asciiTheme="majorBidi" w:hAnsiTheme="majorBidi" w:cstheme="majorBidi"/>
          <w:vertAlign w:val="superscript"/>
        </w:rPr>
        <w:t>b</w:t>
      </w:r>
      <w:proofErr w:type="spellEnd"/>
    </w:p>
    <w:p w14:paraId="3BBF5E33" w14:textId="4A75D81B" w:rsidR="002E06EF" w:rsidRPr="00D42EAA" w:rsidRDefault="002E06EF" w:rsidP="002E06EF">
      <w:pPr>
        <w:spacing w:line="276" w:lineRule="auto"/>
        <w:rPr>
          <w:lang w:val="en-GB"/>
        </w:rPr>
      </w:pPr>
      <w:proofErr w:type="spellStart"/>
      <w:r w:rsidRPr="00D42EAA">
        <w:rPr>
          <w:rFonts w:asciiTheme="majorBidi" w:hAnsiTheme="majorBidi" w:cstheme="majorBidi"/>
          <w:vertAlign w:val="superscript"/>
        </w:rPr>
        <w:t>a</w:t>
      </w:r>
      <w:proofErr w:type="spellEnd"/>
      <w:r w:rsidRPr="00D42EAA">
        <w:rPr>
          <w:rFonts w:eastAsia="Times New Roman"/>
          <w:lang w:eastAsia="en-GB"/>
        </w:rPr>
        <w:t xml:space="preserve"> </w:t>
      </w:r>
      <w:r w:rsidR="00D42EAA" w:rsidRPr="00D42EAA">
        <w:rPr>
          <w:rFonts w:eastAsia="Times New Roman"/>
          <w:lang w:eastAsia="en-GB"/>
        </w:rPr>
        <w:t xml:space="preserve">Associate Professor, </w:t>
      </w:r>
      <w:r w:rsidR="00D42EAA">
        <w:rPr>
          <w:rFonts w:eastAsia="Times New Roman"/>
          <w:lang w:eastAsia="en-GB"/>
        </w:rPr>
        <w:t>C</w:t>
      </w:r>
      <w:r w:rsidR="00D42EAA" w:rsidRPr="00D42EAA">
        <w:rPr>
          <w:rFonts w:eastAsia="Times New Roman"/>
          <w:lang w:eastAsia="en-GB"/>
        </w:rPr>
        <w:t xml:space="preserve">o-Director Australian Centre for Health Law Research </w:t>
      </w:r>
      <w:r w:rsidRPr="00D42EAA">
        <w:rPr>
          <w:rFonts w:eastAsia="Times New Roman"/>
          <w:lang w:eastAsia="en-GB"/>
        </w:rPr>
        <w:t xml:space="preserve">School of Law, Queensland University of Technology, Brisbane, Australia; </w:t>
      </w:r>
      <w:r w:rsidRPr="00D42EAA">
        <w:rPr>
          <w:rFonts w:asciiTheme="majorBidi" w:hAnsiTheme="majorBidi" w:cstheme="majorBidi"/>
          <w:vertAlign w:val="superscript"/>
        </w:rPr>
        <w:t xml:space="preserve">b </w:t>
      </w:r>
      <w:r w:rsidR="00D42EAA" w:rsidRPr="00D42EAA">
        <w:t>Lecturer in Law, Centre for Law, Ethics and Society,</w:t>
      </w:r>
      <w:r w:rsidR="00D42EAA">
        <w:t xml:space="preserve"> </w:t>
      </w:r>
      <w:r w:rsidRPr="00D42EAA">
        <w:rPr>
          <w:lang w:val="en-GB"/>
        </w:rPr>
        <w:t xml:space="preserve">School of Law, </w:t>
      </w:r>
      <w:proofErr w:type="spellStart"/>
      <w:r w:rsidRPr="00D42EAA">
        <w:rPr>
          <w:lang w:val="en-GB"/>
        </w:rPr>
        <w:t>Keele</w:t>
      </w:r>
      <w:proofErr w:type="spellEnd"/>
      <w:r w:rsidRPr="00D42EAA">
        <w:rPr>
          <w:lang w:val="en-GB"/>
        </w:rPr>
        <w:t xml:space="preserve"> University, </w:t>
      </w:r>
      <w:proofErr w:type="spellStart"/>
      <w:r w:rsidR="00F94A10">
        <w:t>Keele</w:t>
      </w:r>
      <w:proofErr w:type="spellEnd"/>
      <w:r w:rsidRPr="00D42EAA">
        <w:rPr>
          <w:lang w:val="en-GB"/>
        </w:rPr>
        <w:t xml:space="preserve">, </w:t>
      </w:r>
      <w:r w:rsidR="00F94A10">
        <w:t xml:space="preserve">Staffordshire, </w:t>
      </w:r>
      <w:r w:rsidR="00F94A10">
        <w:rPr>
          <w:lang w:val="en-GB"/>
        </w:rPr>
        <w:t>United Kingdom</w:t>
      </w:r>
      <w:r w:rsidR="00D42EAA" w:rsidRPr="00D42EAA">
        <w:rPr>
          <w:lang w:val="en-GB"/>
        </w:rPr>
        <w:t xml:space="preserve">. </w:t>
      </w:r>
    </w:p>
    <w:p w14:paraId="58185BBF" w14:textId="77777777" w:rsidR="00D42EAA" w:rsidRDefault="00D42EAA" w:rsidP="002E06EF">
      <w:pPr>
        <w:spacing w:line="276" w:lineRule="auto"/>
        <w:rPr>
          <w:lang w:val="en-GB"/>
        </w:rPr>
      </w:pPr>
    </w:p>
    <w:p w14:paraId="217D0CED" w14:textId="0255304B" w:rsidR="002E06EF" w:rsidRPr="002E06EF" w:rsidRDefault="00D42EAA" w:rsidP="002E06EF">
      <w:pPr>
        <w:spacing w:line="276" w:lineRule="auto"/>
        <w:rPr>
          <w:lang w:val="en-GB"/>
        </w:rPr>
      </w:pPr>
      <w:r w:rsidRPr="00001A92">
        <w:rPr>
          <w:rFonts w:asciiTheme="majorBidi" w:hAnsiTheme="majorBidi" w:cstheme="majorBidi"/>
        </w:rPr>
        <w:t>*</w:t>
      </w:r>
      <w:hyperlink r:id="rId8" w:history="1">
        <w:r w:rsidRPr="003202CD">
          <w:rPr>
            <w:rStyle w:val="Hyperlink"/>
            <w:lang w:val="en-GB"/>
          </w:rPr>
          <w:t>t.cockburn@qut.edu.au</w:t>
        </w:r>
      </w:hyperlink>
      <w:r w:rsidRPr="00D42EAA">
        <w:rPr>
          <w:lang w:val="en-GB"/>
        </w:rPr>
        <w:t xml:space="preserve">. </w:t>
      </w:r>
      <w:r w:rsidRPr="00D42EAA">
        <w:t xml:space="preserve">We </w:t>
      </w:r>
      <w:r w:rsidRPr="00D42EAA">
        <w:rPr>
          <w:rFonts w:asciiTheme="majorBidi" w:hAnsiTheme="majorBidi" w:cstheme="majorBidi"/>
        </w:rPr>
        <w:t xml:space="preserve">would like to thank Tsachi Keren-Paz, Jose </w:t>
      </w:r>
      <w:proofErr w:type="spellStart"/>
      <w:r w:rsidRPr="00D42EAA">
        <w:rPr>
          <w:rFonts w:asciiTheme="majorBidi" w:hAnsiTheme="majorBidi" w:cstheme="majorBidi"/>
        </w:rPr>
        <w:t>Miola</w:t>
      </w:r>
      <w:proofErr w:type="spellEnd"/>
      <w:r w:rsidRPr="00D42EAA">
        <w:rPr>
          <w:rFonts w:asciiTheme="majorBidi" w:hAnsiTheme="majorBidi" w:cstheme="majorBidi"/>
        </w:rPr>
        <w:t>, Gregory Keating and Bill Madden for their very helpful comments on previous drafts.</w:t>
      </w:r>
    </w:p>
    <w:p w14:paraId="607D0271" w14:textId="4C3CB2BD" w:rsidR="002E06EF" w:rsidRDefault="002E06EF" w:rsidP="002E06EF">
      <w:pPr>
        <w:spacing w:line="276" w:lineRule="auto"/>
        <w:rPr>
          <w:b/>
          <w:lang w:val="en-GB"/>
        </w:rPr>
      </w:pPr>
    </w:p>
    <w:p w14:paraId="4FA1DEE4" w14:textId="12710D3B" w:rsidR="00D42EAA" w:rsidRDefault="00D42EAA">
      <w:pPr>
        <w:rPr>
          <w:b/>
          <w:lang w:val="en-GB"/>
        </w:rPr>
      </w:pPr>
      <w:r>
        <w:rPr>
          <w:b/>
          <w:lang w:val="en-GB"/>
        </w:rPr>
        <w:br w:type="page"/>
      </w:r>
    </w:p>
    <w:p w14:paraId="161551B3" w14:textId="77777777" w:rsidR="002E06EF" w:rsidRDefault="002E06EF" w:rsidP="002E06EF">
      <w:pPr>
        <w:spacing w:line="276" w:lineRule="auto"/>
        <w:rPr>
          <w:b/>
          <w:lang w:val="en-GB"/>
        </w:rPr>
      </w:pPr>
    </w:p>
    <w:p w14:paraId="2E8E515E" w14:textId="77777777" w:rsidR="00D42EAA" w:rsidRPr="002E06EF" w:rsidRDefault="00D42EAA" w:rsidP="00EF5A96">
      <w:pPr>
        <w:spacing w:line="276" w:lineRule="auto"/>
        <w:outlineLvl w:val="0"/>
        <w:rPr>
          <w:b/>
          <w:sz w:val="28"/>
          <w:szCs w:val="28"/>
          <w:lang w:val="en-GB"/>
        </w:rPr>
      </w:pPr>
      <w:r w:rsidRPr="002E06EF">
        <w:rPr>
          <w:b/>
          <w:sz w:val="28"/>
          <w:szCs w:val="28"/>
          <w:lang w:val="en-GB"/>
        </w:rPr>
        <w:t xml:space="preserve">Consent to Innovative Treatment </w:t>
      </w:r>
    </w:p>
    <w:p w14:paraId="1AABFBED" w14:textId="77777777" w:rsidR="004859F2" w:rsidRDefault="004859F2" w:rsidP="00F504E0">
      <w:pPr>
        <w:spacing w:line="276" w:lineRule="auto"/>
        <w:jc w:val="center"/>
        <w:rPr>
          <w:b/>
          <w:lang w:val="en-GB"/>
        </w:rPr>
      </w:pPr>
    </w:p>
    <w:p w14:paraId="6CEA750F" w14:textId="63AE49A7" w:rsidR="005C1D84" w:rsidRDefault="005D631E" w:rsidP="004F086D">
      <w:pPr>
        <w:spacing w:line="276" w:lineRule="auto"/>
        <w:ind w:left="720"/>
        <w:jc w:val="both"/>
      </w:pPr>
      <w:r>
        <w:t>M</w:t>
      </w:r>
      <w:r w:rsidR="004F086D">
        <w:t>uch political, media and academic attention has focused on</w:t>
      </w:r>
      <w:r>
        <w:t>: 1)</w:t>
      </w:r>
      <w:r w:rsidR="004F086D">
        <w:t xml:space="preserve"> the legal test for evaluating whether there has been a breach of duty in the provision of innovative treatment</w:t>
      </w:r>
      <w:r>
        <w:t>;</w:t>
      </w:r>
      <w:r w:rsidR="004F086D">
        <w:t xml:space="preserve"> and </w:t>
      </w:r>
      <w:r>
        <w:t xml:space="preserve">2) </w:t>
      </w:r>
      <w:r w:rsidR="004F086D">
        <w:t xml:space="preserve">the extent to </w:t>
      </w:r>
      <w:r w:rsidR="008F696A">
        <w:t xml:space="preserve">which </w:t>
      </w:r>
      <w:r>
        <w:t xml:space="preserve">the </w:t>
      </w:r>
      <w:r w:rsidR="008F696A">
        <w:t xml:space="preserve">law reform proposed by Lord Saatchi in the </w:t>
      </w:r>
      <w:r w:rsidR="004F086D" w:rsidRPr="00846142">
        <w:rPr>
          <w:i/>
          <w:lang w:val="en-GB"/>
        </w:rPr>
        <w:t>Medical Innovation Bill</w:t>
      </w:r>
      <w:r w:rsidR="004F086D">
        <w:rPr>
          <w:lang w:val="en-GB"/>
        </w:rPr>
        <w:t xml:space="preserve"> (</w:t>
      </w:r>
      <w:r w:rsidR="004F086D" w:rsidRPr="00846142">
        <w:rPr>
          <w:i/>
          <w:lang w:val="en-GB"/>
        </w:rPr>
        <w:t>MIB</w:t>
      </w:r>
      <w:r w:rsidR="004F086D">
        <w:rPr>
          <w:lang w:val="en-GB"/>
        </w:rPr>
        <w:t>)</w:t>
      </w:r>
      <w:r w:rsidR="008F696A">
        <w:rPr>
          <w:lang w:val="en-GB"/>
        </w:rPr>
        <w:t xml:space="preserve"> was necessary or desirable to relieve doctors</w:t>
      </w:r>
      <w:r w:rsidR="008F696A" w:rsidRPr="00D268CF">
        <w:rPr>
          <w:lang w:val="en-GB"/>
        </w:rPr>
        <w:t xml:space="preserve"> of (perceived) legal strictures preventing innovative treatments</w:t>
      </w:r>
      <w:r>
        <w:rPr>
          <w:lang w:val="en-GB"/>
        </w:rPr>
        <w:t xml:space="preserve">. However, </w:t>
      </w:r>
      <w:r w:rsidR="008F696A">
        <w:rPr>
          <w:lang w:val="en-GB"/>
        </w:rPr>
        <w:t xml:space="preserve">comparatively little attention focused on the requirement that patients must provide consent to innovative treatment. </w:t>
      </w:r>
      <w:r w:rsidR="00705F87">
        <w:rPr>
          <w:lang w:val="en-GB"/>
        </w:rPr>
        <w:t>In this paper w</w:t>
      </w:r>
      <w:r w:rsidR="008F696A">
        <w:rPr>
          <w:lang w:val="en-GB"/>
        </w:rPr>
        <w:t xml:space="preserve">e argue that the English and Australian law relating to consent is capable of application in the context of innovative treatment </w:t>
      </w:r>
      <w:r w:rsidR="00705F87">
        <w:rPr>
          <w:lang w:val="en-GB"/>
        </w:rPr>
        <w:t xml:space="preserve">so as to provide certainty for health professionals and promote patient autonomy. </w:t>
      </w:r>
      <w:r w:rsidR="008F696A">
        <w:rPr>
          <w:lang w:val="en-GB"/>
        </w:rPr>
        <w:t xml:space="preserve">  </w:t>
      </w:r>
    </w:p>
    <w:p w14:paraId="325E4652" w14:textId="77777777" w:rsidR="004F086D" w:rsidRDefault="004F086D" w:rsidP="004F086D">
      <w:pPr>
        <w:spacing w:line="276" w:lineRule="auto"/>
        <w:jc w:val="both"/>
      </w:pPr>
    </w:p>
    <w:p w14:paraId="5B51F20F" w14:textId="589805B1" w:rsidR="005C1D84" w:rsidRPr="00C34F14" w:rsidRDefault="005C1D84" w:rsidP="00EF5A96">
      <w:pPr>
        <w:spacing w:line="276" w:lineRule="auto"/>
        <w:jc w:val="both"/>
        <w:outlineLvl w:val="0"/>
      </w:pPr>
      <w:r>
        <w:tab/>
        <w:t xml:space="preserve">Keywords: medical negligence, medical trespass, consent, innovative treatment </w:t>
      </w:r>
    </w:p>
    <w:p w14:paraId="324ED214" w14:textId="77777777" w:rsidR="00C34F14" w:rsidRDefault="00C34F14" w:rsidP="00F504E0">
      <w:pPr>
        <w:spacing w:line="276" w:lineRule="auto"/>
        <w:jc w:val="both"/>
        <w:rPr>
          <w:lang w:val="en-GB"/>
        </w:rPr>
      </w:pPr>
    </w:p>
    <w:p w14:paraId="0D6517B7" w14:textId="00F76928" w:rsidR="004F086D" w:rsidRDefault="008F696A" w:rsidP="004F086D">
      <w:pPr>
        <w:spacing w:line="276" w:lineRule="auto"/>
        <w:jc w:val="both"/>
        <w:rPr>
          <w:lang w:val="en-GB"/>
        </w:rPr>
      </w:pPr>
      <w:r>
        <w:rPr>
          <w:lang w:val="en-GB"/>
        </w:rPr>
        <w:t>In conceiving t</w:t>
      </w:r>
      <w:r w:rsidR="004F086D" w:rsidRPr="00D268CF">
        <w:rPr>
          <w:lang w:val="en-GB"/>
        </w:rPr>
        <w:t xml:space="preserve">he </w:t>
      </w:r>
      <w:r w:rsidR="004F086D" w:rsidRPr="00846142">
        <w:rPr>
          <w:i/>
          <w:lang w:val="en-GB"/>
        </w:rPr>
        <w:t>M</w:t>
      </w:r>
      <w:r w:rsidR="00E4495D">
        <w:rPr>
          <w:i/>
          <w:lang w:val="en-GB"/>
        </w:rPr>
        <w:t xml:space="preserve">edical </w:t>
      </w:r>
      <w:r w:rsidR="004F086D" w:rsidRPr="00846142">
        <w:rPr>
          <w:i/>
          <w:lang w:val="en-GB"/>
        </w:rPr>
        <w:t>I</w:t>
      </w:r>
      <w:r w:rsidR="00E4495D">
        <w:rPr>
          <w:i/>
          <w:lang w:val="en-GB"/>
        </w:rPr>
        <w:t xml:space="preserve">nnovation </w:t>
      </w:r>
      <w:r w:rsidR="004F086D" w:rsidRPr="00846142">
        <w:rPr>
          <w:i/>
          <w:lang w:val="en-GB"/>
        </w:rPr>
        <w:t>B</w:t>
      </w:r>
      <w:r w:rsidR="00E4495D">
        <w:rPr>
          <w:i/>
          <w:lang w:val="en-GB"/>
        </w:rPr>
        <w:t>ill</w:t>
      </w:r>
      <w:r w:rsidR="004F086D" w:rsidRPr="00D268CF">
        <w:rPr>
          <w:lang w:val="en-GB"/>
        </w:rPr>
        <w:t xml:space="preserve">, </w:t>
      </w:r>
      <w:r w:rsidR="004F086D">
        <w:rPr>
          <w:lang w:val="en-GB"/>
        </w:rPr>
        <w:t>Lord Saatchi argu</w:t>
      </w:r>
      <w:r>
        <w:rPr>
          <w:lang w:val="en-GB"/>
        </w:rPr>
        <w:t>ed</w:t>
      </w:r>
      <w:r w:rsidR="004F086D">
        <w:rPr>
          <w:lang w:val="en-GB"/>
        </w:rPr>
        <w:t>:</w:t>
      </w:r>
      <w:r w:rsidR="004F086D" w:rsidRPr="00D268CF">
        <w:rPr>
          <w:lang w:val="en-GB"/>
        </w:rPr>
        <w:t xml:space="preserve"> ‘there will be no cure for cancer until real doctors with real patients in real hospitals can attempt some kind of innovation, and that is not possible under current law’.</w:t>
      </w:r>
      <w:r w:rsidR="004F086D" w:rsidRPr="00D268CF">
        <w:rPr>
          <w:vertAlign w:val="superscript"/>
          <w:lang w:val="en-GB"/>
        </w:rPr>
        <w:footnoteReference w:id="1"/>
      </w:r>
      <w:r w:rsidR="004F086D" w:rsidRPr="00D268CF">
        <w:rPr>
          <w:lang w:val="en-GB"/>
        </w:rPr>
        <w:t xml:space="preserve">  His perception of the chilling effect of the law remains disputed.  </w:t>
      </w:r>
      <w:r w:rsidR="004F086D">
        <w:rPr>
          <w:lang w:val="en-GB"/>
        </w:rPr>
        <w:t>T</w:t>
      </w:r>
      <w:r w:rsidR="004F086D" w:rsidRPr="00D268CF">
        <w:rPr>
          <w:lang w:val="en-GB"/>
        </w:rPr>
        <w:t xml:space="preserve">his hyperbole </w:t>
      </w:r>
      <w:r w:rsidR="004F086D">
        <w:rPr>
          <w:lang w:val="en-GB"/>
        </w:rPr>
        <w:t xml:space="preserve">also missed that </w:t>
      </w:r>
      <w:r w:rsidR="004F086D" w:rsidRPr="00D268CF">
        <w:rPr>
          <w:lang w:val="en-GB"/>
        </w:rPr>
        <w:t xml:space="preserve">patients </w:t>
      </w:r>
      <w:r w:rsidR="004F086D">
        <w:rPr>
          <w:lang w:val="en-GB"/>
        </w:rPr>
        <w:t>must</w:t>
      </w:r>
      <w:r w:rsidR="004F086D" w:rsidRPr="00D268CF">
        <w:rPr>
          <w:lang w:val="en-GB"/>
        </w:rPr>
        <w:t xml:space="preserve"> provide </w:t>
      </w:r>
      <w:r w:rsidR="004F086D">
        <w:rPr>
          <w:lang w:val="en-GB"/>
        </w:rPr>
        <w:t xml:space="preserve">valid </w:t>
      </w:r>
      <w:r w:rsidR="004F086D" w:rsidRPr="00D268CF">
        <w:rPr>
          <w:lang w:val="en-GB"/>
        </w:rPr>
        <w:t xml:space="preserve">consent to innovative treatment, </w:t>
      </w:r>
      <w:r w:rsidR="004F086D">
        <w:rPr>
          <w:lang w:val="en-GB"/>
        </w:rPr>
        <w:t xml:space="preserve">which not only encompasses </w:t>
      </w:r>
      <w:r w:rsidR="005D631E">
        <w:rPr>
          <w:lang w:val="en-GB"/>
        </w:rPr>
        <w:t>‘</w:t>
      </w:r>
      <w:r w:rsidR="004F086D" w:rsidRPr="005B53EB">
        <w:t>the patient being advised in broad terms of the nature of the procedure to be performed</w:t>
      </w:r>
      <w:r w:rsidR="005D631E">
        <w:t>,’</w:t>
      </w:r>
      <w:r w:rsidR="004F086D">
        <w:rPr>
          <w:rStyle w:val="FootnoteReference"/>
        </w:rPr>
        <w:footnoteReference w:id="2"/>
      </w:r>
      <w:r w:rsidR="004F086D">
        <w:t xml:space="preserve"> to </w:t>
      </w:r>
      <w:r w:rsidR="004F086D">
        <w:rPr>
          <w:lang w:val="en-GB"/>
        </w:rPr>
        <w:t xml:space="preserve">defeat a trespass claim, but also requires the provision of information about </w:t>
      </w:r>
      <w:r w:rsidR="004F086D" w:rsidRPr="00D268CF">
        <w:rPr>
          <w:lang w:val="en-GB"/>
        </w:rPr>
        <w:t>material risks</w:t>
      </w:r>
      <w:r w:rsidR="004F086D">
        <w:rPr>
          <w:lang w:val="en-GB"/>
        </w:rPr>
        <w:t>.</w:t>
      </w:r>
      <w:r w:rsidR="004F086D" w:rsidRPr="00327DF7">
        <w:rPr>
          <w:vertAlign w:val="superscript"/>
          <w:lang w:val="en-GB"/>
        </w:rPr>
        <w:footnoteReference w:id="3"/>
      </w:r>
      <w:r w:rsidR="004F086D" w:rsidRPr="00D268CF">
        <w:rPr>
          <w:lang w:val="en-GB"/>
        </w:rPr>
        <w:t xml:space="preserve"> It is </w:t>
      </w:r>
      <w:r w:rsidR="004F086D">
        <w:rPr>
          <w:lang w:val="en-GB"/>
        </w:rPr>
        <w:t>un</w:t>
      </w:r>
      <w:r w:rsidR="004F086D" w:rsidRPr="00D268CF">
        <w:rPr>
          <w:lang w:val="en-GB"/>
        </w:rPr>
        <w:t xml:space="preserve">clear how this would have intersected with the </w:t>
      </w:r>
      <w:r w:rsidR="004F086D">
        <w:rPr>
          <w:lang w:val="en-GB"/>
        </w:rPr>
        <w:t xml:space="preserve">Bill’s proposed </w:t>
      </w:r>
      <w:r w:rsidR="004F086D" w:rsidRPr="00D268CF">
        <w:rPr>
          <w:lang w:val="en-GB"/>
        </w:rPr>
        <w:t>peer</w:t>
      </w:r>
      <w:r w:rsidR="004F086D">
        <w:rPr>
          <w:lang w:val="en-GB"/>
        </w:rPr>
        <w:t>-</w:t>
      </w:r>
      <w:r w:rsidR="004F086D" w:rsidRPr="00D268CF">
        <w:rPr>
          <w:lang w:val="en-GB"/>
        </w:rPr>
        <w:t>review defence</w:t>
      </w:r>
      <w:r w:rsidR="004F086D">
        <w:rPr>
          <w:lang w:val="en-GB"/>
        </w:rPr>
        <w:t>, w</w:t>
      </w:r>
      <w:r w:rsidR="004F086D" w:rsidRPr="00D268CF">
        <w:rPr>
          <w:lang w:val="en-GB"/>
        </w:rPr>
        <w:t xml:space="preserve">hich is why overlooking consent in drafting the </w:t>
      </w:r>
      <w:r w:rsidR="004F086D" w:rsidRPr="00846142">
        <w:rPr>
          <w:i/>
          <w:lang w:val="en-GB"/>
        </w:rPr>
        <w:t xml:space="preserve">MIB </w:t>
      </w:r>
      <w:r w:rsidR="004F086D" w:rsidRPr="00D268CF">
        <w:rPr>
          <w:lang w:val="en-GB"/>
        </w:rPr>
        <w:t>was surprising.</w:t>
      </w:r>
      <w:r w:rsidR="004F086D">
        <w:rPr>
          <w:lang w:val="en-GB"/>
        </w:rPr>
        <w:t xml:space="preserve">  </w:t>
      </w:r>
    </w:p>
    <w:p w14:paraId="7A4B8AEA" w14:textId="77777777" w:rsidR="004F086D" w:rsidRDefault="004F086D" w:rsidP="004F086D">
      <w:pPr>
        <w:spacing w:line="276" w:lineRule="auto"/>
        <w:jc w:val="both"/>
        <w:rPr>
          <w:lang w:val="en-GB"/>
        </w:rPr>
      </w:pPr>
    </w:p>
    <w:p w14:paraId="3F1D1F21" w14:textId="761EDB05" w:rsidR="004F086D" w:rsidRDefault="004F086D" w:rsidP="004F086D">
      <w:pPr>
        <w:spacing w:line="276" w:lineRule="auto"/>
        <w:jc w:val="both"/>
      </w:pPr>
      <w:r w:rsidRPr="00C34F14">
        <w:t xml:space="preserve">The </w:t>
      </w:r>
      <w:r w:rsidRPr="005C1D84">
        <w:rPr>
          <w:i/>
        </w:rPr>
        <w:t>MIB</w:t>
      </w:r>
      <w:r>
        <w:t xml:space="preserve"> originally stated</w:t>
      </w:r>
      <w:r w:rsidRPr="00C34F14">
        <w:t xml:space="preserve"> in s1(3)(d) that doctors </w:t>
      </w:r>
      <w:r>
        <w:t xml:space="preserve">would </w:t>
      </w:r>
      <w:r w:rsidRPr="00C34F14">
        <w:t>perform innovative treatments after ‘obtaining any consents required by law</w:t>
      </w:r>
      <w:r w:rsidR="005D631E">
        <w:t>’</w:t>
      </w:r>
      <w:r>
        <w:t>.</w:t>
      </w:r>
      <w:r w:rsidRPr="00C34F14">
        <w:t xml:space="preserve">  </w:t>
      </w:r>
      <w:r>
        <w:t>At</w:t>
      </w:r>
      <w:r w:rsidRPr="00C34F14">
        <w:t xml:space="preserve"> Committee stage</w:t>
      </w:r>
      <w:r>
        <w:rPr>
          <w:rStyle w:val="FootnoteReference"/>
        </w:rPr>
        <w:footnoteReference w:id="4"/>
      </w:r>
      <w:r w:rsidRPr="00C34F14">
        <w:t xml:space="preserve"> </w:t>
      </w:r>
      <w:r>
        <w:t xml:space="preserve">this was amended </w:t>
      </w:r>
      <w:r w:rsidRPr="00C34F14">
        <w:t>to ‘informed consent’ but reverted to ‘obtain any consents required by law</w:t>
      </w:r>
      <w:r w:rsidR="005D631E">
        <w:t>.</w:t>
      </w:r>
      <w:r w:rsidRPr="00C34F14">
        <w:t>’</w:t>
      </w:r>
      <w:r>
        <w:rPr>
          <w:rStyle w:val="FootnoteReference"/>
        </w:rPr>
        <w:footnoteReference w:id="5"/>
      </w:r>
      <w:r w:rsidRPr="00C34F14">
        <w:t xml:space="preserve"> The Bill was silent on when consent </w:t>
      </w:r>
      <w:r>
        <w:t xml:space="preserve">should </w:t>
      </w:r>
      <w:r w:rsidRPr="00C34F14">
        <w:t>be sought</w:t>
      </w:r>
      <w:r>
        <w:t xml:space="preserve"> – </w:t>
      </w:r>
      <w:r w:rsidRPr="00C34F14">
        <w:t>before or after the peer</w:t>
      </w:r>
      <w:r>
        <w:t>-</w:t>
      </w:r>
      <w:r w:rsidRPr="00C34F14">
        <w:t>review process</w:t>
      </w:r>
      <w:r>
        <w:t xml:space="preserve"> – </w:t>
      </w:r>
      <w:r w:rsidRPr="00C34F14">
        <w:t xml:space="preserve">or </w:t>
      </w:r>
      <w:r>
        <w:t xml:space="preserve">as a </w:t>
      </w:r>
      <w:r w:rsidRPr="00C34F14">
        <w:t xml:space="preserve">continuous dialogue. Although in desperate situations willingness to </w:t>
      </w:r>
      <w:r>
        <w:t xml:space="preserve">undergo </w:t>
      </w:r>
      <w:r w:rsidRPr="00C34F14">
        <w:t>innov</w:t>
      </w:r>
      <w:r>
        <w:t>ative treatment</w:t>
      </w:r>
      <w:r w:rsidRPr="00C34F14">
        <w:t xml:space="preserve"> </w:t>
      </w:r>
      <w:r>
        <w:t xml:space="preserve">may not be </w:t>
      </w:r>
      <w:r w:rsidRPr="00C34F14">
        <w:t>swayed by a peer</w:t>
      </w:r>
      <w:r>
        <w:t xml:space="preserve"> </w:t>
      </w:r>
      <w:r w:rsidRPr="00C34F14">
        <w:t>review</w:t>
      </w:r>
      <w:r>
        <w:t>, t</w:t>
      </w:r>
      <w:r w:rsidRPr="00C34F14">
        <w:t xml:space="preserve">he Bill </w:t>
      </w:r>
      <w:r>
        <w:t xml:space="preserve">failed to </w:t>
      </w:r>
      <w:r w:rsidRPr="00C34F14">
        <w:t>explain whether</w:t>
      </w:r>
      <w:r>
        <w:t xml:space="preserve"> its intended effect was to introduce a requirement that a successful peer review outcome was a pre-requisite to valid </w:t>
      </w:r>
      <w:r>
        <w:lastRenderedPageBreak/>
        <w:t>consent.</w:t>
      </w:r>
      <w:r>
        <w:rPr>
          <w:rStyle w:val="FootnoteReference"/>
        </w:rPr>
        <w:footnoteReference w:id="6"/>
      </w:r>
      <w:r>
        <w:t xml:space="preserve"> N</w:t>
      </w:r>
      <w:r w:rsidRPr="00C34F14">
        <w:t>or did it consider the possibility that a successful peer</w:t>
      </w:r>
      <w:r>
        <w:t>-</w:t>
      </w:r>
      <w:r w:rsidRPr="00C34F14">
        <w:t xml:space="preserve">review outcome might influence patients’ decision making. </w:t>
      </w:r>
      <w:r>
        <w:t xml:space="preserve">If a patient is told by his doctor that a professional colleague has been consulted, </w:t>
      </w:r>
      <w:r w:rsidR="00153689">
        <w:t>and</w:t>
      </w:r>
      <w:r>
        <w:t xml:space="preserve"> agrees the proposed treatment is responsible innovation and clinically appropriate, this of itself may be the determining factor in the patient’s decision to agree to treatment, particularly for a patient already subject to optimism bias.</w:t>
      </w:r>
      <w:r>
        <w:rPr>
          <w:rStyle w:val="FootnoteReference"/>
        </w:rPr>
        <w:footnoteReference w:id="7"/>
      </w:r>
      <w:r>
        <w:t xml:space="preserve"> </w:t>
      </w:r>
      <w:r w:rsidR="00153689">
        <w:t xml:space="preserve"> H</w:t>
      </w:r>
      <w:r>
        <w:t xml:space="preserve">owever, in </w:t>
      </w:r>
      <w:r w:rsidRPr="00C34F14">
        <w:t>medical contexts</w:t>
      </w:r>
      <w:r w:rsidR="00F21901">
        <w:t>,</w:t>
      </w:r>
      <w:r w:rsidRPr="00C34F14">
        <w:t xml:space="preserve"> most </w:t>
      </w:r>
      <w:r w:rsidR="00153689">
        <w:t xml:space="preserve">patient </w:t>
      </w:r>
      <w:r w:rsidRPr="00C34F14">
        <w:t>decisions are influenced in some way by doctors’ explanations</w:t>
      </w:r>
      <w:r>
        <w:t>, particularly</w:t>
      </w:r>
      <w:r w:rsidRPr="00C34F14">
        <w:t xml:space="preserve"> of consequences of not receiving treatment.</w:t>
      </w:r>
      <w:r w:rsidRPr="00C34F14">
        <w:rPr>
          <w:vertAlign w:val="superscript"/>
        </w:rPr>
        <w:footnoteReference w:id="8"/>
      </w:r>
      <w:r>
        <w:t xml:space="preserve"> Also not considered was the possibility of conflicts of interest: between the interests of doctors and their patients, such as when doctors will gain commercially by developing or adopting innovative treatments; and also between future and present patients, including </w:t>
      </w:r>
      <w:r w:rsidRPr="00E36F59">
        <w:t xml:space="preserve">how society's interest in learning through innovative treatments should be handled as a conflict of interest.  </w:t>
      </w:r>
      <w:r w:rsidRPr="00C34F14">
        <w:t>A final</w:t>
      </w:r>
      <w:r>
        <w:t xml:space="preserve"> </w:t>
      </w:r>
      <w:r w:rsidRPr="00C34F14">
        <w:t xml:space="preserve">omission was how </w:t>
      </w:r>
      <w:r>
        <w:t xml:space="preserve">to deal with </w:t>
      </w:r>
      <w:r w:rsidRPr="00C34F14">
        <w:t>unknown risks</w:t>
      </w:r>
      <w:r w:rsidR="00153689">
        <w:t>;</w:t>
      </w:r>
      <w:r>
        <w:t xml:space="preserve"> </w:t>
      </w:r>
      <w:r w:rsidRPr="00C34F14">
        <w:t xml:space="preserve">a significant issue in innovation </w:t>
      </w:r>
      <w:r>
        <w:t>because</w:t>
      </w:r>
      <w:r w:rsidRPr="00C34F14">
        <w:t xml:space="preserve"> the actual consequences of a treatment or procedure may be unclear </w:t>
      </w:r>
      <w:r>
        <w:t xml:space="preserve">for </w:t>
      </w:r>
      <w:r w:rsidRPr="00C34F14">
        <w:t>months, years or even decades. Unknowns are inherent in medical innovation</w:t>
      </w:r>
      <w:r>
        <w:t xml:space="preserve">, therefore failure to </w:t>
      </w:r>
      <w:r w:rsidRPr="00C34F14">
        <w:t xml:space="preserve">consider the importance of communicating </w:t>
      </w:r>
      <w:r>
        <w:t xml:space="preserve">unknowns </w:t>
      </w:r>
      <w:r w:rsidRPr="00C34F14">
        <w:t>to patient</w:t>
      </w:r>
      <w:r>
        <w:t>s</w:t>
      </w:r>
      <w:r w:rsidRPr="00C34F14">
        <w:t xml:space="preserve"> was a significant </w:t>
      </w:r>
      <w:r>
        <w:t xml:space="preserve">drafting </w:t>
      </w:r>
      <w:r w:rsidRPr="00C34F14">
        <w:t>oversight.</w:t>
      </w:r>
    </w:p>
    <w:p w14:paraId="57FE79E3" w14:textId="77777777" w:rsidR="004F086D" w:rsidRDefault="004F086D" w:rsidP="004F086D">
      <w:pPr>
        <w:spacing w:line="276" w:lineRule="auto"/>
        <w:ind w:left="720"/>
        <w:jc w:val="both"/>
      </w:pPr>
    </w:p>
    <w:p w14:paraId="34EEA6B6" w14:textId="670621F9" w:rsidR="009B7345" w:rsidRPr="00D268CF" w:rsidRDefault="00C34F14" w:rsidP="00F504E0">
      <w:pPr>
        <w:spacing w:line="276" w:lineRule="auto"/>
        <w:jc w:val="both"/>
        <w:rPr>
          <w:lang w:val="en-GB"/>
        </w:rPr>
      </w:pPr>
      <w:r>
        <w:rPr>
          <w:lang w:val="en-GB"/>
        </w:rPr>
        <w:t xml:space="preserve">This paper </w:t>
      </w:r>
      <w:r w:rsidR="006F5592">
        <w:rPr>
          <w:lang w:val="en-GB"/>
        </w:rPr>
        <w:t xml:space="preserve">addresses the lack of discussion on consent </w:t>
      </w:r>
      <w:r w:rsidR="00C209A4">
        <w:rPr>
          <w:lang w:val="en-GB"/>
        </w:rPr>
        <w:t>i</w:t>
      </w:r>
      <w:r w:rsidR="006F5592">
        <w:rPr>
          <w:lang w:val="en-GB"/>
        </w:rPr>
        <w:t xml:space="preserve">n the </w:t>
      </w:r>
      <w:r w:rsidR="006F5592" w:rsidRPr="006F5592">
        <w:rPr>
          <w:i/>
          <w:lang w:val="en-GB"/>
        </w:rPr>
        <w:t>MIB</w:t>
      </w:r>
      <w:r w:rsidR="006F5592">
        <w:rPr>
          <w:lang w:val="en-GB"/>
        </w:rPr>
        <w:t xml:space="preserve"> </w:t>
      </w:r>
      <w:r w:rsidR="00C209A4">
        <w:rPr>
          <w:lang w:val="en-GB"/>
        </w:rPr>
        <w:t xml:space="preserve">debate </w:t>
      </w:r>
      <w:r w:rsidR="006F5592">
        <w:rPr>
          <w:lang w:val="en-GB"/>
        </w:rPr>
        <w:t xml:space="preserve">by </w:t>
      </w:r>
      <w:r w:rsidR="00C81A28">
        <w:rPr>
          <w:lang w:val="en-GB"/>
        </w:rPr>
        <w:t>examin</w:t>
      </w:r>
      <w:r w:rsidR="006F5592">
        <w:rPr>
          <w:lang w:val="en-GB"/>
        </w:rPr>
        <w:t>ing</w:t>
      </w:r>
      <w:r w:rsidR="00C81A28">
        <w:rPr>
          <w:lang w:val="en-GB"/>
        </w:rPr>
        <w:t xml:space="preserve"> how the rules for obtaining valid consent </w:t>
      </w:r>
      <w:r w:rsidR="006F5592">
        <w:rPr>
          <w:lang w:val="en-GB"/>
        </w:rPr>
        <w:t xml:space="preserve">in the UK and Australia </w:t>
      </w:r>
      <w:r w:rsidR="00C81A28">
        <w:rPr>
          <w:lang w:val="en-GB"/>
        </w:rPr>
        <w:t xml:space="preserve">engage with </w:t>
      </w:r>
      <w:r w:rsidR="008C0260">
        <w:rPr>
          <w:lang w:val="en-GB"/>
        </w:rPr>
        <w:t>innovative</w:t>
      </w:r>
      <w:r w:rsidR="00C81A28">
        <w:rPr>
          <w:lang w:val="en-GB"/>
        </w:rPr>
        <w:t xml:space="preserve"> therapies. It </w:t>
      </w:r>
      <w:r w:rsidR="00D04AD7">
        <w:rPr>
          <w:lang w:val="en-GB"/>
        </w:rPr>
        <w:t>consider</w:t>
      </w:r>
      <w:r w:rsidR="0041415B">
        <w:rPr>
          <w:lang w:val="en-GB"/>
        </w:rPr>
        <w:t>s</w:t>
      </w:r>
      <w:r w:rsidR="00D04AD7">
        <w:rPr>
          <w:lang w:val="en-GB"/>
        </w:rPr>
        <w:t xml:space="preserve"> consent in two legal contexts</w:t>
      </w:r>
      <w:r w:rsidR="00C81A28">
        <w:rPr>
          <w:lang w:val="en-GB"/>
        </w:rPr>
        <w:t>: (</w:t>
      </w:r>
      <w:r w:rsidR="00C742B4">
        <w:rPr>
          <w:lang w:val="en-GB"/>
        </w:rPr>
        <w:t xml:space="preserve">1) </w:t>
      </w:r>
      <w:r w:rsidR="00E36F59">
        <w:rPr>
          <w:lang w:val="en-GB"/>
        </w:rPr>
        <w:t xml:space="preserve">broad consent </w:t>
      </w:r>
      <w:r w:rsidR="00C742B4" w:rsidRPr="00587B74">
        <w:rPr>
          <w:lang w:val="en-GB"/>
        </w:rPr>
        <w:t>to defeat a trespa</w:t>
      </w:r>
      <w:r w:rsidR="00C742B4">
        <w:rPr>
          <w:lang w:val="en-GB"/>
        </w:rPr>
        <w:t>ss claim for wrongful treatment,</w:t>
      </w:r>
      <w:r w:rsidR="00C81A28">
        <w:rPr>
          <w:lang w:val="en-GB"/>
        </w:rPr>
        <w:t xml:space="preserve"> and</w:t>
      </w:r>
      <w:r w:rsidR="00C81A28" w:rsidRPr="00587B74">
        <w:rPr>
          <w:lang w:val="en-GB"/>
        </w:rPr>
        <w:t xml:space="preserve"> </w:t>
      </w:r>
      <w:r w:rsidR="00C81A28">
        <w:rPr>
          <w:lang w:val="en-GB"/>
        </w:rPr>
        <w:t xml:space="preserve">(2) </w:t>
      </w:r>
      <w:r w:rsidR="00C81A28" w:rsidRPr="00587B74">
        <w:rPr>
          <w:lang w:val="en-GB"/>
        </w:rPr>
        <w:t>the duty to disclose material risks</w:t>
      </w:r>
      <w:r w:rsidR="00C81A28">
        <w:rPr>
          <w:lang w:val="en-GB"/>
        </w:rPr>
        <w:t>.</w:t>
      </w:r>
    </w:p>
    <w:p w14:paraId="0E51190C" w14:textId="77777777" w:rsidR="00F005E6" w:rsidRPr="00936458" w:rsidRDefault="00F005E6" w:rsidP="00F504E0">
      <w:pPr>
        <w:spacing w:line="276" w:lineRule="auto"/>
        <w:jc w:val="both"/>
        <w:rPr>
          <w:lang w:val="en-GB"/>
        </w:rPr>
      </w:pPr>
    </w:p>
    <w:p w14:paraId="583AABFD" w14:textId="2155E6F1" w:rsidR="00F005E6" w:rsidRPr="00C80926" w:rsidRDefault="00F005E6" w:rsidP="00EF5A96">
      <w:pPr>
        <w:spacing w:line="276" w:lineRule="auto"/>
        <w:jc w:val="both"/>
        <w:outlineLvl w:val="0"/>
        <w:rPr>
          <w:b/>
          <w:lang w:val="en-GB"/>
        </w:rPr>
      </w:pPr>
      <w:r w:rsidRPr="00C80926">
        <w:rPr>
          <w:b/>
          <w:lang w:val="en-GB"/>
        </w:rPr>
        <w:t>Two Doctrines of Consent</w:t>
      </w:r>
    </w:p>
    <w:p w14:paraId="73C7A936" w14:textId="0116A595" w:rsidR="00F005E6" w:rsidRPr="00C80926" w:rsidRDefault="00C86BA1" w:rsidP="00F504E0">
      <w:pPr>
        <w:spacing w:line="276" w:lineRule="auto"/>
        <w:jc w:val="both"/>
        <w:rPr>
          <w:lang w:val="en-GB"/>
        </w:rPr>
      </w:pPr>
      <w:r>
        <w:rPr>
          <w:lang w:val="en-GB"/>
        </w:rPr>
        <w:t>Obtaining valid c</w:t>
      </w:r>
      <w:r w:rsidR="00D04AD7">
        <w:rPr>
          <w:lang w:val="en-GB"/>
        </w:rPr>
        <w:t xml:space="preserve">onsent </w:t>
      </w:r>
      <w:r w:rsidR="00C04F8A">
        <w:rPr>
          <w:lang w:val="en-GB"/>
        </w:rPr>
        <w:t xml:space="preserve">from patients </w:t>
      </w:r>
      <w:r>
        <w:rPr>
          <w:lang w:val="en-GB"/>
        </w:rPr>
        <w:t xml:space="preserve">has two civil law consequences for </w:t>
      </w:r>
      <w:r w:rsidR="00AC34FE">
        <w:rPr>
          <w:lang w:val="en-GB"/>
        </w:rPr>
        <w:t>doctors</w:t>
      </w:r>
      <w:r w:rsidR="00F504E0" w:rsidRPr="00C80926">
        <w:rPr>
          <w:lang w:val="en-GB"/>
        </w:rPr>
        <w:t xml:space="preserve">: firstly, </w:t>
      </w:r>
      <w:r w:rsidR="00AC34FE">
        <w:rPr>
          <w:lang w:val="en-GB"/>
        </w:rPr>
        <w:t>to avoid</w:t>
      </w:r>
      <w:r w:rsidR="00F504E0" w:rsidRPr="00C80926">
        <w:rPr>
          <w:vertAlign w:val="superscript"/>
          <w:lang w:val="en-GB"/>
        </w:rPr>
        <w:footnoteReference w:id="9"/>
      </w:r>
      <w:r w:rsidR="00F504E0" w:rsidRPr="00C80926">
        <w:rPr>
          <w:lang w:val="en-GB"/>
        </w:rPr>
        <w:t xml:space="preserve"> a trespass claim; and, secondly, in the context </w:t>
      </w:r>
      <w:r w:rsidR="006D5E7A">
        <w:rPr>
          <w:lang w:val="en-GB"/>
        </w:rPr>
        <w:t xml:space="preserve">of </w:t>
      </w:r>
      <w:r w:rsidR="00AC34FE">
        <w:rPr>
          <w:lang w:val="en-GB"/>
        </w:rPr>
        <w:t>negligence</w:t>
      </w:r>
      <w:r w:rsidR="00F504E0" w:rsidRPr="00C80926">
        <w:rPr>
          <w:lang w:val="en-GB"/>
        </w:rPr>
        <w:t xml:space="preserve">, </w:t>
      </w:r>
      <w:r>
        <w:rPr>
          <w:lang w:val="en-GB"/>
        </w:rPr>
        <w:t xml:space="preserve">it fulfils the </w:t>
      </w:r>
      <w:r w:rsidR="00F504E0" w:rsidRPr="00C80926">
        <w:rPr>
          <w:lang w:val="en-GB"/>
        </w:rPr>
        <w:t>duty to disclose material risks</w:t>
      </w:r>
      <w:r w:rsidR="006908AC">
        <w:rPr>
          <w:lang w:val="en-GB"/>
        </w:rPr>
        <w:t>.</w:t>
      </w:r>
      <w:r w:rsidR="00F504E0" w:rsidRPr="00C80926">
        <w:rPr>
          <w:lang w:val="en-GB"/>
        </w:rPr>
        <w:t xml:space="preserve"> </w:t>
      </w:r>
      <w:r w:rsidR="00F504E0" w:rsidRPr="00D268CF">
        <w:rPr>
          <w:lang w:val="en-GB"/>
        </w:rPr>
        <w:t>C</w:t>
      </w:r>
      <w:r w:rsidR="00F005E6" w:rsidRPr="00D268CF">
        <w:rPr>
          <w:lang w:val="en-GB"/>
        </w:rPr>
        <w:t>onsent is a ‘flak jack</w:t>
      </w:r>
      <w:r w:rsidR="00F005E6" w:rsidRPr="00936458">
        <w:rPr>
          <w:lang w:val="en-GB"/>
        </w:rPr>
        <w:t>et’</w:t>
      </w:r>
      <w:r w:rsidR="00F005E6" w:rsidRPr="00936458">
        <w:rPr>
          <w:vertAlign w:val="superscript"/>
          <w:lang w:val="en-GB"/>
        </w:rPr>
        <w:footnoteReference w:id="10"/>
      </w:r>
      <w:r w:rsidR="00F005E6" w:rsidRPr="00936458">
        <w:rPr>
          <w:lang w:val="en-GB"/>
        </w:rPr>
        <w:t xml:space="preserve"> that insulates medical professionals from criminal</w:t>
      </w:r>
      <w:r w:rsidR="00F005E6" w:rsidRPr="00936458">
        <w:rPr>
          <w:vertAlign w:val="superscript"/>
          <w:lang w:val="en-GB"/>
        </w:rPr>
        <w:footnoteReference w:id="11"/>
      </w:r>
      <w:r w:rsidR="00F005E6" w:rsidRPr="00936458">
        <w:rPr>
          <w:lang w:val="en-GB"/>
        </w:rPr>
        <w:t xml:space="preserve"> and civil consequences of physically interfering with another’s body, although this </w:t>
      </w:r>
      <w:r w:rsidR="006D5E7A">
        <w:rPr>
          <w:lang w:val="en-GB"/>
        </w:rPr>
        <w:t xml:space="preserve">does not </w:t>
      </w:r>
      <w:r w:rsidR="006D5E7A">
        <w:rPr>
          <w:lang w:val="en-GB"/>
        </w:rPr>
        <w:lastRenderedPageBreak/>
        <w:t xml:space="preserve">simply </w:t>
      </w:r>
      <w:r w:rsidR="00BE1F2C">
        <w:rPr>
          <w:lang w:val="en-GB"/>
        </w:rPr>
        <w:t>involve</w:t>
      </w:r>
      <w:r w:rsidR="00F005E6" w:rsidRPr="00936458">
        <w:rPr>
          <w:lang w:val="en-GB"/>
        </w:rPr>
        <w:t xml:space="preserve"> obtaining permission, as negligently obtained consent also </w:t>
      </w:r>
      <w:r w:rsidR="00A943C7">
        <w:rPr>
          <w:lang w:val="en-GB"/>
        </w:rPr>
        <w:t>ha</w:t>
      </w:r>
      <w:r w:rsidR="00AF710C">
        <w:rPr>
          <w:lang w:val="en-GB"/>
        </w:rPr>
        <w:t>s</w:t>
      </w:r>
      <w:r w:rsidR="00A943C7">
        <w:rPr>
          <w:lang w:val="en-GB"/>
        </w:rPr>
        <w:t xml:space="preserve"> </w:t>
      </w:r>
      <w:r w:rsidR="00F005E6" w:rsidRPr="00C80926">
        <w:rPr>
          <w:lang w:val="en-GB"/>
        </w:rPr>
        <w:t>consequences.</w:t>
      </w:r>
      <w:r w:rsidR="00F005E6" w:rsidRPr="00C80926">
        <w:rPr>
          <w:vertAlign w:val="superscript"/>
          <w:lang w:val="en-GB"/>
        </w:rPr>
        <w:footnoteReference w:id="12"/>
      </w:r>
      <w:r w:rsidR="00F504E0" w:rsidRPr="00C80926">
        <w:rPr>
          <w:lang w:val="en-GB"/>
        </w:rPr>
        <w:t xml:space="preserve"> </w:t>
      </w:r>
      <w:r w:rsidR="00F005E6" w:rsidRPr="001E0427">
        <w:t xml:space="preserve">This distinction </w:t>
      </w:r>
      <w:r w:rsidR="00F005E6" w:rsidRPr="00C80926">
        <w:rPr>
          <w:lang w:val="en-GB"/>
        </w:rPr>
        <w:t xml:space="preserve">was drawn </w:t>
      </w:r>
      <w:r w:rsidR="00390B5E">
        <w:rPr>
          <w:lang w:val="en-GB"/>
        </w:rPr>
        <w:t xml:space="preserve">in </w:t>
      </w:r>
      <w:proofErr w:type="spellStart"/>
      <w:r w:rsidR="00390B5E">
        <w:rPr>
          <w:i/>
          <w:lang w:val="en-GB"/>
        </w:rPr>
        <w:t>Chatteron</w:t>
      </w:r>
      <w:proofErr w:type="spellEnd"/>
      <w:r w:rsidR="00390B5E">
        <w:rPr>
          <w:i/>
          <w:lang w:val="en-GB"/>
        </w:rPr>
        <w:t xml:space="preserve"> v Gerson</w:t>
      </w:r>
      <w:r w:rsidR="00C53A9D">
        <w:rPr>
          <w:lang w:val="en-GB"/>
        </w:rPr>
        <w:t>:</w:t>
      </w:r>
    </w:p>
    <w:p w14:paraId="4DB377E0" w14:textId="77777777" w:rsidR="00F504E0" w:rsidRPr="00C80926" w:rsidRDefault="00F504E0" w:rsidP="00F504E0">
      <w:pPr>
        <w:spacing w:line="276" w:lineRule="auto"/>
        <w:jc w:val="both"/>
        <w:rPr>
          <w:lang w:val="en-GB"/>
        </w:rPr>
      </w:pPr>
    </w:p>
    <w:p w14:paraId="7C352807" w14:textId="77777777" w:rsidR="00C742B4" w:rsidRPr="00C80926" w:rsidRDefault="00C742B4" w:rsidP="00C742B4">
      <w:pPr>
        <w:spacing w:line="276" w:lineRule="auto"/>
        <w:ind w:left="720"/>
        <w:jc w:val="both"/>
        <w:rPr>
          <w:lang w:val="en-GB"/>
        </w:rPr>
      </w:pPr>
      <w:r w:rsidRPr="00C80926">
        <w:rPr>
          <w:lang w:val="en-GB"/>
        </w:rPr>
        <w:t>once the patient is informed in broad terms of the nature of the procedure which is intended, and gives her consent, that consent is realm and the cause of action on which to base a claim for failure to go into risks and implications is negligence, not trespass.</w:t>
      </w:r>
      <w:r w:rsidRPr="00C80926">
        <w:rPr>
          <w:vertAlign w:val="superscript"/>
          <w:lang w:val="en-GB"/>
        </w:rPr>
        <w:footnoteReference w:id="13"/>
      </w:r>
    </w:p>
    <w:p w14:paraId="5E0BAD0A" w14:textId="77777777" w:rsidR="00F005E6" w:rsidRPr="009B093C" w:rsidRDefault="00F005E6" w:rsidP="00F504E0">
      <w:pPr>
        <w:spacing w:line="276" w:lineRule="auto"/>
        <w:jc w:val="both"/>
        <w:rPr>
          <w:lang w:val="en-GB"/>
        </w:rPr>
      </w:pPr>
    </w:p>
    <w:p w14:paraId="00FA35C6" w14:textId="1FA60834" w:rsidR="00F504E0" w:rsidRPr="009B093C" w:rsidRDefault="00B03775" w:rsidP="00F504E0">
      <w:pPr>
        <w:spacing w:line="276" w:lineRule="auto"/>
        <w:jc w:val="both"/>
        <w:rPr>
          <w:lang w:val="en-GB"/>
        </w:rPr>
      </w:pPr>
      <w:r>
        <w:rPr>
          <w:lang w:val="en-GB"/>
        </w:rPr>
        <w:t>A</w:t>
      </w:r>
      <w:r w:rsidR="00F504E0" w:rsidRPr="009B093C">
        <w:rPr>
          <w:lang w:val="en-GB"/>
        </w:rPr>
        <w:t>voiding liability for trespass requires a doctor to inform a patient of the broad nature of the procedure</w:t>
      </w:r>
      <w:r w:rsidR="00F97D3E">
        <w:rPr>
          <w:lang w:val="en-GB"/>
        </w:rPr>
        <w:t xml:space="preserve"> (</w:t>
      </w:r>
      <w:r w:rsidR="00F504E0" w:rsidRPr="009B093C">
        <w:rPr>
          <w:lang w:val="en-GB"/>
        </w:rPr>
        <w:t xml:space="preserve">a </w:t>
      </w:r>
      <w:r w:rsidR="00954431" w:rsidRPr="009B093C">
        <w:rPr>
          <w:lang w:val="en-GB"/>
        </w:rPr>
        <w:t xml:space="preserve">synthetic </w:t>
      </w:r>
      <w:r w:rsidR="00F504E0" w:rsidRPr="009B093C">
        <w:rPr>
          <w:lang w:val="en-GB"/>
        </w:rPr>
        <w:t xml:space="preserve">tracheal transplant and </w:t>
      </w:r>
      <w:r w:rsidR="00543A56">
        <w:rPr>
          <w:lang w:val="en-GB"/>
        </w:rPr>
        <w:t>why</w:t>
      </w:r>
      <w:r w:rsidR="00F504E0" w:rsidRPr="009B093C">
        <w:rPr>
          <w:lang w:val="en-GB"/>
        </w:rPr>
        <w:t xml:space="preserve"> necessary</w:t>
      </w:r>
      <w:r w:rsidR="00F97D3E">
        <w:rPr>
          <w:lang w:val="en-GB"/>
        </w:rPr>
        <w:t>)</w:t>
      </w:r>
      <w:r w:rsidR="00F504E0" w:rsidRPr="009B093C">
        <w:rPr>
          <w:lang w:val="en-GB"/>
        </w:rPr>
        <w:t xml:space="preserve">, whereas to discharge the duty in negligence a doctor must disclose </w:t>
      </w:r>
      <w:r w:rsidR="00153689">
        <w:rPr>
          <w:lang w:val="en-GB"/>
        </w:rPr>
        <w:t xml:space="preserve">the </w:t>
      </w:r>
      <w:r w:rsidR="00361964">
        <w:rPr>
          <w:lang w:val="en-GB"/>
        </w:rPr>
        <w:t xml:space="preserve">material </w:t>
      </w:r>
      <w:r w:rsidR="00954431" w:rsidRPr="009B093C">
        <w:rPr>
          <w:lang w:val="en-GB"/>
        </w:rPr>
        <w:t xml:space="preserve">risks </w:t>
      </w:r>
      <w:r w:rsidR="00361964">
        <w:rPr>
          <w:lang w:val="en-GB"/>
        </w:rPr>
        <w:t>of th</w:t>
      </w:r>
      <w:r w:rsidR="00AC34FE">
        <w:rPr>
          <w:lang w:val="en-GB"/>
        </w:rPr>
        <w:t xml:space="preserve">e </w:t>
      </w:r>
      <w:r w:rsidR="00954431" w:rsidRPr="009B093C">
        <w:rPr>
          <w:lang w:val="en-GB"/>
        </w:rPr>
        <w:t>operation and</w:t>
      </w:r>
      <w:r w:rsidR="00067817">
        <w:rPr>
          <w:lang w:val="en-GB"/>
        </w:rPr>
        <w:t xml:space="preserve"> </w:t>
      </w:r>
      <w:r w:rsidR="00AC34FE">
        <w:rPr>
          <w:lang w:val="en-GB"/>
        </w:rPr>
        <w:t xml:space="preserve">its </w:t>
      </w:r>
      <w:r w:rsidR="00954431" w:rsidRPr="009B093C">
        <w:rPr>
          <w:lang w:val="en-GB"/>
        </w:rPr>
        <w:t xml:space="preserve">alternatives (risks of a synthetic trachea and the alternative of a living tracheal transplant).  </w:t>
      </w:r>
      <w:r w:rsidR="00580672">
        <w:rPr>
          <w:lang w:val="en-GB"/>
        </w:rPr>
        <w:t xml:space="preserve">In other words, the patient needs to understand the broad nature of the interference with their bodily integrity </w:t>
      </w:r>
      <w:r w:rsidR="008D5C34">
        <w:rPr>
          <w:lang w:val="en-GB"/>
        </w:rPr>
        <w:t>to authorise physical contact that would otherwise be a battery</w:t>
      </w:r>
      <w:r w:rsidR="00580672">
        <w:rPr>
          <w:lang w:val="en-GB"/>
        </w:rPr>
        <w:t xml:space="preserve">.  </w:t>
      </w:r>
      <w:r w:rsidR="00954431" w:rsidRPr="009B093C">
        <w:rPr>
          <w:lang w:val="en-GB"/>
        </w:rPr>
        <w:t>This paper first consider</w:t>
      </w:r>
      <w:r w:rsidR="000A2A7C">
        <w:rPr>
          <w:lang w:val="en-GB"/>
        </w:rPr>
        <w:t>s</w:t>
      </w:r>
      <w:r w:rsidR="00954431" w:rsidRPr="009B093C">
        <w:rPr>
          <w:lang w:val="en-GB"/>
        </w:rPr>
        <w:t xml:space="preserve"> consent </w:t>
      </w:r>
      <w:r w:rsidR="00AC34FE">
        <w:rPr>
          <w:lang w:val="en-GB"/>
        </w:rPr>
        <w:t xml:space="preserve">to innovative treatment </w:t>
      </w:r>
      <w:r w:rsidR="00954431" w:rsidRPr="009B093C">
        <w:rPr>
          <w:lang w:val="en-GB"/>
        </w:rPr>
        <w:t>in relation to trespass and then turn</w:t>
      </w:r>
      <w:r w:rsidR="006D7955">
        <w:rPr>
          <w:lang w:val="en-GB"/>
        </w:rPr>
        <w:t>s</w:t>
      </w:r>
      <w:r w:rsidR="00954431" w:rsidRPr="009B093C">
        <w:rPr>
          <w:lang w:val="en-GB"/>
        </w:rPr>
        <w:t xml:space="preserve"> to negligence.</w:t>
      </w:r>
    </w:p>
    <w:p w14:paraId="19ED97F1" w14:textId="77777777" w:rsidR="00954431" w:rsidRPr="009B093C" w:rsidRDefault="00954431" w:rsidP="00F504E0">
      <w:pPr>
        <w:spacing w:line="276" w:lineRule="auto"/>
        <w:jc w:val="both"/>
        <w:rPr>
          <w:lang w:val="en-GB"/>
        </w:rPr>
      </w:pPr>
    </w:p>
    <w:p w14:paraId="4AEAB611" w14:textId="77777777" w:rsidR="00954431" w:rsidRPr="00C80926" w:rsidRDefault="00954431" w:rsidP="00EF5A96">
      <w:pPr>
        <w:spacing w:line="276" w:lineRule="auto"/>
        <w:jc w:val="both"/>
        <w:outlineLvl w:val="0"/>
        <w:rPr>
          <w:lang w:val="en-GB"/>
        </w:rPr>
      </w:pPr>
      <w:r w:rsidRPr="00C80926">
        <w:rPr>
          <w:b/>
          <w:lang w:val="en-GB"/>
        </w:rPr>
        <w:t>Consent, Medical Trespass and Innovation</w:t>
      </w:r>
    </w:p>
    <w:p w14:paraId="7FB90CEE" w14:textId="4A4050CD" w:rsidR="00954431" w:rsidRDefault="00C668D8" w:rsidP="00954431">
      <w:pPr>
        <w:spacing w:line="276" w:lineRule="auto"/>
        <w:jc w:val="both"/>
        <w:rPr>
          <w:lang w:val="en-GB"/>
        </w:rPr>
      </w:pPr>
      <w:r>
        <w:rPr>
          <w:lang w:val="en-GB"/>
        </w:rPr>
        <w:t>W</w:t>
      </w:r>
      <w:r w:rsidR="00954431" w:rsidRPr="008B309C">
        <w:rPr>
          <w:lang w:val="en-GB"/>
        </w:rPr>
        <w:t xml:space="preserve">hen </w:t>
      </w:r>
      <w:r>
        <w:rPr>
          <w:lang w:val="en-GB"/>
        </w:rPr>
        <w:t xml:space="preserve">medical </w:t>
      </w:r>
      <w:r w:rsidR="00954431" w:rsidRPr="008B309C">
        <w:rPr>
          <w:lang w:val="en-GB"/>
        </w:rPr>
        <w:t xml:space="preserve">treatment is </w:t>
      </w:r>
      <w:r w:rsidR="003E1C06">
        <w:rPr>
          <w:lang w:val="en-GB"/>
        </w:rPr>
        <w:t xml:space="preserve">provided </w:t>
      </w:r>
      <w:r w:rsidR="00954431" w:rsidRPr="008B309C">
        <w:rPr>
          <w:lang w:val="en-GB"/>
        </w:rPr>
        <w:t xml:space="preserve">without consent, a </w:t>
      </w:r>
      <w:r w:rsidR="00361964">
        <w:rPr>
          <w:lang w:val="en-GB"/>
        </w:rPr>
        <w:t xml:space="preserve">trespass </w:t>
      </w:r>
      <w:r w:rsidR="00954431" w:rsidRPr="008B309C">
        <w:rPr>
          <w:lang w:val="en-GB"/>
        </w:rPr>
        <w:t xml:space="preserve">claim </w:t>
      </w:r>
      <w:r w:rsidR="006F5592">
        <w:rPr>
          <w:lang w:val="en-GB"/>
        </w:rPr>
        <w:t>f</w:t>
      </w:r>
      <w:r w:rsidR="00C742B4" w:rsidRPr="008B309C">
        <w:rPr>
          <w:lang w:val="en-GB"/>
        </w:rPr>
        <w:t>o</w:t>
      </w:r>
      <w:r w:rsidR="006F5592">
        <w:rPr>
          <w:lang w:val="en-GB"/>
        </w:rPr>
        <w:t>r</w:t>
      </w:r>
      <w:r w:rsidR="00C742B4" w:rsidRPr="008B309C">
        <w:rPr>
          <w:lang w:val="en-GB"/>
        </w:rPr>
        <w:t xml:space="preserve"> </w:t>
      </w:r>
      <w:r w:rsidR="00954431" w:rsidRPr="008B309C">
        <w:rPr>
          <w:lang w:val="en-GB"/>
        </w:rPr>
        <w:t>battery may arise.</w:t>
      </w:r>
      <w:r w:rsidR="00954431" w:rsidRPr="008B309C">
        <w:rPr>
          <w:vertAlign w:val="superscript"/>
          <w:lang w:val="en-GB"/>
        </w:rPr>
        <w:footnoteReference w:id="14"/>
      </w:r>
      <w:r w:rsidR="00954431" w:rsidRPr="008B309C">
        <w:rPr>
          <w:lang w:val="en-GB"/>
        </w:rPr>
        <w:t xml:space="preserve"> </w:t>
      </w:r>
      <w:r w:rsidR="00BA2ACE">
        <w:rPr>
          <w:lang w:val="en-GB"/>
        </w:rPr>
        <w:t>B</w:t>
      </w:r>
      <w:r w:rsidR="006970EF">
        <w:rPr>
          <w:lang w:val="en-GB"/>
        </w:rPr>
        <w:t>attery is ‘invasion of the physical person of the [claimant]’</w:t>
      </w:r>
      <w:r w:rsidR="0057123D">
        <w:rPr>
          <w:lang w:val="en-GB"/>
        </w:rPr>
        <w:t>,</w:t>
      </w:r>
      <w:r w:rsidR="006970EF">
        <w:rPr>
          <w:rStyle w:val="FootnoteReference"/>
          <w:lang w:val="en-GB"/>
        </w:rPr>
        <w:footnoteReference w:id="15"/>
      </w:r>
      <w:r w:rsidR="006970EF">
        <w:rPr>
          <w:lang w:val="en-GB"/>
        </w:rPr>
        <w:t xml:space="preserve"> </w:t>
      </w:r>
      <w:r w:rsidR="00EC5F41">
        <w:rPr>
          <w:lang w:val="en-GB"/>
        </w:rPr>
        <w:t>exceeding</w:t>
      </w:r>
      <w:r w:rsidR="0057123D">
        <w:rPr>
          <w:lang w:val="en-GB"/>
        </w:rPr>
        <w:t xml:space="preserve"> ‘physical contact which is generally acceptable in the ordinary conduct of daily life’</w:t>
      </w:r>
      <w:r w:rsidR="00AC725B">
        <w:rPr>
          <w:lang w:val="en-GB"/>
        </w:rPr>
        <w:t>.</w:t>
      </w:r>
      <w:r w:rsidR="00682EFE">
        <w:rPr>
          <w:rStyle w:val="FootnoteReference"/>
          <w:lang w:val="en-GB"/>
        </w:rPr>
        <w:footnoteReference w:id="16"/>
      </w:r>
      <w:r w:rsidR="00682EFE">
        <w:rPr>
          <w:lang w:val="en-GB"/>
        </w:rPr>
        <w:t xml:space="preserve"> </w:t>
      </w:r>
      <w:r w:rsidR="00954431" w:rsidRPr="008B309C">
        <w:rPr>
          <w:lang w:val="en-GB"/>
        </w:rPr>
        <w:t>Consent ‘transforms what would otherwise be unlawful into acceptable</w:t>
      </w:r>
      <w:r w:rsidR="005040CB">
        <w:rPr>
          <w:lang w:val="en-GB"/>
        </w:rPr>
        <w:t>.</w:t>
      </w:r>
      <w:r w:rsidR="00954431" w:rsidRPr="008B309C">
        <w:rPr>
          <w:lang w:val="en-GB"/>
        </w:rPr>
        <w:t>’</w:t>
      </w:r>
      <w:r w:rsidR="00954431" w:rsidRPr="008B309C">
        <w:rPr>
          <w:vertAlign w:val="superscript"/>
          <w:lang w:val="en-GB"/>
        </w:rPr>
        <w:footnoteReference w:id="17"/>
      </w:r>
      <w:r w:rsidR="00954431" w:rsidRPr="008B309C">
        <w:rPr>
          <w:lang w:val="en-GB"/>
        </w:rPr>
        <w:t xml:space="preserve"> </w:t>
      </w:r>
      <w:r w:rsidR="00954431" w:rsidRPr="005040CB">
        <w:rPr>
          <w:lang w:val="en-GB"/>
        </w:rPr>
        <w:t xml:space="preserve">In </w:t>
      </w:r>
      <w:r w:rsidR="00F95D9B">
        <w:rPr>
          <w:lang w:val="en-GB"/>
        </w:rPr>
        <w:t xml:space="preserve">medical </w:t>
      </w:r>
      <w:r w:rsidR="00954431" w:rsidRPr="005040CB">
        <w:rPr>
          <w:lang w:val="en-GB"/>
        </w:rPr>
        <w:t xml:space="preserve">trespass, the significance of </w:t>
      </w:r>
      <w:r w:rsidR="00F95D9B">
        <w:rPr>
          <w:lang w:val="en-GB"/>
        </w:rPr>
        <w:t>protecting</w:t>
      </w:r>
      <w:r w:rsidR="00954431" w:rsidRPr="005040CB">
        <w:rPr>
          <w:lang w:val="en-GB"/>
        </w:rPr>
        <w:t xml:space="preserve"> bodily integrity and patient self-determination </w:t>
      </w:r>
      <w:r w:rsidR="00F95D9B">
        <w:rPr>
          <w:lang w:val="en-GB"/>
        </w:rPr>
        <w:t>is</w:t>
      </w:r>
      <w:r w:rsidR="00954431" w:rsidRPr="005040CB">
        <w:rPr>
          <w:lang w:val="en-GB"/>
        </w:rPr>
        <w:t xml:space="preserve"> the ability to refuse treatment.  </w:t>
      </w:r>
      <w:r w:rsidR="00FB43A7" w:rsidRPr="005040CB">
        <w:rPr>
          <w:lang w:val="en-GB"/>
        </w:rPr>
        <w:t xml:space="preserve">If a doctor </w:t>
      </w:r>
      <w:r w:rsidR="00FB43A7">
        <w:rPr>
          <w:lang w:val="en-GB"/>
        </w:rPr>
        <w:t>conducts</w:t>
      </w:r>
      <w:r w:rsidR="00FB43A7" w:rsidRPr="005040CB">
        <w:rPr>
          <w:lang w:val="en-GB"/>
        </w:rPr>
        <w:t xml:space="preserve"> a procedure </w:t>
      </w:r>
      <w:r w:rsidR="00FB43A7">
        <w:rPr>
          <w:lang w:val="en-GB"/>
        </w:rPr>
        <w:t xml:space="preserve">a </w:t>
      </w:r>
      <w:r w:rsidR="00FB43A7" w:rsidRPr="005040CB">
        <w:rPr>
          <w:lang w:val="en-GB"/>
        </w:rPr>
        <w:t xml:space="preserve">competent patient </w:t>
      </w:r>
      <w:r w:rsidR="00FB43A7">
        <w:rPr>
          <w:lang w:val="en-GB"/>
        </w:rPr>
        <w:t>refuses</w:t>
      </w:r>
      <w:r w:rsidR="00FB43A7" w:rsidRPr="005040CB">
        <w:rPr>
          <w:lang w:val="en-GB"/>
        </w:rPr>
        <w:t xml:space="preserve">, even </w:t>
      </w:r>
      <w:r w:rsidR="00FB43A7">
        <w:rPr>
          <w:lang w:val="en-GB"/>
        </w:rPr>
        <w:t>where treatment</w:t>
      </w:r>
      <w:r w:rsidR="00FB43A7" w:rsidRPr="005040CB">
        <w:rPr>
          <w:lang w:val="en-GB"/>
        </w:rPr>
        <w:t xml:space="preserve"> is, objectively, in </w:t>
      </w:r>
      <w:r w:rsidR="00FB43A7">
        <w:rPr>
          <w:lang w:val="en-GB"/>
        </w:rPr>
        <w:t xml:space="preserve">their </w:t>
      </w:r>
      <w:r w:rsidR="00FB43A7" w:rsidRPr="005040CB">
        <w:rPr>
          <w:lang w:val="en-GB"/>
        </w:rPr>
        <w:t>best interests, ‘it is unlawful for doctors to administer that treatment.’</w:t>
      </w:r>
      <w:r w:rsidR="00FB43A7" w:rsidRPr="005040CB">
        <w:rPr>
          <w:vertAlign w:val="superscript"/>
          <w:lang w:val="en-GB"/>
        </w:rPr>
        <w:footnoteReference w:id="18"/>
      </w:r>
      <w:r w:rsidR="00FB43A7">
        <w:rPr>
          <w:lang w:val="en-GB"/>
        </w:rPr>
        <w:t xml:space="preserve"> </w:t>
      </w:r>
      <w:r w:rsidR="006D42EF">
        <w:rPr>
          <w:lang w:val="en-GB"/>
        </w:rPr>
        <w:t xml:space="preserve">Patients can </w:t>
      </w:r>
      <w:r w:rsidR="006E3A6B">
        <w:rPr>
          <w:lang w:val="en-GB"/>
        </w:rPr>
        <w:t xml:space="preserve">therefore </w:t>
      </w:r>
      <w:r w:rsidR="006D42EF">
        <w:rPr>
          <w:lang w:val="en-GB"/>
        </w:rPr>
        <w:t>choose to accept or reject innovative treatments</w:t>
      </w:r>
      <w:r w:rsidR="00B96013">
        <w:rPr>
          <w:lang w:val="en-GB"/>
        </w:rPr>
        <w:t xml:space="preserve"> and, in doing so, control whether they </w:t>
      </w:r>
      <w:r w:rsidR="0007719A">
        <w:rPr>
          <w:lang w:val="en-GB"/>
        </w:rPr>
        <w:t>adopt</w:t>
      </w:r>
      <w:r w:rsidR="00B96013">
        <w:rPr>
          <w:lang w:val="en-GB"/>
        </w:rPr>
        <w:t xml:space="preserve"> the role of ‘Guinea Pig</w:t>
      </w:r>
      <w:r w:rsidR="003E1C06">
        <w:rPr>
          <w:lang w:val="en-GB"/>
        </w:rPr>
        <w:t>.</w:t>
      </w:r>
      <w:r w:rsidR="00B96013">
        <w:rPr>
          <w:lang w:val="en-GB"/>
        </w:rPr>
        <w:t>’</w:t>
      </w:r>
      <w:r w:rsidR="00B96013">
        <w:rPr>
          <w:rStyle w:val="FootnoteReference"/>
          <w:lang w:val="en-GB"/>
        </w:rPr>
        <w:footnoteReference w:id="19"/>
      </w:r>
      <w:r w:rsidR="006D42EF">
        <w:rPr>
          <w:lang w:val="en-GB"/>
        </w:rPr>
        <w:t xml:space="preserve"> </w:t>
      </w:r>
    </w:p>
    <w:p w14:paraId="158C15C1" w14:textId="77777777" w:rsidR="00A415B4" w:rsidRPr="005040CB" w:rsidRDefault="00A415B4" w:rsidP="00954431">
      <w:pPr>
        <w:spacing w:line="276" w:lineRule="auto"/>
        <w:jc w:val="both"/>
        <w:rPr>
          <w:lang w:val="en-GB"/>
        </w:rPr>
      </w:pPr>
    </w:p>
    <w:p w14:paraId="23AF3E38" w14:textId="550EB082" w:rsidR="00AC725B" w:rsidRDefault="00A415B4" w:rsidP="005A193E">
      <w:pPr>
        <w:spacing w:line="276" w:lineRule="auto"/>
        <w:jc w:val="both"/>
        <w:rPr>
          <w:lang w:val="en-GB"/>
        </w:rPr>
      </w:pPr>
      <w:r>
        <w:rPr>
          <w:lang w:val="en-GB"/>
        </w:rPr>
        <w:t xml:space="preserve">Assuming </w:t>
      </w:r>
      <w:r w:rsidR="0010391C" w:rsidRPr="00A332C5">
        <w:rPr>
          <w:lang w:val="en-GB"/>
        </w:rPr>
        <w:t xml:space="preserve">basic information </w:t>
      </w:r>
      <w:r w:rsidR="00FB43A7">
        <w:rPr>
          <w:lang w:val="en-GB"/>
        </w:rPr>
        <w:t>is provided</w:t>
      </w:r>
      <w:r w:rsidR="00FB43A7" w:rsidRPr="00A332C5">
        <w:rPr>
          <w:lang w:val="en-GB"/>
        </w:rPr>
        <w:t xml:space="preserve"> </w:t>
      </w:r>
      <w:r w:rsidR="0010391C" w:rsidRPr="00A332C5">
        <w:rPr>
          <w:lang w:val="en-GB"/>
        </w:rPr>
        <w:t>about the proposed procedure</w:t>
      </w:r>
      <w:r w:rsidR="0010391C">
        <w:rPr>
          <w:lang w:val="en-GB"/>
        </w:rPr>
        <w:t>, f</w:t>
      </w:r>
      <w:r w:rsidR="00954431" w:rsidRPr="00DA2EAA">
        <w:rPr>
          <w:lang w:val="en-GB"/>
        </w:rPr>
        <w:t xml:space="preserve">or </w:t>
      </w:r>
      <w:r w:rsidR="00A510E1" w:rsidRPr="00DA2EAA">
        <w:rPr>
          <w:lang w:val="en-GB"/>
        </w:rPr>
        <w:t>consent to be valid</w:t>
      </w:r>
      <w:r w:rsidR="00F95D9B">
        <w:rPr>
          <w:lang w:val="en-GB"/>
        </w:rPr>
        <w:t xml:space="preserve">, </w:t>
      </w:r>
      <w:r w:rsidR="0010391C">
        <w:rPr>
          <w:lang w:val="en-GB"/>
        </w:rPr>
        <w:t>the</w:t>
      </w:r>
      <w:r>
        <w:rPr>
          <w:lang w:val="en-GB"/>
        </w:rPr>
        <w:t xml:space="preserve"> patient</w:t>
      </w:r>
      <w:r w:rsidR="0010391C">
        <w:rPr>
          <w:lang w:val="en-GB"/>
        </w:rPr>
        <w:t xml:space="preserve"> </w:t>
      </w:r>
      <w:r w:rsidR="00954431" w:rsidRPr="00DA2EAA">
        <w:rPr>
          <w:lang w:val="en-GB"/>
        </w:rPr>
        <w:t>must have capacity</w:t>
      </w:r>
      <w:r w:rsidR="00A87A1D">
        <w:rPr>
          <w:lang w:val="en-GB"/>
        </w:rPr>
        <w:t>,</w:t>
      </w:r>
      <w:r w:rsidR="00A510E1" w:rsidRPr="00DA2EAA">
        <w:rPr>
          <w:rStyle w:val="FootnoteReference"/>
          <w:lang w:val="en-GB"/>
        </w:rPr>
        <w:footnoteReference w:id="20"/>
      </w:r>
      <w:r w:rsidR="00A87A1D">
        <w:rPr>
          <w:lang w:val="en-GB"/>
        </w:rPr>
        <w:t xml:space="preserve"> c</w:t>
      </w:r>
      <w:r w:rsidR="00954431" w:rsidRPr="00DA2EAA">
        <w:rPr>
          <w:lang w:val="en-GB"/>
        </w:rPr>
        <w:t xml:space="preserve">onsent must be voluntary, and relate to the actual treatment </w:t>
      </w:r>
      <w:r w:rsidR="00954431" w:rsidRPr="00DA2EAA">
        <w:rPr>
          <w:lang w:val="en-GB"/>
        </w:rPr>
        <w:lastRenderedPageBreak/>
        <w:t>performed.</w:t>
      </w:r>
      <w:r>
        <w:rPr>
          <w:lang w:val="en-GB"/>
        </w:rPr>
        <w:t xml:space="preserve"> </w:t>
      </w:r>
      <w:r w:rsidR="00153689">
        <w:rPr>
          <w:lang w:val="en-GB"/>
        </w:rPr>
        <w:t>C</w:t>
      </w:r>
      <w:r w:rsidR="0020561C">
        <w:rPr>
          <w:lang w:val="en-GB"/>
        </w:rPr>
        <w:t xml:space="preserve">onsent may be vitiated </w:t>
      </w:r>
      <w:r w:rsidR="0010391C">
        <w:rPr>
          <w:lang w:val="en-GB"/>
        </w:rPr>
        <w:t xml:space="preserve">by misrepresentation about the nature of the procedure </w:t>
      </w:r>
      <w:r w:rsidR="0020561C">
        <w:rPr>
          <w:lang w:val="en-GB"/>
        </w:rPr>
        <w:t xml:space="preserve">(for example </w:t>
      </w:r>
      <w:r w:rsidR="0010391C">
        <w:rPr>
          <w:lang w:val="en-GB"/>
        </w:rPr>
        <w:t xml:space="preserve">where </w:t>
      </w:r>
      <w:r w:rsidR="0020561C">
        <w:rPr>
          <w:lang w:val="en-GB"/>
        </w:rPr>
        <w:t>the treatment is not objectively capable of addressing the patient’s condition).</w:t>
      </w:r>
      <w:r w:rsidR="0010391C">
        <w:rPr>
          <w:rStyle w:val="FootnoteReference"/>
          <w:lang w:val="en-GB"/>
        </w:rPr>
        <w:footnoteReference w:id="21"/>
      </w:r>
      <w:r w:rsidR="0020561C">
        <w:rPr>
          <w:lang w:val="en-GB"/>
        </w:rPr>
        <w:t xml:space="preserve"> </w:t>
      </w:r>
    </w:p>
    <w:p w14:paraId="07508094" w14:textId="77777777" w:rsidR="00AC725B" w:rsidRDefault="00AC725B" w:rsidP="005A193E">
      <w:pPr>
        <w:spacing w:line="276" w:lineRule="auto"/>
        <w:jc w:val="both"/>
        <w:rPr>
          <w:lang w:val="en-GB"/>
        </w:rPr>
      </w:pPr>
    </w:p>
    <w:p w14:paraId="6A44B668" w14:textId="39BD3409" w:rsidR="00270280" w:rsidRDefault="00CC7D29" w:rsidP="00954431">
      <w:pPr>
        <w:spacing w:line="276" w:lineRule="auto"/>
        <w:jc w:val="both"/>
        <w:rPr>
          <w:lang w:val="en-GB"/>
        </w:rPr>
      </w:pPr>
      <w:r>
        <w:rPr>
          <w:lang w:val="en-GB"/>
        </w:rPr>
        <w:t>W</w:t>
      </w:r>
      <w:r w:rsidR="007D2944" w:rsidRPr="00A332C5">
        <w:rPr>
          <w:lang w:val="en-GB"/>
        </w:rPr>
        <w:t xml:space="preserve">here the proposed treatment is capable of therapeutic effect, </w:t>
      </w:r>
      <w:r w:rsidR="005040CB">
        <w:rPr>
          <w:lang w:val="en-GB"/>
        </w:rPr>
        <w:t xml:space="preserve">to </w:t>
      </w:r>
      <w:r w:rsidR="00954431" w:rsidRPr="00A332C5">
        <w:rPr>
          <w:lang w:val="en-GB"/>
        </w:rPr>
        <w:t>determin</w:t>
      </w:r>
      <w:r w:rsidR="005040CB">
        <w:rPr>
          <w:lang w:val="en-GB"/>
        </w:rPr>
        <w:t xml:space="preserve">e </w:t>
      </w:r>
      <w:r w:rsidR="00954431" w:rsidRPr="00A332C5">
        <w:rPr>
          <w:lang w:val="en-GB"/>
        </w:rPr>
        <w:t xml:space="preserve">the effects of misrepresentation, the core elements defining the nature of the procedure must be distinguished from peripheral elements </w:t>
      </w:r>
      <w:r w:rsidR="00DA2EAA">
        <w:rPr>
          <w:lang w:val="en-GB"/>
        </w:rPr>
        <w:t xml:space="preserve">like </w:t>
      </w:r>
      <w:r w:rsidR="00361964">
        <w:rPr>
          <w:lang w:val="en-GB"/>
        </w:rPr>
        <w:t xml:space="preserve">risk </w:t>
      </w:r>
      <w:r w:rsidR="00954431" w:rsidRPr="00A332C5">
        <w:rPr>
          <w:lang w:val="en-GB"/>
        </w:rPr>
        <w:t xml:space="preserve">discussion </w:t>
      </w:r>
      <w:r w:rsidR="00E11B70" w:rsidRPr="00A332C5">
        <w:rPr>
          <w:lang w:val="en-GB"/>
        </w:rPr>
        <w:t xml:space="preserve">– </w:t>
      </w:r>
      <w:r w:rsidR="00361964">
        <w:rPr>
          <w:lang w:val="en-GB"/>
        </w:rPr>
        <w:t xml:space="preserve">absent </w:t>
      </w:r>
      <w:r w:rsidR="00E11B70" w:rsidRPr="00A332C5">
        <w:rPr>
          <w:lang w:val="en-GB"/>
        </w:rPr>
        <w:t>or wrong advice about risks will not vitiate consent, but may be negligent</w:t>
      </w:r>
      <w:r w:rsidR="00954431" w:rsidRPr="00A332C5">
        <w:rPr>
          <w:lang w:val="en-GB"/>
        </w:rPr>
        <w:t>.</w:t>
      </w:r>
      <w:r w:rsidR="00C645D8">
        <w:rPr>
          <w:rStyle w:val="FootnoteReference"/>
          <w:lang w:val="en-GB"/>
        </w:rPr>
        <w:footnoteReference w:id="22"/>
      </w:r>
      <w:r w:rsidR="00AC725B">
        <w:rPr>
          <w:lang w:val="en-GB"/>
        </w:rPr>
        <w:t xml:space="preserve"> </w:t>
      </w:r>
      <w:r w:rsidR="00B03775">
        <w:rPr>
          <w:lang w:val="en-GB"/>
        </w:rPr>
        <w:t>I</w:t>
      </w:r>
      <w:r w:rsidR="00F95D9B">
        <w:rPr>
          <w:lang w:val="en-GB"/>
        </w:rPr>
        <w:t>f</w:t>
      </w:r>
      <w:r w:rsidR="00F95D9B" w:rsidRPr="00BE3703">
        <w:rPr>
          <w:lang w:val="en-GB"/>
        </w:rPr>
        <w:t xml:space="preserve"> </w:t>
      </w:r>
      <w:r w:rsidR="00954431" w:rsidRPr="00BE3703">
        <w:rPr>
          <w:lang w:val="en-GB"/>
        </w:rPr>
        <w:t xml:space="preserve">a patient consents to </w:t>
      </w:r>
      <w:r w:rsidR="00F95D9B">
        <w:rPr>
          <w:lang w:val="en-GB"/>
        </w:rPr>
        <w:t xml:space="preserve">one </w:t>
      </w:r>
      <w:r w:rsidR="00954431" w:rsidRPr="00BE3703">
        <w:rPr>
          <w:lang w:val="en-GB"/>
        </w:rPr>
        <w:t xml:space="preserve">procedure but a different </w:t>
      </w:r>
      <w:r w:rsidR="003E1C06">
        <w:rPr>
          <w:lang w:val="en-GB"/>
        </w:rPr>
        <w:t>procedure</w:t>
      </w:r>
      <w:r w:rsidR="003E1C06" w:rsidRPr="00BE3703">
        <w:rPr>
          <w:lang w:val="en-GB"/>
        </w:rPr>
        <w:t xml:space="preserve"> </w:t>
      </w:r>
      <w:r w:rsidR="00954431" w:rsidRPr="00BE3703">
        <w:rPr>
          <w:lang w:val="en-GB"/>
        </w:rPr>
        <w:t xml:space="preserve">is undertaken, consent </w:t>
      </w:r>
      <w:r w:rsidR="00FB43A7">
        <w:rPr>
          <w:lang w:val="en-GB"/>
        </w:rPr>
        <w:t xml:space="preserve">is </w:t>
      </w:r>
      <w:r w:rsidR="00C02FAA">
        <w:rPr>
          <w:lang w:val="en-GB"/>
        </w:rPr>
        <w:t>absent</w:t>
      </w:r>
      <w:r w:rsidR="00C02FAA" w:rsidRPr="00BE3703">
        <w:rPr>
          <w:lang w:val="en-GB"/>
        </w:rPr>
        <w:t xml:space="preserve"> </w:t>
      </w:r>
      <w:r w:rsidR="00954431" w:rsidRPr="00BE3703">
        <w:rPr>
          <w:lang w:val="en-GB"/>
        </w:rPr>
        <w:t xml:space="preserve">because it is not </w:t>
      </w:r>
      <w:r w:rsidR="00F95D9B">
        <w:rPr>
          <w:lang w:val="en-GB"/>
        </w:rPr>
        <w:t xml:space="preserve">the act </w:t>
      </w:r>
      <w:r w:rsidR="00954431" w:rsidRPr="00BE3703">
        <w:rPr>
          <w:lang w:val="en-GB"/>
        </w:rPr>
        <w:t>consent</w:t>
      </w:r>
      <w:r w:rsidR="00F95D9B">
        <w:rPr>
          <w:lang w:val="en-GB"/>
        </w:rPr>
        <w:t>ed</w:t>
      </w:r>
      <w:r w:rsidR="00954431" w:rsidRPr="00BE3703">
        <w:rPr>
          <w:lang w:val="en-GB"/>
        </w:rPr>
        <w:t xml:space="preserve"> to.</w:t>
      </w:r>
      <w:r w:rsidR="00954431" w:rsidRPr="00BE3703">
        <w:rPr>
          <w:vertAlign w:val="superscript"/>
          <w:lang w:val="en-GB"/>
        </w:rPr>
        <w:footnoteReference w:id="23"/>
      </w:r>
      <w:r w:rsidR="00954431" w:rsidRPr="00BE3703">
        <w:rPr>
          <w:lang w:val="en-GB"/>
        </w:rPr>
        <w:t xml:space="preserve">  </w:t>
      </w:r>
      <w:r w:rsidR="00BA3BBF" w:rsidRPr="00BE3703">
        <w:rPr>
          <w:lang w:val="en-GB"/>
        </w:rPr>
        <w:t xml:space="preserve">An </w:t>
      </w:r>
      <w:r w:rsidR="00C742B4" w:rsidRPr="00BE3703">
        <w:rPr>
          <w:lang w:val="en-GB"/>
        </w:rPr>
        <w:t xml:space="preserve">innovative treatment cannot therefore be performed under the auspices of another therapeutic intervention. </w:t>
      </w:r>
      <w:r w:rsidR="00FB43A7">
        <w:rPr>
          <w:lang w:val="en-GB"/>
        </w:rPr>
        <w:t xml:space="preserve">This would undermine a patient’s control of their bodily integrity. </w:t>
      </w:r>
      <w:r w:rsidR="00F708F4">
        <w:rPr>
          <w:lang w:val="en-GB"/>
        </w:rPr>
        <w:t>Understanding one procedure in broad terms</w:t>
      </w:r>
      <w:r w:rsidR="00745096">
        <w:rPr>
          <w:lang w:val="en-GB"/>
        </w:rPr>
        <w:t xml:space="preserve"> (traditional mastectomy to treat cancer)</w:t>
      </w:r>
      <w:r w:rsidR="00F708F4">
        <w:rPr>
          <w:lang w:val="en-GB"/>
        </w:rPr>
        <w:t>, and giving valid consent, does not mean a patient has consented to a different treatment for the same disease</w:t>
      </w:r>
      <w:r w:rsidR="00745096">
        <w:rPr>
          <w:lang w:val="en-GB"/>
        </w:rPr>
        <w:t xml:space="preserve"> (cleavage-sparing mastectomy</w:t>
      </w:r>
      <w:r w:rsidR="00745096" w:rsidRPr="00745096">
        <w:t xml:space="preserve"> </w:t>
      </w:r>
      <w:r w:rsidR="00745096">
        <w:t>to treat cancer with cosmetic-improving outcome</w:t>
      </w:r>
      <w:r w:rsidR="00745096">
        <w:rPr>
          <w:lang w:val="en-GB"/>
        </w:rPr>
        <w:t>)</w:t>
      </w:r>
      <w:r w:rsidR="00F708F4" w:rsidRPr="00BE3703">
        <w:rPr>
          <w:lang w:val="en-GB"/>
        </w:rPr>
        <w:t xml:space="preserve">. </w:t>
      </w:r>
    </w:p>
    <w:p w14:paraId="75548B4C" w14:textId="77777777" w:rsidR="00270280" w:rsidRDefault="00270280" w:rsidP="00954431">
      <w:pPr>
        <w:spacing w:line="276" w:lineRule="auto"/>
        <w:jc w:val="both"/>
        <w:rPr>
          <w:lang w:val="en-GB"/>
        </w:rPr>
      </w:pPr>
    </w:p>
    <w:p w14:paraId="793424F2" w14:textId="584DC66B" w:rsidR="00954431" w:rsidRPr="00BE3703" w:rsidRDefault="00BA3BBF" w:rsidP="00954431">
      <w:pPr>
        <w:spacing w:line="276" w:lineRule="auto"/>
        <w:jc w:val="both"/>
        <w:rPr>
          <w:lang w:val="en-GB"/>
        </w:rPr>
      </w:pPr>
      <w:r w:rsidRPr="00BE3703">
        <w:rPr>
          <w:lang w:val="en-GB"/>
        </w:rPr>
        <w:t xml:space="preserve">Whether failing to explain that a treatment is innovative </w:t>
      </w:r>
      <w:r w:rsidR="00C02FAA">
        <w:rPr>
          <w:lang w:val="en-GB"/>
        </w:rPr>
        <w:t xml:space="preserve">in </w:t>
      </w:r>
      <w:r w:rsidR="00745096">
        <w:rPr>
          <w:lang w:val="en-GB"/>
        </w:rPr>
        <w:t xml:space="preserve">itself </w:t>
      </w:r>
      <w:r w:rsidRPr="00BE3703">
        <w:rPr>
          <w:lang w:val="en-GB"/>
        </w:rPr>
        <w:t>invalidate</w:t>
      </w:r>
      <w:r w:rsidR="00104332">
        <w:rPr>
          <w:lang w:val="en-GB"/>
        </w:rPr>
        <w:t>s</w:t>
      </w:r>
      <w:r w:rsidRPr="00BE3703">
        <w:rPr>
          <w:lang w:val="en-GB"/>
        </w:rPr>
        <w:t xml:space="preserve"> consent is </w:t>
      </w:r>
      <w:r w:rsidR="00BE3703">
        <w:rPr>
          <w:lang w:val="en-GB"/>
        </w:rPr>
        <w:t>not so</w:t>
      </w:r>
      <w:r w:rsidRPr="00BE3703">
        <w:rPr>
          <w:lang w:val="en-GB"/>
        </w:rPr>
        <w:t xml:space="preserve"> clear, </w:t>
      </w:r>
      <w:r w:rsidR="00BE3703">
        <w:rPr>
          <w:lang w:val="en-GB"/>
        </w:rPr>
        <w:t xml:space="preserve">because </w:t>
      </w:r>
      <w:r w:rsidRPr="00BE3703">
        <w:rPr>
          <w:lang w:val="en-GB"/>
        </w:rPr>
        <w:t xml:space="preserve">to defeat a </w:t>
      </w:r>
      <w:r w:rsidR="00104332">
        <w:rPr>
          <w:lang w:val="en-GB"/>
        </w:rPr>
        <w:t xml:space="preserve">trespass </w:t>
      </w:r>
      <w:r w:rsidRPr="00BE3703">
        <w:rPr>
          <w:lang w:val="en-GB"/>
        </w:rPr>
        <w:t xml:space="preserve">claim consent must be to the broad nature of the intended treatment, not the risks and implications inherent in the procedure. </w:t>
      </w:r>
      <w:r w:rsidR="007F3B13">
        <w:rPr>
          <w:lang w:val="en-GB"/>
        </w:rPr>
        <w:t xml:space="preserve">However, </w:t>
      </w:r>
      <w:r w:rsidR="007F3B13" w:rsidRPr="00C60FF2">
        <w:rPr>
          <w:lang w:val="en-GB"/>
        </w:rPr>
        <w:t xml:space="preserve">if </w:t>
      </w:r>
      <w:r w:rsidR="007F3B13">
        <w:rPr>
          <w:lang w:val="en-GB"/>
        </w:rPr>
        <w:t xml:space="preserve">the fact a treatment is innovative </w:t>
      </w:r>
      <w:r w:rsidR="007F3B13" w:rsidRPr="00C60FF2">
        <w:rPr>
          <w:lang w:val="en-GB"/>
        </w:rPr>
        <w:t xml:space="preserve">is </w:t>
      </w:r>
      <w:r w:rsidR="007F3B13">
        <w:rPr>
          <w:lang w:val="en-GB"/>
        </w:rPr>
        <w:t xml:space="preserve">deliberately </w:t>
      </w:r>
      <w:r w:rsidR="007F3B13" w:rsidRPr="00C60FF2">
        <w:rPr>
          <w:lang w:val="en-GB"/>
        </w:rPr>
        <w:t xml:space="preserve">withheld in bad faith, </w:t>
      </w:r>
      <w:r w:rsidR="00C02FAA">
        <w:rPr>
          <w:lang w:val="en-GB"/>
        </w:rPr>
        <w:t xml:space="preserve">possibly </w:t>
      </w:r>
      <w:r w:rsidR="007F3B13">
        <w:rPr>
          <w:lang w:val="en-GB"/>
        </w:rPr>
        <w:t>‘</w:t>
      </w:r>
      <w:r w:rsidR="007F3B13" w:rsidRPr="00C60FF2">
        <w:rPr>
          <w:lang w:val="en-GB"/>
        </w:rPr>
        <w:t>the consent will be vitiated by fraud’.</w:t>
      </w:r>
      <w:r w:rsidR="007F3B13" w:rsidRPr="00C60FF2">
        <w:rPr>
          <w:vertAlign w:val="superscript"/>
          <w:lang w:val="en-GB"/>
        </w:rPr>
        <w:footnoteReference w:id="24"/>
      </w:r>
      <w:r w:rsidR="00285545">
        <w:rPr>
          <w:lang w:val="en-GB"/>
        </w:rPr>
        <w:t xml:space="preserve"> </w:t>
      </w:r>
      <w:r w:rsidRPr="00BE3703">
        <w:rPr>
          <w:lang w:val="en-GB"/>
        </w:rPr>
        <w:t>The question is whether a procedure’s innovative status qualifies as part of its broad nature or the associated risks.  If the latter, f</w:t>
      </w:r>
      <w:r w:rsidR="00954431" w:rsidRPr="00BE3703">
        <w:rPr>
          <w:lang w:val="en-GB"/>
        </w:rPr>
        <w:t>ailure to disclose risks will not</w:t>
      </w:r>
      <w:r w:rsidRPr="00BE3703">
        <w:rPr>
          <w:lang w:val="en-GB"/>
        </w:rPr>
        <w:t xml:space="preserve"> </w:t>
      </w:r>
      <w:r w:rsidR="00954431" w:rsidRPr="00BE3703">
        <w:rPr>
          <w:lang w:val="en-GB"/>
        </w:rPr>
        <w:t>invalidate patients’ consent</w:t>
      </w:r>
      <w:r w:rsidR="00BE3703">
        <w:rPr>
          <w:lang w:val="en-GB"/>
        </w:rPr>
        <w:t xml:space="preserve">, but </w:t>
      </w:r>
      <w:r w:rsidR="00E11B70" w:rsidRPr="00BE3703">
        <w:rPr>
          <w:lang w:val="en-GB"/>
        </w:rPr>
        <w:t xml:space="preserve">may be </w:t>
      </w:r>
      <w:r w:rsidR="00954431" w:rsidRPr="00BE3703">
        <w:rPr>
          <w:lang w:val="en-GB"/>
        </w:rPr>
        <w:t xml:space="preserve">a breach of duty actionable in negligence.  </w:t>
      </w:r>
      <w:r w:rsidR="00954431" w:rsidRPr="000D2C2C">
        <w:rPr>
          <w:lang w:val="en-GB"/>
        </w:rPr>
        <w:t xml:space="preserve">But where treatment is carried out for </w:t>
      </w:r>
      <w:r w:rsidR="00A93D75" w:rsidRPr="000D2C2C">
        <w:rPr>
          <w:lang w:val="en-GB"/>
        </w:rPr>
        <w:t>solely</w:t>
      </w:r>
      <w:r w:rsidR="00A1608E" w:rsidRPr="000D2C2C">
        <w:rPr>
          <w:lang w:val="en-GB"/>
        </w:rPr>
        <w:t xml:space="preserve"> </w:t>
      </w:r>
      <w:r w:rsidR="00954431" w:rsidRPr="000D2C2C">
        <w:rPr>
          <w:lang w:val="en-GB"/>
        </w:rPr>
        <w:t xml:space="preserve">non-therapeutic reasons, </w:t>
      </w:r>
      <w:r w:rsidR="003E1C06">
        <w:rPr>
          <w:lang w:val="en-GB"/>
        </w:rPr>
        <w:t xml:space="preserve">or ulterior motives such as </w:t>
      </w:r>
      <w:r w:rsidR="00954431" w:rsidRPr="000D2C2C">
        <w:rPr>
          <w:lang w:val="en-GB"/>
        </w:rPr>
        <w:t>financial gain</w:t>
      </w:r>
      <w:r w:rsidR="003E1C06">
        <w:rPr>
          <w:lang w:val="en-GB"/>
        </w:rPr>
        <w:t xml:space="preserve"> due to conflict of interest</w:t>
      </w:r>
      <w:r w:rsidR="00954431" w:rsidRPr="000D2C2C">
        <w:rPr>
          <w:lang w:val="en-GB"/>
        </w:rPr>
        <w:t>, there will be no valid consent.</w:t>
      </w:r>
      <w:r w:rsidR="003E1C06" w:rsidRPr="003E1C06">
        <w:rPr>
          <w:rStyle w:val="FootnoteReference"/>
          <w:lang w:val="en-GB"/>
        </w:rPr>
        <w:t xml:space="preserve"> </w:t>
      </w:r>
      <w:r w:rsidR="003E1C06" w:rsidRPr="000D2C2C">
        <w:rPr>
          <w:rStyle w:val="FootnoteReference"/>
          <w:lang w:val="en-GB"/>
        </w:rPr>
        <w:footnoteReference w:id="25"/>
      </w:r>
      <w:r w:rsidR="003E1C06" w:rsidRPr="000D2C2C">
        <w:rPr>
          <w:lang w:val="en-GB"/>
        </w:rPr>
        <w:t xml:space="preserve"> </w:t>
      </w:r>
      <w:r w:rsidR="00954431" w:rsidRPr="000D2C2C">
        <w:rPr>
          <w:lang w:val="en-GB"/>
        </w:rPr>
        <w:t xml:space="preserve"> </w:t>
      </w:r>
    </w:p>
    <w:p w14:paraId="607A5771" w14:textId="77777777" w:rsidR="00954431" w:rsidRPr="00C80926" w:rsidRDefault="00954431" w:rsidP="00954431">
      <w:pPr>
        <w:spacing w:line="276" w:lineRule="auto"/>
        <w:jc w:val="both"/>
        <w:rPr>
          <w:lang w:val="en-GB"/>
        </w:rPr>
      </w:pPr>
    </w:p>
    <w:p w14:paraId="15006625" w14:textId="511401A5" w:rsidR="00954431" w:rsidRPr="002810E3" w:rsidRDefault="00C742B4" w:rsidP="002810E3">
      <w:pPr>
        <w:spacing w:line="276" w:lineRule="auto"/>
        <w:jc w:val="both"/>
        <w:rPr>
          <w:lang w:val="en-GB"/>
        </w:rPr>
      </w:pPr>
      <w:r w:rsidRPr="00C80926">
        <w:rPr>
          <w:lang w:val="en-GB"/>
        </w:rPr>
        <w:t xml:space="preserve">The </w:t>
      </w:r>
      <w:r w:rsidR="00DB6B66">
        <w:rPr>
          <w:lang w:val="en-GB"/>
        </w:rPr>
        <w:t>UK</w:t>
      </w:r>
      <w:r w:rsidR="00DB6B66" w:rsidRPr="00C80926">
        <w:rPr>
          <w:lang w:val="en-GB"/>
        </w:rPr>
        <w:t xml:space="preserve"> </w:t>
      </w:r>
      <w:r w:rsidRPr="00C80926">
        <w:rPr>
          <w:lang w:val="en-GB"/>
        </w:rPr>
        <w:t xml:space="preserve">case of </w:t>
      </w:r>
      <w:r w:rsidRPr="00C80926">
        <w:rPr>
          <w:i/>
          <w:lang w:val="en-GB"/>
        </w:rPr>
        <w:t>R v Paterson</w:t>
      </w:r>
      <w:r w:rsidR="00954431" w:rsidRPr="00C80926">
        <w:rPr>
          <w:vertAlign w:val="superscript"/>
          <w:lang w:val="en-GB"/>
        </w:rPr>
        <w:footnoteReference w:id="26"/>
      </w:r>
      <w:r w:rsidR="00954431" w:rsidRPr="00C80926">
        <w:rPr>
          <w:lang w:val="en-GB"/>
        </w:rPr>
        <w:t xml:space="preserve"> may provide an example of consent being vitiated in the context of innovative cancer treatment.  Paterson, a breast surgeon, </w:t>
      </w:r>
      <w:r w:rsidR="000D6F3F" w:rsidRPr="00A93D75">
        <w:rPr>
          <w:lang w:val="en-GB"/>
        </w:rPr>
        <w:t xml:space="preserve">used an </w:t>
      </w:r>
      <w:r w:rsidR="000D6F3F">
        <w:rPr>
          <w:lang w:val="en-GB"/>
        </w:rPr>
        <w:t>‘</w:t>
      </w:r>
      <w:r w:rsidR="000D6F3F" w:rsidRPr="00A93D75">
        <w:rPr>
          <w:lang w:val="en-GB"/>
        </w:rPr>
        <w:t>unrecogni</w:t>
      </w:r>
      <w:r w:rsidR="000D6F3F">
        <w:rPr>
          <w:lang w:val="en-GB"/>
        </w:rPr>
        <w:t>s</w:t>
      </w:r>
      <w:r w:rsidR="000D6F3F" w:rsidRPr="00A93D75">
        <w:rPr>
          <w:lang w:val="en-GB"/>
        </w:rPr>
        <w:t xml:space="preserve">ed and </w:t>
      </w:r>
      <w:r w:rsidR="000D6F3F" w:rsidRPr="00A93D75">
        <w:rPr>
          <w:lang w:val="en-GB"/>
        </w:rPr>
        <w:lastRenderedPageBreak/>
        <w:t>unapproved procedure</w:t>
      </w:r>
      <w:r w:rsidR="000D6F3F">
        <w:rPr>
          <w:lang w:val="en-GB"/>
        </w:rPr>
        <w:t>’</w:t>
      </w:r>
      <w:r w:rsidR="000D6F3F" w:rsidRPr="00A93D75">
        <w:rPr>
          <w:rStyle w:val="FootnoteReference"/>
          <w:lang w:val="en-GB"/>
        </w:rPr>
        <w:footnoteReference w:id="27"/>
      </w:r>
      <w:r w:rsidR="000D6F3F" w:rsidRPr="00A93D75">
        <w:rPr>
          <w:lang w:val="en-GB"/>
        </w:rPr>
        <w:t xml:space="preserve"> described as </w:t>
      </w:r>
      <w:r w:rsidR="000D6F3F">
        <w:rPr>
          <w:lang w:val="en-GB"/>
        </w:rPr>
        <w:t>a ‘</w:t>
      </w:r>
      <w:r w:rsidR="000D6F3F" w:rsidRPr="00A93D75">
        <w:rPr>
          <w:lang w:val="en-GB"/>
        </w:rPr>
        <w:t xml:space="preserve">cleavage sparing’ mastectomy </w:t>
      </w:r>
      <w:r w:rsidR="000D6F3F">
        <w:rPr>
          <w:lang w:val="en-GB"/>
        </w:rPr>
        <w:t>(which</w:t>
      </w:r>
      <w:r w:rsidR="000D6F3F" w:rsidRPr="00A93D75">
        <w:rPr>
          <w:lang w:val="en-GB"/>
        </w:rPr>
        <w:t xml:space="preserve"> he developed and performed contrary to specialist guidelines</w:t>
      </w:r>
      <w:r w:rsidR="000D6F3F">
        <w:rPr>
          <w:lang w:val="en-GB"/>
        </w:rPr>
        <w:t>;</w:t>
      </w:r>
      <w:r w:rsidR="000D6F3F" w:rsidRPr="00A93D75">
        <w:rPr>
          <w:lang w:val="en-GB"/>
        </w:rPr>
        <w:t xml:space="preserve"> tumours were removed but potentially cancerous tissue left behind for better cosmetic results, </w:t>
      </w:r>
      <w:r w:rsidR="000D6F3F">
        <w:rPr>
          <w:lang w:val="en-GB"/>
        </w:rPr>
        <w:t>leaving p</w:t>
      </w:r>
      <w:r w:rsidR="000D6F3F" w:rsidRPr="00A93D75">
        <w:rPr>
          <w:lang w:val="en-GB"/>
        </w:rPr>
        <w:t>atients prone to cancer returning)</w:t>
      </w:r>
      <w:r w:rsidR="000D6F3F">
        <w:rPr>
          <w:lang w:val="en-GB"/>
        </w:rPr>
        <w:t>.</w:t>
      </w:r>
      <w:r w:rsidR="000D6F3F" w:rsidRPr="00A93D75">
        <w:rPr>
          <w:rStyle w:val="FootnoteReference"/>
          <w:lang w:val="en-GB"/>
        </w:rPr>
        <w:footnoteReference w:id="28"/>
      </w:r>
      <w:r w:rsidR="000D6F3F" w:rsidRPr="000D6F3F">
        <w:rPr>
          <w:lang w:val="en-GB"/>
        </w:rPr>
        <w:t xml:space="preserve"> </w:t>
      </w:r>
      <w:r w:rsidR="00455710">
        <w:rPr>
          <w:lang w:val="en-GB"/>
        </w:rPr>
        <w:t xml:space="preserve">This </w:t>
      </w:r>
      <w:r w:rsidR="000D2C2C">
        <w:rPr>
          <w:lang w:val="en-GB"/>
        </w:rPr>
        <w:t xml:space="preserve">cleavage sparing </w:t>
      </w:r>
      <w:r w:rsidR="00455710">
        <w:rPr>
          <w:lang w:val="en-GB"/>
        </w:rPr>
        <w:t>treatment was innovative</w:t>
      </w:r>
      <w:r w:rsidR="000D2C2C">
        <w:rPr>
          <w:rStyle w:val="FootnoteReference"/>
          <w:lang w:val="en-GB"/>
        </w:rPr>
        <w:footnoteReference w:id="29"/>
      </w:r>
      <w:r w:rsidR="00455710">
        <w:rPr>
          <w:lang w:val="en-GB"/>
        </w:rPr>
        <w:t xml:space="preserve"> because it was a </w:t>
      </w:r>
      <w:r w:rsidR="000D2C2C">
        <w:rPr>
          <w:lang w:val="en-GB"/>
        </w:rPr>
        <w:t xml:space="preserve">significant </w:t>
      </w:r>
      <w:r w:rsidR="00455710">
        <w:rPr>
          <w:lang w:val="en-GB"/>
        </w:rPr>
        <w:t>departure fro</w:t>
      </w:r>
      <w:r w:rsidR="000D2C2C">
        <w:rPr>
          <w:lang w:val="en-GB"/>
        </w:rPr>
        <w:t>m standard treatment</w:t>
      </w:r>
      <w:r w:rsidR="006D5F34">
        <w:rPr>
          <w:lang w:val="en-GB"/>
        </w:rPr>
        <w:t>;</w:t>
      </w:r>
      <w:r w:rsidR="000D2C2C">
        <w:rPr>
          <w:lang w:val="en-GB"/>
        </w:rPr>
        <w:t xml:space="preserve"> </w:t>
      </w:r>
      <w:r w:rsidR="00455710">
        <w:rPr>
          <w:lang w:val="en-GB"/>
        </w:rPr>
        <w:t xml:space="preserve">there was no evidence to support its safety and efficacy. </w:t>
      </w:r>
      <w:r w:rsidR="00780011">
        <w:rPr>
          <w:lang w:val="en-GB"/>
        </w:rPr>
        <w:t>Paterson</w:t>
      </w:r>
      <w:r w:rsidR="000D6F3F">
        <w:rPr>
          <w:lang w:val="en-GB"/>
        </w:rPr>
        <w:t xml:space="preserve"> also </w:t>
      </w:r>
      <w:r w:rsidR="000D6F3F" w:rsidRPr="00A93D75">
        <w:rPr>
          <w:lang w:val="en-GB"/>
        </w:rPr>
        <w:t xml:space="preserve">exaggerated or invented the risk of cancer, causing </w:t>
      </w:r>
      <w:r w:rsidR="000D6F3F">
        <w:rPr>
          <w:lang w:val="en-GB"/>
        </w:rPr>
        <w:t xml:space="preserve">patients </w:t>
      </w:r>
      <w:r w:rsidR="000D6F3F" w:rsidRPr="00A93D75">
        <w:rPr>
          <w:lang w:val="en-GB"/>
        </w:rPr>
        <w:t xml:space="preserve">to undergo unnecessary surgery. </w:t>
      </w:r>
      <w:r w:rsidR="00780011">
        <w:rPr>
          <w:lang w:val="en-GB"/>
        </w:rPr>
        <w:t>He w</w:t>
      </w:r>
      <w:r w:rsidR="00954431" w:rsidRPr="00C80926">
        <w:rPr>
          <w:lang w:val="en-GB"/>
        </w:rPr>
        <w:t xml:space="preserve">as convicted of wounding with intent </w:t>
      </w:r>
      <w:r w:rsidR="00C02FAA">
        <w:rPr>
          <w:lang w:val="en-GB"/>
        </w:rPr>
        <w:t>to</w:t>
      </w:r>
      <w:r w:rsidR="00C02FAA" w:rsidRPr="00C80926">
        <w:rPr>
          <w:lang w:val="en-GB"/>
        </w:rPr>
        <w:t xml:space="preserve"> </w:t>
      </w:r>
      <w:r w:rsidR="00954431" w:rsidRPr="00C80926">
        <w:rPr>
          <w:lang w:val="en-GB"/>
        </w:rPr>
        <w:t xml:space="preserve">perform </w:t>
      </w:r>
      <w:r w:rsidR="00991906" w:rsidRPr="00A93D75">
        <w:rPr>
          <w:lang w:val="en-GB"/>
        </w:rPr>
        <w:t xml:space="preserve">‘extensive, life-changing operations for no medically justifiable reason’ </w:t>
      </w:r>
      <w:r w:rsidR="00991906">
        <w:rPr>
          <w:lang w:val="en-GB"/>
        </w:rPr>
        <w:t xml:space="preserve">which </w:t>
      </w:r>
      <w:r w:rsidR="00954431" w:rsidRPr="00C80926">
        <w:rPr>
          <w:lang w:val="en-GB"/>
        </w:rPr>
        <w:t xml:space="preserve">‘no responsible body </w:t>
      </w:r>
      <w:r w:rsidR="00954431" w:rsidRPr="00A93D75">
        <w:rPr>
          <w:lang w:val="en-GB"/>
        </w:rPr>
        <w:t>of duly qualified and experienced breast surgeons would have advised, because none of the procedures was necessary to maintain their [the patients’] health.’</w:t>
      </w:r>
      <w:r w:rsidR="00954431" w:rsidRPr="00A93D75">
        <w:rPr>
          <w:vertAlign w:val="superscript"/>
          <w:lang w:val="en-GB"/>
        </w:rPr>
        <w:footnoteReference w:id="30"/>
      </w:r>
      <w:r w:rsidR="00780011">
        <w:rPr>
          <w:lang w:val="en-GB"/>
        </w:rPr>
        <w:t xml:space="preserve"> </w:t>
      </w:r>
      <w:r w:rsidR="00991906">
        <w:rPr>
          <w:lang w:val="en-GB"/>
        </w:rPr>
        <w:t>I</w:t>
      </w:r>
      <w:r w:rsidR="008E5B7B" w:rsidRPr="002810E3">
        <w:rPr>
          <w:lang w:val="en-GB"/>
        </w:rPr>
        <w:t xml:space="preserve">n sentencing remarks </w:t>
      </w:r>
      <w:r w:rsidR="00780011">
        <w:rPr>
          <w:lang w:val="en-GB"/>
        </w:rPr>
        <w:t xml:space="preserve">Baker J </w:t>
      </w:r>
      <w:r w:rsidR="008E5B7B" w:rsidRPr="002810E3">
        <w:rPr>
          <w:lang w:val="en-GB"/>
        </w:rPr>
        <w:t>said Paterson lost sight of what he was doing in part due to pursuit of his ‘own self-aggrandisement’ and the material rewards from private practice.</w:t>
      </w:r>
      <w:r w:rsidR="008E5B7B" w:rsidRPr="002810E3">
        <w:rPr>
          <w:vertAlign w:val="superscript"/>
          <w:lang w:val="en-GB"/>
        </w:rPr>
        <w:footnoteReference w:id="31"/>
      </w:r>
      <w:r w:rsidR="008E5B7B" w:rsidRPr="002810E3">
        <w:rPr>
          <w:lang w:val="en-GB"/>
        </w:rPr>
        <w:t xml:space="preserve">  </w:t>
      </w:r>
      <w:r w:rsidR="00D9790E">
        <w:rPr>
          <w:lang w:val="en-GB"/>
        </w:rPr>
        <w:t>T</w:t>
      </w:r>
      <w:r w:rsidR="008E5B7B" w:rsidRPr="002810E3">
        <w:rPr>
          <w:lang w:val="en-GB"/>
        </w:rPr>
        <w:t>he Court of Appeal</w:t>
      </w:r>
      <w:r w:rsidR="00D9790E">
        <w:rPr>
          <w:lang w:val="en-GB"/>
        </w:rPr>
        <w:t xml:space="preserve"> echoed this</w:t>
      </w:r>
      <w:r w:rsidR="00780011">
        <w:rPr>
          <w:lang w:val="en-GB"/>
        </w:rPr>
        <w:t xml:space="preserve">, stating that </w:t>
      </w:r>
      <w:r w:rsidR="00123F82">
        <w:rPr>
          <w:lang w:val="en-GB"/>
        </w:rPr>
        <w:t>Paterson’s</w:t>
      </w:r>
      <w:r w:rsidR="00123F82" w:rsidRPr="00277715">
        <w:rPr>
          <w:lang w:val="en-GB"/>
        </w:rPr>
        <w:t xml:space="preserve"> </w:t>
      </w:r>
      <w:r w:rsidR="008E5B7B" w:rsidRPr="00277715">
        <w:rPr>
          <w:lang w:val="en-GB"/>
        </w:rPr>
        <w:t xml:space="preserve">motivation </w:t>
      </w:r>
      <w:r w:rsidR="00780011">
        <w:rPr>
          <w:lang w:val="en-GB"/>
        </w:rPr>
        <w:t>i</w:t>
      </w:r>
      <w:r w:rsidR="008E5B7B" w:rsidRPr="00277715">
        <w:rPr>
          <w:lang w:val="en-GB"/>
        </w:rPr>
        <w:t>nclude</w:t>
      </w:r>
      <w:r w:rsidR="00780011">
        <w:rPr>
          <w:lang w:val="en-GB"/>
        </w:rPr>
        <w:t>d</w:t>
      </w:r>
      <w:r w:rsidR="008E5B7B" w:rsidRPr="00277715">
        <w:rPr>
          <w:lang w:val="en-GB"/>
        </w:rPr>
        <w:t xml:space="preserve"> ‘greed, self-aggrandisement </w:t>
      </w:r>
      <w:r w:rsidR="008E5B7B" w:rsidRPr="002810E3">
        <w:rPr>
          <w:lang w:val="en-GB"/>
        </w:rPr>
        <w:t>and power.’</w:t>
      </w:r>
      <w:r w:rsidR="008E5B7B" w:rsidRPr="002810E3">
        <w:rPr>
          <w:vertAlign w:val="superscript"/>
          <w:lang w:val="en-GB"/>
        </w:rPr>
        <w:footnoteReference w:id="32"/>
      </w:r>
    </w:p>
    <w:p w14:paraId="4B5B5F46" w14:textId="60561360" w:rsidR="008228E7" w:rsidRPr="002810E3" w:rsidRDefault="00A4408A" w:rsidP="008228E7">
      <w:pPr>
        <w:spacing w:line="276" w:lineRule="auto"/>
        <w:ind w:left="720"/>
        <w:jc w:val="both"/>
        <w:rPr>
          <w:lang w:val="en-GB"/>
        </w:rPr>
      </w:pPr>
      <w:r>
        <w:rPr>
          <w:lang w:val="en-GB"/>
        </w:rPr>
        <w:t xml:space="preserve"> </w:t>
      </w:r>
    </w:p>
    <w:p w14:paraId="0B62E55D" w14:textId="7FC650EE" w:rsidR="00954431" w:rsidRPr="00C60FF2" w:rsidRDefault="00954431" w:rsidP="00954431">
      <w:pPr>
        <w:spacing w:line="276" w:lineRule="auto"/>
        <w:jc w:val="both"/>
        <w:rPr>
          <w:lang w:val="en-GB"/>
        </w:rPr>
      </w:pPr>
      <w:r w:rsidRPr="00A93D75">
        <w:rPr>
          <w:lang w:val="en-GB"/>
        </w:rPr>
        <w:t>Paterson</w:t>
      </w:r>
      <w:r w:rsidR="00F12DA9" w:rsidRPr="00A93D75">
        <w:rPr>
          <w:lang w:val="en-GB"/>
        </w:rPr>
        <w:t xml:space="preserve">’s name was erased from </w:t>
      </w:r>
      <w:r w:rsidRPr="00A93D75">
        <w:rPr>
          <w:lang w:val="en-GB"/>
        </w:rPr>
        <w:t xml:space="preserve">the medical </w:t>
      </w:r>
      <w:r w:rsidRPr="002810E3">
        <w:rPr>
          <w:lang w:val="en-GB"/>
        </w:rPr>
        <w:t>register.</w:t>
      </w:r>
      <w:r w:rsidRPr="002810E3">
        <w:rPr>
          <w:vertAlign w:val="superscript"/>
          <w:lang w:val="en-GB"/>
        </w:rPr>
        <w:footnoteReference w:id="33"/>
      </w:r>
      <w:r w:rsidRPr="002810E3">
        <w:rPr>
          <w:lang w:val="en-GB"/>
        </w:rPr>
        <w:t xml:space="preserve"> </w:t>
      </w:r>
      <w:r w:rsidR="00D9790E">
        <w:rPr>
          <w:lang w:val="en-GB"/>
        </w:rPr>
        <w:t>C</w:t>
      </w:r>
      <w:r w:rsidR="00D9790E" w:rsidRPr="002810E3">
        <w:rPr>
          <w:lang w:val="en-GB"/>
        </w:rPr>
        <w:t xml:space="preserve">ivil </w:t>
      </w:r>
      <w:r w:rsidRPr="002810E3">
        <w:rPr>
          <w:lang w:val="en-GB"/>
        </w:rPr>
        <w:t xml:space="preserve">claims have </w:t>
      </w:r>
      <w:r w:rsidR="00D9790E">
        <w:rPr>
          <w:lang w:val="en-GB"/>
        </w:rPr>
        <w:t xml:space="preserve">reportedly </w:t>
      </w:r>
      <w:r w:rsidRPr="00277715">
        <w:rPr>
          <w:lang w:val="en-GB"/>
        </w:rPr>
        <w:t>settled</w:t>
      </w:r>
      <w:r w:rsidR="00A4408A">
        <w:rPr>
          <w:lang w:val="en-GB"/>
        </w:rPr>
        <w:t>.</w:t>
      </w:r>
      <w:r w:rsidRPr="002810E3">
        <w:rPr>
          <w:vertAlign w:val="superscript"/>
          <w:lang w:val="en-GB"/>
        </w:rPr>
        <w:footnoteReference w:id="34"/>
      </w:r>
      <w:r w:rsidRPr="002810E3">
        <w:rPr>
          <w:lang w:val="en-GB"/>
        </w:rPr>
        <w:t xml:space="preserve"> While the full spectrum of Paterson’s motivation </w:t>
      </w:r>
      <w:r w:rsidR="00CD4443">
        <w:rPr>
          <w:lang w:val="en-GB"/>
        </w:rPr>
        <w:t>may</w:t>
      </w:r>
      <w:r w:rsidR="00CD4443" w:rsidRPr="002810E3">
        <w:rPr>
          <w:lang w:val="en-GB"/>
        </w:rPr>
        <w:t xml:space="preserve"> </w:t>
      </w:r>
      <w:r w:rsidRPr="002810E3">
        <w:rPr>
          <w:lang w:val="en-GB"/>
        </w:rPr>
        <w:t>never be known,</w:t>
      </w:r>
      <w:r w:rsidRPr="002810E3">
        <w:rPr>
          <w:vertAlign w:val="superscript"/>
          <w:lang w:val="en-GB"/>
        </w:rPr>
        <w:footnoteReference w:id="35"/>
      </w:r>
      <w:r w:rsidRPr="002810E3">
        <w:rPr>
          <w:lang w:val="en-GB"/>
        </w:rPr>
        <w:t xml:space="preserve"> </w:t>
      </w:r>
      <w:r w:rsidR="008E5B7B">
        <w:rPr>
          <w:lang w:val="en-GB"/>
        </w:rPr>
        <w:t xml:space="preserve">if a </w:t>
      </w:r>
      <w:r w:rsidR="00FD080A">
        <w:rPr>
          <w:lang w:val="en-GB"/>
        </w:rPr>
        <w:t xml:space="preserve">trespass </w:t>
      </w:r>
      <w:r w:rsidR="008E5B7B">
        <w:rPr>
          <w:lang w:val="en-GB"/>
        </w:rPr>
        <w:t xml:space="preserve">claim was </w:t>
      </w:r>
      <w:r w:rsidRPr="002810E3">
        <w:rPr>
          <w:lang w:val="en-GB"/>
        </w:rPr>
        <w:t xml:space="preserve">brought it is arguable that </w:t>
      </w:r>
      <w:r w:rsidR="00C742B4" w:rsidRPr="002810E3">
        <w:rPr>
          <w:lang w:val="en-GB"/>
        </w:rPr>
        <w:t xml:space="preserve">consent would be </w:t>
      </w:r>
      <w:r w:rsidR="00C742B4">
        <w:rPr>
          <w:lang w:val="en-GB"/>
        </w:rPr>
        <w:t>i</w:t>
      </w:r>
      <w:r w:rsidR="00C742B4" w:rsidRPr="002810E3">
        <w:rPr>
          <w:lang w:val="en-GB"/>
        </w:rPr>
        <w:t>nvalid</w:t>
      </w:r>
      <w:r w:rsidR="00C742B4">
        <w:rPr>
          <w:lang w:val="en-GB"/>
        </w:rPr>
        <w:t>ated</w:t>
      </w:r>
      <w:r w:rsidR="005C0A95">
        <w:rPr>
          <w:lang w:val="en-GB"/>
        </w:rPr>
        <w:t xml:space="preserve"> because the </w:t>
      </w:r>
      <w:r w:rsidR="00EF080C">
        <w:rPr>
          <w:lang w:val="en-GB"/>
        </w:rPr>
        <w:t xml:space="preserve">innovative </w:t>
      </w:r>
      <w:r w:rsidR="005C0A95">
        <w:rPr>
          <w:lang w:val="en-GB"/>
        </w:rPr>
        <w:t>procedures were medically unnecessary</w:t>
      </w:r>
      <w:r w:rsidR="00780011">
        <w:rPr>
          <w:lang w:val="en-GB"/>
        </w:rPr>
        <w:t xml:space="preserve"> and for financial gain</w:t>
      </w:r>
      <w:r w:rsidRPr="002810E3">
        <w:rPr>
          <w:lang w:val="en-GB"/>
        </w:rPr>
        <w:t xml:space="preserve">.  </w:t>
      </w:r>
      <w:r w:rsidR="003E503E">
        <w:rPr>
          <w:lang w:val="en-GB"/>
        </w:rPr>
        <w:t xml:space="preserve">Like </w:t>
      </w:r>
      <w:r w:rsidR="003E503E" w:rsidRPr="00EB027E">
        <w:rPr>
          <w:i/>
          <w:lang w:val="en-GB"/>
        </w:rPr>
        <w:t>Appleton</w:t>
      </w:r>
      <w:r w:rsidR="003E503E">
        <w:rPr>
          <w:lang w:val="en-GB"/>
        </w:rPr>
        <w:t xml:space="preserve"> </w:t>
      </w:r>
      <w:r w:rsidR="00911074">
        <w:rPr>
          <w:lang w:val="en-GB"/>
        </w:rPr>
        <w:t>and</w:t>
      </w:r>
      <w:r w:rsidR="00911074" w:rsidRPr="00EB027E">
        <w:rPr>
          <w:i/>
          <w:lang w:val="en-GB"/>
        </w:rPr>
        <w:t xml:space="preserve"> </w:t>
      </w:r>
      <w:r w:rsidR="003E503E" w:rsidRPr="00EB027E">
        <w:rPr>
          <w:i/>
          <w:lang w:val="en-GB"/>
        </w:rPr>
        <w:t>Dean</w:t>
      </w:r>
      <w:r w:rsidR="003E503E">
        <w:rPr>
          <w:lang w:val="en-GB"/>
        </w:rPr>
        <w:t>, i</w:t>
      </w:r>
      <w:r w:rsidRPr="002810E3">
        <w:rPr>
          <w:lang w:val="en-GB"/>
        </w:rPr>
        <w:t xml:space="preserve">t is </w:t>
      </w:r>
      <w:r w:rsidR="00A35171" w:rsidRPr="002810E3">
        <w:rPr>
          <w:lang w:val="en-GB"/>
        </w:rPr>
        <w:t>arguable</w:t>
      </w:r>
      <w:r w:rsidRPr="002810E3">
        <w:rPr>
          <w:lang w:val="en-GB"/>
        </w:rPr>
        <w:t xml:space="preserve"> </w:t>
      </w:r>
      <w:r w:rsidR="003E503E">
        <w:rPr>
          <w:lang w:val="en-GB"/>
        </w:rPr>
        <w:t xml:space="preserve">that </w:t>
      </w:r>
      <w:r w:rsidRPr="002810E3">
        <w:rPr>
          <w:lang w:val="en-GB"/>
        </w:rPr>
        <w:t xml:space="preserve">the nature of </w:t>
      </w:r>
      <w:r w:rsidR="006D14C6">
        <w:rPr>
          <w:lang w:val="en-GB"/>
        </w:rPr>
        <w:t>the</w:t>
      </w:r>
      <w:r w:rsidR="003E503E" w:rsidRPr="002810E3">
        <w:rPr>
          <w:lang w:val="en-GB"/>
        </w:rPr>
        <w:t xml:space="preserve"> </w:t>
      </w:r>
      <w:r w:rsidRPr="002810E3">
        <w:rPr>
          <w:lang w:val="en-GB"/>
        </w:rPr>
        <w:t>procedure</w:t>
      </w:r>
      <w:r w:rsidR="00A35171" w:rsidRPr="002810E3">
        <w:rPr>
          <w:lang w:val="en-GB"/>
        </w:rPr>
        <w:t>s</w:t>
      </w:r>
      <w:r w:rsidRPr="002810E3">
        <w:rPr>
          <w:lang w:val="en-GB"/>
        </w:rPr>
        <w:t xml:space="preserve"> </w:t>
      </w:r>
      <w:r w:rsidR="00A35171" w:rsidRPr="002810E3">
        <w:rPr>
          <w:lang w:val="en-GB"/>
        </w:rPr>
        <w:t>was</w:t>
      </w:r>
      <w:r w:rsidRPr="002810E3">
        <w:rPr>
          <w:lang w:val="en-GB"/>
        </w:rPr>
        <w:t xml:space="preserve"> </w:t>
      </w:r>
      <w:r w:rsidRPr="00C60FF2">
        <w:rPr>
          <w:lang w:val="en-GB"/>
        </w:rPr>
        <w:t>misrepresented to patients</w:t>
      </w:r>
      <w:r w:rsidR="00A35171" w:rsidRPr="00C60FF2">
        <w:rPr>
          <w:lang w:val="en-GB"/>
        </w:rPr>
        <w:t>;</w:t>
      </w:r>
      <w:r w:rsidRPr="00C60FF2">
        <w:rPr>
          <w:vertAlign w:val="superscript"/>
          <w:lang w:val="en-GB"/>
        </w:rPr>
        <w:footnoteReference w:id="36"/>
      </w:r>
      <w:r w:rsidRPr="00C60FF2">
        <w:rPr>
          <w:lang w:val="en-GB"/>
        </w:rPr>
        <w:t xml:space="preserve"> </w:t>
      </w:r>
      <w:r w:rsidR="0058326D">
        <w:rPr>
          <w:lang w:val="en-GB"/>
        </w:rPr>
        <w:t xml:space="preserve">and that </w:t>
      </w:r>
      <w:r w:rsidRPr="00C60FF2">
        <w:rPr>
          <w:lang w:val="en-GB"/>
        </w:rPr>
        <w:t>Paterson deliberately ‘withheld the information that the treatment was unnecessary because he knew that they would not have consented if they knew the true position’.</w:t>
      </w:r>
      <w:r w:rsidRPr="00C60FF2">
        <w:rPr>
          <w:vertAlign w:val="superscript"/>
          <w:lang w:val="en-GB"/>
        </w:rPr>
        <w:footnoteReference w:id="37"/>
      </w:r>
      <w:bookmarkStart w:id="0" w:name="para42"/>
      <w:r w:rsidRPr="00C60FF2">
        <w:rPr>
          <w:lang w:val="en-GB"/>
        </w:rPr>
        <w:t xml:space="preserve">  </w:t>
      </w:r>
      <w:r w:rsidR="00C83A54">
        <w:rPr>
          <w:lang w:val="en-GB"/>
        </w:rPr>
        <w:t>As p</w:t>
      </w:r>
      <w:r w:rsidR="003E503E">
        <w:rPr>
          <w:lang w:val="en-GB"/>
        </w:rPr>
        <w:t>atient c</w:t>
      </w:r>
      <w:r w:rsidRPr="00C60FF2">
        <w:rPr>
          <w:lang w:val="en-GB"/>
        </w:rPr>
        <w:t xml:space="preserve">onsent </w:t>
      </w:r>
      <w:r w:rsidR="006D14C6">
        <w:rPr>
          <w:lang w:val="en-GB"/>
        </w:rPr>
        <w:t xml:space="preserve">was </w:t>
      </w:r>
      <w:r w:rsidR="00B0579C">
        <w:rPr>
          <w:lang w:val="en-GB"/>
        </w:rPr>
        <w:t xml:space="preserve">based on </w:t>
      </w:r>
      <w:r w:rsidRPr="00C60FF2">
        <w:rPr>
          <w:lang w:val="en-GB"/>
        </w:rPr>
        <w:lastRenderedPageBreak/>
        <w:t>exaggerated or false information about the risk of cancer</w:t>
      </w:r>
      <w:r w:rsidR="00C83A54">
        <w:rPr>
          <w:lang w:val="en-GB"/>
        </w:rPr>
        <w:t xml:space="preserve">, it is arguable that such </w:t>
      </w:r>
      <w:r w:rsidR="006D14C6">
        <w:rPr>
          <w:lang w:val="en-GB"/>
        </w:rPr>
        <w:t>consent w</w:t>
      </w:r>
      <w:r w:rsidR="00A220E8">
        <w:rPr>
          <w:lang w:val="en-GB"/>
        </w:rPr>
        <w:t>ould</w:t>
      </w:r>
      <w:r w:rsidR="006D14C6">
        <w:rPr>
          <w:lang w:val="en-GB"/>
        </w:rPr>
        <w:t xml:space="preserve"> be vitiated by fraud because </w:t>
      </w:r>
      <w:r w:rsidRPr="00C60FF2">
        <w:rPr>
          <w:lang w:val="en-GB"/>
        </w:rPr>
        <w:t xml:space="preserve">information </w:t>
      </w:r>
      <w:r w:rsidR="006D14C6">
        <w:rPr>
          <w:lang w:val="en-GB"/>
        </w:rPr>
        <w:t xml:space="preserve">was </w:t>
      </w:r>
      <w:r w:rsidRPr="00C60FF2">
        <w:rPr>
          <w:lang w:val="en-GB"/>
        </w:rPr>
        <w:t>withheld in bad faith</w:t>
      </w:r>
      <w:r w:rsidR="006D14C6">
        <w:rPr>
          <w:lang w:val="en-GB"/>
        </w:rPr>
        <w:t>.</w:t>
      </w:r>
      <w:r w:rsidRPr="00C60FF2">
        <w:rPr>
          <w:vertAlign w:val="superscript"/>
          <w:lang w:val="en-GB"/>
        </w:rPr>
        <w:footnoteReference w:id="38"/>
      </w:r>
      <w:r w:rsidRPr="00C60FF2">
        <w:rPr>
          <w:lang w:val="en-GB"/>
        </w:rPr>
        <w:t xml:space="preserve">  </w:t>
      </w:r>
    </w:p>
    <w:p w14:paraId="69675762" w14:textId="33B4E1EB" w:rsidR="00AB6CC0" w:rsidRDefault="009B7345" w:rsidP="00AB6CC0">
      <w:pPr>
        <w:spacing w:before="100" w:beforeAutospacing="1" w:after="100" w:afterAutospacing="1" w:line="276" w:lineRule="auto"/>
        <w:jc w:val="both"/>
        <w:rPr>
          <w:lang w:val="en-GB"/>
        </w:rPr>
      </w:pPr>
      <w:r w:rsidRPr="00C60FF2">
        <w:rPr>
          <w:lang w:val="en-GB"/>
        </w:rPr>
        <w:t xml:space="preserve">Where </w:t>
      </w:r>
      <w:r w:rsidR="00D57C1B">
        <w:rPr>
          <w:lang w:val="en-GB"/>
        </w:rPr>
        <w:t>a</w:t>
      </w:r>
      <w:r w:rsidR="00D57C1B" w:rsidRPr="00C60FF2">
        <w:rPr>
          <w:lang w:val="en-GB"/>
        </w:rPr>
        <w:t xml:space="preserve"> </w:t>
      </w:r>
      <w:r w:rsidRPr="00C60FF2">
        <w:rPr>
          <w:lang w:val="en-GB"/>
        </w:rPr>
        <w:t xml:space="preserve">medical practitioner has financial interests in innovative treatments, </w:t>
      </w:r>
      <w:r w:rsidR="003550AF">
        <w:rPr>
          <w:lang w:val="en-GB"/>
        </w:rPr>
        <w:t xml:space="preserve">complex questions arise in relation to consent. </w:t>
      </w:r>
      <w:r w:rsidR="00C83A54">
        <w:rPr>
          <w:lang w:val="en-GB"/>
        </w:rPr>
        <w:t>I</w:t>
      </w:r>
      <w:r w:rsidR="00C83A54" w:rsidRPr="00C60FF2">
        <w:rPr>
          <w:lang w:val="en-GB"/>
        </w:rPr>
        <w:t>f treatment is necessary</w:t>
      </w:r>
      <w:r w:rsidR="00C83A54">
        <w:rPr>
          <w:lang w:val="en-GB"/>
        </w:rPr>
        <w:t xml:space="preserve">, and </w:t>
      </w:r>
      <w:r w:rsidR="00C83A54" w:rsidRPr="00C60FF2">
        <w:rPr>
          <w:lang w:val="en-GB"/>
        </w:rPr>
        <w:t xml:space="preserve">the innovation </w:t>
      </w:r>
      <w:r w:rsidR="00C83A54">
        <w:rPr>
          <w:lang w:val="en-GB"/>
        </w:rPr>
        <w:t xml:space="preserve">is </w:t>
      </w:r>
      <w:r w:rsidR="00C83A54" w:rsidRPr="00C60FF2">
        <w:rPr>
          <w:lang w:val="en-GB"/>
        </w:rPr>
        <w:t>not undertaken solely for financial benefit</w:t>
      </w:r>
      <w:r w:rsidR="00C83A54">
        <w:rPr>
          <w:lang w:val="en-GB"/>
        </w:rPr>
        <w:t xml:space="preserve"> or self-gain, but</w:t>
      </w:r>
      <w:r w:rsidR="00C83A54" w:rsidRPr="00C60FF2">
        <w:rPr>
          <w:lang w:val="en-GB"/>
        </w:rPr>
        <w:t xml:space="preserve"> </w:t>
      </w:r>
      <w:r w:rsidR="00C83A54">
        <w:rPr>
          <w:lang w:val="en-GB"/>
        </w:rPr>
        <w:t>rather</w:t>
      </w:r>
      <w:r w:rsidR="00C83A54" w:rsidRPr="00C60FF2">
        <w:rPr>
          <w:lang w:val="en-GB"/>
        </w:rPr>
        <w:t xml:space="preserve"> </w:t>
      </w:r>
      <w:r w:rsidR="00C83A54" w:rsidRPr="002810E3">
        <w:rPr>
          <w:lang w:val="en-GB"/>
        </w:rPr>
        <w:t>patient</w:t>
      </w:r>
      <w:r w:rsidR="00C83A54">
        <w:rPr>
          <w:lang w:val="en-GB"/>
        </w:rPr>
        <w:t xml:space="preserve"> benefit, </w:t>
      </w:r>
      <w:r w:rsidR="00AB6CC0">
        <w:rPr>
          <w:lang w:val="en-GB"/>
        </w:rPr>
        <w:t>it is unlikely that consent will be vi</w:t>
      </w:r>
      <w:r w:rsidR="007F6025">
        <w:rPr>
          <w:lang w:val="en-GB"/>
        </w:rPr>
        <w:t>t</w:t>
      </w:r>
      <w:r w:rsidR="00AB6CC0">
        <w:rPr>
          <w:lang w:val="en-GB"/>
        </w:rPr>
        <w:t>iated.</w:t>
      </w:r>
      <w:r w:rsidR="00AB6CC0">
        <w:rPr>
          <w:rStyle w:val="FootnoteReference"/>
          <w:lang w:val="en-GB"/>
        </w:rPr>
        <w:footnoteReference w:id="39"/>
      </w:r>
      <w:r w:rsidR="00AB6CC0">
        <w:rPr>
          <w:lang w:val="en-GB"/>
        </w:rPr>
        <w:t xml:space="preserve"> </w:t>
      </w:r>
      <w:r w:rsidR="00C83A54">
        <w:rPr>
          <w:lang w:val="en-GB"/>
        </w:rPr>
        <w:t xml:space="preserve">However, financial interest </w:t>
      </w:r>
      <w:r w:rsidR="00006B09">
        <w:rPr>
          <w:lang w:val="en-GB"/>
        </w:rPr>
        <w:t xml:space="preserve">and a desire to advance medical knowledge </w:t>
      </w:r>
      <w:r w:rsidR="00C83A54">
        <w:rPr>
          <w:lang w:val="en-GB"/>
        </w:rPr>
        <w:t>may lead to optimism bias</w:t>
      </w:r>
      <w:r w:rsidR="00AE63D7">
        <w:rPr>
          <w:lang w:val="en-GB"/>
        </w:rPr>
        <w:t xml:space="preserve"> on the part of the doctor</w:t>
      </w:r>
      <w:r w:rsidR="00C83A54">
        <w:rPr>
          <w:rStyle w:val="FootnoteReference"/>
          <w:lang w:val="en-GB"/>
        </w:rPr>
        <w:footnoteReference w:id="40"/>
      </w:r>
      <w:r w:rsidR="007930A0">
        <w:rPr>
          <w:lang w:val="en-GB"/>
        </w:rPr>
        <w:t xml:space="preserve"> and therefore should be disclosed as a material risk, with a referral for independent advice.</w:t>
      </w:r>
      <w:r w:rsidR="007930A0">
        <w:rPr>
          <w:rStyle w:val="FootnoteReference"/>
          <w:lang w:val="en-GB"/>
        </w:rPr>
        <w:footnoteReference w:id="41"/>
      </w:r>
      <w:r w:rsidR="007930A0">
        <w:rPr>
          <w:lang w:val="en-GB"/>
        </w:rPr>
        <w:t xml:space="preserve"> </w:t>
      </w:r>
      <w:r w:rsidR="00C83A54">
        <w:rPr>
          <w:lang w:val="en-GB"/>
        </w:rPr>
        <w:t xml:space="preserve"> </w:t>
      </w:r>
      <w:r w:rsidR="00AB6CC0">
        <w:rPr>
          <w:lang w:val="en-GB"/>
        </w:rPr>
        <w:t>For example, a</w:t>
      </w:r>
      <w:r w:rsidR="003550AF" w:rsidRPr="002810E3">
        <w:rPr>
          <w:lang w:val="en-GB"/>
        </w:rPr>
        <w:t>n Australian study found</w:t>
      </w:r>
      <w:r w:rsidR="003550AF">
        <w:rPr>
          <w:lang w:val="en-GB"/>
        </w:rPr>
        <w:t xml:space="preserve"> clinicians involved in developing innovative techniques</w:t>
      </w:r>
      <w:r w:rsidR="003550AF" w:rsidRPr="002810E3">
        <w:rPr>
          <w:lang w:val="en-GB"/>
        </w:rPr>
        <w:t xml:space="preserve"> may fail to list alternative treatment options, or </w:t>
      </w:r>
      <w:r w:rsidR="003550AF">
        <w:rPr>
          <w:lang w:val="en-GB"/>
        </w:rPr>
        <w:t xml:space="preserve">place </w:t>
      </w:r>
      <w:r w:rsidR="003550AF" w:rsidRPr="002810E3">
        <w:rPr>
          <w:lang w:val="en-GB"/>
        </w:rPr>
        <w:t>undue pressure on patients to consent</w:t>
      </w:r>
      <w:r w:rsidR="003550AF">
        <w:rPr>
          <w:lang w:val="en-GB"/>
        </w:rPr>
        <w:t>, which is more concerning ‘</w:t>
      </w:r>
      <w:r w:rsidR="003550AF" w:rsidRPr="002810E3">
        <w:rPr>
          <w:lang w:val="en-GB"/>
        </w:rPr>
        <w:t>in relation to a new and potentially risky intervention than if the conflict of interest is associated with something established as safe.</w:t>
      </w:r>
      <w:r w:rsidR="003550AF">
        <w:rPr>
          <w:lang w:val="en-GB"/>
        </w:rPr>
        <w:t>’</w:t>
      </w:r>
      <w:r w:rsidR="003550AF" w:rsidRPr="002810E3">
        <w:rPr>
          <w:rStyle w:val="FootnoteReference"/>
          <w:lang w:val="en-GB"/>
        </w:rPr>
        <w:footnoteReference w:id="42"/>
      </w:r>
      <w:r w:rsidR="003550AF">
        <w:rPr>
          <w:lang w:val="en-GB"/>
        </w:rPr>
        <w:t xml:space="preserve"> </w:t>
      </w:r>
    </w:p>
    <w:p w14:paraId="69644809" w14:textId="5B801539" w:rsidR="00C10052" w:rsidRDefault="00EF355D" w:rsidP="00C10052">
      <w:pPr>
        <w:spacing w:after="200" w:line="276" w:lineRule="auto"/>
        <w:jc w:val="both"/>
        <w:rPr>
          <w:lang w:val="en-GB"/>
        </w:rPr>
      </w:pPr>
      <w:r w:rsidRPr="00C3710A">
        <w:rPr>
          <w:lang w:val="en-GB"/>
        </w:rPr>
        <w:t>H</w:t>
      </w:r>
      <w:r w:rsidR="009B7345" w:rsidRPr="00C3710A">
        <w:rPr>
          <w:lang w:val="en-GB"/>
        </w:rPr>
        <w:t>owever, if a</w:t>
      </w:r>
      <w:r w:rsidR="005F4827" w:rsidRPr="00C3710A">
        <w:rPr>
          <w:lang w:val="en-GB"/>
        </w:rPr>
        <w:t xml:space="preserve">n innovative </w:t>
      </w:r>
      <w:r w:rsidR="009B7345" w:rsidRPr="00C3710A">
        <w:rPr>
          <w:lang w:val="en-GB"/>
        </w:rPr>
        <w:t>treatment is</w:t>
      </w:r>
      <w:r w:rsidR="006E3A6B">
        <w:rPr>
          <w:lang w:val="en-GB"/>
        </w:rPr>
        <w:t xml:space="preserve"> </w:t>
      </w:r>
      <w:r w:rsidR="009B7345" w:rsidRPr="00C3710A">
        <w:rPr>
          <w:lang w:val="en-GB"/>
        </w:rPr>
        <w:t xml:space="preserve">recommended above others because of financial interests (withheld from the patient) </w:t>
      </w:r>
      <w:r w:rsidR="00C742B4" w:rsidRPr="00C3710A">
        <w:rPr>
          <w:lang w:val="en-GB"/>
        </w:rPr>
        <w:t>consent may be invalidated</w:t>
      </w:r>
      <w:r w:rsidR="006E3A6B" w:rsidRPr="006E3A6B">
        <w:rPr>
          <w:lang w:val="en-GB"/>
        </w:rPr>
        <w:t>.</w:t>
      </w:r>
      <w:r w:rsidR="006E3A6B">
        <w:rPr>
          <w:lang w:val="en-GB"/>
        </w:rPr>
        <w:t xml:space="preserve"> T</w:t>
      </w:r>
      <w:r w:rsidR="00C10052" w:rsidRPr="002810E3">
        <w:rPr>
          <w:lang w:val="en-GB"/>
        </w:rPr>
        <w:t xml:space="preserve">he patient, like in </w:t>
      </w:r>
      <w:r w:rsidR="00C10052" w:rsidRPr="002810E3">
        <w:rPr>
          <w:i/>
          <w:lang w:val="en-GB"/>
        </w:rPr>
        <w:t>Appleton</w:t>
      </w:r>
      <w:r w:rsidR="00C10052" w:rsidRPr="002810E3">
        <w:rPr>
          <w:lang w:val="en-GB"/>
        </w:rPr>
        <w:t xml:space="preserve"> and </w:t>
      </w:r>
      <w:r w:rsidR="00C10052" w:rsidRPr="002810E3">
        <w:rPr>
          <w:i/>
          <w:lang w:val="en-GB"/>
        </w:rPr>
        <w:t>Dean</w:t>
      </w:r>
      <w:r w:rsidR="00C10052" w:rsidRPr="002810E3">
        <w:rPr>
          <w:lang w:val="en-GB"/>
        </w:rPr>
        <w:t xml:space="preserve">, </w:t>
      </w:r>
      <w:r w:rsidR="00C10052">
        <w:rPr>
          <w:lang w:val="en-GB"/>
        </w:rPr>
        <w:t>may</w:t>
      </w:r>
      <w:r w:rsidR="00C10052" w:rsidRPr="002810E3">
        <w:rPr>
          <w:lang w:val="en-GB"/>
        </w:rPr>
        <w:t xml:space="preserve"> not understand the true position, </w:t>
      </w:r>
      <w:r w:rsidR="00C10052">
        <w:rPr>
          <w:lang w:val="en-GB"/>
        </w:rPr>
        <w:t xml:space="preserve">namely </w:t>
      </w:r>
      <w:r w:rsidR="00C10052" w:rsidRPr="002810E3">
        <w:rPr>
          <w:lang w:val="en-GB"/>
        </w:rPr>
        <w:t xml:space="preserve">that the doctor is recommending a therapy based on personal financial benefit.  </w:t>
      </w:r>
      <w:r w:rsidR="00C10052">
        <w:rPr>
          <w:lang w:val="en-GB"/>
        </w:rPr>
        <w:t xml:space="preserve">In </w:t>
      </w:r>
      <w:r w:rsidR="00C10052" w:rsidRPr="00C10052">
        <w:rPr>
          <w:i/>
          <w:lang w:val="en-GB"/>
        </w:rPr>
        <w:t>Dean</w:t>
      </w:r>
      <w:r w:rsidR="00C10052">
        <w:rPr>
          <w:i/>
          <w:lang w:val="en-GB"/>
        </w:rPr>
        <w:t xml:space="preserve">, </w:t>
      </w:r>
      <w:r w:rsidR="00C10052">
        <w:rPr>
          <w:lang w:val="en-GB"/>
        </w:rPr>
        <w:t xml:space="preserve">an Australian case, </w:t>
      </w:r>
      <w:proofErr w:type="spellStart"/>
      <w:r w:rsidR="00C10052">
        <w:rPr>
          <w:lang w:val="en-GB"/>
        </w:rPr>
        <w:t>Basten</w:t>
      </w:r>
      <w:proofErr w:type="spellEnd"/>
      <w:r w:rsidR="00C10052">
        <w:rPr>
          <w:lang w:val="en-GB"/>
        </w:rPr>
        <w:t xml:space="preserve"> JA said: </w:t>
      </w:r>
    </w:p>
    <w:p w14:paraId="0CFDFF9F" w14:textId="00FB65AE" w:rsidR="00C10052" w:rsidRPr="00911074" w:rsidRDefault="00C10052" w:rsidP="00C10052">
      <w:pPr>
        <w:spacing w:after="200" w:line="276" w:lineRule="auto"/>
        <w:ind w:left="720"/>
        <w:jc w:val="both"/>
      </w:pPr>
      <w:r w:rsidRPr="00911074">
        <w:rPr>
          <w:rStyle w:val="listnumber"/>
        </w:rPr>
        <w:t>… t</w:t>
      </w:r>
      <w:r w:rsidRPr="00911074">
        <w:t>he motive of the practitioner in seeking consent to proposed 'treatment' may establish that what was proposed was not intended to be treatment at all, so that the nature of the act to which consent was ostensibly given was not the act carried out. Thus, although the conduct was objectively capable of constituting therapeutic treatment, if it were in fact undertaken solely for a non-therapeutic purpose not revealed to the patient, there will be no relevant consent.</w:t>
      </w:r>
      <w:r w:rsidRPr="00911074">
        <w:rPr>
          <w:rStyle w:val="FootnoteReference"/>
        </w:rPr>
        <w:footnoteReference w:id="43"/>
      </w:r>
    </w:p>
    <w:p w14:paraId="2474EABC" w14:textId="75E0655B" w:rsidR="00133FBD" w:rsidRPr="009902CC" w:rsidRDefault="00C742B4" w:rsidP="00911074">
      <w:pPr>
        <w:spacing w:after="200" w:line="276" w:lineRule="auto"/>
        <w:jc w:val="both"/>
        <w:rPr>
          <w:lang w:val="en-GB"/>
        </w:rPr>
      </w:pPr>
      <w:r w:rsidRPr="002810E3">
        <w:rPr>
          <w:lang w:val="en-GB"/>
        </w:rPr>
        <w:t xml:space="preserve">Though the patient must only be apprised of the </w:t>
      </w:r>
      <w:r w:rsidRPr="009902CC">
        <w:rPr>
          <w:lang w:val="en-GB"/>
        </w:rPr>
        <w:t>procedure</w:t>
      </w:r>
      <w:r>
        <w:rPr>
          <w:lang w:val="en-GB"/>
        </w:rPr>
        <w:t>’s</w:t>
      </w:r>
      <w:r w:rsidRPr="002810E3">
        <w:rPr>
          <w:lang w:val="en-GB"/>
        </w:rPr>
        <w:t xml:space="preserve"> broad nature </w:t>
      </w:r>
      <w:r w:rsidRPr="009902CC">
        <w:rPr>
          <w:lang w:val="en-GB"/>
        </w:rPr>
        <w:t xml:space="preserve">for consent to be ‘real’, </w:t>
      </w:r>
      <w:r>
        <w:rPr>
          <w:lang w:val="en-GB"/>
        </w:rPr>
        <w:t>this logically includes</w:t>
      </w:r>
      <w:r w:rsidRPr="009902CC">
        <w:rPr>
          <w:lang w:val="en-GB"/>
        </w:rPr>
        <w:t xml:space="preserve"> the basis </w:t>
      </w:r>
      <w:r>
        <w:rPr>
          <w:lang w:val="en-GB"/>
        </w:rPr>
        <w:t xml:space="preserve">for conducting </w:t>
      </w:r>
      <w:r w:rsidRPr="009902CC">
        <w:rPr>
          <w:lang w:val="en-GB"/>
        </w:rPr>
        <w:t>the procedure</w:t>
      </w:r>
      <w:r>
        <w:rPr>
          <w:lang w:val="en-GB"/>
        </w:rPr>
        <w:t xml:space="preserve">. </w:t>
      </w:r>
      <w:r w:rsidRPr="009902CC">
        <w:rPr>
          <w:lang w:val="en-GB"/>
        </w:rPr>
        <w:t xml:space="preserve">Typically, this </w:t>
      </w:r>
      <w:r>
        <w:rPr>
          <w:lang w:val="en-GB"/>
        </w:rPr>
        <w:t>is</w:t>
      </w:r>
      <w:r w:rsidRPr="009902CC">
        <w:rPr>
          <w:lang w:val="en-GB"/>
        </w:rPr>
        <w:t xml:space="preserve"> </w:t>
      </w:r>
      <w:r>
        <w:rPr>
          <w:lang w:val="en-GB"/>
        </w:rPr>
        <w:t xml:space="preserve">the necessity for treatment, </w:t>
      </w:r>
      <w:r w:rsidRPr="009902CC">
        <w:rPr>
          <w:lang w:val="en-GB"/>
        </w:rPr>
        <w:t xml:space="preserve">and consent will be valid, but where the </w:t>
      </w:r>
      <w:r w:rsidR="00C209A4">
        <w:rPr>
          <w:lang w:val="en-GB"/>
        </w:rPr>
        <w:t xml:space="preserve">true </w:t>
      </w:r>
      <w:r w:rsidRPr="009902CC">
        <w:rPr>
          <w:lang w:val="en-GB"/>
        </w:rPr>
        <w:t>motive is financial gain</w:t>
      </w:r>
      <w:r w:rsidR="006D53BC">
        <w:rPr>
          <w:rStyle w:val="FootnoteReference"/>
          <w:lang w:val="en-GB"/>
        </w:rPr>
        <w:footnoteReference w:id="44"/>
      </w:r>
      <w:r w:rsidRPr="009902CC">
        <w:rPr>
          <w:lang w:val="en-GB"/>
        </w:rPr>
        <w:t xml:space="preserve"> </w:t>
      </w:r>
      <w:r w:rsidRPr="009902CC">
        <w:rPr>
          <w:lang w:val="en-GB"/>
        </w:rPr>
        <w:lastRenderedPageBreak/>
        <w:t xml:space="preserve">consent </w:t>
      </w:r>
      <w:r w:rsidR="00911074">
        <w:rPr>
          <w:lang w:val="en-GB"/>
        </w:rPr>
        <w:t>may be</w:t>
      </w:r>
      <w:r w:rsidR="00911074" w:rsidRPr="009902CC">
        <w:rPr>
          <w:lang w:val="en-GB"/>
        </w:rPr>
        <w:t xml:space="preserve"> </w:t>
      </w:r>
      <w:r w:rsidRPr="009902CC">
        <w:rPr>
          <w:lang w:val="en-GB"/>
        </w:rPr>
        <w:t xml:space="preserve">vitiated. </w:t>
      </w:r>
      <w:r>
        <w:rPr>
          <w:lang w:val="en-GB"/>
        </w:rPr>
        <w:t>C</w:t>
      </w:r>
      <w:r w:rsidRPr="009902CC">
        <w:rPr>
          <w:lang w:val="en-GB"/>
        </w:rPr>
        <w:t xml:space="preserve">onsent </w:t>
      </w:r>
      <w:r>
        <w:rPr>
          <w:lang w:val="en-GB"/>
        </w:rPr>
        <w:t>may</w:t>
      </w:r>
      <w:r w:rsidRPr="009902CC">
        <w:rPr>
          <w:lang w:val="en-GB"/>
        </w:rPr>
        <w:t xml:space="preserve"> also be vitiated </w:t>
      </w:r>
      <w:r w:rsidR="00C209A4">
        <w:rPr>
          <w:lang w:val="en-GB"/>
        </w:rPr>
        <w:t xml:space="preserve">due to conflict of interests </w:t>
      </w:r>
      <w:r>
        <w:rPr>
          <w:lang w:val="en-GB"/>
        </w:rPr>
        <w:t>i</w:t>
      </w:r>
      <w:r w:rsidRPr="009902CC">
        <w:rPr>
          <w:lang w:val="en-GB"/>
        </w:rPr>
        <w:t>f the purpose of treatment is to test a new therapy (by increasing uptake to improve data)</w:t>
      </w:r>
      <w:r w:rsidR="006D53BC">
        <w:rPr>
          <w:lang w:val="en-GB"/>
        </w:rPr>
        <w:t>,</w:t>
      </w:r>
      <w:r w:rsidR="00FE3385">
        <w:rPr>
          <w:rStyle w:val="FootnoteReference"/>
          <w:lang w:val="en-GB"/>
        </w:rPr>
        <w:footnoteReference w:id="45"/>
      </w:r>
      <w:r w:rsidR="006D53BC">
        <w:rPr>
          <w:lang w:val="en-GB"/>
        </w:rPr>
        <w:t xml:space="preserve"> which may </w:t>
      </w:r>
      <w:r w:rsidR="00C209A4">
        <w:rPr>
          <w:lang w:val="en-GB"/>
        </w:rPr>
        <w:t>be</w:t>
      </w:r>
      <w:r w:rsidR="00911074">
        <w:rPr>
          <w:lang w:val="en-GB"/>
        </w:rPr>
        <w:t>nefit future patients</w:t>
      </w:r>
      <w:r w:rsidR="00C209A4">
        <w:rPr>
          <w:lang w:val="en-GB"/>
        </w:rPr>
        <w:t xml:space="preserve"> and also advance the doctor’s financial interests</w:t>
      </w:r>
      <w:r w:rsidRPr="009902CC">
        <w:rPr>
          <w:lang w:val="en-GB"/>
        </w:rPr>
        <w:t>.</w:t>
      </w:r>
      <w:r w:rsidR="006D53BC">
        <w:rPr>
          <w:lang w:val="en-GB"/>
        </w:rPr>
        <w:t xml:space="preserve"> </w:t>
      </w:r>
    </w:p>
    <w:p w14:paraId="2BDF2466" w14:textId="66375E82" w:rsidR="006E3A6B" w:rsidRPr="00A45052" w:rsidRDefault="006E3A6B" w:rsidP="00AB6CC0">
      <w:pPr>
        <w:spacing w:before="100" w:beforeAutospacing="1" w:after="100" w:afterAutospacing="1" w:line="276" w:lineRule="auto"/>
        <w:jc w:val="both"/>
        <w:rPr>
          <w:lang w:val="en-GB"/>
        </w:rPr>
      </w:pPr>
      <w:r>
        <w:rPr>
          <w:lang w:val="en-GB"/>
        </w:rPr>
        <w:t>T</w:t>
      </w:r>
      <w:r w:rsidRPr="009902CC">
        <w:rPr>
          <w:lang w:val="en-GB"/>
        </w:rPr>
        <w:t xml:space="preserve">he General Medical </w:t>
      </w:r>
      <w:r w:rsidRPr="00504AE4">
        <w:rPr>
          <w:lang w:val="en-GB"/>
        </w:rPr>
        <w:t xml:space="preserve">Council (GMC) requires transparency about financial interests. Practitioners must </w:t>
      </w:r>
      <w:r w:rsidRPr="00A45052">
        <w:rPr>
          <w:lang w:val="en-GB"/>
        </w:rPr>
        <w:t>be honest with patients about any interests</w:t>
      </w:r>
      <w:r w:rsidR="000458B7" w:rsidRPr="00A45052">
        <w:rPr>
          <w:lang w:val="en-GB"/>
        </w:rPr>
        <w:t xml:space="preserve"> </w:t>
      </w:r>
      <w:r w:rsidRPr="00A45052">
        <w:rPr>
          <w:lang w:val="en-GB"/>
        </w:rPr>
        <w:t>which may affect their treatment.</w:t>
      </w:r>
      <w:r w:rsidRPr="00A45052">
        <w:rPr>
          <w:rStyle w:val="FootnoteReference"/>
          <w:lang w:val="en-GB"/>
        </w:rPr>
        <w:footnoteReference w:id="46"/>
      </w:r>
      <w:r w:rsidRPr="00A45052">
        <w:rPr>
          <w:lang w:val="en-GB"/>
        </w:rPr>
        <w:t xml:space="preserve">  They must not attempt to influence patients’ treatment choices for their own benefit,</w:t>
      </w:r>
      <w:r w:rsidRPr="00A45052">
        <w:rPr>
          <w:rStyle w:val="FootnoteReference"/>
          <w:lang w:val="en-GB"/>
        </w:rPr>
        <w:footnoteReference w:id="47"/>
      </w:r>
      <w:r w:rsidRPr="00A45052">
        <w:rPr>
          <w:lang w:val="en-GB"/>
        </w:rPr>
        <w:t xml:space="preserve"> and disclose to patients any financial interests in organisations to which they make referrals.</w:t>
      </w:r>
      <w:r w:rsidRPr="00A45052">
        <w:rPr>
          <w:rStyle w:val="FootnoteReference"/>
          <w:lang w:val="en-GB"/>
        </w:rPr>
        <w:footnoteReference w:id="48"/>
      </w:r>
      <w:r w:rsidRPr="00A45052">
        <w:rPr>
          <w:lang w:val="en-GB"/>
        </w:rPr>
        <w:t xml:space="preserve">  In </w:t>
      </w:r>
      <w:r w:rsidRPr="00A45052">
        <w:rPr>
          <w:i/>
          <w:lang w:val="en-GB"/>
        </w:rPr>
        <w:t>Good Medical Practice</w:t>
      </w:r>
      <w:r w:rsidRPr="00A45052">
        <w:rPr>
          <w:lang w:val="en-GB"/>
        </w:rPr>
        <w:t>, the GMC is clear that:</w:t>
      </w:r>
    </w:p>
    <w:p w14:paraId="2A842F7A" w14:textId="536346FF" w:rsidR="006E3A6B" w:rsidRPr="00A45052" w:rsidRDefault="006E3A6B" w:rsidP="00AB6CC0">
      <w:pPr>
        <w:ind w:left="720"/>
        <w:jc w:val="both"/>
        <w:rPr>
          <w:rFonts w:eastAsia="Times New Roman"/>
          <w:shd w:val="clear" w:color="auto" w:fill="FFFFFF"/>
          <w:lang w:val="en-GB"/>
        </w:rPr>
      </w:pPr>
      <w:r w:rsidRPr="00A45052">
        <w:rPr>
          <w:rFonts w:eastAsia="Times New Roman"/>
          <w:shd w:val="clear" w:color="auto" w:fill="FFFFFF"/>
          <w:lang w:val="en-GB"/>
        </w:rPr>
        <w:t>If you are faced with a conflict of interest, you must be open about the conflict, declaring your interest formally, and you should be prepared to exclude yourself from decision making.</w:t>
      </w:r>
      <w:r w:rsidRPr="00A45052">
        <w:rPr>
          <w:rStyle w:val="FootnoteReference"/>
          <w:rFonts w:eastAsia="Times New Roman"/>
          <w:shd w:val="clear" w:color="auto" w:fill="FFFFFF"/>
          <w:lang w:val="en-GB"/>
        </w:rPr>
        <w:footnoteReference w:id="49"/>
      </w:r>
    </w:p>
    <w:p w14:paraId="22A780BA" w14:textId="7992BCA9" w:rsidR="007F6025" w:rsidRDefault="007F6025" w:rsidP="00AB6CC0">
      <w:pPr>
        <w:ind w:left="720"/>
        <w:jc w:val="both"/>
        <w:rPr>
          <w:rFonts w:eastAsia="Times New Roman"/>
          <w:color w:val="4A4A4A"/>
          <w:shd w:val="clear" w:color="auto" w:fill="FFFFFF"/>
          <w:lang w:val="en-GB"/>
        </w:rPr>
      </w:pPr>
    </w:p>
    <w:p w14:paraId="3F920BE8" w14:textId="66AD780B" w:rsidR="00777D6A" w:rsidRDefault="00245D45" w:rsidP="007D3F85">
      <w:pPr>
        <w:tabs>
          <w:tab w:val="left" w:pos="2694"/>
        </w:tabs>
        <w:spacing w:line="276" w:lineRule="auto"/>
        <w:jc w:val="both"/>
        <w:rPr>
          <w:rFonts w:eastAsia="Times New Roman"/>
          <w:lang w:val="en-GB"/>
        </w:rPr>
      </w:pPr>
      <w:r>
        <w:rPr>
          <w:rFonts w:eastAsia="Times New Roman"/>
          <w:lang w:val="en-GB"/>
        </w:rPr>
        <w:t>C</w:t>
      </w:r>
      <w:r w:rsidR="00777D6A">
        <w:rPr>
          <w:rFonts w:eastAsia="Times New Roman"/>
          <w:lang w:val="en-GB"/>
        </w:rPr>
        <w:t>onflict of interest</w:t>
      </w:r>
      <w:r w:rsidR="00ED3541">
        <w:rPr>
          <w:rFonts w:eastAsia="Times New Roman"/>
          <w:lang w:val="en-GB"/>
        </w:rPr>
        <w:t>s</w:t>
      </w:r>
      <w:r w:rsidR="00777D6A">
        <w:rPr>
          <w:rFonts w:eastAsia="Times New Roman"/>
          <w:lang w:val="en-GB"/>
        </w:rPr>
        <w:t xml:space="preserve"> </w:t>
      </w:r>
      <w:r w:rsidR="009A7A46">
        <w:rPr>
          <w:rFonts w:eastAsia="Times New Roman"/>
          <w:lang w:val="en-GB"/>
        </w:rPr>
        <w:t xml:space="preserve">issues arose </w:t>
      </w:r>
      <w:r w:rsidR="00777D6A">
        <w:rPr>
          <w:rFonts w:eastAsia="Times New Roman"/>
          <w:lang w:val="en-GB"/>
        </w:rPr>
        <w:t xml:space="preserve">in </w:t>
      </w:r>
      <w:r w:rsidR="00F22C27" w:rsidRPr="007D3F85">
        <w:rPr>
          <w:rFonts w:eastAsia="Times New Roman"/>
          <w:i/>
          <w:lang w:val="en-GB"/>
        </w:rPr>
        <w:t>Hall v Petros</w:t>
      </w:r>
      <w:r w:rsidR="00184D76">
        <w:rPr>
          <w:rFonts w:eastAsia="Times New Roman"/>
          <w:i/>
          <w:lang w:val="en-GB"/>
        </w:rPr>
        <w:t>,</w:t>
      </w:r>
      <w:r w:rsidR="00F22C27" w:rsidRPr="007D3F85">
        <w:rPr>
          <w:rStyle w:val="FootnoteReference"/>
          <w:rFonts w:eastAsia="Times New Roman"/>
          <w:lang w:val="en-GB"/>
        </w:rPr>
        <w:footnoteReference w:id="50"/>
      </w:r>
      <w:r w:rsidR="00184D76">
        <w:rPr>
          <w:rFonts w:eastAsia="Times New Roman"/>
          <w:lang w:val="en-GB"/>
        </w:rPr>
        <w:t xml:space="preserve"> an Australian case. </w:t>
      </w:r>
      <w:r w:rsidR="00731703" w:rsidRPr="007D3F85">
        <w:rPr>
          <w:rFonts w:eastAsia="Times New Roman"/>
          <w:lang w:val="en-GB"/>
        </w:rPr>
        <w:t>The d</w:t>
      </w:r>
      <w:r w:rsidR="00F22C27" w:rsidRPr="007D3F85">
        <w:rPr>
          <w:rFonts w:eastAsia="Times New Roman"/>
          <w:lang w:val="en-GB"/>
        </w:rPr>
        <w:t>efendant gynaecolog</w:t>
      </w:r>
      <w:r w:rsidR="0017700D">
        <w:rPr>
          <w:rFonts w:eastAsia="Times New Roman"/>
          <w:lang w:val="en-GB"/>
        </w:rPr>
        <w:t>ist</w:t>
      </w:r>
      <w:r w:rsidR="00731703">
        <w:rPr>
          <w:rFonts w:eastAsia="Times New Roman"/>
          <w:lang w:val="en-GB"/>
        </w:rPr>
        <w:t xml:space="preserve"> undertook </w:t>
      </w:r>
      <w:r w:rsidR="00F22C27" w:rsidRPr="007D3F85">
        <w:rPr>
          <w:rFonts w:eastAsia="Times New Roman"/>
          <w:lang w:val="en-GB"/>
        </w:rPr>
        <w:t xml:space="preserve">a repair of an enterocele and intra vaginal </w:t>
      </w:r>
      <w:proofErr w:type="spellStart"/>
      <w:r w:rsidR="00F22C27" w:rsidRPr="007D3F85">
        <w:rPr>
          <w:rFonts w:eastAsia="Times New Roman"/>
          <w:lang w:val="en-GB"/>
        </w:rPr>
        <w:t>slingplasty</w:t>
      </w:r>
      <w:proofErr w:type="spellEnd"/>
      <w:r w:rsidR="00F22C27" w:rsidRPr="007D3F85">
        <w:rPr>
          <w:rFonts w:eastAsia="Times New Roman"/>
          <w:lang w:val="en-GB"/>
        </w:rPr>
        <w:t xml:space="preserve"> (IVS) on the </w:t>
      </w:r>
      <w:r w:rsidR="00731703">
        <w:rPr>
          <w:rFonts w:eastAsia="Times New Roman"/>
          <w:lang w:val="en-GB"/>
        </w:rPr>
        <w:t>claimant</w:t>
      </w:r>
      <w:r w:rsidR="00F22C27" w:rsidRPr="007D3F85">
        <w:rPr>
          <w:rFonts w:eastAsia="Times New Roman"/>
          <w:lang w:val="en-GB"/>
        </w:rPr>
        <w:t xml:space="preserve">. </w:t>
      </w:r>
      <w:r w:rsidR="007D3F85">
        <w:rPr>
          <w:rFonts w:eastAsia="Times New Roman"/>
          <w:lang w:val="en-GB"/>
        </w:rPr>
        <w:t>The procedure</w:t>
      </w:r>
      <w:r w:rsidR="00F22C27" w:rsidRPr="007D3F85">
        <w:rPr>
          <w:rFonts w:eastAsia="Times New Roman"/>
          <w:lang w:val="en-GB"/>
        </w:rPr>
        <w:t xml:space="preserve"> </w:t>
      </w:r>
      <w:r w:rsidR="008D5C2A">
        <w:rPr>
          <w:rFonts w:eastAsia="Times New Roman"/>
          <w:lang w:val="en-GB"/>
        </w:rPr>
        <w:t>used</w:t>
      </w:r>
      <w:r w:rsidR="00184D76">
        <w:rPr>
          <w:rFonts w:eastAsia="Times New Roman"/>
          <w:lang w:val="en-GB"/>
        </w:rPr>
        <w:t xml:space="preserve"> </w:t>
      </w:r>
      <w:r w:rsidR="00F22C27" w:rsidRPr="007D3F85">
        <w:rPr>
          <w:rFonts w:eastAsia="Times New Roman"/>
          <w:lang w:val="en-GB"/>
        </w:rPr>
        <w:t>a technique</w:t>
      </w:r>
      <w:r w:rsidR="00184D76">
        <w:rPr>
          <w:rFonts w:eastAsia="Times New Roman"/>
          <w:lang w:val="en-GB"/>
        </w:rPr>
        <w:t xml:space="preserve"> </w:t>
      </w:r>
      <w:r w:rsidR="00F22C27" w:rsidRPr="007D3F85">
        <w:rPr>
          <w:rFonts w:eastAsia="Times New Roman"/>
          <w:lang w:val="en-GB"/>
        </w:rPr>
        <w:t xml:space="preserve">pioneered by the defendant and a </w:t>
      </w:r>
      <w:r w:rsidR="00184D76">
        <w:rPr>
          <w:rFonts w:eastAsia="Times New Roman"/>
          <w:lang w:val="en-GB"/>
        </w:rPr>
        <w:t>colleague</w:t>
      </w:r>
      <w:r w:rsidR="00F22C27" w:rsidRPr="007D3F85">
        <w:rPr>
          <w:rFonts w:eastAsia="Times New Roman"/>
          <w:lang w:val="en-GB"/>
        </w:rPr>
        <w:t>.</w:t>
      </w:r>
      <w:r w:rsidR="003A33D8" w:rsidRPr="007D3F85">
        <w:rPr>
          <w:rStyle w:val="FootnoteReference"/>
          <w:rFonts w:eastAsia="Times New Roman"/>
          <w:lang w:val="en-GB"/>
        </w:rPr>
        <w:footnoteReference w:id="51"/>
      </w:r>
      <w:r w:rsidR="00F22C27" w:rsidRPr="007D3F85">
        <w:rPr>
          <w:rFonts w:eastAsia="Times New Roman"/>
          <w:lang w:val="en-GB"/>
        </w:rPr>
        <w:t xml:space="preserve"> </w:t>
      </w:r>
      <w:r w:rsidR="00264EA9" w:rsidRPr="007D3F85">
        <w:rPr>
          <w:rFonts w:eastAsia="Times New Roman"/>
          <w:lang w:val="en-GB"/>
        </w:rPr>
        <w:t xml:space="preserve">The </w:t>
      </w:r>
      <w:r w:rsidR="009E7D66">
        <w:rPr>
          <w:rFonts w:eastAsia="Times New Roman"/>
          <w:lang w:val="en-GB"/>
        </w:rPr>
        <w:t xml:space="preserve">defendant invented the </w:t>
      </w:r>
      <w:r w:rsidR="00264EA9" w:rsidRPr="007D3F85">
        <w:rPr>
          <w:rFonts w:eastAsia="Times New Roman"/>
          <w:lang w:val="en-GB"/>
        </w:rPr>
        <w:t xml:space="preserve">delivery instrument </w:t>
      </w:r>
      <w:r w:rsidR="009E7D66">
        <w:rPr>
          <w:rFonts w:eastAsia="Times New Roman"/>
          <w:lang w:val="en-GB"/>
        </w:rPr>
        <w:t>and</w:t>
      </w:r>
      <w:r w:rsidR="00184D76">
        <w:rPr>
          <w:rFonts w:eastAsia="Times New Roman"/>
          <w:lang w:val="en-GB"/>
        </w:rPr>
        <w:t xml:space="preserve"> </w:t>
      </w:r>
      <w:r w:rsidR="003A33D8" w:rsidRPr="007D3F85">
        <w:rPr>
          <w:rFonts w:eastAsia="Times New Roman"/>
          <w:lang w:val="en-GB"/>
        </w:rPr>
        <w:t>received a royalty per instrument.</w:t>
      </w:r>
      <w:r w:rsidR="003A33D8" w:rsidRPr="007D3F85">
        <w:rPr>
          <w:rStyle w:val="FootnoteReference"/>
          <w:rFonts w:eastAsia="Times New Roman"/>
          <w:lang w:val="en-GB"/>
        </w:rPr>
        <w:footnoteReference w:id="52"/>
      </w:r>
      <w:r w:rsidR="003A33D8" w:rsidRPr="007D3F85">
        <w:rPr>
          <w:rFonts w:eastAsia="Times New Roman"/>
          <w:lang w:val="en-GB"/>
        </w:rPr>
        <w:t xml:space="preserve"> </w:t>
      </w:r>
      <w:r w:rsidR="00AA6092">
        <w:rPr>
          <w:rFonts w:eastAsia="Times New Roman"/>
          <w:lang w:val="en-GB"/>
        </w:rPr>
        <w:t xml:space="preserve">Patients </w:t>
      </w:r>
      <w:r w:rsidR="002A2EC1">
        <w:rPr>
          <w:rFonts w:eastAsia="Times New Roman"/>
          <w:lang w:val="en-GB"/>
        </w:rPr>
        <w:t>undergoing</w:t>
      </w:r>
      <w:r w:rsidR="003A33D8" w:rsidRPr="007D3F85">
        <w:rPr>
          <w:rFonts w:eastAsia="Times New Roman"/>
          <w:lang w:val="en-GB"/>
        </w:rPr>
        <w:t xml:space="preserve"> </w:t>
      </w:r>
      <w:r w:rsidR="006D5F34" w:rsidRPr="007D3F85">
        <w:rPr>
          <w:rFonts w:eastAsia="Times New Roman"/>
          <w:lang w:val="en-GB"/>
        </w:rPr>
        <w:t xml:space="preserve">the </w:t>
      </w:r>
      <w:r w:rsidR="006D5F34">
        <w:rPr>
          <w:rFonts w:eastAsia="Times New Roman"/>
          <w:lang w:val="en-GB"/>
        </w:rPr>
        <w:t>IVS</w:t>
      </w:r>
      <w:r w:rsidR="003A33D8" w:rsidRPr="007D3F85">
        <w:rPr>
          <w:rFonts w:eastAsia="Times New Roman"/>
          <w:lang w:val="en-GB"/>
        </w:rPr>
        <w:t xml:space="preserve"> operation</w:t>
      </w:r>
      <w:r w:rsidR="00AA6092">
        <w:rPr>
          <w:rFonts w:eastAsia="Times New Roman"/>
          <w:lang w:val="en-GB"/>
        </w:rPr>
        <w:t xml:space="preserve"> were eligible for Health Insurance benefits</w:t>
      </w:r>
      <w:r w:rsidR="003A33D8" w:rsidRPr="007D3F85">
        <w:rPr>
          <w:rFonts w:eastAsia="Times New Roman"/>
          <w:lang w:val="en-GB"/>
        </w:rPr>
        <w:t>.</w:t>
      </w:r>
      <w:r w:rsidR="003A33D8" w:rsidRPr="007D3F85">
        <w:rPr>
          <w:rStyle w:val="FootnoteReference"/>
          <w:rFonts w:eastAsia="Times New Roman"/>
          <w:lang w:val="en-GB"/>
        </w:rPr>
        <w:footnoteReference w:id="53"/>
      </w:r>
      <w:r w:rsidR="003A33D8" w:rsidRPr="007D3F85">
        <w:rPr>
          <w:rFonts w:eastAsia="Times New Roman"/>
          <w:lang w:val="en-GB"/>
        </w:rPr>
        <w:t xml:space="preserve"> </w:t>
      </w:r>
      <w:r w:rsidR="00264EA9" w:rsidRPr="007D3F85">
        <w:rPr>
          <w:rFonts w:eastAsia="Times New Roman"/>
          <w:lang w:val="en-GB"/>
        </w:rPr>
        <w:t>The</w:t>
      </w:r>
      <w:r w:rsidR="009A7A46">
        <w:rPr>
          <w:rFonts w:eastAsia="Times New Roman"/>
          <w:lang w:val="en-GB"/>
        </w:rPr>
        <w:t xml:space="preserve"> claimant was not told about </w:t>
      </w:r>
      <w:r w:rsidR="00777D6A">
        <w:rPr>
          <w:rFonts w:eastAsia="Times New Roman"/>
          <w:lang w:val="en-GB"/>
        </w:rPr>
        <w:t xml:space="preserve">a risk </w:t>
      </w:r>
      <w:r w:rsidR="00777D6A" w:rsidRPr="00DF6BBD">
        <w:rPr>
          <w:rFonts w:eastAsia="Times New Roman"/>
          <w:lang w:val="en-GB"/>
        </w:rPr>
        <w:t>of tape rejection or infection</w:t>
      </w:r>
      <w:r w:rsidR="00777D6A">
        <w:rPr>
          <w:rFonts w:eastAsia="Times New Roman"/>
          <w:lang w:val="en-GB"/>
        </w:rPr>
        <w:t xml:space="preserve">. </w:t>
      </w:r>
      <w:r w:rsidR="009A7A46">
        <w:rPr>
          <w:rFonts w:eastAsia="Times New Roman"/>
          <w:lang w:val="en-GB"/>
        </w:rPr>
        <w:t>This ri</w:t>
      </w:r>
      <w:r w:rsidR="00777D6A">
        <w:rPr>
          <w:rFonts w:eastAsia="Times New Roman"/>
          <w:lang w:val="en-GB"/>
        </w:rPr>
        <w:t xml:space="preserve">sk eventuated, </w:t>
      </w:r>
      <w:r w:rsidR="009A7A46">
        <w:rPr>
          <w:rFonts w:eastAsia="Times New Roman"/>
          <w:lang w:val="en-GB"/>
        </w:rPr>
        <w:t>and a claim for negligence (failure t</w:t>
      </w:r>
      <w:r w:rsidR="00FC55FC">
        <w:rPr>
          <w:rFonts w:eastAsia="Times New Roman"/>
          <w:lang w:val="en-GB"/>
        </w:rPr>
        <w:t>o disclose</w:t>
      </w:r>
      <w:r w:rsidR="00264EA9" w:rsidRPr="007D3F85">
        <w:rPr>
          <w:rFonts w:eastAsia="Times New Roman"/>
          <w:lang w:val="en-GB"/>
        </w:rPr>
        <w:t xml:space="preserve"> material risks</w:t>
      </w:r>
      <w:r w:rsidR="009A7A46">
        <w:rPr>
          <w:rFonts w:eastAsia="Times New Roman"/>
          <w:lang w:val="en-GB"/>
        </w:rPr>
        <w:t>) was brought</w:t>
      </w:r>
      <w:r w:rsidR="00264EA9" w:rsidRPr="007D3F85">
        <w:rPr>
          <w:rFonts w:eastAsia="Times New Roman"/>
          <w:lang w:val="en-GB"/>
        </w:rPr>
        <w:t>.</w:t>
      </w:r>
      <w:r w:rsidR="0009200F" w:rsidRPr="007D3F85">
        <w:rPr>
          <w:rFonts w:eastAsia="Times New Roman"/>
          <w:lang w:val="en-GB"/>
        </w:rPr>
        <w:t xml:space="preserve"> </w:t>
      </w:r>
    </w:p>
    <w:p w14:paraId="7BCCB4C0" w14:textId="77777777" w:rsidR="00777D6A" w:rsidRDefault="00777D6A" w:rsidP="007D3F85">
      <w:pPr>
        <w:jc w:val="both"/>
        <w:rPr>
          <w:rFonts w:eastAsia="Times New Roman"/>
          <w:lang w:val="en-GB"/>
        </w:rPr>
      </w:pPr>
    </w:p>
    <w:p w14:paraId="1692E2C3" w14:textId="79E23BBC" w:rsidR="00946C62" w:rsidRDefault="00E916A1" w:rsidP="00284F65">
      <w:pPr>
        <w:spacing w:line="276" w:lineRule="auto"/>
        <w:jc w:val="both"/>
        <w:rPr>
          <w:lang w:val="en-GB"/>
        </w:rPr>
      </w:pPr>
      <w:r>
        <w:rPr>
          <w:rFonts w:eastAsia="Times New Roman"/>
          <w:lang w:val="en-GB"/>
        </w:rPr>
        <w:t xml:space="preserve">The possibility of optimism bias </w:t>
      </w:r>
      <w:r w:rsidR="00757803">
        <w:rPr>
          <w:rFonts w:eastAsia="Times New Roman"/>
          <w:lang w:val="en-GB"/>
        </w:rPr>
        <w:t xml:space="preserve">by </w:t>
      </w:r>
      <w:r>
        <w:rPr>
          <w:rFonts w:eastAsia="Times New Roman"/>
          <w:lang w:val="en-GB"/>
        </w:rPr>
        <w:t xml:space="preserve">the defendant doctor was raised </w:t>
      </w:r>
      <w:r w:rsidRPr="007D3F85">
        <w:rPr>
          <w:rFonts w:eastAsia="Times New Roman"/>
          <w:lang w:val="en-GB"/>
        </w:rPr>
        <w:t>during cross-examination</w:t>
      </w:r>
      <w:r w:rsidR="00AA6092">
        <w:rPr>
          <w:rFonts w:eastAsia="Times New Roman"/>
          <w:lang w:val="en-GB"/>
        </w:rPr>
        <w:t>; h</w:t>
      </w:r>
      <w:r w:rsidR="009E7D66">
        <w:rPr>
          <w:rFonts w:eastAsia="Times New Roman"/>
          <w:lang w:val="en-GB"/>
        </w:rPr>
        <w:t>e</w:t>
      </w:r>
      <w:r w:rsidR="00C972FD" w:rsidRPr="007D3F85">
        <w:rPr>
          <w:rFonts w:eastAsia="Times New Roman"/>
          <w:lang w:val="en-GB"/>
        </w:rPr>
        <w:t xml:space="preserve"> was asked </w:t>
      </w:r>
      <w:r w:rsidR="00777D6A">
        <w:rPr>
          <w:rFonts w:eastAsia="Times New Roman"/>
          <w:lang w:val="en-GB" w:eastAsia="en-AU"/>
        </w:rPr>
        <w:t xml:space="preserve">if he accepted </w:t>
      </w:r>
      <w:r w:rsidR="006D5F34">
        <w:rPr>
          <w:rFonts w:eastAsia="Times New Roman"/>
          <w:lang w:val="en-GB" w:eastAsia="en-AU"/>
        </w:rPr>
        <w:t>that</w:t>
      </w:r>
      <w:r w:rsidR="00777D6A">
        <w:rPr>
          <w:rFonts w:eastAsia="Times New Roman"/>
          <w:lang w:val="en-GB" w:eastAsia="en-AU"/>
        </w:rPr>
        <w:t xml:space="preserve"> he may have bee</w:t>
      </w:r>
      <w:r w:rsidR="00430443">
        <w:rPr>
          <w:rFonts w:eastAsia="Times New Roman"/>
          <w:lang w:val="en-GB" w:eastAsia="en-AU"/>
        </w:rPr>
        <w:t>n ‘</w:t>
      </w:r>
      <w:r w:rsidR="0002410C" w:rsidRPr="007D3F85">
        <w:rPr>
          <w:rFonts w:eastAsia="Times New Roman"/>
          <w:lang w:val="en-GB" w:eastAsia="en-AU"/>
        </w:rPr>
        <w:t xml:space="preserve">somewhat blinded as to the adverse </w:t>
      </w:r>
      <w:r w:rsidR="0002410C" w:rsidRPr="007D3F85">
        <w:rPr>
          <w:rFonts w:eastAsia="Times New Roman"/>
          <w:lang w:val="en-GB" w:eastAsia="en-AU"/>
        </w:rPr>
        <w:lastRenderedPageBreak/>
        <w:t>elements associated with it</w:t>
      </w:r>
      <w:r w:rsidR="00430443">
        <w:rPr>
          <w:rFonts w:eastAsia="Times New Roman"/>
          <w:lang w:val="en-GB" w:eastAsia="en-AU"/>
        </w:rPr>
        <w:t>’.</w:t>
      </w:r>
      <w:r w:rsidR="00430443" w:rsidRPr="00587B74">
        <w:rPr>
          <w:rStyle w:val="FootnoteReference"/>
          <w:rFonts w:eastAsia="Times New Roman"/>
          <w:lang w:val="en-GB" w:eastAsia="en-AU"/>
        </w:rPr>
        <w:footnoteReference w:id="54"/>
      </w:r>
      <w:r w:rsidR="00430443">
        <w:rPr>
          <w:rFonts w:eastAsia="Times New Roman"/>
          <w:lang w:val="en-GB" w:eastAsia="en-AU"/>
        </w:rPr>
        <w:t xml:space="preserve">  He rejected </w:t>
      </w:r>
      <w:r w:rsidR="00245D45">
        <w:rPr>
          <w:rFonts w:eastAsia="Times New Roman"/>
          <w:lang w:val="en-GB" w:eastAsia="en-AU"/>
        </w:rPr>
        <w:t>this</w:t>
      </w:r>
      <w:r w:rsidR="00430443">
        <w:rPr>
          <w:rFonts w:eastAsia="Times New Roman"/>
          <w:lang w:val="en-GB" w:eastAsia="en-AU"/>
        </w:rPr>
        <w:t xml:space="preserve"> stating the ‘</w:t>
      </w:r>
      <w:r w:rsidR="0002410C" w:rsidRPr="007D3F85">
        <w:rPr>
          <w:rFonts w:eastAsia="Times New Roman"/>
          <w:lang w:val="en-GB" w:eastAsia="en-AU"/>
        </w:rPr>
        <w:t xml:space="preserve">role of the scientist is to seek the </w:t>
      </w:r>
      <w:r w:rsidR="006D5F34">
        <w:rPr>
          <w:rFonts w:eastAsia="Times New Roman"/>
          <w:lang w:val="en-GB" w:eastAsia="en-AU"/>
        </w:rPr>
        <w:t>truth, whether it’</w:t>
      </w:r>
      <w:r w:rsidR="0002410C" w:rsidRPr="007D3F85">
        <w:rPr>
          <w:rFonts w:eastAsia="Times New Roman"/>
          <w:lang w:val="en-GB" w:eastAsia="en-AU"/>
        </w:rPr>
        <w:t>s good or bad.</w:t>
      </w:r>
      <w:r w:rsidR="00430443">
        <w:rPr>
          <w:rFonts w:eastAsia="Times New Roman"/>
          <w:lang w:val="en-GB" w:eastAsia="en-AU"/>
        </w:rPr>
        <w:t>’</w:t>
      </w:r>
      <w:r w:rsidR="0002410C" w:rsidRPr="007D3F85">
        <w:rPr>
          <w:rStyle w:val="FootnoteReference"/>
          <w:rFonts w:eastAsia="Times New Roman"/>
          <w:lang w:val="en-GB" w:eastAsia="en-AU"/>
        </w:rPr>
        <w:footnoteReference w:id="55"/>
      </w:r>
      <w:r w:rsidR="00430443">
        <w:rPr>
          <w:lang w:val="en-GB"/>
        </w:rPr>
        <w:t xml:space="preserve">  </w:t>
      </w:r>
      <w:r w:rsidR="0009200F" w:rsidRPr="007D3F85">
        <w:rPr>
          <w:lang w:val="en-GB"/>
        </w:rPr>
        <w:t xml:space="preserve">The trial judge </w:t>
      </w:r>
      <w:r w:rsidR="00946C62">
        <w:rPr>
          <w:lang w:val="en-GB"/>
        </w:rPr>
        <w:t xml:space="preserve">observed the </w:t>
      </w:r>
      <w:r w:rsidR="00430443">
        <w:rPr>
          <w:lang w:val="en-GB"/>
        </w:rPr>
        <w:t>defendant</w:t>
      </w:r>
      <w:r w:rsidR="0009200F" w:rsidRPr="007D3F85">
        <w:rPr>
          <w:lang w:val="en-GB"/>
        </w:rPr>
        <w:t xml:space="preserve"> </w:t>
      </w:r>
      <w:r w:rsidR="00946C62">
        <w:rPr>
          <w:lang w:val="en-GB"/>
        </w:rPr>
        <w:t>‘</w:t>
      </w:r>
      <w:r w:rsidR="0009200F" w:rsidRPr="007D3F85">
        <w:rPr>
          <w:lang w:val="en-GB"/>
        </w:rPr>
        <w:t>impressed me as having a proprietary attitude towards the IVS procedure, as well as great pride in events associated with its development.</w:t>
      </w:r>
      <w:r w:rsidR="00946C62">
        <w:rPr>
          <w:lang w:val="en-GB"/>
        </w:rPr>
        <w:t>’</w:t>
      </w:r>
      <w:r w:rsidR="0009200F" w:rsidRPr="007D3F85">
        <w:rPr>
          <w:rStyle w:val="FootnoteReference"/>
          <w:lang w:val="en-GB"/>
        </w:rPr>
        <w:footnoteReference w:id="56"/>
      </w:r>
      <w:r w:rsidR="00946C62">
        <w:rPr>
          <w:lang w:val="en-GB"/>
        </w:rPr>
        <w:t xml:space="preserve">  </w:t>
      </w:r>
      <w:r w:rsidR="002E6071">
        <w:rPr>
          <w:lang w:val="en-GB"/>
        </w:rPr>
        <w:t xml:space="preserve">He </w:t>
      </w:r>
      <w:r w:rsidR="00946C62">
        <w:rPr>
          <w:lang w:val="en-GB"/>
        </w:rPr>
        <w:t>was:</w:t>
      </w:r>
    </w:p>
    <w:p w14:paraId="7A4F70DA" w14:textId="009586ED" w:rsidR="0009200F" w:rsidRPr="007D3F85" w:rsidRDefault="0009200F" w:rsidP="00284F65">
      <w:pPr>
        <w:spacing w:line="276" w:lineRule="auto"/>
        <w:jc w:val="both"/>
        <w:rPr>
          <w:lang w:val="en-GB"/>
        </w:rPr>
      </w:pPr>
      <w:r w:rsidRPr="007D3F85">
        <w:rPr>
          <w:lang w:val="en-GB"/>
        </w:rPr>
        <w:t xml:space="preserve"> </w:t>
      </w:r>
    </w:p>
    <w:p w14:paraId="1006A166" w14:textId="4DD0E408" w:rsidR="00731703" w:rsidRPr="007D3F85" w:rsidRDefault="0009200F" w:rsidP="00284F65">
      <w:pPr>
        <w:spacing w:line="276" w:lineRule="auto"/>
        <w:ind w:left="720"/>
        <w:jc w:val="both"/>
        <w:rPr>
          <w:lang w:val="en-GB"/>
        </w:rPr>
      </w:pPr>
      <w:r w:rsidRPr="007D3F85">
        <w:rPr>
          <w:lang w:val="en-GB"/>
        </w:rPr>
        <w:t>satisfied that the defendant in his dealings with the plaintiff at least was concerned to extol what he perceived to be the many advantages of the IVS procedure rather than to point out, in a balanced and neutral manner, both possible beneficial and adverse outcomes and the risks.</w:t>
      </w:r>
      <w:r w:rsidRPr="007D3F85">
        <w:rPr>
          <w:rStyle w:val="FootnoteReference"/>
          <w:lang w:val="en-GB"/>
        </w:rPr>
        <w:footnoteReference w:id="57"/>
      </w:r>
    </w:p>
    <w:p w14:paraId="75D945D3" w14:textId="55838500" w:rsidR="0009200F" w:rsidRPr="007D3F85" w:rsidRDefault="0009200F" w:rsidP="007D3F85">
      <w:pPr>
        <w:spacing w:line="276" w:lineRule="auto"/>
        <w:ind w:left="720"/>
        <w:jc w:val="both"/>
        <w:rPr>
          <w:lang w:val="en-GB"/>
        </w:rPr>
      </w:pPr>
    </w:p>
    <w:bookmarkEnd w:id="0"/>
    <w:p w14:paraId="598F1AFC" w14:textId="1AD62B26" w:rsidR="00C742B4" w:rsidRPr="00027A8E" w:rsidRDefault="00C742B4" w:rsidP="00C742B4">
      <w:pPr>
        <w:spacing w:line="276" w:lineRule="auto"/>
        <w:jc w:val="both"/>
        <w:rPr>
          <w:lang w:val="en-GB"/>
        </w:rPr>
      </w:pPr>
      <w:r>
        <w:rPr>
          <w:lang w:val="en-GB"/>
        </w:rPr>
        <w:t>Further, t</w:t>
      </w:r>
      <w:r w:rsidRPr="007D3F85">
        <w:rPr>
          <w:lang w:val="en-GB"/>
        </w:rPr>
        <w:t xml:space="preserve">he defendant </w:t>
      </w:r>
      <w:r>
        <w:rPr>
          <w:lang w:val="en-GB"/>
        </w:rPr>
        <w:t>‘</w:t>
      </w:r>
      <w:r w:rsidRPr="007D3F85">
        <w:rPr>
          <w:lang w:val="en-GB"/>
        </w:rPr>
        <w:t>did not</w:t>
      </w:r>
      <w:r>
        <w:rPr>
          <w:lang w:val="en-GB"/>
        </w:rPr>
        <w:t xml:space="preserve"> … </w:t>
      </w:r>
      <w:r w:rsidRPr="007D3F85">
        <w:rPr>
          <w:lang w:val="en-GB"/>
        </w:rPr>
        <w:t xml:space="preserve">believe there was or is any real detriment associated with </w:t>
      </w:r>
      <w:r>
        <w:rPr>
          <w:lang w:val="en-GB"/>
        </w:rPr>
        <w:t>“</w:t>
      </w:r>
      <w:r w:rsidRPr="007D3F85">
        <w:rPr>
          <w:lang w:val="en-GB"/>
        </w:rPr>
        <w:t>his</w:t>
      </w:r>
      <w:r>
        <w:rPr>
          <w:lang w:val="en-GB"/>
        </w:rPr>
        <w:t>”</w:t>
      </w:r>
      <w:r w:rsidRPr="007D3F85">
        <w:rPr>
          <w:lang w:val="en-GB"/>
        </w:rPr>
        <w:t xml:space="preserve"> procedure.</w:t>
      </w:r>
      <w:r>
        <w:rPr>
          <w:lang w:val="en-GB"/>
        </w:rPr>
        <w:t>’</w:t>
      </w:r>
      <w:r w:rsidRPr="007D3F85">
        <w:rPr>
          <w:rStyle w:val="FootnoteReference"/>
          <w:lang w:val="en-GB"/>
        </w:rPr>
        <w:footnoteReference w:id="58"/>
      </w:r>
      <w:r>
        <w:rPr>
          <w:lang w:val="en-GB"/>
        </w:rPr>
        <w:t xml:space="preserve">  </w:t>
      </w:r>
      <w:r w:rsidR="00757803">
        <w:rPr>
          <w:lang w:val="en-GB"/>
        </w:rPr>
        <w:t>T</w:t>
      </w:r>
      <w:r>
        <w:rPr>
          <w:lang w:val="en-GB"/>
        </w:rPr>
        <w:t>here was no argument consent was invalidated</w:t>
      </w:r>
      <w:r w:rsidR="002A72D8">
        <w:rPr>
          <w:lang w:val="en-GB"/>
        </w:rPr>
        <w:t xml:space="preserve"> in relation to battery</w:t>
      </w:r>
      <w:r>
        <w:rPr>
          <w:lang w:val="en-GB"/>
        </w:rPr>
        <w:t xml:space="preserve"> – it was not suggested </w:t>
      </w:r>
      <w:r w:rsidR="00757803">
        <w:rPr>
          <w:lang w:val="en-GB"/>
        </w:rPr>
        <w:t xml:space="preserve">that: </w:t>
      </w:r>
      <w:r>
        <w:rPr>
          <w:lang w:val="en-GB"/>
        </w:rPr>
        <w:t>the treatment lacked therapeutic benefit</w:t>
      </w:r>
      <w:r w:rsidR="00757803">
        <w:rPr>
          <w:lang w:val="en-GB"/>
        </w:rPr>
        <w:t xml:space="preserve">; </w:t>
      </w:r>
      <w:r w:rsidRPr="007D3F85">
        <w:rPr>
          <w:lang w:val="en-GB"/>
        </w:rPr>
        <w:t xml:space="preserve">financial </w:t>
      </w:r>
      <w:r>
        <w:rPr>
          <w:lang w:val="en-GB"/>
        </w:rPr>
        <w:t xml:space="preserve">gain </w:t>
      </w:r>
      <w:r w:rsidRPr="007D3F85">
        <w:rPr>
          <w:lang w:val="en-GB"/>
        </w:rPr>
        <w:t>was the sole motivation</w:t>
      </w:r>
      <w:r w:rsidR="00757803">
        <w:rPr>
          <w:lang w:val="en-GB"/>
        </w:rPr>
        <w:t xml:space="preserve">; </w:t>
      </w:r>
      <w:r w:rsidRPr="007D3F85">
        <w:rPr>
          <w:lang w:val="en-GB"/>
        </w:rPr>
        <w:t xml:space="preserve">or the patient </w:t>
      </w:r>
      <w:r>
        <w:rPr>
          <w:lang w:val="en-GB"/>
        </w:rPr>
        <w:t>was</w:t>
      </w:r>
      <w:r w:rsidRPr="007D3F85">
        <w:rPr>
          <w:lang w:val="en-GB"/>
        </w:rPr>
        <w:t xml:space="preserve"> deliberately misled </w:t>
      </w:r>
      <w:r>
        <w:rPr>
          <w:lang w:val="en-GB"/>
        </w:rPr>
        <w:t xml:space="preserve">about the </w:t>
      </w:r>
      <w:r w:rsidRPr="007D3F85">
        <w:rPr>
          <w:lang w:val="en-GB"/>
        </w:rPr>
        <w:t>defendant’s interest</w:t>
      </w:r>
      <w:r w:rsidR="00757803">
        <w:rPr>
          <w:lang w:val="en-GB"/>
        </w:rPr>
        <w:t>.</w:t>
      </w:r>
      <w:r w:rsidRPr="007D3F85">
        <w:rPr>
          <w:rStyle w:val="FootnoteReference"/>
          <w:lang w:val="en-GB"/>
        </w:rPr>
        <w:footnoteReference w:id="59"/>
      </w:r>
      <w:r w:rsidRPr="007D3F85">
        <w:rPr>
          <w:lang w:val="en-GB"/>
        </w:rPr>
        <w:t xml:space="preserve"> </w:t>
      </w:r>
      <w:r w:rsidR="00757803">
        <w:rPr>
          <w:lang w:val="en-GB"/>
        </w:rPr>
        <w:t>The t</w:t>
      </w:r>
      <w:r w:rsidR="002A72D8">
        <w:rPr>
          <w:lang w:val="en-GB"/>
        </w:rPr>
        <w:t xml:space="preserve">rial judge held that the </w:t>
      </w:r>
      <w:r w:rsidR="00757803">
        <w:rPr>
          <w:lang w:val="en-GB"/>
        </w:rPr>
        <w:t>there was a duty to disclose material risks and the pa</w:t>
      </w:r>
      <w:r w:rsidR="002A72D8">
        <w:rPr>
          <w:lang w:val="en-GB"/>
        </w:rPr>
        <w:t>tient would not have undergone surgery if warned.</w:t>
      </w:r>
      <w:r>
        <w:rPr>
          <w:lang w:val="en-GB"/>
        </w:rPr>
        <w:t xml:space="preserve"> </w:t>
      </w:r>
      <w:r w:rsidRPr="00284F65">
        <w:rPr>
          <w:i/>
          <w:lang w:val="en-GB"/>
        </w:rPr>
        <w:t>Hall</w:t>
      </w:r>
      <w:r w:rsidRPr="007D3F85">
        <w:rPr>
          <w:lang w:val="en-GB"/>
        </w:rPr>
        <w:t xml:space="preserve"> </w:t>
      </w:r>
      <w:r w:rsidR="002A72D8">
        <w:rPr>
          <w:lang w:val="en-GB"/>
        </w:rPr>
        <w:t xml:space="preserve">thus </w:t>
      </w:r>
      <w:r w:rsidRPr="007D3F85">
        <w:rPr>
          <w:lang w:val="en-GB"/>
        </w:rPr>
        <w:t xml:space="preserve">highlights </w:t>
      </w:r>
      <w:r w:rsidR="002A72D8">
        <w:rPr>
          <w:lang w:val="en-GB"/>
        </w:rPr>
        <w:t xml:space="preserve">how it is possible to avoid liability for battery </w:t>
      </w:r>
      <w:r w:rsidR="00757803">
        <w:rPr>
          <w:lang w:val="en-GB"/>
        </w:rPr>
        <w:t xml:space="preserve">yet </w:t>
      </w:r>
      <w:r w:rsidR="002A72D8">
        <w:rPr>
          <w:lang w:val="en-GB"/>
        </w:rPr>
        <w:t>still fail to meet the negligence</w:t>
      </w:r>
      <w:r w:rsidR="002A2EC1">
        <w:rPr>
          <w:lang w:val="en-GB"/>
        </w:rPr>
        <w:t xml:space="preserve"> risk disclosure</w:t>
      </w:r>
      <w:r w:rsidR="0095768E">
        <w:rPr>
          <w:lang w:val="en-GB"/>
        </w:rPr>
        <w:t xml:space="preserve"> </w:t>
      </w:r>
      <w:r w:rsidR="00757803">
        <w:rPr>
          <w:lang w:val="en-GB"/>
        </w:rPr>
        <w:t>requirement</w:t>
      </w:r>
      <w:r w:rsidR="002A2EC1">
        <w:rPr>
          <w:lang w:val="en-GB"/>
        </w:rPr>
        <w:t>s</w:t>
      </w:r>
      <w:r w:rsidR="0095768E">
        <w:rPr>
          <w:lang w:val="en-GB"/>
        </w:rPr>
        <w:t>, including</w:t>
      </w:r>
      <w:r w:rsidR="0095768E" w:rsidRPr="0095768E">
        <w:t xml:space="preserve"> </w:t>
      </w:r>
      <w:r w:rsidR="0095768E">
        <w:t>that the “procedure was not a standard procedure … and was not employed by a majority … that there were alternative procedures available.”</w:t>
      </w:r>
      <w:r w:rsidR="0095768E">
        <w:rPr>
          <w:rStyle w:val="FootnoteReference"/>
        </w:rPr>
        <w:footnoteReference w:id="60"/>
      </w:r>
      <w:r w:rsidR="002A72D8">
        <w:rPr>
          <w:lang w:val="en-GB"/>
        </w:rPr>
        <w:t xml:space="preserve"> It emphasises </w:t>
      </w:r>
      <w:r w:rsidRPr="007D3F85">
        <w:rPr>
          <w:lang w:val="en-GB"/>
        </w:rPr>
        <w:t xml:space="preserve">the need for transparency </w:t>
      </w:r>
      <w:r w:rsidR="002A72D8">
        <w:rPr>
          <w:lang w:val="en-GB"/>
        </w:rPr>
        <w:t>when conducting innovative treatments if doctors are to completely avoid liability</w:t>
      </w:r>
      <w:r w:rsidR="00AA6092">
        <w:rPr>
          <w:lang w:val="en-GB"/>
        </w:rPr>
        <w:t xml:space="preserve">. </w:t>
      </w:r>
      <w:r w:rsidRPr="007D3F85">
        <w:rPr>
          <w:lang w:val="en-GB"/>
        </w:rPr>
        <w:t xml:space="preserve">  </w:t>
      </w:r>
    </w:p>
    <w:p w14:paraId="7D6F48AE" w14:textId="77777777" w:rsidR="00C972FD" w:rsidRPr="00027A8E" w:rsidRDefault="00C972FD" w:rsidP="00F504E0">
      <w:pPr>
        <w:spacing w:line="276" w:lineRule="auto"/>
        <w:jc w:val="both"/>
        <w:rPr>
          <w:lang w:val="en-GB"/>
        </w:rPr>
      </w:pPr>
    </w:p>
    <w:p w14:paraId="34C715DE" w14:textId="0702C824" w:rsidR="00A35171" w:rsidRPr="00027A8E" w:rsidRDefault="00A35171" w:rsidP="00EF5A96">
      <w:pPr>
        <w:spacing w:line="276" w:lineRule="auto"/>
        <w:jc w:val="both"/>
        <w:outlineLvl w:val="0"/>
        <w:rPr>
          <w:b/>
          <w:lang w:val="en-GB"/>
        </w:rPr>
      </w:pPr>
      <w:r w:rsidRPr="00027A8E">
        <w:rPr>
          <w:b/>
          <w:lang w:val="en-GB"/>
        </w:rPr>
        <w:t>Material Risks and Innovation</w:t>
      </w:r>
    </w:p>
    <w:p w14:paraId="2BBA52CC" w14:textId="77777777" w:rsidR="00602D35" w:rsidRPr="00E90AB1" w:rsidRDefault="00A56755" w:rsidP="00602D35">
      <w:pPr>
        <w:spacing w:line="276" w:lineRule="auto"/>
        <w:jc w:val="both"/>
        <w:rPr>
          <w:lang w:val="en-GB"/>
        </w:rPr>
      </w:pPr>
      <w:r w:rsidRPr="00027A8E">
        <w:rPr>
          <w:lang w:val="en-GB"/>
        </w:rPr>
        <w:t xml:space="preserve">Once a patient is apprised of the broad terms of the intended procedure, the issue is no longer </w:t>
      </w:r>
      <w:r w:rsidR="00D45CBB">
        <w:rPr>
          <w:lang w:val="en-GB"/>
        </w:rPr>
        <w:t>trespass</w:t>
      </w:r>
      <w:r w:rsidRPr="00027A8E">
        <w:rPr>
          <w:lang w:val="en-GB"/>
        </w:rPr>
        <w:t xml:space="preserve"> since consent is ‘real’.</w:t>
      </w:r>
      <w:r w:rsidRPr="00027A8E">
        <w:rPr>
          <w:vertAlign w:val="superscript"/>
          <w:lang w:val="en-GB"/>
        </w:rPr>
        <w:footnoteReference w:id="61"/>
      </w:r>
      <w:r w:rsidR="007E640F" w:rsidRPr="00027A8E">
        <w:rPr>
          <w:lang w:val="en-GB"/>
        </w:rPr>
        <w:t xml:space="preserve">  Where</w:t>
      </w:r>
      <w:r w:rsidRPr="00027A8E">
        <w:rPr>
          <w:lang w:val="en-GB"/>
        </w:rPr>
        <w:t xml:space="preserve"> the</w:t>
      </w:r>
      <w:r w:rsidR="00625E82">
        <w:rPr>
          <w:lang w:val="en-GB"/>
        </w:rPr>
        <w:t>re is no</w:t>
      </w:r>
      <w:r w:rsidRPr="00027A8E">
        <w:rPr>
          <w:lang w:val="en-GB"/>
        </w:rPr>
        <w:t xml:space="preserve"> complaint </w:t>
      </w:r>
      <w:r w:rsidR="00625E82">
        <w:rPr>
          <w:lang w:val="en-GB"/>
        </w:rPr>
        <w:t>of</w:t>
      </w:r>
      <w:r w:rsidRPr="00027A8E">
        <w:rPr>
          <w:lang w:val="en-GB"/>
        </w:rPr>
        <w:t xml:space="preserve"> absence of consent</w:t>
      </w:r>
      <w:r w:rsidR="00625E82">
        <w:rPr>
          <w:lang w:val="en-GB"/>
        </w:rPr>
        <w:t>,</w:t>
      </w:r>
      <w:r w:rsidRPr="00027A8E">
        <w:rPr>
          <w:lang w:val="en-GB"/>
        </w:rPr>
        <w:t xml:space="preserve"> but </w:t>
      </w:r>
      <w:r w:rsidR="00625E82">
        <w:rPr>
          <w:lang w:val="en-GB"/>
        </w:rPr>
        <w:t xml:space="preserve">rather </w:t>
      </w:r>
      <w:r w:rsidRPr="00027A8E">
        <w:rPr>
          <w:lang w:val="en-GB"/>
        </w:rPr>
        <w:t xml:space="preserve">a failure to </w:t>
      </w:r>
      <w:r w:rsidR="00363D28">
        <w:rPr>
          <w:lang w:val="en-GB"/>
        </w:rPr>
        <w:t xml:space="preserve">explain </w:t>
      </w:r>
      <w:r w:rsidRPr="00407F5D">
        <w:rPr>
          <w:lang w:val="en-GB"/>
        </w:rPr>
        <w:t>risks and implications, the mat</w:t>
      </w:r>
      <w:r w:rsidR="007E640F" w:rsidRPr="00407F5D">
        <w:rPr>
          <w:lang w:val="en-GB"/>
        </w:rPr>
        <w:t xml:space="preserve">ter </w:t>
      </w:r>
      <w:r w:rsidR="00625E82">
        <w:rPr>
          <w:lang w:val="en-GB"/>
        </w:rPr>
        <w:t xml:space="preserve">concerns </w:t>
      </w:r>
      <w:r w:rsidR="007E640F" w:rsidRPr="00407F5D">
        <w:rPr>
          <w:lang w:val="en-GB"/>
        </w:rPr>
        <w:t xml:space="preserve">negligence.  </w:t>
      </w:r>
      <w:r w:rsidR="00602D35">
        <w:rPr>
          <w:lang w:val="en-GB"/>
        </w:rPr>
        <w:t xml:space="preserve">In </w:t>
      </w:r>
      <w:r w:rsidR="00602D35" w:rsidRPr="00E90AB1">
        <w:rPr>
          <w:i/>
          <w:lang w:val="en-GB"/>
        </w:rPr>
        <w:t>Montgomery</w:t>
      </w:r>
      <w:r w:rsidR="00602D35" w:rsidRPr="00E90AB1">
        <w:rPr>
          <w:lang w:val="en-GB"/>
        </w:rPr>
        <w:t xml:space="preserve">, the UK Supreme Court </w:t>
      </w:r>
      <w:r w:rsidR="00602D35">
        <w:rPr>
          <w:lang w:val="en-GB"/>
        </w:rPr>
        <w:t xml:space="preserve">explained the doctor’s duty to disclose material risks, citing </w:t>
      </w:r>
      <w:r w:rsidR="00602D35" w:rsidRPr="006C0EEC">
        <w:rPr>
          <w:i/>
          <w:lang w:val="en-GB"/>
        </w:rPr>
        <w:t>Rogers</w:t>
      </w:r>
      <w:r w:rsidR="00602D35">
        <w:rPr>
          <w:lang w:val="en-GB"/>
        </w:rPr>
        <w:t xml:space="preserve"> </w:t>
      </w:r>
      <w:r w:rsidR="00602D35" w:rsidRPr="00E90AB1">
        <w:rPr>
          <w:lang w:val="en-GB"/>
        </w:rPr>
        <w:t>with approval</w:t>
      </w:r>
      <w:r w:rsidR="00602D35">
        <w:rPr>
          <w:lang w:val="en-GB"/>
        </w:rPr>
        <w:t>.</w:t>
      </w:r>
      <w:r w:rsidR="00602D35" w:rsidRPr="00E90AB1">
        <w:rPr>
          <w:vertAlign w:val="superscript"/>
          <w:lang w:val="en-GB"/>
        </w:rPr>
        <w:footnoteReference w:id="62"/>
      </w:r>
      <w:r w:rsidR="00602D35">
        <w:rPr>
          <w:lang w:val="en-GB"/>
        </w:rPr>
        <w:t xml:space="preserve"> </w:t>
      </w:r>
      <w:r w:rsidR="00602D35" w:rsidRPr="00E90AB1">
        <w:rPr>
          <w:lang w:val="en-GB"/>
        </w:rPr>
        <w:t xml:space="preserve"> </w:t>
      </w:r>
      <w:r w:rsidR="00602D35">
        <w:rPr>
          <w:lang w:val="en-GB"/>
        </w:rPr>
        <w:t xml:space="preserve">The </w:t>
      </w:r>
      <w:r w:rsidR="00602D35" w:rsidRPr="00E90AB1">
        <w:rPr>
          <w:lang w:val="en-GB"/>
        </w:rPr>
        <w:t>doctor’s duty of care is:</w:t>
      </w:r>
    </w:p>
    <w:p w14:paraId="26072F48" w14:textId="77777777" w:rsidR="00602D35" w:rsidRPr="00E90AB1" w:rsidRDefault="00602D35" w:rsidP="00602D35">
      <w:pPr>
        <w:spacing w:line="276" w:lineRule="auto"/>
        <w:jc w:val="both"/>
        <w:rPr>
          <w:lang w:val="en-GB"/>
        </w:rPr>
      </w:pPr>
    </w:p>
    <w:p w14:paraId="7CADA875" w14:textId="77777777" w:rsidR="00602D35" w:rsidRPr="00E90AB1" w:rsidRDefault="00602D35" w:rsidP="00602D35">
      <w:pPr>
        <w:spacing w:line="276" w:lineRule="auto"/>
        <w:ind w:left="720"/>
        <w:jc w:val="both"/>
        <w:rPr>
          <w:lang w:val="en-GB"/>
        </w:rPr>
      </w:pPr>
      <w:r w:rsidRPr="00E90AB1">
        <w:rPr>
          <w:lang w:val="en-GB"/>
        </w:rPr>
        <w:lastRenderedPageBreak/>
        <w:t>a duty to take reasonable care to ensure that the patient is aware of any material risks involved in any recommended treatment, and of any reasonable alternative or variant treatments.</w:t>
      </w:r>
      <w:r w:rsidRPr="00E90AB1">
        <w:rPr>
          <w:vertAlign w:val="superscript"/>
          <w:lang w:val="en-GB"/>
        </w:rPr>
        <w:footnoteReference w:id="63"/>
      </w:r>
    </w:p>
    <w:p w14:paraId="2D247F66" w14:textId="77777777" w:rsidR="00602D35" w:rsidRPr="00E90AB1" w:rsidRDefault="00602D35" w:rsidP="00602D35">
      <w:pPr>
        <w:spacing w:line="276" w:lineRule="auto"/>
        <w:jc w:val="both"/>
        <w:rPr>
          <w:lang w:val="en-GB"/>
        </w:rPr>
      </w:pPr>
    </w:p>
    <w:p w14:paraId="4F940F8B" w14:textId="3D711FD4" w:rsidR="00602D35" w:rsidRDefault="00602D35" w:rsidP="00602D35">
      <w:pPr>
        <w:spacing w:line="276" w:lineRule="auto"/>
        <w:jc w:val="both"/>
        <w:rPr>
          <w:lang w:val="en-GB"/>
        </w:rPr>
      </w:pPr>
      <w:r>
        <w:rPr>
          <w:lang w:val="en-GB"/>
        </w:rPr>
        <w:t>This duty has both objective and subjective components</w:t>
      </w:r>
      <w:r w:rsidR="00C40FB2">
        <w:rPr>
          <w:lang w:val="en-GB"/>
        </w:rPr>
        <w:t>.</w:t>
      </w:r>
      <w:r w:rsidRPr="00E90AB1">
        <w:rPr>
          <w:vertAlign w:val="superscript"/>
          <w:lang w:val="en-GB"/>
        </w:rPr>
        <w:footnoteReference w:id="64"/>
      </w:r>
      <w:r w:rsidRPr="00E90AB1">
        <w:rPr>
          <w:lang w:val="en-GB"/>
        </w:rPr>
        <w:t xml:space="preserve"> </w:t>
      </w:r>
      <w:r w:rsidR="0059127A">
        <w:rPr>
          <w:lang w:val="en-GB"/>
        </w:rPr>
        <w:t xml:space="preserve">The objective element considers </w:t>
      </w:r>
      <w:r w:rsidR="007B76ED">
        <w:rPr>
          <w:lang w:val="en-GB"/>
        </w:rPr>
        <w:t>material risks</w:t>
      </w:r>
      <w:r w:rsidR="0059127A">
        <w:rPr>
          <w:lang w:val="en-GB"/>
        </w:rPr>
        <w:t xml:space="preserve"> from the perspective of a reasonable person in the patient’s position.</w:t>
      </w:r>
      <w:r w:rsidR="007B76ED">
        <w:rPr>
          <w:rStyle w:val="FootnoteReference"/>
          <w:lang w:val="en-GB"/>
        </w:rPr>
        <w:footnoteReference w:id="65"/>
      </w:r>
      <w:r w:rsidR="0059127A">
        <w:rPr>
          <w:lang w:val="en-GB"/>
        </w:rPr>
        <w:t xml:space="preserve"> </w:t>
      </w:r>
      <w:r>
        <w:rPr>
          <w:lang w:val="en-GB"/>
        </w:rPr>
        <w:t xml:space="preserve">As to the subjective element, </w:t>
      </w:r>
      <w:r w:rsidRPr="00E90AB1">
        <w:rPr>
          <w:lang w:val="en-GB"/>
        </w:rPr>
        <w:t xml:space="preserve">Lords Reed and Kerr explained </w:t>
      </w:r>
      <w:r w:rsidR="004705F8">
        <w:rPr>
          <w:lang w:val="en-GB"/>
        </w:rPr>
        <w:t xml:space="preserve">that this </w:t>
      </w:r>
      <w:r w:rsidRPr="00E90AB1">
        <w:rPr>
          <w:lang w:val="en-GB"/>
        </w:rPr>
        <w:t>was ‘undoubtedly right’ as ‘the doctor’s duty of care takes its precise content from the needs, concerns and circumstances of the individual patient, to the extent that they are or ought to be known to the doctor.’</w:t>
      </w:r>
      <w:r w:rsidRPr="00E90AB1">
        <w:rPr>
          <w:vertAlign w:val="superscript"/>
          <w:lang w:val="en-GB"/>
        </w:rPr>
        <w:footnoteReference w:id="66"/>
      </w:r>
      <w:r>
        <w:rPr>
          <w:lang w:val="en-GB"/>
        </w:rPr>
        <w:t xml:space="preserve"> </w:t>
      </w:r>
      <w:r w:rsidR="00DB212C">
        <w:rPr>
          <w:lang w:val="en-GB"/>
        </w:rPr>
        <w:t xml:space="preserve">Discharging this duty may </w:t>
      </w:r>
      <w:r w:rsidR="0072004F">
        <w:rPr>
          <w:lang w:val="en-GB"/>
        </w:rPr>
        <w:t xml:space="preserve">also </w:t>
      </w:r>
      <w:r w:rsidR="00DB212C">
        <w:rPr>
          <w:lang w:val="en-GB"/>
        </w:rPr>
        <w:t>include consideration of non-medical factors,</w:t>
      </w:r>
      <w:r w:rsidR="00DB212C">
        <w:rPr>
          <w:rStyle w:val="FootnoteReference"/>
          <w:lang w:val="en-GB"/>
        </w:rPr>
        <w:footnoteReference w:id="67"/>
      </w:r>
      <w:r w:rsidR="00DB212C">
        <w:rPr>
          <w:lang w:val="en-GB"/>
        </w:rPr>
        <w:t xml:space="preserve"> </w:t>
      </w:r>
      <w:r w:rsidR="00AE63D7">
        <w:rPr>
          <w:lang w:val="en-GB"/>
        </w:rPr>
        <w:t>which</w:t>
      </w:r>
      <w:r w:rsidR="00543625">
        <w:rPr>
          <w:lang w:val="en-GB"/>
        </w:rPr>
        <w:t xml:space="preserve"> is reflected in </w:t>
      </w:r>
      <w:r w:rsidR="00DB212C">
        <w:rPr>
          <w:lang w:val="en-GB"/>
        </w:rPr>
        <w:t xml:space="preserve">studies </w:t>
      </w:r>
      <w:r w:rsidR="00081B9D">
        <w:rPr>
          <w:lang w:val="en-GB"/>
        </w:rPr>
        <w:t xml:space="preserve">indicating </w:t>
      </w:r>
      <w:r w:rsidR="00DB212C">
        <w:rPr>
          <w:lang w:val="en-GB"/>
        </w:rPr>
        <w:t xml:space="preserve">that </w:t>
      </w:r>
      <w:r w:rsidR="00DB212C">
        <w:t xml:space="preserve">other values such as hope and fear play a part in </w:t>
      </w:r>
      <w:r w:rsidR="00B510C5">
        <w:t xml:space="preserve">patients’ </w:t>
      </w:r>
      <w:r w:rsidR="00DB212C">
        <w:t>decision making about undertaking high risk medical procedures.</w:t>
      </w:r>
      <w:r w:rsidR="00DB212C">
        <w:rPr>
          <w:rStyle w:val="FootnoteReference"/>
        </w:rPr>
        <w:footnoteReference w:id="68"/>
      </w:r>
      <w:r w:rsidR="00DB212C">
        <w:t xml:space="preserve"> </w:t>
      </w:r>
    </w:p>
    <w:p w14:paraId="3523D573" w14:textId="7A6B441B" w:rsidR="007B222B" w:rsidRDefault="007B222B" w:rsidP="00602D35">
      <w:pPr>
        <w:spacing w:line="276" w:lineRule="auto"/>
        <w:jc w:val="both"/>
        <w:rPr>
          <w:lang w:val="en-GB"/>
        </w:rPr>
      </w:pPr>
    </w:p>
    <w:p w14:paraId="323EB637" w14:textId="6C63D0EB" w:rsidR="00FE3385" w:rsidRDefault="0072004F" w:rsidP="00602D35">
      <w:pPr>
        <w:spacing w:line="276" w:lineRule="auto"/>
        <w:jc w:val="both"/>
        <w:rPr>
          <w:lang w:val="en-GB"/>
        </w:rPr>
      </w:pPr>
      <w:r>
        <w:rPr>
          <w:lang w:val="en-GB"/>
        </w:rPr>
        <w:t>Innovative treatment</w:t>
      </w:r>
      <w:r w:rsidR="00EB22DD">
        <w:rPr>
          <w:lang w:val="en-GB"/>
        </w:rPr>
        <w:t>s</w:t>
      </w:r>
      <w:r>
        <w:rPr>
          <w:lang w:val="en-GB"/>
        </w:rPr>
        <w:t xml:space="preserve"> </w:t>
      </w:r>
      <w:r w:rsidR="00EB22DD">
        <w:rPr>
          <w:lang w:val="en-GB"/>
        </w:rPr>
        <w:t xml:space="preserve">have </w:t>
      </w:r>
      <w:r>
        <w:rPr>
          <w:lang w:val="en-GB"/>
        </w:rPr>
        <w:t>distinctive features which give rise to unique issues in relation to the provision of information about material risks, particularly communicating</w:t>
      </w:r>
      <w:r w:rsidR="006D5F34">
        <w:rPr>
          <w:lang w:val="en-GB"/>
        </w:rPr>
        <w:t xml:space="preserve"> uncertainty and </w:t>
      </w:r>
      <w:r w:rsidR="00EB22DD">
        <w:rPr>
          <w:lang w:val="en-GB"/>
        </w:rPr>
        <w:t xml:space="preserve">the possibility of </w:t>
      </w:r>
      <w:r w:rsidR="006D5F34">
        <w:rPr>
          <w:lang w:val="en-GB"/>
        </w:rPr>
        <w:t>unknown risks</w:t>
      </w:r>
      <w:r>
        <w:rPr>
          <w:lang w:val="en-GB"/>
        </w:rPr>
        <w:t>; potential conflicts of interest</w:t>
      </w:r>
      <w:r w:rsidR="00EB22DD">
        <w:rPr>
          <w:lang w:val="en-GB"/>
        </w:rPr>
        <w:t>s</w:t>
      </w:r>
      <w:r>
        <w:rPr>
          <w:lang w:val="en-GB"/>
        </w:rPr>
        <w:t xml:space="preserve"> (between doctors and patients, and between present and future patients);</w:t>
      </w:r>
      <w:r w:rsidR="002A2EC1" w:rsidRPr="002A2EC1">
        <w:rPr>
          <w:rStyle w:val="FootnoteReference"/>
          <w:lang w:val="en-GB"/>
        </w:rPr>
        <w:t xml:space="preserve"> </w:t>
      </w:r>
      <w:r w:rsidR="002A2EC1">
        <w:rPr>
          <w:rStyle w:val="FootnoteReference"/>
          <w:lang w:val="en-GB"/>
        </w:rPr>
        <w:footnoteReference w:id="69"/>
      </w:r>
      <w:r>
        <w:rPr>
          <w:lang w:val="en-GB"/>
        </w:rPr>
        <w:t xml:space="preserve"> and the likelihood of optimism bias in decision making (for both doctors and patients).</w:t>
      </w:r>
      <w:r>
        <w:rPr>
          <w:rStyle w:val="FootnoteReference"/>
          <w:lang w:val="en-GB"/>
        </w:rPr>
        <w:footnoteReference w:id="70"/>
      </w:r>
      <w:r>
        <w:rPr>
          <w:lang w:val="en-GB"/>
        </w:rPr>
        <w:t xml:space="preserve"> </w:t>
      </w:r>
      <w:r w:rsidR="009023B0">
        <w:rPr>
          <w:lang w:val="en-GB"/>
        </w:rPr>
        <w:t>I</w:t>
      </w:r>
      <w:r w:rsidR="001E56E8">
        <w:rPr>
          <w:lang w:val="en-GB"/>
        </w:rPr>
        <w:t>n the context of innovative therapies, consent</w:t>
      </w:r>
      <w:r>
        <w:rPr>
          <w:lang w:val="en-GB"/>
        </w:rPr>
        <w:t xml:space="preserve"> therefore</w:t>
      </w:r>
    </w:p>
    <w:p w14:paraId="4202BD4B" w14:textId="31C6C9F6" w:rsidR="001E56E8" w:rsidRDefault="001E56E8" w:rsidP="00602D35">
      <w:pPr>
        <w:spacing w:line="276" w:lineRule="auto"/>
        <w:jc w:val="both"/>
        <w:rPr>
          <w:lang w:val="en-GB"/>
        </w:rPr>
      </w:pPr>
      <w:r>
        <w:rPr>
          <w:lang w:val="en-GB"/>
        </w:rPr>
        <w:t xml:space="preserve"> </w:t>
      </w:r>
    </w:p>
    <w:p w14:paraId="24C336C2" w14:textId="42015EE3" w:rsidR="00836683" w:rsidRDefault="00836683" w:rsidP="006D14C6">
      <w:pPr>
        <w:spacing w:line="276" w:lineRule="auto"/>
        <w:ind w:left="720"/>
        <w:jc w:val="both"/>
      </w:pPr>
      <w:r w:rsidRPr="00836683">
        <w:t>acquires greater importance given</w:t>
      </w:r>
      <w:r w:rsidR="001E56E8">
        <w:t xml:space="preserve"> </w:t>
      </w:r>
      <w:r w:rsidRPr="00836683">
        <w:t>the feature of greater uncertainty regarding the risks and benefits of proposed</w:t>
      </w:r>
      <w:r w:rsidR="001E56E8">
        <w:t xml:space="preserve"> </w:t>
      </w:r>
      <w:r w:rsidRPr="00836683">
        <w:t>innovative therapy, and the possibility of a greater divergence of</w:t>
      </w:r>
      <w:r w:rsidR="001E56E8">
        <w:t xml:space="preserve"> </w:t>
      </w:r>
      <w:r w:rsidRPr="00836683">
        <w:t>interests on the part of the physician when compared with the administration</w:t>
      </w:r>
      <w:r w:rsidR="001E56E8">
        <w:t xml:space="preserve"> of standard therapy.</w:t>
      </w:r>
      <w:r w:rsidR="001E56E8">
        <w:rPr>
          <w:rStyle w:val="FootnoteReference"/>
        </w:rPr>
        <w:footnoteReference w:id="71"/>
      </w:r>
    </w:p>
    <w:p w14:paraId="1F773539" w14:textId="0E8E2CEC" w:rsidR="007B222B" w:rsidRDefault="007B222B" w:rsidP="004F2C07">
      <w:pPr>
        <w:spacing w:line="276" w:lineRule="auto"/>
        <w:jc w:val="both"/>
        <w:rPr>
          <w:lang w:val="en-GB"/>
        </w:rPr>
      </w:pPr>
    </w:p>
    <w:p w14:paraId="68D075A2" w14:textId="26DBE238" w:rsidR="00D710A7" w:rsidRDefault="002F4386" w:rsidP="006D5F34">
      <w:pPr>
        <w:autoSpaceDE w:val="0"/>
        <w:autoSpaceDN w:val="0"/>
        <w:adjustRightInd w:val="0"/>
        <w:spacing w:line="276" w:lineRule="auto"/>
        <w:jc w:val="both"/>
      </w:pPr>
      <w:r>
        <w:rPr>
          <w:lang w:val="en-GB"/>
        </w:rPr>
        <w:t>I</w:t>
      </w:r>
      <w:r w:rsidR="00392548" w:rsidRPr="00975393">
        <w:rPr>
          <w:lang w:val="en-GB"/>
        </w:rPr>
        <w:t xml:space="preserve">t </w:t>
      </w:r>
      <w:r w:rsidR="0006554B" w:rsidRPr="00975393">
        <w:rPr>
          <w:lang w:val="en-GB"/>
        </w:rPr>
        <w:t>has been</w:t>
      </w:r>
      <w:r w:rsidR="00272699" w:rsidRPr="00975393">
        <w:rPr>
          <w:lang w:val="en-GB"/>
        </w:rPr>
        <w:t xml:space="preserve"> suggested that patients may </w:t>
      </w:r>
      <w:r w:rsidR="00BD5C50">
        <w:rPr>
          <w:lang w:val="en-GB"/>
        </w:rPr>
        <w:t>‘</w:t>
      </w:r>
      <w:r w:rsidR="00272699" w:rsidRPr="00975393">
        <w:rPr>
          <w:lang w:val="en-GB"/>
        </w:rPr>
        <w:t>not be in the best position to size up the medical complexities and uncertain risks, and are thus more vulnerable to false hopes and overly optimistic assessments of the worth of innovative therapy</w:t>
      </w:r>
      <w:r w:rsidR="00392548" w:rsidRPr="00975393">
        <w:rPr>
          <w:lang w:val="en-GB"/>
        </w:rPr>
        <w:t>.</w:t>
      </w:r>
      <w:r w:rsidR="00BD5C50">
        <w:rPr>
          <w:lang w:val="en-GB"/>
        </w:rPr>
        <w:t>’</w:t>
      </w:r>
      <w:r w:rsidR="00272699" w:rsidRPr="00975393">
        <w:rPr>
          <w:rStyle w:val="FootnoteReference"/>
          <w:lang w:val="en-GB"/>
        </w:rPr>
        <w:footnoteReference w:id="72"/>
      </w:r>
      <w:r w:rsidR="00EE57CD" w:rsidRPr="004F2C07">
        <w:t xml:space="preserve"> </w:t>
      </w:r>
      <w:r w:rsidR="00392548" w:rsidRPr="00975393">
        <w:rPr>
          <w:lang w:val="en-GB"/>
        </w:rPr>
        <w:t>Ho</w:t>
      </w:r>
      <w:r w:rsidR="00740FC5" w:rsidRPr="00975393">
        <w:rPr>
          <w:lang w:val="en-GB"/>
        </w:rPr>
        <w:t>wever</w:t>
      </w:r>
      <w:r w:rsidR="00510CD5" w:rsidRPr="00975393">
        <w:rPr>
          <w:lang w:val="en-GB"/>
        </w:rPr>
        <w:t xml:space="preserve">, </w:t>
      </w:r>
      <w:r w:rsidR="00543625" w:rsidRPr="00975393">
        <w:rPr>
          <w:lang w:val="en-GB"/>
        </w:rPr>
        <w:t xml:space="preserve">as recognised in </w:t>
      </w:r>
      <w:r w:rsidR="00543625" w:rsidRPr="00975393">
        <w:rPr>
          <w:i/>
          <w:lang w:val="en-GB"/>
        </w:rPr>
        <w:t xml:space="preserve">Montgomery, </w:t>
      </w:r>
      <w:r w:rsidR="00F865D2">
        <w:rPr>
          <w:lang w:val="en-GB"/>
        </w:rPr>
        <w:t>‘</w:t>
      </w:r>
      <w:r w:rsidR="00543625" w:rsidRPr="00975393">
        <w:t>social and legal developments … point away from a model of the relationship between the doctor and the patient based upon medical paternalism</w:t>
      </w:r>
      <w:r w:rsidR="005D52F9" w:rsidRPr="00975393">
        <w:t>,</w:t>
      </w:r>
      <w:r w:rsidR="005D52F9">
        <w:t>’</w:t>
      </w:r>
      <w:r w:rsidR="00543625" w:rsidRPr="00975393">
        <w:rPr>
          <w:rStyle w:val="FootnoteReference"/>
        </w:rPr>
        <w:footnoteReference w:id="73"/>
      </w:r>
      <w:r w:rsidR="00543625" w:rsidRPr="00975393">
        <w:t xml:space="preserve"> </w:t>
      </w:r>
      <w:r>
        <w:t xml:space="preserve">therefore </w:t>
      </w:r>
      <w:r w:rsidR="005D52F9">
        <w:t>‘[</w:t>
      </w:r>
      <w:r>
        <w:t>r]</w:t>
      </w:r>
      <w:proofErr w:type="spellStart"/>
      <w:r w:rsidR="00543625" w:rsidRPr="004F2C07">
        <w:t>esponsibility</w:t>
      </w:r>
      <w:proofErr w:type="spellEnd"/>
      <w:r w:rsidR="00543625" w:rsidRPr="004F2C07">
        <w:t xml:space="preserve"> for determining the nature and extent of a person’s rights rests with the courts, not with the medical professions</w:t>
      </w:r>
      <w:r w:rsidR="00F865D2" w:rsidRPr="004F2C07">
        <w:t>.</w:t>
      </w:r>
      <w:r w:rsidR="00F865D2">
        <w:t>’</w:t>
      </w:r>
      <w:r w:rsidR="00543625">
        <w:rPr>
          <w:rStyle w:val="FootnoteReference"/>
        </w:rPr>
        <w:footnoteReference w:id="74"/>
      </w:r>
      <w:r w:rsidR="007B6DDA">
        <w:t xml:space="preserve"> Accordingly, the </w:t>
      </w:r>
      <w:r w:rsidR="00D46D87">
        <w:t>‘</w:t>
      </w:r>
      <w:r w:rsidR="007B6DDA">
        <w:t>patient-</w:t>
      </w:r>
      <w:proofErr w:type="spellStart"/>
      <w:r w:rsidR="007B6DDA">
        <w:t>centred</w:t>
      </w:r>
      <w:proofErr w:type="spellEnd"/>
      <w:r w:rsidR="007B6DDA">
        <w:t xml:space="preserve"> analysis of reasonable disclosure based on materiality</w:t>
      </w:r>
      <w:r w:rsidR="00D46D87">
        <w:t>’</w:t>
      </w:r>
      <w:r w:rsidR="00D710A7">
        <w:rPr>
          <w:rStyle w:val="FootnoteReference"/>
        </w:rPr>
        <w:footnoteReference w:id="75"/>
      </w:r>
      <w:r w:rsidR="007B6DDA">
        <w:t xml:space="preserve"> </w:t>
      </w:r>
      <w:r w:rsidR="00081B9D">
        <w:t xml:space="preserve">adopted in </w:t>
      </w:r>
      <w:r w:rsidR="00081B9D" w:rsidRPr="004859F2">
        <w:rPr>
          <w:i/>
        </w:rPr>
        <w:t>Montgomery</w:t>
      </w:r>
      <w:r w:rsidR="00081B9D">
        <w:t xml:space="preserve"> </w:t>
      </w:r>
      <w:r w:rsidR="00015A28">
        <w:t xml:space="preserve">and </w:t>
      </w:r>
      <w:r w:rsidR="00015A28" w:rsidRPr="00015A28">
        <w:rPr>
          <w:i/>
        </w:rPr>
        <w:t>Rogers</w:t>
      </w:r>
      <w:r w:rsidR="00015A28">
        <w:t xml:space="preserve"> </w:t>
      </w:r>
      <w:r w:rsidR="00D710A7">
        <w:t xml:space="preserve">provides an appropriate and practical framework within which to evaluate </w:t>
      </w:r>
      <w:r w:rsidR="00AE63D7">
        <w:t xml:space="preserve">disclosure obligations in the context of innovative treatment. </w:t>
      </w:r>
      <w:r w:rsidR="00D710A7">
        <w:t>As Richards and Hutchinson</w:t>
      </w:r>
      <w:r>
        <w:t xml:space="preserve"> conclude</w:t>
      </w:r>
      <w:r w:rsidR="00D710A7">
        <w:t xml:space="preserve">, </w:t>
      </w:r>
    </w:p>
    <w:p w14:paraId="06FA3C6C" w14:textId="77777777" w:rsidR="00D710A7" w:rsidRDefault="00D710A7" w:rsidP="006D5F34">
      <w:pPr>
        <w:autoSpaceDE w:val="0"/>
        <w:autoSpaceDN w:val="0"/>
        <w:adjustRightInd w:val="0"/>
        <w:spacing w:line="276" w:lineRule="auto"/>
        <w:jc w:val="both"/>
      </w:pPr>
    </w:p>
    <w:p w14:paraId="7B040373" w14:textId="44119963" w:rsidR="00D710A7" w:rsidRDefault="00D710A7" w:rsidP="006D5F34">
      <w:pPr>
        <w:autoSpaceDE w:val="0"/>
        <w:autoSpaceDN w:val="0"/>
        <w:adjustRightInd w:val="0"/>
        <w:spacing w:line="276" w:lineRule="auto"/>
        <w:ind w:left="720"/>
        <w:jc w:val="both"/>
        <w:rPr>
          <w:rFonts w:ascii="Times-Roman" w:hAnsi="Times-Roman" w:cs="Times-Roman"/>
          <w:sz w:val="20"/>
          <w:szCs w:val="20"/>
        </w:rPr>
      </w:pPr>
      <w:r w:rsidRPr="004F2C07">
        <w:rPr>
          <w:rFonts w:ascii="Times-Roman" w:hAnsi="Times-Roman" w:cs="Times-Roman"/>
        </w:rPr>
        <w:t>the concerns around consent to innovative surgery are valid, but not unique. The innovative nature of a treatment is an important feature of the pre-treatment discussion, but while being relevant to the application of the law, it does not require a specific legal test. Indeed, the current test can be expanded to apply to the specific issues that arise in the context of innovative treatment.</w:t>
      </w:r>
      <w:r>
        <w:rPr>
          <w:rStyle w:val="FootnoteReference"/>
          <w:rFonts w:ascii="Times-Roman" w:hAnsi="Times-Roman" w:cs="Times-Roman"/>
        </w:rPr>
        <w:footnoteReference w:id="76"/>
      </w:r>
    </w:p>
    <w:p w14:paraId="3B0E3FB9" w14:textId="77777777" w:rsidR="00D710A7" w:rsidRDefault="00D710A7" w:rsidP="004F2C07">
      <w:pPr>
        <w:autoSpaceDE w:val="0"/>
        <w:autoSpaceDN w:val="0"/>
        <w:adjustRightInd w:val="0"/>
        <w:rPr>
          <w:lang w:val="en-GB"/>
        </w:rPr>
      </w:pPr>
    </w:p>
    <w:p w14:paraId="48DB6D48" w14:textId="1A7CCEA2" w:rsidR="001307D0" w:rsidRPr="00AC6677" w:rsidRDefault="0038766A" w:rsidP="00EF5A96">
      <w:pPr>
        <w:spacing w:line="276" w:lineRule="auto"/>
        <w:jc w:val="both"/>
        <w:outlineLvl w:val="0"/>
        <w:rPr>
          <w:b/>
          <w:i/>
          <w:lang w:val="en-GB"/>
        </w:rPr>
      </w:pPr>
      <w:r w:rsidRPr="00AC6677">
        <w:rPr>
          <w:b/>
          <w:i/>
          <w:lang w:val="en-GB"/>
        </w:rPr>
        <w:t>Material Risks</w:t>
      </w:r>
    </w:p>
    <w:p w14:paraId="0CE4D866" w14:textId="6FB4C74B" w:rsidR="001045A7" w:rsidRPr="00862EC7" w:rsidRDefault="002F4386" w:rsidP="001045A7">
      <w:pPr>
        <w:spacing w:line="276" w:lineRule="auto"/>
        <w:jc w:val="both"/>
        <w:rPr>
          <w:lang w:val="en-GB"/>
        </w:rPr>
      </w:pPr>
      <w:r>
        <w:rPr>
          <w:lang w:val="en-GB"/>
        </w:rPr>
        <w:t xml:space="preserve">In </w:t>
      </w:r>
      <w:r w:rsidR="001045A7" w:rsidRPr="00862EC7">
        <w:rPr>
          <w:i/>
          <w:lang w:val="en-GB"/>
        </w:rPr>
        <w:t>Montgomery</w:t>
      </w:r>
      <w:r w:rsidR="00BC1D28" w:rsidRPr="00862EC7">
        <w:rPr>
          <w:lang w:val="en-GB"/>
        </w:rPr>
        <w:t>,</w:t>
      </w:r>
      <w:r w:rsidR="001045A7" w:rsidRPr="00862EC7">
        <w:rPr>
          <w:i/>
          <w:lang w:val="en-GB"/>
        </w:rPr>
        <w:t xml:space="preserve"> </w:t>
      </w:r>
      <w:r w:rsidR="001045A7" w:rsidRPr="00862EC7">
        <w:rPr>
          <w:lang w:val="en-GB"/>
        </w:rPr>
        <w:t>the UK Supreme Court emphasise</w:t>
      </w:r>
      <w:r w:rsidR="00AF2315">
        <w:rPr>
          <w:lang w:val="en-GB"/>
        </w:rPr>
        <w:t>d</w:t>
      </w:r>
      <w:r w:rsidR="001045A7" w:rsidRPr="00862EC7">
        <w:rPr>
          <w:lang w:val="en-GB"/>
        </w:rPr>
        <w:t xml:space="preserve"> that materiality is not restricted to a statistical analysis of risk but reflect</w:t>
      </w:r>
      <w:r w:rsidR="00AC44C3">
        <w:rPr>
          <w:lang w:val="en-GB"/>
        </w:rPr>
        <w:t>s</w:t>
      </w:r>
      <w:r w:rsidR="001045A7" w:rsidRPr="00862EC7">
        <w:rPr>
          <w:lang w:val="en-GB"/>
        </w:rPr>
        <w:t xml:space="preserve"> the characteristics of the case and patient, </w:t>
      </w:r>
      <w:r w:rsidR="00AC44C3">
        <w:rPr>
          <w:lang w:val="en-GB"/>
        </w:rPr>
        <w:t>encompassing</w:t>
      </w:r>
      <w:r w:rsidR="001045A7" w:rsidRPr="00862EC7">
        <w:rPr>
          <w:lang w:val="en-GB"/>
        </w:rPr>
        <w:t xml:space="preserve">: </w:t>
      </w:r>
    </w:p>
    <w:p w14:paraId="10904FF5" w14:textId="77777777" w:rsidR="00BC1D28" w:rsidRPr="00862EC7" w:rsidRDefault="00BC1D28" w:rsidP="001045A7">
      <w:pPr>
        <w:spacing w:line="276" w:lineRule="auto"/>
        <w:jc w:val="both"/>
        <w:rPr>
          <w:lang w:val="en-GB"/>
        </w:rPr>
      </w:pPr>
    </w:p>
    <w:p w14:paraId="424E731B" w14:textId="77777777" w:rsidR="001045A7" w:rsidRPr="00862EC7" w:rsidRDefault="001045A7" w:rsidP="00BC1D28">
      <w:pPr>
        <w:numPr>
          <w:ilvl w:val="0"/>
          <w:numId w:val="4"/>
        </w:numPr>
        <w:spacing w:line="276" w:lineRule="auto"/>
        <w:jc w:val="both"/>
        <w:rPr>
          <w:lang w:val="en-GB"/>
        </w:rPr>
      </w:pPr>
      <w:r w:rsidRPr="00862EC7">
        <w:rPr>
          <w:lang w:val="en-GB"/>
        </w:rPr>
        <w:t xml:space="preserve">the nature of the risk; </w:t>
      </w:r>
    </w:p>
    <w:p w14:paraId="56A2B989" w14:textId="77777777" w:rsidR="001045A7" w:rsidRPr="00862EC7" w:rsidRDefault="001045A7" w:rsidP="00BC1D28">
      <w:pPr>
        <w:numPr>
          <w:ilvl w:val="0"/>
          <w:numId w:val="4"/>
        </w:numPr>
        <w:spacing w:line="276" w:lineRule="auto"/>
        <w:jc w:val="both"/>
        <w:rPr>
          <w:lang w:val="en-GB"/>
        </w:rPr>
      </w:pPr>
      <w:r w:rsidRPr="00862EC7">
        <w:rPr>
          <w:lang w:val="en-GB"/>
        </w:rPr>
        <w:t xml:space="preserve">the effect of its occurrence on the life of the patient; </w:t>
      </w:r>
    </w:p>
    <w:p w14:paraId="3BB497BC" w14:textId="77777777" w:rsidR="001045A7" w:rsidRPr="00862EC7" w:rsidRDefault="001045A7" w:rsidP="00BC1D28">
      <w:pPr>
        <w:numPr>
          <w:ilvl w:val="0"/>
          <w:numId w:val="4"/>
        </w:numPr>
        <w:spacing w:line="276" w:lineRule="auto"/>
        <w:jc w:val="both"/>
        <w:rPr>
          <w:lang w:val="en-GB"/>
        </w:rPr>
      </w:pPr>
      <w:r w:rsidRPr="00862EC7">
        <w:rPr>
          <w:lang w:val="en-GB"/>
        </w:rPr>
        <w:t xml:space="preserve">the importance to the patient of the benefits of the treatment; </w:t>
      </w:r>
    </w:p>
    <w:p w14:paraId="1A2DCE68" w14:textId="77777777" w:rsidR="001045A7" w:rsidRPr="00862EC7" w:rsidRDefault="001045A7" w:rsidP="00BC1D28">
      <w:pPr>
        <w:numPr>
          <w:ilvl w:val="0"/>
          <w:numId w:val="4"/>
        </w:numPr>
        <w:spacing w:line="276" w:lineRule="auto"/>
        <w:jc w:val="both"/>
        <w:rPr>
          <w:lang w:val="en-GB"/>
        </w:rPr>
      </w:pPr>
      <w:r w:rsidRPr="00862EC7">
        <w:rPr>
          <w:lang w:val="en-GB"/>
        </w:rPr>
        <w:t xml:space="preserve">any possible alternatives available; and </w:t>
      </w:r>
    </w:p>
    <w:p w14:paraId="6A542DB7" w14:textId="77777777" w:rsidR="001045A7" w:rsidRPr="001748DD" w:rsidRDefault="001045A7" w:rsidP="00BC1D28">
      <w:pPr>
        <w:numPr>
          <w:ilvl w:val="0"/>
          <w:numId w:val="4"/>
        </w:numPr>
        <w:spacing w:line="276" w:lineRule="auto"/>
        <w:jc w:val="both"/>
        <w:rPr>
          <w:lang w:val="en-GB"/>
        </w:rPr>
      </w:pPr>
      <w:r w:rsidRPr="00862EC7">
        <w:rPr>
          <w:lang w:val="en-GB"/>
        </w:rPr>
        <w:t>the risks of those alternatives.</w:t>
      </w:r>
      <w:r w:rsidRPr="001748DD">
        <w:rPr>
          <w:vertAlign w:val="superscript"/>
          <w:lang w:val="en-GB"/>
        </w:rPr>
        <w:footnoteReference w:id="77"/>
      </w:r>
      <w:r w:rsidRPr="001748DD">
        <w:rPr>
          <w:lang w:val="en-GB"/>
        </w:rPr>
        <w:t xml:space="preserve">  </w:t>
      </w:r>
    </w:p>
    <w:p w14:paraId="3A6ABFB0" w14:textId="77777777" w:rsidR="001045A7" w:rsidRPr="001748DD" w:rsidRDefault="001045A7" w:rsidP="001045A7">
      <w:pPr>
        <w:spacing w:line="276" w:lineRule="auto"/>
        <w:jc w:val="both"/>
        <w:rPr>
          <w:lang w:val="en-GB"/>
        </w:rPr>
      </w:pPr>
    </w:p>
    <w:p w14:paraId="2F9D59E2" w14:textId="555466A7" w:rsidR="00DD7366" w:rsidRPr="001E3FEC" w:rsidRDefault="00DD7366" w:rsidP="00DD7366">
      <w:pPr>
        <w:spacing w:line="276" w:lineRule="auto"/>
        <w:jc w:val="both"/>
        <w:rPr>
          <w:lang w:val="en-GB"/>
        </w:rPr>
      </w:pPr>
      <w:r w:rsidRPr="001E3FEC">
        <w:rPr>
          <w:i/>
          <w:lang w:val="en-GB"/>
        </w:rPr>
        <w:t>Montgomery</w:t>
      </w:r>
      <w:r w:rsidRPr="001E3FEC">
        <w:rPr>
          <w:lang w:val="en-GB"/>
        </w:rPr>
        <w:t xml:space="preserve"> emphasise</w:t>
      </w:r>
      <w:r>
        <w:rPr>
          <w:lang w:val="en-GB"/>
        </w:rPr>
        <w:t>s</w:t>
      </w:r>
      <w:r w:rsidRPr="001E3FEC">
        <w:rPr>
          <w:lang w:val="en-GB"/>
        </w:rPr>
        <w:t xml:space="preserve"> </w:t>
      </w:r>
      <w:r>
        <w:rPr>
          <w:lang w:val="en-GB"/>
        </w:rPr>
        <w:t xml:space="preserve">that </w:t>
      </w:r>
      <w:r w:rsidRPr="001E3FEC">
        <w:rPr>
          <w:lang w:val="en-GB"/>
        </w:rPr>
        <w:t xml:space="preserve">the doctor’s role is to engage in a </w:t>
      </w:r>
      <w:r>
        <w:rPr>
          <w:lang w:val="en-GB"/>
        </w:rPr>
        <w:t xml:space="preserve">meaningful </w:t>
      </w:r>
      <w:r w:rsidRPr="001E3FEC">
        <w:rPr>
          <w:lang w:val="en-GB"/>
        </w:rPr>
        <w:t>dialogue</w:t>
      </w:r>
      <w:r>
        <w:rPr>
          <w:lang w:val="en-GB"/>
        </w:rPr>
        <w:t xml:space="preserve"> with the patient</w:t>
      </w:r>
      <w:r w:rsidRPr="001E3FEC">
        <w:rPr>
          <w:lang w:val="en-GB"/>
        </w:rPr>
        <w:t>:</w:t>
      </w:r>
    </w:p>
    <w:p w14:paraId="428DF557" w14:textId="77777777" w:rsidR="00DD7366" w:rsidRPr="001E3FEC" w:rsidRDefault="00DD7366" w:rsidP="00DD7366">
      <w:pPr>
        <w:spacing w:line="276" w:lineRule="auto"/>
        <w:jc w:val="both"/>
        <w:rPr>
          <w:lang w:val="en-GB"/>
        </w:rPr>
      </w:pPr>
    </w:p>
    <w:p w14:paraId="5B09D3F5" w14:textId="56587D01" w:rsidR="00DD7366" w:rsidRPr="006C0EEC" w:rsidRDefault="00DD7366" w:rsidP="00DD7366">
      <w:pPr>
        <w:spacing w:line="276" w:lineRule="auto"/>
        <w:ind w:left="720"/>
        <w:jc w:val="both"/>
        <w:rPr>
          <w:lang w:val="en-GB"/>
        </w:rPr>
      </w:pPr>
      <w:r w:rsidRPr="001E3FEC">
        <w:rPr>
          <w:lang w:val="en-GB"/>
        </w:rPr>
        <w:t>the aim of which is to ensure that the patient understands the seriousness of her condition, and the anticipated benefits and risks of the proposed treatment and any reasonable alternatives, so that she is then in a position to make an informed decision. This role will only be performed effectively if the information provided is comprehensible. The doctor’s duty is not therefore fulfilled by bombarding the patient with technical information which she cannot reasonably be expected to grasp.</w:t>
      </w:r>
      <w:r w:rsidRPr="006C0EEC">
        <w:rPr>
          <w:rStyle w:val="FootnoteReference"/>
          <w:lang w:val="en-GB"/>
        </w:rPr>
        <w:footnoteReference w:id="78"/>
      </w:r>
    </w:p>
    <w:p w14:paraId="1FED0FEA" w14:textId="77777777" w:rsidR="00DD7366" w:rsidRDefault="00DD7366" w:rsidP="006F51F4">
      <w:pPr>
        <w:spacing w:line="276" w:lineRule="auto"/>
        <w:jc w:val="both"/>
        <w:rPr>
          <w:lang w:val="en-GB"/>
        </w:rPr>
      </w:pPr>
    </w:p>
    <w:p w14:paraId="69D5FB8E" w14:textId="07A57071" w:rsidR="001045A7" w:rsidRPr="006F51F4" w:rsidRDefault="001045A7" w:rsidP="006F51F4">
      <w:pPr>
        <w:spacing w:line="276" w:lineRule="auto"/>
        <w:jc w:val="both"/>
        <w:rPr>
          <w:rFonts w:ascii="Arial" w:hAnsi="Arial" w:cs="Arial"/>
          <w:color w:val="545454"/>
          <w:shd w:val="clear" w:color="auto" w:fill="FFFFFF"/>
        </w:rPr>
      </w:pPr>
      <w:r w:rsidRPr="005D29F2">
        <w:rPr>
          <w:lang w:val="en-GB"/>
        </w:rPr>
        <w:t>Beyond not bombarding the patient with technical information,</w:t>
      </w:r>
      <w:r w:rsidR="006F51F4" w:rsidRPr="005D29F2" w:rsidDel="006F51F4">
        <w:rPr>
          <w:rStyle w:val="FootnoteReference"/>
          <w:lang w:val="en-GB"/>
        </w:rPr>
        <w:t xml:space="preserve"> </w:t>
      </w:r>
      <w:r w:rsidRPr="005D29F2">
        <w:rPr>
          <w:lang w:val="en-GB"/>
        </w:rPr>
        <w:t>the law has not defined the steps necessary to engender understanding, except to explain what a doctor’s duty does not include.</w:t>
      </w:r>
      <w:r w:rsidR="0089110D" w:rsidRPr="0089110D">
        <w:rPr>
          <w:rStyle w:val="FootnoteReference"/>
          <w:lang w:val="en-GB"/>
        </w:rPr>
        <w:t xml:space="preserve"> </w:t>
      </w:r>
      <w:r w:rsidR="0089110D" w:rsidRPr="005D29F2">
        <w:rPr>
          <w:rStyle w:val="FootnoteReference"/>
          <w:lang w:val="en-GB"/>
        </w:rPr>
        <w:footnoteReference w:id="79"/>
      </w:r>
      <w:r w:rsidR="0089110D" w:rsidRPr="005D29F2">
        <w:rPr>
          <w:lang w:val="en-GB"/>
        </w:rPr>
        <w:t xml:space="preserve"> </w:t>
      </w:r>
      <w:r w:rsidRPr="005D29F2">
        <w:rPr>
          <w:lang w:val="en-GB"/>
        </w:rPr>
        <w:t xml:space="preserve">  In </w:t>
      </w:r>
      <w:r w:rsidRPr="005D29F2">
        <w:rPr>
          <w:i/>
          <w:lang w:val="en-GB"/>
        </w:rPr>
        <w:t xml:space="preserve">Al </w:t>
      </w:r>
      <w:proofErr w:type="spellStart"/>
      <w:r w:rsidRPr="005D29F2">
        <w:rPr>
          <w:i/>
          <w:lang w:val="en-GB"/>
        </w:rPr>
        <w:t>Hamwi</w:t>
      </w:r>
      <w:proofErr w:type="spellEnd"/>
      <w:r w:rsidR="00707B75">
        <w:rPr>
          <w:rFonts w:ascii="Arial" w:hAnsi="Arial" w:cs="Arial"/>
          <w:color w:val="545454"/>
          <w:shd w:val="clear" w:color="auto" w:fill="FFFFFF"/>
        </w:rPr>
        <w:t xml:space="preserve"> </w:t>
      </w:r>
      <w:r w:rsidR="00707B75" w:rsidRPr="00707B75">
        <w:rPr>
          <w:rFonts w:asciiTheme="majorBidi" w:hAnsiTheme="majorBidi" w:cstheme="majorBidi"/>
          <w:i/>
          <w:iCs/>
          <w:color w:val="545454"/>
          <w:shd w:val="clear" w:color="auto" w:fill="FFFFFF"/>
        </w:rPr>
        <w:t>v</w:t>
      </w:r>
      <w:r w:rsidR="00707B75" w:rsidRPr="006F51F4">
        <w:rPr>
          <w:rFonts w:asciiTheme="majorBidi" w:hAnsiTheme="majorBidi" w:cstheme="majorBidi"/>
          <w:i/>
          <w:iCs/>
          <w:color w:val="545454"/>
          <w:shd w:val="clear" w:color="auto" w:fill="FFFFFF"/>
        </w:rPr>
        <w:t xml:space="preserve"> Johnston,</w:t>
      </w:r>
      <w:r w:rsidRPr="00BF1237">
        <w:rPr>
          <w:rFonts w:asciiTheme="majorBidi" w:hAnsiTheme="majorBidi" w:cstheme="majorBidi"/>
          <w:iCs/>
          <w:vertAlign w:val="superscript"/>
          <w:lang w:val="en-GB"/>
        </w:rPr>
        <w:footnoteReference w:id="80"/>
      </w:r>
      <w:r w:rsidRPr="005D29F2">
        <w:rPr>
          <w:lang w:val="en-GB"/>
        </w:rPr>
        <w:t xml:space="preserve"> the </w:t>
      </w:r>
      <w:r w:rsidR="00DB6B66">
        <w:rPr>
          <w:lang w:val="en-GB"/>
        </w:rPr>
        <w:t>UK</w:t>
      </w:r>
      <w:r w:rsidR="00DB6B66" w:rsidRPr="005D29F2">
        <w:rPr>
          <w:lang w:val="en-GB"/>
        </w:rPr>
        <w:t xml:space="preserve"> </w:t>
      </w:r>
      <w:r w:rsidRPr="005D29F2">
        <w:rPr>
          <w:lang w:val="en-GB"/>
        </w:rPr>
        <w:t xml:space="preserve">Court of Appeal held </w:t>
      </w:r>
      <w:r w:rsidR="0089110D" w:rsidRPr="005D29F2">
        <w:rPr>
          <w:lang w:val="en-GB"/>
        </w:rPr>
        <w:t xml:space="preserve">that a doctor is not </w:t>
      </w:r>
      <w:r w:rsidR="0089110D">
        <w:rPr>
          <w:lang w:val="en-GB"/>
        </w:rPr>
        <w:t>required</w:t>
      </w:r>
      <w:r w:rsidR="0089110D" w:rsidRPr="005D29F2">
        <w:rPr>
          <w:lang w:val="en-GB"/>
        </w:rPr>
        <w:t xml:space="preserve"> to ensure understanding</w:t>
      </w:r>
      <w:r w:rsidR="004121A6">
        <w:rPr>
          <w:lang w:val="en-GB"/>
        </w:rPr>
        <w:t xml:space="preserve">, </w:t>
      </w:r>
      <w:r w:rsidR="001A7CCD">
        <w:rPr>
          <w:lang w:val="en-GB"/>
        </w:rPr>
        <w:t>but must take reasonable (unspecified) steps to check understanding</w:t>
      </w:r>
      <w:r w:rsidRPr="005D29F2">
        <w:rPr>
          <w:lang w:val="en-GB"/>
        </w:rPr>
        <w:t>.</w:t>
      </w:r>
      <w:r w:rsidR="004B3278">
        <w:rPr>
          <w:rStyle w:val="FootnoteReference"/>
          <w:lang w:val="en-GB"/>
        </w:rPr>
        <w:footnoteReference w:id="81"/>
      </w:r>
      <w:r w:rsidRPr="005D29F2">
        <w:rPr>
          <w:lang w:val="en-GB"/>
        </w:rPr>
        <w:t xml:space="preserve"> The extent </w:t>
      </w:r>
      <w:r w:rsidRPr="00E03A5B">
        <w:rPr>
          <w:lang w:val="en-GB"/>
        </w:rPr>
        <w:t>to which a doctor must help patient</w:t>
      </w:r>
      <w:r w:rsidR="00AC44C3">
        <w:rPr>
          <w:lang w:val="en-GB"/>
        </w:rPr>
        <w:t>s</w:t>
      </w:r>
      <w:r w:rsidRPr="00E03A5B">
        <w:rPr>
          <w:lang w:val="en-GB"/>
        </w:rPr>
        <w:t xml:space="preserve"> comprehend information is therefore unclear.</w:t>
      </w:r>
      <w:r w:rsidR="00F42EF6" w:rsidRPr="00E03A5B">
        <w:rPr>
          <w:lang w:val="en-GB"/>
        </w:rPr>
        <w:t xml:space="preserve">  </w:t>
      </w:r>
    </w:p>
    <w:p w14:paraId="502032D5" w14:textId="77777777" w:rsidR="000A248B" w:rsidRDefault="000A248B" w:rsidP="001045A7">
      <w:pPr>
        <w:spacing w:line="276" w:lineRule="auto"/>
        <w:jc w:val="both"/>
        <w:rPr>
          <w:b/>
          <w:i/>
          <w:lang w:val="en-GB"/>
        </w:rPr>
      </w:pPr>
    </w:p>
    <w:p w14:paraId="750810B8" w14:textId="77777777" w:rsidR="000A248B" w:rsidRDefault="001045A7" w:rsidP="00EF5A96">
      <w:pPr>
        <w:spacing w:line="276" w:lineRule="auto"/>
        <w:jc w:val="both"/>
        <w:outlineLvl w:val="0"/>
        <w:rPr>
          <w:b/>
          <w:i/>
          <w:lang w:val="en-GB"/>
        </w:rPr>
      </w:pPr>
      <w:r w:rsidRPr="00E03A5B">
        <w:rPr>
          <w:b/>
          <w:i/>
          <w:lang w:val="en-GB"/>
        </w:rPr>
        <w:t>Deducing Material Risks in Innovation</w:t>
      </w:r>
    </w:p>
    <w:p w14:paraId="14B1446D" w14:textId="08CC3031" w:rsidR="001045A7" w:rsidRDefault="001045A7" w:rsidP="001045A7">
      <w:pPr>
        <w:spacing w:line="276" w:lineRule="auto"/>
        <w:jc w:val="both"/>
        <w:rPr>
          <w:lang w:val="en-GB"/>
        </w:rPr>
      </w:pPr>
      <w:r w:rsidRPr="00E03A5B">
        <w:rPr>
          <w:lang w:val="en-GB"/>
        </w:rPr>
        <w:lastRenderedPageBreak/>
        <w:t xml:space="preserve">The </w:t>
      </w:r>
      <w:r w:rsidR="00A00375">
        <w:rPr>
          <w:lang w:val="en-GB"/>
        </w:rPr>
        <w:t>cases</w:t>
      </w:r>
      <w:r w:rsidRPr="00E03A5B">
        <w:rPr>
          <w:lang w:val="en-GB"/>
        </w:rPr>
        <w:t xml:space="preserve"> of Charlie Gard</w:t>
      </w:r>
      <w:r w:rsidR="00E834D3">
        <w:rPr>
          <w:lang w:val="en-GB"/>
        </w:rPr>
        <w:t>,</w:t>
      </w:r>
      <w:r w:rsidRPr="00E03A5B">
        <w:rPr>
          <w:vertAlign w:val="superscript"/>
          <w:lang w:val="en-GB"/>
        </w:rPr>
        <w:footnoteReference w:id="82"/>
      </w:r>
      <w:r w:rsidRPr="00E03A5B">
        <w:rPr>
          <w:lang w:val="en-GB"/>
        </w:rPr>
        <w:t xml:space="preserve"> </w:t>
      </w:r>
      <w:r w:rsidR="00E834D3">
        <w:rPr>
          <w:lang w:val="en-GB"/>
        </w:rPr>
        <w:t>Alfie Evans</w:t>
      </w:r>
      <w:r w:rsidR="00E834D3">
        <w:rPr>
          <w:rStyle w:val="FootnoteReference"/>
          <w:lang w:val="en-GB"/>
        </w:rPr>
        <w:footnoteReference w:id="83"/>
      </w:r>
      <w:r w:rsidR="00E834D3">
        <w:rPr>
          <w:lang w:val="en-GB"/>
        </w:rPr>
        <w:t xml:space="preserve"> </w:t>
      </w:r>
      <w:r w:rsidR="00A00375">
        <w:rPr>
          <w:lang w:val="en-GB"/>
        </w:rPr>
        <w:t>and</w:t>
      </w:r>
      <w:r w:rsidRPr="00E03A5B">
        <w:rPr>
          <w:lang w:val="en-GB"/>
        </w:rPr>
        <w:t xml:space="preserve"> Layla,</w:t>
      </w:r>
      <w:r w:rsidR="00F53B24">
        <w:rPr>
          <w:rStyle w:val="FootnoteReference"/>
          <w:lang w:val="en-GB"/>
        </w:rPr>
        <w:footnoteReference w:id="84"/>
      </w:r>
      <w:r w:rsidRPr="0088727F">
        <w:rPr>
          <w:lang w:val="en-GB"/>
        </w:rPr>
        <w:t xml:space="preserve"> the Paulo </w:t>
      </w:r>
      <w:proofErr w:type="spellStart"/>
      <w:r w:rsidRPr="0088727F">
        <w:rPr>
          <w:lang w:val="en-GB"/>
        </w:rPr>
        <w:t>Macchiarini</w:t>
      </w:r>
      <w:proofErr w:type="spellEnd"/>
      <w:r w:rsidR="000A248B">
        <w:rPr>
          <w:lang w:val="en-GB"/>
        </w:rPr>
        <w:t xml:space="preserve"> </w:t>
      </w:r>
      <w:r w:rsidRPr="0088727F">
        <w:rPr>
          <w:lang w:val="en-GB"/>
        </w:rPr>
        <w:t>synthetic trachea transplants</w:t>
      </w:r>
      <w:r w:rsidR="000A248B">
        <w:rPr>
          <w:lang w:val="en-GB"/>
        </w:rPr>
        <w:t xml:space="preserve"> scandal</w:t>
      </w:r>
      <w:r w:rsidRPr="0088727F">
        <w:rPr>
          <w:lang w:val="en-GB"/>
        </w:rPr>
        <w:t>,</w:t>
      </w:r>
      <w:r w:rsidR="00A00375">
        <w:rPr>
          <w:rStyle w:val="FootnoteReference"/>
          <w:lang w:val="en-GB"/>
        </w:rPr>
        <w:footnoteReference w:id="85"/>
      </w:r>
      <w:r w:rsidRPr="0088727F">
        <w:rPr>
          <w:lang w:val="en-GB"/>
        </w:rPr>
        <w:t xml:space="preserve"> </w:t>
      </w:r>
      <w:r w:rsidR="000075B9" w:rsidRPr="0088727F">
        <w:rPr>
          <w:lang w:val="en-GB"/>
        </w:rPr>
        <w:t xml:space="preserve">and </w:t>
      </w:r>
      <w:r w:rsidR="00E26F53" w:rsidRPr="0088727F">
        <w:rPr>
          <w:lang w:val="en-GB"/>
        </w:rPr>
        <w:t>Paterson</w:t>
      </w:r>
      <w:r w:rsidR="00E26F53">
        <w:rPr>
          <w:lang w:val="en-GB"/>
        </w:rPr>
        <w:t>’s</w:t>
      </w:r>
      <w:r w:rsidR="000075B9" w:rsidRPr="0088727F">
        <w:rPr>
          <w:lang w:val="en-GB"/>
        </w:rPr>
        <w:t xml:space="preserve"> ‘cleavage sparing’ mastectomies,</w:t>
      </w:r>
      <w:r w:rsidR="00BF1237">
        <w:rPr>
          <w:rStyle w:val="FootnoteReference"/>
          <w:lang w:val="en-GB"/>
        </w:rPr>
        <w:footnoteReference w:id="86"/>
      </w:r>
      <w:r w:rsidR="000075B9" w:rsidRPr="0088727F">
        <w:rPr>
          <w:lang w:val="en-GB"/>
        </w:rPr>
        <w:t xml:space="preserve"> </w:t>
      </w:r>
      <w:r w:rsidRPr="0088727F">
        <w:rPr>
          <w:lang w:val="en-GB"/>
        </w:rPr>
        <w:t xml:space="preserve">provide useful </w:t>
      </w:r>
      <w:r w:rsidR="000A248B">
        <w:rPr>
          <w:lang w:val="en-GB"/>
        </w:rPr>
        <w:t>examples</w:t>
      </w:r>
      <w:r w:rsidRPr="0088727F">
        <w:rPr>
          <w:lang w:val="en-GB"/>
        </w:rPr>
        <w:t xml:space="preserve"> </w:t>
      </w:r>
      <w:r w:rsidR="000A248B">
        <w:rPr>
          <w:lang w:val="en-GB"/>
        </w:rPr>
        <w:t xml:space="preserve">for considering </w:t>
      </w:r>
      <w:r w:rsidRPr="0088727F">
        <w:rPr>
          <w:lang w:val="en-GB"/>
        </w:rPr>
        <w:t>consent in innovation</w:t>
      </w:r>
      <w:r w:rsidR="00DB6B66">
        <w:rPr>
          <w:lang w:val="en-GB"/>
        </w:rPr>
        <w:t>.</w:t>
      </w:r>
      <w:r w:rsidRPr="0088727F">
        <w:rPr>
          <w:lang w:val="en-GB"/>
        </w:rPr>
        <w:t xml:space="preserve"> </w:t>
      </w:r>
      <w:r w:rsidRPr="0088727F">
        <w:rPr>
          <w:i/>
          <w:lang w:val="en-GB"/>
        </w:rPr>
        <w:t>Montgomery</w:t>
      </w:r>
      <w:r w:rsidRPr="0088727F">
        <w:rPr>
          <w:lang w:val="en-GB"/>
        </w:rPr>
        <w:t>’s materiality test</w:t>
      </w:r>
      <w:r w:rsidR="00DB6B66">
        <w:rPr>
          <w:lang w:val="en-GB"/>
        </w:rPr>
        <w:t xml:space="preserve"> will be used as a framework for this analysis, </w:t>
      </w:r>
      <w:r w:rsidR="00AE63D7">
        <w:rPr>
          <w:lang w:val="en-GB"/>
        </w:rPr>
        <w:t>draw</w:t>
      </w:r>
      <w:r w:rsidR="000A248B">
        <w:rPr>
          <w:lang w:val="en-GB"/>
        </w:rPr>
        <w:t>ing</w:t>
      </w:r>
      <w:r w:rsidR="00AE63D7">
        <w:rPr>
          <w:lang w:val="en-GB"/>
        </w:rPr>
        <w:t xml:space="preserve"> upon </w:t>
      </w:r>
      <w:r w:rsidR="00DB6B66">
        <w:rPr>
          <w:lang w:val="en-GB"/>
        </w:rPr>
        <w:t>case law from UK and Australia</w:t>
      </w:r>
      <w:r w:rsidRPr="0088727F">
        <w:rPr>
          <w:lang w:val="en-GB"/>
        </w:rPr>
        <w:t xml:space="preserve">. </w:t>
      </w:r>
    </w:p>
    <w:p w14:paraId="11E0FDB3" w14:textId="77777777" w:rsidR="007D42CE" w:rsidRDefault="007D42CE" w:rsidP="001045A7">
      <w:pPr>
        <w:spacing w:line="276" w:lineRule="auto"/>
        <w:jc w:val="both"/>
        <w:rPr>
          <w:lang w:val="en-GB"/>
        </w:rPr>
      </w:pPr>
    </w:p>
    <w:p w14:paraId="7E0B18C4" w14:textId="2FD59D84" w:rsidR="001E2CCC" w:rsidRPr="00E9470A" w:rsidRDefault="001045A7" w:rsidP="00EF5A96">
      <w:pPr>
        <w:spacing w:line="276" w:lineRule="auto"/>
        <w:jc w:val="both"/>
        <w:outlineLvl w:val="0"/>
        <w:rPr>
          <w:lang w:val="en-GB"/>
        </w:rPr>
      </w:pPr>
      <w:r w:rsidRPr="00C46EC2">
        <w:rPr>
          <w:i/>
          <w:lang w:val="en-GB"/>
        </w:rPr>
        <w:t xml:space="preserve">Nature of the Risk </w:t>
      </w:r>
    </w:p>
    <w:p w14:paraId="77F42B06" w14:textId="416B86D6" w:rsidR="0089110D" w:rsidRPr="00BC6D0A" w:rsidRDefault="002F4386" w:rsidP="002F4386">
      <w:pPr>
        <w:pStyle w:val="Default"/>
        <w:spacing w:line="276" w:lineRule="auto"/>
        <w:jc w:val="both"/>
        <w:rPr>
          <w:rFonts w:ascii="Times New Roman" w:hAnsi="Times New Roman" w:cs="Times New Roman"/>
        </w:rPr>
      </w:pPr>
      <w:r w:rsidRPr="00BC6D0A">
        <w:rPr>
          <w:rFonts w:ascii="Times New Roman" w:hAnsi="Times New Roman" w:cs="Times New Roman"/>
          <w:lang w:val="en-GB"/>
        </w:rPr>
        <w:t xml:space="preserve">The nature of the risk is a starting point and must be seen as defining the type of harm a patient </w:t>
      </w:r>
      <w:proofErr w:type="gramStart"/>
      <w:r w:rsidRPr="00BC6D0A">
        <w:rPr>
          <w:rFonts w:ascii="Times New Roman" w:hAnsi="Times New Roman" w:cs="Times New Roman"/>
          <w:lang w:val="en-GB"/>
        </w:rPr>
        <w:t>risks</w:t>
      </w:r>
      <w:proofErr w:type="gramEnd"/>
      <w:r w:rsidRPr="00BC6D0A">
        <w:rPr>
          <w:rFonts w:ascii="Times New Roman" w:hAnsi="Times New Roman" w:cs="Times New Roman"/>
          <w:lang w:val="en-GB"/>
        </w:rPr>
        <w:t xml:space="preserve"> by consenting to a procedure. R</w:t>
      </w:r>
      <w:r w:rsidRPr="00BC6D0A">
        <w:rPr>
          <w:rFonts w:ascii="Times New Roman" w:eastAsia="Times New Roman" w:hAnsi="Times New Roman" w:cs="Times New Roman"/>
          <w:lang w:val="en-GB" w:eastAsia="en-AU"/>
        </w:rPr>
        <w:t xml:space="preserve">isk is defined by reference to the circumstances in which injury could occur, the likelihood of injury occurring, and the extent or severity of potential injury. </w:t>
      </w:r>
      <w:r>
        <w:rPr>
          <w:rFonts w:ascii="Times New Roman" w:hAnsi="Times New Roman" w:cs="Times New Roman"/>
          <w:lang w:val="en-GB"/>
        </w:rPr>
        <w:t>M</w:t>
      </w:r>
      <w:r w:rsidR="001A6445" w:rsidRPr="00BC6D0A">
        <w:rPr>
          <w:rFonts w:ascii="Times New Roman" w:hAnsi="Times New Roman" w:cs="Times New Roman"/>
          <w:lang w:val="en-GB"/>
        </w:rPr>
        <w:t xml:space="preserve">aterial risks </w:t>
      </w:r>
      <w:r>
        <w:rPr>
          <w:rFonts w:ascii="Times New Roman" w:hAnsi="Times New Roman" w:cs="Times New Roman"/>
          <w:lang w:val="en-GB"/>
        </w:rPr>
        <w:t xml:space="preserve">in </w:t>
      </w:r>
      <w:r w:rsidRPr="00BC6D0A">
        <w:rPr>
          <w:rFonts w:ascii="Times New Roman" w:hAnsi="Times New Roman" w:cs="Times New Roman"/>
          <w:lang w:val="en-GB"/>
        </w:rPr>
        <w:t>innovative treatment</w:t>
      </w:r>
      <w:r>
        <w:rPr>
          <w:rFonts w:ascii="Times New Roman" w:hAnsi="Times New Roman" w:cs="Times New Roman"/>
          <w:lang w:val="en-GB"/>
        </w:rPr>
        <w:t xml:space="preserve"> must be</w:t>
      </w:r>
      <w:r w:rsidR="00474A37">
        <w:rPr>
          <w:rFonts w:ascii="Times New Roman" w:hAnsi="Times New Roman" w:cs="Times New Roman"/>
          <w:lang w:val="en-GB"/>
        </w:rPr>
        <w:t xml:space="preserve"> considered </w:t>
      </w:r>
      <w:r w:rsidR="001A6445" w:rsidRPr="00BC6D0A">
        <w:rPr>
          <w:rFonts w:ascii="Times New Roman" w:hAnsi="Times New Roman" w:cs="Times New Roman"/>
          <w:lang w:val="en-GB"/>
        </w:rPr>
        <w:t xml:space="preserve">in terms other than raw statistics and percentages particularly because of the possible unknowns. </w:t>
      </w:r>
      <w:r w:rsidR="009A665C" w:rsidRPr="00BC6D0A">
        <w:rPr>
          <w:rFonts w:ascii="Times New Roman" w:eastAsia="Times New Roman" w:hAnsi="Times New Roman" w:cs="Times New Roman"/>
          <w:lang w:val="en-GB" w:eastAsia="en-AU"/>
        </w:rPr>
        <w:t xml:space="preserve">In Australia these factors are </w:t>
      </w:r>
      <w:r w:rsidR="009A665C" w:rsidRPr="00BC6D0A">
        <w:rPr>
          <w:rFonts w:ascii="Times New Roman" w:eastAsia="Times New Roman" w:hAnsi="Times New Roman" w:cs="Times New Roman"/>
          <w:lang w:eastAsia="en-AU"/>
        </w:rPr>
        <w:t>‘</w:t>
      </w:r>
      <w:r w:rsidR="009A665C" w:rsidRPr="00BC6D0A">
        <w:rPr>
          <w:rFonts w:ascii="Times New Roman" w:eastAsia="Times New Roman" w:hAnsi="Times New Roman" w:cs="Times New Roman"/>
          <w:lang w:val="en-GB" w:eastAsia="en-AU"/>
        </w:rPr>
        <w:t>considered from the point of view of what a reasonable medical practitioner in the position of the defendant ought to have foreseen at the time’.</w:t>
      </w:r>
      <w:r w:rsidR="009A665C" w:rsidRPr="00BC6D0A">
        <w:rPr>
          <w:rStyle w:val="FootnoteReference"/>
          <w:rFonts w:ascii="Times New Roman" w:hAnsi="Times New Roman" w:cs="Times New Roman"/>
          <w:lang w:val="en-GB"/>
        </w:rPr>
        <w:t xml:space="preserve"> </w:t>
      </w:r>
      <w:r w:rsidR="009A665C" w:rsidRPr="00BC6D0A">
        <w:rPr>
          <w:rStyle w:val="FootnoteReference"/>
          <w:rFonts w:ascii="Times New Roman" w:hAnsi="Times New Roman" w:cs="Times New Roman"/>
          <w:lang w:val="en-GB"/>
        </w:rPr>
        <w:footnoteReference w:id="87"/>
      </w:r>
      <w:r w:rsidR="009A665C">
        <w:rPr>
          <w:lang w:val="en-GB"/>
        </w:rPr>
        <w:t xml:space="preserve"> </w:t>
      </w:r>
      <w:r w:rsidR="0001098B" w:rsidRPr="00D60F08">
        <w:rPr>
          <w:rFonts w:ascii="Times New Roman" w:hAnsi="Times New Roman"/>
          <w:lang w:val="en-GB"/>
        </w:rPr>
        <w:t>Essentially</w:t>
      </w:r>
      <w:r w:rsidR="00D60F08">
        <w:rPr>
          <w:rFonts w:ascii="Times New Roman" w:hAnsi="Times New Roman"/>
          <w:lang w:val="en-GB"/>
        </w:rPr>
        <w:t>,</w:t>
      </w:r>
      <w:r w:rsidR="0001098B" w:rsidRPr="00D60F08">
        <w:rPr>
          <w:rFonts w:ascii="Times New Roman" w:hAnsi="Times New Roman"/>
          <w:lang w:val="en-GB"/>
        </w:rPr>
        <w:t xml:space="preserve"> </w:t>
      </w:r>
      <w:r w:rsidR="00AB0DD8">
        <w:rPr>
          <w:rFonts w:ascii="Times New Roman" w:hAnsi="Times New Roman"/>
          <w:lang w:val="en-GB"/>
        </w:rPr>
        <w:t xml:space="preserve">the question is whether </w:t>
      </w:r>
      <w:r w:rsidR="00D60F08" w:rsidRPr="00D60F08">
        <w:rPr>
          <w:rFonts w:ascii="Times New Roman" w:hAnsi="Times New Roman"/>
          <w:lang w:val="en-GB"/>
        </w:rPr>
        <w:t>the reasonable practitioner</w:t>
      </w:r>
      <w:r w:rsidR="00D60F08">
        <w:rPr>
          <w:rFonts w:ascii="Times New Roman" w:hAnsi="Times New Roman"/>
          <w:lang w:val="en-GB"/>
        </w:rPr>
        <w:t xml:space="preserve"> </w:t>
      </w:r>
      <w:r w:rsidR="00AB0DD8">
        <w:rPr>
          <w:rFonts w:ascii="Times New Roman" w:hAnsi="Times New Roman"/>
          <w:lang w:val="en-GB"/>
        </w:rPr>
        <w:t xml:space="preserve">ought to be aware of the risk </w:t>
      </w:r>
      <w:r w:rsidR="00D60F08">
        <w:rPr>
          <w:rFonts w:ascii="Times New Roman" w:hAnsi="Times New Roman"/>
          <w:lang w:val="en-GB"/>
        </w:rPr>
        <w:t>at the time of the operation</w:t>
      </w:r>
      <w:r w:rsidR="00D60F08" w:rsidRPr="00D60F08">
        <w:rPr>
          <w:rFonts w:ascii="Times New Roman" w:hAnsi="Times New Roman"/>
          <w:lang w:val="en-GB"/>
        </w:rPr>
        <w:t>.</w:t>
      </w:r>
      <w:r w:rsidR="00D60F08">
        <w:rPr>
          <w:lang w:val="en-GB"/>
        </w:rPr>
        <w:t xml:space="preserve"> </w:t>
      </w:r>
      <w:r w:rsidR="009A665C" w:rsidRPr="00BC6D0A">
        <w:rPr>
          <w:rFonts w:ascii="Times New Roman" w:hAnsi="Times New Roman" w:cs="Times New Roman"/>
          <w:lang w:val="en-GB"/>
        </w:rPr>
        <w:t>Similarly, in the UK,</w:t>
      </w:r>
      <w:r w:rsidR="009A665C">
        <w:rPr>
          <w:lang w:val="en-GB"/>
        </w:rPr>
        <w:t xml:space="preserve"> </w:t>
      </w:r>
      <w:bookmarkStart w:id="1" w:name="para43"/>
      <w:r w:rsidR="000C2B34" w:rsidRPr="00BC6D0A">
        <w:rPr>
          <w:rFonts w:ascii="Times New Roman" w:hAnsi="Times New Roman" w:cs="Times New Roman"/>
          <w:lang w:val="en-GB"/>
        </w:rPr>
        <w:t>‘</w:t>
      </w:r>
      <w:r w:rsidR="00013335" w:rsidRPr="00BC6D0A">
        <w:rPr>
          <w:rFonts w:ascii="Times New Roman" w:hAnsi="Times New Roman" w:cs="Times New Roman"/>
        </w:rPr>
        <w:t>a clinician is not required to warn of a risk of which he cannot reasonably be taken to be aware</w:t>
      </w:r>
      <w:bookmarkEnd w:id="1"/>
      <w:r w:rsidR="000C2B34" w:rsidRPr="00BC6D0A">
        <w:rPr>
          <w:rFonts w:ascii="Times New Roman" w:hAnsi="Times New Roman" w:cs="Times New Roman"/>
        </w:rPr>
        <w:t>’.</w:t>
      </w:r>
      <w:r w:rsidR="000C2B34" w:rsidRPr="00BC6D0A">
        <w:rPr>
          <w:rStyle w:val="FootnoteReference"/>
          <w:rFonts w:ascii="Times New Roman" w:hAnsi="Times New Roman" w:cs="Times New Roman"/>
        </w:rPr>
        <w:footnoteReference w:id="88"/>
      </w:r>
      <w:r w:rsidR="00561752">
        <w:rPr>
          <w:rFonts w:ascii="Times New Roman" w:hAnsi="Times New Roman" w:cs="Times New Roman"/>
        </w:rPr>
        <w:t xml:space="preserve"> </w:t>
      </w:r>
      <w:r w:rsidR="00081B9D">
        <w:rPr>
          <w:rFonts w:ascii="Times New Roman" w:hAnsi="Times New Roman" w:cs="Times New Roman"/>
        </w:rPr>
        <w:t>For example, i</w:t>
      </w:r>
      <w:r w:rsidR="00CE46D9" w:rsidRPr="00BC6D0A">
        <w:rPr>
          <w:rFonts w:ascii="Times New Roman" w:hAnsi="Times New Roman" w:cs="Times New Roman"/>
        </w:rPr>
        <w:t xml:space="preserve">n </w:t>
      </w:r>
      <w:proofErr w:type="spellStart"/>
      <w:r w:rsidR="00CE46D9" w:rsidRPr="00BC6D0A">
        <w:rPr>
          <w:rFonts w:ascii="Times New Roman" w:hAnsi="Times New Roman" w:cs="Times New Roman"/>
          <w:i/>
        </w:rPr>
        <w:t>Duce</w:t>
      </w:r>
      <w:proofErr w:type="spellEnd"/>
      <w:r w:rsidR="00CE46D9" w:rsidRPr="00BC6D0A">
        <w:rPr>
          <w:rFonts w:ascii="Times New Roman" w:hAnsi="Times New Roman" w:cs="Times New Roman"/>
        </w:rPr>
        <w:t>,</w:t>
      </w:r>
      <w:r w:rsidR="00D41EDB" w:rsidRPr="00BC6D0A">
        <w:rPr>
          <w:rFonts w:ascii="Times New Roman" w:hAnsi="Times New Roman" w:cs="Times New Roman"/>
        </w:rPr>
        <w:t xml:space="preserve"> a claim that doctors failed to warn the hysterectomy patient of the risk of Chronic Post-Surgical Pain failed</w:t>
      </w:r>
      <w:r w:rsidR="001A6445" w:rsidRPr="00BC6D0A">
        <w:rPr>
          <w:rStyle w:val="FootnoteReference"/>
          <w:rFonts w:ascii="Times New Roman" w:hAnsi="Times New Roman" w:cs="Times New Roman"/>
        </w:rPr>
        <w:footnoteReference w:id="89"/>
      </w:r>
      <w:r w:rsidR="00D41EDB" w:rsidRPr="00BC6D0A">
        <w:rPr>
          <w:rFonts w:ascii="Times New Roman" w:hAnsi="Times New Roman" w:cs="Times New Roman"/>
        </w:rPr>
        <w:t xml:space="preserve"> </w:t>
      </w:r>
      <w:r w:rsidR="00081B9D">
        <w:rPr>
          <w:rFonts w:ascii="Times New Roman" w:hAnsi="Times New Roman" w:cs="Times New Roman"/>
        </w:rPr>
        <w:t>because t</w:t>
      </w:r>
      <w:r w:rsidR="005068B7" w:rsidRPr="00BC6D0A">
        <w:rPr>
          <w:rFonts w:ascii="Times New Roman" w:hAnsi="Times New Roman" w:cs="Times New Roman"/>
        </w:rPr>
        <w:t xml:space="preserve">here was no </w:t>
      </w:r>
      <w:r w:rsidR="00D41EDB" w:rsidRPr="00BC6D0A">
        <w:rPr>
          <w:rFonts w:ascii="Times New Roman" w:hAnsi="Times New Roman" w:cs="Times New Roman"/>
        </w:rPr>
        <w:t xml:space="preserve">proof </w:t>
      </w:r>
      <w:r w:rsidR="005068B7" w:rsidRPr="00BC6D0A">
        <w:rPr>
          <w:rFonts w:ascii="Times New Roman" w:hAnsi="Times New Roman" w:cs="Times New Roman"/>
        </w:rPr>
        <w:t xml:space="preserve">that </w:t>
      </w:r>
      <w:r w:rsidR="00D41EDB" w:rsidRPr="00BC6D0A">
        <w:rPr>
          <w:rFonts w:ascii="Times New Roman" w:hAnsi="Times New Roman" w:cs="Times New Roman"/>
        </w:rPr>
        <w:t xml:space="preserve">gynaecologists </w:t>
      </w:r>
      <w:r w:rsidR="009A665C">
        <w:rPr>
          <w:rFonts w:ascii="Times New Roman" w:hAnsi="Times New Roman" w:cs="Times New Roman"/>
        </w:rPr>
        <w:t xml:space="preserve">knew or should have known </w:t>
      </w:r>
      <w:r w:rsidR="00D41EDB" w:rsidRPr="00BC6D0A">
        <w:rPr>
          <w:rFonts w:ascii="Times New Roman" w:hAnsi="Times New Roman" w:cs="Times New Roman"/>
        </w:rPr>
        <w:t>of the relevant risks</w:t>
      </w:r>
      <w:r w:rsidR="00CC3D25">
        <w:rPr>
          <w:rFonts w:ascii="Times New Roman" w:hAnsi="Times New Roman" w:cs="Times New Roman"/>
        </w:rPr>
        <w:t xml:space="preserve"> at the time</w:t>
      </w:r>
      <w:r w:rsidR="005068B7" w:rsidRPr="00BC6D0A">
        <w:rPr>
          <w:rFonts w:ascii="Times New Roman" w:hAnsi="Times New Roman" w:cs="Times New Roman"/>
        </w:rPr>
        <w:t>.</w:t>
      </w:r>
      <w:r w:rsidR="00B872AA" w:rsidRPr="00BC6D0A">
        <w:rPr>
          <w:rFonts w:ascii="Times New Roman" w:hAnsi="Times New Roman" w:cs="Times New Roman"/>
        </w:rPr>
        <w:t xml:space="preserve"> </w:t>
      </w:r>
      <w:proofErr w:type="spellStart"/>
      <w:r w:rsidR="00B872AA" w:rsidRPr="00BC6D0A">
        <w:rPr>
          <w:rFonts w:ascii="Times New Roman" w:hAnsi="Times New Roman" w:cs="Times New Roman"/>
          <w:i/>
        </w:rPr>
        <w:t>Duce</w:t>
      </w:r>
      <w:proofErr w:type="spellEnd"/>
      <w:r w:rsidR="00B872AA" w:rsidRPr="00BC6D0A">
        <w:rPr>
          <w:rFonts w:ascii="Times New Roman" w:hAnsi="Times New Roman" w:cs="Times New Roman"/>
        </w:rPr>
        <w:t xml:space="preserve"> suggests </w:t>
      </w:r>
      <w:r w:rsidR="009A665C">
        <w:rPr>
          <w:rFonts w:ascii="Times New Roman" w:hAnsi="Times New Roman" w:cs="Times New Roman"/>
        </w:rPr>
        <w:t xml:space="preserve">that </w:t>
      </w:r>
      <w:r w:rsidR="00B872AA" w:rsidRPr="00BC6D0A">
        <w:rPr>
          <w:rFonts w:ascii="Times New Roman" w:hAnsi="Times New Roman" w:cs="Times New Roman"/>
        </w:rPr>
        <w:t xml:space="preserve">there is no duty under </w:t>
      </w:r>
      <w:r w:rsidR="00B872AA" w:rsidRPr="00BC6D0A">
        <w:rPr>
          <w:rFonts w:ascii="Times New Roman" w:hAnsi="Times New Roman" w:cs="Times New Roman"/>
          <w:i/>
        </w:rPr>
        <w:t>Montgomery</w:t>
      </w:r>
      <w:r w:rsidR="00B872AA" w:rsidRPr="00BC6D0A">
        <w:rPr>
          <w:rFonts w:ascii="Times New Roman" w:hAnsi="Times New Roman" w:cs="Times New Roman"/>
        </w:rPr>
        <w:t xml:space="preserve"> to disclose risks</w:t>
      </w:r>
      <w:r w:rsidR="001A6445" w:rsidRPr="00BC6D0A">
        <w:rPr>
          <w:rFonts w:ascii="Times New Roman" w:hAnsi="Times New Roman" w:cs="Times New Roman"/>
        </w:rPr>
        <w:t xml:space="preserve"> that doctors are unaware of</w:t>
      </w:r>
      <w:r w:rsidR="00B872AA" w:rsidRPr="00BC6D0A">
        <w:rPr>
          <w:rFonts w:ascii="Times New Roman" w:hAnsi="Times New Roman" w:cs="Times New Roman"/>
        </w:rPr>
        <w:t xml:space="preserve">, </w:t>
      </w:r>
      <w:r w:rsidR="001A6445" w:rsidRPr="00BC6D0A">
        <w:rPr>
          <w:rFonts w:ascii="Times New Roman" w:hAnsi="Times New Roman" w:cs="Times New Roman"/>
        </w:rPr>
        <w:t>but a</w:t>
      </w:r>
      <w:r w:rsidR="00B872AA" w:rsidRPr="00BC6D0A">
        <w:rPr>
          <w:rFonts w:ascii="Times New Roman" w:hAnsi="Times New Roman" w:cs="Times New Roman"/>
        </w:rPr>
        <w:t xml:space="preserve"> distinction </w:t>
      </w:r>
      <w:r w:rsidR="001A6445" w:rsidRPr="00BC6D0A">
        <w:rPr>
          <w:rFonts w:ascii="Times New Roman" w:hAnsi="Times New Roman" w:cs="Times New Roman"/>
        </w:rPr>
        <w:t xml:space="preserve">can be drawn between established and innovative </w:t>
      </w:r>
      <w:r w:rsidR="00487351">
        <w:rPr>
          <w:rFonts w:ascii="Times New Roman" w:hAnsi="Times New Roman" w:cs="Times New Roman"/>
        </w:rPr>
        <w:t>therapies</w:t>
      </w:r>
      <w:r w:rsidR="001A6445" w:rsidRPr="00BC6D0A">
        <w:rPr>
          <w:rFonts w:ascii="Times New Roman" w:hAnsi="Times New Roman" w:cs="Times New Roman"/>
        </w:rPr>
        <w:t xml:space="preserve">. In the case of </w:t>
      </w:r>
      <w:r w:rsidR="00487351">
        <w:rPr>
          <w:rFonts w:ascii="Times New Roman" w:hAnsi="Times New Roman" w:cs="Times New Roman"/>
        </w:rPr>
        <w:t>innovative treatments</w:t>
      </w:r>
      <w:r w:rsidR="001A6445" w:rsidRPr="00BC6D0A">
        <w:rPr>
          <w:rFonts w:ascii="Times New Roman" w:hAnsi="Times New Roman" w:cs="Times New Roman"/>
        </w:rPr>
        <w:t>, the risk of unknown complications is foreseeable; doctors should be aware</w:t>
      </w:r>
      <w:r w:rsidR="001A6445">
        <w:t xml:space="preserve"> </w:t>
      </w:r>
      <w:r w:rsidR="001A6445" w:rsidRPr="00BC6D0A">
        <w:rPr>
          <w:rFonts w:ascii="Times New Roman" w:hAnsi="Times New Roman" w:cs="Times New Roman"/>
        </w:rPr>
        <w:t>that unknown risks are inherent in untested interventions.</w:t>
      </w:r>
      <w:r w:rsidR="007B222B" w:rsidRPr="00BC6D0A">
        <w:rPr>
          <w:rFonts w:ascii="Times New Roman" w:hAnsi="Times New Roman" w:cs="Times New Roman"/>
        </w:rPr>
        <w:t xml:space="preserve"> </w:t>
      </w:r>
      <w:r w:rsidR="00487351">
        <w:rPr>
          <w:rFonts w:ascii="Times New Roman" w:hAnsi="Times New Roman" w:cs="Times New Roman"/>
        </w:rPr>
        <w:t>T</w:t>
      </w:r>
      <w:r w:rsidR="007B222B" w:rsidRPr="00BC6D0A">
        <w:rPr>
          <w:rFonts w:ascii="Times New Roman" w:hAnsi="Times New Roman" w:cs="Times New Roman"/>
        </w:rPr>
        <w:t xml:space="preserve">he innovative character of the treatment, </w:t>
      </w:r>
      <w:r>
        <w:rPr>
          <w:rFonts w:ascii="Times New Roman" w:hAnsi="Times New Roman" w:cs="Times New Roman"/>
        </w:rPr>
        <w:t>and</w:t>
      </w:r>
      <w:r w:rsidR="007B222B" w:rsidRPr="00BC6D0A">
        <w:rPr>
          <w:rFonts w:ascii="Times New Roman" w:hAnsi="Times New Roman" w:cs="Times New Roman"/>
        </w:rPr>
        <w:t xml:space="preserve"> the fact that there may be unknowns</w:t>
      </w:r>
      <w:r>
        <w:rPr>
          <w:rFonts w:ascii="Times New Roman" w:hAnsi="Times New Roman" w:cs="Times New Roman"/>
        </w:rPr>
        <w:t>,</w:t>
      </w:r>
      <w:r w:rsidR="007B222B" w:rsidRPr="00BC6D0A">
        <w:rPr>
          <w:rFonts w:ascii="Times New Roman" w:hAnsi="Times New Roman" w:cs="Times New Roman"/>
        </w:rPr>
        <w:t xml:space="preserve"> would </w:t>
      </w:r>
      <w:r>
        <w:rPr>
          <w:rFonts w:ascii="Times New Roman" w:hAnsi="Times New Roman" w:cs="Times New Roman"/>
        </w:rPr>
        <w:t>likely</w:t>
      </w:r>
      <w:r w:rsidR="007B222B" w:rsidRPr="00BC6D0A">
        <w:rPr>
          <w:rFonts w:ascii="Times New Roman" w:hAnsi="Times New Roman" w:cs="Times New Roman"/>
        </w:rPr>
        <w:t xml:space="preserve"> be material, </w:t>
      </w:r>
      <w:r w:rsidR="00487351">
        <w:rPr>
          <w:rFonts w:ascii="Times New Roman" w:hAnsi="Times New Roman" w:cs="Times New Roman"/>
        </w:rPr>
        <w:t>requiring</w:t>
      </w:r>
      <w:r w:rsidR="007B222B" w:rsidRPr="00BC6D0A">
        <w:rPr>
          <w:rFonts w:ascii="Times New Roman" w:hAnsi="Times New Roman" w:cs="Times New Roman"/>
        </w:rPr>
        <w:t xml:space="preserve"> communicat</w:t>
      </w:r>
      <w:r w:rsidR="00487351">
        <w:rPr>
          <w:rFonts w:ascii="Times New Roman" w:hAnsi="Times New Roman" w:cs="Times New Roman"/>
        </w:rPr>
        <w:t xml:space="preserve">ion </w:t>
      </w:r>
      <w:r w:rsidR="007B222B" w:rsidRPr="00BC6D0A">
        <w:rPr>
          <w:rFonts w:ascii="Times New Roman" w:hAnsi="Times New Roman" w:cs="Times New Roman"/>
        </w:rPr>
        <w:t>to the patient.</w:t>
      </w:r>
      <w:r w:rsidR="007B222B" w:rsidRPr="00BC6D0A">
        <w:rPr>
          <w:rStyle w:val="FootnoteReference"/>
          <w:rFonts w:ascii="Times New Roman" w:hAnsi="Times New Roman" w:cs="Times New Roman"/>
        </w:rPr>
        <w:footnoteReference w:id="90"/>
      </w:r>
      <w:r w:rsidR="007D5ECE" w:rsidRPr="00BC6D0A">
        <w:rPr>
          <w:rFonts w:ascii="Times New Roman" w:hAnsi="Times New Roman" w:cs="Times New Roman"/>
        </w:rPr>
        <w:t xml:space="preserve"> </w:t>
      </w:r>
      <w:r w:rsidR="0089253F">
        <w:rPr>
          <w:rFonts w:ascii="Times New Roman" w:hAnsi="Times New Roman" w:cs="Times New Roman"/>
        </w:rPr>
        <w:t>I</w:t>
      </w:r>
      <w:r w:rsidR="00070ADD" w:rsidRPr="00BC6D0A">
        <w:rPr>
          <w:rFonts w:ascii="Times New Roman" w:hAnsi="Times New Roman" w:cs="Times New Roman"/>
        </w:rPr>
        <w:t xml:space="preserve">t has </w:t>
      </w:r>
      <w:r w:rsidR="0089253F">
        <w:rPr>
          <w:rFonts w:ascii="Times New Roman" w:hAnsi="Times New Roman" w:cs="Times New Roman"/>
        </w:rPr>
        <w:t xml:space="preserve">also </w:t>
      </w:r>
      <w:r w:rsidR="00070ADD" w:rsidRPr="00BC6D0A">
        <w:rPr>
          <w:rFonts w:ascii="Times New Roman" w:hAnsi="Times New Roman" w:cs="Times New Roman"/>
        </w:rPr>
        <w:t xml:space="preserve">been suggested that </w:t>
      </w:r>
      <w:r w:rsidR="00264E47">
        <w:rPr>
          <w:rFonts w:ascii="Times New Roman" w:hAnsi="Times New Roman" w:cs="Times New Roman"/>
        </w:rPr>
        <w:t>disclosure s</w:t>
      </w:r>
      <w:r>
        <w:rPr>
          <w:rFonts w:ascii="Times New Roman" w:hAnsi="Times New Roman" w:cs="Times New Roman"/>
        </w:rPr>
        <w:t xml:space="preserve">hould extend to the </w:t>
      </w:r>
      <w:r>
        <w:rPr>
          <w:rFonts w:ascii="Times New Roman" w:hAnsi="Times New Roman" w:cs="Times New Roman"/>
        </w:rPr>
        <w:lastRenderedPageBreak/>
        <w:t>‘</w:t>
      </w:r>
      <w:r w:rsidR="00070ADD" w:rsidRPr="00BC6D0A">
        <w:rPr>
          <w:rFonts w:ascii="Times New Roman" w:hAnsi="Times New Roman" w:cs="Times New Roman"/>
        </w:rPr>
        <w:t>particular physician’s individual experience with the procedure, given its novelty</w:t>
      </w:r>
      <w:r w:rsidR="00D9692E" w:rsidRPr="00BC6D0A">
        <w:rPr>
          <w:rFonts w:ascii="Times New Roman" w:hAnsi="Times New Roman" w:cs="Times New Roman"/>
        </w:rPr>
        <w:t>,</w:t>
      </w:r>
      <w:r>
        <w:rPr>
          <w:rFonts w:ascii="Times New Roman" w:hAnsi="Times New Roman" w:cs="Times New Roman"/>
        </w:rPr>
        <w:t>’</w:t>
      </w:r>
      <w:r w:rsidR="00070ADD" w:rsidRPr="00BC6D0A">
        <w:rPr>
          <w:rStyle w:val="FootnoteReference"/>
          <w:rFonts w:ascii="Times New Roman" w:hAnsi="Times New Roman" w:cs="Times New Roman"/>
        </w:rPr>
        <w:footnoteReference w:id="91"/>
      </w:r>
      <w:r w:rsidR="00D9692E" w:rsidRPr="00BC6D0A">
        <w:rPr>
          <w:rFonts w:ascii="Times New Roman" w:hAnsi="Times New Roman" w:cs="Times New Roman"/>
        </w:rPr>
        <w:t xml:space="preserve"> although this is subject to debate.</w:t>
      </w:r>
      <w:r w:rsidR="00561752">
        <w:rPr>
          <w:rStyle w:val="FootnoteReference"/>
          <w:rFonts w:ascii="Times New Roman" w:hAnsi="Times New Roman" w:cs="Times New Roman"/>
        </w:rPr>
        <w:footnoteReference w:id="92"/>
      </w:r>
      <w:r w:rsidR="00D9692E" w:rsidRPr="00BC6D0A">
        <w:rPr>
          <w:rFonts w:ascii="Times New Roman" w:hAnsi="Times New Roman" w:cs="Times New Roman"/>
        </w:rPr>
        <w:t xml:space="preserve"> </w:t>
      </w:r>
    </w:p>
    <w:p w14:paraId="4380E4FE" w14:textId="77777777" w:rsidR="007B222B" w:rsidRPr="00DB6B66" w:rsidRDefault="007B222B" w:rsidP="001045A7">
      <w:pPr>
        <w:spacing w:line="276" w:lineRule="auto"/>
        <w:jc w:val="both"/>
      </w:pPr>
    </w:p>
    <w:p w14:paraId="740FE3D9" w14:textId="52F5CE0F" w:rsidR="0089253F" w:rsidRDefault="00C82A00" w:rsidP="00C82A00">
      <w:pPr>
        <w:spacing w:line="276" w:lineRule="auto"/>
        <w:jc w:val="both"/>
        <w:rPr>
          <w:lang w:val="en-GB"/>
        </w:rPr>
      </w:pPr>
      <w:r w:rsidRPr="00F96DBC">
        <w:rPr>
          <w:lang w:val="en-GB"/>
        </w:rPr>
        <w:t>The description of the treatment as</w:t>
      </w:r>
      <w:r>
        <w:rPr>
          <w:lang w:val="en-GB"/>
        </w:rPr>
        <w:t xml:space="preserve"> being ‘innovative’ is </w:t>
      </w:r>
      <w:r w:rsidR="00487351">
        <w:rPr>
          <w:lang w:val="en-GB"/>
        </w:rPr>
        <w:t xml:space="preserve">argued to be </w:t>
      </w:r>
      <w:r w:rsidR="00D9692E">
        <w:rPr>
          <w:lang w:val="en-GB"/>
        </w:rPr>
        <w:t>a material risk</w:t>
      </w:r>
      <w:r w:rsidR="0089253F">
        <w:rPr>
          <w:lang w:val="en-GB"/>
        </w:rPr>
        <w:t xml:space="preserve"> for two key reasons</w:t>
      </w:r>
      <w:r w:rsidR="00D9692E">
        <w:rPr>
          <w:lang w:val="en-GB"/>
        </w:rPr>
        <w:t>.</w:t>
      </w:r>
      <w:r w:rsidR="00261502">
        <w:rPr>
          <w:lang w:val="en-GB"/>
        </w:rPr>
        <w:t xml:space="preserve">  First, because it informs patients </w:t>
      </w:r>
      <w:r w:rsidR="0089253F">
        <w:rPr>
          <w:lang w:val="en-GB"/>
        </w:rPr>
        <w:t xml:space="preserve">that </w:t>
      </w:r>
      <w:r w:rsidR="00261502">
        <w:rPr>
          <w:lang w:val="en-GB"/>
        </w:rPr>
        <w:t xml:space="preserve">the suggested treatment is new and not standard; second, because it </w:t>
      </w:r>
      <w:r w:rsidR="000925AA">
        <w:rPr>
          <w:lang w:val="en-GB"/>
        </w:rPr>
        <w:t>may also be</w:t>
      </w:r>
      <w:r w:rsidR="00261502">
        <w:rPr>
          <w:lang w:val="en-GB"/>
        </w:rPr>
        <w:t xml:space="preserve"> </w:t>
      </w:r>
      <w:r w:rsidR="00334586">
        <w:rPr>
          <w:lang w:val="en-GB"/>
        </w:rPr>
        <w:t>linguistically</w:t>
      </w:r>
      <w:r w:rsidR="00261502">
        <w:rPr>
          <w:lang w:val="en-GB"/>
        </w:rPr>
        <w:t xml:space="preserve"> significant.  Labelling a treatment as </w:t>
      </w:r>
      <w:r w:rsidR="00334586">
        <w:rPr>
          <w:lang w:val="en-GB"/>
        </w:rPr>
        <w:t xml:space="preserve">‘innovative’ </w:t>
      </w:r>
      <w:r w:rsidR="00261502">
        <w:rPr>
          <w:lang w:val="en-GB"/>
        </w:rPr>
        <w:t xml:space="preserve">sounds </w:t>
      </w:r>
      <w:r w:rsidR="00334586">
        <w:rPr>
          <w:lang w:val="en-GB"/>
        </w:rPr>
        <w:t>positive</w:t>
      </w:r>
      <w:r w:rsidR="00261502">
        <w:rPr>
          <w:lang w:val="en-GB"/>
        </w:rPr>
        <w:t xml:space="preserve"> in comparison to</w:t>
      </w:r>
      <w:r w:rsidR="00334586">
        <w:rPr>
          <w:lang w:val="en-GB"/>
        </w:rPr>
        <w:t xml:space="preserve"> describing a treatment as ‘unproven’ or ‘untested’</w:t>
      </w:r>
      <w:r w:rsidR="000F3E21">
        <w:rPr>
          <w:lang w:val="en-GB"/>
        </w:rPr>
        <w:t>.</w:t>
      </w:r>
      <w:r w:rsidR="000925AA">
        <w:rPr>
          <w:rStyle w:val="FootnoteReference"/>
          <w:lang w:val="en-GB"/>
        </w:rPr>
        <w:footnoteReference w:id="93"/>
      </w:r>
      <w:r w:rsidR="002842C0">
        <w:rPr>
          <w:lang w:val="en-GB"/>
        </w:rPr>
        <w:t xml:space="preserve"> </w:t>
      </w:r>
    </w:p>
    <w:p w14:paraId="2BE3558C" w14:textId="77777777" w:rsidR="0089253F" w:rsidRDefault="0089253F" w:rsidP="00C82A00">
      <w:pPr>
        <w:spacing w:line="276" w:lineRule="auto"/>
        <w:jc w:val="both"/>
        <w:rPr>
          <w:lang w:val="en-GB"/>
        </w:rPr>
      </w:pPr>
    </w:p>
    <w:p w14:paraId="7C2481C9" w14:textId="43309B64" w:rsidR="00C70110" w:rsidRPr="004E34D6" w:rsidRDefault="000F3E21" w:rsidP="00C82A00">
      <w:pPr>
        <w:spacing w:line="276" w:lineRule="auto"/>
        <w:jc w:val="both"/>
      </w:pPr>
      <w:r>
        <w:rPr>
          <w:lang w:val="en-GB"/>
        </w:rPr>
        <w:t xml:space="preserve">A US study </w:t>
      </w:r>
      <w:r w:rsidR="009B66F4">
        <w:rPr>
          <w:lang w:val="en-GB"/>
        </w:rPr>
        <w:t xml:space="preserve">on informed consent and innovative surgical procedures (developed outside of clinical trials without regulatory oversight) </w:t>
      </w:r>
      <w:r>
        <w:rPr>
          <w:lang w:val="en-GB"/>
        </w:rPr>
        <w:t>found 60 per cent of patients ‘</w:t>
      </w:r>
      <w:r w:rsidRPr="00C82A00">
        <w:rPr>
          <w:lang w:val="en-AU"/>
        </w:rPr>
        <w:t>considered it essential to have a clear statement that the proposed robotic procedu</w:t>
      </w:r>
      <w:r>
        <w:rPr>
          <w:lang w:val="en-AU"/>
        </w:rPr>
        <w:t>re was new rather than standard</w:t>
      </w:r>
      <w:r w:rsidR="00487351">
        <w:rPr>
          <w:lang w:val="en-AU"/>
        </w:rPr>
        <w:t>,</w:t>
      </w:r>
      <w:r>
        <w:rPr>
          <w:lang w:val="en-AU"/>
        </w:rPr>
        <w:t xml:space="preserve">’ suggesting </w:t>
      </w:r>
      <w:r w:rsidR="000925AA">
        <w:rPr>
          <w:lang w:val="en-AU"/>
        </w:rPr>
        <w:t xml:space="preserve">patients want </w:t>
      </w:r>
      <w:r>
        <w:rPr>
          <w:lang w:val="en-AU"/>
        </w:rPr>
        <w:t xml:space="preserve">doctors </w:t>
      </w:r>
      <w:r w:rsidR="000925AA">
        <w:rPr>
          <w:lang w:val="en-AU"/>
        </w:rPr>
        <w:t xml:space="preserve">to </w:t>
      </w:r>
      <w:r>
        <w:rPr>
          <w:lang w:val="en-AU"/>
        </w:rPr>
        <w:t>be transparent about innovations when obtaining consen</w:t>
      </w:r>
      <w:r w:rsidR="00B305E6">
        <w:rPr>
          <w:lang w:val="en-AU"/>
        </w:rPr>
        <w:t>t</w:t>
      </w:r>
      <w:r>
        <w:rPr>
          <w:lang w:val="en-AU"/>
        </w:rPr>
        <w:t>.</w:t>
      </w:r>
      <w:r>
        <w:rPr>
          <w:rStyle w:val="FootnoteReference"/>
          <w:lang w:val="en-AU"/>
        </w:rPr>
        <w:footnoteReference w:id="94"/>
      </w:r>
      <w:r>
        <w:rPr>
          <w:lang w:val="en-AU"/>
        </w:rPr>
        <w:t xml:space="preserve">  Patients reported they would </w:t>
      </w:r>
      <w:r w:rsidR="007C72AA">
        <w:rPr>
          <w:lang w:val="en-AU"/>
        </w:rPr>
        <w:t xml:space="preserve">be unable </w:t>
      </w:r>
      <w:r>
        <w:rPr>
          <w:lang w:val="en-AU"/>
        </w:rPr>
        <w:t xml:space="preserve">to make a </w:t>
      </w:r>
      <w:r w:rsidR="004C25DB">
        <w:rPr>
          <w:lang w:val="en-AU"/>
        </w:rPr>
        <w:t xml:space="preserve">treatment </w:t>
      </w:r>
      <w:r>
        <w:rPr>
          <w:lang w:val="en-AU"/>
        </w:rPr>
        <w:t xml:space="preserve">decision </w:t>
      </w:r>
      <w:r w:rsidR="00541640">
        <w:rPr>
          <w:lang w:val="en-AU"/>
        </w:rPr>
        <w:t xml:space="preserve">without </w:t>
      </w:r>
      <w:r>
        <w:rPr>
          <w:lang w:val="en-AU"/>
        </w:rPr>
        <w:t>such information.  This compared with only 20 per cent</w:t>
      </w:r>
      <w:r w:rsidRPr="00C82A00">
        <w:rPr>
          <w:lang w:val="en-AU"/>
        </w:rPr>
        <w:t xml:space="preserve"> of </w:t>
      </w:r>
      <w:r>
        <w:rPr>
          <w:lang w:val="en-AU"/>
        </w:rPr>
        <w:t>doctors who ‘</w:t>
      </w:r>
      <w:r w:rsidRPr="00C82A00">
        <w:rPr>
          <w:lang w:val="en-AU"/>
        </w:rPr>
        <w:t>considered the procedure’s technical details essential to discuss with patients</w:t>
      </w:r>
      <w:r>
        <w:rPr>
          <w:lang w:val="en-AU"/>
        </w:rPr>
        <w:t>’.</w:t>
      </w:r>
      <w:r w:rsidRPr="00C82A00">
        <w:rPr>
          <w:vertAlign w:val="superscript"/>
          <w:lang w:val="en-AU"/>
        </w:rPr>
        <w:footnoteReference w:id="95"/>
      </w:r>
      <w:r w:rsidR="00A206CB">
        <w:rPr>
          <w:lang w:val="en-AU"/>
        </w:rPr>
        <w:t xml:space="preserve"> </w:t>
      </w:r>
      <w:r w:rsidR="0089253F">
        <w:rPr>
          <w:lang w:val="en-AU"/>
        </w:rPr>
        <w:t>A</w:t>
      </w:r>
      <w:r w:rsidR="00A206CB">
        <w:rPr>
          <w:lang w:val="en-AU"/>
        </w:rPr>
        <w:t xml:space="preserve">n Australian study discovered </w:t>
      </w:r>
      <w:r w:rsidR="00081B9D">
        <w:rPr>
          <w:lang w:val="en-AU"/>
        </w:rPr>
        <w:t xml:space="preserve">the existence of </w:t>
      </w:r>
      <w:r w:rsidR="0089253F">
        <w:rPr>
          <w:lang w:val="en-AU"/>
        </w:rPr>
        <w:t xml:space="preserve">medical paternalism in </w:t>
      </w:r>
      <w:r w:rsidR="00A206CB">
        <w:rPr>
          <w:lang w:val="en-AU"/>
        </w:rPr>
        <w:t>not necessarily tell</w:t>
      </w:r>
      <w:r w:rsidR="0089253F">
        <w:rPr>
          <w:lang w:val="en-AU"/>
        </w:rPr>
        <w:t xml:space="preserve">ing </w:t>
      </w:r>
      <w:r w:rsidR="00A206CB">
        <w:rPr>
          <w:lang w:val="en-AU"/>
        </w:rPr>
        <w:t>patients they are trying a new approach because ‘</w:t>
      </w:r>
      <w:r w:rsidR="00A206CB" w:rsidRPr="00C82A00">
        <w:rPr>
          <w:lang w:val="en-AU"/>
        </w:rPr>
        <w:t>patients may fail to recognise the</w:t>
      </w:r>
      <w:r w:rsidR="00A206CB">
        <w:rPr>
          <w:lang w:val="en-AU"/>
        </w:rPr>
        <w:t xml:space="preserve"> </w:t>
      </w:r>
      <w:r w:rsidR="00A206CB" w:rsidRPr="00C82A00">
        <w:rPr>
          <w:lang w:val="en-AU"/>
        </w:rPr>
        <w:t>significance of details that are disclosed because they represent an innovation</w:t>
      </w:r>
      <w:r w:rsidR="00A206CB">
        <w:rPr>
          <w:lang w:val="en-AU"/>
        </w:rPr>
        <w:t>’.</w:t>
      </w:r>
      <w:r w:rsidR="00A206CB" w:rsidRPr="00C82A00">
        <w:rPr>
          <w:vertAlign w:val="superscript"/>
          <w:lang w:val="en-AU"/>
        </w:rPr>
        <w:footnoteReference w:id="96"/>
      </w:r>
      <w:r w:rsidR="0089253F">
        <w:rPr>
          <w:lang w:val="en-AU"/>
        </w:rPr>
        <w:t xml:space="preserve"> </w:t>
      </w:r>
      <w:r w:rsidR="00541640">
        <w:rPr>
          <w:lang w:val="en-AU"/>
        </w:rPr>
        <w:t xml:space="preserve">The </w:t>
      </w:r>
      <w:r w:rsidR="00A206CB">
        <w:rPr>
          <w:lang w:val="en-AU"/>
        </w:rPr>
        <w:t>doctors</w:t>
      </w:r>
      <w:r w:rsidR="00487351">
        <w:rPr>
          <w:lang w:val="en-AU"/>
        </w:rPr>
        <w:t>’ view</w:t>
      </w:r>
      <w:r w:rsidR="00A206CB">
        <w:rPr>
          <w:lang w:val="en-AU"/>
        </w:rPr>
        <w:t xml:space="preserve"> in </w:t>
      </w:r>
      <w:r w:rsidR="00541640">
        <w:rPr>
          <w:lang w:val="en-AU"/>
        </w:rPr>
        <w:t>the</w:t>
      </w:r>
      <w:r w:rsidR="00A206CB">
        <w:rPr>
          <w:lang w:val="en-AU"/>
        </w:rPr>
        <w:t>se studies</w:t>
      </w:r>
      <w:r w:rsidR="00541640">
        <w:rPr>
          <w:lang w:val="en-AU"/>
        </w:rPr>
        <w:t xml:space="preserve"> appear to echo earlier arguments advanced by </w:t>
      </w:r>
      <w:proofErr w:type="spellStart"/>
      <w:r w:rsidR="000925AA" w:rsidRPr="000925AA">
        <w:t>Parchomovsky</w:t>
      </w:r>
      <w:proofErr w:type="spellEnd"/>
      <w:r w:rsidR="000925AA" w:rsidRPr="000925AA">
        <w:t xml:space="preserve"> and Stein</w:t>
      </w:r>
      <w:r w:rsidR="00541640">
        <w:t>, who contended</w:t>
      </w:r>
      <w:r w:rsidR="00487351">
        <w:t xml:space="preserve">: </w:t>
      </w:r>
      <w:r w:rsidR="000925AA" w:rsidRPr="000925AA">
        <w:t>‘the need to la</w:t>
      </w:r>
      <w:r w:rsidR="000925AA">
        <w:t>bel the new treatment “experimental”</w:t>
      </w:r>
      <w:r w:rsidR="000925AA" w:rsidRPr="000925AA">
        <w:t xml:space="preserve"> is l</w:t>
      </w:r>
      <w:r w:rsidR="000925AA">
        <w:t>ikely to frighten away some pa</w:t>
      </w:r>
      <w:r w:rsidR="000925AA" w:rsidRPr="000925AA">
        <w:t>tients by undermining their confidence in the treatment’</w:t>
      </w:r>
      <w:r w:rsidR="00D71E5B">
        <w:t>;</w:t>
      </w:r>
      <w:r w:rsidR="00541640">
        <w:t xml:space="preserve"> and doctors ‘should </w:t>
      </w:r>
      <w:r w:rsidR="00541640" w:rsidRPr="000925AA">
        <w:t xml:space="preserve">not be required </w:t>
      </w:r>
      <w:r w:rsidR="00541640">
        <w:t>to indiscriminately attach the “unknown”</w:t>
      </w:r>
      <w:r w:rsidR="00541640" w:rsidRPr="000925AA">
        <w:t xml:space="preserve"> label to all risks and benefits associated with innovative treatmen</w:t>
      </w:r>
      <w:r w:rsidR="00541640">
        <w:t>ts</w:t>
      </w:r>
      <w:r w:rsidR="002E2E36">
        <w:t>’</w:t>
      </w:r>
      <w:r w:rsidR="00541640">
        <w:t>.</w:t>
      </w:r>
      <w:r w:rsidR="00D00E0B">
        <w:rPr>
          <w:rStyle w:val="FootnoteReference"/>
        </w:rPr>
        <w:footnoteReference w:id="97"/>
      </w:r>
      <w:r w:rsidR="000925AA" w:rsidRPr="000925AA">
        <w:t xml:space="preserve"> </w:t>
      </w:r>
      <w:r w:rsidR="003927F1">
        <w:t>But</w:t>
      </w:r>
      <w:r w:rsidR="00980185">
        <w:t xml:space="preserve"> </w:t>
      </w:r>
      <w:r w:rsidR="003927F1">
        <w:t>these view</w:t>
      </w:r>
      <w:r w:rsidR="00361995">
        <w:t>s</w:t>
      </w:r>
      <w:r w:rsidR="003927F1">
        <w:t xml:space="preserve"> are inconsistent with a legal framework emphasising patient self-determination.</w:t>
      </w:r>
      <w:r w:rsidR="00CC3D25">
        <w:rPr>
          <w:rStyle w:val="FootnoteReference"/>
        </w:rPr>
        <w:footnoteReference w:id="98"/>
      </w:r>
      <w:r w:rsidR="003927F1">
        <w:t xml:space="preserve">  </w:t>
      </w:r>
      <w:r w:rsidR="003927F1" w:rsidRPr="003927F1">
        <w:rPr>
          <w:i/>
        </w:rPr>
        <w:t>Montgomery</w:t>
      </w:r>
      <w:r w:rsidR="003927F1">
        <w:t xml:space="preserve"> </w:t>
      </w:r>
      <w:r w:rsidR="005D29FB">
        <w:t>makes it</w:t>
      </w:r>
      <w:r w:rsidR="003927F1">
        <w:t xml:space="preserve"> clear </w:t>
      </w:r>
      <w:r w:rsidR="00A67F89">
        <w:t xml:space="preserve">that </w:t>
      </w:r>
      <w:r w:rsidR="003927F1">
        <w:t>withholding relevant information to influence patient decision-making is not acceptable</w:t>
      </w:r>
      <w:r w:rsidR="005D29FB">
        <w:t>,</w:t>
      </w:r>
      <w:r w:rsidR="003927F1">
        <w:rPr>
          <w:rStyle w:val="FootnoteReference"/>
        </w:rPr>
        <w:footnoteReference w:id="99"/>
      </w:r>
      <w:r w:rsidR="003927F1">
        <w:t xml:space="preserve"> </w:t>
      </w:r>
      <w:r w:rsidR="005E4273">
        <w:t xml:space="preserve">thus it is not </w:t>
      </w:r>
      <w:r w:rsidR="005D29FB" w:rsidRPr="000925AA">
        <w:t>legitima</w:t>
      </w:r>
      <w:r w:rsidR="005D29FB">
        <w:t>te to hide relevant information –</w:t>
      </w:r>
      <w:r w:rsidR="005D29FB" w:rsidRPr="000925AA">
        <w:t xml:space="preserve"> t</w:t>
      </w:r>
      <w:r w:rsidR="005D29FB">
        <w:t xml:space="preserve">hat the treatment is </w:t>
      </w:r>
      <w:r w:rsidR="005D29FB">
        <w:lastRenderedPageBreak/>
        <w:t xml:space="preserve">innovative – </w:t>
      </w:r>
      <w:r w:rsidR="005D29FB" w:rsidRPr="000925AA">
        <w:t>to increase patients</w:t>
      </w:r>
      <w:r w:rsidR="002E2E36">
        <w:t>’</w:t>
      </w:r>
      <w:r w:rsidR="005D29FB" w:rsidRPr="000925AA">
        <w:t xml:space="preserve"> participation</w:t>
      </w:r>
      <w:r w:rsidR="005D29FB">
        <w:t xml:space="preserve">.  </w:t>
      </w:r>
      <w:r w:rsidR="0057683D">
        <w:t>Patients are not to be treated as ‘placing themselves in the hands of doctors</w:t>
      </w:r>
      <w:r w:rsidR="00451685">
        <w:t>’</w:t>
      </w:r>
      <w:r w:rsidR="0057683D">
        <w:t xml:space="preserve"> but ‘</w:t>
      </w:r>
      <w:r w:rsidR="0057683D" w:rsidRPr="0057683D">
        <w:t>as adults who are capable of understanding</w:t>
      </w:r>
      <w:r w:rsidR="0057683D">
        <w:t>’.</w:t>
      </w:r>
      <w:r w:rsidR="0057683D">
        <w:rPr>
          <w:rStyle w:val="FootnoteReference"/>
        </w:rPr>
        <w:footnoteReference w:id="100"/>
      </w:r>
      <w:r w:rsidR="0057683D">
        <w:t xml:space="preserve"> </w:t>
      </w:r>
      <w:r w:rsidR="00C82A00" w:rsidRPr="00C82A00">
        <w:rPr>
          <w:lang w:val="en-AU"/>
        </w:rPr>
        <w:t xml:space="preserve">The Society of University Surgeons guidelines on </w:t>
      </w:r>
      <w:r>
        <w:rPr>
          <w:lang w:val="en-AU"/>
        </w:rPr>
        <w:t>develop</w:t>
      </w:r>
      <w:r w:rsidR="00ED1B62">
        <w:rPr>
          <w:lang w:val="en-AU"/>
        </w:rPr>
        <w:t>ing</w:t>
      </w:r>
      <w:r w:rsidR="00B305E6">
        <w:rPr>
          <w:lang w:val="en-AU"/>
        </w:rPr>
        <w:t xml:space="preserve"> </w:t>
      </w:r>
      <w:r>
        <w:rPr>
          <w:lang w:val="en-AU"/>
        </w:rPr>
        <w:t>and introduc</w:t>
      </w:r>
      <w:r w:rsidR="00ED1B62">
        <w:rPr>
          <w:lang w:val="en-AU"/>
        </w:rPr>
        <w:t>ing</w:t>
      </w:r>
      <w:r>
        <w:rPr>
          <w:lang w:val="en-AU"/>
        </w:rPr>
        <w:t xml:space="preserve"> medical </w:t>
      </w:r>
      <w:r w:rsidR="00C82A00" w:rsidRPr="00C82A00">
        <w:rPr>
          <w:lang w:val="en-AU"/>
        </w:rPr>
        <w:t>innovations into practice</w:t>
      </w:r>
      <w:r>
        <w:rPr>
          <w:lang w:val="en-AU"/>
        </w:rPr>
        <w:t xml:space="preserve"> explain consent ‘</w:t>
      </w:r>
      <w:r w:rsidR="00C82A00" w:rsidRPr="00C82A00">
        <w:rPr>
          <w:lang w:val="en-AU"/>
        </w:rPr>
        <w:t>should include discussion of the inn</w:t>
      </w:r>
      <w:r>
        <w:rPr>
          <w:lang w:val="en-AU"/>
        </w:rPr>
        <w:t>ovative aspect of the procedure’ and</w:t>
      </w:r>
      <w:r w:rsidR="00ED1B62" w:rsidDel="00ED1B62">
        <w:rPr>
          <w:lang w:val="en-AU"/>
        </w:rPr>
        <w:t xml:space="preserve"> </w:t>
      </w:r>
      <w:r>
        <w:rPr>
          <w:lang w:val="en-AU"/>
        </w:rPr>
        <w:t>‘</w:t>
      </w:r>
      <w:r w:rsidR="00C82A00" w:rsidRPr="00C82A00">
        <w:rPr>
          <w:lang w:val="en-AU"/>
        </w:rPr>
        <w:t>its novelty should be described to the patient as an integral part o</w:t>
      </w:r>
      <w:r>
        <w:rPr>
          <w:lang w:val="en-AU"/>
        </w:rPr>
        <w:t>f the informed consent process.’</w:t>
      </w:r>
      <w:r>
        <w:rPr>
          <w:rStyle w:val="FootnoteReference"/>
          <w:lang w:val="en-AU"/>
        </w:rPr>
        <w:footnoteReference w:id="101"/>
      </w:r>
      <w:r>
        <w:rPr>
          <w:lang w:val="en-AU"/>
        </w:rPr>
        <w:t xml:space="preserve"> </w:t>
      </w:r>
    </w:p>
    <w:p w14:paraId="6979D413" w14:textId="77777777" w:rsidR="00DB6B66" w:rsidRDefault="00DB6B66" w:rsidP="00C82A00">
      <w:pPr>
        <w:spacing w:line="276" w:lineRule="auto"/>
        <w:jc w:val="both"/>
        <w:rPr>
          <w:lang w:val="en-AU"/>
        </w:rPr>
      </w:pPr>
    </w:p>
    <w:p w14:paraId="3A84B766" w14:textId="2FA68F63" w:rsidR="00C82A00" w:rsidRPr="00C82A00" w:rsidRDefault="00C70110">
      <w:pPr>
        <w:spacing w:line="276" w:lineRule="auto"/>
        <w:jc w:val="both"/>
        <w:rPr>
          <w:lang w:val="en-AU"/>
        </w:rPr>
      </w:pPr>
      <w:r>
        <w:rPr>
          <w:lang w:val="en-AU"/>
        </w:rPr>
        <w:t xml:space="preserve">In </w:t>
      </w:r>
      <w:r w:rsidR="00A67F89">
        <w:rPr>
          <w:lang w:val="en-AU"/>
        </w:rPr>
        <w:t xml:space="preserve">an Australian disciplinary case, </w:t>
      </w:r>
      <w:r w:rsidR="00C82A00" w:rsidRPr="00C82A00">
        <w:rPr>
          <w:i/>
          <w:lang w:val="en-AU"/>
        </w:rPr>
        <w:t xml:space="preserve">Health Care Complaints Commission v </w:t>
      </w:r>
      <w:proofErr w:type="spellStart"/>
      <w:r w:rsidR="00FB3A08" w:rsidRPr="00C82A00">
        <w:rPr>
          <w:i/>
          <w:lang w:val="en-AU"/>
        </w:rPr>
        <w:t>Bours</w:t>
      </w:r>
      <w:proofErr w:type="spellEnd"/>
      <w:r w:rsidR="00FB3A08" w:rsidRPr="00C82A00">
        <w:rPr>
          <w:lang w:val="en-AU"/>
        </w:rPr>
        <w:t xml:space="preserve"> </w:t>
      </w:r>
      <w:r w:rsidR="00C82A00" w:rsidRPr="00C82A00">
        <w:rPr>
          <w:lang w:val="en-AU"/>
        </w:rPr>
        <w:t xml:space="preserve"> </w:t>
      </w:r>
      <w:r w:rsidR="00C82A00" w:rsidRPr="00BC479F">
        <w:rPr>
          <w:i/>
          <w:lang w:val="en-AU"/>
        </w:rPr>
        <w:t>(No 1)</w:t>
      </w:r>
      <w:r>
        <w:rPr>
          <w:lang w:val="en-AU"/>
        </w:rPr>
        <w:t>,</w:t>
      </w:r>
      <w:r w:rsidR="00C82A00" w:rsidRPr="00C82A00">
        <w:rPr>
          <w:lang w:val="en-AU"/>
        </w:rPr>
        <w:t xml:space="preserve"> </w:t>
      </w:r>
      <w:r>
        <w:rPr>
          <w:lang w:val="en-AU"/>
        </w:rPr>
        <w:t xml:space="preserve">a patient complained that consent was inadequately obtained </w:t>
      </w:r>
      <w:r w:rsidR="00C82A00" w:rsidRPr="00C82A00">
        <w:rPr>
          <w:lang w:val="en-AU"/>
        </w:rPr>
        <w:t>for minimally invasive techniques, considered ‘controversial’ by other pod</w:t>
      </w:r>
      <w:r>
        <w:rPr>
          <w:lang w:val="en-AU"/>
        </w:rPr>
        <w:t>iatric and orthopaedic surgeons.</w:t>
      </w:r>
      <w:r w:rsidR="00C646D0" w:rsidRPr="00C646D0">
        <w:rPr>
          <w:rStyle w:val="FootnoteReference"/>
          <w:lang w:val="en-AU"/>
        </w:rPr>
        <w:t xml:space="preserve"> </w:t>
      </w:r>
      <w:r w:rsidR="00C646D0">
        <w:rPr>
          <w:rStyle w:val="FootnoteReference"/>
          <w:lang w:val="en-AU"/>
        </w:rPr>
        <w:footnoteReference w:id="102"/>
      </w:r>
      <w:r>
        <w:rPr>
          <w:lang w:val="en-AU"/>
        </w:rPr>
        <w:t xml:space="preserve"> </w:t>
      </w:r>
      <w:r w:rsidR="00C82A00" w:rsidRPr="00C82A00">
        <w:rPr>
          <w:lang w:val="en-AU"/>
        </w:rPr>
        <w:t>The complaint was not proven as the patient knew the proposed procedure was ‘not mainstream</w:t>
      </w:r>
      <w:r w:rsidR="0051262A">
        <w:rPr>
          <w:lang w:val="en-AU"/>
        </w:rPr>
        <w:t>.</w:t>
      </w:r>
      <w:r w:rsidR="00C82A00" w:rsidRPr="00C82A00">
        <w:rPr>
          <w:lang w:val="en-AU"/>
        </w:rPr>
        <w:t>’</w:t>
      </w:r>
      <w:r w:rsidR="0051262A">
        <w:rPr>
          <w:rStyle w:val="FootnoteReference"/>
          <w:lang w:val="en-AU"/>
        </w:rPr>
        <w:footnoteReference w:id="103"/>
      </w:r>
      <w:r w:rsidR="00CD201C">
        <w:rPr>
          <w:lang w:val="en-AU"/>
        </w:rPr>
        <w:t xml:space="preserve"> T</w:t>
      </w:r>
      <w:r w:rsidR="00C82A00" w:rsidRPr="00C82A00">
        <w:rPr>
          <w:lang w:val="en-AU"/>
        </w:rPr>
        <w:t xml:space="preserve">he Tribunal commented: </w:t>
      </w:r>
    </w:p>
    <w:p w14:paraId="73AB836C" w14:textId="77777777" w:rsidR="00C70110" w:rsidRDefault="00C70110" w:rsidP="00C82A00">
      <w:pPr>
        <w:spacing w:line="276" w:lineRule="auto"/>
        <w:jc w:val="both"/>
        <w:rPr>
          <w:lang w:val="en-AU"/>
        </w:rPr>
      </w:pPr>
    </w:p>
    <w:p w14:paraId="067BFA04" w14:textId="4E304AEE" w:rsidR="00C82A00" w:rsidRPr="00583D26" w:rsidRDefault="00C82A00" w:rsidP="00583D26">
      <w:pPr>
        <w:spacing w:line="276" w:lineRule="auto"/>
        <w:ind w:left="720"/>
        <w:jc w:val="both"/>
        <w:rPr>
          <w:lang w:val="en-AU"/>
        </w:rPr>
      </w:pPr>
      <w:r w:rsidRPr="00C82A00">
        <w:rPr>
          <w:lang w:val="en-AU"/>
        </w:rPr>
        <w:t>there is a range of opinion about whether MIS is controversial, novel, experimental, evolutionary or topical. Whether that of itself leads to a conclusion that the technique is controversial is a reasonable question to ask.</w:t>
      </w:r>
      <w:r w:rsidRPr="00C82A00">
        <w:rPr>
          <w:vertAlign w:val="superscript"/>
          <w:lang w:val="en-AU"/>
        </w:rPr>
        <w:footnoteReference w:id="104"/>
      </w:r>
      <w:r w:rsidRPr="00C82A00">
        <w:rPr>
          <w:lang w:val="en-AU"/>
        </w:rPr>
        <w:t xml:space="preserve"> </w:t>
      </w:r>
    </w:p>
    <w:p w14:paraId="0E6FB40A" w14:textId="77777777" w:rsidR="00C82A00" w:rsidRDefault="00C82A00" w:rsidP="00132F77">
      <w:pPr>
        <w:spacing w:line="276" w:lineRule="auto"/>
        <w:jc w:val="both"/>
        <w:rPr>
          <w:lang w:val="en-GB"/>
        </w:rPr>
      </w:pPr>
    </w:p>
    <w:p w14:paraId="61397602" w14:textId="60CFCA7A" w:rsidR="00132F77" w:rsidRPr="000C3335" w:rsidRDefault="00DB6B66" w:rsidP="00132F77">
      <w:pPr>
        <w:spacing w:line="276" w:lineRule="auto"/>
        <w:jc w:val="both"/>
        <w:rPr>
          <w:rFonts w:eastAsia="Times New Roman"/>
          <w:lang w:val="en-GB" w:eastAsia="en-AU"/>
        </w:rPr>
      </w:pPr>
      <w:r>
        <w:rPr>
          <w:lang w:val="en-GB"/>
        </w:rPr>
        <w:t>As with established treatments, t</w:t>
      </w:r>
      <w:r w:rsidRPr="00657FC0">
        <w:rPr>
          <w:lang w:val="en-GB"/>
        </w:rPr>
        <w:t xml:space="preserve">he nature of risk </w:t>
      </w:r>
      <w:r>
        <w:rPr>
          <w:lang w:val="en-GB"/>
        </w:rPr>
        <w:t xml:space="preserve">in innovative treatment </w:t>
      </w:r>
      <w:r w:rsidR="00D05787">
        <w:rPr>
          <w:lang w:val="en-GB"/>
        </w:rPr>
        <w:t>may</w:t>
      </w:r>
      <w:r w:rsidRPr="00657FC0">
        <w:rPr>
          <w:lang w:val="en-GB"/>
        </w:rPr>
        <w:t xml:space="preserve"> be fatal</w:t>
      </w:r>
      <w:r w:rsidR="005E4273">
        <w:rPr>
          <w:lang w:val="en-GB"/>
        </w:rPr>
        <w:t>,</w:t>
      </w:r>
      <w:r w:rsidR="00451685">
        <w:rPr>
          <w:rStyle w:val="FootnoteReference"/>
          <w:lang w:val="en-GB"/>
        </w:rPr>
        <w:footnoteReference w:id="105"/>
      </w:r>
      <w:r w:rsidRPr="00657FC0">
        <w:rPr>
          <w:lang w:val="en-GB"/>
        </w:rPr>
        <w:t xml:space="preserve"> non-fatal or profoundly disabling</w:t>
      </w:r>
      <w:r w:rsidR="00D05787">
        <w:rPr>
          <w:lang w:val="en-GB"/>
        </w:rPr>
        <w:t>.</w:t>
      </w:r>
      <w:r w:rsidR="00451685">
        <w:rPr>
          <w:rStyle w:val="FootnoteReference"/>
          <w:lang w:val="en-GB"/>
        </w:rPr>
        <w:footnoteReference w:id="106"/>
      </w:r>
      <w:r w:rsidRPr="00657FC0">
        <w:rPr>
          <w:lang w:val="en-GB"/>
        </w:rPr>
        <w:t xml:space="preserve"> </w:t>
      </w:r>
      <w:r w:rsidR="00ED2619">
        <w:rPr>
          <w:lang w:val="en-GB"/>
        </w:rPr>
        <w:t xml:space="preserve">However, </w:t>
      </w:r>
      <w:r w:rsidR="00D05787">
        <w:rPr>
          <w:lang w:val="en-GB"/>
        </w:rPr>
        <w:t xml:space="preserve">for innovative </w:t>
      </w:r>
      <w:r w:rsidR="00C70110">
        <w:rPr>
          <w:lang w:val="en-GB"/>
        </w:rPr>
        <w:t>treatment</w:t>
      </w:r>
      <w:r w:rsidR="00412ECD">
        <w:rPr>
          <w:lang w:val="en-GB"/>
        </w:rPr>
        <w:t>,</w:t>
      </w:r>
      <w:r w:rsidR="00D05787">
        <w:rPr>
          <w:lang w:val="en-GB"/>
        </w:rPr>
        <w:t xml:space="preserve"> </w:t>
      </w:r>
      <w:r w:rsidR="00C70110">
        <w:rPr>
          <w:lang w:val="en-GB"/>
        </w:rPr>
        <w:t xml:space="preserve">risk </w:t>
      </w:r>
      <w:r w:rsidR="00132F77" w:rsidRPr="00583D26">
        <w:rPr>
          <w:lang w:val="en-GB"/>
        </w:rPr>
        <w:t>may not be defined</w:t>
      </w:r>
      <w:r w:rsidR="00A517D0">
        <w:rPr>
          <w:lang w:val="en-GB"/>
        </w:rPr>
        <w:t xml:space="preserve"> </w:t>
      </w:r>
      <w:r w:rsidR="00D05787">
        <w:rPr>
          <w:lang w:val="en-GB"/>
        </w:rPr>
        <w:t>– the incidence of some risks may be unknown, and some risks may be unknown altogether</w:t>
      </w:r>
      <w:r w:rsidR="00D05787" w:rsidRPr="00A81E32">
        <w:rPr>
          <w:lang w:val="en-GB"/>
        </w:rPr>
        <w:t>.</w:t>
      </w:r>
      <w:r w:rsidR="00132F77" w:rsidRPr="00583D26">
        <w:rPr>
          <w:lang w:val="en-GB"/>
        </w:rPr>
        <w:t xml:space="preserve"> While </w:t>
      </w:r>
      <w:r w:rsidR="002F13CB">
        <w:rPr>
          <w:lang w:val="en-GB"/>
        </w:rPr>
        <w:t xml:space="preserve">by definition it is </w:t>
      </w:r>
      <w:r w:rsidR="00D308F0">
        <w:rPr>
          <w:lang w:val="en-GB"/>
        </w:rPr>
        <w:t xml:space="preserve">impossible to quantify </w:t>
      </w:r>
      <w:r w:rsidR="00132F77" w:rsidRPr="00583D26">
        <w:rPr>
          <w:lang w:val="en-GB"/>
        </w:rPr>
        <w:t xml:space="preserve">unknowns </w:t>
      </w:r>
      <w:r w:rsidR="00D308F0">
        <w:rPr>
          <w:lang w:val="en-GB"/>
        </w:rPr>
        <w:t xml:space="preserve">as statistical risks, </w:t>
      </w:r>
      <w:r w:rsidR="002F13CB">
        <w:rPr>
          <w:lang w:val="en-GB"/>
        </w:rPr>
        <w:t xml:space="preserve">ensuring the patient realises </w:t>
      </w:r>
      <w:r w:rsidR="007C7D40">
        <w:rPr>
          <w:lang w:val="en-GB"/>
        </w:rPr>
        <w:t xml:space="preserve">that </w:t>
      </w:r>
      <w:r w:rsidR="00422F8B">
        <w:rPr>
          <w:lang w:val="en-GB"/>
        </w:rPr>
        <w:t>s/he is</w:t>
      </w:r>
      <w:r w:rsidR="00132F77" w:rsidRPr="00A81E32">
        <w:rPr>
          <w:lang w:val="en-GB"/>
        </w:rPr>
        <w:t xml:space="preserve"> effectively rolling the dice by undergoing innovative treatment is an important aspect of obtaining consent</w:t>
      </w:r>
      <w:r w:rsidR="005E4273">
        <w:rPr>
          <w:lang w:val="en-GB"/>
        </w:rPr>
        <w:t>.</w:t>
      </w:r>
      <w:r w:rsidR="00132F77" w:rsidRPr="00A81E32">
        <w:rPr>
          <w:lang w:val="en-GB"/>
        </w:rPr>
        <w:t xml:space="preserve"> In Layla</w:t>
      </w:r>
      <w:r w:rsidR="00CD201C">
        <w:rPr>
          <w:lang w:val="en-GB"/>
        </w:rPr>
        <w:t>’s case</w:t>
      </w:r>
      <w:r w:rsidR="000E23C3">
        <w:rPr>
          <w:lang w:val="en-GB"/>
        </w:rPr>
        <w:t xml:space="preserve"> </w:t>
      </w:r>
      <w:r w:rsidR="00132F77" w:rsidRPr="00CD201C">
        <w:rPr>
          <w:lang w:val="en-GB"/>
        </w:rPr>
        <w:t xml:space="preserve">the unknowns inherent in the treatment </w:t>
      </w:r>
      <w:r w:rsidR="00FF7BE3">
        <w:rPr>
          <w:lang w:val="en-GB"/>
        </w:rPr>
        <w:t>we</w:t>
      </w:r>
      <w:r w:rsidR="00412ECD">
        <w:rPr>
          <w:lang w:val="en-GB"/>
        </w:rPr>
        <w:t xml:space="preserve">re </w:t>
      </w:r>
      <w:r w:rsidR="00132F77" w:rsidRPr="00CD201C">
        <w:rPr>
          <w:lang w:val="en-GB"/>
        </w:rPr>
        <w:t xml:space="preserve">encapsulated by her father, who said ‘it was scary to think the treatment had </w:t>
      </w:r>
      <w:r w:rsidR="00132F77" w:rsidRPr="00CD201C">
        <w:rPr>
          <w:bCs/>
          <w:lang w:val="en-GB"/>
        </w:rPr>
        <w:t>never been used in a human before’</w:t>
      </w:r>
      <w:r w:rsidR="00132F77" w:rsidRPr="00CD201C">
        <w:rPr>
          <w:lang w:val="en-GB"/>
        </w:rPr>
        <w:t>.</w:t>
      </w:r>
      <w:r w:rsidR="00132F77" w:rsidRPr="00CD201C">
        <w:rPr>
          <w:rStyle w:val="FootnoteReference"/>
          <w:lang w:val="en-GB"/>
        </w:rPr>
        <w:footnoteReference w:id="107"/>
      </w:r>
      <w:r w:rsidR="00132F77" w:rsidRPr="00CD201C">
        <w:rPr>
          <w:lang w:val="en-GB"/>
        </w:rPr>
        <w:t xml:space="preserve"> </w:t>
      </w:r>
      <w:r w:rsidR="00D664FD">
        <w:rPr>
          <w:lang w:val="en-GB"/>
        </w:rPr>
        <w:t>Here c</w:t>
      </w:r>
      <w:r w:rsidR="00D664FD" w:rsidRPr="00CD201C">
        <w:rPr>
          <w:lang w:val="en-GB"/>
        </w:rPr>
        <w:t xml:space="preserve">onsent </w:t>
      </w:r>
      <w:r w:rsidR="00D664FD">
        <w:rPr>
          <w:lang w:val="en-GB"/>
        </w:rPr>
        <w:t xml:space="preserve">may </w:t>
      </w:r>
      <w:r w:rsidR="00D664FD" w:rsidRPr="00CD201C">
        <w:rPr>
          <w:lang w:val="en-GB"/>
        </w:rPr>
        <w:t xml:space="preserve">have been negligent if the </w:t>
      </w:r>
      <w:r w:rsidR="00D664FD">
        <w:rPr>
          <w:lang w:val="en-GB"/>
        </w:rPr>
        <w:t xml:space="preserve">treatment’s </w:t>
      </w:r>
      <w:r w:rsidR="00D664FD" w:rsidRPr="00CD201C">
        <w:rPr>
          <w:lang w:val="en-GB"/>
        </w:rPr>
        <w:t>innovative nature, and possibil</w:t>
      </w:r>
      <w:r w:rsidR="00D664FD">
        <w:rPr>
          <w:lang w:val="en-GB"/>
        </w:rPr>
        <w:t xml:space="preserve">ity </w:t>
      </w:r>
      <w:r w:rsidR="00D664FD" w:rsidRPr="00CD201C">
        <w:rPr>
          <w:lang w:val="en-GB"/>
        </w:rPr>
        <w:t xml:space="preserve">of unknown risks, </w:t>
      </w:r>
      <w:r w:rsidR="00D664FD">
        <w:rPr>
          <w:lang w:val="en-GB"/>
        </w:rPr>
        <w:t>w</w:t>
      </w:r>
      <w:r w:rsidR="00D05787">
        <w:rPr>
          <w:lang w:val="en-GB"/>
        </w:rPr>
        <w:t>as</w:t>
      </w:r>
      <w:r w:rsidR="00D664FD" w:rsidRPr="00CD201C">
        <w:rPr>
          <w:lang w:val="en-GB"/>
        </w:rPr>
        <w:t xml:space="preserve"> not disclosed.</w:t>
      </w:r>
      <w:r w:rsidR="00D664FD">
        <w:rPr>
          <w:lang w:val="en-GB"/>
        </w:rPr>
        <w:t xml:space="preserve"> D</w:t>
      </w:r>
      <w:proofErr w:type="spellStart"/>
      <w:r w:rsidR="00D664FD">
        <w:t>octors</w:t>
      </w:r>
      <w:proofErr w:type="spellEnd"/>
      <w:r w:rsidR="00D664FD">
        <w:t xml:space="preserve"> are </w:t>
      </w:r>
      <w:r w:rsidR="00D664FD" w:rsidRPr="00013335">
        <w:t xml:space="preserve">required to warn of </w:t>
      </w:r>
      <w:r w:rsidR="00D664FD" w:rsidRPr="00013335">
        <w:lastRenderedPageBreak/>
        <w:t>risk</w:t>
      </w:r>
      <w:r w:rsidR="00D664FD">
        <w:t>s</w:t>
      </w:r>
      <w:r w:rsidR="00D664FD" w:rsidRPr="00013335">
        <w:t xml:space="preserve"> </w:t>
      </w:r>
      <w:r w:rsidR="00D664FD">
        <w:t xml:space="preserve">of which they are </w:t>
      </w:r>
      <w:r w:rsidR="00D664FD" w:rsidRPr="00013335">
        <w:t>reasonably aware</w:t>
      </w:r>
      <w:r w:rsidR="00D664FD">
        <w:t>,</w:t>
      </w:r>
      <w:r w:rsidR="00D664FD">
        <w:rPr>
          <w:rStyle w:val="FootnoteReference"/>
        </w:rPr>
        <w:footnoteReference w:id="108"/>
      </w:r>
      <w:r w:rsidR="00D664FD" w:rsidRPr="00C82A00">
        <w:rPr>
          <w:lang w:val="en-AU"/>
        </w:rPr>
        <w:t xml:space="preserve"> </w:t>
      </w:r>
      <w:r w:rsidR="00D664FD">
        <w:rPr>
          <w:lang w:val="en-AU"/>
        </w:rPr>
        <w:t>and</w:t>
      </w:r>
      <w:r w:rsidR="00D05787">
        <w:rPr>
          <w:lang w:val="en-AU"/>
        </w:rPr>
        <w:t xml:space="preserve"> because </w:t>
      </w:r>
      <w:r w:rsidR="00D664FD">
        <w:rPr>
          <w:lang w:val="en-AU"/>
        </w:rPr>
        <w:t>‘</w:t>
      </w:r>
      <w:r w:rsidR="00D664FD" w:rsidRPr="000925AA">
        <w:t>the benefits and risks from innovative therapies are largely unknown</w:t>
      </w:r>
      <w:r w:rsidR="005E4273">
        <w:t>’,</w:t>
      </w:r>
      <w:r w:rsidR="00D664FD">
        <w:rPr>
          <w:rStyle w:val="FootnoteReference"/>
        </w:rPr>
        <w:footnoteReference w:id="109"/>
      </w:r>
      <w:r w:rsidR="00D664FD">
        <w:rPr>
          <w:lang w:val="en-AU"/>
        </w:rPr>
        <w:t xml:space="preserve"> these unknowns are ‘</w:t>
      </w:r>
      <w:r w:rsidR="00D664FD" w:rsidRPr="000925AA">
        <w:t>a relevant fact that should be brought to the patient’s attention.</w:t>
      </w:r>
      <w:r w:rsidR="00D664FD">
        <w:t>’</w:t>
      </w:r>
      <w:r w:rsidR="00D664FD">
        <w:rPr>
          <w:rStyle w:val="FootnoteReference"/>
        </w:rPr>
        <w:footnoteReference w:id="110"/>
      </w:r>
      <w:r w:rsidR="00D664FD">
        <w:t xml:space="preserve"> </w:t>
      </w:r>
      <w:r w:rsidR="00162CFB">
        <w:rPr>
          <w:lang w:val="en-GB"/>
        </w:rPr>
        <w:t>C</w:t>
      </w:r>
      <w:r w:rsidR="00132F77" w:rsidRPr="00CD201C">
        <w:rPr>
          <w:lang w:val="en-GB"/>
        </w:rPr>
        <w:t xml:space="preserve">ourts </w:t>
      </w:r>
      <w:r w:rsidR="002413FB">
        <w:rPr>
          <w:lang w:val="en-GB"/>
        </w:rPr>
        <w:t xml:space="preserve">in other jurisdictions </w:t>
      </w:r>
      <w:r w:rsidR="00132F77" w:rsidRPr="00CD201C">
        <w:rPr>
          <w:lang w:val="en-GB"/>
        </w:rPr>
        <w:t>have grappl</w:t>
      </w:r>
      <w:r w:rsidR="005B1806">
        <w:rPr>
          <w:lang w:val="en-GB"/>
        </w:rPr>
        <w:t xml:space="preserve">ed </w:t>
      </w:r>
      <w:r w:rsidR="00132F77" w:rsidRPr="00CD201C">
        <w:rPr>
          <w:lang w:val="en-GB"/>
        </w:rPr>
        <w:t xml:space="preserve">with </w:t>
      </w:r>
      <w:r w:rsidR="00A517D0">
        <w:rPr>
          <w:lang w:val="en-GB"/>
        </w:rPr>
        <w:t xml:space="preserve">disclosure of </w:t>
      </w:r>
      <w:r w:rsidR="00412ECD" w:rsidRPr="00CD201C">
        <w:rPr>
          <w:lang w:val="en-GB"/>
        </w:rPr>
        <w:t xml:space="preserve">unknowns inherent in innovation </w:t>
      </w:r>
      <w:r w:rsidR="00132F77" w:rsidRPr="00CD201C">
        <w:rPr>
          <w:lang w:val="en-GB"/>
        </w:rPr>
        <w:t xml:space="preserve">for </w:t>
      </w:r>
      <w:r w:rsidR="00B305E6">
        <w:rPr>
          <w:lang w:val="en-GB"/>
        </w:rPr>
        <w:t xml:space="preserve">some </w:t>
      </w:r>
      <w:r w:rsidR="00132F77" w:rsidRPr="000C3335">
        <w:rPr>
          <w:lang w:val="en-GB"/>
        </w:rPr>
        <w:t>time</w:t>
      </w:r>
      <w:r w:rsidR="00162CFB">
        <w:rPr>
          <w:lang w:val="en-GB"/>
        </w:rPr>
        <w:t>, with inconsistent conclusions</w:t>
      </w:r>
      <w:r w:rsidR="00132F77" w:rsidRPr="000C3335">
        <w:rPr>
          <w:lang w:val="en-GB"/>
        </w:rPr>
        <w:t>.</w:t>
      </w:r>
      <w:r w:rsidR="0040022A">
        <w:rPr>
          <w:rStyle w:val="FootnoteReference"/>
          <w:lang w:val="en-GB"/>
        </w:rPr>
        <w:footnoteReference w:id="111"/>
      </w:r>
      <w:r w:rsidR="00132F77" w:rsidRPr="000C3335">
        <w:rPr>
          <w:lang w:val="en-GB"/>
        </w:rPr>
        <w:t xml:space="preserve">  </w:t>
      </w:r>
    </w:p>
    <w:p w14:paraId="535BC16E" w14:textId="37ABE3FF" w:rsidR="0056105E" w:rsidRPr="000C3335" w:rsidRDefault="0056105E" w:rsidP="0056105E">
      <w:pPr>
        <w:spacing w:before="100" w:beforeAutospacing="1" w:after="100" w:afterAutospacing="1" w:line="276" w:lineRule="auto"/>
        <w:jc w:val="both"/>
        <w:rPr>
          <w:lang w:val="en-GB"/>
        </w:rPr>
      </w:pPr>
      <w:r w:rsidRPr="000C3335">
        <w:rPr>
          <w:rFonts w:eastAsia="Times New Roman"/>
          <w:bCs/>
          <w:lang w:val="en-GB" w:eastAsia="en-AU"/>
        </w:rPr>
        <w:t xml:space="preserve">Exploring the relevance of unknown risks </w:t>
      </w:r>
      <w:r w:rsidR="00DB6B66">
        <w:rPr>
          <w:rFonts w:eastAsia="Times New Roman"/>
          <w:bCs/>
          <w:lang w:val="en-GB" w:eastAsia="en-AU"/>
        </w:rPr>
        <w:t xml:space="preserve">in innovative surgical procedures </w:t>
      </w:r>
      <w:r w:rsidRPr="000C3335">
        <w:rPr>
          <w:rFonts w:eastAsia="Times New Roman"/>
          <w:bCs/>
          <w:lang w:val="en-GB" w:eastAsia="en-AU"/>
        </w:rPr>
        <w:t xml:space="preserve">to patients, a US study found </w:t>
      </w:r>
      <w:r w:rsidRPr="000C3335">
        <w:rPr>
          <w:rFonts w:eastAsia="Times New Roman"/>
          <w:lang w:val="en-GB" w:eastAsia="en-AU"/>
        </w:rPr>
        <w:t>75% of patients</w:t>
      </w:r>
      <w:r w:rsidR="00744C3D">
        <w:rPr>
          <w:rFonts w:eastAsia="Times New Roman"/>
          <w:lang w:val="en-GB" w:eastAsia="en-AU"/>
        </w:rPr>
        <w:t xml:space="preserve"> thought </w:t>
      </w:r>
      <w:r w:rsidRPr="000C3335">
        <w:rPr>
          <w:rFonts w:eastAsia="Times New Roman"/>
          <w:lang w:val="en-GB" w:eastAsia="en-AU"/>
        </w:rPr>
        <w:t xml:space="preserve">it essential to know </w:t>
      </w:r>
      <w:r w:rsidR="00744C3D">
        <w:rPr>
          <w:rFonts w:eastAsia="Times New Roman"/>
          <w:lang w:val="en-GB" w:eastAsia="en-AU"/>
        </w:rPr>
        <w:t>about possible</w:t>
      </w:r>
      <w:r w:rsidRPr="000C3335">
        <w:rPr>
          <w:rFonts w:eastAsia="Times New Roman"/>
          <w:lang w:val="en-GB" w:eastAsia="en-AU"/>
        </w:rPr>
        <w:t xml:space="preserve"> unknown</w:t>
      </w:r>
      <w:r w:rsidR="00744C3D">
        <w:rPr>
          <w:rFonts w:eastAsia="Times New Roman"/>
          <w:lang w:val="en-GB" w:eastAsia="en-AU"/>
        </w:rPr>
        <w:t xml:space="preserve"> risks</w:t>
      </w:r>
      <w:r w:rsidRPr="000C3335">
        <w:rPr>
          <w:rFonts w:eastAsia="Times New Roman"/>
          <w:lang w:val="en-GB" w:eastAsia="en-AU"/>
        </w:rPr>
        <w:t xml:space="preserve"> when considering an innovative robotic procedure, which suggests ‘surgeons should openly address this uncertainty.’</w:t>
      </w:r>
      <w:r w:rsidRPr="000C3335">
        <w:rPr>
          <w:rStyle w:val="FootnoteReference"/>
          <w:rFonts w:eastAsia="Times New Roman"/>
          <w:lang w:val="en-GB" w:eastAsia="en-AU"/>
        </w:rPr>
        <w:footnoteReference w:id="112"/>
      </w:r>
      <w:r w:rsidR="00A517D0">
        <w:rPr>
          <w:rFonts w:eastAsia="Times New Roman"/>
          <w:lang w:val="en-GB" w:eastAsia="en-AU"/>
        </w:rPr>
        <w:t xml:space="preserve"> </w:t>
      </w:r>
      <w:r w:rsidRPr="000C3335">
        <w:rPr>
          <w:rFonts w:eastAsia="Times New Roman"/>
          <w:lang w:val="en-GB" w:eastAsia="en-AU"/>
        </w:rPr>
        <w:t>An Australian study found unknown risks were a source of concern for practitioners, ‘</w:t>
      </w:r>
      <w:r w:rsidRPr="000C3335">
        <w:rPr>
          <w:lang w:val="en-GB"/>
        </w:rPr>
        <w:t>being in tension with health professionals’ (particularly surgeons’) perceived position as authoritative “knowers”.’</w:t>
      </w:r>
      <w:r w:rsidRPr="000C3335">
        <w:rPr>
          <w:rStyle w:val="FootnoteReference"/>
          <w:lang w:val="en-GB"/>
        </w:rPr>
        <w:footnoteReference w:id="113"/>
      </w:r>
      <w:r w:rsidRPr="000C3335">
        <w:rPr>
          <w:lang w:val="en-GB"/>
        </w:rPr>
        <w:t xml:space="preserve">  Participants</w:t>
      </w:r>
      <w:r w:rsidR="005E67B2">
        <w:rPr>
          <w:lang w:val="en-GB"/>
        </w:rPr>
        <w:t>:</w:t>
      </w:r>
      <w:r w:rsidRPr="000C3335">
        <w:rPr>
          <w:lang w:val="en-GB"/>
        </w:rPr>
        <w:t xml:space="preserve"> </w:t>
      </w:r>
    </w:p>
    <w:p w14:paraId="021878A6" w14:textId="388D29D9" w:rsidR="0056105E" w:rsidRPr="000C3335" w:rsidRDefault="0056105E" w:rsidP="0056105E">
      <w:pPr>
        <w:spacing w:before="100" w:beforeAutospacing="1" w:after="100" w:afterAutospacing="1" w:line="276" w:lineRule="auto"/>
        <w:ind w:left="720"/>
        <w:jc w:val="both"/>
        <w:rPr>
          <w:lang w:val="en-GB"/>
        </w:rPr>
      </w:pPr>
      <w:r w:rsidRPr="000C3335">
        <w:rPr>
          <w:lang w:val="en-GB"/>
        </w:rPr>
        <w:t xml:space="preserve">felt that unknown risks could not be addressed in patient information – that it was difficult or </w:t>
      </w:r>
      <w:r w:rsidR="006607D1" w:rsidRPr="000C3335">
        <w:rPr>
          <w:lang w:val="en-GB"/>
        </w:rPr>
        <w:t xml:space="preserve">immoral </w:t>
      </w:r>
      <w:r w:rsidRPr="000C3335">
        <w:rPr>
          <w:lang w:val="en-GB"/>
        </w:rPr>
        <w:t xml:space="preserve">to tell patients that there were unknowns associated with a new procedure because it might lead to fear, or diminished confidence in the surgeon … They also noted that it was impossible to tell patients about risks that might not yet have been discovered or described in the literature: </w:t>
      </w:r>
      <w:r w:rsidR="00D94F00">
        <w:rPr>
          <w:lang w:val="en-GB"/>
        </w:rPr>
        <w:t>‘</w:t>
      </w:r>
      <w:r w:rsidR="00D94F00" w:rsidRPr="000C3335">
        <w:rPr>
          <w:lang w:val="en-GB"/>
        </w:rPr>
        <w:t>[</w:t>
      </w:r>
      <w:r w:rsidRPr="000C3335">
        <w:rPr>
          <w:lang w:val="en-GB"/>
        </w:rPr>
        <w:t>If] I don’t know about it, then I can’t explain it to them</w:t>
      </w:r>
      <w:r w:rsidR="00D94F00">
        <w:rPr>
          <w:lang w:val="en-GB"/>
        </w:rPr>
        <w:t>’</w:t>
      </w:r>
      <w:r w:rsidR="00D94F00" w:rsidRPr="000C3335">
        <w:rPr>
          <w:lang w:val="en-GB"/>
        </w:rPr>
        <w:t xml:space="preserve"> </w:t>
      </w:r>
      <w:r w:rsidRPr="000C3335">
        <w:rPr>
          <w:lang w:val="en-GB"/>
        </w:rPr>
        <w:t>(Participant 14).</w:t>
      </w:r>
      <w:r w:rsidRPr="000C3335">
        <w:rPr>
          <w:rStyle w:val="FootnoteReference"/>
          <w:lang w:val="en-GB"/>
        </w:rPr>
        <w:footnoteReference w:id="114"/>
      </w:r>
      <w:r w:rsidRPr="000C3335">
        <w:rPr>
          <w:lang w:val="en-GB"/>
        </w:rPr>
        <w:t xml:space="preserve"> </w:t>
      </w:r>
    </w:p>
    <w:p w14:paraId="458C2C04" w14:textId="67B37B60" w:rsidR="006607D1" w:rsidRPr="000C3335" w:rsidRDefault="006607D1" w:rsidP="006607D1">
      <w:pPr>
        <w:spacing w:line="276" w:lineRule="auto"/>
        <w:jc w:val="both"/>
        <w:rPr>
          <w:lang w:val="en-GB"/>
        </w:rPr>
      </w:pPr>
      <w:r w:rsidRPr="000C3335">
        <w:rPr>
          <w:lang w:val="en-GB"/>
        </w:rPr>
        <w:t xml:space="preserve">Concern was also expressed </w:t>
      </w:r>
      <w:r>
        <w:rPr>
          <w:lang w:val="en-GB"/>
        </w:rPr>
        <w:t>that</w:t>
      </w:r>
      <w:r w:rsidRPr="000C3335">
        <w:rPr>
          <w:lang w:val="en-GB"/>
        </w:rPr>
        <w:t xml:space="preserve"> risks could manifest ‘long after an intervention is accepted as routine practice (“a lot of risks, they might be really long term”) (Participant 11)’.</w:t>
      </w:r>
      <w:r w:rsidRPr="000C3335">
        <w:rPr>
          <w:rStyle w:val="FootnoteReference"/>
          <w:lang w:val="en-GB"/>
        </w:rPr>
        <w:footnoteReference w:id="115"/>
      </w:r>
      <w:r w:rsidRPr="000C3335">
        <w:rPr>
          <w:lang w:val="en-GB"/>
        </w:rPr>
        <w:t xml:space="preserve">  A number of participants explicitly referred to thalidomide as an example.</w:t>
      </w:r>
      <w:r w:rsidRPr="000C3335">
        <w:rPr>
          <w:rStyle w:val="FootnoteReference"/>
          <w:lang w:val="en-GB"/>
        </w:rPr>
        <w:footnoteReference w:id="116"/>
      </w:r>
      <w:r w:rsidR="002413FB">
        <w:rPr>
          <w:lang w:val="en-GB"/>
        </w:rPr>
        <w:t xml:space="preserve"> In such cases </w:t>
      </w:r>
      <w:r w:rsidR="003E2099">
        <w:rPr>
          <w:lang w:val="en-GB"/>
        </w:rPr>
        <w:t>‘</w:t>
      </w:r>
      <w:r w:rsidR="002413FB">
        <w:rPr>
          <w:lang w:val="en-GB"/>
        </w:rPr>
        <w:t xml:space="preserve">medical </w:t>
      </w:r>
      <w:r w:rsidR="00696BC0">
        <w:rPr>
          <w:lang w:val="en-GB"/>
        </w:rPr>
        <w:t xml:space="preserve">“adventurism” </w:t>
      </w:r>
      <w:r w:rsidR="002413FB">
        <w:rPr>
          <w:lang w:val="en-GB"/>
        </w:rPr>
        <w:t>needs to be balance</w:t>
      </w:r>
      <w:r w:rsidR="005F3CB3">
        <w:rPr>
          <w:lang w:val="en-GB"/>
        </w:rPr>
        <w:t>d</w:t>
      </w:r>
      <w:r w:rsidR="002413FB">
        <w:rPr>
          <w:lang w:val="en-GB"/>
        </w:rPr>
        <w:t xml:space="preserve"> by ensuring that individual patient’s concerns and interests are not ignored or downplayed … particularly when all risks associated with the innovation will unequivocally be borne by the patient, not the </w:t>
      </w:r>
      <w:r w:rsidR="003E2099">
        <w:rPr>
          <w:lang w:val="en-GB"/>
        </w:rPr>
        <w:t>physician</w:t>
      </w:r>
      <w:r w:rsidR="00696BC0">
        <w:rPr>
          <w:lang w:val="en-GB"/>
        </w:rPr>
        <w:t>.’</w:t>
      </w:r>
      <w:r w:rsidR="003E2099">
        <w:rPr>
          <w:rStyle w:val="FootnoteReference"/>
          <w:lang w:val="en-GB"/>
        </w:rPr>
        <w:footnoteReference w:id="117"/>
      </w:r>
      <w:r w:rsidR="003D1F7E">
        <w:rPr>
          <w:lang w:val="en-GB"/>
        </w:rPr>
        <w:t xml:space="preserve"> </w:t>
      </w:r>
      <w:r w:rsidR="00477D8A">
        <w:rPr>
          <w:lang w:val="en-GB"/>
        </w:rPr>
        <w:t>The concern</w:t>
      </w:r>
      <w:r w:rsidR="00AB0DD8">
        <w:rPr>
          <w:lang w:val="en-GB"/>
        </w:rPr>
        <w:t>s</w:t>
      </w:r>
      <w:r w:rsidR="00477D8A">
        <w:rPr>
          <w:lang w:val="en-GB"/>
        </w:rPr>
        <w:t xml:space="preserve"> for doctors </w:t>
      </w:r>
      <w:r w:rsidR="00AB0DD8">
        <w:rPr>
          <w:lang w:val="en-GB"/>
        </w:rPr>
        <w:t>are</w:t>
      </w:r>
      <w:r w:rsidR="00477D8A">
        <w:rPr>
          <w:lang w:val="en-GB"/>
        </w:rPr>
        <w:t xml:space="preserve"> </w:t>
      </w:r>
      <w:r w:rsidR="00AB0DD8">
        <w:rPr>
          <w:lang w:val="en-GB"/>
        </w:rPr>
        <w:lastRenderedPageBreak/>
        <w:t xml:space="preserve">whether offering the treatment without notifying the patient of unknown risks is negligent or not, or if </w:t>
      </w:r>
      <w:r w:rsidR="00477D8A">
        <w:rPr>
          <w:lang w:val="en-GB"/>
        </w:rPr>
        <w:t>unknown complications with long latency periods could lead to liability years later.</w:t>
      </w:r>
      <w:r w:rsidR="00730224">
        <w:rPr>
          <w:lang w:val="en-GB"/>
        </w:rPr>
        <w:t xml:space="preserve"> But if </w:t>
      </w:r>
      <w:r w:rsidR="00083D44">
        <w:rPr>
          <w:lang w:val="en-GB"/>
        </w:rPr>
        <w:t xml:space="preserve">the </w:t>
      </w:r>
      <w:r w:rsidR="00730224">
        <w:rPr>
          <w:lang w:val="en-GB"/>
        </w:rPr>
        <w:t xml:space="preserve">doctors explain the possibility of unknown complications </w:t>
      </w:r>
      <w:r w:rsidR="00083D44">
        <w:rPr>
          <w:lang w:val="en-GB"/>
        </w:rPr>
        <w:t xml:space="preserve">to the patient </w:t>
      </w:r>
      <w:r w:rsidR="00730224">
        <w:rPr>
          <w:lang w:val="en-GB"/>
        </w:rPr>
        <w:t>when obtaining consent, it is unlikely a court would find them in breach of duty</w:t>
      </w:r>
      <w:r w:rsidR="00083D44">
        <w:rPr>
          <w:lang w:val="en-GB"/>
        </w:rPr>
        <w:t>, since the material risk (unknown complications) was disclosed to the patient.</w:t>
      </w:r>
      <w:r w:rsidR="002413FB">
        <w:rPr>
          <w:lang w:val="en-GB"/>
        </w:rPr>
        <w:t xml:space="preserve"> </w:t>
      </w:r>
    </w:p>
    <w:p w14:paraId="492F4C4E" w14:textId="77777777" w:rsidR="0056105E" w:rsidRPr="000C3335" w:rsidRDefault="0056105E" w:rsidP="0056105E">
      <w:pPr>
        <w:spacing w:line="276" w:lineRule="auto"/>
        <w:jc w:val="both"/>
        <w:rPr>
          <w:lang w:val="en-GB"/>
        </w:rPr>
      </w:pPr>
    </w:p>
    <w:p w14:paraId="6CA1D745" w14:textId="3697C4A3" w:rsidR="0056105E" w:rsidRPr="00641CCC" w:rsidRDefault="0056105E" w:rsidP="00C646D0">
      <w:pPr>
        <w:spacing w:line="276" w:lineRule="auto"/>
        <w:jc w:val="both"/>
        <w:rPr>
          <w:rFonts w:eastAsia="Times New Roman"/>
          <w:lang w:val="en-GB" w:eastAsia="en-AU"/>
        </w:rPr>
      </w:pPr>
      <w:r w:rsidRPr="000C3335">
        <w:rPr>
          <w:lang w:val="en-GB"/>
        </w:rPr>
        <w:t xml:space="preserve">The </w:t>
      </w:r>
      <w:r w:rsidR="00FB0432">
        <w:rPr>
          <w:lang w:val="en-GB"/>
        </w:rPr>
        <w:t xml:space="preserve">issue of </w:t>
      </w:r>
      <w:r w:rsidRPr="000C3335">
        <w:rPr>
          <w:lang w:val="en-GB"/>
        </w:rPr>
        <w:t xml:space="preserve">how </w:t>
      </w:r>
      <w:r w:rsidR="00726F81">
        <w:rPr>
          <w:lang w:val="en-GB"/>
        </w:rPr>
        <w:t xml:space="preserve">to deal with </w:t>
      </w:r>
      <w:r w:rsidRPr="000C3335">
        <w:rPr>
          <w:lang w:val="en-GB"/>
        </w:rPr>
        <w:t>unknown</w:t>
      </w:r>
      <w:r w:rsidR="00744C3D">
        <w:rPr>
          <w:lang w:val="en-GB"/>
        </w:rPr>
        <w:t>s</w:t>
      </w:r>
      <w:r w:rsidRPr="000C3335">
        <w:rPr>
          <w:lang w:val="en-GB"/>
        </w:rPr>
        <w:t xml:space="preserve"> when obtaining consent</w:t>
      </w:r>
      <w:r w:rsidR="008202F5">
        <w:rPr>
          <w:lang w:val="en-GB"/>
        </w:rPr>
        <w:t xml:space="preserve"> </w:t>
      </w:r>
      <w:r w:rsidRPr="000C3335">
        <w:rPr>
          <w:lang w:val="en-GB"/>
        </w:rPr>
        <w:t xml:space="preserve">arose in </w:t>
      </w:r>
      <w:proofErr w:type="spellStart"/>
      <w:r w:rsidRPr="000C3335">
        <w:rPr>
          <w:i/>
          <w:lang w:val="en-GB"/>
        </w:rPr>
        <w:t>Grimstone</w:t>
      </w:r>
      <w:proofErr w:type="spellEnd"/>
      <w:r w:rsidRPr="000C3335">
        <w:rPr>
          <w:i/>
          <w:lang w:val="en-GB"/>
        </w:rPr>
        <w:t xml:space="preserve"> v Epsom and St Helier University Hospitals NHS Trust.</w:t>
      </w:r>
      <w:r w:rsidRPr="000C3335">
        <w:rPr>
          <w:rStyle w:val="FootnoteReference"/>
          <w:lang w:val="en-GB"/>
        </w:rPr>
        <w:footnoteReference w:id="118"/>
      </w:r>
      <w:r w:rsidRPr="000C3335">
        <w:rPr>
          <w:lang w:val="en-GB"/>
        </w:rPr>
        <w:t xml:space="preserve">  The claimant</w:t>
      </w:r>
      <w:r w:rsidR="00FB0432">
        <w:rPr>
          <w:lang w:val="en-GB"/>
        </w:rPr>
        <w:t xml:space="preserve">, who </w:t>
      </w:r>
      <w:r w:rsidRPr="000C3335">
        <w:rPr>
          <w:lang w:val="en-GB"/>
        </w:rPr>
        <w:t>suffer</w:t>
      </w:r>
      <w:r w:rsidR="00FB0432">
        <w:rPr>
          <w:lang w:val="en-GB"/>
        </w:rPr>
        <w:t xml:space="preserve">ed </w:t>
      </w:r>
      <w:r w:rsidRPr="000C3335">
        <w:rPr>
          <w:lang w:val="en-GB"/>
        </w:rPr>
        <w:t>pain and stiffness in both hips</w:t>
      </w:r>
      <w:r w:rsidR="00FB0432">
        <w:rPr>
          <w:lang w:val="en-GB"/>
        </w:rPr>
        <w:t xml:space="preserve">, </w:t>
      </w:r>
      <w:r w:rsidRPr="000C3335">
        <w:rPr>
          <w:lang w:val="en-GB"/>
        </w:rPr>
        <w:t xml:space="preserve">was referred to a </w:t>
      </w:r>
      <w:r w:rsidRPr="000C3335">
        <w:rPr>
          <w:rFonts w:eastAsia="Times New Roman"/>
          <w:lang w:val="en-GB" w:eastAsia="en-AU"/>
        </w:rPr>
        <w:t>specialist orthopaedic surgeon</w:t>
      </w:r>
      <w:r w:rsidR="005E4273">
        <w:rPr>
          <w:rFonts w:eastAsia="Times New Roman"/>
          <w:lang w:val="en-GB" w:eastAsia="en-AU"/>
        </w:rPr>
        <w:t>,</w:t>
      </w:r>
      <w:r w:rsidR="00B765C2">
        <w:rPr>
          <w:rFonts w:eastAsia="Times New Roman"/>
          <w:lang w:val="en-GB" w:eastAsia="en-AU"/>
        </w:rPr>
        <w:t xml:space="preserve"> who operated</w:t>
      </w:r>
      <w:r w:rsidRPr="000C3335">
        <w:rPr>
          <w:rFonts w:eastAsia="Times New Roman"/>
          <w:lang w:val="en-GB" w:eastAsia="en-AU"/>
        </w:rPr>
        <w:t xml:space="preserve">.  </w:t>
      </w:r>
      <w:r w:rsidR="00B765C2">
        <w:rPr>
          <w:rFonts w:eastAsia="Times New Roman"/>
          <w:lang w:val="en-GB" w:eastAsia="en-AU"/>
        </w:rPr>
        <w:t>A</w:t>
      </w:r>
      <w:r w:rsidRPr="000C3335">
        <w:rPr>
          <w:rFonts w:eastAsia="Times New Roman"/>
          <w:lang w:val="en-GB" w:eastAsia="en-AU"/>
        </w:rPr>
        <w:t>fter</w:t>
      </w:r>
      <w:r w:rsidR="004B133A">
        <w:rPr>
          <w:rFonts w:eastAsia="Times New Roman"/>
          <w:lang w:val="en-GB" w:eastAsia="en-AU"/>
        </w:rPr>
        <w:t xml:space="preserve">wards </w:t>
      </w:r>
      <w:r w:rsidR="00FB0432">
        <w:rPr>
          <w:rFonts w:eastAsia="Times New Roman"/>
          <w:lang w:val="en-GB" w:eastAsia="en-AU"/>
        </w:rPr>
        <w:t>she</w:t>
      </w:r>
      <w:r w:rsidRPr="00B765C2">
        <w:rPr>
          <w:rFonts w:eastAsia="Times New Roman"/>
          <w:lang w:val="en-GB" w:eastAsia="en-AU"/>
        </w:rPr>
        <w:t xml:space="preserve"> began </w:t>
      </w:r>
      <w:r w:rsidR="0003722B">
        <w:rPr>
          <w:rFonts w:eastAsia="Times New Roman"/>
          <w:lang w:val="en-GB" w:eastAsia="en-AU"/>
        </w:rPr>
        <w:t>experiencing</w:t>
      </w:r>
      <w:r w:rsidR="0003722B" w:rsidRPr="00B765C2">
        <w:rPr>
          <w:rFonts w:eastAsia="Times New Roman"/>
          <w:lang w:val="en-GB" w:eastAsia="en-AU"/>
        </w:rPr>
        <w:t xml:space="preserve"> </w:t>
      </w:r>
      <w:r w:rsidR="0003722B">
        <w:rPr>
          <w:rFonts w:eastAsia="Times New Roman"/>
          <w:lang w:val="en-GB" w:eastAsia="en-AU"/>
        </w:rPr>
        <w:t>issues</w:t>
      </w:r>
      <w:r w:rsidR="0003722B" w:rsidRPr="00B765C2">
        <w:rPr>
          <w:rFonts w:eastAsia="Times New Roman"/>
          <w:lang w:val="en-GB" w:eastAsia="en-AU"/>
        </w:rPr>
        <w:t xml:space="preserve"> </w:t>
      </w:r>
      <w:r w:rsidRPr="00B765C2">
        <w:rPr>
          <w:rFonts w:eastAsia="Times New Roman"/>
          <w:lang w:val="en-GB" w:eastAsia="en-AU"/>
        </w:rPr>
        <w:t xml:space="preserve">requiring further intervention </w:t>
      </w:r>
      <w:r w:rsidR="00FB0432">
        <w:rPr>
          <w:rFonts w:eastAsia="Times New Roman"/>
          <w:lang w:val="en-GB" w:eastAsia="en-AU"/>
        </w:rPr>
        <w:t xml:space="preserve">which </w:t>
      </w:r>
      <w:r w:rsidRPr="00B765C2">
        <w:rPr>
          <w:rFonts w:eastAsia="Times New Roman"/>
          <w:lang w:val="en-GB" w:eastAsia="en-AU"/>
        </w:rPr>
        <w:t>caus</w:t>
      </w:r>
      <w:r w:rsidR="00FB0432">
        <w:rPr>
          <w:rFonts w:eastAsia="Times New Roman"/>
          <w:lang w:val="en-GB" w:eastAsia="en-AU"/>
        </w:rPr>
        <w:t xml:space="preserve">ed </w:t>
      </w:r>
      <w:r w:rsidRPr="00B765C2">
        <w:rPr>
          <w:rFonts w:eastAsia="Times New Roman"/>
          <w:lang w:val="en-GB" w:eastAsia="en-AU"/>
        </w:rPr>
        <w:t xml:space="preserve">significant pain and suffering.  Suing in negligence, </w:t>
      </w:r>
      <w:r w:rsidR="007D2394">
        <w:rPr>
          <w:rFonts w:eastAsia="Times New Roman"/>
          <w:lang w:val="en-GB" w:eastAsia="en-AU"/>
        </w:rPr>
        <w:t>she</w:t>
      </w:r>
      <w:r w:rsidRPr="00B765C2">
        <w:rPr>
          <w:rFonts w:eastAsia="Times New Roman"/>
          <w:lang w:val="en-GB" w:eastAsia="en-AU"/>
        </w:rPr>
        <w:t xml:space="preserve"> alleged</w:t>
      </w:r>
      <w:r w:rsidR="003D1F7E">
        <w:rPr>
          <w:rFonts w:eastAsia="Times New Roman"/>
          <w:lang w:val="en-GB" w:eastAsia="en-AU"/>
        </w:rPr>
        <w:t xml:space="preserve">: </w:t>
      </w:r>
      <w:r w:rsidRPr="00B765C2">
        <w:rPr>
          <w:rFonts w:eastAsia="Times New Roman"/>
          <w:lang w:val="en-GB" w:eastAsia="en-AU"/>
        </w:rPr>
        <w:t>she was inadequately advised of her surgical options</w:t>
      </w:r>
      <w:r w:rsidR="003D1F7E">
        <w:rPr>
          <w:rFonts w:eastAsia="Times New Roman"/>
          <w:lang w:val="en-GB" w:eastAsia="en-AU"/>
        </w:rPr>
        <w:t xml:space="preserve">; </w:t>
      </w:r>
      <w:r w:rsidRPr="00B765C2">
        <w:rPr>
          <w:rFonts w:eastAsia="Times New Roman"/>
          <w:lang w:val="en-GB" w:eastAsia="en-AU"/>
        </w:rPr>
        <w:t xml:space="preserve">informed consent was not obtained for the operation </w:t>
      </w:r>
      <w:r w:rsidR="004B133A">
        <w:rPr>
          <w:rFonts w:eastAsia="Times New Roman"/>
          <w:lang w:val="en-GB" w:eastAsia="en-AU"/>
        </w:rPr>
        <w:t>undertaken</w:t>
      </w:r>
      <w:r w:rsidR="003D1F7E">
        <w:rPr>
          <w:rFonts w:eastAsia="Times New Roman"/>
          <w:lang w:val="en-GB" w:eastAsia="en-AU"/>
        </w:rPr>
        <w:t xml:space="preserve">; </w:t>
      </w:r>
      <w:r w:rsidRPr="00726F81">
        <w:rPr>
          <w:rFonts w:eastAsia="Times New Roman"/>
          <w:lang w:val="en-GB" w:eastAsia="en-AU"/>
        </w:rPr>
        <w:t xml:space="preserve">and she was not advised of the alleged lack of data about failure and survival rates of the components used in the procedure.  McGowan J </w:t>
      </w:r>
      <w:r w:rsidR="007D2394">
        <w:rPr>
          <w:rFonts w:eastAsia="Times New Roman"/>
          <w:lang w:val="en-GB" w:eastAsia="en-AU"/>
        </w:rPr>
        <w:t>identified</w:t>
      </w:r>
      <w:r w:rsidRPr="00726F81">
        <w:rPr>
          <w:rFonts w:eastAsia="Times New Roman"/>
          <w:lang w:val="en-GB" w:eastAsia="en-AU"/>
        </w:rPr>
        <w:t xml:space="preserve"> four questions</w:t>
      </w:r>
      <w:r w:rsidR="00A00375">
        <w:rPr>
          <w:rFonts w:eastAsia="Times New Roman"/>
          <w:lang w:val="en-GB" w:eastAsia="en-AU"/>
        </w:rPr>
        <w:t>, key among them</w:t>
      </w:r>
      <w:r w:rsidRPr="00726F81">
        <w:rPr>
          <w:rFonts w:eastAsia="Times New Roman"/>
          <w:lang w:val="en-GB" w:eastAsia="en-AU"/>
        </w:rPr>
        <w:t>:</w:t>
      </w:r>
      <w:r w:rsidR="00A00375">
        <w:t xml:space="preserve"> ‘</w:t>
      </w:r>
      <w:r w:rsidRPr="00582C94">
        <w:rPr>
          <w:lang w:val="en-GB"/>
        </w:rPr>
        <w:t xml:space="preserve">Was he </w:t>
      </w:r>
      <w:r w:rsidR="005E4273">
        <w:rPr>
          <w:lang w:val="en-GB"/>
        </w:rPr>
        <w:t xml:space="preserve">[the doctor] </w:t>
      </w:r>
      <w:r w:rsidRPr="00582C94">
        <w:rPr>
          <w:lang w:val="en-GB"/>
        </w:rPr>
        <w:t>obliged to tell her about the limited data available on the device used?</w:t>
      </w:r>
      <w:r w:rsidR="00A00375">
        <w:rPr>
          <w:lang w:val="en-GB"/>
        </w:rPr>
        <w:t>’</w:t>
      </w:r>
      <w:r w:rsidRPr="00582C94">
        <w:rPr>
          <w:rStyle w:val="FootnoteReference"/>
          <w:lang w:val="en-GB"/>
        </w:rPr>
        <w:footnoteReference w:id="119"/>
      </w:r>
      <w:r w:rsidR="005C4AA1">
        <w:rPr>
          <w:rFonts w:eastAsia="Times New Roman"/>
          <w:lang w:val="en-GB" w:eastAsia="en-AU"/>
        </w:rPr>
        <w:t xml:space="preserve"> </w:t>
      </w:r>
      <w:r w:rsidRPr="00641CCC">
        <w:rPr>
          <w:rFonts w:eastAsia="Times New Roman"/>
          <w:lang w:val="en-GB" w:eastAsia="en-AU"/>
        </w:rPr>
        <w:t xml:space="preserve">McGowan J concluded: </w:t>
      </w:r>
    </w:p>
    <w:p w14:paraId="17CC75CB" w14:textId="56842E4F" w:rsidR="0056105E" w:rsidRPr="00641CCC" w:rsidRDefault="0056105E" w:rsidP="0056105E">
      <w:pPr>
        <w:spacing w:before="100" w:beforeAutospacing="1" w:afterAutospacing="1" w:line="276" w:lineRule="auto"/>
        <w:ind w:left="720"/>
        <w:jc w:val="both"/>
        <w:rPr>
          <w:rFonts w:eastAsia="Times New Roman"/>
          <w:lang w:val="en-GB" w:eastAsia="en-AU"/>
        </w:rPr>
      </w:pPr>
      <w:r w:rsidRPr="00641CCC">
        <w:rPr>
          <w:rFonts w:eastAsia="Times New Roman"/>
          <w:lang w:val="en-GB" w:eastAsia="en-AU"/>
        </w:rPr>
        <w:t xml:space="preserve">The </w:t>
      </w:r>
      <w:r w:rsidR="00946C62">
        <w:rPr>
          <w:rFonts w:eastAsia="Times New Roman"/>
          <w:lang w:val="en-GB" w:eastAsia="en-AU"/>
        </w:rPr>
        <w:t>“</w:t>
      </w:r>
      <w:r w:rsidRPr="00641CCC">
        <w:rPr>
          <w:rFonts w:eastAsia="Times New Roman"/>
          <w:lang w:val="en-GB" w:eastAsia="en-AU"/>
        </w:rPr>
        <w:t>concern</w:t>
      </w:r>
      <w:r w:rsidR="00946C62">
        <w:rPr>
          <w:rFonts w:eastAsia="Times New Roman"/>
          <w:lang w:val="en-GB" w:eastAsia="en-AU"/>
        </w:rPr>
        <w:t>”</w:t>
      </w:r>
      <w:r w:rsidRPr="00067253">
        <w:rPr>
          <w:rFonts w:eastAsia="Times New Roman"/>
          <w:lang w:val="en-GB" w:eastAsia="en-AU"/>
        </w:rPr>
        <w:t xml:space="preserve"> expressed by the Claimant's expert </w:t>
      </w:r>
      <w:r w:rsidR="00785948">
        <w:rPr>
          <w:rFonts w:eastAsia="Times New Roman"/>
          <w:lang w:val="en-GB" w:eastAsia="en-AU"/>
        </w:rPr>
        <w:t>…</w:t>
      </w:r>
      <w:r w:rsidRPr="00067253">
        <w:rPr>
          <w:rFonts w:eastAsia="Times New Roman"/>
          <w:lang w:val="en-GB" w:eastAsia="en-AU"/>
        </w:rPr>
        <w:t xml:space="preserve"> that the data or lack of it was not explained to the patient cannot outweigh the view of the equally expert witness called by the Defendant</w:t>
      </w:r>
      <w:r w:rsidR="00785948">
        <w:rPr>
          <w:rFonts w:eastAsia="Times New Roman"/>
          <w:lang w:val="en-GB" w:eastAsia="en-AU"/>
        </w:rPr>
        <w:t xml:space="preserve"> …</w:t>
      </w:r>
      <w:r w:rsidRPr="00067253">
        <w:rPr>
          <w:rFonts w:eastAsia="Times New Roman"/>
          <w:lang w:val="en-GB" w:eastAsia="en-AU"/>
        </w:rPr>
        <w:t xml:space="preserve"> that a reasonable body of doctors in the same position would not have given such information to a patient.</w:t>
      </w:r>
      <w:r w:rsidRPr="00641CCC">
        <w:rPr>
          <w:rStyle w:val="FootnoteReference"/>
          <w:rFonts w:eastAsia="Times New Roman"/>
          <w:lang w:val="en-GB" w:eastAsia="en-AU"/>
        </w:rPr>
        <w:footnoteReference w:id="120"/>
      </w:r>
    </w:p>
    <w:p w14:paraId="19CFACD0" w14:textId="582DF352" w:rsidR="0056105E" w:rsidRPr="00B1360D" w:rsidRDefault="003D1F7E" w:rsidP="0056105E">
      <w:pPr>
        <w:spacing w:line="276" w:lineRule="auto"/>
        <w:jc w:val="both"/>
        <w:rPr>
          <w:lang w:val="en-GB"/>
        </w:rPr>
      </w:pPr>
      <w:r>
        <w:rPr>
          <w:lang w:val="en-GB"/>
        </w:rPr>
        <w:t xml:space="preserve">This case has been criticised because </w:t>
      </w:r>
      <w:r w:rsidR="00EF32CB">
        <w:rPr>
          <w:lang w:val="en-GB"/>
        </w:rPr>
        <w:t xml:space="preserve">McGowan J </w:t>
      </w:r>
      <w:r w:rsidR="00641CCC">
        <w:rPr>
          <w:lang w:val="en-GB"/>
        </w:rPr>
        <w:t>seems t</w:t>
      </w:r>
      <w:r w:rsidR="00EF32CB">
        <w:rPr>
          <w:lang w:val="en-GB"/>
        </w:rPr>
        <w:t xml:space="preserve">o apply </w:t>
      </w:r>
      <w:r w:rsidR="0056105E" w:rsidRPr="00641CCC">
        <w:rPr>
          <w:lang w:val="en-GB"/>
        </w:rPr>
        <w:t xml:space="preserve">the </w:t>
      </w:r>
      <w:proofErr w:type="spellStart"/>
      <w:r w:rsidR="00641CCC" w:rsidRPr="00641CCC">
        <w:rPr>
          <w:i/>
          <w:lang w:val="en-GB"/>
        </w:rPr>
        <w:t>Bolam</w:t>
      </w:r>
      <w:proofErr w:type="spellEnd"/>
      <w:r w:rsidR="00641CCC" w:rsidRPr="00641CCC">
        <w:rPr>
          <w:lang w:val="en-GB"/>
        </w:rPr>
        <w:t xml:space="preserve"> </w:t>
      </w:r>
      <w:r w:rsidR="00641CCC">
        <w:rPr>
          <w:lang w:val="en-GB"/>
        </w:rPr>
        <w:t xml:space="preserve">standard </w:t>
      </w:r>
      <w:r w:rsidR="00641CCC" w:rsidRPr="00641CCC">
        <w:rPr>
          <w:lang w:val="en-GB"/>
        </w:rPr>
        <w:t>of a responsible body of medical opinion</w:t>
      </w:r>
      <w:r w:rsidR="00641CCC">
        <w:rPr>
          <w:lang w:val="en-GB"/>
        </w:rPr>
        <w:t xml:space="preserve"> instead of the </w:t>
      </w:r>
      <w:r w:rsidR="00641CCC" w:rsidRPr="00641CCC">
        <w:rPr>
          <w:i/>
          <w:lang w:val="en-GB"/>
        </w:rPr>
        <w:t>Montgomery</w:t>
      </w:r>
      <w:r w:rsidR="00641CCC" w:rsidRPr="00641CCC">
        <w:rPr>
          <w:lang w:val="en-GB"/>
        </w:rPr>
        <w:t xml:space="preserve"> </w:t>
      </w:r>
      <w:r w:rsidR="0056105E" w:rsidRPr="00641CCC">
        <w:rPr>
          <w:lang w:val="en-GB"/>
        </w:rPr>
        <w:t>materiality test</w:t>
      </w:r>
      <w:r w:rsidR="00641CCC">
        <w:rPr>
          <w:lang w:val="en-GB"/>
        </w:rPr>
        <w:t xml:space="preserve">, </w:t>
      </w:r>
      <w:r>
        <w:rPr>
          <w:lang w:val="en-GB"/>
        </w:rPr>
        <w:t xml:space="preserve">despite </w:t>
      </w:r>
      <w:r w:rsidR="00EF32CB">
        <w:rPr>
          <w:lang w:val="en-GB"/>
        </w:rPr>
        <w:t xml:space="preserve">discussing </w:t>
      </w:r>
      <w:r w:rsidR="00641CCC" w:rsidRPr="00B1360D">
        <w:rPr>
          <w:i/>
          <w:lang w:val="en-GB"/>
        </w:rPr>
        <w:t>Montgomery</w:t>
      </w:r>
      <w:r w:rsidR="0056105E" w:rsidRPr="00641CCC">
        <w:rPr>
          <w:lang w:val="en-GB"/>
        </w:rPr>
        <w:t>.</w:t>
      </w:r>
      <w:r w:rsidR="0056105E" w:rsidRPr="00B1360D">
        <w:rPr>
          <w:rStyle w:val="FootnoteReference"/>
          <w:lang w:val="en-GB"/>
        </w:rPr>
        <w:footnoteReference w:id="121"/>
      </w:r>
      <w:r w:rsidR="0056105E" w:rsidRPr="00B1360D">
        <w:rPr>
          <w:lang w:val="en-GB"/>
        </w:rPr>
        <w:t xml:space="preserve">  Information about success and failure rates for the new hip implants was information about risk, thus the </w:t>
      </w:r>
      <w:r w:rsidR="0056105E" w:rsidRPr="00B1360D">
        <w:rPr>
          <w:i/>
          <w:lang w:val="en-GB"/>
        </w:rPr>
        <w:t>Montgomery</w:t>
      </w:r>
      <w:r w:rsidR="0056105E" w:rsidRPr="00B1360D">
        <w:rPr>
          <w:lang w:val="en-GB"/>
        </w:rPr>
        <w:t xml:space="preserve"> test should have applied.  </w:t>
      </w:r>
      <w:r w:rsidR="00641CCC">
        <w:rPr>
          <w:lang w:val="en-GB"/>
        </w:rPr>
        <w:t>As</w:t>
      </w:r>
      <w:r w:rsidR="0056105E" w:rsidRPr="00B1360D">
        <w:rPr>
          <w:lang w:val="en-GB"/>
        </w:rPr>
        <w:t xml:space="preserve"> explained in </w:t>
      </w:r>
      <w:r w:rsidR="0056105E" w:rsidRPr="00B1360D">
        <w:rPr>
          <w:i/>
          <w:lang w:val="en-GB"/>
        </w:rPr>
        <w:t>Montgomery</w:t>
      </w:r>
      <w:r w:rsidR="00641CCC">
        <w:rPr>
          <w:i/>
          <w:lang w:val="en-GB"/>
        </w:rPr>
        <w:t>,</w:t>
      </w:r>
      <w:r w:rsidR="00641CCC">
        <w:rPr>
          <w:lang w:val="en-GB"/>
        </w:rPr>
        <w:t xml:space="preserve"> </w:t>
      </w:r>
      <w:r w:rsidR="0056105E" w:rsidRPr="00B1360D">
        <w:rPr>
          <w:lang w:val="en-GB"/>
        </w:rPr>
        <w:t xml:space="preserve">communicating with patients is not a skill ‘with which the </w:t>
      </w:r>
      <w:proofErr w:type="spellStart"/>
      <w:r w:rsidR="0056105E" w:rsidRPr="00B1360D">
        <w:rPr>
          <w:i/>
          <w:iCs/>
          <w:lang w:val="en-GB"/>
        </w:rPr>
        <w:t>Bolam</w:t>
      </w:r>
      <w:proofErr w:type="spellEnd"/>
      <w:r w:rsidR="0056105E" w:rsidRPr="00B1360D">
        <w:rPr>
          <w:i/>
          <w:iCs/>
          <w:lang w:val="en-GB"/>
        </w:rPr>
        <w:t xml:space="preserve"> </w:t>
      </w:r>
      <w:r w:rsidR="0056105E" w:rsidRPr="00B1360D">
        <w:rPr>
          <w:lang w:val="en-GB"/>
        </w:rPr>
        <w:t>test is concerned’</w:t>
      </w:r>
      <w:r w:rsidR="0056105E" w:rsidRPr="00B1360D">
        <w:rPr>
          <w:rStyle w:val="FootnoteReference"/>
          <w:lang w:val="en-GB"/>
        </w:rPr>
        <w:footnoteReference w:id="122"/>
      </w:r>
      <w:r w:rsidR="0056105E" w:rsidRPr="00B1360D">
        <w:rPr>
          <w:lang w:val="en-GB"/>
        </w:rPr>
        <w:t xml:space="preserve"> </w:t>
      </w:r>
      <w:r w:rsidR="00641CCC">
        <w:rPr>
          <w:lang w:val="en-GB"/>
        </w:rPr>
        <w:t xml:space="preserve">and </w:t>
      </w:r>
      <w:r w:rsidR="0056105E" w:rsidRPr="00B1360D">
        <w:rPr>
          <w:lang w:val="en-GB"/>
        </w:rPr>
        <w:t>‘</w:t>
      </w:r>
      <w:r w:rsidR="00785948">
        <w:rPr>
          <w:lang w:val="en-GB"/>
        </w:rPr>
        <w:t>[</w:t>
      </w:r>
      <w:r w:rsidR="00641CCC">
        <w:rPr>
          <w:lang w:val="en-GB"/>
        </w:rPr>
        <w:t>t</w:t>
      </w:r>
      <w:r w:rsidR="00785948">
        <w:rPr>
          <w:lang w:val="en-GB"/>
        </w:rPr>
        <w:t>]</w:t>
      </w:r>
      <w:r w:rsidR="0056105E" w:rsidRPr="00B1360D">
        <w:rPr>
          <w:lang w:val="en-GB"/>
        </w:rPr>
        <w:t xml:space="preserve">here is no reason to perpetuate the application of the </w:t>
      </w:r>
      <w:proofErr w:type="spellStart"/>
      <w:r w:rsidR="0056105E" w:rsidRPr="00B1360D">
        <w:rPr>
          <w:i/>
          <w:iCs/>
          <w:lang w:val="en-GB"/>
        </w:rPr>
        <w:t>Bolam</w:t>
      </w:r>
      <w:proofErr w:type="spellEnd"/>
      <w:r w:rsidR="0056105E" w:rsidRPr="00B1360D">
        <w:rPr>
          <w:i/>
          <w:iCs/>
          <w:lang w:val="en-GB"/>
        </w:rPr>
        <w:t xml:space="preserve"> </w:t>
      </w:r>
      <w:r w:rsidR="0056105E" w:rsidRPr="00B1360D">
        <w:rPr>
          <w:lang w:val="en-GB"/>
        </w:rPr>
        <w:t>test in this context any longer.’</w:t>
      </w:r>
      <w:r w:rsidR="0056105E" w:rsidRPr="00B1360D">
        <w:rPr>
          <w:rStyle w:val="FootnoteReference"/>
        </w:rPr>
        <w:footnoteReference w:id="123"/>
      </w:r>
      <w:r>
        <w:rPr>
          <w:lang w:val="en-GB"/>
        </w:rPr>
        <w:t xml:space="preserve"> On this basis it </w:t>
      </w:r>
      <w:r w:rsidR="005E4273">
        <w:rPr>
          <w:lang w:val="en-GB"/>
        </w:rPr>
        <w:t xml:space="preserve">was arguably </w:t>
      </w:r>
      <w:r>
        <w:rPr>
          <w:lang w:val="en-GB"/>
        </w:rPr>
        <w:t xml:space="preserve">open to find on the </w:t>
      </w:r>
      <w:r w:rsidRPr="003D1F7E">
        <w:rPr>
          <w:i/>
          <w:lang w:val="en-GB"/>
        </w:rPr>
        <w:t xml:space="preserve">Montgomery </w:t>
      </w:r>
      <w:r>
        <w:rPr>
          <w:lang w:val="en-GB"/>
        </w:rPr>
        <w:t>materiality test that the availability of limited data was a material risk which should have been disclosed.</w:t>
      </w:r>
      <w:r w:rsidR="005C4AA1" w:rsidRPr="00B1360D">
        <w:rPr>
          <w:rStyle w:val="FootnoteReference"/>
          <w:lang w:val="en-GB"/>
        </w:rPr>
        <w:footnoteReference w:id="124"/>
      </w:r>
      <w:r>
        <w:rPr>
          <w:lang w:val="en-GB"/>
        </w:rPr>
        <w:t xml:space="preserve"> </w:t>
      </w:r>
    </w:p>
    <w:p w14:paraId="4F2566A7" w14:textId="77777777" w:rsidR="0056105E" w:rsidRPr="00B1360D" w:rsidRDefault="0056105E" w:rsidP="0056105E">
      <w:pPr>
        <w:spacing w:line="276" w:lineRule="auto"/>
        <w:jc w:val="both"/>
        <w:rPr>
          <w:lang w:val="en-GB"/>
        </w:rPr>
      </w:pPr>
    </w:p>
    <w:p w14:paraId="454F2AE3" w14:textId="18D33378" w:rsidR="00DE754F" w:rsidRPr="005B6E51" w:rsidRDefault="004C3002" w:rsidP="00DE754F">
      <w:pPr>
        <w:spacing w:line="276" w:lineRule="auto"/>
        <w:jc w:val="both"/>
        <w:rPr>
          <w:lang w:val="en-GB"/>
        </w:rPr>
      </w:pPr>
      <w:r>
        <w:rPr>
          <w:lang w:val="en-GB"/>
        </w:rPr>
        <w:t xml:space="preserve">Guidance may also be provided by </w:t>
      </w:r>
      <w:r w:rsidR="0056105E" w:rsidRPr="005B6E51">
        <w:rPr>
          <w:i/>
          <w:lang w:val="en-GB"/>
        </w:rPr>
        <w:t>Penn</w:t>
      </w:r>
      <w:r w:rsidR="00786692">
        <w:rPr>
          <w:i/>
          <w:lang w:val="en-GB"/>
        </w:rPr>
        <w:t>e</w:t>
      </w:r>
      <w:r w:rsidR="0056105E" w:rsidRPr="005B6E51">
        <w:rPr>
          <w:i/>
          <w:lang w:val="en-GB"/>
        </w:rPr>
        <w:t xml:space="preserve">y v </w:t>
      </w:r>
      <w:r w:rsidR="00067253">
        <w:rPr>
          <w:i/>
          <w:lang w:val="en-GB"/>
        </w:rPr>
        <w:t xml:space="preserve">East </w:t>
      </w:r>
      <w:r w:rsidR="0056105E" w:rsidRPr="005B6E51">
        <w:rPr>
          <w:i/>
          <w:lang w:val="en-GB"/>
        </w:rPr>
        <w:t>Kent</w:t>
      </w:r>
      <w:r w:rsidR="00067253">
        <w:rPr>
          <w:i/>
          <w:lang w:val="en-GB"/>
        </w:rPr>
        <w:t xml:space="preserve"> Health Authority</w:t>
      </w:r>
      <w:r w:rsidR="00EF32CB" w:rsidRPr="00004F8F">
        <w:rPr>
          <w:lang w:val="en-GB"/>
        </w:rPr>
        <w:t>,</w:t>
      </w:r>
      <w:r w:rsidR="0056105E" w:rsidRPr="005B6E51">
        <w:rPr>
          <w:rStyle w:val="FootnoteReference"/>
          <w:lang w:val="en-GB"/>
        </w:rPr>
        <w:footnoteReference w:id="125"/>
      </w:r>
      <w:r w:rsidR="0056105E" w:rsidRPr="005B6E51">
        <w:rPr>
          <w:lang w:val="en-GB"/>
        </w:rPr>
        <w:t xml:space="preserve"> </w:t>
      </w:r>
      <w:r w:rsidR="003B300E">
        <w:rPr>
          <w:lang w:val="en-GB"/>
        </w:rPr>
        <w:t>where</w:t>
      </w:r>
      <w:r w:rsidR="0056105E" w:rsidRPr="005B6E51">
        <w:rPr>
          <w:lang w:val="en-GB"/>
        </w:rPr>
        <w:t xml:space="preserve"> </w:t>
      </w:r>
      <w:r w:rsidR="0056105E" w:rsidRPr="004C3002">
        <w:rPr>
          <w:lang w:val="en-GB"/>
        </w:rPr>
        <w:t xml:space="preserve">smear tests with abnormalities were not referred for further screening, </w:t>
      </w:r>
      <w:r w:rsidR="003B300E">
        <w:rPr>
          <w:lang w:val="en-GB"/>
        </w:rPr>
        <w:t xml:space="preserve">and </w:t>
      </w:r>
      <w:r w:rsidR="0056105E" w:rsidRPr="004C3002">
        <w:rPr>
          <w:lang w:val="en-GB"/>
        </w:rPr>
        <w:t xml:space="preserve">the patient </w:t>
      </w:r>
      <w:r w:rsidR="0088167B">
        <w:rPr>
          <w:lang w:val="en-GB"/>
        </w:rPr>
        <w:t xml:space="preserve">told </w:t>
      </w:r>
      <w:r w:rsidR="0056105E" w:rsidRPr="004C3002">
        <w:rPr>
          <w:lang w:val="en-GB"/>
        </w:rPr>
        <w:t xml:space="preserve">her results were negative.  The defendant was </w:t>
      </w:r>
      <w:r w:rsidR="003B300E">
        <w:rPr>
          <w:lang w:val="en-GB"/>
        </w:rPr>
        <w:t>negligent</w:t>
      </w:r>
      <w:r w:rsidR="0056105E" w:rsidRPr="004C3002">
        <w:rPr>
          <w:lang w:val="en-GB"/>
        </w:rPr>
        <w:t xml:space="preserve"> </w:t>
      </w:r>
      <w:r w:rsidR="003B300E">
        <w:rPr>
          <w:lang w:val="en-GB"/>
        </w:rPr>
        <w:t xml:space="preserve">because </w:t>
      </w:r>
      <w:r w:rsidR="00E85AE0">
        <w:rPr>
          <w:lang w:val="en-GB"/>
        </w:rPr>
        <w:t>a</w:t>
      </w:r>
      <w:r w:rsidR="00E85AE0" w:rsidRPr="004C3002">
        <w:rPr>
          <w:lang w:val="en-GB"/>
        </w:rPr>
        <w:t xml:space="preserve"> </w:t>
      </w:r>
      <w:r w:rsidR="0056105E" w:rsidRPr="004C3002">
        <w:rPr>
          <w:lang w:val="en-GB"/>
        </w:rPr>
        <w:t xml:space="preserve">reasonable doctor would have referred the slides for further examination upon discovering abnormalities.  While not a </w:t>
      </w:r>
      <w:r w:rsidR="006607D1">
        <w:rPr>
          <w:lang w:val="en-GB"/>
        </w:rPr>
        <w:t xml:space="preserve">consent </w:t>
      </w:r>
      <w:r w:rsidR="0057683D">
        <w:rPr>
          <w:lang w:val="en-GB"/>
        </w:rPr>
        <w:t xml:space="preserve">or innovative therapy </w:t>
      </w:r>
      <w:r w:rsidR="0056105E" w:rsidRPr="004C3002">
        <w:rPr>
          <w:lang w:val="en-GB"/>
        </w:rPr>
        <w:t xml:space="preserve">case, </w:t>
      </w:r>
      <w:r w:rsidR="003B300E">
        <w:rPr>
          <w:lang w:val="en-GB"/>
        </w:rPr>
        <w:t xml:space="preserve">a </w:t>
      </w:r>
      <w:r w:rsidR="0056105E" w:rsidRPr="004C3002">
        <w:rPr>
          <w:lang w:val="en-GB"/>
        </w:rPr>
        <w:t xml:space="preserve">major </w:t>
      </w:r>
      <w:r w:rsidR="003B300E">
        <w:rPr>
          <w:lang w:val="en-GB"/>
        </w:rPr>
        <w:t>issue</w:t>
      </w:r>
      <w:r w:rsidR="003B300E" w:rsidRPr="004C3002">
        <w:rPr>
          <w:lang w:val="en-GB"/>
        </w:rPr>
        <w:t xml:space="preserve"> </w:t>
      </w:r>
      <w:r w:rsidR="0056105E" w:rsidRPr="004C3002">
        <w:rPr>
          <w:lang w:val="en-GB"/>
        </w:rPr>
        <w:t xml:space="preserve">in </w:t>
      </w:r>
      <w:r w:rsidR="0056105E" w:rsidRPr="004C3002">
        <w:rPr>
          <w:i/>
          <w:lang w:val="en-GB"/>
        </w:rPr>
        <w:t>Penny</w:t>
      </w:r>
      <w:r w:rsidR="0056105E" w:rsidRPr="004C3002">
        <w:rPr>
          <w:lang w:val="en-GB"/>
        </w:rPr>
        <w:t xml:space="preserve"> was </w:t>
      </w:r>
      <w:r w:rsidR="0088167B">
        <w:rPr>
          <w:lang w:val="en-GB"/>
        </w:rPr>
        <w:t xml:space="preserve">that </w:t>
      </w:r>
      <w:r w:rsidR="005C4AA1">
        <w:rPr>
          <w:lang w:val="en-GB"/>
        </w:rPr>
        <w:t xml:space="preserve">the claimant </w:t>
      </w:r>
      <w:r w:rsidR="0088167B">
        <w:rPr>
          <w:lang w:val="en-GB"/>
        </w:rPr>
        <w:t xml:space="preserve">was advised she </w:t>
      </w:r>
      <w:r w:rsidR="0056105E" w:rsidRPr="004C3002">
        <w:rPr>
          <w:lang w:val="en-GB"/>
        </w:rPr>
        <w:t xml:space="preserve">was negative for cancer, </w:t>
      </w:r>
      <w:r w:rsidR="00FF40FC">
        <w:rPr>
          <w:lang w:val="en-GB"/>
        </w:rPr>
        <w:t xml:space="preserve">when this was </w:t>
      </w:r>
      <w:r w:rsidR="00D962D0">
        <w:rPr>
          <w:lang w:val="en-GB"/>
        </w:rPr>
        <w:t>actually</w:t>
      </w:r>
      <w:r w:rsidR="0056105E" w:rsidRPr="004C3002">
        <w:rPr>
          <w:lang w:val="en-GB"/>
        </w:rPr>
        <w:t xml:space="preserve"> uncertain, and it later transpired she had cancer.  The case </w:t>
      </w:r>
      <w:r w:rsidR="00D962D0">
        <w:rPr>
          <w:lang w:val="en-GB"/>
        </w:rPr>
        <w:t xml:space="preserve">partially </w:t>
      </w:r>
      <w:r w:rsidR="0056105E" w:rsidRPr="004C3002">
        <w:rPr>
          <w:lang w:val="en-GB"/>
        </w:rPr>
        <w:t>turned on failure to disclose (and act upon) the uncertainty of her results.  What might be extrapolated is that uncertainties should be communicated to patients when significant</w:t>
      </w:r>
      <w:r w:rsidR="00785948">
        <w:rPr>
          <w:lang w:val="en-GB"/>
        </w:rPr>
        <w:t>,</w:t>
      </w:r>
      <w:r w:rsidR="0088167B">
        <w:rPr>
          <w:lang w:val="en-GB"/>
        </w:rPr>
        <w:t xml:space="preserve"> </w:t>
      </w:r>
      <w:r w:rsidR="0056105E" w:rsidRPr="004C3002">
        <w:rPr>
          <w:lang w:val="en-GB"/>
        </w:rPr>
        <w:t>often life altering</w:t>
      </w:r>
      <w:r w:rsidR="00703691">
        <w:rPr>
          <w:lang w:val="en-GB"/>
        </w:rPr>
        <w:t>,</w:t>
      </w:r>
      <w:r w:rsidR="0056105E" w:rsidRPr="004C3002">
        <w:rPr>
          <w:lang w:val="en-GB"/>
        </w:rPr>
        <w:t xml:space="preserve"> decisions rest upon being able to make an informed choice.  The unknown risks inherent in undergoing innovative therapies</w:t>
      </w:r>
      <w:r w:rsidR="00703691">
        <w:rPr>
          <w:lang w:val="en-GB"/>
        </w:rPr>
        <w:t>,</w:t>
      </w:r>
      <w:r w:rsidR="0056105E" w:rsidRPr="004C3002">
        <w:rPr>
          <w:lang w:val="en-GB"/>
        </w:rPr>
        <w:t xml:space="preserve"> by their amorphous </w:t>
      </w:r>
      <w:r w:rsidR="0056105E" w:rsidRPr="00FF40FC">
        <w:rPr>
          <w:lang w:val="en-GB"/>
        </w:rPr>
        <w:t>nature</w:t>
      </w:r>
      <w:r w:rsidR="00703691">
        <w:rPr>
          <w:lang w:val="en-GB"/>
        </w:rPr>
        <w:t>,</w:t>
      </w:r>
      <w:r w:rsidR="0056105E" w:rsidRPr="00FF40FC">
        <w:rPr>
          <w:lang w:val="en-GB"/>
        </w:rPr>
        <w:t xml:space="preserve"> cannot be described as ‘theoretical, negligible or </w:t>
      </w:r>
      <w:r w:rsidR="0056105E" w:rsidRPr="005B6E51">
        <w:rPr>
          <w:lang w:val="en-GB"/>
        </w:rPr>
        <w:t>background’</w:t>
      </w:r>
      <w:r w:rsidR="00067253">
        <w:rPr>
          <w:rStyle w:val="FootnoteReference"/>
          <w:lang w:val="en-GB"/>
        </w:rPr>
        <w:footnoteReference w:id="126"/>
      </w:r>
      <w:r w:rsidR="0056105E" w:rsidRPr="005B6E51">
        <w:rPr>
          <w:lang w:val="en-GB"/>
        </w:rPr>
        <w:t xml:space="preserve"> and </w:t>
      </w:r>
      <w:r w:rsidR="0056105E" w:rsidRPr="00FF40FC">
        <w:rPr>
          <w:lang w:val="en-GB"/>
        </w:rPr>
        <w:t xml:space="preserve">so cannot fall below the threshold of materiality.  In fact, their unknown </w:t>
      </w:r>
      <w:r w:rsidR="0066762A">
        <w:rPr>
          <w:lang w:val="en-GB"/>
        </w:rPr>
        <w:t xml:space="preserve">or perhaps even unknowable </w:t>
      </w:r>
      <w:r w:rsidR="0056105E" w:rsidRPr="00FF40FC">
        <w:rPr>
          <w:lang w:val="en-GB"/>
        </w:rPr>
        <w:t xml:space="preserve">nature must make them material risks </w:t>
      </w:r>
      <w:r w:rsidR="0088167B">
        <w:rPr>
          <w:lang w:val="en-GB"/>
        </w:rPr>
        <w:t xml:space="preserve">because </w:t>
      </w:r>
      <w:r w:rsidR="0056105E" w:rsidRPr="00FF40FC">
        <w:rPr>
          <w:lang w:val="en-GB"/>
        </w:rPr>
        <w:t xml:space="preserve">of the unpredictability of consequences that may befall the patient contemplating innovative </w:t>
      </w:r>
      <w:r w:rsidR="0056105E" w:rsidRPr="005B6E51">
        <w:rPr>
          <w:lang w:val="en-GB"/>
        </w:rPr>
        <w:t>intervention.</w:t>
      </w:r>
      <w:r w:rsidR="006E526E">
        <w:rPr>
          <w:rStyle w:val="FootnoteReference"/>
          <w:lang w:val="en-GB"/>
        </w:rPr>
        <w:footnoteReference w:id="127"/>
      </w:r>
      <w:r w:rsidR="0056105E" w:rsidRPr="005B6E51">
        <w:rPr>
          <w:lang w:val="en-GB"/>
        </w:rPr>
        <w:t xml:space="preserve">  </w:t>
      </w:r>
      <w:r w:rsidR="007F0CE8">
        <w:rPr>
          <w:lang w:val="en-GB"/>
        </w:rPr>
        <w:t>Regardless of w</w:t>
      </w:r>
      <w:r w:rsidR="0056105E" w:rsidRPr="005B6E51">
        <w:rPr>
          <w:lang w:val="en-GB"/>
        </w:rPr>
        <w:t>hether a doctor finds it ‘difficult or immoral to tell patients that there were unknowns associated with a new procedure’,</w:t>
      </w:r>
      <w:r w:rsidR="0056105E" w:rsidRPr="005B6E51">
        <w:rPr>
          <w:rStyle w:val="FootnoteReference"/>
          <w:lang w:val="en-GB"/>
        </w:rPr>
        <w:footnoteReference w:id="128"/>
      </w:r>
      <w:r w:rsidR="0056105E" w:rsidRPr="005B6E51">
        <w:rPr>
          <w:lang w:val="en-GB"/>
        </w:rPr>
        <w:t xml:space="preserve"> </w:t>
      </w:r>
      <w:r w:rsidR="0056105E" w:rsidRPr="005B6E51">
        <w:rPr>
          <w:i/>
          <w:lang w:val="en-GB"/>
        </w:rPr>
        <w:t>Montgomery</w:t>
      </w:r>
      <w:r w:rsidR="0056105E" w:rsidRPr="005B6E51">
        <w:rPr>
          <w:lang w:val="en-GB"/>
        </w:rPr>
        <w:t xml:space="preserve"> </w:t>
      </w:r>
      <w:r w:rsidR="007F0CE8">
        <w:rPr>
          <w:lang w:val="en-GB"/>
        </w:rPr>
        <w:t xml:space="preserve">makes it clear </w:t>
      </w:r>
      <w:r w:rsidR="0056105E" w:rsidRPr="005B6E51">
        <w:rPr>
          <w:lang w:val="en-GB"/>
        </w:rPr>
        <w:t xml:space="preserve">that the need for skill and judgment in communicating risks ‘does not entail that the question whether to explain the risks at all is normally a matter for the judgment of </w:t>
      </w:r>
      <w:r w:rsidR="006607D1" w:rsidRPr="005B6E51">
        <w:rPr>
          <w:lang w:val="en-GB"/>
        </w:rPr>
        <w:t>the doctor.’</w:t>
      </w:r>
      <w:r w:rsidR="006607D1" w:rsidRPr="005B6E51">
        <w:rPr>
          <w:rStyle w:val="FootnoteReference"/>
          <w:lang w:val="en-GB"/>
        </w:rPr>
        <w:footnoteReference w:id="129"/>
      </w:r>
    </w:p>
    <w:p w14:paraId="6A4679FC" w14:textId="77777777" w:rsidR="001045A7" w:rsidRPr="005B6E51" w:rsidRDefault="001045A7" w:rsidP="001045A7">
      <w:pPr>
        <w:spacing w:line="276" w:lineRule="auto"/>
        <w:jc w:val="both"/>
        <w:rPr>
          <w:lang w:val="en-GB"/>
        </w:rPr>
      </w:pPr>
    </w:p>
    <w:p w14:paraId="2CC29815" w14:textId="4D30C48E" w:rsidR="001045A7" w:rsidRPr="005B6E51" w:rsidRDefault="001045A7" w:rsidP="00EF5A96">
      <w:pPr>
        <w:spacing w:line="276" w:lineRule="auto"/>
        <w:jc w:val="both"/>
        <w:outlineLvl w:val="0"/>
        <w:rPr>
          <w:i/>
          <w:lang w:val="en-GB"/>
        </w:rPr>
      </w:pPr>
      <w:r w:rsidRPr="005B6E51">
        <w:rPr>
          <w:i/>
          <w:lang w:val="en-GB"/>
        </w:rPr>
        <w:t xml:space="preserve">The Effect of the occurrence of the risk on the life of the patient </w:t>
      </w:r>
    </w:p>
    <w:p w14:paraId="0B614EF7" w14:textId="775F7CD9" w:rsidR="0049228E" w:rsidRPr="00DC1D7E" w:rsidRDefault="001045A7" w:rsidP="000B0ABA">
      <w:pPr>
        <w:spacing w:line="276" w:lineRule="auto"/>
        <w:jc w:val="both"/>
        <w:rPr>
          <w:lang w:val="en-GB"/>
        </w:rPr>
      </w:pPr>
      <w:r w:rsidRPr="005B6E51">
        <w:rPr>
          <w:lang w:val="en-GB"/>
        </w:rPr>
        <w:t>Th</w:t>
      </w:r>
      <w:r w:rsidR="00C971B0">
        <w:rPr>
          <w:lang w:val="en-GB"/>
        </w:rPr>
        <w:t xml:space="preserve">is </w:t>
      </w:r>
      <w:r w:rsidR="006E526E">
        <w:rPr>
          <w:lang w:val="en-GB"/>
        </w:rPr>
        <w:t xml:space="preserve">factor </w:t>
      </w:r>
      <w:r w:rsidR="00DC1D7E">
        <w:rPr>
          <w:lang w:val="en-GB"/>
        </w:rPr>
        <w:t xml:space="preserve">focuses </w:t>
      </w:r>
      <w:r w:rsidRPr="00DC1D7E">
        <w:rPr>
          <w:lang w:val="en-GB"/>
        </w:rPr>
        <w:t xml:space="preserve">more specifically </w:t>
      </w:r>
      <w:r w:rsidR="00DC1D7E">
        <w:rPr>
          <w:lang w:val="en-GB"/>
        </w:rPr>
        <w:t xml:space="preserve">on </w:t>
      </w:r>
      <w:r w:rsidRPr="00DC1D7E">
        <w:rPr>
          <w:lang w:val="en-GB"/>
        </w:rPr>
        <w:t>the effect on the patient</w:t>
      </w:r>
      <w:r w:rsidR="00DC1D7E">
        <w:rPr>
          <w:lang w:val="en-GB"/>
        </w:rPr>
        <w:t xml:space="preserve">, by reference to </w:t>
      </w:r>
      <w:r w:rsidR="00584D30">
        <w:rPr>
          <w:lang w:val="en-GB"/>
        </w:rPr>
        <w:t>both objective and subjective considerations</w:t>
      </w:r>
      <w:r w:rsidR="000D695A" w:rsidRPr="00DC1D7E">
        <w:rPr>
          <w:lang w:val="en-GB"/>
        </w:rPr>
        <w:t xml:space="preserve">. </w:t>
      </w:r>
      <w:r w:rsidR="000B0ABA">
        <w:rPr>
          <w:lang w:val="en-GB"/>
        </w:rPr>
        <w:t xml:space="preserve">In </w:t>
      </w:r>
      <w:r w:rsidR="006607D1" w:rsidRPr="00DC1D7E">
        <w:rPr>
          <w:i/>
          <w:lang w:val="en-GB"/>
        </w:rPr>
        <w:t>A v East Kent</w:t>
      </w:r>
      <w:r w:rsidR="006607D1" w:rsidRPr="00DC1D7E">
        <w:rPr>
          <w:rStyle w:val="FootnoteReference"/>
          <w:lang w:val="en-GB"/>
        </w:rPr>
        <w:footnoteReference w:id="130"/>
      </w:r>
      <w:r w:rsidR="006607D1">
        <w:rPr>
          <w:lang w:val="en-GB"/>
        </w:rPr>
        <w:t xml:space="preserve"> </w:t>
      </w:r>
      <w:proofErr w:type="spellStart"/>
      <w:r w:rsidR="00815DE6" w:rsidRPr="00DC1D7E">
        <w:rPr>
          <w:lang w:val="en-GB"/>
        </w:rPr>
        <w:t>Dingemans</w:t>
      </w:r>
      <w:proofErr w:type="spellEnd"/>
      <w:r w:rsidR="00815DE6" w:rsidRPr="00DC1D7E">
        <w:rPr>
          <w:lang w:val="en-GB"/>
        </w:rPr>
        <w:t xml:space="preserve"> J re-</w:t>
      </w:r>
      <w:r w:rsidR="00A3673D" w:rsidRPr="00731703">
        <w:rPr>
          <w:lang w:val="en-GB"/>
        </w:rPr>
        <w:t>emphasised</w:t>
      </w:r>
      <w:r w:rsidR="00815DE6" w:rsidRPr="00DC1D7E">
        <w:rPr>
          <w:lang w:val="en-GB"/>
        </w:rPr>
        <w:t xml:space="preserve"> the view in </w:t>
      </w:r>
      <w:r w:rsidR="00815DE6" w:rsidRPr="00DC1D7E">
        <w:rPr>
          <w:i/>
          <w:lang w:val="en-GB"/>
        </w:rPr>
        <w:t>Montgomery</w:t>
      </w:r>
      <w:r w:rsidR="00815DE6" w:rsidRPr="00DC1D7E">
        <w:rPr>
          <w:lang w:val="en-GB"/>
        </w:rPr>
        <w:t xml:space="preserve"> that ‘a material risk cannot be reduced to percentages, is fact sensitive and sensitive to the characteristics of the patient.’</w:t>
      </w:r>
      <w:r w:rsidR="00815DE6" w:rsidRPr="00DC1D7E">
        <w:rPr>
          <w:rStyle w:val="FootnoteReference"/>
          <w:lang w:val="en-GB"/>
        </w:rPr>
        <w:footnoteReference w:id="131"/>
      </w:r>
      <w:r w:rsidR="00815DE6" w:rsidRPr="00DC1D7E">
        <w:rPr>
          <w:lang w:val="en-GB"/>
        </w:rPr>
        <w:t xml:space="preserve"> </w:t>
      </w:r>
      <w:r w:rsidR="00021049">
        <w:rPr>
          <w:lang w:val="en-GB"/>
        </w:rPr>
        <w:t>H</w:t>
      </w:r>
      <w:r w:rsidR="00815DE6" w:rsidRPr="00DC1D7E">
        <w:rPr>
          <w:lang w:val="en-GB"/>
        </w:rPr>
        <w:t xml:space="preserve">e recognised that GMC guidance made it clear </w:t>
      </w:r>
      <w:r w:rsidR="00B86D91">
        <w:rPr>
          <w:lang w:val="en-GB"/>
        </w:rPr>
        <w:t xml:space="preserve">that </w:t>
      </w:r>
      <w:r w:rsidR="00FA7DF4">
        <w:rPr>
          <w:lang w:val="en-GB"/>
        </w:rPr>
        <w:t xml:space="preserve">it was important to disclose </w:t>
      </w:r>
      <w:r w:rsidR="00815DE6" w:rsidRPr="00DC1D7E">
        <w:rPr>
          <w:lang w:val="en-GB"/>
        </w:rPr>
        <w:t xml:space="preserve">a small but well established risk of serious adverse outcome </w:t>
      </w:r>
      <w:r w:rsidR="00A60343">
        <w:rPr>
          <w:lang w:val="en-GB"/>
        </w:rPr>
        <w:t>when</w:t>
      </w:r>
      <w:r w:rsidR="00815DE6" w:rsidRPr="00DC1D7E">
        <w:rPr>
          <w:lang w:val="en-GB"/>
        </w:rPr>
        <w:t xml:space="preserve"> obtaining consent.</w:t>
      </w:r>
      <w:r w:rsidR="00815DE6" w:rsidRPr="00DC1D7E">
        <w:rPr>
          <w:rStyle w:val="FootnoteReference"/>
          <w:lang w:val="en-GB"/>
        </w:rPr>
        <w:footnoteReference w:id="132"/>
      </w:r>
      <w:r w:rsidR="00815DE6" w:rsidRPr="00DC1D7E">
        <w:rPr>
          <w:lang w:val="en-GB"/>
        </w:rPr>
        <w:t xml:space="preserve">  But the risk of chromosomal abnormality </w:t>
      </w:r>
      <w:r w:rsidR="005C5B92">
        <w:rPr>
          <w:lang w:val="en-GB"/>
        </w:rPr>
        <w:t>of</w:t>
      </w:r>
      <w:r w:rsidR="005C5B92" w:rsidRPr="00DC1D7E">
        <w:rPr>
          <w:lang w:val="en-GB"/>
        </w:rPr>
        <w:t xml:space="preserve"> </w:t>
      </w:r>
      <w:r w:rsidR="00815DE6" w:rsidRPr="00DC1D7E">
        <w:rPr>
          <w:lang w:val="en-GB"/>
        </w:rPr>
        <w:t>the claimant’s foetus (1 in 1,000) was considered ‘theoretical, negligible or background’.</w:t>
      </w:r>
      <w:r w:rsidR="00815DE6" w:rsidRPr="00DC1D7E">
        <w:rPr>
          <w:rStyle w:val="FootnoteReference"/>
          <w:lang w:val="en-GB"/>
        </w:rPr>
        <w:footnoteReference w:id="133"/>
      </w:r>
      <w:r w:rsidR="00815DE6" w:rsidRPr="00DC1D7E">
        <w:rPr>
          <w:lang w:val="en-GB"/>
        </w:rPr>
        <w:t xml:space="preserve">  </w:t>
      </w:r>
      <w:r w:rsidR="00815DE6" w:rsidRPr="00DC1D7E">
        <w:rPr>
          <w:lang w:val="en-GB"/>
        </w:rPr>
        <w:lastRenderedPageBreak/>
        <w:t xml:space="preserve">Comparing the risk of abnormality with the risk of premature </w:t>
      </w:r>
      <w:r w:rsidR="0049228E" w:rsidRPr="00DC1D7E">
        <w:rPr>
          <w:lang w:val="en-GB"/>
        </w:rPr>
        <w:t>delivery inherent in undergoing an amniocentesis (1 in 100) the judge concluded:</w:t>
      </w:r>
    </w:p>
    <w:p w14:paraId="57D13ED4" w14:textId="77777777" w:rsidR="0049228E" w:rsidRPr="00DC1D7E" w:rsidRDefault="0049228E" w:rsidP="00DC1D7E">
      <w:pPr>
        <w:spacing w:line="276" w:lineRule="auto"/>
        <w:ind w:left="720"/>
        <w:jc w:val="both"/>
        <w:rPr>
          <w:lang w:val="en-GB"/>
        </w:rPr>
      </w:pPr>
    </w:p>
    <w:p w14:paraId="76631FD6" w14:textId="16379E41" w:rsidR="00E402FC" w:rsidRPr="00DC1D7E" w:rsidRDefault="0049228E" w:rsidP="00DC1D7E">
      <w:pPr>
        <w:spacing w:line="276" w:lineRule="auto"/>
        <w:ind w:left="720"/>
        <w:jc w:val="both"/>
        <w:rPr>
          <w:lang w:val="en-GB"/>
        </w:rPr>
      </w:pPr>
      <w:r w:rsidRPr="00DC1D7E">
        <w:rPr>
          <w:lang w:val="en-GB"/>
        </w:rPr>
        <w:t xml:space="preserve">there was nothing to suggest that was a risk to which a reasonable patient … would have attached any significance … because the risks of having </w:t>
      </w:r>
      <w:r w:rsidR="006607D1" w:rsidRPr="00DC1D7E">
        <w:rPr>
          <w:lang w:val="en-GB"/>
        </w:rPr>
        <w:t xml:space="preserve">a disabled baby </w:t>
      </w:r>
      <w:r w:rsidRPr="00DC1D7E">
        <w:rPr>
          <w:lang w:val="en-GB"/>
        </w:rPr>
        <w:t>would have been greater from amniocentesis than from continuing with the pregnancy.</w:t>
      </w:r>
      <w:r w:rsidRPr="00DC1D7E">
        <w:rPr>
          <w:rStyle w:val="FootnoteReference"/>
          <w:lang w:val="en-GB"/>
        </w:rPr>
        <w:footnoteReference w:id="134"/>
      </w:r>
    </w:p>
    <w:p w14:paraId="70EB6A63" w14:textId="77777777" w:rsidR="00E402FC" w:rsidRPr="00DC1D7E" w:rsidRDefault="00E402FC" w:rsidP="001045A7">
      <w:pPr>
        <w:spacing w:line="276" w:lineRule="auto"/>
        <w:jc w:val="both"/>
        <w:rPr>
          <w:lang w:val="en-GB"/>
        </w:rPr>
      </w:pPr>
    </w:p>
    <w:p w14:paraId="1D5EAF86" w14:textId="3B03CC62" w:rsidR="001045A7" w:rsidRPr="00DC1D7E" w:rsidRDefault="006607D1" w:rsidP="001045A7">
      <w:pPr>
        <w:spacing w:line="276" w:lineRule="auto"/>
        <w:jc w:val="both"/>
        <w:rPr>
          <w:lang w:val="en-GB"/>
        </w:rPr>
      </w:pPr>
      <w:r w:rsidRPr="00DC1D7E">
        <w:rPr>
          <w:lang w:val="en-GB"/>
        </w:rPr>
        <w:t xml:space="preserve">Certain risks </w:t>
      </w:r>
      <w:r w:rsidR="001045A7" w:rsidRPr="00DC1D7E">
        <w:rPr>
          <w:lang w:val="en-GB"/>
        </w:rPr>
        <w:t xml:space="preserve">might fall below the </w:t>
      </w:r>
      <w:r w:rsidR="00DE45C1" w:rsidRPr="00DC1D7E">
        <w:rPr>
          <w:lang w:val="en-GB"/>
        </w:rPr>
        <w:t xml:space="preserve">materiality </w:t>
      </w:r>
      <w:r w:rsidR="001045A7" w:rsidRPr="00DC1D7E">
        <w:rPr>
          <w:lang w:val="en-GB"/>
        </w:rPr>
        <w:t>threshold</w:t>
      </w:r>
      <w:r w:rsidR="00584D30">
        <w:rPr>
          <w:lang w:val="en-GB"/>
        </w:rPr>
        <w:t>,</w:t>
      </w:r>
      <w:r w:rsidR="001045A7" w:rsidRPr="00DC1D7E">
        <w:rPr>
          <w:lang w:val="en-GB"/>
        </w:rPr>
        <w:t xml:space="preserve"> but </w:t>
      </w:r>
      <w:r w:rsidR="00801DDB">
        <w:rPr>
          <w:lang w:val="en-GB"/>
        </w:rPr>
        <w:t xml:space="preserve">this </w:t>
      </w:r>
      <w:r w:rsidR="00801DDB" w:rsidRPr="00DC1D7E">
        <w:rPr>
          <w:lang w:val="en-GB"/>
        </w:rPr>
        <w:t xml:space="preserve">is unlikely </w:t>
      </w:r>
      <w:r w:rsidR="001045A7" w:rsidRPr="00DC1D7E">
        <w:rPr>
          <w:lang w:val="en-GB"/>
        </w:rPr>
        <w:t>in the context of innovati</w:t>
      </w:r>
      <w:r w:rsidR="006539DD">
        <w:rPr>
          <w:lang w:val="en-GB"/>
        </w:rPr>
        <w:t>ve treatment</w:t>
      </w:r>
      <w:r w:rsidR="001045A7" w:rsidRPr="00DC1D7E">
        <w:rPr>
          <w:lang w:val="en-GB"/>
        </w:rPr>
        <w:t xml:space="preserve">.  The risks inherent in the modified immune cells given to </w:t>
      </w:r>
      <w:r w:rsidRPr="00DC1D7E">
        <w:rPr>
          <w:lang w:val="en-GB"/>
        </w:rPr>
        <w:t>Layla</w:t>
      </w:r>
      <w:r w:rsidR="0057683D">
        <w:rPr>
          <w:rStyle w:val="FootnoteReference"/>
          <w:lang w:val="en-GB"/>
        </w:rPr>
        <w:footnoteReference w:id="135"/>
      </w:r>
      <w:r w:rsidRPr="00DC1D7E">
        <w:rPr>
          <w:lang w:val="en-GB"/>
        </w:rPr>
        <w:t xml:space="preserve"> </w:t>
      </w:r>
      <w:r w:rsidR="001045A7" w:rsidRPr="00DC1D7E">
        <w:rPr>
          <w:lang w:val="en-GB"/>
        </w:rPr>
        <w:t xml:space="preserve">did not drop below the threshold of materiality despite the significant benefit of the therapy to </w:t>
      </w:r>
      <w:r w:rsidR="00801DDB">
        <w:rPr>
          <w:lang w:val="en-GB"/>
        </w:rPr>
        <w:t>her</w:t>
      </w:r>
      <w:r w:rsidR="001045A7" w:rsidRPr="00DC1D7E">
        <w:rPr>
          <w:lang w:val="en-GB"/>
        </w:rPr>
        <w:t xml:space="preserve">.  </w:t>
      </w:r>
      <w:r w:rsidRPr="00DC1D7E">
        <w:rPr>
          <w:lang w:val="en-GB"/>
        </w:rPr>
        <w:t xml:space="preserve">Nor would the higher risks of cancer reoccurring after </w:t>
      </w:r>
      <w:r>
        <w:rPr>
          <w:lang w:val="en-GB"/>
        </w:rPr>
        <w:t xml:space="preserve">Paterson’s </w:t>
      </w:r>
      <w:r w:rsidRPr="00DC1D7E">
        <w:rPr>
          <w:lang w:val="en-GB"/>
        </w:rPr>
        <w:t xml:space="preserve">‘cleavage sparing’ mastectomies be background or theoretical.  </w:t>
      </w:r>
      <w:r w:rsidR="00DF08C1">
        <w:rPr>
          <w:lang w:val="en-GB"/>
        </w:rPr>
        <w:t>It does not affect the materiality of a risk that no other treatment options are available, as in Layla’s case, because it is still open to a patient (or her parents in this example) to choose not to receive treatment.</w:t>
      </w:r>
      <w:r w:rsidR="002E53DD">
        <w:rPr>
          <w:lang w:val="en-GB"/>
        </w:rPr>
        <w:t xml:space="preserve"> It would undermine </w:t>
      </w:r>
      <w:r w:rsidR="002E53DD" w:rsidRPr="002E53DD">
        <w:rPr>
          <w:i/>
          <w:lang w:val="en-GB"/>
        </w:rPr>
        <w:t>Montgomery</w:t>
      </w:r>
      <w:r w:rsidR="002E53DD">
        <w:rPr>
          <w:lang w:val="en-GB"/>
        </w:rPr>
        <w:t xml:space="preserve">’s respect for bodily integrity and self-determination if the standard of disclosure was reduced in circumstances where an innovative therapy was the patient’s </w:t>
      </w:r>
      <w:r w:rsidR="00297D5B">
        <w:rPr>
          <w:lang w:val="en-GB"/>
        </w:rPr>
        <w:t xml:space="preserve">only </w:t>
      </w:r>
      <w:r w:rsidR="002E53DD">
        <w:rPr>
          <w:lang w:val="en-GB"/>
        </w:rPr>
        <w:t>remaining treatment option.</w:t>
      </w:r>
      <w:r w:rsidR="00DF08C1">
        <w:rPr>
          <w:lang w:val="en-GB"/>
        </w:rPr>
        <w:t xml:space="preserve"> </w:t>
      </w:r>
    </w:p>
    <w:p w14:paraId="54807C93" w14:textId="77777777" w:rsidR="001045A7" w:rsidRPr="004D5F19" w:rsidRDefault="001045A7" w:rsidP="001045A7">
      <w:pPr>
        <w:spacing w:line="276" w:lineRule="auto"/>
        <w:jc w:val="both"/>
        <w:rPr>
          <w:lang w:val="en-GB"/>
        </w:rPr>
      </w:pPr>
    </w:p>
    <w:p w14:paraId="6037E586" w14:textId="62F9CCDE" w:rsidR="001045A7" w:rsidRPr="004D5F19" w:rsidRDefault="001045A7" w:rsidP="00EF5A96">
      <w:pPr>
        <w:spacing w:line="276" w:lineRule="auto"/>
        <w:jc w:val="both"/>
        <w:outlineLvl w:val="0"/>
        <w:rPr>
          <w:i/>
          <w:lang w:val="en-GB"/>
        </w:rPr>
      </w:pPr>
      <w:r w:rsidRPr="004D5F19">
        <w:rPr>
          <w:i/>
          <w:lang w:val="en-GB"/>
        </w:rPr>
        <w:t xml:space="preserve">The importance to the patient of the benefits of treatment </w:t>
      </w:r>
    </w:p>
    <w:p w14:paraId="1D3943E9" w14:textId="58A80CE9" w:rsidR="0012499E" w:rsidRPr="00C646D0" w:rsidRDefault="001045A7" w:rsidP="00CC6E3F">
      <w:pPr>
        <w:spacing w:line="276" w:lineRule="auto"/>
        <w:jc w:val="both"/>
      </w:pPr>
      <w:r w:rsidRPr="004D5F19">
        <w:rPr>
          <w:lang w:val="en-GB"/>
        </w:rPr>
        <w:t>The nature of the risk and effect on the patient must be con</w:t>
      </w:r>
      <w:r w:rsidR="00D249BC">
        <w:rPr>
          <w:lang w:val="en-GB"/>
        </w:rPr>
        <w:t xml:space="preserve">sidered in </w:t>
      </w:r>
      <w:r w:rsidR="00021049">
        <w:rPr>
          <w:lang w:val="en-GB"/>
        </w:rPr>
        <w:t>light</w:t>
      </w:r>
      <w:r w:rsidR="00D249BC">
        <w:rPr>
          <w:lang w:val="en-GB"/>
        </w:rPr>
        <w:t xml:space="preserve"> of the </w:t>
      </w:r>
      <w:r w:rsidRPr="004D5F19">
        <w:rPr>
          <w:lang w:val="en-GB"/>
        </w:rPr>
        <w:t xml:space="preserve">importance to the patient of the benefits of treatment, although it is </w:t>
      </w:r>
      <w:r w:rsidR="00D249BC">
        <w:t xml:space="preserve">unlikely </w:t>
      </w:r>
      <w:r w:rsidRPr="004D5F19">
        <w:rPr>
          <w:lang w:val="en-GB"/>
        </w:rPr>
        <w:t>the benefits of treatment would weigh against disclosure of risks</w:t>
      </w:r>
      <w:r w:rsidR="00D249BC">
        <w:rPr>
          <w:lang w:val="en-GB"/>
        </w:rPr>
        <w:t xml:space="preserve">, especially given the limited </w:t>
      </w:r>
      <w:r w:rsidR="006539DD">
        <w:rPr>
          <w:lang w:val="en-GB"/>
        </w:rPr>
        <w:t xml:space="preserve">contemporary </w:t>
      </w:r>
      <w:r w:rsidR="00636936">
        <w:rPr>
          <w:lang w:val="en-GB"/>
        </w:rPr>
        <w:t>role for</w:t>
      </w:r>
      <w:r w:rsidR="00D249BC">
        <w:rPr>
          <w:lang w:val="en-GB"/>
        </w:rPr>
        <w:t xml:space="preserve"> therapeutic privilege</w:t>
      </w:r>
      <w:r w:rsidRPr="004D5F19">
        <w:rPr>
          <w:lang w:val="en-GB"/>
        </w:rPr>
        <w:t>.</w:t>
      </w:r>
      <w:r w:rsidR="00D249BC">
        <w:rPr>
          <w:rStyle w:val="FootnoteReference"/>
          <w:lang w:val="en-GB"/>
        </w:rPr>
        <w:footnoteReference w:id="136"/>
      </w:r>
      <w:r w:rsidRPr="004D5F19">
        <w:rPr>
          <w:lang w:val="en-GB"/>
        </w:rPr>
        <w:t xml:space="preserve">  For example, disclosure of the risk of physical injury during ECT in </w:t>
      </w:r>
      <w:proofErr w:type="spellStart"/>
      <w:r w:rsidRPr="004D5F19">
        <w:rPr>
          <w:i/>
          <w:lang w:val="en-GB"/>
        </w:rPr>
        <w:t>Bolam</w:t>
      </w:r>
      <w:proofErr w:type="spellEnd"/>
      <w:r w:rsidRPr="004D5F19">
        <w:rPr>
          <w:vertAlign w:val="superscript"/>
          <w:lang w:val="en-GB"/>
        </w:rPr>
        <w:footnoteReference w:id="137"/>
      </w:r>
      <w:r w:rsidRPr="004D5F19">
        <w:rPr>
          <w:lang w:val="en-GB"/>
        </w:rPr>
        <w:t xml:space="preserve"> would </w:t>
      </w:r>
      <w:r w:rsidR="006539DD">
        <w:rPr>
          <w:lang w:val="en-GB"/>
        </w:rPr>
        <w:t xml:space="preserve">now </w:t>
      </w:r>
      <w:r w:rsidRPr="004D5F19">
        <w:rPr>
          <w:lang w:val="en-GB"/>
        </w:rPr>
        <w:t>unlikely be countervailed</w:t>
      </w:r>
      <w:r w:rsidR="004D5F19">
        <w:rPr>
          <w:lang w:val="en-GB"/>
        </w:rPr>
        <w:t xml:space="preserve"> </w:t>
      </w:r>
      <w:r w:rsidRPr="004D5F19">
        <w:rPr>
          <w:lang w:val="en-GB"/>
        </w:rPr>
        <w:t xml:space="preserve">by the argument it was beneficial to the patient to undergo treatment.  </w:t>
      </w:r>
      <w:r w:rsidR="000C0A54" w:rsidRPr="00987A1D">
        <w:rPr>
          <w:lang w:val="en-GB"/>
        </w:rPr>
        <w:t>However, where risk</w:t>
      </w:r>
      <w:r w:rsidR="00021049">
        <w:rPr>
          <w:lang w:val="en-GB"/>
        </w:rPr>
        <w:t>s</w:t>
      </w:r>
      <w:r w:rsidR="000C0A54" w:rsidRPr="00987A1D">
        <w:rPr>
          <w:lang w:val="en-GB"/>
        </w:rPr>
        <w:t xml:space="preserve"> </w:t>
      </w:r>
      <w:r w:rsidR="00021049">
        <w:rPr>
          <w:lang w:val="en-GB"/>
        </w:rPr>
        <w:t>are</w:t>
      </w:r>
      <w:r w:rsidR="00021049" w:rsidRPr="00987A1D">
        <w:rPr>
          <w:lang w:val="en-GB"/>
        </w:rPr>
        <w:t xml:space="preserve"> </w:t>
      </w:r>
      <w:r w:rsidR="000C0A54" w:rsidRPr="00987A1D">
        <w:rPr>
          <w:lang w:val="en-GB"/>
        </w:rPr>
        <w:t xml:space="preserve">background or theoretical like in </w:t>
      </w:r>
      <w:r w:rsidR="000C0A54" w:rsidRPr="00987A1D">
        <w:rPr>
          <w:i/>
          <w:lang w:val="en-GB"/>
        </w:rPr>
        <w:t>A v East Kent Hospitals</w:t>
      </w:r>
      <w:r w:rsidR="000C0A54" w:rsidRPr="00987A1D">
        <w:rPr>
          <w:lang w:val="en-GB"/>
        </w:rPr>
        <w:t>, the importance of the treatment would clearly outweigh the benefits of disclosing such a risk</w:t>
      </w:r>
      <w:r w:rsidR="003B300E">
        <w:rPr>
          <w:lang w:val="en-GB"/>
        </w:rPr>
        <w:t xml:space="preserve"> </w:t>
      </w:r>
      <w:r w:rsidR="006539DD">
        <w:rPr>
          <w:lang w:val="en-GB"/>
        </w:rPr>
        <w:t xml:space="preserve">because it is </w:t>
      </w:r>
      <w:r w:rsidR="006607D1">
        <w:rPr>
          <w:lang w:val="en-GB"/>
        </w:rPr>
        <w:t xml:space="preserve">immaterial. </w:t>
      </w:r>
      <w:r w:rsidR="002E53DD">
        <w:rPr>
          <w:lang w:val="en-GB"/>
        </w:rPr>
        <w:t>This would appear to make this criterion somewhat redundant, as if risks are immaterial they do not need to be disclosed</w:t>
      </w:r>
      <w:r w:rsidR="00DC3405">
        <w:rPr>
          <w:lang w:val="en-GB"/>
        </w:rPr>
        <w:t>, and material risks cannot be withheld from patients even if the treatment is, medically, in their best interests</w:t>
      </w:r>
      <w:r w:rsidR="002E53DD">
        <w:rPr>
          <w:lang w:val="en-GB"/>
        </w:rPr>
        <w:t xml:space="preserve">.  </w:t>
      </w:r>
      <w:r w:rsidR="00DC3405">
        <w:rPr>
          <w:lang w:val="en-GB"/>
        </w:rPr>
        <w:t xml:space="preserve">Thus </w:t>
      </w:r>
      <w:r w:rsidR="00816ACF">
        <w:rPr>
          <w:lang w:val="en-GB"/>
        </w:rPr>
        <w:t xml:space="preserve">the importance of treatment criterion </w:t>
      </w:r>
      <w:r w:rsidR="002E53DD">
        <w:rPr>
          <w:lang w:val="en-GB"/>
        </w:rPr>
        <w:t>could be understood as playing a larger role where doctors are applying therapeutic privilege</w:t>
      </w:r>
      <w:r w:rsidR="00816ACF">
        <w:rPr>
          <w:lang w:val="en-GB"/>
        </w:rPr>
        <w:t>, as</w:t>
      </w:r>
      <w:r w:rsidR="002E53DD">
        <w:rPr>
          <w:lang w:val="en-GB"/>
        </w:rPr>
        <w:t xml:space="preserve"> in psychiatry (where over-information can lead to disengagement with treatment</w:t>
      </w:r>
      <w:r w:rsidR="00816ACF">
        <w:rPr>
          <w:lang w:val="en-GB"/>
        </w:rPr>
        <w:t xml:space="preserve"> by a vulnerable patient</w:t>
      </w:r>
      <w:r w:rsidR="002E53DD">
        <w:rPr>
          <w:lang w:val="en-GB"/>
        </w:rPr>
        <w:t xml:space="preserve">) than </w:t>
      </w:r>
      <w:r w:rsidR="00816ACF">
        <w:rPr>
          <w:lang w:val="en-GB"/>
        </w:rPr>
        <w:t xml:space="preserve">in </w:t>
      </w:r>
      <w:r w:rsidR="002E53DD">
        <w:rPr>
          <w:lang w:val="en-GB"/>
        </w:rPr>
        <w:t>mainstream clinical practice.</w:t>
      </w:r>
      <w:r w:rsidR="00E94770">
        <w:rPr>
          <w:rStyle w:val="FootnoteReference"/>
          <w:lang w:val="en-GB"/>
        </w:rPr>
        <w:footnoteReference w:id="138"/>
      </w:r>
      <w:r w:rsidR="00816ACF">
        <w:t xml:space="preserve"> </w:t>
      </w:r>
    </w:p>
    <w:p w14:paraId="524BA7E1" w14:textId="77777777" w:rsidR="008171E1" w:rsidRDefault="008171E1" w:rsidP="008171E1">
      <w:pPr>
        <w:pStyle w:val="Default"/>
      </w:pPr>
    </w:p>
    <w:p w14:paraId="3B744D96" w14:textId="374479D8" w:rsidR="008171E1" w:rsidRDefault="00993D05" w:rsidP="007C2E63">
      <w:pPr>
        <w:pStyle w:val="Pa20"/>
        <w:spacing w:line="276" w:lineRule="auto"/>
        <w:jc w:val="both"/>
        <w:rPr>
          <w:rFonts w:ascii="Times New Roman" w:hAnsi="Times New Roman" w:cs="Times New Roman"/>
        </w:rPr>
      </w:pPr>
      <w:r w:rsidRPr="004859F2">
        <w:rPr>
          <w:rFonts w:ascii="Times New Roman" w:hAnsi="Times New Roman" w:cs="Times New Roman"/>
        </w:rPr>
        <w:lastRenderedPageBreak/>
        <w:t xml:space="preserve">The therapeutic exception is not intended to subvert the principle that the patient should make the decision whether to undergo a proposed course of treatment </w:t>
      </w:r>
      <w:r w:rsidR="00A11EE5">
        <w:rPr>
          <w:rFonts w:ascii="Times New Roman" w:hAnsi="Times New Roman" w:cs="Times New Roman"/>
        </w:rPr>
        <w:t>‘</w:t>
      </w:r>
      <w:r w:rsidRPr="004859F2">
        <w:rPr>
          <w:rFonts w:ascii="Times New Roman" w:hAnsi="Times New Roman" w:cs="Times New Roman"/>
        </w:rPr>
        <w:t>by enabling the doctor to prevent the patient from making an informed choice where she is liable to make a choice which the doctor considers to be contrary to her best interests</w:t>
      </w:r>
      <w:r w:rsidR="00A11EE5" w:rsidRPr="004859F2">
        <w:rPr>
          <w:rFonts w:ascii="Times New Roman" w:hAnsi="Times New Roman" w:cs="Times New Roman"/>
        </w:rPr>
        <w:t>.</w:t>
      </w:r>
      <w:r w:rsidR="00A11EE5">
        <w:rPr>
          <w:rFonts w:ascii="Times New Roman" w:hAnsi="Times New Roman" w:cs="Times New Roman"/>
        </w:rPr>
        <w:t>’</w:t>
      </w:r>
      <w:r w:rsidRPr="004859F2">
        <w:rPr>
          <w:rStyle w:val="FootnoteReference"/>
          <w:rFonts w:ascii="Times New Roman" w:hAnsi="Times New Roman" w:cs="Times New Roman"/>
        </w:rPr>
        <w:footnoteReference w:id="139"/>
      </w:r>
      <w:r w:rsidRPr="004859F2">
        <w:rPr>
          <w:rFonts w:ascii="Times New Roman" w:hAnsi="Times New Roman" w:cs="Times New Roman"/>
          <w:sz w:val="26"/>
          <w:szCs w:val="26"/>
        </w:rPr>
        <w:t xml:space="preserve"> </w:t>
      </w:r>
      <w:r w:rsidR="008171E1" w:rsidRPr="004859F2">
        <w:rPr>
          <w:rFonts w:ascii="Times New Roman" w:hAnsi="Times New Roman" w:cs="Times New Roman"/>
        </w:rPr>
        <w:t>I</w:t>
      </w:r>
      <w:r w:rsidR="008171E1" w:rsidRPr="00AB5DB6">
        <w:rPr>
          <w:rFonts w:ascii="Times New Roman" w:hAnsi="Times New Roman" w:cs="Times New Roman"/>
        </w:rPr>
        <w:t xml:space="preserve">n </w:t>
      </w:r>
      <w:proofErr w:type="spellStart"/>
      <w:r w:rsidR="008171E1" w:rsidRPr="00AB5DB6">
        <w:rPr>
          <w:rFonts w:ascii="Times New Roman" w:hAnsi="Times New Roman" w:cs="Times New Roman"/>
          <w:i/>
          <w:iCs/>
        </w:rPr>
        <w:t>Morocz</w:t>
      </w:r>
      <w:proofErr w:type="spellEnd"/>
      <w:r w:rsidR="008171E1" w:rsidRPr="00AB5DB6">
        <w:rPr>
          <w:rFonts w:ascii="Times New Roman" w:hAnsi="Times New Roman" w:cs="Times New Roman"/>
        </w:rPr>
        <w:t xml:space="preserve"> i</w:t>
      </w:r>
      <w:r w:rsidR="008171E1" w:rsidRPr="004859F2">
        <w:rPr>
          <w:rFonts w:ascii="Times New Roman" w:hAnsi="Times New Roman" w:cs="Times New Roman"/>
        </w:rPr>
        <w:t xml:space="preserve">t </w:t>
      </w:r>
      <w:r w:rsidR="008171E1" w:rsidRPr="00AB5DB6">
        <w:rPr>
          <w:rFonts w:ascii="Times New Roman" w:hAnsi="Times New Roman" w:cs="Times New Roman"/>
        </w:rPr>
        <w:t>was</w:t>
      </w:r>
      <w:r w:rsidR="008171E1" w:rsidRPr="004859F2">
        <w:rPr>
          <w:rFonts w:ascii="Times New Roman" w:hAnsi="Times New Roman" w:cs="Times New Roman"/>
        </w:rPr>
        <w:t xml:space="preserve"> held that the duty to provide information d</w:t>
      </w:r>
      <w:r w:rsidR="008171E1" w:rsidRPr="00AB5DB6">
        <w:rPr>
          <w:rFonts w:ascii="Times New Roman" w:hAnsi="Times New Roman" w:cs="Times New Roman"/>
        </w:rPr>
        <w:t>id</w:t>
      </w:r>
      <w:r w:rsidR="008171E1" w:rsidRPr="004859F2">
        <w:rPr>
          <w:rFonts w:ascii="Times New Roman" w:hAnsi="Times New Roman" w:cs="Times New Roman"/>
        </w:rPr>
        <w:t xml:space="preserve"> not include telling the patient that they are not a suitable candidate for the surgery or that it would be unwise for them to proceed.</w:t>
      </w:r>
      <w:r w:rsidR="008171E1" w:rsidRPr="00AB5DB6">
        <w:rPr>
          <w:rStyle w:val="FootnoteReference"/>
          <w:rFonts w:ascii="Times New Roman" w:hAnsi="Times New Roman" w:cs="Times New Roman"/>
        </w:rPr>
        <w:footnoteReference w:id="140"/>
      </w:r>
      <w:r w:rsidR="008171E1" w:rsidRPr="004859F2">
        <w:rPr>
          <w:rStyle w:val="A8"/>
          <w:rFonts w:ascii="Times New Roman" w:hAnsi="Times New Roman" w:cs="Times New Roman"/>
          <w:sz w:val="24"/>
          <w:szCs w:val="24"/>
        </w:rPr>
        <w:t xml:space="preserve"> </w:t>
      </w:r>
    </w:p>
    <w:p w14:paraId="419A9F4E" w14:textId="01D57D7F" w:rsidR="0012499E" w:rsidRPr="004D5F19" w:rsidRDefault="0012499E" w:rsidP="008171E1">
      <w:pPr>
        <w:spacing w:line="276" w:lineRule="auto"/>
        <w:jc w:val="both"/>
        <w:rPr>
          <w:lang w:val="en-GB"/>
        </w:rPr>
      </w:pPr>
    </w:p>
    <w:p w14:paraId="04D1FDD2" w14:textId="0DCC2BE0" w:rsidR="001045A7" w:rsidRDefault="00423C73" w:rsidP="001045A7">
      <w:pPr>
        <w:spacing w:line="276" w:lineRule="auto"/>
        <w:jc w:val="both"/>
        <w:rPr>
          <w:lang w:val="en-GB"/>
        </w:rPr>
      </w:pPr>
      <w:r>
        <w:rPr>
          <w:lang w:val="en-GB"/>
        </w:rPr>
        <w:t>Identifying</w:t>
      </w:r>
      <w:r w:rsidR="0012499E" w:rsidRPr="00CE3C3A">
        <w:rPr>
          <w:lang w:val="en-GB"/>
        </w:rPr>
        <w:t xml:space="preserve"> the relevant risk</w:t>
      </w:r>
      <w:r w:rsidR="00021049">
        <w:rPr>
          <w:lang w:val="en-GB"/>
        </w:rPr>
        <w:t>,</w:t>
      </w:r>
      <w:r w:rsidR="0012499E" w:rsidRPr="00CE3C3A">
        <w:rPr>
          <w:lang w:val="en-GB"/>
        </w:rPr>
        <w:t xml:space="preserve"> the extent or severity of the potential injury</w:t>
      </w:r>
      <w:r w:rsidR="00021049">
        <w:rPr>
          <w:lang w:val="en-GB"/>
        </w:rPr>
        <w:t>,</w:t>
      </w:r>
      <w:r w:rsidR="0012499E" w:rsidRPr="00CE3C3A">
        <w:rPr>
          <w:lang w:val="en-GB"/>
        </w:rPr>
        <w:t xml:space="preserve"> and the likelihood of this injury </w:t>
      </w:r>
      <w:r w:rsidR="00073723">
        <w:rPr>
          <w:lang w:val="en-GB"/>
        </w:rPr>
        <w:t>occurring</w:t>
      </w:r>
      <w:r w:rsidR="0012499E" w:rsidRPr="00CE3C3A">
        <w:rPr>
          <w:lang w:val="en-GB"/>
        </w:rPr>
        <w:t xml:space="preserve">, </w:t>
      </w:r>
      <w:r w:rsidR="002F6823">
        <w:rPr>
          <w:lang w:val="en-GB"/>
        </w:rPr>
        <w:t>must</w:t>
      </w:r>
      <w:r w:rsidR="0012499E" w:rsidRPr="00CE3C3A">
        <w:rPr>
          <w:lang w:val="en-GB"/>
        </w:rPr>
        <w:t xml:space="preserve"> be balanced against the patient’s circumstances. </w:t>
      </w:r>
      <w:r w:rsidR="00A3673D">
        <w:rPr>
          <w:lang w:val="en-GB"/>
        </w:rPr>
        <w:t xml:space="preserve">In </w:t>
      </w:r>
      <w:r w:rsidR="00A3673D" w:rsidRPr="00CE3C3A">
        <w:rPr>
          <w:i/>
          <w:lang w:val="en-GB"/>
        </w:rPr>
        <w:t>Rosenberg</w:t>
      </w:r>
      <w:r w:rsidR="00A3673D">
        <w:rPr>
          <w:lang w:val="en-GB"/>
        </w:rPr>
        <w:t>, the court noted the</w:t>
      </w:r>
      <w:r w:rsidR="0012499E" w:rsidRPr="00CE3C3A">
        <w:rPr>
          <w:lang w:val="en-GB"/>
        </w:rPr>
        <w:t xml:space="preserve"> </w:t>
      </w:r>
      <w:r w:rsidR="00A3673D">
        <w:rPr>
          <w:lang w:val="en-GB"/>
        </w:rPr>
        <w:t>‘</w:t>
      </w:r>
      <w:r w:rsidR="0012499E" w:rsidRPr="00CE3C3A">
        <w:rPr>
          <w:lang w:val="en-GB"/>
        </w:rPr>
        <w:t>patient's need for the operation is important, as is the existence of reasonably available and satisfactory alternative treatments.</w:t>
      </w:r>
      <w:r w:rsidR="00A3673D">
        <w:rPr>
          <w:lang w:val="en-GB"/>
        </w:rPr>
        <w:t>’</w:t>
      </w:r>
      <w:r w:rsidR="00A3673D">
        <w:rPr>
          <w:rStyle w:val="FootnoteReference"/>
          <w:lang w:val="en-GB"/>
        </w:rPr>
        <w:footnoteReference w:id="141"/>
      </w:r>
      <w:r w:rsidR="0012499E" w:rsidRPr="00CE3C3A">
        <w:rPr>
          <w:lang w:val="en-GB"/>
        </w:rPr>
        <w:t xml:space="preserve"> </w:t>
      </w:r>
      <w:r w:rsidR="00021049">
        <w:rPr>
          <w:lang w:val="en-GB"/>
        </w:rPr>
        <w:t>F</w:t>
      </w:r>
      <w:r w:rsidR="00A3673D">
        <w:rPr>
          <w:lang w:val="en-GB"/>
        </w:rPr>
        <w:t>urther</w:t>
      </w:r>
      <w:r w:rsidR="00086958">
        <w:rPr>
          <w:lang w:val="en-GB"/>
        </w:rPr>
        <w:t>more</w:t>
      </w:r>
      <w:r w:rsidR="00021049">
        <w:rPr>
          <w:lang w:val="en-GB"/>
        </w:rPr>
        <w:t>,</w:t>
      </w:r>
      <w:r w:rsidR="00A3673D">
        <w:rPr>
          <w:lang w:val="en-GB"/>
        </w:rPr>
        <w:t xml:space="preserve"> a ‘</w:t>
      </w:r>
      <w:r w:rsidR="0012499E" w:rsidRPr="00CE3C3A">
        <w:rPr>
          <w:lang w:val="en-GB"/>
        </w:rPr>
        <w:t>patient may be more likely to attach significance to a risk if the procedure is elective rather than life saving.</w:t>
      </w:r>
      <w:r w:rsidR="00A3673D">
        <w:rPr>
          <w:lang w:val="en-GB"/>
        </w:rPr>
        <w:t>’</w:t>
      </w:r>
      <w:r w:rsidR="0012499E" w:rsidRPr="00CE3C3A">
        <w:rPr>
          <w:rStyle w:val="FootnoteReference"/>
          <w:lang w:val="en-GB"/>
        </w:rPr>
        <w:footnoteReference w:id="142"/>
      </w:r>
      <w:r w:rsidR="000C0A54" w:rsidRPr="00CE3C3A">
        <w:rPr>
          <w:lang w:val="en-GB"/>
        </w:rPr>
        <w:t xml:space="preserve">  </w:t>
      </w:r>
      <w:r w:rsidR="00E21B17">
        <w:rPr>
          <w:lang w:val="en-GB"/>
        </w:rPr>
        <w:t>But even w</w:t>
      </w:r>
      <w:r w:rsidR="00E21B17" w:rsidRPr="00CE3C3A">
        <w:rPr>
          <w:lang w:val="en-GB"/>
        </w:rPr>
        <w:t>he</w:t>
      </w:r>
      <w:r w:rsidR="00E21B17">
        <w:rPr>
          <w:lang w:val="en-GB"/>
        </w:rPr>
        <w:t>n</w:t>
      </w:r>
      <w:r w:rsidR="00E21B17" w:rsidRPr="00CE3C3A">
        <w:rPr>
          <w:lang w:val="en-GB"/>
        </w:rPr>
        <w:t xml:space="preserve"> </w:t>
      </w:r>
      <w:r w:rsidR="000C0A54" w:rsidRPr="00CE3C3A">
        <w:rPr>
          <w:lang w:val="en-GB"/>
        </w:rPr>
        <w:t xml:space="preserve">the </w:t>
      </w:r>
      <w:r w:rsidR="002A558F" w:rsidRPr="00CE3C3A">
        <w:rPr>
          <w:lang w:val="en-GB"/>
        </w:rPr>
        <w:t xml:space="preserve">benefit </w:t>
      </w:r>
      <w:r>
        <w:rPr>
          <w:lang w:val="en-GB"/>
        </w:rPr>
        <w:t xml:space="preserve">of innovative treatment </w:t>
      </w:r>
      <w:r w:rsidR="00021049">
        <w:rPr>
          <w:lang w:val="en-GB"/>
        </w:rPr>
        <w:t>is potentially</w:t>
      </w:r>
      <w:r w:rsidR="002A558F" w:rsidRPr="00CE3C3A">
        <w:rPr>
          <w:lang w:val="en-GB"/>
        </w:rPr>
        <w:t xml:space="preserve"> lifesaving, </w:t>
      </w:r>
      <w:r w:rsidR="004D5F19">
        <w:rPr>
          <w:lang w:val="en-GB"/>
        </w:rPr>
        <w:t>like</w:t>
      </w:r>
      <w:r w:rsidR="002A558F" w:rsidRPr="00CE3C3A">
        <w:rPr>
          <w:lang w:val="en-GB"/>
        </w:rPr>
        <w:t xml:space="preserve"> the modified immune cells in </w:t>
      </w:r>
      <w:r w:rsidR="002F6823">
        <w:rPr>
          <w:lang w:val="en-GB"/>
        </w:rPr>
        <w:t>Layla’s</w:t>
      </w:r>
      <w:r w:rsidR="002F6823" w:rsidRPr="00CE3C3A">
        <w:rPr>
          <w:lang w:val="en-GB"/>
        </w:rPr>
        <w:t xml:space="preserve"> </w:t>
      </w:r>
      <w:r w:rsidR="002A558F" w:rsidRPr="00CE3C3A">
        <w:rPr>
          <w:lang w:val="en-GB"/>
        </w:rPr>
        <w:t>case, the positiv</w:t>
      </w:r>
      <w:r w:rsidR="00086958">
        <w:rPr>
          <w:lang w:val="en-GB"/>
        </w:rPr>
        <w:t>e</w:t>
      </w:r>
      <w:r w:rsidR="002A558F" w:rsidRPr="00CE3C3A">
        <w:rPr>
          <w:lang w:val="en-GB"/>
        </w:rPr>
        <w:t xml:space="preserve"> outcome </w:t>
      </w:r>
      <w:r w:rsidR="00E21B17">
        <w:rPr>
          <w:lang w:val="en-GB"/>
        </w:rPr>
        <w:t>cannot make risks immaterial</w:t>
      </w:r>
      <w:r w:rsidR="002A558F" w:rsidRPr="00CE3C3A">
        <w:rPr>
          <w:lang w:val="en-GB"/>
        </w:rPr>
        <w:t xml:space="preserve">.  </w:t>
      </w:r>
      <w:r w:rsidR="00857816">
        <w:rPr>
          <w:lang w:val="en-GB"/>
        </w:rPr>
        <w:t>Material</w:t>
      </w:r>
      <w:r w:rsidR="006607D1" w:rsidRPr="00CE3C3A">
        <w:rPr>
          <w:lang w:val="en-GB"/>
        </w:rPr>
        <w:t xml:space="preserve"> </w:t>
      </w:r>
      <w:r w:rsidR="002A558F" w:rsidRPr="00CE3C3A">
        <w:rPr>
          <w:lang w:val="en-GB"/>
        </w:rPr>
        <w:t>risks would be countervailed by potential</w:t>
      </w:r>
      <w:r w:rsidR="00086958">
        <w:rPr>
          <w:lang w:val="en-GB"/>
        </w:rPr>
        <w:t>ly</w:t>
      </w:r>
      <w:r w:rsidR="002A558F" w:rsidRPr="00CE3C3A">
        <w:rPr>
          <w:lang w:val="en-GB"/>
        </w:rPr>
        <w:t xml:space="preserve"> lifesaving innovation</w:t>
      </w:r>
      <w:r w:rsidR="00086958">
        <w:rPr>
          <w:lang w:val="en-GB"/>
        </w:rPr>
        <w:t>s</w:t>
      </w:r>
      <w:r w:rsidR="002A558F" w:rsidRPr="00CE3C3A">
        <w:rPr>
          <w:lang w:val="en-GB"/>
        </w:rPr>
        <w:t xml:space="preserve">; for example, the unknown risk of modified immune cells would remain material even in the face of the patient’s death.  </w:t>
      </w:r>
      <w:r w:rsidR="00A3673D">
        <w:rPr>
          <w:lang w:val="en-GB"/>
        </w:rPr>
        <w:t xml:space="preserve">The risk of </w:t>
      </w:r>
      <w:r w:rsidR="00086958">
        <w:rPr>
          <w:lang w:val="en-GB"/>
        </w:rPr>
        <w:t xml:space="preserve">unknown </w:t>
      </w:r>
      <w:r w:rsidR="00A3673D">
        <w:rPr>
          <w:lang w:val="en-GB"/>
        </w:rPr>
        <w:t>harm</w:t>
      </w:r>
      <w:r w:rsidR="00086958">
        <w:rPr>
          <w:lang w:val="en-GB"/>
        </w:rPr>
        <w:t>s in a</w:t>
      </w:r>
      <w:r w:rsidR="00A3673D">
        <w:rPr>
          <w:lang w:val="en-GB"/>
        </w:rPr>
        <w:t xml:space="preserve"> procedure not previously used to treat a human being is </w:t>
      </w:r>
      <w:r w:rsidR="00086958">
        <w:rPr>
          <w:lang w:val="en-GB"/>
        </w:rPr>
        <w:t xml:space="preserve">not </w:t>
      </w:r>
      <w:r w:rsidR="00A3673D">
        <w:rPr>
          <w:lang w:val="en-GB"/>
        </w:rPr>
        <w:t>background or theoretical</w:t>
      </w:r>
      <w:r w:rsidR="00857816">
        <w:rPr>
          <w:lang w:val="en-GB"/>
        </w:rPr>
        <w:t>,</w:t>
      </w:r>
      <w:r w:rsidR="00A3673D">
        <w:rPr>
          <w:rStyle w:val="FootnoteReference"/>
          <w:lang w:val="en-GB"/>
        </w:rPr>
        <w:footnoteReference w:id="143"/>
      </w:r>
      <w:r w:rsidR="00A3673D">
        <w:rPr>
          <w:lang w:val="en-GB"/>
        </w:rPr>
        <w:t xml:space="preserve"> </w:t>
      </w:r>
      <w:r w:rsidR="00857816">
        <w:rPr>
          <w:lang w:val="en-GB"/>
        </w:rPr>
        <w:t>even when balanced against death.</w:t>
      </w:r>
      <w:r w:rsidR="00A3673D">
        <w:rPr>
          <w:lang w:val="en-GB"/>
        </w:rPr>
        <w:t xml:space="preserve"> </w:t>
      </w:r>
      <w:r w:rsidR="001961FC">
        <w:rPr>
          <w:lang w:val="en-GB"/>
        </w:rPr>
        <w:t>A</w:t>
      </w:r>
      <w:r w:rsidR="002A558F" w:rsidRPr="00CE3C3A">
        <w:rPr>
          <w:lang w:val="en-GB"/>
        </w:rPr>
        <w:t xml:space="preserve">n informed decision </w:t>
      </w:r>
      <w:r w:rsidR="001961FC">
        <w:rPr>
          <w:lang w:val="en-GB"/>
        </w:rPr>
        <w:t xml:space="preserve">could not be made </w:t>
      </w:r>
      <w:r w:rsidR="002A558F" w:rsidRPr="00CE3C3A">
        <w:rPr>
          <w:lang w:val="en-GB"/>
        </w:rPr>
        <w:t>without knowing that accept</w:t>
      </w:r>
      <w:r w:rsidR="00021049">
        <w:rPr>
          <w:lang w:val="en-GB"/>
        </w:rPr>
        <w:t>ing</w:t>
      </w:r>
      <w:r w:rsidR="002A558F" w:rsidRPr="00CE3C3A">
        <w:rPr>
          <w:lang w:val="en-GB"/>
        </w:rPr>
        <w:t xml:space="preserve"> treatment is a leap into the unknown.  </w:t>
      </w:r>
      <w:r w:rsidR="00E91166">
        <w:rPr>
          <w:lang w:val="en-GB"/>
        </w:rPr>
        <w:t>Equally, w</w:t>
      </w:r>
      <w:r w:rsidR="00E91166" w:rsidRPr="00CE3C3A">
        <w:rPr>
          <w:lang w:val="en-GB"/>
        </w:rPr>
        <w:t xml:space="preserve">here </w:t>
      </w:r>
      <w:r w:rsidR="002A558F" w:rsidRPr="00CE3C3A">
        <w:rPr>
          <w:lang w:val="en-GB"/>
        </w:rPr>
        <w:t>established alternative</w:t>
      </w:r>
      <w:r w:rsidR="00021049">
        <w:rPr>
          <w:lang w:val="en-GB"/>
        </w:rPr>
        <w:t>s</w:t>
      </w:r>
      <w:r w:rsidR="002A558F" w:rsidRPr="00CE3C3A">
        <w:rPr>
          <w:lang w:val="en-GB"/>
        </w:rPr>
        <w:t xml:space="preserve"> to innovation</w:t>
      </w:r>
      <w:r w:rsidR="001961FC" w:rsidRPr="001961FC">
        <w:rPr>
          <w:lang w:val="en-GB"/>
        </w:rPr>
        <w:t xml:space="preserve"> </w:t>
      </w:r>
      <w:r w:rsidR="00021049">
        <w:rPr>
          <w:lang w:val="en-GB"/>
        </w:rPr>
        <w:t>are</w:t>
      </w:r>
      <w:r w:rsidR="001961FC" w:rsidRPr="00CE3C3A">
        <w:rPr>
          <w:lang w:val="en-GB"/>
        </w:rPr>
        <w:t xml:space="preserve"> available</w:t>
      </w:r>
      <w:r w:rsidR="002A558F" w:rsidRPr="00CE3C3A">
        <w:rPr>
          <w:lang w:val="en-GB"/>
        </w:rPr>
        <w:t>, like with ‘cleavage sparing’ mastectomies, the fact there are unknown risks in the procedure would be critical to obtaining consent</w:t>
      </w:r>
      <w:r w:rsidR="00A3673D">
        <w:rPr>
          <w:lang w:val="en-GB"/>
        </w:rPr>
        <w:t xml:space="preserve">, as the risks in the established procedure are known and could be </w:t>
      </w:r>
      <w:r w:rsidR="006607D1">
        <w:rPr>
          <w:lang w:val="en-GB"/>
        </w:rPr>
        <w:t>mitigated</w:t>
      </w:r>
      <w:r w:rsidR="006607D1" w:rsidRPr="00CE3C3A">
        <w:rPr>
          <w:lang w:val="en-GB"/>
        </w:rPr>
        <w:t>.</w:t>
      </w:r>
      <w:r w:rsidR="00857816">
        <w:rPr>
          <w:lang w:val="en-GB"/>
        </w:rPr>
        <w:t xml:space="preserve"> It would be inconsistent with </w:t>
      </w:r>
      <w:r w:rsidR="00857816" w:rsidRPr="004E34D6">
        <w:rPr>
          <w:i/>
          <w:lang w:val="en-GB"/>
        </w:rPr>
        <w:t>Montgomery</w:t>
      </w:r>
      <w:r w:rsidR="00857816">
        <w:rPr>
          <w:lang w:val="en-GB"/>
        </w:rPr>
        <w:t xml:space="preserve"> to allow risks to be withheld because the patient has no other options.</w:t>
      </w:r>
    </w:p>
    <w:p w14:paraId="6275068D" w14:textId="77777777" w:rsidR="006607D1" w:rsidRPr="00CE3C3A" w:rsidRDefault="006607D1" w:rsidP="001045A7">
      <w:pPr>
        <w:spacing w:line="276" w:lineRule="auto"/>
        <w:jc w:val="both"/>
        <w:rPr>
          <w:lang w:val="en-GB"/>
        </w:rPr>
      </w:pPr>
    </w:p>
    <w:p w14:paraId="070308EE" w14:textId="45D39E27" w:rsidR="001045A7" w:rsidRPr="00CE3C3A" w:rsidRDefault="001045A7" w:rsidP="00EF5A96">
      <w:pPr>
        <w:spacing w:line="276" w:lineRule="auto"/>
        <w:jc w:val="both"/>
        <w:outlineLvl w:val="0"/>
        <w:rPr>
          <w:i/>
          <w:lang w:val="en-GB"/>
        </w:rPr>
      </w:pPr>
      <w:r w:rsidRPr="00CE3C3A">
        <w:rPr>
          <w:i/>
          <w:lang w:val="en-GB"/>
        </w:rPr>
        <w:t xml:space="preserve">Possible Alternatives Available </w:t>
      </w:r>
    </w:p>
    <w:p w14:paraId="5A6E3269" w14:textId="35EDC856" w:rsidR="001045A7" w:rsidRPr="00CE3C3A" w:rsidRDefault="00533C2F" w:rsidP="001045A7">
      <w:pPr>
        <w:spacing w:line="276" w:lineRule="auto"/>
        <w:jc w:val="both"/>
        <w:rPr>
          <w:lang w:val="en-GB"/>
        </w:rPr>
      </w:pPr>
      <w:r>
        <w:rPr>
          <w:lang w:val="en-GB"/>
        </w:rPr>
        <w:t>P</w:t>
      </w:r>
      <w:r w:rsidR="001045A7" w:rsidRPr="00CE3C3A">
        <w:rPr>
          <w:lang w:val="en-GB"/>
        </w:rPr>
        <w:t xml:space="preserve">ossible alternatives are relevant </w:t>
      </w:r>
      <w:r w:rsidR="00A3673D">
        <w:rPr>
          <w:lang w:val="en-GB"/>
        </w:rPr>
        <w:t xml:space="preserve">when obtaining </w:t>
      </w:r>
      <w:r w:rsidR="001045A7" w:rsidRPr="00CE3C3A">
        <w:rPr>
          <w:lang w:val="en-GB"/>
        </w:rPr>
        <w:t>consent</w:t>
      </w:r>
      <w:r w:rsidR="00A3673D">
        <w:rPr>
          <w:lang w:val="en-GB"/>
        </w:rPr>
        <w:t>,</w:t>
      </w:r>
      <w:r w:rsidR="001045A7" w:rsidRPr="00CE3C3A">
        <w:rPr>
          <w:lang w:val="en-GB"/>
        </w:rPr>
        <w:t xml:space="preserve"> especially when an established treatment poses a lower risk to the patient.  In both </w:t>
      </w:r>
      <w:r w:rsidR="001045A7" w:rsidRPr="00CE3C3A">
        <w:rPr>
          <w:i/>
          <w:lang w:val="en-GB"/>
        </w:rPr>
        <w:t>Montgomery</w:t>
      </w:r>
      <w:r w:rsidR="001045A7" w:rsidRPr="00CE3C3A">
        <w:rPr>
          <w:lang w:val="en-GB"/>
        </w:rPr>
        <w:t xml:space="preserve"> and </w:t>
      </w:r>
      <w:r w:rsidR="001045A7" w:rsidRPr="00CE3C3A">
        <w:rPr>
          <w:i/>
          <w:lang w:val="en-GB"/>
        </w:rPr>
        <w:t>Pearce</w:t>
      </w:r>
      <w:r w:rsidR="00402114">
        <w:rPr>
          <w:lang w:val="en-GB"/>
        </w:rPr>
        <w:t>,</w:t>
      </w:r>
      <w:r w:rsidR="001045A7" w:rsidRPr="00CE3C3A">
        <w:rPr>
          <w:lang w:val="en-GB"/>
        </w:rPr>
        <w:t xml:space="preserve"> argument focused on the alternative provision of a C-section which carried a lower risk of harm to the child (</w:t>
      </w:r>
      <w:r w:rsidR="00636936" w:rsidRPr="00CE3C3A">
        <w:rPr>
          <w:lang w:val="en-GB"/>
        </w:rPr>
        <w:t xml:space="preserve">hypoxic brain damage from shoulder dystocia in </w:t>
      </w:r>
      <w:r w:rsidR="00636936" w:rsidRPr="00CE3C3A">
        <w:rPr>
          <w:i/>
          <w:lang w:val="en-GB"/>
        </w:rPr>
        <w:t>Montgomery</w:t>
      </w:r>
      <w:r w:rsidR="00636936" w:rsidRPr="00CE3C3A">
        <w:rPr>
          <w:lang w:val="en-GB"/>
        </w:rPr>
        <w:t xml:space="preserve"> </w:t>
      </w:r>
      <w:r w:rsidR="00636936">
        <w:rPr>
          <w:lang w:val="en-GB"/>
        </w:rPr>
        <w:t xml:space="preserve">and </w:t>
      </w:r>
      <w:r w:rsidR="001045A7" w:rsidRPr="00CE3C3A">
        <w:rPr>
          <w:lang w:val="en-GB"/>
        </w:rPr>
        <w:t xml:space="preserve">death in </w:t>
      </w:r>
      <w:r w:rsidR="001045A7" w:rsidRPr="00CE3C3A">
        <w:rPr>
          <w:i/>
          <w:lang w:val="en-GB"/>
        </w:rPr>
        <w:t>Pearce</w:t>
      </w:r>
      <w:r w:rsidR="001045A7" w:rsidRPr="00CE3C3A">
        <w:rPr>
          <w:lang w:val="en-GB"/>
        </w:rPr>
        <w:t xml:space="preserve">) than vaginal birth. </w:t>
      </w:r>
      <w:r w:rsidR="001045A7" w:rsidRPr="00CE3C3A">
        <w:rPr>
          <w:i/>
          <w:lang w:val="en-GB"/>
        </w:rPr>
        <w:t>Birch</w:t>
      </w:r>
      <w:r w:rsidR="001045A7" w:rsidRPr="00CE3C3A">
        <w:rPr>
          <w:lang w:val="en-GB"/>
        </w:rPr>
        <w:t xml:space="preserve"> also centred on </w:t>
      </w:r>
      <w:r w:rsidR="004A50A1">
        <w:rPr>
          <w:lang w:val="en-GB"/>
        </w:rPr>
        <w:t xml:space="preserve">disclosure of </w:t>
      </w:r>
      <w:r w:rsidR="001045A7" w:rsidRPr="00CE3C3A">
        <w:rPr>
          <w:lang w:val="en-GB"/>
        </w:rPr>
        <w:t xml:space="preserve">lower risk alternatives, with the claimant undergoing a catheter-angiogram which carried a risk of a stroke while an alternative diagnostic process was available </w:t>
      </w:r>
      <w:r w:rsidR="00C801E4">
        <w:rPr>
          <w:lang w:val="en-GB"/>
        </w:rPr>
        <w:t>(</w:t>
      </w:r>
      <w:r w:rsidR="001045A7" w:rsidRPr="00CE3C3A">
        <w:rPr>
          <w:lang w:val="en-GB"/>
        </w:rPr>
        <w:t>MRI</w:t>
      </w:r>
      <w:r w:rsidR="00C801E4">
        <w:rPr>
          <w:lang w:val="en-GB"/>
        </w:rPr>
        <w:t>)</w:t>
      </w:r>
      <w:r w:rsidR="001045A7" w:rsidRPr="00CE3C3A">
        <w:rPr>
          <w:lang w:val="en-GB"/>
        </w:rPr>
        <w:t xml:space="preserve">. </w:t>
      </w:r>
      <w:r w:rsidR="00C01A63">
        <w:rPr>
          <w:lang w:val="en-GB"/>
        </w:rPr>
        <w:t xml:space="preserve">Accordingly, </w:t>
      </w:r>
      <w:r w:rsidR="001045A7" w:rsidRPr="00CE3C3A">
        <w:rPr>
          <w:lang w:val="en-GB"/>
        </w:rPr>
        <w:t xml:space="preserve">valid consent to innovation </w:t>
      </w:r>
      <w:r w:rsidR="002F6823">
        <w:rPr>
          <w:lang w:val="en-GB"/>
        </w:rPr>
        <w:t>should</w:t>
      </w:r>
      <w:r w:rsidR="002F6823" w:rsidRPr="00CE3C3A">
        <w:rPr>
          <w:lang w:val="en-GB"/>
        </w:rPr>
        <w:t xml:space="preserve"> </w:t>
      </w:r>
      <w:r w:rsidR="001045A7" w:rsidRPr="00CE3C3A">
        <w:rPr>
          <w:lang w:val="en-GB"/>
        </w:rPr>
        <w:t xml:space="preserve">include disclosure </w:t>
      </w:r>
      <w:r w:rsidR="002F6823">
        <w:rPr>
          <w:lang w:val="en-GB"/>
        </w:rPr>
        <w:t>of</w:t>
      </w:r>
      <w:r w:rsidR="002F6823" w:rsidRPr="00CE3C3A">
        <w:rPr>
          <w:lang w:val="en-GB"/>
        </w:rPr>
        <w:t xml:space="preserve"> </w:t>
      </w:r>
      <w:r w:rsidR="001045A7" w:rsidRPr="00CE3C3A">
        <w:rPr>
          <w:lang w:val="en-GB"/>
        </w:rPr>
        <w:t>alternatives to the proposed innovative treatment</w:t>
      </w:r>
      <w:r w:rsidR="00C74E7C">
        <w:rPr>
          <w:lang w:val="en-GB"/>
        </w:rPr>
        <w:t xml:space="preserve">, </w:t>
      </w:r>
      <w:r>
        <w:rPr>
          <w:lang w:val="en-GB"/>
        </w:rPr>
        <w:t xml:space="preserve">including no treatment, </w:t>
      </w:r>
      <w:r w:rsidR="00B512EA">
        <w:rPr>
          <w:lang w:val="en-GB"/>
        </w:rPr>
        <w:t xml:space="preserve">provided </w:t>
      </w:r>
      <w:r w:rsidR="00C74E7C">
        <w:rPr>
          <w:lang w:val="en-GB"/>
        </w:rPr>
        <w:t>the threshold of materiality is met and risk</w:t>
      </w:r>
      <w:r w:rsidR="00C01A63">
        <w:rPr>
          <w:lang w:val="en-GB"/>
        </w:rPr>
        <w:t>s</w:t>
      </w:r>
      <w:r w:rsidR="00C74E7C">
        <w:rPr>
          <w:lang w:val="en-GB"/>
        </w:rPr>
        <w:t xml:space="preserve"> are not merely theoretical or background</w:t>
      </w:r>
      <w:r w:rsidR="004A50A1">
        <w:rPr>
          <w:lang w:val="en-GB"/>
        </w:rPr>
        <w:t xml:space="preserve">. </w:t>
      </w:r>
      <w:r w:rsidR="001045A7" w:rsidRPr="00CE3C3A">
        <w:rPr>
          <w:lang w:val="en-GB"/>
        </w:rPr>
        <w:t xml:space="preserve"> </w:t>
      </w:r>
      <w:r w:rsidR="004A50A1">
        <w:rPr>
          <w:lang w:val="en-GB"/>
        </w:rPr>
        <w:t>I</w:t>
      </w:r>
      <w:r w:rsidR="004A50A1" w:rsidRPr="00CE3C3A">
        <w:rPr>
          <w:lang w:val="en-GB"/>
        </w:rPr>
        <w:t xml:space="preserve">n </w:t>
      </w:r>
      <w:r w:rsidR="001045A7" w:rsidRPr="00CE3C3A">
        <w:rPr>
          <w:lang w:val="en-GB"/>
        </w:rPr>
        <w:t xml:space="preserve">Layla’s case conventional treatments had failed and </w:t>
      </w:r>
      <w:r w:rsidR="006607D1">
        <w:rPr>
          <w:lang w:val="en-GB"/>
        </w:rPr>
        <w:t xml:space="preserve">no </w:t>
      </w:r>
      <w:r w:rsidR="006607D1" w:rsidRPr="00CE3C3A">
        <w:rPr>
          <w:lang w:val="en-GB"/>
        </w:rPr>
        <w:t>alternative</w:t>
      </w:r>
      <w:r w:rsidR="002A33AA">
        <w:rPr>
          <w:lang w:val="en-GB"/>
        </w:rPr>
        <w:t xml:space="preserve"> treatments</w:t>
      </w:r>
      <w:r w:rsidR="006607D1" w:rsidRPr="00CE3C3A">
        <w:rPr>
          <w:lang w:val="en-GB"/>
        </w:rPr>
        <w:t xml:space="preserve"> exist</w:t>
      </w:r>
      <w:r w:rsidR="006607D1">
        <w:rPr>
          <w:lang w:val="en-GB"/>
        </w:rPr>
        <w:t>ed</w:t>
      </w:r>
      <w:r>
        <w:rPr>
          <w:lang w:val="en-GB"/>
        </w:rPr>
        <w:t xml:space="preserve">, </w:t>
      </w:r>
      <w:r>
        <w:rPr>
          <w:lang w:val="en-GB"/>
        </w:rPr>
        <w:lastRenderedPageBreak/>
        <w:t>therefore the risks of no further treatment were to be balanced</w:t>
      </w:r>
      <w:r w:rsidR="00C801E4">
        <w:rPr>
          <w:lang w:val="en-GB"/>
        </w:rPr>
        <w:t xml:space="preserve"> </w:t>
      </w:r>
      <w:r w:rsidR="001045A7" w:rsidRPr="00CE3C3A">
        <w:rPr>
          <w:lang w:val="en-GB"/>
        </w:rPr>
        <w:t xml:space="preserve">against the risks of using modified immune cells. </w:t>
      </w:r>
      <w:r w:rsidR="004A50A1">
        <w:rPr>
          <w:lang w:val="en-GB"/>
        </w:rPr>
        <w:t xml:space="preserve"> But the availability of a typical mastectomy alongside the ‘cleavage sparing’ mastectomy offered by Paterson, and the associated risks of the cancer recurring, would need to be disclosed when obtaining consent.  </w:t>
      </w:r>
      <w:r w:rsidR="001045A7" w:rsidRPr="00CE3C3A">
        <w:rPr>
          <w:lang w:val="en-GB"/>
        </w:rPr>
        <w:t>The purpose of d</w:t>
      </w:r>
      <w:r w:rsidR="00C801E4">
        <w:rPr>
          <w:lang w:val="en-GB"/>
        </w:rPr>
        <w:t xml:space="preserve">isclosing alternatives is </w:t>
      </w:r>
      <w:r w:rsidR="001045A7" w:rsidRPr="00CE3C3A">
        <w:rPr>
          <w:lang w:val="en-GB"/>
        </w:rPr>
        <w:t>to validate and empower patient</w:t>
      </w:r>
      <w:r w:rsidR="00C801E4">
        <w:rPr>
          <w:lang w:val="en-GB"/>
        </w:rPr>
        <w:t>s</w:t>
      </w:r>
      <w:r w:rsidR="001045A7" w:rsidRPr="00CE3C3A">
        <w:rPr>
          <w:lang w:val="en-GB"/>
        </w:rPr>
        <w:t xml:space="preserve"> to make </w:t>
      </w:r>
      <w:r w:rsidR="00C801E4">
        <w:rPr>
          <w:lang w:val="en-GB"/>
        </w:rPr>
        <w:t xml:space="preserve">their own </w:t>
      </w:r>
      <w:r w:rsidR="001045A7" w:rsidRPr="00CE3C3A">
        <w:rPr>
          <w:lang w:val="en-GB"/>
        </w:rPr>
        <w:t xml:space="preserve">choice, rather than </w:t>
      </w:r>
      <w:r w:rsidR="00C801E4">
        <w:rPr>
          <w:lang w:val="en-GB"/>
        </w:rPr>
        <w:t xml:space="preserve">being steered </w:t>
      </w:r>
      <w:r w:rsidR="001045A7" w:rsidRPr="00CE3C3A">
        <w:rPr>
          <w:lang w:val="en-GB"/>
        </w:rPr>
        <w:t xml:space="preserve">into particular choices to enable the testing of a theory.  </w:t>
      </w:r>
      <w:r w:rsidR="004A50A1">
        <w:rPr>
          <w:lang w:val="en-GB"/>
        </w:rPr>
        <w:t>This risk of doctor</w:t>
      </w:r>
      <w:r w:rsidR="00C801E4">
        <w:rPr>
          <w:lang w:val="en-GB"/>
        </w:rPr>
        <w:t>s</w:t>
      </w:r>
      <w:r w:rsidR="004A50A1">
        <w:rPr>
          <w:lang w:val="en-GB"/>
        </w:rPr>
        <w:t xml:space="preserve"> championing </w:t>
      </w:r>
      <w:r w:rsidR="00334D1D">
        <w:rPr>
          <w:lang w:val="en-GB"/>
        </w:rPr>
        <w:t>their</w:t>
      </w:r>
      <w:r w:rsidR="004A50A1">
        <w:rPr>
          <w:lang w:val="en-GB"/>
        </w:rPr>
        <w:t xml:space="preserve"> ‘baby’ was </w:t>
      </w:r>
      <w:r w:rsidR="00350243">
        <w:rPr>
          <w:lang w:val="en-GB"/>
        </w:rPr>
        <w:t xml:space="preserve">raised </w:t>
      </w:r>
      <w:r w:rsidR="004A50A1">
        <w:rPr>
          <w:lang w:val="en-GB"/>
        </w:rPr>
        <w:t xml:space="preserve">in </w:t>
      </w:r>
      <w:r w:rsidR="004A50A1" w:rsidRPr="00CE3C3A">
        <w:rPr>
          <w:i/>
          <w:lang w:val="en-GB"/>
        </w:rPr>
        <w:t>Hall</w:t>
      </w:r>
      <w:r w:rsidR="004A50A1">
        <w:rPr>
          <w:lang w:val="en-GB"/>
        </w:rPr>
        <w:t xml:space="preserve">, where the doctor had pioneered the technique used. Concerns were also raised around the financial interest of Professor Hirano in </w:t>
      </w:r>
      <w:r w:rsidR="004A50A1" w:rsidRPr="00C801E4">
        <w:rPr>
          <w:i/>
          <w:lang w:val="en-GB"/>
        </w:rPr>
        <w:t>Gard</w:t>
      </w:r>
      <w:r w:rsidR="00C74E7C">
        <w:rPr>
          <w:lang w:val="en-GB"/>
        </w:rPr>
        <w:t>.</w:t>
      </w:r>
      <w:r w:rsidR="004A50A1">
        <w:rPr>
          <w:rStyle w:val="FootnoteReference"/>
          <w:lang w:val="en-GB"/>
        </w:rPr>
        <w:footnoteReference w:id="144"/>
      </w:r>
      <w:r w:rsidR="004A50A1">
        <w:rPr>
          <w:lang w:val="en-GB"/>
        </w:rPr>
        <w:t xml:space="preserve"> </w:t>
      </w:r>
      <w:r w:rsidR="00C74E7C">
        <w:rPr>
          <w:lang w:val="en-GB"/>
        </w:rPr>
        <w:t>F</w:t>
      </w:r>
      <w:r w:rsidR="004A50A1">
        <w:rPr>
          <w:lang w:val="en-GB"/>
        </w:rPr>
        <w:t xml:space="preserve">urther, </w:t>
      </w:r>
      <w:r w:rsidR="00C74E7C">
        <w:rPr>
          <w:lang w:val="en-GB"/>
        </w:rPr>
        <w:t xml:space="preserve">the disclosure of alternatives was important </w:t>
      </w:r>
      <w:r w:rsidR="004A50A1">
        <w:rPr>
          <w:lang w:val="en-GB"/>
        </w:rPr>
        <w:t xml:space="preserve">in Paterson’s ‘cleavage sparing’ mastectomies and Paulo </w:t>
      </w:r>
      <w:proofErr w:type="spellStart"/>
      <w:r w:rsidR="001045A7" w:rsidRPr="00CE3C3A">
        <w:rPr>
          <w:lang w:val="en-GB"/>
        </w:rPr>
        <w:t>Macchiarini’s</w:t>
      </w:r>
      <w:proofErr w:type="spellEnd"/>
      <w:r w:rsidR="001045A7" w:rsidRPr="00CE3C3A">
        <w:rPr>
          <w:lang w:val="en-GB"/>
        </w:rPr>
        <w:t xml:space="preserve"> </w:t>
      </w:r>
      <w:r w:rsidR="004A50A1">
        <w:rPr>
          <w:lang w:val="en-GB"/>
        </w:rPr>
        <w:t xml:space="preserve">pioneering of synthetic tracheal transplants.  </w:t>
      </w:r>
      <w:r w:rsidR="00350243">
        <w:rPr>
          <w:lang w:val="en-GB"/>
        </w:rPr>
        <w:t>I</w:t>
      </w:r>
      <w:r w:rsidR="00C74E7C">
        <w:rPr>
          <w:lang w:val="en-GB"/>
        </w:rPr>
        <w:t>n the latter case, w</w:t>
      </w:r>
      <w:r w:rsidR="001045A7" w:rsidRPr="00CE3C3A">
        <w:rPr>
          <w:lang w:val="en-GB"/>
        </w:rPr>
        <w:t>here surgical implantation of a donated trachea was an alternative to us</w:t>
      </w:r>
      <w:r w:rsidR="004927F9">
        <w:rPr>
          <w:lang w:val="en-GB"/>
        </w:rPr>
        <w:t xml:space="preserve">ing </w:t>
      </w:r>
      <w:r w:rsidR="001045A7" w:rsidRPr="00CE3C3A">
        <w:rPr>
          <w:lang w:val="en-GB"/>
        </w:rPr>
        <w:t xml:space="preserve">synthetic trachea, it was </w:t>
      </w:r>
      <w:r w:rsidR="00350243">
        <w:rPr>
          <w:lang w:val="en-GB"/>
        </w:rPr>
        <w:t xml:space="preserve">necessary </w:t>
      </w:r>
      <w:r w:rsidR="00334D1D">
        <w:rPr>
          <w:lang w:val="en-GB"/>
        </w:rPr>
        <w:t>to disclose this</w:t>
      </w:r>
      <w:r w:rsidR="001045A7" w:rsidRPr="00CE3C3A">
        <w:rPr>
          <w:lang w:val="en-GB"/>
        </w:rPr>
        <w:t xml:space="preserve"> to obtain valid consent.  </w:t>
      </w:r>
      <w:r w:rsidR="00B512EA">
        <w:rPr>
          <w:lang w:val="en-GB"/>
        </w:rPr>
        <w:t>I</w:t>
      </w:r>
      <w:r w:rsidR="00013D2C">
        <w:rPr>
          <w:lang w:val="en-GB"/>
        </w:rPr>
        <w:t xml:space="preserve">t may be that </w:t>
      </w:r>
      <w:proofErr w:type="spellStart"/>
      <w:r w:rsidR="001045A7" w:rsidRPr="00CE3C3A">
        <w:rPr>
          <w:lang w:val="en-GB"/>
        </w:rPr>
        <w:t>Macchiarin</w:t>
      </w:r>
      <w:r w:rsidR="00C801E4">
        <w:rPr>
          <w:lang w:val="en-GB"/>
        </w:rPr>
        <w:t>i</w:t>
      </w:r>
      <w:r w:rsidR="001045A7" w:rsidRPr="00CE3C3A">
        <w:rPr>
          <w:lang w:val="en-GB"/>
        </w:rPr>
        <w:t>’s</w:t>
      </w:r>
      <w:proofErr w:type="spellEnd"/>
      <w:r w:rsidR="001045A7" w:rsidRPr="00CE3C3A">
        <w:rPr>
          <w:lang w:val="en-GB"/>
        </w:rPr>
        <w:t xml:space="preserve"> patients </w:t>
      </w:r>
      <w:r w:rsidR="006607D1" w:rsidRPr="00CE3C3A">
        <w:rPr>
          <w:lang w:val="en-GB"/>
        </w:rPr>
        <w:t xml:space="preserve">were aware </w:t>
      </w:r>
      <w:r w:rsidR="001045A7" w:rsidRPr="00CE3C3A">
        <w:rPr>
          <w:lang w:val="en-GB"/>
        </w:rPr>
        <w:t xml:space="preserve">of this </w:t>
      </w:r>
      <w:r w:rsidR="00C801E4">
        <w:rPr>
          <w:lang w:val="en-GB"/>
        </w:rPr>
        <w:t xml:space="preserve">obvious </w:t>
      </w:r>
      <w:r w:rsidR="004927F9">
        <w:rPr>
          <w:lang w:val="en-GB"/>
        </w:rPr>
        <w:t>alternative</w:t>
      </w:r>
      <w:r w:rsidR="004927F9" w:rsidRPr="00CE3C3A">
        <w:rPr>
          <w:lang w:val="en-GB"/>
        </w:rPr>
        <w:t xml:space="preserve"> </w:t>
      </w:r>
      <w:r w:rsidR="001045A7" w:rsidRPr="00CE3C3A">
        <w:rPr>
          <w:lang w:val="en-GB"/>
        </w:rPr>
        <w:t>prior to agreeing to his innovative treatment</w:t>
      </w:r>
      <w:r w:rsidR="00C801E4">
        <w:rPr>
          <w:lang w:val="en-GB"/>
        </w:rPr>
        <w:t xml:space="preserve">, with </w:t>
      </w:r>
      <w:r w:rsidR="00C74E7C">
        <w:rPr>
          <w:lang w:val="en-GB"/>
        </w:rPr>
        <w:t>the lengthy wait for a transplants influenc</w:t>
      </w:r>
      <w:r w:rsidR="00C801E4">
        <w:rPr>
          <w:lang w:val="en-GB"/>
        </w:rPr>
        <w:t xml:space="preserve">ing </w:t>
      </w:r>
      <w:r w:rsidR="00C74E7C">
        <w:rPr>
          <w:lang w:val="en-GB"/>
        </w:rPr>
        <w:t>their decisions to agree to synthetic implants</w:t>
      </w:r>
      <w:r w:rsidR="00B512EA">
        <w:rPr>
          <w:lang w:val="en-GB"/>
        </w:rPr>
        <w:t>.</w:t>
      </w:r>
      <w:r w:rsidR="00B512EA" w:rsidRPr="00CE3C3A">
        <w:rPr>
          <w:lang w:val="en-GB"/>
        </w:rPr>
        <w:t xml:space="preserve"> </w:t>
      </w:r>
      <w:r w:rsidR="00B512EA">
        <w:rPr>
          <w:lang w:val="en-GB"/>
        </w:rPr>
        <w:t>In any event</w:t>
      </w:r>
      <w:r w:rsidR="001045A7" w:rsidRPr="00CE3C3A">
        <w:rPr>
          <w:lang w:val="en-GB"/>
        </w:rPr>
        <w:t>, it is fundamental that established alternate treatment</w:t>
      </w:r>
      <w:r w:rsidR="004927F9">
        <w:rPr>
          <w:lang w:val="en-GB"/>
        </w:rPr>
        <w:t>s</w:t>
      </w:r>
      <w:r w:rsidR="001045A7" w:rsidRPr="00CE3C3A">
        <w:rPr>
          <w:lang w:val="en-GB"/>
        </w:rPr>
        <w:t xml:space="preserve"> be discussed.  </w:t>
      </w:r>
    </w:p>
    <w:p w14:paraId="5090D33D" w14:textId="77777777" w:rsidR="001045A7" w:rsidRPr="00CE3C3A" w:rsidRDefault="001045A7" w:rsidP="001045A7">
      <w:pPr>
        <w:spacing w:line="276" w:lineRule="auto"/>
        <w:jc w:val="both"/>
        <w:rPr>
          <w:lang w:val="en-GB"/>
        </w:rPr>
      </w:pPr>
    </w:p>
    <w:p w14:paraId="5F04B6FB" w14:textId="4B4E1BE4" w:rsidR="001045A7" w:rsidRPr="00CE3C3A" w:rsidRDefault="001045A7" w:rsidP="00EF5A96">
      <w:pPr>
        <w:spacing w:line="276" w:lineRule="auto"/>
        <w:jc w:val="both"/>
        <w:outlineLvl w:val="0"/>
        <w:rPr>
          <w:i/>
          <w:lang w:val="en-GB"/>
        </w:rPr>
      </w:pPr>
      <w:r w:rsidRPr="00CE3C3A">
        <w:rPr>
          <w:i/>
          <w:lang w:val="en-GB"/>
        </w:rPr>
        <w:t xml:space="preserve">The Risks of Available Alternatives </w:t>
      </w:r>
    </w:p>
    <w:p w14:paraId="52ECA3A2" w14:textId="7547EA49" w:rsidR="001045A7" w:rsidRPr="000B24C5" w:rsidRDefault="001045A7" w:rsidP="001045A7">
      <w:pPr>
        <w:spacing w:line="276" w:lineRule="auto"/>
        <w:jc w:val="both"/>
      </w:pPr>
      <w:r w:rsidRPr="00CE3C3A">
        <w:rPr>
          <w:lang w:val="en-GB"/>
        </w:rPr>
        <w:t>Beyond the existence of al</w:t>
      </w:r>
      <w:r w:rsidR="00C801E4">
        <w:rPr>
          <w:lang w:val="en-GB"/>
        </w:rPr>
        <w:t>ternatives, the risks of those alternatives</w:t>
      </w:r>
      <w:r w:rsidRPr="00CE3C3A">
        <w:rPr>
          <w:lang w:val="en-GB"/>
        </w:rPr>
        <w:t xml:space="preserve"> must also be discussed</w:t>
      </w:r>
      <w:r w:rsidR="00C74E7C">
        <w:rPr>
          <w:lang w:val="en-GB"/>
        </w:rPr>
        <w:t xml:space="preserve">.  In </w:t>
      </w:r>
      <w:r w:rsidR="00C74E7C" w:rsidRPr="00CE3C3A">
        <w:rPr>
          <w:i/>
          <w:lang w:val="en-GB"/>
        </w:rPr>
        <w:t>Birch</w:t>
      </w:r>
      <w:r w:rsidR="00C74E7C">
        <w:rPr>
          <w:lang w:val="en-GB"/>
        </w:rPr>
        <w:t xml:space="preserve">, it was held necessary to disclose the alternative of an MRI and that </w:t>
      </w:r>
      <w:r w:rsidR="00983D8B">
        <w:rPr>
          <w:lang w:val="en-GB"/>
        </w:rPr>
        <w:t xml:space="preserve">this </w:t>
      </w:r>
      <w:r w:rsidR="00C74E7C">
        <w:rPr>
          <w:lang w:val="en-GB"/>
        </w:rPr>
        <w:t>posed a lower risk to the patient than a catheter-angiogram.  In the context of innovative treatments, Layla, Paterson and</w:t>
      </w:r>
      <w:r w:rsidRPr="00CE3C3A">
        <w:rPr>
          <w:lang w:val="en-GB"/>
        </w:rPr>
        <w:t xml:space="preserve"> </w:t>
      </w:r>
      <w:proofErr w:type="spellStart"/>
      <w:r w:rsidRPr="00CE3C3A">
        <w:rPr>
          <w:lang w:val="en-GB"/>
        </w:rPr>
        <w:t>Macchiarini</w:t>
      </w:r>
      <w:proofErr w:type="spellEnd"/>
      <w:r w:rsidRPr="00CE3C3A">
        <w:rPr>
          <w:lang w:val="en-GB"/>
        </w:rPr>
        <w:t xml:space="preserve"> </w:t>
      </w:r>
      <w:r w:rsidR="00C74E7C">
        <w:rPr>
          <w:lang w:val="en-GB"/>
        </w:rPr>
        <w:t xml:space="preserve">again </w:t>
      </w:r>
      <w:r w:rsidRPr="00CE3C3A">
        <w:rPr>
          <w:lang w:val="en-GB"/>
        </w:rPr>
        <w:t xml:space="preserve">illuminate the complexities of </w:t>
      </w:r>
      <w:r w:rsidR="00C74E7C">
        <w:rPr>
          <w:lang w:val="en-GB"/>
        </w:rPr>
        <w:t xml:space="preserve">obtaining </w:t>
      </w:r>
      <w:r w:rsidRPr="00CE3C3A">
        <w:rPr>
          <w:lang w:val="en-GB"/>
        </w:rPr>
        <w:t xml:space="preserve">consent.  While Layla’s parents had no alternate treatment available for their daughter, </w:t>
      </w:r>
      <w:r w:rsidR="00C74E7C">
        <w:rPr>
          <w:lang w:val="en-GB"/>
        </w:rPr>
        <w:t xml:space="preserve">alternatives were available to both Paterson’s and </w:t>
      </w:r>
      <w:proofErr w:type="spellStart"/>
      <w:r w:rsidRPr="00CE3C3A">
        <w:rPr>
          <w:lang w:val="en-GB"/>
        </w:rPr>
        <w:t>Macchiarini’s</w:t>
      </w:r>
      <w:proofErr w:type="spellEnd"/>
      <w:r w:rsidRPr="00CE3C3A">
        <w:rPr>
          <w:lang w:val="en-GB"/>
        </w:rPr>
        <w:t xml:space="preserve"> patients</w:t>
      </w:r>
      <w:r w:rsidR="00C74E7C">
        <w:rPr>
          <w:lang w:val="en-GB"/>
        </w:rPr>
        <w:t xml:space="preserve">.  Paterson’s patients could have opted for a typical mastectomy, removing the majority of breast tissue; the typical procedure involves a lower risk of cancer recurring but involves complete removal of the breast, whereas the ‘cleavage sparing’ operation is cosmetically advantageous but incurs a higher risk of cancer returning.  </w:t>
      </w:r>
      <w:r w:rsidR="00C11828">
        <w:rPr>
          <w:lang w:val="en-GB"/>
        </w:rPr>
        <w:t>In</w:t>
      </w:r>
      <w:r w:rsidR="00C74E7C">
        <w:rPr>
          <w:lang w:val="en-GB"/>
        </w:rPr>
        <w:t xml:space="preserve"> </w:t>
      </w:r>
      <w:proofErr w:type="spellStart"/>
      <w:r w:rsidR="00C74E7C">
        <w:rPr>
          <w:lang w:val="en-GB"/>
        </w:rPr>
        <w:t>Macchiarini’s</w:t>
      </w:r>
      <w:proofErr w:type="spellEnd"/>
      <w:r w:rsidR="00C74E7C">
        <w:rPr>
          <w:lang w:val="en-GB"/>
        </w:rPr>
        <w:t xml:space="preserve"> </w:t>
      </w:r>
      <w:r w:rsidR="00C11828">
        <w:rPr>
          <w:lang w:val="en-GB"/>
        </w:rPr>
        <w:t xml:space="preserve">case, his </w:t>
      </w:r>
      <w:r w:rsidR="00C74E7C">
        <w:rPr>
          <w:lang w:val="en-GB"/>
        </w:rPr>
        <w:t>patients</w:t>
      </w:r>
      <w:r w:rsidRPr="00CE3C3A">
        <w:rPr>
          <w:lang w:val="en-GB"/>
        </w:rPr>
        <w:t xml:space="preserve"> </w:t>
      </w:r>
      <w:r w:rsidR="00196E58">
        <w:rPr>
          <w:lang w:val="en-GB"/>
        </w:rPr>
        <w:t xml:space="preserve">could have </w:t>
      </w:r>
      <w:r w:rsidRPr="00CE3C3A">
        <w:rPr>
          <w:lang w:val="en-GB"/>
        </w:rPr>
        <w:t>wait</w:t>
      </w:r>
      <w:r w:rsidR="00196E58">
        <w:rPr>
          <w:lang w:val="en-GB"/>
        </w:rPr>
        <w:t>ed</w:t>
      </w:r>
      <w:r w:rsidRPr="00CE3C3A">
        <w:rPr>
          <w:lang w:val="en-GB"/>
        </w:rPr>
        <w:t xml:space="preserve"> for a donor trachea</w:t>
      </w:r>
      <w:r w:rsidR="00C11828">
        <w:rPr>
          <w:lang w:val="en-GB"/>
        </w:rPr>
        <w:t xml:space="preserve">, </w:t>
      </w:r>
      <w:r w:rsidR="00C01A63">
        <w:rPr>
          <w:lang w:val="en-GB"/>
        </w:rPr>
        <w:t>which</w:t>
      </w:r>
      <w:r w:rsidRPr="00CE3C3A">
        <w:rPr>
          <w:lang w:val="en-GB"/>
        </w:rPr>
        <w:t xml:space="preserve"> meant hoping that a donor match was found before the condition caused serious harm or death.  In these circumstances the risks of the established alternative were of treatment not occurring in time, alongside the </w:t>
      </w:r>
      <w:r w:rsidR="001C268B">
        <w:rPr>
          <w:lang w:val="en-GB"/>
        </w:rPr>
        <w:t xml:space="preserve">complexities of revascularisation of a donor trachea, and a </w:t>
      </w:r>
      <w:r w:rsidRPr="00CE3C3A">
        <w:rPr>
          <w:lang w:val="en-GB"/>
        </w:rPr>
        <w:t>possibility of donor rejection.</w:t>
      </w:r>
      <w:r w:rsidR="00443838">
        <w:rPr>
          <w:rStyle w:val="FootnoteReference"/>
          <w:lang w:val="en-GB"/>
        </w:rPr>
        <w:footnoteReference w:id="145"/>
      </w:r>
      <w:r w:rsidRPr="00CE3C3A">
        <w:rPr>
          <w:lang w:val="en-GB"/>
        </w:rPr>
        <w:t xml:space="preserve">  In weighing the</w:t>
      </w:r>
      <w:r w:rsidR="00D24565">
        <w:rPr>
          <w:lang w:val="en-GB"/>
        </w:rPr>
        <w:t>se</w:t>
      </w:r>
      <w:r w:rsidRPr="00CE3C3A">
        <w:rPr>
          <w:lang w:val="en-GB"/>
        </w:rPr>
        <w:t xml:space="preserve"> risks against the risks of innovative synthetic tracheas, the attraction of the innovative therapy is easy to discern, and in this respect the proposed innovation stood to achieve something positive.  But the equation put to the patients and their families was imbalanced by a lack of information about the risks inherent in the synthetic trachea. Critically</w:t>
      </w:r>
      <w:r w:rsidR="000D02F2">
        <w:rPr>
          <w:lang w:val="en-GB"/>
        </w:rPr>
        <w:t>,</w:t>
      </w:r>
      <w:r w:rsidRPr="00CE3C3A">
        <w:rPr>
          <w:lang w:val="en-GB"/>
        </w:rPr>
        <w:t xml:space="preserve"> the procedure had not been tested in animal studies</w:t>
      </w:r>
      <w:r w:rsidR="00C11828">
        <w:rPr>
          <w:lang w:val="en-GB"/>
        </w:rPr>
        <w:t xml:space="preserve">, which arguably increased the risks inherent in the innovation due to the </w:t>
      </w:r>
      <w:r w:rsidR="008F3FA3">
        <w:rPr>
          <w:lang w:val="en-GB"/>
        </w:rPr>
        <w:t>lack of knowledge around the synthetic tracheas</w:t>
      </w:r>
      <w:r w:rsidRPr="00CE3C3A">
        <w:rPr>
          <w:lang w:val="en-GB"/>
        </w:rPr>
        <w:t xml:space="preserve">; withholding such </w:t>
      </w:r>
      <w:r w:rsidR="006607D1">
        <w:rPr>
          <w:lang w:val="en-GB"/>
        </w:rPr>
        <w:t xml:space="preserve">information </w:t>
      </w:r>
      <w:r w:rsidRPr="00CE3C3A">
        <w:rPr>
          <w:lang w:val="en-GB"/>
        </w:rPr>
        <w:t>from patients is almost certainly an example of negligently obtained consent.</w:t>
      </w:r>
      <w:bookmarkStart w:id="2" w:name="_GoBack"/>
      <w:bookmarkEnd w:id="2"/>
    </w:p>
    <w:p w14:paraId="31DDA219" w14:textId="77777777" w:rsidR="00E573E0" w:rsidRDefault="00E573E0" w:rsidP="00F504E0">
      <w:pPr>
        <w:spacing w:line="276" w:lineRule="auto"/>
        <w:jc w:val="both"/>
        <w:rPr>
          <w:lang w:val="en-GB"/>
        </w:rPr>
      </w:pPr>
    </w:p>
    <w:p w14:paraId="160AF1AC" w14:textId="6E541D00" w:rsidR="00C34F14" w:rsidRPr="00CE3C3A" w:rsidRDefault="00C34F14" w:rsidP="00EF5A96">
      <w:pPr>
        <w:spacing w:line="276" w:lineRule="auto"/>
        <w:jc w:val="both"/>
        <w:outlineLvl w:val="0"/>
        <w:rPr>
          <w:b/>
          <w:lang w:val="en-GB"/>
        </w:rPr>
      </w:pPr>
      <w:r w:rsidRPr="00CE3C3A">
        <w:rPr>
          <w:b/>
          <w:lang w:val="en-GB"/>
        </w:rPr>
        <w:lastRenderedPageBreak/>
        <w:t>Conclusion</w:t>
      </w:r>
    </w:p>
    <w:p w14:paraId="58D95BB8" w14:textId="5A4A7E1F" w:rsidR="00977850" w:rsidRPr="00977850" w:rsidRDefault="00977850" w:rsidP="00977850">
      <w:pPr>
        <w:spacing w:line="276" w:lineRule="auto"/>
        <w:jc w:val="both"/>
      </w:pPr>
      <w:r w:rsidRPr="00977850">
        <w:t xml:space="preserve">Consent is </w:t>
      </w:r>
      <w:r w:rsidR="00121A1F">
        <w:t>central to</w:t>
      </w:r>
      <w:r w:rsidRPr="00977850">
        <w:t xml:space="preserve"> medical treatment but was overlooked within the debate on innovative medical treatments fueled by the </w:t>
      </w:r>
      <w:r w:rsidRPr="00004F8F">
        <w:rPr>
          <w:i/>
        </w:rPr>
        <w:t>Medical Innovation Bill</w:t>
      </w:r>
      <w:r w:rsidRPr="00977850">
        <w:t xml:space="preserve">.  The two doctrines of consent considered within this paper are significant considerations for doctors </w:t>
      </w:r>
      <w:proofErr w:type="spellStart"/>
      <w:r w:rsidR="00D802B1" w:rsidRPr="00977850">
        <w:t>practi</w:t>
      </w:r>
      <w:r w:rsidR="00D802B1">
        <w:t>s</w:t>
      </w:r>
      <w:r w:rsidR="00D802B1" w:rsidRPr="00977850">
        <w:t>ing</w:t>
      </w:r>
      <w:proofErr w:type="spellEnd"/>
      <w:r w:rsidR="00D802B1" w:rsidRPr="00977850">
        <w:t xml:space="preserve"> </w:t>
      </w:r>
      <w:r w:rsidRPr="00977850">
        <w:t xml:space="preserve">innovative therapies to avoid liability for trespass or negligently obtained consent.  Key </w:t>
      </w:r>
      <w:r w:rsidR="00C801E4">
        <w:t xml:space="preserve">UK and </w:t>
      </w:r>
      <w:r w:rsidR="00CF42A1">
        <w:t xml:space="preserve">Australian </w:t>
      </w:r>
      <w:r w:rsidRPr="00977850">
        <w:t xml:space="preserve">trespass cases </w:t>
      </w:r>
      <w:r w:rsidR="00CF42A1">
        <w:t>set</w:t>
      </w:r>
      <w:r w:rsidRPr="00977850">
        <w:t xml:space="preserve"> the standard of consent to provide a ‘flak jacket’ against liability as informing the patient about the broad nature of the proposed procedure.  Thus where a patient is offered a synthetic tracheal transplant, for example, provided the broad nature of the operation is explained, the innovative therapy would not constitute actionable battery.  The exception is where the true reason for the procedure is not therapeutic (for example the treatment is not necessary) and possibl</w:t>
      </w:r>
      <w:r w:rsidR="00B91228">
        <w:t xml:space="preserve">y where </w:t>
      </w:r>
      <w:r w:rsidRPr="00977850">
        <w:t>practitioners with financial and commercial interests in innovative treatments</w:t>
      </w:r>
      <w:r w:rsidR="00B91228">
        <w:t xml:space="preserve"> </w:t>
      </w:r>
      <w:r w:rsidRPr="00977850">
        <w:t xml:space="preserve">try to influence patient choice or personally gain </w:t>
      </w:r>
      <w:r w:rsidR="00B91228">
        <w:t>(</w:t>
      </w:r>
      <w:r w:rsidRPr="00977850">
        <w:t>because consent is obtained on a false pretense</w:t>
      </w:r>
      <w:r w:rsidR="00B91228">
        <w:t>)</w:t>
      </w:r>
      <w:r w:rsidRPr="00977850">
        <w:t xml:space="preserve">.  The </w:t>
      </w:r>
      <w:r w:rsidR="002E20A2">
        <w:t xml:space="preserve">Paterson </w:t>
      </w:r>
      <w:r w:rsidRPr="00977850">
        <w:t>case illustrates this for, although not brought in trespass, the ‘cleavage sparing’ mastectomies were in some cases not necessary.</w:t>
      </w:r>
    </w:p>
    <w:p w14:paraId="25A0947C" w14:textId="77777777" w:rsidR="00977850" w:rsidRPr="00977850" w:rsidRDefault="00977850" w:rsidP="00977850">
      <w:pPr>
        <w:spacing w:line="276" w:lineRule="auto"/>
        <w:jc w:val="both"/>
      </w:pPr>
    </w:p>
    <w:p w14:paraId="1C6D2F71" w14:textId="76D55283" w:rsidR="00977850" w:rsidRPr="00977850" w:rsidRDefault="00977850" w:rsidP="00977850">
      <w:pPr>
        <w:spacing w:line="276" w:lineRule="auto"/>
        <w:jc w:val="both"/>
        <w:rPr>
          <w:lang w:val="en-GB"/>
        </w:rPr>
      </w:pPr>
      <w:r w:rsidRPr="00977850">
        <w:t>The duty to disclose material risks</w:t>
      </w:r>
      <w:r w:rsidR="00C06AC6">
        <w:t xml:space="preserve"> </w:t>
      </w:r>
      <w:r w:rsidRPr="00977850">
        <w:t xml:space="preserve">is also </w:t>
      </w:r>
      <w:r w:rsidR="00B05913">
        <w:t xml:space="preserve">a </w:t>
      </w:r>
      <w:r w:rsidRPr="00977850">
        <w:t xml:space="preserve">significant consideration </w:t>
      </w:r>
      <w:r w:rsidR="009221D8">
        <w:t>when offering</w:t>
      </w:r>
      <w:r w:rsidRPr="00977850">
        <w:t xml:space="preserve"> innovative treatments.  The leading UK and Australian</w:t>
      </w:r>
      <w:r w:rsidR="006607D1">
        <w:t xml:space="preserve"> cases</w:t>
      </w:r>
      <w:r w:rsidRPr="00977850">
        <w:t xml:space="preserve"> </w:t>
      </w:r>
      <w:r w:rsidR="006908AC">
        <w:t xml:space="preserve">define a risk as </w:t>
      </w:r>
      <w:r w:rsidRPr="00977850">
        <w:t xml:space="preserve">material when </w:t>
      </w:r>
      <w:r w:rsidRPr="00977850">
        <w:rPr>
          <w:lang w:val="en-GB"/>
        </w:rPr>
        <w:t xml:space="preserve">a reasonable person in the patient’s position would likely attach significance to </w:t>
      </w:r>
      <w:r w:rsidR="006908AC">
        <w:rPr>
          <w:lang w:val="en-GB"/>
        </w:rPr>
        <w:t>that</w:t>
      </w:r>
      <w:r w:rsidR="006908AC" w:rsidRPr="00977850">
        <w:rPr>
          <w:lang w:val="en-GB"/>
        </w:rPr>
        <w:t xml:space="preserve"> </w:t>
      </w:r>
      <w:r w:rsidRPr="00977850">
        <w:rPr>
          <w:lang w:val="en-GB"/>
        </w:rPr>
        <w:t xml:space="preserve">risk, or the doctor should reasonably be aware that a particular patient would likely attach significance to it.  </w:t>
      </w:r>
      <w:r w:rsidR="006908AC">
        <w:rPr>
          <w:lang w:val="en-GB"/>
        </w:rPr>
        <w:t>U</w:t>
      </w:r>
      <w:r w:rsidRPr="00977850">
        <w:rPr>
          <w:lang w:val="en-GB"/>
        </w:rPr>
        <w:t xml:space="preserve">nknown risks </w:t>
      </w:r>
      <w:r w:rsidR="006908AC">
        <w:rPr>
          <w:lang w:val="en-GB"/>
        </w:rPr>
        <w:t xml:space="preserve">have </w:t>
      </w:r>
      <w:r w:rsidRPr="00977850">
        <w:rPr>
          <w:lang w:val="en-GB"/>
        </w:rPr>
        <w:t xml:space="preserve">been considered and it </w:t>
      </w:r>
      <w:r w:rsidR="006908AC">
        <w:rPr>
          <w:lang w:val="en-GB"/>
        </w:rPr>
        <w:t>is</w:t>
      </w:r>
      <w:r w:rsidRPr="00977850">
        <w:rPr>
          <w:lang w:val="en-GB"/>
        </w:rPr>
        <w:t xml:space="preserve"> argued </w:t>
      </w:r>
      <w:r w:rsidR="006908AC">
        <w:rPr>
          <w:lang w:val="en-GB"/>
        </w:rPr>
        <w:t xml:space="preserve">these </w:t>
      </w:r>
      <w:r w:rsidRPr="00977850">
        <w:rPr>
          <w:lang w:val="en-GB"/>
        </w:rPr>
        <w:t>are material and must be disclosed by doctor</w:t>
      </w:r>
      <w:r w:rsidR="006908AC">
        <w:rPr>
          <w:lang w:val="en-GB"/>
        </w:rPr>
        <w:t>s</w:t>
      </w:r>
      <w:r w:rsidRPr="00977850">
        <w:rPr>
          <w:lang w:val="en-GB"/>
        </w:rPr>
        <w:t xml:space="preserve"> </w:t>
      </w:r>
      <w:r w:rsidR="00D802B1" w:rsidRPr="00977850">
        <w:rPr>
          <w:lang w:val="en-GB"/>
        </w:rPr>
        <w:t>practi</w:t>
      </w:r>
      <w:r w:rsidR="00D802B1">
        <w:rPr>
          <w:lang w:val="en-GB"/>
        </w:rPr>
        <w:t>s</w:t>
      </w:r>
      <w:r w:rsidR="00D802B1" w:rsidRPr="00977850">
        <w:rPr>
          <w:lang w:val="en-GB"/>
        </w:rPr>
        <w:t xml:space="preserve">ing </w:t>
      </w:r>
      <w:r w:rsidRPr="00977850">
        <w:rPr>
          <w:lang w:val="en-GB"/>
        </w:rPr>
        <w:t>innovative therap</w:t>
      </w:r>
      <w:r w:rsidR="006908AC">
        <w:rPr>
          <w:lang w:val="en-GB"/>
        </w:rPr>
        <w:t>ies</w:t>
      </w:r>
      <w:r w:rsidRPr="00977850">
        <w:rPr>
          <w:lang w:val="en-GB"/>
        </w:rPr>
        <w:t xml:space="preserve">.  The importance of the treatment to the patient is also crucial and a distinction drawn between innovation where conventional treatment has failed, such as </w:t>
      </w:r>
      <w:r w:rsidR="002E20A2">
        <w:rPr>
          <w:lang w:val="en-GB"/>
        </w:rPr>
        <w:t xml:space="preserve">Layla’s </w:t>
      </w:r>
      <w:r w:rsidRPr="00977850">
        <w:rPr>
          <w:lang w:val="en-GB"/>
        </w:rPr>
        <w:t xml:space="preserve">case, and where innovative therapies are arguably unnecessary because lower risk alternatives </w:t>
      </w:r>
      <w:r w:rsidR="006908AC">
        <w:rPr>
          <w:lang w:val="en-GB"/>
        </w:rPr>
        <w:t>exist</w:t>
      </w:r>
      <w:r w:rsidR="002E20A2">
        <w:rPr>
          <w:lang w:val="en-GB"/>
        </w:rPr>
        <w:t xml:space="preserve">, like </w:t>
      </w:r>
      <w:r w:rsidR="006908AC">
        <w:rPr>
          <w:lang w:val="en-GB"/>
        </w:rPr>
        <w:t>with</w:t>
      </w:r>
      <w:r w:rsidR="002E20A2">
        <w:rPr>
          <w:lang w:val="en-GB"/>
        </w:rPr>
        <w:t xml:space="preserve"> </w:t>
      </w:r>
      <w:r w:rsidRPr="00977850">
        <w:rPr>
          <w:lang w:val="en-GB"/>
        </w:rPr>
        <w:t>Paterson</w:t>
      </w:r>
      <w:r w:rsidR="006908AC">
        <w:rPr>
          <w:lang w:val="en-GB"/>
        </w:rPr>
        <w:t>’s</w:t>
      </w:r>
      <w:r w:rsidRPr="00977850">
        <w:rPr>
          <w:lang w:val="en-GB"/>
        </w:rPr>
        <w:t xml:space="preserve"> ‘cleavage sparing’ mastectomies.  Where alternatives might include long waits, such as tracheal transplants, discussion of the </w:t>
      </w:r>
      <w:r w:rsidR="006908AC">
        <w:rPr>
          <w:lang w:val="en-GB"/>
        </w:rPr>
        <w:t xml:space="preserve">known and potentially unknown </w:t>
      </w:r>
      <w:r w:rsidRPr="00977850">
        <w:rPr>
          <w:lang w:val="en-GB"/>
        </w:rPr>
        <w:t>risks of the innovative therapy is a necessity.</w:t>
      </w:r>
    </w:p>
    <w:p w14:paraId="23C1C616" w14:textId="77777777" w:rsidR="00977850" w:rsidRPr="00977850" w:rsidRDefault="00977850" w:rsidP="00977850">
      <w:pPr>
        <w:spacing w:line="276" w:lineRule="auto"/>
        <w:jc w:val="both"/>
        <w:rPr>
          <w:lang w:val="en-GB"/>
        </w:rPr>
      </w:pPr>
    </w:p>
    <w:p w14:paraId="6B853893" w14:textId="4F88CB3E" w:rsidR="002D3D83" w:rsidRDefault="00977850" w:rsidP="004E34D6">
      <w:pPr>
        <w:spacing w:line="276" w:lineRule="auto"/>
        <w:jc w:val="both"/>
      </w:pPr>
      <w:r w:rsidRPr="00977850">
        <w:rPr>
          <w:lang w:val="en-GB"/>
        </w:rPr>
        <w:t xml:space="preserve">In </w:t>
      </w:r>
      <w:r w:rsidRPr="00977850">
        <w:rPr>
          <w:i/>
          <w:lang w:val="en-GB"/>
        </w:rPr>
        <w:t>Montgomery</w:t>
      </w:r>
      <w:r w:rsidRPr="00977850">
        <w:rPr>
          <w:lang w:val="en-GB"/>
        </w:rPr>
        <w:t xml:space="preserve">, Lords Read and Kerr explained </w:t>
      </w:r>
      <w:r w:rsidR="00F855E9">
        <w:rPr>
          <w:lang w:val="en-GB"/>
        </w:rPr>
        <w:t xml:space="preserve">that </w:t>
      </w:r>
      <w:r w:rsidRPr="00977850">
        <w:rPr>
          <w:lang w:val="en-GB"/>
        </w:rPr>
        <w:t>patients are ‘</w:t>
      </w:r>
      <w:r w:rsidRPr="00977850">
        <w:t>capable of understanding that medical treatment is uncertain of success and may involve risks, accepting responsibility for the taking of risks affecting their own lives, and living with the consequences of their choices.’</w:t>
      </w:r>
      <w:r w:rsidRPr="00977850">
        <w:rPr>
          <w:vertAlign w:val="superscript"/>
        </w:rPr>
        <w:footnoteReference w:id="146"/>
      </w:r>
      <w:r w:rsidRPr="00977850">
        <w:t xml:space="preserve">  Nowhere is the need to disclose risks and prospects of uncertain success </w:t>
      </w:r>
      <w:r w:rsidR="004A27B9">
        <w:t xml:space="preserve">more important </w:t>
      </w:r>
      <w:r w:rsidRPr="00977850">
        <w:t>than within medical innovation.  As in Layla</w:t>
      </w:r>
      <w:r w:rsidR="0032289D">
        <w:t>’s case</w:t>
      </w:r>
      <w:r w:rsidRPr="00977850">
        <w:t xml:space="preserve">, people are willing to accept medical uncertainty, but </w:t>
      </w:r>
      <w:r w:rsidR="0032289D" w:rsidRPr="00977850">
        <w:t xml:space="preserve">consent </w:t>
      </w:r>
      <w:r w:rsidRPr="00977850">
        <w:t xml:space="preserve">should be real and valid to respect patients’ interests and protect doctors from litigation. That the </w:t>
      </w:r>
      <w:r w:rsidRPr="00CE3C3A">
        <w:rPr>
          <w:i/>
        </w:rPr>
        <w:t>MIB</w:t>
      </w:r>
      <w:r w:rsidRPr="00977850">
        <w:t xml:space="preserve"> all but ignored consent was a significant omission in the debate on law, medicine and innovation.</w:t>
      </w:r>
    </w:p>
    <w:p w14:paraId="372C16D1" w14:textId="1F7EBC05" w:rsidR="002D3D83" w:rsidRPr="004E34D6" w:rsidRDefault="002D3D83" w:rsidP="004E34D6">
      <w:pPr>
        <w:spacing w:line="276" w:lineRule="auto"/>
        <w:ind w:left="360"/>
        <w:jc w:val="both"/>
        <w:rPr>
          <w:lang w:val="en-GB"/>
        </w:rPr>
      </w:pPr>
    </w:p>
    <w:sectPr w:rsidR="002D3D83" w:rsidRPr="004E34D6" w:rsidSect="00006AD5">
      <w:footerReference w:type="default" r:id="rId9"/>
      <w:pgSz w:w="11900" w:h="16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284780" w16cid:durableId="1F607A83"/>
  <w16cid:commentId w16cid:paraId="0887BDC2" w16cid:durableId="1F607EF8"/>
  <w16cid:commentId w16cid:paraId="4629578D" w16cid:durableId="1F607F6B"/>
  <w16cid:commentId w16cid:paraId="07AA8D9F" w16cid:durableId="1F6081EC"/>
  <w16cid:commentId w16cid:paraId="1FC668DF" w16cid:durableId="1F60FE4B"/>
  <w16cid:commentId w16cid:paraId="5AC9E53A" w16cid:durableId="1F60FE4C"/>
  <w16cid:commentId w16cid:paraId="4FA88329" w16cid:durableId="1F6080EB"/>
  <w16cid:commentId w16cid:paraId="59B4E779" w16cid:durableId="1F608161"/>
  <w16cid:commentId w16cid:paraId="6E5F46CB" w16cid:durableId="1F608509"/>
  <w16cid:commentId w16cid:paraId="053E230E" w16cid:durableId="1F6089B7"/>
  <w16cid:commentId w16cid:paraId="0010F9AE" w16cid:durableId="1F608C03"/>
  <w16cid:commentId w16cid:paraId="46C5F5A8" w16cid:durableId="1F608F07"/>
  <w16cid:commentId w16cid:paraId="7F6DFDE5" w16cid:durableId="1F608F8B"/>
  <w16cid:commentId w16cid:paraId="287ED0C5" w16cid:durableId="1F609116"/>
  <w16cid:commentId w16cid:paraId="2A10793B" w16cid:durableId="1F60FFC3"/>
  <w16cid:commentId w16cid:paraId="64C0A710" w16cid:durableId="1F609BD6"/>
  <w16cid:commentId w16cid:paraId="0A1E12F5" w16cid:durableId="1F609C4C"/>
  <w16cid:commentId w16cid:paraId="5E23C733" w16cid:durableId="1F609EE0"/>
  <w16cid:commentId w16cid:paraId="455433CD" w16cid:durableId="1F60A038"/>
  <w16cid:commentId w16cid:paraId="10E1ECCD" w16cid:durableId="1F60A250"/>
  <w16cid:commentId w16cid:paraId="0035F07D" w16cid:durableId="1F60A7DB"/>
  <w16cid:commentId w16cid:paraId="34F50AAB" w16cid:durableId="1F60C3B5"/>
  <w16cid:commentId w16cid:paraId="75DC7591" w16cid:durableId="1F60C576"/>
  <w16cid:commentId w16cid:paraId="307D442F" w16cid:durableId="1F60D02C"/>
  <w16cid:commentId w16cid:paraId="722391A7" w16cid:durableId="1F60D84B"/>
  <w16cid:commentId w16cid:paraId="0F06A56D" w16cid:durableId="1F60E8E6"/>
  <w16cid:commentId w16cid:paraId="1B9E45EA" w16cid:durableId="1F60EB8E"/>
  <w16cid:commentId w16cid:paraId="20B43252" w16cid:durableId="1F60EC5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72186" w14:textId="77777777" w:rsidR="00042D01" w:rsidRDefault="00042D01" w:rsidP="00F005E6">
      <w:r>
        <w:separator/>
      </w:r>
    </w:p>
  </w:endnote>
  <w:endnote w:type="continuationSeparator" w:id="0">
    <w:p w14:paraId="433874F9" w14:textId="77777777" w:rsidR="00042D01" w:rsidRDefault="00042D01" w:rsidP="00F00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Knockout 29 Junior Ltweight">
    <w:altName w:val="Calibri"/>
    <w:panose1 w:val="00000000000000000000"/>
    <w:charset w:val="00"/>
    <w:family w:val="swiss"/>
    <w:notTrueType/>
    <w:pitch w:val="default"/>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Times-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1352584"/>
      <w:docPartObj>
        <w:docPartGallery w:val="Page Numbers (Bottom of Page)"/>
        <w:docPartUnique/>
      </w:docPartObj>
    </w:sdtPr>
    <w:sdtEndPr>
      <w:rPr>
        <w:noProof/>
      </w:rPr>
    </w:sdtEndPr>
    <w:sdtContent>
      <w:p w14:paraId="52B092E0" w14:textId="3007A96B" w:rsidR="009967B5" w:rsidRDefault="009967B5">
        <w:pPr>
          <w:pStyle w:val="Footer"/>
          <w:jc w:val="right"/>
        </w:pPr>
        <w:r>
          <w:fldChar w:fldCharType="begin"/>
        </w:r>
        <w:r>
          <w:instrText xml:space="preserve"> PAGE   \* MERGEFORMAT </w:instrText>
        </w:r>
        <w:r>
          <w:fldChar w:fldCharType="separate"/>
        </w:r>
        <w:r w:rsidR="001C7D2C">
          <w:rPr>
            <w:noProof/>
          </w:rPr>
          <w:t>22</w:t>
        </w:r>
        <w:r>
          <w:rPr>
            <w:noProof/>
          </w:rPr>
          <w:fldChar w:fldCharType="end"/>
        </w:r>
      </w:p>
    </w:sdtContent>
  </w:sdt>
  <w:p w14:paraId="0185BB0B" w14:textId="77777777" w:rsidR="009967B5" w:rsidRDefault="009967B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F349B" w14:textId="77777777" w:rsidR="00042D01" w:rsidRDefault="00042D01" w:rsidP="00F005E6">
      <w:r>
        <w:separator/>
      </w:r>
    </w:p>
  </w:footnote>
  <w:footnote w:type="continuationSeparator" w:id="0">
    <w:p w14:paraId="27547312" w14:textId="77777777" w:rsidR="00042D01" w:rsidRDefault="00042D01" w:rsidP="00F005E6">
      <w:r>
        <w:continuationSeparator/>
      </w:r>
    </w:p>
  </w:footnote>
  <w:footnote w:id="1">
    <w:p w14:paraId="5B401306" w14:textId="77777777" w:rsidR="009967B5" w:rsidRPr="00F21901" w:rsidRDefault="009967B5" w:rsidP="004F086D">
      <w:pPr>
        <w:pStyle w:val="FootnoteText"/>
        <w:spacing w:line="276" w:lineRule="auto"/>
        <w:rPr>
          <w:sz w:val="20"/>
          <w:szCs w:val="20"/>
        </w:rPr>
      </w:pPr>
      <w:r w:rsidRPr="00F21901">
        <w:rPr>
          <w:rStyle w:val="FootnoteReference"/>
          <w:sz w:val="20"/>
          <w:szCs w:val="20"/>
        </w:rPr>
        <w:footnoteRef/>
      </w:r>
      <w:r w:rsidRPr="00F21901">
        <w:rPr>
          <w:sz w:val="20"/>
          <w:szCs w:val="20"/>
        </w:rPr>
        <w:t xml:space="preserve"> Steve Connor, ‘Lord Saatchi: Let new cures be tried out on cancer patients’ </w:t>
      </w:r>
      <w:r w:rsidRPr="00F21901">
        <w:rPr>
          <w:i/>
          <w:sz w:val="20"/>
          <w:szCs w:val="20"/>
        </w:rPr>
        <w:t>The Independent</w:t>
      </w:r>
      <w:r w:rsidRPr="00F21901">
        <w:rPr>
          <w:sz w:val="20"/>
          <w:szCs w:val="20"/>
        </w:rPr>
        <w:t xml:space="preserve">, 12 October 2013 https://www.independent.co.uk/news/people/profiles/lord-saatchi-let-new-cures-be-tried-out-on-cancer-patients-8876504.html.  </w:t>
      </w:r>
    </w:p>
    <w:p w14:paraId="4426A572" w14:textId="77777777" w:rsidR="009967B5" w:rsidRPr="00F21901" w:rsidRDefault="009967B5" w:rsidP="004F086D">
      <w:pPr>
        <w:pStyle w:val="FootnoteText"/>
        <w:spacing w:line="276" w:lineRule="auto"/>
        <w:rPr>
          <w:sz w:val="20"/>
          <w:szCs w:val="20"/>
        </w:rPr>
      </w:pPr>
    </w:p>
  </w:footnote>
  <w:footnote w:id="2">
    <w:p w14:paraId="19A5DF35" w14:textId="77777777" w:rsidR="009967B5" w:rsidRPr="00F21901" w:rsidRDefault="009967B5" w:rsidP="004F086D">
      <w:pPr>
        <w:spacing w:line="276" w:lineRule="auto"/>
        <w:rPr>
          <w:sz w:val="20"/>
          <w:szCs w:val="20"/>
        </w:rPr>
      </w:pPr>
      <w:r w:rsidRPr="00F21901">
        <w:rPr>
          <w:rStyle w:val="FootnoteReference"/>
        </w:rPr>
        <w:footnoteRef/>
      </w:r>
      <w:r w:rsidRPr="00F21901">
        <w:t xml:space="preserve"> </w:t>
      </w:r>
      <w:r w:rsidRPr="00F21901">
        <w:rPr>
          <w:i/>
          <w:sz w:val="20"/>
          <w:szCs w:val="20"/>
        </w:rPr>
        <w:t xml:space="preserve">Chatterton v Gerson </w:t>
      </w:r>
      <w:r w:rsidRPr="00F21901">
        <w:rPr>
          <w:sz w:val="20"/>
          <w:szCs w:val="20"/>
        </w:rPr>
        <w:t xml:space="preserve">[1981] QB 432 (QBD); </w:t>
      </w:r>
      <w:r w:rsidRPr="00F21901">
        <w:rPr>
          <w:i/>
          <w:sz w:val="20"/>
          <w:szCs w:val="20"/>
        </w:rPr>
        <w:t xml:space="preserve">Rogers v Whitaker </w:t>
      </w:r>
      <w:r w:rsidRPr="00F21901">
        <w:rPr>
          <w:sz w:val="20"/>
          <w:szCs w:val="20"/>
        </w:rPr>
        <w:t>(1992) 175 CLR 479.</w:t>
      </w:r>
    </w:p>
    <w:p w14:paraId="0B70B119" w14:textId="77777777" w:rsidR="009967B5" w:rsidRPr="00F21901" w:rsidRDefault="009967B5" w:rsidP="004F086D">
      <w:pPr>
        <w:spacing w:line="276" w:lineRule="auto"/>
        <w:rPr>
          <w:lang w:val="en-AU"/>
        </w:rPr>
      </w:pPr>
    </w:p>
  </w:footnote>
  <w:footnote w:id="3">
    <w:p w14:paraId="7D46D270" w14:textId="77777777" w:rsidR="009967B5" w:rsidRPr="00F21901" w:rsidRDefault="009967B5" w:rsidP="004F086D">
      <w:pPr>
        <w:pStyle w:val="FootnoteText"/>
        <w:rPr>
          <w:sz w:val="20"/>
          <w:szCs w:val="20"/>
        </w:rPr>
      </w:pPr>
      <w:r w:rsidRPr="00F21901">
        <w:rPr>
          <w:rStyle w:val="FootnoteReference"/>
          <w:sz w:val="20"/>
          <w:szCs w:val="20"/>
        </w:rPr>
        <w:footnoteRef/>
      </w:r>
      <w:r w:rsidRPr="00F21901">
        <w:rPr>
          <w:sz w:val="20"/>
          <w:szCs w:val="20"/>
        </w:rPr>
        <w:t xml:space="preserve"> </w:t>
      </w:r>
      <w:r w:rsidRPr="00F21901">
        <w:rPr>
          <w:i/>
          <w:sz w:val="20"/>
          <w:szCs w:val="20"/>
          <w:lang w:val="en-GB"/>
        </w:rPr>
        <w:t>Montgomery v Lanarkshire Health Board</w:t>
      </w:r>
      <w:r w:rsidRPr="00F21901">
        <w:rPr>
          <w:sz w:val="20"/>
          <w:szCs w:val="20"/>
        </w:rPr>
        <w:t xml:space="preserve"> [2015] UKSC 11; </w:t>
      </w:r>
      <w:r w:rsidRPr="00F21901">
        <w:rPr>
          <w:i/>
          <w:sz w:val="20"/>
          <w:szCs w:val="20"/>
        </w:rPr>
        <w:t xml:space="preserve">Rogers </w:t>
      </w:r>
      <w:r w:rsidRPr="00F21901">
        <w:rPr>
          <w:sz w:val="20"/>
          <w:szCs w:val="20"/>
        </w:rPr>
        <w:t xml:space="preserve">(n2).  </w:t>
      </w:r>
    </w:p>
    <w:p w14:paraId="21040208" w14:textId="77777777" w:rsidR="009967B5" w:rsidRPr="00F21901" w:rsidRDefault="009967B5" w:rsidP="004F086D">
      <w:pPr>
        <w:pStyle w:val="FootnoteText"/>
        <w:rPr>
          <w:sz w:val="20"/>
          <w:szCs w:val="20"/>
          <w:lang w:val="en-AU"/>
        </w:rPr>
      </w:pPr>
    </w:p>
  </w:footnote>
  <w:footnote w:id="4">
    <w:p w14:paraId="31CEC3C0" w14:textId="77777777" w:rsidR="009967B5" w:rsidRPr="00F21901" w:rsidRDefault="009967B5" w:rsidP="004F086D">
      <w:pPr>
        <w:pStyle w:val="FootnoteText"/>
        <w:rPr>
          <w:sz w:val="20"/>
          <w:szCs w:val="20"/>
        </w:rPr>
      </w:pPr>
      <w:r w:rsidRPr="00F21901">
        <w:rPr>
          <w:rStyle w:val="FootnoteReference"/>
          <w:sz w:val="20"/>
          <w:szCs w:val="20"/>
        </w:rPr>
        <w:footnoteRef/>
      </w:r>
      <w:r w:rsidRPr="00F21901">
        <w:rPr>
          <w:sz w:val="20"/>
          <w:szCs w:val="20"/>
        </w:rPr>
        <w:t xml:space="preserve"> 21 October 2014.</w:t>
      </w:r>
    </w:p>
    <w:p w14:paraId="6438643B" w14:textId="77777777" w:rsidR="009967B5" w:rsidRPr="00F21901" w:rsidRDefault="009967B5" w:rsidP="004F086D">
      <w:pPr>
        <w:pStyle w:val="FootnoteText"/>
        <w:rPr>
          <w:sz w:val="20"/>
          <w:szCs w:val="20"/>
          <w:lang w:val="en-AU"/>
        </w:rPr>
      </w:pPr>
    </w:p>
  </w:footnote>
  <w:footnote w:id="5">
    <w:p w14:paraId="626A1036" w14:textId="77777777" w:rsidR="009967B5" w:rsidRPr="00F21901" w:rsidRDefault="009967B5" w:rsidP="004F086D">
      <w:pPr>
        <w:pStyle w:val="FootnoteText"/>
        <w:rPr>
          <w:sz w:val="20"/>
          <w:szCs w:val="20"/>
        </w:rPr>
      </w:pPr>
      <w:r w:rsidRPr="00F21901">
        <w:rPr>
          <w:rStyle w:val="FootnoteReference"/>
          <w:sz w:val="20"/>
          <w:szCs w:val="20"/>
        </w:rPr>
        <w:footnoteRef/>
      </w:r>
      <w:r w:rsidRPr="00F21901">
        <w:rPr>
          <w:sz w:val="20"/>
          <w:szCs w:val="20"/>
        </w:rPr>
        <w:t xml:space="preserve"> Bill as brought from the Lords, 27 January 2015.</w:t>
      </w:r>
    </w:p>
    <w:p w14:paraId="19FCCD39" w14:textId="77777777" w:rsidR="009967B5" w:rsidRPr="00F21901" w:rsidRDefault="009967B5" w:rsidP="004F086D">
      <w:pPr>
        <w:pStyle w:val="FootnoteText"/>
        <w:rPr>
          <w:sz w:val="20"/>
          <w:szCs w:val="20"/>
          <w:lang w:val="en-AU"/>
        </w:rPr>
      </w:pPr>
    </w:p>
  </w:footnote>
  <w:footnote w:id="6">
    <w:p w14:paraId="1259C2E0" w14:textId="47DAF2A2" w:rsidR="009967B5" w:rsidRPr="00160F37" w:rsidRDefault="009967B5" w:rsidP="004F086D">
      <w:pPr>
        <w:pStyle w:val="FootnoteText"/>
        <w:jc w:val="both"/>
        <w:rPr>
          <w:sz w:val="20"/>
          <w:szCs w:val="20"/>
        </w:rPr>
      </w:pPr>
      <w:r w:rsidRPr="00F21901">
        <w:rPr>
          <w:rStyle w:val="FootnoteReference"/>
          <w:sz w:val="20"/>
          <w:szCs w:val="20"/>
        </w:rPr>
        <w:footnoteRef/>
      </w:r>
      <w:r w:rsidRPr="00F21901">
        <w:rPr>
          <w:sz w:val="20"/>
          <w:szCs w:val="20"/>
        </w:rPr>
        <w:t xml:space="preserve"> The purpose of the </w:t>
      </w:r>
      <w:r w:rsidRPr="00F21901">
        <w:rPr>
          <w:i/>
          <w:sz w:val="20"/>
          <w:szCs w:val="20"/>
        </w:rPr>
        <w:t>MIB</w:t>
      </w:r>
      <w:r w:rsidRPr="00F21901">
        <w:rPr>
          <w:sz w:val="20"/>
          <w:szCs w:val="20"/>
        </w:rPr>
        <w:t xml:space="preserve"> was to encourage responsible innovation; if a peer-review was unsuccessful, the innovation was prima facie irresponsible. A pertinent, unresolved question was whether the </w:t>
      </w:r>
      <w:r w:rsidRPr="00F21901">
        <w:rPr>
          <w:i/>
          <w:sz w:val="20"/>
          <w:szCs w:val="20"/>
        </w:rPr>
        <w:t>MIB</w:t>
      </w:r>
      <w:r w:rsidRPr="00F21901">
        <w:rPr>
          <w:sz w:val="20"/>
          <w:szCs w:val="20"/>
        </w:rPr>
        <w:t xml:space="preserve"> allowed patients to give valid consent to ‘irresponsible’ innovations, or whether it was negligent to practice ‘irresponsible’ innovation, even if consent was obtained</w:t>
      </w:r>
      <w:r w:rsidRPr="00160F37">
        <w:rPr>
          <w:sz w:val="20"/>
          <w:szCs w:val="20"/>
        </w:rPr>
        <w:t>.</w:t>
      </w:r>
    </w:p>
    <w:p w14:paraId="1895C393" w14:textId="77777777" w:rsidR="009967B5" w:rsidRPr="00D74F3E" w:rsidRDefault="009967B5" w:rsidP="004F086D">
      <w:pPr>
        <w:pStyle w:val="FootnoteText"/>
        <w:jc w:val="both"/>
        <w:rPr>
          <w:sz w:val="20"/>
          <w:szCs w:val="20"/>
        </w:rPr>
      </w:pPr>
    </w:p>
  </w:footnote>
  <w:footnote w:id="7">
    <w:p w14:paraId="447C9AB8" w14:textId="77777777" w:rsidR="009967B5" w:rsidRPr="00D74F3E" w:rsidRDefault="009967B5" w:rsidP="004F086D">
      <w:pPr>
        <w:pStyle w:val="FootnoteText"/>
        <w:rPr>
          <w:sz w:val="20"/>
          <w:szCs w:val="20"/>
        </w:rPr>
      </w:pPr>
      <w:r w:rsidRPr="00160F37">
        <w:rPr>
          <w:rStyle w:val="FootnoteReference"/>
        </w:rPr>
        <w:footnoteRef/>
      </w:r>
      <w:r w:rsidRPr="00160F37">
        <w:t xml:space="preserve"> </w:t>
      </w:r>
      <w:r w:rsidRPr="00D74F3E">
        <w:rPr>
          <w:sz w:val="20"/>
          <w:szCs w:val="20"/>
        </w:rPr>
        <w:t>See Keren-Paz’ contribution in this special issue.</w:t>
      </w:r>
    </w:p>
    <w:p w14:paraId="7B486725" w14:textId="77777777" w:rsidR="009967B5" w:rsidRPr="00707B75" w:rsidRDefault="009967B5" w:rsidP="004F086D">
      <w:pPr>
        <w:pStyle w:val="FootnoteText"/>
        <w:rPr>
          <w:lang w:val="en-AU"/>
        </w:rPr>
      </w:pPr>
    </w:p>
  </w:footnote>
  <w:footnote w:id="8">
    <w:p w14:paraId="23AA02A2" w14:textId="77777777" w:rsidR="009967B5" w:rsidRPr="00EF75A9" w:rsidRDefault="009967B5" w:rsidP="004F086D">
      <w:pPr>
        <w:pStyle w:val="FootnoteText"/>
        <w:spacing w:line="276" w:lineRule="auto"/>
        <w:rPr>
          <w:sz w:val="20"/>
          <w:szCs w:val="20"/>
        </w:rPr>
      </w:pPr>
      <w:r w:rsidRPr="00160F37">
        <w:rPr>
          <w:rStyle w:val="FootnoteReference"/>
          <w:sz w:val="20"/>
          <w:szCs w:val="20"/>
        </w:rPr>
        <w:footnoteRef/>
      </w:r>
      <w:r w:rsidRPr="00160F37">
        <w:rPr>
          <w:sz w:val="20"/>
          <w:szCs w:val="20"/>
        </w:rPr>
        <w:t xml:space="preserve"> </w:t>
      </w:r>
      <w:r w:rsidRPr="00D74F3E">
        <w:rPr>
          <w:i/>
          <w:iCs/>
          <w:sz w:val="20"/>
          <w:szCs w:val="20"/>
        </w:rPr>
        <w:t>Re T</w:t>
      </w:r>
      <w:r w:rsidRPr="00707B75">
        <w:rPr>
          <w:sz w:val="20"/>
          <w:szCs w:val="20"/>
        </w:rPr>
        <w:t xml:space="preserve"> [1993] Fam 95 (CA) (</w:t>
      </w:r>
      <w:proofErr w:type="spellStart"/>
      <w:r w:rsidRPr="00707B75">
        <w:rPr>
          <w:sz w:val="20"/>
          <w:szCs w:val="20"/>
        </w:rPr>
        <w:t>Stau</w:t>
      </w:r>
      <w:r w:rsidRPr="00EF75A9">
        <w:rPr>
          <w:sz w:val="20"/>
          <w:szCs w:val="20"/>
        </w:rPr>
        <w:t>ghton</w:t>
      </w:r>
      <w:proofErr w:type="spellEnd"/>
      <w:r w:rsidRPr="00EF75A9">
        <w:rPr>
          <w:sz w:val="20"/>
          <w:szCs w:val="20"/>
        </w:rPr>
        <w:t xml:space="preserve"> LJ).</w:t>
      </w:r>
    </w:p>
  </w:footnote>
  <w:footnote w:id="9">
    <w:p w14:paraId="0A50ABE2" w14:textId="77777777" w:rsidR="009967B5" w:rsidRPr="00B3308E" w:rsidRDefault="009967B5" w:rsidP="00F95265">
      <w:pPr>
        <w:pStyle w:val="FootnoteText"/>
        <w:jc w:val="both"/>
        <w:rPr>
          <w:sz w:val="20"/>
          <w:szCs w:val="20"/>
        </w:rPr>
      </w:pPr>
    </w:p>
    <w:p w14:paraId="1DC3952E" w14:textId="089FB517" w:rsidR="009967B5" w:rsidRPr="00F21901" w:rsidRDefault="009967B5" w:rsidP="00F95265">
      <w:pPr>
        <w:pStyle w:val="FootnoteText"/>
        <w:jc w:val="both"/>
        <w:rPr>
          <w:sz w:val="20"/>
          <w:szCs w:val="20"/>
        </w:rPr>
      </w:pPr>
      <w:r w:rsidRPr="00160F37">
        <w:rPr>
          <w:rStyle w:val="FootnoteReference"/>
          <w:sz w:val="20"/>
          <w:szCs w:val="20"/>
        </w:rPr>
        <w:footnoteRef/>
      </w:r>
      <w:r w:rsidRPr="00160F37">
        <w:rPr>
          <w:sz w:val="20"/>
          <w:szCs w:val="20"/>
        </w:rPr>
        <w:t xml:space="preserve"> There is debate about whether the claimant must prove no consent as an element of trespass, or the defendant must establish consent as a defence. In England lack of consent is an element: </w:t>
      </w:r>
      <w:r w:rsidRPr="00D74F3E">
        <w:rPr>
          <w:i/>
          <w:sz w:val="20"/>
          <w:szCs w:val="20"/>
        </w:rPr>
        <w:t>Freeman v Home Office</w:t>
      </w:r>
      <w:r w:rsidRPr="00707B75">
        <w:rPr>
          <w:sz w:val="20"/>
          <w:szCs w:val="20"/>
        </w:rPr>
        <w:t xml:space="preserve"> (No 2) [1984] QB 524. Australian</w:t>
      </w:r>
      <w:r w:rsidRPr="00EF75A9">
        <w:rPr>
          <w:sz w:val="20"/>
          <w:szCs w:val="20"/>
        </w:rPr>
        <w:t xml:space="preserve"> cases suggest consent is a defence: </w:t>
      </w:r>
      <w:r w:rsidRPr="00B3308E">
        <w:rPr>
          <w:i/>
          <w:sz w:val="20"/>
          <w:szCs w:val="20"/>
        </w:rPr>
        <w:t>Secretary, Department of Health and Community Services (NT) v JWB (Marion’s case)</w:t>
      </w:r>
      <w:r w:rsidRPr="00B3308E">
        <w:rPr>
          <w:sz w:val="20"/>
          <w:szCs w:val="20"/>
        </w:rPr>
        <w:t xml:space="preserve"> (1992) 175 CLR 218, 310-311; </w:t>
      </w:r>
      <w:r w:rsidRPr="00CC6E3F">
        <w:rPr>
          <w:i/>
          <w:sz w:val="20"/>
          <w:szCs w:val="20"/>
        </w:rPr>
        <w:t xml:space="preserve">Dean v Phung </w:t>
      </w:r>
      <w:r w:rsidRPr="00F21901">
        <w:rPr>
          <w:sz w:val="20"/>
          <w:szCs w:val="20"/>
          <w:lang w:val="en-AU"/>
        </w:rPr>
        <w:t xml:space="preserve">[2012] NSWCA 223; </w:t>
      </w:r>
      <w:r w:rsidRPr="00F21901">
        <w:rPr>
          <w:rStyle w:val="Emphasis"/>
          <w:sz w:val="20"/>
          <w:szCs w:val="20"/>
        </w:rPr>
        <w:t>White v Johnston</w:t>
      </w:r>
      <w:r w:rsidRPr="00F21901">
        <w:rPr>
          <w:sz w:val="20"/>
          <w:szCs w:val="20"/>
        </w:rPr>
        <w:t xml:space="preserve"> [2015] NSWCA 18.</w:t>
      </w:r>
    </w:p>
    <w:p w14:paraId="733EC3D3" w14:textId="77777777" w:rsidR="009967B5" w:rsidRPr="00F21901" w:rsidRDefault="009967B5" w:rsidP="0041415B">
      <w:pPr>
        <w:pStyle w:val="FootnoteText"/>
        <w:rPr>
          <w:sz w:val="20"/>
          <w:szCs w:val="20"/>
          <w:lang w:val="en-AU"/>
        </w:rPr>
      </w:pPr>
    </w:p>
  </w:footnote>
  <w:footnote w:id="10">
    <w:p w14:paraId="4DF8D654" w14:textId="3ABB70F8" w:rsidR="009967B5" w:rsidRPr="00707B75" w:rsidRDefault="009967B5" w:rsidP="0041415B">
      <w:pPr>
        <w:pStyle w:val="FootnoteText"/>
        <w:spacing w:line="276" w:lineRule="auto"/>
        <w:rPr>
          <w:sz w:val="20"/>
          <w:szCs w:val="20"/>
        </w:rPr>
      </w:pPr>
      <w:r w:rsidRPr="00160F37">
        <w:rPr>
          <w:rStyle w:val="FootnoteReference"/>
          <w:sz w:val="20"/>
          <w:szCs w:val="20"/>
        </w:rPr>
        <w:footnoteRef/>
      </w:r>
      <w:r w:rsidRPr="00160F37">
        <w:rPr>
          <w:sz w:val="20"/>
          <w:szCs w:val="20"/>
        </w:rPr>
        <w:t xml:space="preserve"> </w:t>
      </w:r>
      <w:r w:rsidRPr="00D74F3E">
        <w:rPr>
          <w:i/>
          <w:iCs/>
          <w:sz w:val="20"/>
          <w:szCs w:val="20"/>
        </w:rPr>
        <w:t>Re W</w:t>
      </w:r>
      <w:r w:rsidRPr="00707B75">
        <w:rPr>
          <w:sz w:val="20"/>
          <w:szCs w:val="20"/>
        </w:rPr>
        <w:t xml:space="preserve"> [1992] 4 All ER 627, 633.</w:t>
      </w:r>
    </w:p>
    <w:p w14:paraId="5E434548" w14:textId="77777777" w:rsidR="009967B5" w:rsidRPr="00EF75A9" w:rsidRDefault="009967B5" w:rsidP="0041415B">
      <w:pPr>
        <w:pStyle w:val="FootnoteText"/>
        <w:spacing w:line="276" w:lineRule="auto"/>
        <w:rPr>
          <w:sz w:val="20"/>
          <w:szCs w:val="20"/>
        </w:rPr>
      </w:pPr>
    </w:p>
  </w:footnote>
  <w:footnote w:id="11">
    <w:p w14:paraId="55C5C328" w14:textId="19F9245B" w:rsidR="009967B5" w:rsidRPr="00B3308E" w:rsidRDefault="009967B5" w:rsidP="00F95265">
      <w:pPr>
        <w:pStyle w:val="FootnoteText"/>
        <w:jc w:val="both"/>
        <w:rPr>
          <w:sz w:val="20"/>
          <w:szCs w:val="20"/>
          <w:lang w:val="en-AU"/>
        </w:rPr>
      </w:pPr>
      <w:r w:rsidRPr="00160F37">
        <w:rPr>
          <w:rStyle w:val="FootnoteReference"/>
          <w:sz w:val="20"/>
          <w:szCs w:val="20"/>
        </w:rPr>
        <w:footnoteRef/>
      </w:r>
      <w:r w:rsidRPr="00160F37">
        <w:rPr>
          <w:sz w:val="20"/>
          <w:szCs w:val="20"/>
        </w:rPr>
        <w:t xml:space="preserve"> </w:t>
      </w:r>
      <w:r w:rsidRPr="00D74F3E">
        <w:rPr>
          <w:i/>
          <w:sz w:val="20"/>
          <w:szCs w:val="20"/>
        </w:rPr>
        <w:t>R v Ia</w:t>
      </w:r>
      <w:r w:rsidRPr="00707B75">
        <w:rPr>
          <w:i/>
          <w:sz w:val="20"/>
          <w:szCs w:val="20"/>
        </w:rPr>
        <w:t>n Paterson</w:t>
      </w:r>
      <w:r w:rsidRPr="00EF75A9">
        <w:rPr>
          <w:sz w:val="20"/>
          <w:szCs w:val="20"/>
        </w:rPr>
        <w:t xml:space="preserve"> [2017] EWCA </w:t>
      </w:r>
      <w:proofErr w:type="spellStart"/>
      <w:r w:rsidRPr="00EF75A9">
        <w:rPr>
          <w:sz w:val="20"/>
          <w:szCs w:val="20"/>
        </w:rPr>
        <w:t>Crim</w:t>
      </w:r>
      <w:proofErr w:type="spellEnd"/>
      <w:r w:rsidRPr="00EF75A9">
        <w:rPr>
          <w:sz w:val="20"/>
          <w:szCs w:val="20"/>
        </w:rPr>
        <w:t xml:space="preserve"> 1625; </w:t>
      </w:r>
      <w:r w:rsidRPr="00B3308E">
        <w:rPr>
          <w:i/>
          <w:sz w:val="20"/>
          <w:szCs w:val="20"/>
          <w:lang w:val="en-AU"/>
        </w:rPr>
        <w:t xml:space="preserve">Reeves v R </w:t>
      </w:r>
      <w:r w:rsidRPr="00B3308E">
        <w:rPr>
          <w:sz w:val="20"/>
          <w:szCs w:val="20"/>
          <w:lang w:val="en-AU"/>
        </w:rPr>
        <w:t>[2013] HCA 57. This paper focuses on civil liability; detailed analysis of criminal cases is beyond scope.</w:t>
      </w:r>
    </w:p>
    <w:p w14:paraId="1EDCB3DE" w14:textId="77777777" w:rsidR="009967B5" w:rsidRPr="00F21901" w:rsidRDefault="009967B5" w:rsidP="0041415B">
      <w:pPr>
        <w:pStyle w:val="FootnoteText"/>
        <w:rPr>
          <w:sz w:val="20"/>
          <w:szCs w:val="20"/>
          <w:lang w:val="en-AU"/>
        </w:rPr>
      </w:pPr>
    </w:p>
  </w:footnote>
  <w:footnote w:id="12">
    <w:p w14:paraId="09F532E8" w14:textId="490CE2CD" w:rsidR="009967B5" w:rsidRPr="00EF75A9" w:rsidRDefault="009967B5" w:rsidP="00F95265">
      <w:pPr>
        <w:pStyle w:val="FootnoteText"/>
        <w:spacing w:line="276" w:lineRule="auto"/>
        <w:jc w:val="both"/>
        <w:rPr>
          <w:i/>
          <w:sz w:val="20"/>
          <w:szCs w:val="20"/>
        </w:rPr>
      </w:pPr>
      <w:r w:rsidRPr="00F21901">
        <w:rPr>
          <w:rStyle w:val="FootnoteReference"/>
          <w:sz w:val="20"/>
          <w:szCs w:val="20"/>
        </w:rPr>
        <w:footnoteRef/>
      </w:r>
      <w:r w:rsidRPr="00F21901">
        <w:rPr>
          <w:sz w:val="20"/>
          <w:szCs w:val="20"/>
        </w:rPr>
        <w:t xml:space="preserve"> </w:t>
      </w:r>
      <w:r w:rsidRPr="00160F37">
        <w:rPr>
          <w:i/>
          <w:sz w:val="20"/>
          <w:szCs w:val="20"/>
        </w:rPr>
        <w:t xml:space="preserve">Chester v </w:t>
      </w:r>
      <w:proofErr w:type="spellStart"/>
      <w:r w:rsidRPr="00160F37">
        <w:rPr>
          <w:i/>
          <w:sz w:val="20"/>
          <w:szCs w:val="20"/>
        </w:rPr>
        <w:t>Afshar</w:t>
      </w:r>
      <w:proofErr w:type="spellEnd"/>
      <w:r w:rsidRPr="00160F37">
        <w:rPr>
          <w:i/>
          <w:sz w:val="20"/>
          <w:szCs w:val="20"/>
        </w:rPr>
        <w:t xml:space="preserve"> </w:t>
      </w:r>
      <w:r w:rsidRPr="00160F37">
        <w:rPr>
          <w:sz w:val="20"/>
          <w:szCs w:val="20"/>
        </w:rPr>
        <w:t xml:space="preserve">[2004] UKHL 41; </w:t>
      </w:r>
      <w:r w:rsidRPr="00160F37">
        <w:rPr>
          <w:i/>
          <w:sz w:val="20"/>
          <w:szCs w:val="20"/>
        </w:rPr>
        <w:t>Montgomery</w:t>
      </w:r>
      <w:r w:rsidRPr="00160F37">
        <w:rPr>
          <w:sz w:val="20"/>
          <w:szCs w:val="20"/>
        </w:rPr>
        <w:t xml:space="preserve"> (n3); </w:t>
      </w:r>
      <w:r w:rsidRPr="00160F37">
        <w:rPr>
          <w:i/>
          <w:sz w:val="20"/>
          <w:szCs w:val="20"/>
        </w:rPr>
        <w:t xml:space="preserve">Rogers </w:t>
      </w:r>
      <w:r w:rsidRPr="00160F37">
        <w:rPr>
          <w:sz w:val="20"/>
          <w:szCs w:val="20"/>
        </w:rPr>
        <w:t xml:space="preserve">(n2); </w:t>
      </w:r>
      <w:r w:rsidRPr="00160F37">
        <w:rPr>
          <w:i/>
          <w:sz w:val="20"/>
          <w:szCs w:val="20"/>
        </w:rPr>
        <w:t xml:space="preserve">Rosenberg v Percival </w:t>
      </w:r>
      <w:r w:rsidRPr="00C02FAA">
        <w:rPr>
          <w:sz w:val="20"/>
          <w:szCs w:val="20"/>
        </w:rPr>
        <w:t>(2001) 2</w:t>
      </w:r>
      <w:r w:rsidRPr="00C02FAA">
        <w:rPr>
          <w:rStyle w:val="st"/>
          <w:sz w:val="20"/>
          <w:szCs w:val="20"/>
        </w:rPr>
        <w:t>05 CLR 434</w:t>
      </w:r>
      <w:r w:rsidRPr="00C02FAA">
        <w:rPr>
          <w:i/>
          <w:sz w:val="20"/>
          <w:szCs w:val="20"/>
        </w:rPr>
        <w:t xml:space="preserve">; Wallace v Kam </w:t>
      </w:r>
      <w:r w:rsidRPr="00707B75">
        <w:rPr>
          <w:sz w:val="20"/>
          <w:szCs w:val="20"/>
        </w:rPr>
        <w:t>(2013) 250 CLR 375</w:t>
      </w:r>
      <w:r w:rsidRPr="00EF75A9">
        <w:rPr>
          <w:i/>
          <w:sz w:val="20"/>
          <w:szCs w:val="20"/>
        </w:rPr>
        <w:t>.</w:t>
      </w:r>
    </w:p>
    <w:p w14:paraId="3806488A" w14:textId="77777777" w:rsidR="009967B5" w:rsidRPr="00483C50" w:rsidRDefault="009967B5" w:rsidP="0041415B">
      <w:pPr>
        <w:pStyle w:val="FootnoteText"/>
        <w:spacing w:line="276" w:lineRule="auto"/>
        <w:rPr>
          <w:sz w:val="20"/>
          <w:szCs w:val="20"/>
        </w:rPr>
      </w:pPr>
    </w:p>
  </w:footnote>
  <w:footnote w:id="13">
    <w:p w14:paraId="1EEBF0C2" w14:textId="58C2F975" w:rsidR="009967B5" w:rsidRPr="00160F37" w:rsidRDefault="009967B5" w:rsidP="00C742B4">
      <w:pPr>
        <w:spacing w:line="276" w:lineRule="auto"/>
        <w:rPr>
          <w:b/>
          <w:sz w:val="20"/>
          <w:szCs w:val="20"/>
        </w:rPr>
      </w:pPr>
      <w:r w:rsidRPr="00F21901">
        <w:rPr>
          <w:rStyle w:val="FootnoteReference"/>
          <w:sz w:val="20"/>
          <w:szCs w:val="20"/>
        </w:rPr>
        <w:footnoteRef/>
      </w:r>
      <w:r w:rsidRPr="00F21901">
        <w:rPr>
          <w:sz w:val="20"/>
          <w:szCs w:val="20"/>
        </w:rPr>
        <w:t xml:space="preserve"> </w:t>
      </w:r>
      <w:r w:rsidRPr="00160F37">
        <w:rPr>
          <w:sz w:val="20"/>
          <w:szCs w:val="20"/>
        </w:rPr>
        <w:t>(n2) 443 (Bristow J). See also Rogers (n2) 490.</w:t>
      </w:r>
    </w:p>
    <w:p w14:paraId="5C7FFEDE" w14:textId="77777777" w:rsidR="009967B5" w:rsidRPr="00707B75" w:rsidRDefault="009967B5" w:rsidP="00C742B4">
      <w:pPr>
        <w:pStyle w:val="FootnoteText"/>
        <w:rPr>
          <w:b/>
          <w:sz w:val="20"/>
          <w:szCs w:val="20"/>
        </w:rPr>
      </w:pPr>
    </w:p>
  </w:footnote>
  <w:footnote w:id="14">
    <w:p w14:paraId="094FB912" w14:textId="1BF1FD7C" w:rsidR="009967B5" w:rsidRPr="00483C50" w:rsidRDefault="009967B5" w:rsidP="0041415B">
      <w:pPr>
        <w:pStyle w:val="FootnoteText"/>
        <w:rPr>
          <w:sz w:val="20"/>
          <w:szCs w:val="20"/>
        </w:rPr>
      </w:pPr>
      <w:r w:rsidRPr="00F21901">
        <w:rPr>
          <w:rStyle w:val="FootnoteReference"/>
          <w:sz w:val="20"/>
          <w:szCs w:val="20"/>
        </w:rPr>
        <w:footnoteRef/>
      </w:r>
      <w:r w:rsidRPr="00F21901">
        <w:rPr>
          <w:sz w:val="20"/>
          <w:szCs w:val="20"/>
        </w:rPr>
        <w:t xml:space="preserve"> Discussed </w:t>
      </w:r>
      <w:r w:rsidRPr="00160F37">
        <w:rPr>
          <w:sz w:val="20"/>
          <w:szCs w:val="20"/>
        </w:rPr>
        <w:t>in Tina Cockburn and Bill Madden, ‘Intentional torts claims in medical cases’ (2006</w:t>
      </w:r>
      <w:r w:rsidRPr="00160F37">
        <w:rPr>
          <w:i/>
          <w:sz w:val="20"/>
          <w:szCs w:val="20"/>
        </w:rPr>
        <w:t xml:space="preserve">) </w:t>
      </w:r>
      <w:r w:rsidRPr="00160F37">
        <w:rPr>
          <w:rStyle w:val="Emphasis"/>
          <w:i w:val="0"/>
          <w:sz w:val="20"/>
          <w:szCs w:val="20"/>
        </w:rPr>
        <w:t>13</w:t>
      </w:r>
      <w:r w:rsidRPr="00160F37">
        <w:rPr>
          <w:sz w:val="20"/>
          <w:szCs w:val="20"/>
        </w:rPr>
        <w:t xml:space="preserve">(3) </w:t>
      </w:r>
      <w:r w:rsidRPr="00707B75">
        <w:rPr>
          <w:rStyle w:val="Emphasis"/>
          <w:sz w:val="20"/>
          <w:szCs w:val="20"/>
        </w:rPr>
        <w:t>Journal of Law and Medicine</w:t>
      </w:r>
      <w:r w:rsidRPr="00EF75A9">
        <w:rPr>
          <w:rStyle w:val="Emphasis"/>
          <w:i w:val="0"/>
          <w:sz w:val="20"/>
          <w:szCs w:val="20"/>
        </w:rPr>
        <w:t xml:space="preserve"> </w:t>
      </w:r>
      <w:r w:rsidRPr="00483C50">
        <w:rPr>
          <w:sz w:val="20"/>
          <w:szCs w:val="20"/>
        </w:rPr>
        <w:t>311.</w:t>
      </w:r>
    </w:p>
    <w:p w14:paraId="527BABDF" w14:textId="77777777" w:rsidR="009967B5" w:rsidRPr="00B3308E" w:rsidRDefault="009967B5" w:rsidP="0041415B">
      <w:pPr>
        <w:pStyle w:val="FootnoteText"/>
        <w:rPr>
          <w:sz w:val="20"/>
          <w:szCs w:val="20"/>
          <w:lang w:val="en-AU"/>
        </w:rPr>
      </w:pPr>
    </w:p>
  </w:footnote>
  <w:footnote w:id="15">
    <w:p w14:paraId="04913230" w14:textId="4AE8D2C6" w:rsidR="009967B5" w:rsidRPr="00160F37" w:rsidRDefault="009967B5">
      <w:pPr>
        <w:pStyle w:val="FootnoteText"/>
        <w:rPr>
          <w:sz w:val="20"/>
          <w:szCs w:val="20"/>
        </w:rPr>
      </w:pPr>
      <w:r w:rsidRPr="00F21901">
        <w:rPr>
          <w:rStyle w:val="FootnoteReference"/>
          <w:sz w:val="20"/>
          <w:szCs w:val="20"/>
        </w:rPr>
        <w:footnoteRef/>
      </w:r>
      <w:r w:rsidRPr="00F21901">
        <w:rPr>
          <w:sz w:val="20"/>
          <w:szCs w:val="20"/>
        </w:rPr>
        <w:t xml:space="preserve"> </w:t>
      </w:r>
      <w:r w:rsidRPr="00160F37">
        <w:rPr>
          <w:i/>
          <w:sz w:val="20"/>
          <w:szCs w:val="20"/>
        </w:rPr>
        <w:t>Wainwright v Home Office</w:t>
      </w:r>
      <w:r w:rsidRPr="00160F37">
        <w:rPr>
          <w:sz w:val="20"/>
          <w:szCs w:val="20"/>
        </w:rPr>
        <w:t xml:space="preserve"> [2003] UKHL 53, [67] (Lord Hoffman).</w:t>
      </w:r>
    </w:p>
    <w:p w14:paraId="41BFA48C" w14:textId="77777777" w:rsidR="009967B5" w:rsidRPr="00707B75" w:rsidRDefault="009967B5">
      <w:pPr>
        <w:pStyle w:val="FootnoteText"/>
        <w:rPr>
          <w:sz w:val="20"/>
          <w:szCs w:val="20"/>
        </w:rPr>
      </w:pPr>
    </w:p>
  </w:footnote>
  <w:footnote w:id="16">
    <w:p w14:paraId="5830211F" w14:textId="1E2983A3" w:rsidR="009967B5" w:rsidRPr="00160F37" w:rsidRDefault="009967B5">
      <w:pPr>
        <w:pStyle w:val="FootnoteText"/>
        <w:rPr>
          <w:sz w:val="20"/>
          <w:szCs w:val="20"/>
        </w:rPr>
      </w:pPr>
      <w:r w:rsidRPr="00F21901">
        <w:rPr>
          <w:rStyle w:val="FootnoteReference"/>
          <w:sz w:val="20"/>
          <w:szCs w:val="20"/>
        </w:rPr>
        <w:footnoteRef/>
      </w:r>
      <w:r w:rsidRPr="00F21901">
        <w:rPr>
          <w:sz w:val="20"/>
          <w:szCs w:val="20"/>
        </w:rPr>
        <w:t xml:space="preserve"> </w:t>
      </w:r>
      <w:r w:rsidRPr="00160F37">
        <w:rPr>
          <w:i/>
          <w:sz w:val="20"/>
          <w:szCs w:val="20"/>
        </w:rPr>
        <w:t>Collins v Wilcock</w:t>
      </w:r>
      <w:r w:rsidRPr="00160F37">
        <w:rPr>
          <w:sz w:val="20"/>
          <w:szCs w:val="20"/>
        </w:rPr>
        <w:t xml:space="preserve"> [1984] 1 WLR 1172, 1177.</w:t>
      </w:r>
    </w:p>
    <w:p w14:paraId="58C52501" w14:textId="77777777" w:rsidR="009967B5" w:rsidRPr="00707B75" w:rsidRDefault="009967B5">
      <w:pPr>
        <w:pStyle w:val="FootnoteText"/>
        <w:rPr>
          <w:sz w:val="20"/>
          <w:szCs w:val="20"/>
        </w:rPr>
      </w:pPr>
    </w:p>
  </w:footnote>
  <w:footnote w:id="17">
    <w:p w14:paraId="6D7D7D06" w14:textId="29825DA4" w:rsidR="009967B5" w:rsidRPr="00C02FAA" w:rsidRDefault="009967B5" w:rsidP="0041415B">
      <w:pPr>
        <w:pStyle w:val="FootnoteText"/>
        <w:rPr>
          <w:sz w:val="20"/>
          <w:szCs w:val="20"/>
        </w:rPr>
      </w:pPr>
      <w:r w:rsidRPr="00F21901">
        <w:rPr>
          <w:rStyle w:val="FootnoteReference"/>
          <w:sz w:val="20"/>
          <w:szCs w:val="20"/>
        </w:rPr>
        <w:footnoteRef/>
      </w:r>
      <w:r w:rsidRPr="00F21901">
        <w:rPr>
          <w:sz w:val="20"/>
          <w:szCs w:val="20"/>
        </w:rPr>
        <w:t xml:space="preserve"> </w:t>
      </w:r>
      <w:r w:rsidRPr="00160F37">
        <w:rPr>
          <w:i/>
          <w:sz w:val="20"/>
          <w:szCs w:val="20"/>
        </w:rPr>
        <w:t xml:space="preserve">Marion’s </w:t>
      </w:r>
      <w:r w:rsidRPr="00160F37">
        <w:rPr>
          <w:sz w:val="20"/>
          <w:szCs w:val="20"/>
        </w:rPr>
        <w:t xml:space="preserve">case (n9) 233; </w:t>
      </w:r>
      <w:r w:rsidRPr="00160F37">
        <w:rPr>
          <w:i/>
          <w:sz w:val="20"/>
          <w:szCs w:val="20"/>
        </w:rPr>
        <w:t xml:space="preserve">Dean </w:t>
      </w:r>
      <w:r w:rsidRPr="00160F37">
        <w:rPr>
          <w:sz w:val="20"/>
          <w:szCs w:val="20"/>
          <w:lang w:val="en-AU"/>
        </w:rPr>
        <w:t>(n9)</w:t>
      </w:r>
      <w:r w:rsidRPr="00C02FAA">
        <w:rPr>
          <w:sz w:val="20"/>
          <w:szCs w:val="20"/>
          <w:lang w:val="en-AU"/>
        </w:rPr>
        <w:t xml:space="preserve"> [48]</w:t>
      </w:r>
      <w:r w:rsidRPr="00C02FAA">
        <w:rPr>
          <w:sz w:val="20"/>
          <w:szCs w:val="20"/>
        </w:rPr>
        <w:t>.</w:t>
      </w:r>
    </w:p>
    <w:p w14:paraId="0232486B" w14:textId="77777777" w:rsidR="009967B5" w:rsidRPr="00707B75" w:rsidRDefault="009967B5" w:rsidP="0041415B">
      <w:pPr>
        <w:pStyle w:val="FootnoteText"/>
        <w:rPr>
          <w:sz w:val="20"/>
          <w:szCs w:val="20"/>
          <w:lang w:val="en-AU"/>
        </w:rPr>
      </w:pPr>
    </w:p>
  </w:footnote>
  <w:footnote w:id="18">
    <w:p w14:paraId="631BE736" w14:textId="77777777" w:rsidR="009967B5" w:rsidRPr="00F21901" w:rsidRDefault="009967B5" w:rsidP="00FB43A7">
      <w:pPr>
        <w:pStyle w:val="FootnoteText"/>
        <w:spacing w:line="276" w:lineRule="auto"/>
        <w:rPr>
          <w:i/>
          <w:sz w:val="20"/>
          <w:szCs w:val="20"/>
        </w:rPr>
      </w:pPr>
      <w:r w:rsidRPr="00F21901">
        <w:rPr>
          <w:rStyle w:val="FootnoteReference"/>
          <w:sz w:val="20"/>
          <w:szCs w:val="20"/>
        </w:rPr>
        <w:footnoteRef/>
      </w:r>
      <w:r w:rsidRPr="00F21901">
        <w:rPr>
          <w:sz w:val="20"/>
          <w:szCs w:val="20"/>
        </w:rPr>
        <w:t xml:space="preserve"> </w:t>
      </w:r>
      <w:r w:rsidRPr="00160F37">
        <w:rPr>
          <w:i/>
          <w:sz w:val="20"/>
          <w:szCs w:val="20"/>
        </w:rPr>
        <w:t xml:space="preserve">R (Burke) v GMC </w:t>
      </w:r>
      <w:r w:rsidRPr="00A45052">
        <w:rPr>
          <w:sz w:val="20"/>
          <w:szCs w:val="20"/>
          <w:shd w:val="clear" w:color="auto" w:fill="FFFFFF"/>
        </w:rPr>
        <w:t>[</w:t>
      </w:r>
      <w:r w:rsidRPr="00A45052">
        <w:rPr>
          <w:rStyle w:val="Emphasis"/>
          <w:bCs/>
          <w:i w:val="0"/>
          <w:iCs w:val="0"/>
          <w:sz w:val="20"/>
          <w:szCs w:val="20"/>
          <w:shd w:val="clear" w:color="auto" w:fill="FFFFFF"/>
        </w:rPr>
        <w:t>2005</w:t>
      </w:r>
      <w:r w:rsidRPr="00A45052">
        <w:rPr>
          <w:sz w:val="20"/>
          <w:szCs w:val="20"/>
          <w:shd w:val="clear" w:color="auto" w:fill="FFFFFF"/>
        </w:rPr>
        <w:t xml:space="preserve">] EWCA </w:t>
      </w:r>
      <w:proofErr w:type="spellStart"/>
      <w:r w:rsidRPr="00A45052">
        <w:rPr>
          <w:sz w:val="20"/>
          <w:szCs w:val="20"/>
          <w:shd w:val="clear" w:color="auto" w:fill="FFFFFF"/>
        </w:rPr>
        <w:t>Civ</w:t>
      </w:r>
      <w:proofErr w:type="spellEnd"/>
      <w:r w:rsidRPr="00A45052">
        <w:rPr>
          <w:sz w:val="20"/>
          <w:szCs w:val="20"/>
          <w:shd w:val="clear" w:color="auto" w:fill="FFFFFF"/>
        </w:rPr>
        <w:t xml:space="preserve"> 1003.</w:t>
      </w:r>
    </w:p>
    <w:p w14:paraId="4081FDCD" w14:textId="77777777" w:rsidR="009967B5" w:rsidRPr="00160F37" w:rsidRDefault="009967B5" w:rsidP="00FB43A7">
      <w:pPr>
        <w:pStyle w:val="FootnoteText"/>
        <w:spacing w:line="276" w:lineRule="auto"/>
        <w:rPr>
          <w:sz w:val="20"/>
          <w:szCs w:val="20"/>
        </w:rPr>
      </w:pPr>
    </w:p>
  </w:footnote>
  <w:footnote w:id="19">
    <w:p w14:paraId="208AC4D0" w14:textId="094F13F4" w:rsidR="009967B5" w:rsidRPr="00160F37" w:rsidRDefault="009967B5">
      <w:pPr>
        <w:pStyle w:val="FootnoteText"/>
        <w:rPr>
          <w:sz w:val="20"/>
          <w:szCs w:val="20"/>
        </w:rPr>
      </w:pPr>
      <w:r w:rsidRPr="00F21901">
        <w:rPr>
          <w:rStyle w:val="FootnoteReference"/>
          <w:sz w:val="20"/>
          <w:szCs w:val="20"/>
        </w:rPr>
        <w:footnoteRef/>
      </w:r>
      <w:r w:rsidRPr="00F21901">
        <w:rPr>
          <w:sz w:val="20"/>
          <w:szCs w:val="20"/>
        </w:rPr>
        <w:t xml:space="preserve"> </w:t>
      </w:r>
      <w:r w:rsidRPr="00160F37">
        <w:rPr>
          <w:sz w:val="20"/>
          <w:szCs w:val="20"/>
        </w:rPr>
        <w:t xml:space="preserve">See Gregory Keating’s contribution to this special </w:t>
      </w:r>
      <w:r>
        <w:rPr>
          <w:sz w:val="20"/>
          <w:szCs w:val="20"/>
        </w:rPr>
        <w:t>issue</w:t>
      </w:r>
      <w:r w:rsidRPr="00160F37">
        <w:rPr>
          <w:sz w:val="20"/>
          <w:szCs w:val="20"/>
        </w:rPr>
        <w:t xml:space="preserve">. </w:t>
      </w:r>
    </w:p>
    <w:p w14:paraId="2DA6F987" w14:textId="77777777" w:rsidR="009967B5" w:rsidRPr="00707B75" w:rsidRDefault="009967B5">
      <w:pPr>
        <w:pStyle w:val="FootnoteText"/>
        <w:rPr>
          <w:sz w:val="20"/>
          <w:szCs w:val="20"/>
        </w:rPr>
      </w:pPr>
    </w:p>
  </w:footnote>
  <w:footnote w:id="20">
    <w:p w14:paraId="7ABC3E85" w14:textId="4AE1AAB0" w:rsidR="009967B5" w:rsidRPr="00160F37" w:rsidRDefault="009967B5">
      <w:pPr>
        <w:pStyle w:val="FootnoteText"/>
        <w:rPr>
          <w:sz w:val="20"/>
          <w:szCs w:val="20"/>
        </w:rPr>
      </w:pPr>
      <w:r w:rsidRPr="00F21901">
        <w:rPr>
          <w:rStyle w:val="FootnoteReference"/>
          <w:sz w:val="20"/>
          <w:szCs w:val="20"/>
        </w:rPr>
        <w:footnoteRef/>
      </w:r>
      <w:r w:rsidRPr="00F21901">
        <w:rPr>
          <w:sz w:val="20"/>
          <w:szCs w:val="20"/>
        </w:rPr>
        <w:t xml:space="preserve"> Alternatively, </w:t>
      </w:r>
      <w:r w:rsidRPr="00160F37">
        <w:rPr>
          <w:sz w:val="20"/>
          <w:szCs w:val="20"/>
          <w:lang w:val="en-GB"/>
        </w:rPr>
        <w:t>consent may be given by parents, substitute decision makers</w:t>
      </w:r>
      <w:r w:rsidRPr="00160F37">
        <w:rPr>
          <w:sz w:val="20"/>
          <w:szCs w:val="20"/>
        </w:rPr>
        <w:t xml:space="preserve"> </w:t>
      </w:r>
      <w:r w:rsidRPr="00160F37">
        <w:rPr>
          <w:sz w:val="20"/>
          <w:szCs w:val="20"/>
          <w:lang w:val="en-GB"/>
        </w:rPr>
        <w:t>or the Court</w:t>
      </w:r>
      <w:r w:rsidRPr="00160F37">
        <w:rPr>
          <w:sz w:val="20"/>
          <w:szCs w:val="20"/>
        </w:rPr>
        <w:t>.</w:t>
      </w:r>
    </w:p>
    <w:p w14:paraId="22B77E90" w14:textId="77777777" w:rsidR="009967B5" w:rsidRPr="00ED3541" w:rsidRDefault="009967B5">
      <w:pPr>
        <w:pStyle w:val="FootnoteText"/>
        <w:rPr>
          <w:sz w:val="20"/>
          <w:szCs w:val="20"/>
        </w:rPr>
      </w:pPr>
    </w:p>
  </w:footnote>
  <w:footnote w:id="21">
    <w:p w14:paraId="2E8D7EB0" w14:textId="2EB7F43A" w:rsidR="009967B5" w:rsidRPr="00F21901" w:rsidRDefault="009967B5">
      <w:pPr>
        <w:pStyle w:val="FootnoteText"/>
        <w:rPr>
          <w:sz w:val="20"/>
          <w:szCs w:val="20"/>
          <w:lang w:val="en-AU"/>
        </w:rPr>
      </w:pPr>
      <w:r w:rsidRPr="00F21901">
        <w:rPr>
          <w:rStyle w:val="FootnoteReference"/>
        </w:rPr>
        <w:footnoteRef/>
      </w:r>
      <w:r w:rsidRPr="00F21901">
        <w:t xml:space="preserve"> </w:t>
      </w:r>
      <w:r w:rsidRPr="00160F37">
        <w:rPr>
          <w:i/>
          <w:sz w:val="20"/>
          <w:szCs w:val="20"/>
          <w:lang w:val="en-GB"/>
        </w:rPr>
        <w:t>Appleton v Garratt</w:t>
      </w:r>
      <w:r w:rsidRPr="00C02FAA">
        <w:rPr>
          <w:sz w:val="20"/>
          <w:szCs w:val="20"/>
        </w:rPr>
        <w:t xml:space="preserve"> [1997] 8 Med LR 75 (</w:t>
      </w:r>
      <w:r w:rsidRPr="00C02FAA">
        <w:rPr>
          <w:sz w:val="20"/>
          <w:szCs w:val="20"/>
          <w:lang w:val="en-GB"/>
        </w:rPr>
        <w:t xml:space="preserve">consent vitiated in respect of teeth not requiring treatment </w:t>
      </w:r>
      <w:r w:rsidRPr="00C02FAA">
        <w:rPr>
          <w:sz w:val="20"/>
          <w:szCs w:val="20"/>
        </w:rPr>
        <w:t xml:space="preserve">because </w:t>
      </w:r>
      <w:r w:rsidRPr="00ED3541">
        <w:rPr>
          <w:sz w:val="20"/>
          <w:szCs w:val="20"/>
          <w:lang w:val="en-GB"/>
        </w:rPr>
        <w:t xml:space="preserve">patients would not have consented if made aware of true purpose </w:t>
      </w:r>
      <w:r w:rsidRPr="00707B75">
        <w:rPr>
          <w:sz w:val="20"/>
          <w:szCs w:val="20"/>
          <w:lang w:val="en-GB"/>
        </w:rPr>
        <w:t>of treatment</w:t>
      </w:r>
      <w:r w:rsidRPr="00EF75A9">
        <w:rPr>
          <w:sz w:val="20"/>
          <w:szCs w:val="20"/>
        </w:rPr>
        <w:t xml:space="preserve"> - battery established</w:t>
      </w:r>
      <w:r w:rsidRPr="00951EF6">
        <w:rPr>
          <w:sz w:val="20"/>
          <w:szCs w:val="20"/>
          <w:lang w:val="en-GB"/>
        </w:rPr>
        <w:t xml:space="preserve">). See also </w:t>
      </w:r>
      <w:r w:rsidRPr="00CC6E3F">
        <w:rPr>
          <w:i/>
          <w:sz w:val="20"/>
          <w:szCs w:val="20"/>
        </w:rPr>
        <w:t>Dean</w:t>
      </w:r>
      <w:r w:rsidRPr="00F21901">
        <w:rPr>
          <w:i/>
        </w:rPr>
        <w:t xml:space="preserve"> </w:t>
      </w:r>
      <w:r w:rsidRPr="00F21901">
        <w:rPr>
          <w:sz w:val="20"/>
          <w:szCs w:val="20"/>
        </w:rPr>
        <w:t>(n9) [61] (</w:t>
      </w:r>
      <w:r w:rsidRPr="00F21901">
        <w:rPr>
          <w:sz w:val="20"/>
          <w:szCs w:val="20"/>
          <w:lang w:val="en-AU"/>
        </w:rPr>
        <w:t>w</w:t>
      </w:r>
      <w:proofErr w:type="spellStart"/>
      <w:r w:rsidRPr="00F21901">
        <w:rPr>
          <w:sz w:val="20"/>
          <w:szCs w:val="20"/>
        </w:rPr>
        <w:t>ithin</w:t>
      </w:r>
      <w:proofErr w:type="spellEnd"/>
      <w:r w:rsidRPr="00F21901">
        <w:rPr>
          <w:sz w:val="20"/>
          <w:szCs w:val="20"/>
        </w:rPr>
        <w:t xml:space="preserve"> about 12 months, dentist</w:t>
      </w:r>
      <w:r w:rsidRPr="00F21901">
        <w:rPr>
          <w:sz w:val="20"/>
          <w:szCs w:val="20"/>
          <w:lang w:val="en-AU"/>
        </w:rPr>
        <w:t xml:space="preserve"> carried out root canal treatment and fitted crowns on all claimant’s teeth, during 53 consultations costing $73,640. Battery established because defendant ‘probably did not believe at the time he carried out the treatment that it was reasonably necessary’: [47]).</w:t>
      </w:r>
    </w:p>
    <w:p w14:paraId="0C6E9673" w14:textId="77777777" w:rsidR="009967B5" w:rsidRPr="00F21901" w:rsidRDefault="009967B5">
      <w:pPr>
        <w:pStyle w:val="FootnoteText"/>
        <w:rPr>
          <w:lang w:val="en-AU"/>
        </w:rPr>
      </w:pPr>
    </w:p>
  </w:footnote>
  <w:footnote w:id="22">
    <w:p w14:paraId="29520960" w14:textId="2DAFB6B7" w:rsidR="009967B5" w:rsidRPr="00C02FAA" w:rsidRDefault="009967B5">
      <w:pPr>
        <w:pStyle w:val="FootnoteText"/>
        <w:rPr>
          <w:lang w:val="en-AU"/>
        </w:rPr>
      </w:pPr>
      <w:r w:rsidRPr="00F21901">
        <w:rPr>
          <w:rStyle w:val="FootnoteReference"/>
        </w:rPr>
        <w:footnoteRef/>
      </w:r>
      <w:r w:rsidRPr="00F21901">
        <w:t xml:space="preserve"> </w:t>
      </w:r>
      <w:r w:rsidRPr="00160F37">
        <w:rPr>
          <w:i/>
          <w:sz w:val="20"/>
          <w:szCs w:val="20"/>
          <w:lang w:val="en-AU"/>
        </w:rPr>
        <w:t xml:space="preserve">Dean </w:t>
      </w:r>
      <w:r w:rsidRPr="00C02FAA">
        <w:rPr>
          <w:sz w:val="20"/>
          <w:szCs w:val="20"/>
          <w:lang w:val="en-AU"/>
        </w:rPr>
        <w:t>(n9) [62].</w:t>
      </w:r>
      <w:r w:rsidRPr="00C02FAA">
        <w:rPr>
          <w:lang w:val="en-AU"/>
        </w:rPr>
        <w:t xml:space="preserve"> </w:t>
      </w:r>
    </w:p>
    <w:p w14:paraId="43A00C2B" w14:textId="77777777" w:rsidR="009967B5" w:rsidRPr="00C02FAA" w:rsidRDefault="009967B5">
      <w:pPr>
        <w:pStyle w:val="FootnoteText"/>
        <w:rPr>
          <w:lang w:val="en-AU"/>
        </w:rPr>
      </w:pPr>
    </w:p>
  </w:footnote>
  <w:footnote w:id="23">
    <w:p w14:paraId="7A9963E1" w14:textId="42EE0ACB" w:rsidR="009967B5" w:rsidRPr="00C02FAA" w:rsidRDefault="009967B5" w:rsidP="00606CD5">
      <w:pPr>
        <w:pStyle w:val="FootnoteText"/>
        <w:jc w:val="both"/>
        <w:rPr>
          <w:i/>
          <w:sz w:val="20"/>
          <w:szCs w:val="20"/>
          <w:lang w:val="en-AU"/>
        </w:rPr>
      </w:pPr>
      <w:r w:rsidRPr="00F21901">
        <w:rPr>
          <w:rStyle w:val="FootnoteReference"/>
          <w:sz w:val="20"/>
          <w:szCs w:val="20"/>
        </w:rPr>
        <w:footnoteRef/>
      </w:r>
      <w:r w:rsidRPr="00F21901">
        <w:rPr>
          <w:sz w:val="20"/>
          <w:szCs w:val="20"/>
        </w:rPr>
        <w:t xml:space="preserve"> </w:t>
      </w:r>
      <w:r w:rsidRPr="00160F37">
        <w:rPr>
          <w:i/>
          <w:iCs/>
          <w:sz w:val="20"/>
          <w:szCs w:val="20"/>
          <w:lang w:val="en-AU"/>
        </w:rPr>
        <w:t>Williamson v East London &amp; City HA</w:t>
      </w:r>
      <w:r w:rsidRPr="00C02FAA">
        <w:rPr>
          <w:sz w:val="20"/>
          <w:szCs w:val="20"/>
          <w:lang w:val="en-AU"/>
        </w:rPr>
        <w:t xml:space="preserve"> (1998) 41 BMLR 85 (consent to remove leaky breast implant but a subcutaneous mastectomy performed.) See also </w:t>
      </w:r>
      <w:r w:rsidRPr="00C02FAA">
        <w:rPr>
          <w:i/>
          <w:sz w:val="20"/>
          <w:szCs w:val="20"/>
          <w:lang w:val="en-AU"/>
        </w:rPr>
        <w:t xml:space="preserve">Chatterton </w:t>
      </w:r>
      <w:r w:rsidRPr="00C02FAA">
        <w:rPr>
          <w:sz w:val="20"/>
          <w:szCs w:val="20"/>
          <w:lang w:val="en-AU"/>
        </w:rPr>
        <w:t xml:space="preserve">(n2) 443; </w:t>
      </w:r>
      <w:r w:rsidRPr="00C02FAA">
        <w:rPr>
          <w:rStyle w:val="Emphasis"/>
          <w:sz w:val="20"/>
          <w:szCs w:val="20"/>
        </w:rPr>
        <w:t xml:space="preserve">White </w:t>
      </w:r>
      <w:r w:rsidRPr="00C02FAA">
        <w:rPr>
          <w:sz w:val="20"/>
          <w:szCs w:val="20"/>
        </w:rPr>
        <w:t xml:space="preserve">(n9) </w:t>
      </w:r>
      <w:r w:rsidRPr="00C02FAA">
        <w:rPr>
          <w:sz w:val="20"/>
          <w:szCs w:val="20"/>
          <w:lang w:val="en-AU"/>
        </w:rPr>
        <w:t>[60].</w:t>
      </w:r>
    </w:p>
    <w:p w14:paraId="2D42E1A2" w14:textId="77777777" w:rsidR="009967B5" w:rsidRPr="00ED3541" w:rsidRDefault="009967B5" w:rsidP="00F75A4E">
      <w:pPr>
        <w:pStyle w:val="FootnoteText"/>
        <w:rPr>
          <w:sz w:val="20"/>
          <w:szCs w:val="20"/>
          <w:lang w:val="en-AU"/>
        </w:rPr>
      </w:pPr>
    </w:p>
  </w:footnote>
  <w:footnote w:id="24">
    <w:p w14:paraId="7455A4AF" w14:textId="4120D959" w:rsidR="009967B5" w:rsidRPr="00C02FAA" w:rsidRDefault="009967B5" w:rsidP="007F3B13">
      <w:pPr>
        <w:pStyle w:val="FootnoteText"/>
        <w:rPr>
          <w:sz w:val="20"/>
          <w:szCs w:val="20"/>
        </w:rPr>
      </w:pPr>
      <w:r w:rsidRPr="00F21901">
        <w:rPr>
          <w:rStyle w:val="FootnoteReference"/>
          <w:sz w:val="20"/>
          <w:szCs w:val="20"/>
        </w:rPr>
        <w:footnoteRef/>
      </w:r>
      <w:r w:rsidRPr="00F21901">
        <w:rPr>
          <w:sz w:val="20"/>
          <w:szCs w:val="20"/>
        </w:rPr>
        <w:t xml:space="preserve"> </w:t>
      </w:r>
      <w:r w:rsidRPr="00160F37">
        <w:rPr>
          <w:i/>
          <w:sz w:val="20"/>
          <w:szCs w:val="20"/>
        </w:rPr>
        <w:t>Chatterton</w:t>
      </w:r>
      <w:r w:rsidRPr="00C02FAA">
        <w:rPr>
          <w:sz w:val="20"/>
          <w:szCs w:val="20"/>
        </w:rPr>
        <w:t xml:space="preserve"> (n2) 442-443.</w:t>
      </w:r>
    </w:p>
    <w:p w14:paraId="149BC952" w14:textId="77777777" w:rsidR="009967B5" w:rsidRPr="00ED3541" w:rsidRDefault="009967B5" w:rsidP="007F3B13">
      <w:pPr>
        <w:pStyle w:val="FootnoteText"/>
        <w:rPr>
          <w:sz w:val="20"/>
          <w:szCs w:val="20"/>
        </w:rPr>
      </w:pPr>
    </w:p>
  </w:footnote>
  <w:footnote w:id="25">
    <w:p w14:paraId="77E53D55" w14:textId="718DF622" w:rsidR="009967B5" w:rsidRPr="00C02FAA" w:rsidRDefault="009967B5" w:rsidP="003E1C06">
      <w:pPr>
        <w:pStyle w:val="FootnoteText"/>
        <w:rPr>
          <w:lang w:val="en-AU"/>
        </w:rPr>
      </w:pPr>
      <w:r w:rsidRPr="00F21901">
        <w:rPr>
          <w:rStyle w:val="FootnoteReference"/>
        </w:rPr>
        <w:footnoteRef/>
      </w:r>
      <w:r w:rsidRPr="00F21901">
        <w:t xml:space="preserve"> </w:t>
      </w:r>
      <w:r w:rsidRPr="00160F37">
        <w:rPr>
          <w:i/>
          <w:sz w:val="20"/>
          <w:szCs w:val="20"/>
          <w:lang w:val="en-AU"/>
        </w:rPr>
        <w:t xml:space="preserve">Appleton </w:t>
      </w:r>
      <w:r w:rsidRPr="00C02FAA">
        <w:rPr>
          <w:sz w:val="20"/>
          <w:szCs w:val="20"/>
          <w:lang w:val="en-AU"/>
        </w:rPr>
        <w:t xml:space="preserve">(n21); </w:t>
      </w:r>
      <w:r w:rsidRPr="00C02FAA">
        <w:rPr>
          <w:i/>
          <w:sz w:val="20"/>
          <w:szCs w:val="20"/>
          <w:lang w:val="en-AU"/>
        </w:rPr>
        <w:t xml:space="preserve">Dean </w:t>
      </w:r>
      <w:r w:rsidRPr="00C02FAA">
        <w:rPr>
          <w:sz w:val="20"/>
          <w:szCs w:val="20"/>
          <w:lang w:val="en-AU"/>
        </w:rPr>
        <w:t xml:space="preserve">(n9) cf. </w:t>
      </w:r>
      <w:r w:rsidRPr="00C02FAA">
        <w:rPr>
          <w:i/>
          <w:sz w:val="20"/>
          <w:szCs w:val="20"/>
          <w:lang w:val="en-AU"/>
        </w:rPr>
        <w:t xml:space="preserve">White </w:t>
      </w:r>
      <w:r w:rsidRPr="00C02FAA">
        <w:rPr>
          <w:sz w:val="20"/>
          <w:szCs w:val="20"/>
          <w:lang w:val="en-AU"/>
        </w:rPr>
        <w:t>(n9).</w:t>
      </w:r>
    </w:p>
    <w:p w14:paraId="306ED18D" w14:textId="77777777" w:rsidR="009967B5" w:rsidRPr="00C02FAA" w:rsidRDefault="009967B5" w:rsidP="003E1C06">
      <w:pPr>
        <w:pStyle w:val="FootnoteText"/>
        <w:rPr>
          <w:lang w:val="en-AU"/>
        </w:rPr>
      </w:pPr>
    </w:p>
  </w:footnote>
  <w:footnote w:id="26">
    <w:p w14:paraId="6999A26D" w14:textId="2030E495" w:rsidR="009967B5" w:rsidRPr="00160F37" w:rsidRDefault="009967B5" w:rsidP="00E70775">
      <w:pPr>
        <w:pStyle w:val="FootnoteText"/>
        <w:rPr>
          <w:sz w:val="20"/>
          <w:szCs w:val="20"/>
        </w:rPr>
      </w:pPr>
      <w:r w:rsidRPr="00F21901">
        <w:rPr>
          <w:rStyle w:val="FootnoteReference"/>
          <w:sz w:val="20"/>
          <w:szCs w:val="20"/>
        </w:rPr>
        <w:footnoteRef/>
      </w:r>
      <w:r w:rsidRPr="00F21901">
        <w:rPr>
          <w:sz w:val="20"/>
          <w:szCs w:val="20"/>
        </w:rPr>
        <w:t xml:space="preserve"> (n</w:t>
      </w:r>
      <w:r w:rsidRPr="00160F37">
        <w:rPr>
          <w:sz w:val="20"/>
          <w:szCs w:val="20"/>
        </w:rPr>
        <w:t xml:space="preserve">11). </w:t>
      </w:r>
    </w:p>
    <w:p w14:paraId="79D6D585" w14:textId="77777777" w:rsidR="009967B5" w:rsidRPr="00C02FAA" w:rsidRDefault="009967B5" w:rsidP="00E70775">
      <w:pPr>
        <w:pStyle w:val="FootnoteText"/>
        <w:rPr>
          <w:i/>
          <w:sz w:val="20"/>
          <w:szCs w:val="20"/>
          <w:lang w:val="en-AU"/>
        </w:rPr>
      </w:pPr>
    </w:p>
  </w:footnote>
  <w:footnote w:id="27">
    <w:p w14:paraId="20BAA1C3" w14:textId="254596A8" w:rsidR="009967B5" w:rsidRPr="00160F37" w:rsidRDefault="009967B5" w:rsidP="000D6F3F">
      <w:pPr>
        <w:pStyle w:val="FootnoteText"/>
        <w:rPr>
          <w:sz w:val="20"/>
          <w:szCs w:val="20"/>
          <w:lang w:val="en-AU"/>
        </w:rPr>
      </w:pPr>
      <w:r w:rsidRPr="00160F37">
        <w:rPr>
          <w:rStyle w:val="FootnoteReference"/>
          <w:sz w:val="20"/>
          <w:szCs w:val="20"/>
        </w:rPr>
        <w:footnoteRef/>
      </w:r>
      <w:r w:rsidRPr="00160F37">
        <w:rPr>
          <w:sz w:val="20"/>
          <w:szCs w:val="20"/>
        </w:rPr>
        <w:t xml:space="preserve"> </w:t>
      </w:r>
      <w:r w:rsidRPr="00C02FAA">
        <w:rPr>
          <w:sz w:val="20"/>
          <w:szCs w:val="20"/>
          <w:lang w:val="en-AU"/>
        </w:rPr>
        <w:t xml:space="preserve">Heart of England, NHS Foundation Trust, </w:t>
      </w:r>
      <w:r w:rsidRPr="00C02FAA">
        <w:rPr>
          <w:i/>
          <w:sz w:val="20"/>
          <w:szCs w:val="20"/>
          <w:lang w:val="en-AU"/>
        </w:rPr>
        <w:t>Surgical Outcomes and Practice</w:t>
      </w:r>
      <w:r w:rsidRPr="00C02FAA">
        <w:rPr>
          <w:sz w:val="20"/>
          <w:szCs w:val="20"/>
          <w:lang w:val="en-AU"/>
        </w:rPr>
        <w:t xml:space="preserve"> </w:t>
      </w:r>
      <w:hyperlink r:id="rId1" w:history="1">
        <w:r w:rsidRPr="0081216D">
          <w:rPr>
            <w:rStyle w:val="Hyperlink"/>
            <w:color w:val="auto"/>
            <w:sz w:val="20"/>
            <w:szCs w:val="20"/>
            <w:lang w:val="en-AU"/>
          </w:rPr>
          <w:t>http://www.heartofengland.nhs.uk/wp-content/uploads/Surgical-Outcomes-and-Practice-FINAL.pdf</w:t>
        </w:r>
      </w:hyperlink>
      <w:r w:rsidRPr="00160F37">
        <w:rPr>
          <w:sz w:val="20"/>
          <w:szCs w:val="20"/>
          <w:lang w:val="en-AU"/>
        </w:rPr>
        <w:t xml:space="preserve"> </w:t>
      </w:r>
      <w:r>
        <w:rPr>
          <w:sz w:val="20"/>
          <w:szCs w:val="20"/>
          <w:lang w:val="en-AU"/>
        </w:rPr>
        <w:t xml:space="preserve"> (accessed 9 October 2018).</w:t>
      </w:r>
    </w:p>
    <w:p w14:paraId="32DC6D4A" w14:textId="77777777" w:rsidR="009967B5" w:rsidRPr="002D018C" w:rsidRDefault="009967B5" w:rsidP="000D6F3F">
      <w:pPr>
        <w:pStyle w:val="FootnoteText"/>
        <w:rPr>
          <w:sz w:val="20"/>
          <w:szCs w:val="20"/>
          <w:lang w:val="en-AU"/>
        </w:rPr>
      </w:pPr>
    </w:p>
  </w:footnote>
  <w:footnote w:id="28">
    <w:p w14:paraId="4D59733E" w14:textId="108A23DE" w:rsidR="009967B5" w:rsidRPr="00C02FAA" w:rsidRDefault="009967B5" w:rsidP="000D6F3F">
      <w:pPr>
        <w:pStyle w:val="FootnoteText"/>
        <w:rPr>
          <w:sz w:val="20"/>
          <w:szCs w:val="20"/>
          <w:lang w:val="en-AU"/>
        </w:rPr>
      </w:pPr>
      <w:r w:rsidRPr="00160F37">
        <w:rPr>
          <w:rStyle w:val="FootnoteReference"/>
          <w:sz w:val="20"/>
          <w:szCs w:val="20"/>
        </w:rPr>
        <w:footnoteRef/>
      </w:r>
      <w:r w:rsidRPr="00160F37">
        <w:rPr>
          <w:sz w:val="20"/>
          <w:szCs w:val="20"/>
        </w:rPr>
        <w:t xml:space="preserve"> </w:t>
      </w:r>
      <w:r w:rsidRPr="00C02FAA">
        <w:rPr>
          <w:i/>
          <w:sz w:val="20"/>
          <w:szCs w:val="20"/>
          <w:lang w:val="en-AU"/>
        </w:rPr>
        <w:t>General Medical Council v Paterson</w:t>
      </w:r>
      <w:r w:rsidRPr="00C02FAA">
        <w:rPr>
          <w:sz w:val="20"/>
          <w:szCs w:val="20"/>
          <w:lang w:val="en-AU"/>
        </w:rPr>
        <w:t xml:space="preserve"> [2014] EWHC 201, [4]</w:t>
      </w:r>
      <w:proofErr w:type="gramStart"/>
      <w:r w:rsidRPr="00C02FAA">
        <w:rPr>
          <w:sz w:val="20"/>
          <w:szCs w:val="20"/>
          <w:lang w:val="en-AU"/>
        </w:rPr>
        <w:t>-[</w:t>
      </w:r>
      <w:proofErr w:type="gramEnd"/>
      <w:r w:rsidRPr="00C02FAA">
        <w:rPr>
          <w:sz w:val="20"/>
          <w:szCs w:val="20"/>
          <w:lang w:val="en-AU"/>
        </w:rPr>
        <w:t xml:space="preserve">6]. </w:t>
      </w:r>
    </w:p>
    <w:p w14:paraId="7BA6F6AC" w14:textId="77777777" w:rsidR="009967B5" w:rsidRPr="002D018C" w:rsidRDefault="009967B5" w:rsidP="000D6F3F">
      <w:pPr>
        <w:pStyle w:val="FootnoteText"/>
        <w:rPr>
          <w:sz w:val="20"/>
          <w:szCs w:val="20"/>
          <w:lang w:val="en-AU"/>
        </w:rPr>
      </w:pPr>
    </w:p>
  </w:footnote>
  <w:footnote w:id="29">
    <w:p w14:paraId="278C34B2" w14:textId="224B886C" w:rsidR="009967B5" w:rsidRPr="00C02FAA" w:rsidRDefault="009967B5" w:rsidP="000D2C2C">
      <w:pPr>
        <w:pStyle w:val="FootnoteText"/>
        <w:rPr>
          <w:sz w:val="20"/>
          <w:szCs w:val="20"/>
        </w:rPr>
      </w:pPr>
      <w:r w:rsidRPr="00160F37">
        <w:rPr>
          <w:rStyle w:val="FootnoteReference"/>
          <w:sz w:val="20"/>
          <w:szCs w:val="20"/>
        </w:rPr>
        <w:footnoteRef/>
      </w:r>
      <w:r w:rsidRPr="00160F37">
        <w:rPr>
          <w:sz w:val="20"/>
          <w:szCs w:val="20"/>
        </w:rPr>
        <w:t xml:space="preserve"> Evans Chan, ‘Legal and Reg</w:t>
      </w:r>
      <w:r w:rsidRPr="00C02FAA">
        <w:rPr>
          <w:sz w:val="20"/>
          <w:szCs w:val="20"/>
        </w:rPr>
        <w:t xml:space="preserve">ulatory Responses to Innovative Treatment’ (2013) 21 </w:t>
      </w:r>
      <w:r w:rsidRPr="00C02FAA">
        <w:rPr>
          <w:i/>
          <w:sz w:val="20"/>
          <w:szCs w:val="20"/>
        </w:rPr>
        <w:t>Med Law Rev</w:t>
      </w:r>
      <w:r w:rsidRPr="00C02FAA">
        <w:rPr>
          <w:sz w:val="20"/>
          <w:szCs w:val="20"/>
        </w:rPr>
        <w:t xml:space="preserve"> 92, 94.</w:t>
      </w:r>
    </w:p>
    <w:p w14:paraId="48CE6722" w14:textId="77777777" w:rsidR="009967B5" w:rsidRPr="00504AE4" w:rsidRDefault="009967B5" w:rsidP="000D2C2C">
      <w:pPr>
        <w:pStyle w:val="FootnoteText"/>
        <w:rPr>
          <w:lang w:val="en-AU"/>
        </w:rPr>
      </w:pPr>
    </w:p>
  </w:footnote>
  <w:footnote w:id="30">
    <w:p w14:paraId="0086C15C" w14:textId="46BD6B01" w:rsidR="009967B5" w:rsidRPr="00C02FAA" w:rsidRDefault="009967B5" w:rsidP="00E70775">
      <w:pPr>
        <w:pStyle w:val="FootnoteText"/>
        <w:rPr>
          <w:sz w:val="20"/>
          <w:szCs w:val="20"/>
        </w:rPr>
      </w:pPr>
      <w:r w:rsidRPr="00160F37">
        <w:rPr>
          <w:rStyle w:val="FootnoteReference"/>
          <w:sz w:val="20"/>
          <w:szCs w:val="20"/>
        </w:rPr>
        <w:footnoteRef/>
      </w:r>
      <w:r w:rsidRPr="00160F37">
        <w:rPr>
          <w:sz w:val="20"/>
          <w:szCs w:val="20"/>
        </w:rPr>
        <w:t xml:space="preserve"> </w:t>
      </w:r>
      <w:r w:rsidRPr="00C02FAA">
        <w:rPr>
          <w:i/>
          <w:sz w:val="20"/>
          <w:szCs w:val="20"/>
        </w:rPr>
        <w:t>R v Ian Paterson</w:t>
      </w:r>
      <w:r w:rsidRPr="00C02FAA">
        <w:rPr>
          <w:sz w:val="20"/>
          <w:szCs w:val="20"/>
        </w:rPr>
        <w:t xml:space="preserve"> (31 May 2017, Nottingham Crown Court) Baker J</w:t>
      </w:r>
      <w:r>
        <w:rPr>
          <w:sz w:val="20"/>
          <w:szCs w:val="20"/>
        </w:rPr>
        <w:t xml:space="preserve">; </w:t>
      </w:r>
      <w:hyperlink r:id="rId2" w:history="1">
        <w:r w:rsidRPr="007E259A">
          <w:rPr>
            <w:rStyle w:val="Hyperlink"/>
            <w:sz w:val="20"/>
            <w:szCs w:val="20"/>
          </w:rPr>
          <w:t>https://www.judiciary.uk/wp-content/uploads/2017/05/r-v-paterson-sentencing-remarks-mr-justice-jeremy-baker-20170531.pdf</w:t>
        </w:r>
      </w:hyperlink>
      <w:r>
        <w:rPr>
          <w:sz w:val="20"/>
          <w:szCs w:val="20"/>
        </w:rPr>
        <w:t xml:space="preserve"> (accessed 9 October 2018).</w:t>
      </w:r>
    </w:p>
    <w:p w14:paraId="7DAE850F" w14:textId="77777777" w:rsidR="009967B5" w:rsidRPr="00504AE4" w:rsidRDefault="009967B5" w:rsidP="00F75A4E">
      <w:pPr>
        <w:pStyle w:val="FootnoteText"/>
        <w:rPr>
          <w:sz w:val="20"/>
          <w:szCs w:val="20"/>
        </w:rPr>
      </w:pPr>
    </w:p>
  </w:footnote>
  <w:footnote w:id="31">
    <w:p w14:paraId="23FABF7A" w14:textId="24EF175C" w:rsidR="009967B5" w:rsidRPr="00C02FAA" w:rsidRDefault="009967B5" w:rsidP="00F75A4E">
      <w:pPr>
        <w:pStyle w:val="FootnoteText"/>
        <w:rPr>
          <w:sz w:val="20"/>
          <w:szCs w:val="20"/>
        </w:rPr>
      </w:pPr>
      <w:r w:rsidRPr="00160F37">
        <w:rPr>
          <w:rStyle w:val="FootnoteReference"/>
          <w:sz w:val="20"/>
          <w:szCs w:val="20"/>
        </w:rPr>
        <w:footnoteRef/>
      </w:r>
      <w:r w:rsidRPr="00160F37">
        <w:rPr>
          <w:sz w:val="20"/>
          <w:szCs w:val="20"/>
        </w:rPr>
        <w:t xml:space="preserve"> </w:t>
      </w:r>
      <w:r w:rsidRPr="00C02FAA">
        <w:rPr>
          <w:i/>
          <w:sz w:val="20"/>
          <w:szCs w:val="20"/>
        </w:rPr>
        <w:t xml:space="preserve">Paterson </w:t>
      </w:r>
      <w:r w:rsidRPr="00C02FAA">
        <w:rPr>
          <w:sz w:val="20"/>
          <w:szCs w:val="20"/>
        </w:rPr>
        <w:t>(n30).</w:t>
      </w:r>
    </w:p>
    <w:p w14:paraId="65907652" w14:textId="77777777" w:rsidR="009967B5" w:rsidRPr="00504AE4" w:rsidRDefault="009967B5" w:rsidP="00F75A4E">
      <w:pPr>
        <w:pStyle w:val="FootnoteText"/>
        <w:rPr>
          <w:sz w:val="20"/>
          <w:szCs w:val="20"/>
        </w:rPr>
      </w:pPr>
    </w:p>
  </w:footnote>
  <w:footnote w:id="32">
    <w:p w14:paraId="7218212C" w14:textId="6BBEE20C" w:rsidR="009967B5" w:rsidRPr="00C02FAA" w:rsidRDefault="009967B5" w:rsidP="00F75A4E">
      <w:pPr>
        <w:pStyle w:val="FootnoteText"/>
        <w:rPr>
          <w:sz w:val="20"/>
          <w:szCs w:val="20"/>
        </w:rPr>
      </w:pPr>
      <w:r w:rsidRPr="00160F37">
        <w:rPr>
          <w:rStyle w:val="FootnoteReference"/>
          <w:sz w:val="20"/>
          <w:szCs w:val="20"/>
        </w:rPr>
        <w:footnoteRef/>
      </w:r>
      <w:r w:rsidRPr="00160F37">
        <w:rPr>
          <w:sz w:val="20"/>
          <w:szCs w:val="20"/>
        </w:rPr>
        <w:t xml:space="preserve"> </w:t>
      </w:r>
      <w:r w:rsidRPr="00C02FAA">
        <w:rPr>
          <w:i/>
          <w:sz w:val="20"/>
          <w:szCs w:val="20"/>
        </w:rPr>
        <w:t>Paterson</w:t>
      </w:r>
      <w:r w:rsidRPr="00C02FAA">
        <w:rPr>
          <w:sz w:val="20"/>
          <w:szCs w:val="20"/>
        </w:rPr>
        <w:t xml:space="preserve"> (n11) [42].</w:t>
      </w:r>
    </w:p>
    <w:p w14:paraId="22BD78B7" w14:textId="77777777" w:rsidR="009967B5" w:rsidRPr="00504AE4" w:rsidRDefault="009967B5" w:rsidP="00F75A4E">
      <w:pPr>
        <w:pStyle w:val="FootnoteText"/>
        <w:rPr>
          <w:sz w:val="20"/>
          <w:szCs w:val="20"/>
        </w:rPr>
      </w:pPr>
    </w:p>
  </w:footnote>
  <w:footnote w:id="33">
    <w:p w14:paraId="5B344C34" w14:textId="342B6BEA" w:rsidR="009967B5" w:rsidRPr="00160F37" w:rsidRDefault="009967B5" w:rsidP="00F75A4E">
      <w:pPr>
        <w:pStyle w:val="FootnoteText"/>
        <w:tabs>
          <w:tab w:val="left" w:pos="7371"/>
        </w:tabs>
        <w:rPr>
          <w:sz w:val="20"/>
          <w:szCs w:val="20"/>
          <w:lang w:val="en-AU"/>
        </w:rPr>
      </w:pPr>
      <w:r w:rsidRPr="00160F37">
        <w:rPr>
          <w:rStyle w:val="FootnoteReference"/>
          <w:sz w:val="20"/>
          <w:szCs w:val="20"/>
        </w:rPr>
        <w:footnoteRef/>
      </w:r>
      <w:r w:rsidRPr="00160F37">
        <w:rPr>
          <w:sz w:val="20"/>
          <w:szCs w:val="20"/>
        </w:rPr>
        <w:t xml:space="preserve"> </w:t>
      </w:r>
      <w:r w:rsidRPr="00C02FAA">
        <w:rPr>
          <w:i/>
          <w:sz w:val="20"/>
          <w:szCs w:val="20"/>
        </w:rPr>
        <w:t>GMC v Paterson</w:t>
      </w:r>
      <w:r w:rsidRPr="00C02FAA">
        <w:rPr>
          <w:sz w:val="20"/>
          <w:szCs w:val="20"/>
        </w:rPr>
        <w:t xml:space="preserve"> – Medical Practitioners Tribunal, 25 July 2017</w:t>
      </w:r>
      <w:r>
        <w:rPr>
          <w:rStyle w:val="Hyperlink"/>
          <w:color w:val="auto"/>
          <w:sz w:val="20"/>
          <w:szCs w:val="20"/>
          <w:lang w:val="en-AU"/>
        </w:rPr>
        <w:t xml:space="preserve">; </w:t>
      </w:r>
      <w:r w:rsidRPr="00A45052">
        <w:rPr>
          <w:rStyle w:val="Hyperlink"/>
          <w:color w:val="auto"/>
          <w:sz w:val="20"/>
          <w:szCs w:val="20"/>
          <w:lang w:val="en-AU"/>
        </w:rPr>
        <w:t>https://www.gmc-uk.org/news/news-archive/comment-on-the-decision-to-strike-off-dr-ian-paterson</w:t>
      </w:r>
      <w:r w:rsidRPr="00160F37">
        <w:rPr>
          <w:sz w:val="20"/>
          <w:szCs w:val="20"/>
          <w:lang w:val="en-AU"/>
        </w:rPr>
        <w:t xml:space="preserve"> </w:t>
      </w:r>
      <w:r>
        <w:rPr>
          <w:sz w:val="20"/>
          <w:szCs w:val="20"/>
          <w:lang w:val="en-AU"/>
        </w:rPr>
        <w:t>(accessed 9 October 2018)</w:t>
      </w:r>
      <w:r w:rsidRPr="00160F37">
        <w:rPr>
          <w:sz w:val="20"/>
          <w:szCs w:val="20"/>
          <w:lang w:val="en-AU"/>
        </w:rPr>
        <w:t>.</w:t>
      </w:r>
    </w:p>
    <w:p w14:paraId="005C6034" w14:textId="77777777" w:rsidR="009967B5" w:rsidRPr="00504AE4" w:rsidRDefault="009967B5" w:rsidP="00F75A4E">
      <w:pPr>
        <w:pStyle w:val="FootnoteText"/>
        <w:rPr>
          <w:sz w:val="20"/>
          <w:szCs w:val="20"/>
          <w:lang w:val="en-AU"/>
        </w:rPr>
      </w:pPr>
    </w:p>
  </w:footnote>
  <w:footnote w:id="34">
    <w:p w14:paraId="72E36149" w14:textId="13D17EE5" w:rsidR="009967B5" w:rsidRPr="00160F37" w:rsidRDefault="009967B5" w:rsidP="00E70775">
      <w:pPr>
        <w:spacing w:line="276" w:lineRule="auto"/>
        <w:rPr>
          <w:sz w:val="20"/>
          <w:szCs w:val="20"/>
        </w:rPr>
      </w:pPr>
      <w:r w:rsidRPr="00160F37">
        <w:rPr>
          <w:rStyle w:val="FootnoteReference"/>
          <w:sz w:val="20"/>
          <w:szCs w:val="20"/>
        </w:rPr>
        <w:footnoteRef/>
      </w:r>
      <w:r w:rsidRPr="00160F37">
        <w:rPr>
          <w:sz w:val="20"/>
          <w:szCs w:val="20"/>
        </w:rPr>
        <w:t xml:space="preserve"> Alexandra Topping, ‘NHS pays out mi</w:t>
      </w:r>
      <w:r w:rsidRPr="00C02FAA">
        <w:rPr>
          <w:sz w:val="20"/>
          <w:szCs w:val="20"/>
        </w:rPr>
        <w:t xml:space="preserve">llions to patients of surgeon convicted of needless breast operations’ </w:t>
      </w:r>
      <w:r w:rsidRPr="00C02FAA">
        <w:rPr>
          <w:i/>
          <w:sz w:val="20"/>
          <w:szCs w:val="20"/>
        </w:rPr>
        <w:t xml:space="preserve">The Guardian </w:t>
      </w:r>
      <w:r w:rsidRPr="00C02FAA">
        <w:rPr>
          <w:sz w:val="20"/>
          <w:szCs w:val="20"/>
        </w:rPr>
        <w:t xml:space="preserve">29 April 2017 </w:t>
      </w:r>
      <w:hyperlink r:id="rId3" w:history="1">
        <w:r w:rsidRPr="0081216D">
          <w:rPr>
            <w:rStyle w:val="Hyperlink"/>
            <w:color w:val="auto"/>
            <w:sz w:val="20"/>
            <w:szCs w:val="20"/>
          </w:rPr>
          <w:t>https://www.theguardian.com/society/2017/apr/28/cancer-surgeon-convicted-of-performing-needless-breast-surgery</w:t>
        </w:r>
      </w:hyperlink>
      <w:r w:rsidRPr="00160F37">
        <w:rPr>
          <w:sz w:val="20"/>
          <w:szCs w:val="20"/>
        </w:rPr>
        <w:t xml:space="preserve"> </w:t>
      </w:r>
      <w:r>
        <w:rPr>
          <w:sz w:val="20"/>
          <w:szCs w:val="20"/>
        </w:rPr>
        <w:t>(accessed 9 October 2018)</w:t>
      </w:r>
      <w:r w:rsidRPr="00160F37">
        <w:rPr>
          <w:sz w:val="20"/>
          <w:szCs w:val="20"/>
        </w:rPr>
        <w:t xml:space="preserve">. </w:t>
      </w:r>
    </w:p>
    <w:p w14:paraId="181828C8" w14:textId="77777777" w:rsidR="009967B5" w:rsidRPr="00504AE4" w:rsidRDefault="009967B5" w:rsidP="00F75A4E">
      <w:pPr>
        <w:spacing w:line="276" w:lineRule="auto"/>
        <w:rPr>
          <w:sz w:val="20"/>
          <w:szCs w:val="20"/>
          <w:lang w:val="en-AU"/>
        </w:rPr>
      </w:pPr>
    </w:p>
  </w:footnote>
  <w:footnote w:id="35">
    <w:p w14:paraId="5E1223AE" w14:textId="14F2DAA7" w:rsidR="009967B5" w:rsidRPr="00C02FAA" w:rsidRDefault="009967B5" w:rsidP="00F75A4E">
      <w:pPr>
        <w:pStyle w:val="FootnoteText"/>
        <w:rPr>
          <w:sz w:val="20"/>
          <w:szCs w:val="20"/>
        </w:rPr>
      </w:pPr>
      <w:r w:rsidRPr="00160F37">
        <w:rPr>
          <w:rStyle w:val="FootnoteReference"/>
          <w:sz w:val="20"/>
          <w:szCs w:val="20"/>
        </w:rPr>
        <w:footnoteRef/>
      </w:r>
      <w:r w:rsidRPr="00160F37">
        <w:rPr>
          <w:sz w:val="20"/>
          <w:szCs w:val="20"/>
        </w:rPr>
        <w:t xml:space="preserve"> </w:t>
      </w:r>
      <w:r w:rsidRPr="00C02FAA">
        <w:rPr>
          <w:i/>
          <w:sz w:val="20"/>
          <w:szCs w:val="20"/>
        </w:rPr>
        <w:t xml:space="preserve">Paterson </w:t>
      </w:r>
      <w:r w:rsidRPr="00C02FAA">
        <w:rPr>
          <w:sz w:val="20"/>
          <w:szCs w:val="20"/>
        </w:rPr>
        <w:t>(n30) [62].</w:t>
      </w:r>
    </w:p>
    <w:p w14:paraId="1702BD47" w14:textId="77777777" w:rsidR="009967B5" w:rsidRPr="00504AE4" w:rsidRDefault="009967B5" w:rsidP="00F75A4E">
      <w:pPr>
        <w:pStyle w:val="FootnoteText"/>
        <w:rPr>
          <w:sz w:val="20"/>
          <w:szCs w:val="20"/>
        </w:rPr>
      </w:pPr>
    </w:p>
  </w:footnote>
  <w:footnote w:id="36">
    <w:p w14:paraId="5F24079C" w14:textId="43BAE88C" w:rsidR="009967B5" w:rsidRPr="00C02FAA" w:rsidRDefault="009967B5" w:rsidP="00F75A4E">
      <w:pPr>
        <w:pStyle w:val="FootnoteText"/>
        <w:rPr>
          <w:sz w:val="20"/>
          <w:szCs w:val="20"/>
        </w:rPr>
      </w:pPr>
      <w:r w:rsidRPr="00160F37">
        <w:rPr>
          <w:rStyle w:val="FootnoteReference"/>
          <w:sz w:val="20"/>
          <w:szCs w:val="20"/>
        </w:rPr>
        <w:footnoteRef/>
      </w:r>
      <w:r w:rsidRPr="00160F37">
        <w:rPr>
          <w:sz w:val="20"/>
          <w:szCs w:val="20"/>
        </w:rPr>
        <w:t xml:space="preserve"> </w:t>
      </w:r>
      <w:r w:rsidRPr="00C02FAA">
        <w:rPr>
          <w:i/>
          <w:sz w:val="20"/>
          <w:szCs w:val="20"/>
        </w:rPr>
        <w:t>Dean</w:t>
      </w:r>
      <w:r w:rsidRPr="00C02FAA">
        <w:rPr>
          <w:sz w:val="20"/>
          <w:szCs w:val="20"/>
        </w:rPr>
        <w:t xml:space="preserve"> (n9) [61]</w:t>
      </w:r>
      <w:proofErr w:type="gramStart"/>
      <w:r w:rsidRPr="00C02FAA">
        <w:rPr>
          <w:sz w:val="20"/>
          <w:szCs w:val="20"/>
        </w:rPr>
        <w:t>-[</w:t>
      </w:r>
      <w:proofErr w:type="gramEnd"/>
      <w:r w:rsidRPr="00C02FAA">
        <w:rPr>
          <w:sz w:val="20"/>
          <w:szCs w:val="20"/>
        </w:rPr>
        <w:t>64].</w:t>
      </w:r>
    </w:p>
    <w:p w14:paraId="1EB20F37" w14:textId="77777777" w:rsidR="009967B5" w:rsidRPr="00504AE4" w:rsidRDefault="009967B5" w:rsidP="00F75A4E">
      <w:pPr>
        <w:pStyle w:val="FootnoteText"/>
        <w:rPr>
          <w:sz w:val="20"/>
          <w:szCs w:val="20"/>
        </w:rPr>
      </w:pPr>
    </w:p>
  </w:footnote>
  <w:footnote w:id="37">
    <w:p w14:paraId="0444DC11" w14:textId="74781F51" w:rsidR="009967B5" w:rsidRPr="00C02FAA" w:rsidRDefault="009967B5" w:rsidP="00F75A4E">
      <w:pPr>
        <w:pStyle w:val="FootnoteText"/>
        <w:rPr>
          <w:sz w:val="20"/>
          <w:szCs w:val="20"/>
        </w:rPr>
      </w:pPr>
      <w:r w:rsidRPr="00160F37">
        <w:rPr>
          <w:rStyle w:val="FootnoteReference"/>
          <w:sz w:val="20"/>
          <w:szCs w:val="20"/>
        </w:rPr>
        <w:footnoteRef/>
      </w:r>
      <w:r w:rsidRPr="00160F37">
        <w:rPr>
          <w:sz w:val="20"/>
          <w:szCs w:val="20"/>
        </w:rPr>
        <w:t xml:space="preserve"> </w:t>
      </w:r>
      <w:r w:rsidRPr="00C02FAA">
        <w:rPr>
          <w:i/>
          <w:sz w:val="20"/>
          <w:szCs w:val="20"/>
        </w:rPr>
        <w:t>Appleton</w:t>
      </w:r>
      <w:r w:rsidRPr="00C02FAA">
        <w:rPr>
          <w:sz w:val="20"/>
          <w:szCs w:val="20"/>
        </w:rPr>
        <w:t xml:space="preserve"> (n21) [79].</w:t>
      </w:r>
    </w:p>
    <w:p w14:paraId="2FFE8534" w14:textId="77777777" w:rsidR="009967B5" w:rsidRPr="00C02FAA" w:rsidRDefault="009967B5" w:rsidP="00F75A4E">
      <w:pPr>
        <w:pStyle w:val="FootnoteText"/>
        <w:rPr>
          <w:sz w:val="20"/>
          <w:szCs w:val="20"/>
        </w:rPr>
      </w:pPr>
    </w:p>
  </w:footnote>
  <w:footnote w:id="38">
    <w:p w14:paraId="60BB3D55" w14:textId="3F566C2C" w:rsidR="009967B5" w:rsidRPr="00D10DA3" w:rsidRDefault="009967B5" w:rsidP="00F75A4E">
      <w:pPr>
        <w:pStyle w:val="FootnoteText"/>
        <w:rPr>
          <w:sz w:val="20"/>
          <w:szCs w:val="20"/>
        </w:rPr>
      </w:pPr>
      <w:r w:rsidRPr="00160F37">
        <w:rPr>
          <w:rStyle w:val="FootnoteReference"/>
          <w:sz w:val="20"/>
          <w:szCs w:val="20"/>
        </w:rPr>
        <w:footnoteRef/>
      </w:r>
      <w:r w:rsidRPr="00160F37">
        <w:rPr>
          <w:sz w:val="20"/>
          <w:szCs w:val="20"/>
        </w:rPr>
        <w:t xml:space="preserve"> </w:t>
      </w:r>
      <w:r w:rsidRPr="00C02FAA">
        <w:rPr>
          <w:i/>
          <w:sz w:val="20"/>
          <w:szCs w:val="20"/>
        </w:rPr>
        <w:t>Chatterton</w:t>
      </w:r>
      <w:r w:rsidRPr="00D74F3E">
        <w:rPr>
          <w:sz w:val="20"/>
          <w:szCs w:val="20"/>
        </w:rPr>
        <w:t xml:space="preserve"> (n2)</w:t>
      </w:r>
      <w:r w:rsidRPr="00D10DA3">
        <w:rPr>
          <w:sz w:val="20"/>
          <w:szCs w:val="20"/>
        </w:rPr>
        <w:t xml:space="preserve"> 442-443.</w:t>
      </w:r>
    </w:p>
    <w:p w14:paraId="5248D5A9" w14:textId="77777777" w:rsidR="009967B5" w:rsidRPr="00530CCD" w:rsidRDefault="009967B5" w:rsidP="00F75A4E">
      <w:pPr>
        <w:pStyle w:val="FootnoteText"/>
        <w:rPr>
          <w:sz w:val="20"/>
          <w:szCs w:val="20"/>
        </w:rPr>
      </w:pPr>
    </w:p>
  </w:footnote>
  <w:footnote w:id="39">
    <w:p w14:paraId="4A796B20" w14:textId="3CBE56AA" w:rsidR="009967B5" w:rsidRPr="00951EF6" w:rsidRDefault="009967B5" w:rsidP="00911074">
      <w:pPr>
        <w:pStyle w:val="FootnoteText"/>
        <w:jc w:val="both"/>
        <w:rPr>
          <w:sz w:val="20"/>
          <w:szCs w:val="20"/>
          <w:lang w:val="en-GB"/>
        </w:rPr>
      </w:pPr>
      <w:r w:rsidRPr="00160F37">
        <w:rPr>
          <w:rStyle w:val="FootnoteReference"/>
        </w:rPr>
        <w:footnoteRef/>
      </w:r>
      <w:r w:rsidRPr="00160F37">
        <w:t xml:space="preserve"> </w:t>
      </w:r>
      <w:r w:rsidRPr="00C02FAA">
        <w:rPr>
          <w:i/>
          <w:sz w:val="20"/>
          <w:szCs w:val="20"/>
        </w:rPr>
        <w:t xml:space="preserve">White </w:t>
      </w:r>
      <w:r w:rsidRPr="00D74F3E">
        <w:rPr>
          <w:sz w:val="20"/>
          <w:szCs w:val="20"/>
        </w:rPr>
        <w:t>(n9). (claim alleging dental treatment carried out without k</w:t>
      </w:r>
      <w:r w:rsidRPr="00D10DA3">
        <w:rPr>
          <w:sz w:val="20"/>
          <w:szCs w:val="20"/>
        </w:rPr>
        <w:t>nowledge it was unnecessary and ineffective failed on appeal because no evidence that treatment wholly unnecessary and conducted to extract government money, not treat patient.  Retrial confined to negligence claim, which had not been argued at first insta</w:t>
      </w:r>
      <w:r w:rsidRPr="00530CCD">
        <w:rPr>
          <w:sz w:val="20"/>
          <w:szCs w:val="20"/>
        </w:rPr>
        <w:t xml:space="preserve">nce.) Cf. </w:t>
      </w:r>
      <w:r w:rsidRPr="00707B75">
        <w:rPr>
          <w:i/>
          <w:sz w:val="20"/>
          <w:szCs w:val="20"/>
          <w:lang w:val="en-GB"/>
        </w:rPr>
        <w:t xml:space="preserve">Appleton </w:t>
      </w:r>
      <w:r w:rsidRPr="00EF75A9">
        <w:rPr>
          <w:sz w:val="20"/>
          <w:szCs w:val="20"/>
          <w:lang w:val="en-GB"/>
        </w:rPr>
        <w:t>(n21)</w:t>
      </w:r>
      <w:r w:rsidRPr="00951EF6">
        <w:rPr>
          <w:i/>
          <w:sz w:val="20"/>
          <w:szCs w:val="20"/>
          <w:lang w:val="en-GB"/>
        </w:rPr>
        <w:t xml:space="preserve">; Dean </w:t>
      </w:r>
      <w:r w:rsidRPr="00951EF6">
        <w:rPr>
          <w:sz w:val="20"/>
          <w:szCs w:val="20"/>
          <w:lang w:val="en-GB"/>
        </w:rPr>
        <w:t>(n9).</w:t>
      </w:r>
    </w:p>
    <w:p w14:paraId="5ADD2F1A" w14:textId="77777777" w:rsidR="009967B5" w:rsidRPr="00CC6E3F" w:rsidRDefault="009967B5" w:rsidP="00AB6CC0">
      <w:pPr>
        <w:pStyle w:val="FootnoteText"/>
        <w:rPr>
          <w:lang w:val="en-AU"/>
        </w:rPr>
      </w:pPr>
    </w:p>
  </w:footnote>
  <w:footnote w:id="40">
    <w:p w14:paraId="15196097" w14:textId="5E4B1832" w:rsidR="009967B5" w:rsidRPr="0036607B" w:rsidRDefault="009967B5">
      <w:pPr>
        <w:pStyle w:val="FootnoteText"/>
        <w:rPr>
          <w:sz w:val="20"/>
          <w:szCs w:val="20"/>
        </w:rPr>
      </w:pPr>
      <w:r w:rsidRPr="00160F37">
        <w:rPr>
          <w:rStyle w:val="FootnoteReference"/>
        </w:rPr>
        <w:footnoteRef/>
      </w:r>
      <w:r w:rsidRPr="00160F37">
        <w:t xml:space="preserve"> </w:t>
      </w:r>
      <w:r w:rsidRPr="00C02FAA">
        <w:rPr>
          <w:sz w:val="20"/>
          <w:szCs w:val="20"/>
        </w:rPr>
        <w:t>D</w:t>
      </w:r>
      <w:r>
        <w:rPr>
          <w:sz w:val="20"/>
          <w:szCs w:val="20"/>
        </w:rPr>
        <w:t>ieter</w:t>
      </w:r>
      <w:r w:rsidRPr="00C02FAA">
        <w:rPr>
          <w:sz w:val="20"/>
          <w:szCs w:val="20"/>
        </w:rPr>
        <w:t xml:space="preserve"> </w:t>
      </w:r>
      <w:proofErr w:type="spellStart"/>
      <w:r w:rsidRPr="00C02FAA">
        <w:rPr>
          <w:sz w:val="20"/>
          <w:szCs w:val="20"/>
        </w:rPr>
        <w:t>Giesen</w:t>
      </w:r>
      <w:proofErr w:type="spellEnd"/>
      <w:r w:rsidRPr="00C02FAA">
        <w:rPr>
          <w:sz w:val="20"/>
          <w:szCs w:val="20"/>
        </w:rPr>
        <w:t xml:space="preserve">, ‘Civil Liability of Physicians for New Methods of Treatment and Experimentation: </w:t>
      </w:r>
      <w:proofErr w:type="gramStart"/>
      <w:r w:rsidRPr="00C02FAA">
        <w:rPr>
          <w:sz w:val="20"/>
          <w:szCs w:val="20"/>
        </w:rPr>
        <w:t>a</w:t>
      </w:r>
      <w:proofErr w:type="gramEnd"/>
      <w:r w:rsidRPr="00C02FAA">
        <w:rPr>
          <w:sz w:val="20"/>
          <w:szCs w:val="20"/>
        </w:rPr>
        <w:t xml:space="preserve"> Comparative Examination’ (1995) </w:t>
      </w:r>
      <w:r w:rsidRPr="0036607B">
        <w:rPr>
          <w:i/>
          <w:sz w:val="20"/>
          <w:szCs w:val="20"/>
        </w:rPr>
        <w:t>Med Law Rev</w:t>
      </w:r>
      <w:r w:rsidRPr="0036607B">
        <w:rPr>
          <w:sz w:val="20"/>
          <w:szCs w:val="20"/>
        </w:rPr>
        <w:t xml:space="preserve"> 22. See also Keren-Paz’</w:t>
      </w:r>
      <w:r>
        <w:rPr>
          <w:sz w:val="20"/>
          <w:szCs w:val="20"/>
        </w:rPr>
        <w:t>s</w:t>
      </w:r>
      <w:r w:rsidRPr="0036607B">
        <w:rPr>
          <w:sz w:val="20"/>
          <w:szCs w:val="20"/>
        </w:rPr>
        <w:t xml:space="preserve"> contribution in this special issue.</w:t>
      </w:r>
    </w:p>
    <w:p w14:paraId="07153051" w14:textId="77777777" w:rsidR="009967B5" w:rsidRPr="00530CCD" w:rsidRDefault="009967B5">
      <w:pPr>
        <w:pStyle w:val="FootnoteText"/>
        <w:rPr>
          <w:lang w:val="en-AU"/>
        </w:rPr>
      </w:pPr>
    </w:p>
  </w:footnote>
  <w:footnote w:id="41">
    <w:p w14:paraId="0E31AEE7" w14:textId="019BF3EF" w:rsidR="009967B5" w:rsidRPr="0036607B" w:rsidRDefault="009967B5">
      <w:pPr>
        <w:pStyle w:val="FootnoteText"/>
        <w:rPr>
          <w:sz w:val="20"/>
          <w:szCs w:val="20"/>
          <w:lang w:val="en-AU"/>
        </w:rPr>
      </w:pPr>
      <w:r w:rsidRPr="00160F37">
        <w:rPr>
          <w:rStyle w:val="FootnoteReference"/>
        </w:rPr>
        <w:footnoteRef/>
      </w:r>
      <w:r w:rsidRPr="00160F37">
        <w:t xml:space="preserve"> </w:t>
      </w:r>
      <w:r w:rsidRPr="00C02FAA">
        <w:rPr>
          <w:i/>
          <w:sz w:val="20"/>
          <w:szCs w:val="20"/>
          <w:lang w:val="en-AU"/>
        </w:rPr>
        <w:t xml:space="preserve">Moore v Regents </w:t>
      </w:r>
      <w:r w:rsidRPr="00D74F3E">
        <w:rPr>
          <w:i/>
          <w:sz w:val="20"/>
          <w:szCs w:val="20"/>
          <w:lang w:val="en-AU"/>
        </w:rPr>
        <w:t>University of California</w:t>
      </w:r>
      <w:r w:rsidRPr="00D10DA3">
        <w:rPr>
          <w:sz w:val="20"/>
          <w:szCs w:val="20"/>
          <w:lang w:val="en-AU"/>
        </w:rPr>
        <w:t xml:space="preserve"> (1990) 793 P.2d 479; Chan (n29)</w:t>
      </w:r>
      <w:r w:rsidRPr="0036607B">
        <w:rPr>
          <w:sz w:val="20"/>
          <w:szCs w:val="20"/>
          <w:lang w:val="en-AU"/>
        </w:rPr>
        <w:t xml:space="preserve"> 118.</w:t>
      </w:r>
    </w:p>
    <w:p w14:paraId="41DCB611" w14:textId="77777777" w:rsidR="009967B5" w:rsidRPr="00530CCD" w:rsidRDefault="009967B5">
      <w:pPr>
        <w:pStyle w:val="FootnoteText"/>
        <w:rPr>
          <w:lang w:val="en-AU"/>
        </w:rPr>
      </w:pPr>
    </w:p>
  </w:footnote>
  <w:footnote w:id="42">
    <w:p w14:paraId="41B69A39" w14:textId="439370B9" w:rsidR="009967B5" w:rsidRPr="00530CCD" w:rsidRDefault="009967B5" w:rsidP="003550AF">
      <w:pPr>
        <w:pStyle w:val="FootnoteText"/>
        <w:rPr>
          <w:sz w:val="20"/>
          <w:szCs w:val="20"/>
          <w:lang w:val="en-AU"/>
        </w:rPr>
      </w:pPr>
      <w:r w:rsidRPr="00160F37">
        <w:rPr>
          <w:rStyle w:val="FootnoteReference"/>
          <w:sz w:val="20"/>
          <w:szCs w:val="20"/>
        </w:rPr>
        <w:footnoteRef/>
      </w:r>
      <w:r w:rsidRPr="00160F37">
        <w:rPr>
          <w:sz w:val="20"/>
          <w:szCs w:val="20"/>
        </w:rPr>
        <w:t xml:space="preserve"> Bernadette Richards and Katrina Hutchinson, ‘Consent to innovative treatment: No need for a new legal test’ (2016) 23 </w:t>
      </w:r>
      <w:r w:rsidRPr="00530CCD">
        <w:rPr>
          <w:i/>
          <w:sz w:val="20"/>
          <w:szCs w:val="20"/>
        </w:rPr>
        <w:t xml:space="preserve">Journal of Law and Medicine </w:t>
      </w:r>
      <w:r w:rsidRPr="00530CCD">
        <w:rPr>
          <w:sz w:val="20"/>
          <w:szCs w:val="20"/>
        </w:rPr>
        <w:t xml:space="preserve">938, </w:t>
      </w:r>
      <w:r w:rsidRPr="00530CCD">
        <w:rPr>
          <w:sz w:val="20"/>
          <w:szCs w:val="20"/>
          <w:lang w:val="en-AU"/>
        </w:rPr>
        <w:t xml:space="preserve">943. </w:t>
      </w:r>
    </w:p>
    <w:p w14:paraId="15474C6F" w14:textId="77777777" w:rsidR="009967B5" w:rsidRPr="00707B75" w:rsidRDefault="009967B5" w:rsidP="003550AF">
      <w:pPr>
        <w:pStyle w:val="FootnoteText"/>
        <w:rPr>
          <w:sz w:val="20"/>
          <w:szCs w:val="20"/>
          <w:lang w:val="en-AU"/>
        </w:rPr>
      </w:pPr>
    </w:p>
  </w:footnote>
  <w:footnote w:id="43">
    <w:p w14:paraId="33C06B41" w14:textId="090F4F3B" w:rsidR="009967B5" w:rsidRPr="00D74F3E" w:rsidRDefault="009967B5">
      <w:pPr>
        <w:pStyle w:val="FootnoteText"/>
        <w:rPr>
          <w:i/>
          <w:lang w:val="en-AU"/>
        </w:rPr>
      </w:pPr>
      <w:r w:rsidRPr="00160F37">
        <w:rPr>
          <w:rStyle w:val="FootnoteReference"/>
        </w:rPr>
        <w:footnoteRef/>
      </w:r>
      <w:r w:rsidRPr="00160F37">
        <w:rPr>
          <w:i/>
          <w:sz w:val="20"/>
          <w:szCs w:val="20"/>
          <w:lang w:val="en-AU"/>
        </w:rPr>
        <w:t xml:space="preserve"> Dean </w:t>
      </w:r>
      <w:r w:rsidRPr="00C02FAA">
        <w:rPr>
          <w:sz w:val="20"/>
          <w:szCs w:val="20"/>
          <w:lang w:val="en-AU"/>
        </w:rPr>
        <w:t>(n9) [63].</w:t>
      </w:r>
    </w:p>
    <w:p w14:paraId="1F0A2446" w14:textId="77777777" w:rsidR="009967B5" w:rsidRPr="00530CCD" w:rsidRDefault="009967B5">
      <w:pPr>
        <w:pStyle w:val="FootnoteText"/>
        <w:rPr>
          <w:lang w:val="en-AU"/>
        </w:rPr>
      </w:pPr>
    </w:p>
  </w:footnote>
  <w:footnote w:id="44">
    <w:p w14:paraId="345F3D16" w14:textId="30FA7042" w:rsidR="009967B5" w:rsidRPr="002D018C" w:rsidRDefault="009967B5" w:rsidP="006D53BC">
      <w:pPr>
        <w:pStyle w:val="FootnoteText"/>
        <w:jc w:val="both"/>
      </w:pPr>
      <w:r w:rsidRPr="00160F37">
        <w:rPr>
          <w:rStyle w:val="FootnoteReference"/>
        </w:rPr>
        <w:footnoteRef/>
      </w:r>
      <w:r w:rsidRPr="00160F37">
        <w:t xml:space="preserve"> </w:t>
      </w:r>
      <w:r w:rsidRPr="00C02FAA">
        <w:rPr>
          <w:sz w:val="20"/>
          <w:szCs w:val="20"/>
        </w:rPr>
        <w:t>Fina</w:t>
      </w:r>
      <w:r w:rsidRPr="00D74F3E">
        <w:rPr>
          <w:sz w:val="20"/>
          <w:szCs w:val="20"/>
        </w:rPr>
        <w:t>ncial gain could include interests in the development and sale of pharmaceuticals or innovative therapies, but could also be ‘payment of “incentives” to doctors in return for referrals to private hospital groups.’ K</w:t>
      </w:r>
      <w:r>
        <w:rPr>
          <w:sz w:val="20"/>
          <w:szCs w:val="20"/>
        </w:rPr>
        <w:t>ate</w:t>
      </w:r>
      <w:r w:rsidRPr="00D74F3E">
        <w:rPr>
          <w:sz w:val="20"/>
          <w:szCs w:val="20"/>
        </w:rPr>
        <w:t xml:space="preserve"> Adlington, K</w:t>
      </w:r>
      <w:r>
        <w:rPr>
          <w:sz w:val="20"/>
          <w:szCs w:val="20"/>
        </w:rPr>
        <w:t>amran</w:t>
      </w:r>
      <w:r w:rsidRPr="00D74F3E">
        <w:rPr>
          <w:sz w:val="20"/>
          <w:szCs w:val="20"/>
        </w:rPr>
        <w:t xml:space="preserve"> </w:t>
      </w:r>
      <w:proofErr w:type="spellStart"/>
      <w:r w:rsidRPr="00D74F3E">
        <w:rPr>
          <w:sz w:val="20"/>
          <w:szCs w:val="20"/>
        </w:rPr>
        <w:t>Abbasi</w:t>
      </w:r>
      <w:proofErr w:type="spellEnd"/>
      <w:r w:rsidRPr="00D74F3E">
        <w:rPr>
          <w:sz w:val="20"/>
          <w:szCs w:val="20"/>
        </w:rPr>
        <w:t>, and F</w:t>
      </w:r>
      <w:r>
        <w:rPr>
          <w:sz w:val="20"/>
          <w:szCs w:val="20"/>
        </w:rPr>
        <w:t>iona</w:t>
      </w:r>
      <w:r w:rsidRPr="00D74F3E">
        <w:rPr>
          <w:sz w:val="20"/>
          <w:szCs w:val="20"/>
        </w:rPr>
        <w:t xml:space="preserve"> </w:t>
      </w:r>
      <w:proofErr w:type="spellStart"/>
      <w:r w:rsidRPr="00D74F3E">
        <w:rPr>
          <w:sz w:val="20"/>
          <w:szCs w:val="20"/>
        </w:rPr>
        <w:t>Godlee</w:t>
      </w:r>
      <w:proofErr w:type="spellEnd"/>
      <w:r w:rsidRPr="00D74F3E">
        <w:rPr>
          <w:sz w:val="20"/>
          <w:szCs w:val="20"/>
        </w:rPr>
        <w:t xml:space="preserve">, ‘The </w:t>
      </w:r>
      <w:r w:rsidRPr="002D018C">
        <w:rPr>
          <w:sz w:val="20"/>
          <w:szCs w:val="20"/>
        </w:rPr>
        <w:t xml:space="preserve">General Medical Council and Doctors’ Financial Interests’ (2015) </w:t>
      </w:r>
      <w:r w:rsidRPr="002D018C">
        <w:rPr>
          <w:i/>
          <w:sz w:val="20"/>
          <w:szCs w:val="20"/>
        </w:rPr>
        <w:t>BMJ</w:t>
      </w:r>
      <w:r w:rsidRPr="002D018C">
        <w:rPr>
          <w:sz w:val="20"/>
          <w:szCs w:val="20"/>
        </w:rPr>
        <w:t xml:space="preserve"> 350</w:t>
      </w:r>
      <w:r w:rsidRPr="00A45052">
        <w:rPr>
          <w:sz w:val="20"/>
          <w:szCs w:val="20"/>
        </w:rPr>
        <w:t>.</w:t>
      </w:r>
    </w:p>
    <w:p w14:paraId="44B7488A" w14:textId="77777777" w:rsidR="009967B5" w:rsidRPr="00530CCD" w:rsidRDefault="009967B5" w:rsidP="006D53BC">
      <w:pPr>
        <w:pStyle w:val="FootnoteText"/>
      </w:pPr>
    </w:p>
  </w:footnote>
  <w:footnote w:id="45">
    <w:p w14:paraId="20568488" w14:textId="4D01043C" w:rsidR="009967B5" w:rsidRPr="0036607B" w:rsidRDefault="009967B5">
      <w:pPr>
        <w:pStyle w:val="FootnoteText"/>
        <w:rPr>
          <w:sz w:val="20"/>
          <w:szCs w:val="20"/>
        </w:rPr>
      </w:pPr>
      <w:r w:rsidRPr="00160F37">
        <w:rPr>
          <w:rStyle w:val="FootnoteReference"/>
        </w:rPr>
        <w:footnoteRef/>
      </w:r>
      <w:r w:rsidRPr="00160F37">
        <w:t xml:space="preserve"> </w:t>
      </w:r>
      <w:r w:rsidRPr="00D74F3E">
        <w:rPr>
          <w:sz w:val="20"/>
          <w:szCs w:val="20"/>
        </w:rPr>
        <w:t>Chan (n29)</w:t>
      </w:r>
      <w:r w:rsidRPr="0036607B">
        <w:rPr>
          <w:sz w:val="20"/>
          <w:szCs w:val="20"/>
        </w:rPr>
        <w:t xml:space="preserve"> 110, 117-118, 120.  </w:t>
      </w:r>
    </w:p>
    <w:p w14:paraId="298DDAAC" w14:textId="77777777" w:rsidR="009967B5" w:rsidRPr="00530CCD" w:rsidRDefault="009967B5">
      <w:pPr>
        <w:pStyle w:val="FootnoteText"/>
        <w:rPr>
          <w:lang w:val="en-AU"/>
        </w:rPr>
      </w:pPr>
    </w:p>
  </w:footnote>
  <w:footnote w:id="46">
    <w:p w14:paraId="2C1E2DAB" w14:textId="30925E19" w:rsidR="009967B5" w:rsidRPr="00160F37" w:rsidRDefault="009967B5" w:rsidP="00AB6CC0">
      <w:pPr>
        <w:pStyle w:val="FootnoteText"/>
        <w:rPr>
          <w:sz w:val="20"/>
          <w:szCs w:val="20"/>
        </w:rPr>
      </w:pPr>
      <w:r w:rsidRPr="00160F37">
        <w:rPr>
          <w:rStyle w:val="FootnoteReference"/>
          <w:sz w:val="20"/>
          <w:szCs w:val="20"/>
        </w:rPr>
        <w:footnoteRef/>
      </w:r>
      <w:r w:rsidRPr="00160F37">
        <w:rPr>
          <w:sz w:val="20"/>
          <w:szCs w:val="20"/>
        </w:rPr>
        <w:t xml:space="preserve"> GMC</w:t>
      </w:r>
      <w:r>
        <w:rPr>
          <w:sz w:val="20"/>
          <w:szCs w:val="20"/>
        </w:rPr>
        <w:t xml:space="preserve"> (2013)</w:t>
      </w:r>
      <w:r w:rsidRPr="00160F37">
        <w:rPr>
          <w:sz w:val="20"/>
          <w:szCs w:val="20"/>
        </w:rPr>
        <w:t xml:space="preserve">, </w:t>
      </w:r>
      <w:r w:rsidRPr="00A45052">
        <w:rPr>
          <w:i/>
          <w:iCs/>
          <w:sz w:val="20"/>
          <w:szCs w:val="20"/>
        </w:rPr>
        <w:t xml:space="preserve">Financial and </w:t>
      </w:r>
      <w:r>
        <w:rPr>
          <w:i/>
          <w:iCs/>
          <w:sz w:val="20"/>
          <w:szCs w:val="20"/>
        </w:rPr>
        <w:t>C</w:t>
      </w:r>
      <w:r w:rsidRPr="00A45052">
        <w:rPr>
          <w:i/>
          <w:iCs/>
          <w:sz w:val="20"/>
          <w:szCs w:val="20"/>
        </w:rPr>
        <w:t xml:space="preserve">ommercial </w:t>
      </w:r>
      <w:r>
        <w:rPr>
          <w:i/>
          <w:iCs/>
          <w:sz w:val="20"/>
          <w:szCs w:val="20"/>
        </w:rPr>
        <w:t>A</w:t>
      </w:r>
      <w:r w:rsidRPr="00A45052">
        <w:rPr>
          <w:i/>
          <w:iCs/>
          <w:sz w:val="20"/>
          <w:szCs w:val="20"/>
        </w:rPr>
        <w:t xml:space="preserve">rrangements and </w:t>
      </w:r>
      <w:r>
        <w:rPr>
          <w:i/>
          <w:iCs/>
          <w:sz w:val="20"/>
          <w:szCs w:val="20"/>
        </w:rPr>
        <w:t>C</w:t>
      </w:r>
      <w:r w:rsidRPr="00A45052">
        <w:rPr>
          <w:i/>
          <w:iCs/>
          <w:sz w:val="20"/>
          <w:szCs w:val="20"/>
        </w:rPr>
        <w:t xml:space="preserve">onflicts of </w:t>
      </w:r>
      <w:r>
        <w:rPr>
          <w:i/>
          <w:iCs/>
          <w:sz w:val="20"/>
          <w:szCs w:val="20"/>
        </w:rPr>
        <w:t>I</w:t>
      </w:r>
      <w:r w:rsidRPr="00A45052">
        <w:rPr>
          <w:i/>
          <w:iCs/>
          <w:sz w:val="20"/>
          <w:szCs w:val="20"/>
        </w:rPr>
        <w:t>nterest</w:t>
      </w:r>
      <w:r w:rsidRPr="00160F37">
        <w:rPr>
          <w:sz w:val="20"/>
          <w:szCs w:val="20"/>
        </w:rPr>
        <w:t xml:space="preserve"> </w:t>
      </w:r>
      <w:r>
        <w:rPr>
          <w:sz w:val="20"/>
          <w:szCs w:val="20"/>
        </w:rPr>
        <w:t>[</w:t>
      </w:r>
      <w:r w:rsidRPr="00160F37">
        <w:rPr>
          <w:sz w:val="20"/>
          <w:szCs w:val="20"/>
        </w:rPr>
        <w:t>14</w:t>
      </w:r>
      <w:r>
        <w:rPr>
          <w:sz w:val="20"/>
          <w:szCs w:val="20"/>
        </w:rPr>
        <w:t xml:space="preserve">] </w:t>
      </w:r>
      <w:r w:rsidRPr="00160F37">
        <w:rPr>
          <w:sz w:val="20"/>
          <w:szCs w:val="20"/>
        </w:rPr>
        <w:t xml:space="preserve"> </w:t>
      </w:r>
      <w:hyperlink r:id="rId4" w:anchor="paragraph-10" w:history="1">
        <w:r w:rsidRPr="00A45052">
          <w:rPr>
            <w:rStyle w:val="Hyperlink"/>
            <w:color w:val="auto"/>
            <w:sz w:val="20"/>
            <w:szCs w:val="20"/>
          </w:rPr>
          <w:t>https://www.gmc-uk.org/ethical-guidance/ethical-guidance-for-doctors/financial-and-commercial-arrangements-and-conflicts-of-interest/financial-and-commercial-arrangements-and-conflicts-of-interest#paragraph-10</w:t>
        </w:r>
      </w:hyperlink>
      <w:r w:rsidRPr="00160F37">
        <w:rPr>
          <w:sz w:val="20"/>
          <w:szCs w:val="20"/>
        </w:rPr>
        <w:t xml:space="preserve"> </w:t>
      </w:r>
      <w:r>
        <w:rPr>
          <w:sz w:val="20"/>
          <w:szCs w:val="20"/>
        </w:rPr>
        <w:t>(accessed 9 October 2018)</w:t>
      </w:r>
      <w:r w:rsidRPr="00160F37">
        <w:rPr>
          <w:sz w:val="20"/>
          <w:szCs w:val="20"/>
        </w:rPr>
        <w:t>.</w:t>
      </w:r>
    </w:p>
    <w:p w14:paraId="1CCAC480" w14:textId="77777777" w:rsidR="009967B5" w:rsidRPr="00530CCD" w:rsidRDefault="009967B5" w:rsidP="00AB6CC0">
      <w:pPr>
        <w:pStyle w:val="FootnoteText"/>
        <w:rPr>
          <w:sz w:val="20"/>
          <w:szCs w:val="20"/>
        </w:rPr>
      </w:pPr>
    </w:p>
  </w:footnote>
  <w:footnote w:id="47">
    <w:p w14:paraId="29E13200" w14:textId="292DF571" w:rsidR="009967B5" w:rsidRPr="00160F37" w:rsidRDefault="009967B5" w:rsidP="00AB6CC0">
      <w:pPr>
        <w:pStyle w:val="FootnoteText"/>
        <w:rPr>
          <w:sz w:val="20"/>
          <w:szCs w:val="20"/>
        </w:rPr>
      </w:pPr>
      <w:r w:rsidRPr="00160F37">
        <w:rPr>
          <w:rStyle w:val="FootnoteReference"/>
          <w:sz w:val="20"/>
          <w:szCs w:val="20"/>
        </w:rPr>
        <w:footnoteRef/>
      </w:r>
      <w:r w:rsidRPr="00160F37">
        <w:rPr>
          <w:sz w:val="20"/>
          <w:szCs w:val="20"/>
        </w:rPr>
        <w:t xml:space="preserve"> Ibid [15].</w:t>
      </w:r>
    </w:p>
    <w:p w14:paraId="3F47F920" w14:textId="77777777" w:rsidR="009967B5" w:rsidRPr="00530CCD" w:rsidRDefault="009967B5" w:rsidP="00AB6CC0">
      <w:pPr>
        <w:pStyle w:val="FootnoteText"/>
        <w:rPr>
          <w:sz w:val="20"/>
          <w:szCs w:val="20"/>
        </w:rPr>
      </w:pPr>
    </w:p>
  </w:footnote>
  <w:footnote w:id="48">
    <w:p w14:paraId="472D1345" w14:textId="632DCB50" w:rsidR="009967B5" w:rsidRPr="00160F37" w:rsidRDefault="009967B5" w:rsidP="00AB6CC0">
      <w:pPr>
        <w:pStyle w:val="FootnoteText"/>
        <w:rPr>
          <w:sz w:val="20"/>
          <w:szCs w:val="20"/>
        </w:rPr>
      </w:pPr>
      <w:r w:rsidRPr="00160F37">
        <w:rPr>
          <w:rStyle w:val="FootnoteReference"/>
          <w:sz w:val="20"/>
          <w:szCs w:val="20"/>
        </w:rPr>
        <w:footnoteRef/>
      </w:r>
      <w:r w:rsidRPr="00160F37">
        <w:rPr>
          <w:sz w:val="20"/>
          <w:szCs w:val="20"/>
        </w:rPr>
        <w:t xml:space="preserve"> Ibid [17].</w:t>
      </w:r>
    </w:p>
    <w:p w14:paraId="27492552" w14:textId="77777777" w:rsidR="009967B5" w:rsidRPr="00530CCD" w:rsidRDefault="009967B5" w:rsidP="00AB6CC0">
      <w:pPr>
        <w:pStyle w:val="FootnoteText"/>
        <w:rPr>
          <w:sz w:val="20"/>
          <w:szCs w:val="20"/>
        </w:rPr>
      </w:pPr>
    </w:p>
  </w:footnote>
  <w:footnote w:id="49">
    <w:p w14:paraId="3C2979CE" w14:textId="6B51A26E" w:rsidR="009967B5" w:rsidRPr="0036607B" w:rsidRDefault="009967B5" w:rsidP="00AB6CC0">
      <w:pPr>
        <w:autoSpaceDE w:val="0"/>
        <w:autoSpaceDN w:val="0"/>
        <w:adjustRightInd w:val="0"/>
        <w:rPr>
          <w:sz w:val="20"/>
          <w:szCs w:val="20"/>
        </w:rPr>
      </w:pPr>
      <w:r w:rsidRPr="00160F37">
        <w:rPr>
          <w:rStyle w:val="FootnoteReference"/>
          <w:sz w:val="20"/>
          <w:szCs w:val="20"/>
        </w:rPr>
        <w:footnoteRef/>
      </w:r>
      <w:r w:rsidRPr="00160F37">
        <w:rPr>
          <w:sz w:val="20"/>
          <w:szCs w:val="20"/>
        </w:rPr>
        <w:t xml:space="preserve"> </w:t>
      </w:r>
      <w:r>
        <w:rPr>
          <w:sz w:val="20"/>
          <w:szCs w:val="20"/>
        </w:rPr>
        <w:t>GMC</w:t>
      </w:r>
      <w:r w:rsidRPr="00160F37">
        <w:rPr>
          <w:sz w:val="20"/>
          <w:szCs w:val="20"/>
        </w:rPr>
        <w:t xml:space="preserve"> </w:t>
      </w:r>
      <w:r>
        <w:rPr>
          <w:sz w:val="20"/>
          <w:szCs w:val="20"/>
        </w:rPr>
        <w:t>(</w:t>
      </w:r>
      <w:r w:rsidRPr="00160F37">
        <w:rPr>
          <w:sz w:val="20"/>
          <w:szCs w:val="20"/>
        </w:rPr>
        <w:t>2013</w:t>
      </w:r>
      <w:r>
        <w:rPr>
          <w:sz w:val="20"/>
          <w:szCs w:val="20"/>
        </w:rPr>
        <w:t>)</w:t>
      </w:r>
      <w:r w:rsidRPr="00160F37">
        <w:rPr>
          <w:sz w:val="20"/>
          <w:szCs w:val="20"/>
        </w:rPr>
        <w:t xml:space="preserve"> </w:t>
      </w:r>
      <w:r>
        <w:rPr>
          <w:sz w:val="20"/>
          <w:szCs w:val="20"/>
        </w:rPr>
        <w:t>[</w:t>
      </w:r>
      <w:r w:rsidRPr="00160F37">
        <w:rPr>
          <w:sz w:val="20"/>
          <w:szCs w:val="20"/>
        </w:rPr>
        <w:t>79</w:t>
      </w:r>
      <w:r>
        <w:rPr>
          <w:sz w:val="20"/>
          <w:szCs w:val="20"/>
        </w:rPr>
        <w:t>]</w:t>
      </w:r>
      <w:r w:rsidRPr="00160F37">
        <w:rPr>
          <w:sz w:val="20"/>
          <w:szCs w:val="20"/>
        </w:rPr>
        <w:t xml:space="preserve">. See also </w:t>
      </w:r>
      <w:r w:rsidRPr="00D74F3E">
        <w:rPr>
          <w:i/>
          <w:sz w:val="20"/>
          <w:szCs w:val="20"/>
          <w:lang w:val="en-AU"/>
        </w:rPr>
        <w:t>Good Medical Practice: A Code of Conduct for Doctors in</w:t>
      </w:r>
      <w:r w:rsidRPr="00D10DA3">
        <w:rPr>
          <w:i/>
          <w:sz w:val="20"/>
          <w:szCs w:val="20"/>
          <w:lang w:val="en-AU"/>
        </w:rPr>
        <w:t xml:space="preserve"> Australia</w:t>
      </w:r>
      <w:r w:rsidRPr="0036607B">
        <w:rPr>
          <w:sz w:val="20"/>
          <w:szCs w:val="20"/>
          <w:lang w:val="en-AU"/>
        </w:rPr>
        <w:t xml:space="preserve">, </w:t>
      </w:r>
    </w:p>
    <w:p w14:paraId="17DC076E" w14:textId="492510FA" w:rsidR="009967B5" w:rsidRPr="00D10DA3" w:rsidRDefault="009967B5" w:rsidP="00AB6CC0">
      <w:pPr>
        <w:pStyle w:val="FootnoteText"/>
        <w:rPr>
          <w:sz w:val="20"/>
          <w:szCs w:val="20"/>
          <w:lang w:val="en-AU"/>
        </w:rPr>
      </w:pPr>
      <w:r w:rsidRPr="00A45052">
        <w:rPr>
          <w:rStyle w:val="Hyperlink"/>
          <w:color w:val="auto"/>
          <w:sz w:val="20"/>
          <w:szCs w:val="20"/>
          <w:lang w:val="en-AU"/>
        </w:rPr>
        <w:t>https://www.medicalboard.gov.au/codes-guidelines-policies/code-of-conduct.aspx</w:t>
      </w:r>
      <w:r w:rsidRPr="001C7D2C">
        <w:rPr>
          <w:sz w:val="20"/>
          <w:szCs w:val="20"/>
          <w:lang w:val="en-AU"/>
        </w:rPr>
        <w:t xml:space="preserve"> (accessed 9 October).</w:t>
      </w:r>
    </w:p>
    <w:p w14:paraId="7A4DE72C" w14:textId="77777777" w:rsidR="009967B5" w:rsidRPr="00530CCD" w:rsidRDefault="009967B5" w:rsidP="00AB6CC0">
      <w:pPr>
        <w:pStyle w:val="FootnoteText"/>
        <w:rPr>
          <w:sz w:val="20"/>
          <w:szCs w:val="20"/>
        </w:rPr>
      </w:pPr>
    </w:p>
  </w:footnote>
  <w:footnote w:id="50">
    <w:p w14:paraId="3E3DAA0D" w14:textId="08B36464" w:rsidR="009967B5" w:rsidRPr="00D74F3E" w:rsidRDefault="009967B5">
      <w:pPr>
        <w:pStyle w:val="FootnoteText"/>
        <w:rPr>
          <w:sz w:val="20"/>
          <w:szCs w:val="20"/>
          <w:lang w:val="en-AU"/>
        </w:rPr>
      </w:pPr>
      <w:r w:rsidRPr="00160F37">
        <w:rPr>
          <w:rStyle w:val="FootnoteReference"/>
          <w:sz w:val="20"/>
          <w:szCs w:val="20"/>
        </w:rPr>
        <w:footnoteRef/>
      </w:r>
      <w:r w:rsidRPr="00160F37">
        <w:rPr>
          <w:sz w:val="20"/>
          <w:szCs w:val="20"/>
        </w:rPr>
        <w:t xml:space="preserve"> </w:t>
      </w:r>
      <w:r w:rsidRPr="00D74F3E">
        <w:rPr>
          <w:sz w:val="20"/>
          <w:szCs w:val="20"/>
          <w:lang w:val="en-AU"/>
        </w:rPr>
        <w:t>[2004] WADC 87.</w:t>
      </w:r>
    </w:p>
    <w:p w14:paraId="4BA9643C" w14:textId="77777777" w:rsidR="009967B5" w:rsidRPr="00530CCD" w:rsidRDefault="009967B5">
      <w:pPr>
        <w:pStyle w:val="FootnoteText"/>
        <w:rPr>
          <w:sz w:val="20"/>
          <w:szCs w:val="20"/>
          <w:lang w:val="en-AU"/>
        </w:rPr>
      </w:pPr>
    </w:p>
  </w:footnote>
  <w:footnote w:id="51">
    <w:p w14:paraId="7DEAFA37" w14:textId="5433836D" w:rsidR="009967B5" w:rsidRPr="00D74F3E" w:rsidRDefault="009967B5">
      <w:pPr>
        <w:pStyle w:val="FootnoteText"/>
        <w:rPr>
          <w:sz w:val="20"/>
          <w:szCs w:val="20"/>
          <w:lang w:val="en-AU"/>
        </w:rPr>
      </w:pPr>
      <w:r w:rsidRPr="00160F37">
        <w:rPr>
          <w:rStyle w:val="FootnoteReference"/>
          <w:sz w:val="20"/>
          <w:szCs w:val="20"/>
        </w:rPr>
        <w:footnoteRef/>
      </w:r>
      <w:r w:rsidRPr="00160F37">
        <w:rPr>
          <w:sz w:val="20"/>
          <w:szCs w:val="20"/>
        </w:rPr>
        <w:t xml:space="preserve"> </w:t>
      </w:r>
      <w:r w:rsidRPr="00D74F3E">
        <w:rPr>
          <w:sz w:val="20"/>
          <w:szCs w:val="20"/>
          <w:lang w:val="en-AU"/>
        </w:rPr>
        <w:t>Ibid [4].</w:t>
      </w:r>
    </w:p>
    <w:p w14:paraId="3C773E5E" w14:textId="77777777" w:rsidR="009967B5" w:rsidRPr="00530CCD" w:rsidRDefault="009967B5">
      <w:pPr>
        <w:pStyle w:val="FootnoteText"/>
        <w:rPr>
          <w:sz w:val="20"/>
          <w:szCs w:val="20"/>
          <w:lang w:val="en-AU"/>
        </w:rPr>
      </w:pPr>
    </w:p>
  </w:footnote>
  <w:footnote w:id="52">
    <w:p w14:paraId="604C580F" w14:textId="5745CA08" w:rsidR="009967B5" w:rsidRPr="0036607B" w:rsidRDefault="009967B5">
      <w:pPr>
        <w:pStyle w:val="FootnoteText"/>
        <w:rPr>
          <w:sz w:val="20"/>
          <w:szCs w:val="20"/>
          <w:lang w:val="en-AU"/>
        </w:rPr>
      </w:pPr>
      <w:r w:rsidRPr="00160F37">
        <w:rPr>
          <w:rStyle w:val="FootnoteReference"/>
          <w:sz w:val="20"/>
          <w:szCs w:val="20"/>
        </w:rPr>
        <w:footnoteRef/>
      </w:r>
      <w:r w:rsidRPr="00160F37">
        <w:rPr>
          <w:sz w:val="20"/>
          <w:szCs w:val="20"/>
        </w:rPr>
        <w:t xml:space="preserve"> </w:t>
      </w:r>
      <w:r w:rsidRPr="00D74F3E">
        <w:rPr>
          <w:sz w:val="20"/>
          <w:szCs w:val="20"/>
          <w:lang w:val="en-AU"/>
        </w:rPr>
        <w:t>Ibid</w:t>
      </w:r>
      <w:r w:rsidRPr="0036607B">
        <w:rPr>
          <w:sz w:val="20"/>
          <w:szCs w:val="20"/>
          <w:lang w:val="en-AU"/>
        </w:rPr>
        <w:t xml:space="preserve"> [127]</w:t>
      </w:r>
      <w:proofErr w:type="gramStart"/>
      <w:r w:rsidRPr="0036607B">
        <w:rPr>
          <w:sz w:val="20"/>
          <w:szCs w:val="20"/>
          <w:lang w:val="en-AU"/>
        </w:rPr>
        <w:t>-[</w:t>
      </w:r>
      <w:proofErr w:type="gramEnd"/>
      <w:r w:rsidRPr="0036607B">
        <w:rPr>
          <w:sz w:val="20"/>
          <w:szCs w:val="20"/>
          <w:lang w:val="en-AU"/>
        </w:rPr>
        <w:t>129].</w:t>
      </w:r>
    </w:p>
    <w:p w14:paraId="45A07D8E" w14:textId="77777777" w:rsidR="009967B5" w:rsidRPr="00530CCD" w:rsidRDefault="009967B5">
      <w:pPr>
        <w:pStyle w:val="FootnoteText"/>
        <w:rPr>
          <w:sz w:val="20"/>
          <w:szCs w:val="20"/>
          <w:lang w:val="en-AU"/>
        </w:rPr>
      </w:pPr>
    </w:p>
  </w:footnote>
  <w:footnote w:id="53">
    <w:p w14:paraId="1A1D0B33" w14:textId="2B648227" w:rsidR="009967B5" w:rsidRPr="00D74F3E" w:rsidRDefault="009967B5">
      <w:pPr>
        <w:pStyle w:val="FootnoteText"/>
        <w:rPr>
          <w:sz w:val="20"/>
          <w:szCs w:val="20"/>
          <w:lang w:val="en-AU"/>
        </w:rPr>
      </w:pPr>
      <w:r w:rsidRPr="00160F37">
        <w:rPr>
          <w:rStyle w:val="FootnoteReference"/>
          <w:sz w:val="20"/>
          <w:szCs w:val="20"/>
        </w:rPr>
        <w:footnoteRef/>
      </w:r>
      <w:r w:rsidRPr="00160F37">
        <w:rPr>
          <w:sz w:val="20"/>
          <w:szCs w:val="20"/>
        </w:rPr>
        <w:t xml:space="preserve"> </w:t>
      </w:r>
      <w:r w:rsidRPr="00D74F3E">
        <w:rPr>
          <w:sz w:val="20"/>
          <w:szCs w:val="20"/>
          <w:lang w:val="en-AU"/>
        </w:rPr>
        <w:t>Ibid [130].</w:t>
      </w:r>
    </w:p>
    <w:p w14:paraId="15AFF968" w14:textId="77777777" w:rsidR="009967B5" w:rsidRPr="00530CCD" w:rsidRDefault="009967B5">
      <w:pPr>
        <w:pStyle w:val="FootnoteText"/>
        <w:rPr>
          <w:sz w:val="20"/>
          <w:szCs w:val="20"/>
          <w:lang w:val="en-AU"/>
        </w:rPr>
      </w:pPr>
    </w:p>
  </w:footnote>
  <w:footnote w:id="54">
    <w:p w14:paraId="3BE6E4CF" w14:textId="49E1E590" w:rsidR="009967B5" w:rsidRPr="00D74F3E" w:rsidRDefault="009967B5">
      <w:pPr>
        <w:pStyle w:val="FootnoteText"/>
        <w:rPr>
          <w:sz w:val="20"/>
          <w:szCs w:val="20"/>
          <w:lang w:val="en-AU"/>
        </w:rPr>
      </w:pPr>
      <w:r w:rsidRPr="00160F37">
        <w:rPr>
          <w:rStyle w:val="FootnoteReference"/>
          <w:sz w:val="20"/>
          <w:szCs w:val="20"/>
        </w:rPr>
        <w:footnoteRef/>
      </w:r>
      <w:r w:rsidRPr="00160F37">
        <w:rPr>
          <w:sz w:val="20"/>
          <w:szCs w:val="20"/>
        </w:rPr>
        <w:t xml:space="preserve"> </w:t>
      </w:r>
      <w:r w:rsidRPr="00D74F3E">
        <w:rPr>
          <w:sz w:val="20"/>
          <w:szCs w:val="20"/>
          <w:lang w:val="en-AU"/>
        </w:rPr>
        <w:t>Ibid [195].</w:t>
      </w:r>
    </w:p>
    <w:p w14:paraId="46744DBC" w14:textId="77777777" w:rsidR="009967B5" w:rsidRPr="00A34F6B" w:rsidRDefault="009967B5">
      <w:pPr>
        <w:pStyle w:val="FootnoteText"/>
        <w:rPr>
          <w:sz w:val="20"/>
          <w:szCs w:val="20"/>
          <w:lang w:val="en-AU"/>
        </w:rPr>
      </w:pPr>
    </w:p>
  </w:footnote>
  <w:footnote w:id="55">
    <w:p w14:paraId="6BA11A61" w14:textId="7A30A584" w:rsidR="009967B5" w:rsidRPr="00D74F3E" w:rsidRDefault="009967B5">
      <w:pPr>
        <w:pStyle w:val="FootnoteText"/>
        <w:rPr>
          <w:sz w:val="20"/>
          <w:szCs w:val="20"/>
          <w:lang w:val="en-AU"/>
        </w:rPr>
      </w:pPr>
      <w:r w:rsidRPr="00160F37">
        <w:rPr>
          <w:rStyle w:val="FootnoteReference"/>
          <w:sz w:val="20"/>
          <w:szCs w:val="20"/>
        </w:rPr>
        <w:footnoteRef/>
      </w:r>
      <w:r w:rsidRPr="00160F37">
        <w:rPr>
          <w:sz w:val="20"/>
          <w:szCs w:val="20"/>
        </w:rPr>
        <w:t xml:space="preserve"> </w:t>
      </w:r>
      <w:r w:rsidRPr="00D74F3E">
        <w:rPr>
          <w:sz w:val="20"/>
          <w:szCs w:val="20"/>
          <w:lang w:val="en-AU"/>
        </w:rPr>
        <w:t>Ibid [195].</w:t>
      </w:r>
    </w:p>
    <w:p w14:paraId="2EA26EEF" w14:textId="77777777" w:rsidR="009967B5" w:rsidRPr="00A34F6B" w:rsidRDefault="009967B5">
      <w:pPr>
        <w:pStyle w:val="FootnoteText"/>
        <w:rPr>
          <w:sz w:val="20"/>
          <w:szCs w:val="20"/>
          <w:lang w:val="en-AU"/>
        </w:rPr>
      </w:pPr>
    </w:p>
  </w:footnote>
  <w:footnote w:id="56">
    <w:p w14:paraId="02CAB7CF" w14:textId="374AC1D9" w:rsidR="009967B5" w:rsidRPr="00D74F3E" w:rsidRDefault="009967B5">
      <w:pPr>
        <w:pStyle w:val="FootnoteText"/>
        <w:rPr>
          <w:sz w:val="20"/>
          <w:szCs w:val="20"/>
          <w:lang w:val="en-AU"/>
        </w:rPr>
      </w:pPr>
      <w:r w:rsidRPr="00160F37">
        <w:rPr>
          <w:rStyle w:val="FootnoteReference"/>
          <w:sz w:val="20"/>
          <w:szCs w:val="20"/>
        </w:rPr>
        <w:footnoteRef/>
      </w:r>
      <w:r w:rsidRPr="00160F37">
        <w:rPr>
          <w:sz w:val="20"/>
          <w:szCs w:val="20"/>
        </w:rPr>
        <w:t xml:space="preserve"> </w:t>
      </w:r>
      <w:r w:rsidRPr="00D74F3E">
        <w:rPr>
          <w:sz w:val="20"/>
          <w:szCs w:val="20"/>
          <w:lang w:val="en-AU"/>
        </w:rPr>
        <w:t>Ibid [299].</w:t>
      </w:r>
    </w:p>
    <w:p w14:paraId="4F10B3F7" w14:textId="77777777" w:rsidR="009967B5" w:rsidRPr="00A34F6B" w:rsidRDefault="009967B5">
      <w:pPr>
        <w:pStyle w:val="FootnoteText"/>
        <w:rPr>
          <w:sz w:val="20"/>
          <w:szCs w:val="20"/>
          <w:lang w:val="en-AU"/>
        </w:rPr>
      </w:pPr>
    </w:p>
  </w:footnote>
  <w:footnote w:id="57">
    <w:p w14:paraId="7062724D" w14:textId="49FB7647" w:rsidR="009967B5" w:rsidRPr="00D74F3E" w:rsidRDefault="009967B5">
      <w:pPr>
        <w:pStyle w:val="FootnoteText"/>
        <w:rPr>
          <w:sz w:val="20"/>
          <w:szCs w:val="20"/>
          <w:lang w:val="en-AU"/>
        </w:rPr>
      </w:pPr>
      <w:r w:rsidRPr="00160F37">
        <w:rPr>
          <w:rStyle w:val="FootnoteReference"/>
          <w:sz w:val="20"/>
          <w:szCs w:val="20"/>
        </w:rPr>
        <w:footnoteRef/>
      </w:r>
      <w:r w:rsidRPr="00160F37">
        <w:rPr>
          <w:sz w:val="20"/>
          <w:szCs w:val="20"/>
        </w:rPr>
        <w:t xml:space="preserve"> </w:t>
      </w:r>
      <w:r w:rsidRPr="00D74F3E">
        <w:rPr>
          <w:sz w:val="20"/>
          <w:szCs w:val="20"/>
          <w:lang w:val="en-AU"/>
        </w:rPr>
        <w:t>Ibid [301].</w:t>
      </w:r>
    </w:p>
    <w:p w14:paraId="58C48189" w14:textId="77777777" w:rsidR="009967B5" w:rsidRPr="00A34F6B" w:rsidRDefault="009967B5">
      <w:pPr>
        <w:pStyle w:val="FootnoteText"/>
        <w:rPr>
          <w:sz w:val="20"/>
          <w:szCs w:val="20"/>
          <w:lang w:val="en-AU"/>
        </w:rPr>
      </w:pPr>
    </w:p>
  </w:footnote>
  <w:footnote w:id="58">
    <w:p w14:paraId="722C1228" w14:textId="4EF55078" w:rsidR="009967B5" w:rsidRPr="00D74F3E" w:rsidRDefault="009967B5" w:rsidP="00C742B4">
      <w:pPr>
        <w:pStyle w:val="FootnoteText"/>
        <w:rPr>
          <w:sz w:val="20"/>
          <w:szCs w:val="20"/>
          <w:lang w:val="en-AU"/>
        </w:rPr>
      </w:pPr>
      <w:r w:rsidRPr="00160F37">
        <w:rPr>
          <w:rStyle w:val="FootnoteReference"/>
          <w:sz w:val="20"/>
          <w:szCs w:val="20"/>
        </w:rPr>
        <w:footnoteRef/>
      </w:r>
      <w:r w:rsidRPr="00160F37">
        <w:rPr>
          <w:sz w:val="20"/>
          <w:szCs w:val="20"/>
        </w:rPr>
        <w:t xml:space="preserve"> </w:t>
      </w:r>
      <w:r w:rsidRPr="00D74F3E">
        <w:rPr>
          <w:sz w:val="20"/>
          <w:szCs w:val="20"/>
          <w:lang w:val="en-AU"/>
        </w:rPr>
        <w:t>Ibid [303].</w:t>
      </w:r>
    </w:p>
    <w:p w14:paraId="1FC17674" w14:textId="77777777" w:rsidR="009967B5" w:rsidRPr="00A34F6B" w:rsidRDefault="009967B5" w:rsidP="00C742B4">
      <w:pPr>
        <w:pStyle w:val="FootnoteText"/>
        <w:rPr>
          <w:sz w:val="20"/>
          <w:szCs w:val="20"/>
          <w:lang w:val="en-AU"/>
        </w:rPr>
      </w:pPr>
    </w:p>
  </w:footnote>
  <w:footnote w:id="59">
    <w:p w14:paraId="5BEA0599" w14:textId="341CDACB" w:rsidR="009967B5" w:rsidRPr="00596424" w:rsidRDefault="009967B5" w:rsidP="00C742B4">
      <w:pPr>
        <w:pStyle w:val="FootnoteText"/>
        <w:jc w:val="both"/>
        <w:rPr>
          <w:sz w:val="20"/>
          <w:szCs w:val="20"/>
        </w:rPr>
      </w:pPr>
      <w:r w:rsidRPr="00160F37">
        <w:rPr>
          <w:rStyle w:val="FootnoteReference"/>
          <w:sz w:val="20"/>
          <w:szCs w:val="20"/>
        </w:rPr>
        <w:footnoteRef/>
      </w:r>
      <w:r w:rsidRPr="00160F37">
        <w:rPr>
          <w:sz w:val="20"/>
          <w:szCs w:val="20"/>
        </w:rPr>
        <w:t xml:space="preserve"> The </w:t>
      </w:r>
      <w:proofErr w:type="spellStart"/>
      <w:r w:rsidRPr="00160F37">
        <w:rPr>
          <w:sz w:val="20"/>
          <w:szCs w:val="20"/>
        </w:rPr>
        <w:t>proforma</w:t>
      </w:r>
      <w:proofErr w:type="spellEnd"/>
      <w:r w:rsidRPr="00160F37">
        <w:rPr>
          <w:sz w:val="20"/>
          <w:szCs w:val="20"/>
        </w:rPr>
        <w:t xml:space="preserve"> consent letter included: ‘The operation discussed with you has been developed over the last seven years, in association with the world renow</w:t>
      </w:r>
      <w:r w:rsidRPr="009C1528">
        <w:rPr>
          <w:sz w:val="20"/>
          <w:szCs w:val="20"/>
        </w:rPr>
        <w:t xml:space="preserve">ned </w:t>
      </w:r>
      <w:proofErr w:type="spellStart"/>
      <w:r w:rsidRPr="009C1528">
        <w:rPr>
          <w:sz w:val="20"/>
          <w:szCs w:val="20"/>
        </w:rPr>
        <w:t>Urogynaecology</w:t>
      </w:r>
      <w:proofErr w:type="spellEnd"/>
      <w:r w:rsidRPr="009C1528">
        <w:rPr>
          <w:sz w:val="20"/>
          <w:szCs w:val="20"/>
        </w:rPr>
        <w:t xml:space="preserve"> Department…’: Ibid</w:t>
      </w:r>
      <w:r w:rsidRPr="00596424">
        <w:rPr>
          <w:sz w:val="20"/>
          <w:szCs w:val="20"/>
        </w:rPr>
        <w:t xml:space="preserve"> [36]. </w:t>
      </w:r>
    </w:p>
    <w:p w14:paraId="3BE5A708" w14:textId="77777777" w:rsidR="009967B5" w:rsidRPr="00A34F6B" w:rsidRDefault="009967B5" w:rsidP="00C742B4">
      <w:pPr>
        <w:pStyle w:val="FootnoteText"/>
        <w:rPr>
          <w:sz w:val="20"/>
          <w:szCs w:val="20"/>
          <w:lang w:val="en-AU"/>
        </w:rPr>
      </w:pPr>
    </w:p>
  </w:footnote>
  <w:footnote w:id="60">
    <w:p w14:paraId="48D9A51D" w14:textId="33EA7997" w:rsidR="009967B5" w:rsidRPr="00D74F3E" w:rsidRDefault="009967B5">
      <w:pPr>
        <w:pStyle w:val="FootnoteText"/>
        <w:rPr>
          <w:sz w:val="20"/>
          <w:szCs w:val="20"/>
          <w:lang w:val="en-AU"/>
        </w:rPr>
      </w:pPr>
      <w:r w:rsidRPr="00160F37">
        <w:rPr>
          <w:rStyle w:val="FootnoteReference"/>
        </w:rPr>
        <w:footnoteRef/>
      </w:r>
      <w:r w:rsidRPr="00160F37">
        <w:t xml:space="preserve"> </w:t>
      </w:r>
      <w:r w:rsidRPr="00D74F3E">
        <w:rPr>
          <w:sz w:val="20"/>
          <w:szCs w:val="20"/>
          <w:lang w:val="en-AU"/>
        </w:rPr>
        <w:t>Ibid [348].</w:t>
      </w:r>
    </w:p>
    <w:p w14:paraId="45477743" w14:textId="77777777" w:rsidR="009967B5" w:rsidRPr="00D10DA3" w:rsidRDefault="009967B5">
      <w:pPr>
        <w:pStyle w:val="FootnoteText"/>
        <w:rPr>
          <w:lang w:val="en-AU"/>
        </w:rPr>
      </w:pPr>
    </w:p>
  </w:footnote>
  <w:footnote w:id="61">
    <w:p w14:paraId="7878F825" w14:textId="5202775C" w:rsidR="009967B5" w:rsidRPr="0036607B" w:rsidRDefault="009967B5">
      <w:pPr>
        <w:pStyle w:val="FootnoteText"/>
        <w:rPr>
          <w:sz w:val="20"/>
          <w:szCs w:val="20"/>
        </w:rPr>
      </w:pPr>
      <w:r w:rsidRPr="00160F37">
        <w:rPr>
          <w:rStyle w:val="FootnoteReference"/>
          <w:sz w:val="20"/>
          <w:szCs w:val="20"/>
        </w:rPr>
        <w:footnoteRef/>
      </w:r>
      <w:r w:rsidRPr="00160F37">
        <w:rPr>
          <w:sz w:val="20"/>
          <w:szCs w:val="20"/>
        </w:rPr>
        <w:t xml:space="preserve"> </w:t>
      </w:r>
      <w:r w:rsidRPr="00D74F3E">
        <w:rPr>
          <w:i/>
          <w:sz w:val="20"/>
          <w:szCs w:val="20"/>
        </w:rPr>
        <w:t xml:space="preserve">Chatterton </w:t>
      </w:r>
      <w:r w:rsidRPr="00D10DA3">
        <w:rPr>
          <w:sz w:val="20"/>
          <w:szCs w:val="20"/>
        </w:rPr>
        <w:t>(n2)</w:t>
      </w:r>
      <w:r w:rsidRPr="0036607B">
        <w:rPr>
          <w:sz w:val="20"/>
          <w:szCs w:val="20"/>
        </w:rPr>
        <w:t xml:space="preserve"> 442.</w:t>
      </w:r>
    </w:p>
    <w:p w14:paraId="4F398FF5" w14:textId="77777777" w:rsidR="009967B5" w:rsidRPr="00A34F6B" w:rsidRDefault="009967B5">
      <w:pPr>
        <w:pStyle w:val="FootnoteText"/>
        <w:rPr>
          <w:sz w:val="20"/>
          <w:szCs w:val="20"/>
        </w:rPr>
      </w:pPr>
    </w:p>
  </w:footnote>
  <w:footnote w:id="62">
    <w:p w14:paraId="44E13F3E" w14:textId="43A9E78D" w:rsidR="009967B5" w:rsidRPr="0036607B" w:rsidRDefault="009967B5" w:rsidP="00602D35">
      <w:pPr>
        <w:pStyle w:val="FootnoteText"/>
        <w:spacing w:line="276" w:lineRule="auto"/>
        <w:rPr>
          <w:sz w:val="20"/>
          <w:szCs w:val="20"/>
        </w:rPr>
      </w:pPr>
      <w:r w:rsidRPr="00160F37">
        <w:rPr>
          <w:rStyle w:val="FootnoteReference"/>
          <w:sz w:val="20"/>
          <w:szCs w:val="20"/>
        </w:rPr>
        <w:footnoteRef/>
      </w:r>
      <w:r w:rsidRPr="00160F37">
        <w:rPr>
          <w:sz w:val="20"/>
          <w:szCs w:val="20"/>
        </w:rPr>
        <w:t xml:space="preserve"> </w:t>
      </w:r>
      <w:r w:rsidRPr="00D74F3E">
        <w:rPr>
          <w:i/>
          <w:sz w:val="20"/>
          <w:szCs w:val="20"/>
        </w:rPr>
        <w:t>Montgomery</w:t>
      </w:r>
      <w:r w:rsidRPr="00D10DA3">
        <w:rPr>
          <w:sz w:val="20"/>
          <w:szCs w:val="20"/>
        </w:rPr>
        <w:t xml:space="preserve"> (n3)</w:t>
      </w:r>
      <w:r w:rsidRPr="0036607B">
        <w:rPr>
          <w:sz w:val="20"/>
          <w:szCs w:val="20"/>
        </w:rPr>
        <w:t xml:space="preserve"> [87].</w:t>
      </w:r>
    </w:p>
    <w:p w14:paraId="10441873" w14:textId="77777777" w:rsidR="009967B5" w:rsidRPr="00A34F6B" w:rsidRDefault="009967B5" w:rsidP="00602D35">
      <w:pPr>
        <w:pStyle w:val="FootnoteText"/>
        <w:spacing w:line="276" w:lineRule="auto"/>
        <w:rPr>
          <w:sz w:val="20"/>
          <w:szCs w:val="20"/>
        </w:rPr>
      </w:pPr>
    </w:p>
  </w:footnote>
  <w:footnote w:id="63">
    <w:p w14:paraId="5AC74CF7" w14:textId="4C52C40D" w:rsidR="009967B5" w:rsidRPr="00D74F3E" w:rsidRDefault="009967B5" w:rsidP="00602D35">
      <w:pPr>
        <w:pStyle w:val="FootnoteText"/>
        <w:spacing w:line="276" w:lineRule="auto"/>
        <w:rPr>
          <w:sz w:val="20"/>
          <w:szCs w:val="20"/>
          <w:lang w:val="en-AU"/>
        </w:rPr>
      </w:pPr>
      <w:r w:rsidRPr="00160F37">
        <w:rPr>
          <w:rStyle w:val="FootnoteReference"/>
          <w:sz w:val="20"/>
          <w:szCs w:val="20"/>
        </w:rPr>
        <w:footnoteRef/>
      </w:r>
      <w:r w:rsidRPr="00160F37">
        <w:rPr>
          <w:sz w:val="20"/>
          <w:szCs w:val="20"/>
        </w:rPr>
        <w:t xml:space="preserve"> Ibid. </w:t>
      </w:r>
      <w:r>
        <w:rPr>
          <w:sz w:val="20"/>
          <w:szCs w:val="20"/>
        </w:rPr>
        <w:t>S</w:t>
      </w:r>
      <w:r w:rsidRPr="00160F37">
        <w:rPr>
          <w:sz w:val="20"/>
          <w:szCs w:val="20"/>
        </w:rPr>
        <w:t xml:space="preserve">ee </w:t>
      </w:r>
      <w:r w:rsidRPr="00523758">
        <w:rPr>
          <w:i/>
          <w:sz w:val="20"/>
          <w:szCs w:val="20"/>
        </w:rPr>
        <w:t>Rogers</w:t>
      </w:r>
      <w:r w:rsidRPr="00160F37">
        <w:rPr>
          <w:sz w:val="20"/>
          <w:szCs w:val="20"/>
        </w:rPr>
        <w:t xml:space="preserve"> (n2) [16]. In Australia, n</w:t>
      </w:r>
      <w:r w:rsidRPr="00D74F3E">
        <w:rPr>
          <w:sz w:val="20"/>
          <w:szCs w:val="20"/>
          <w:lang w:val="en-GB"/>
        </w:rPr>
        <w:t>on-uniform legislation has been enacted in several jurisdictions, which generally reflects the com</w:t>
      </w:r>
      <w:r w:rsidRPr="00D10DA3">
        <w:rPr>
          <w:sz w:val="20"/>
          <w:szCs w:val="20"/>
          <w:lang w:val="en-GB"/>
        </w:rPr>
        <w:t xml:space="preserve">mon law duty to disclose material risks: </w:t>
      </w:r>
      <w:r w:rsidRPr="0036607B">
        <w:rPr>
          <w:i/>
          <w:iCs/>
          <w:sz w:val="20"/>
          <w:szCs w:val="20"/>
        </w:rPr>
        <w:t>Civil Liability Act 2003</w:t>
      </w:r>
      <w:r w:rsidRPr="00160F37">
        <w:rPr>
          <w:i/>
          <w:sz w:val="20"/>
          <w:szCs w:val="20"/>
        </w:rPr>
        <w:fldChar w:fldCharType="begin"/>
      </w:r>
      <w:r w:rsidRPr="00160F37">
        <w:rPr>
          <w:i/>
          <w:sz w:val="20"/>
          <w:szCs w:val="20"/>
        </w:rPr>
        <w:instrText>PRIVATE [[/citetitle]]</w:instrText>
      </w:r>
      <w:r w:rsidRPr="00160F37">
        <w:rPr>
          <w:i/>
          <w:sz w:val="20"/>
          <w:szCs w:val="20"/>
        </w:rPr>
        <w:fldChar w:fldCharType="end"/>
      </w:r>
      <w:r w:rsidRPr="00160F37">
        <w:rPr>
          <w:sz w:val="20"/>
          <w:szCs w:val="20"/>
        </w:rPr>
        <w:t xml:space="preserve"> (</w:t>
      </w:r>
      <w:r w:rsidRPr="00160F37">
        <w:rPr>
          <w:sz w:val="20"/>
          <w:szCs w:val="20"/>
        </w:rPr>
        <w:fldChar w:fldCharType="begin"/>
      </w:r>
      <w:r w:rsidRPr="00160F37">
        <w:rPr>
          <w:sz w:val="20"/>
          <w:szCs w:val="20"/>
        </w:rPr>
        <w:instrText>PRIVATE [[abbrev role="jur"]]</w:instrText>
      </w:r>
      <w:r w:rsidRPr="00160F37">
        <w:rPr>
          <w:sz w:val="20"/>
          <w:szCs w:val="20"/>
        </w:rPr>
        <w:fldChar w:fldCharType="end"/>
      </w:r>
      <w:proofErr w:type="spellStart"/>
      <w:r w:rsidRPr="00160F37">
        <w:rPr>
          <w:sz w:val="20"/>
          <w:szCs w:val="20"/>
        </w:rPr>
        <w:t>Qld</w:t>
      </w:r>
      <w:proofErr w:type="spellEnd"/>
      <w:r w:rsidRPr="00160F37">
        <w:rPr>
          <w:sz w:val="20"/>
          <w:szCs w:val="20"/>
        </w:rPr>
        <w:fldChar w:fldCharType="begin"/>
      </w:r>
      <w:r w:rsidRPr="00160F37">
        <w:rPr>
          <w:sz w:val="20"/>
          <w:szCs w:val="20"/>
        </w:rPr>
        <w:instrText>PRIVATE [[/abbrev]]</w:instrText>
      </w:r>
      <w:r w:rsidRPr="00160F37">
        <w:rPr>
          <w:sz w:val="20"/>
          <w:szCs w:val="20"/>
        </w:rPr>
        <w:fldChar w:fldCharType="end"/>
      </w:r>
      <w:r w:rsidRPr="00160F37">
        <w:rPr>
          <w:sz w:val="20"/>
          <w:szCs w:val="20"/>
        </w:rPr>
        <w:t>) s </w:t>
      </w:r>
      <w:r w:rsidRPr="00160F37">
        <w:rPr>
          <w:sz w:val="20"/>
          <w:szCs w:val="20"/>
        </w:rPr>
        <w:fldChar w:fldCharType="begin"/>
      </w:r>
      <w:r w:rsidRPr="00160F37">
        <w:rPr>
          <w:sz w:val="20"/>
          <w:szCs w:val="20"/>
        </w:rPr>
        <w:instrText>PRIVATE [[leg.ptr tos="s 21"]]</w:instrText>
      </w:r>
      <w:r w:rsidRPr="00160F37">
        <w:rPr>
          <w:sz w:val="20"/>
          <w:szCs w:val="20"/>
        </w:rPr>
        <w:fldChar w:fldCharType="end"/>
      </w:r>
      <w:r w:rsidRPr="00160F37">
        <w:rPr>
          <w:sz w:val="20"/>
          <w:szCs w:val="20"/>
        </w:rPr>
        <w:t xml:space="preserve">21; </w:t>
      </w:r>
      <w:r w:rsidRPr="00D74F3E">
        <w:rPr>
          <w:i/>
          <w:iCs/>
          <w:sz w:val="20"/>
          <w:szCs w:val="20"/>
        </w:rPr>
        <w:t>Civil Liability Act 2002</w:t>
      </w:r>
      <w:r w:rsidRPr="00160F37">
        <w:rPr>
          <w:i/>
          <w:sz w:val="20"/>
          <w:szCs w:val="20"/>
        </w:rPr>
        <w:fldChar w:fldCharType="begin"/>
      </w:r>
      <w:r w:rsidRPr="00160F37">
        <w:rPr>
          <w:i/>
          <w:sz w:val="20"/>
          <w:szCs w:val="20"/>
        </w:rPr>
        <w:instrText>PRIVATE [[/citetitle]]</w:instrText>
      </w:r>
      <w:r w:rsidRPr="00160F37">
        <w:rPr>
          <w:i/>
          <w:sz w:val="20"/>
          <w:szCs w:val="20"/>
        </w:rPr>
        <w:fldChar w:fldCharType="end"/>
      </w:r>
      <w:r w:rsidRPr="00160F37">
        <w:rPr>
          <w:sz w:val="20"/>
          <w:szCs w:val="20"/>
        </w:rPr>
        <w:t xml:space="preserve"> (</w:t>
      </w:r>
      <w:r w:rsidRPr="00160F37">
        <w:rPr>
          <w:sz w:val="20"/>
          <w:szCs w:val="20"/>
        </w:rPr>
        <w:fldChar w:fldCharType="begin"/>
      </w:r>
      <w:r w:rsidRPr="00160F37">
        <w:rPr>
          <w:sz w:val="20"/>
          <w:szCs w:val="20"/>
        </w:rPr>
        <w:instrText>PRIVATE [[abbrev ro</w:instrText>
      </w:r>
      <w:r w:rsidRPr="00D74F3E">
        <w:rPr>
          <w:sz w:val="20"/>
          <w:szCs w:val="20"/>
        </w:rPr>
        <w:instrText>le="jur"]]</w:instrText>
      </w:r>
      <w:r w:rsidRPr="00160F37">
        <w:rPr>
          <w:sz w:val="20"/>
          <w:szCs w:val="20"/>
        </w:rPr>
        <w:fldChar w:fldCharType="end"/>
      </w:r>
      <w:proofErr w:type="spellStart"/>
      <w:r w:rsidRPr="00160F37">
        <w:rPr>
          <w:sz w:val="20"/>
          <w:szCs w:val="20"/>
        </w:rPr>
        <w:t>Tas</w:t>
      </w:r>
      <w:proofErr w:type="spellEnd"/>
      <w:r w:rsidRPr="00160F37">
        <w:rPr>
          <w:sz w:val="20"/>
          <w:szCs w:val="20"/>
        </w:rPr>
        <w:fldChar w:fldCharType="begin"/>
      </w:r>
      <w:r w:rsidRPr="00160F37">
        <w:rPr>
          <w:sz w:val="20"/>
          <w:szCs w:val="20"/>
        </w:rPr>
        <w:instrText>PRIVATE [[/abbrev]]</w:instrText>
      </w:r>
      <w:r w:rsidRPr="00160F37">
        <w:rPr>
          <w:sz w:val="20"/>
          <w:szCs w:val="20"/>
        </w:rPr>
        <w:fldChar w:fldCharType="end"/>
      </w:r>
      <w:r w:rsidRPr="00160F37">
        <w:rPr>
          <w:sz w:val="20"/>
          <w:szCs w:val="20"/>
        </w:rPr>
        <w:t>) s </w:t>
      </w:r>
      <w:r w:rsidRPr="00160F37">
        <w:rPr>
          <w:sz w:val="20"/>
          <w:szCs w:val="20"/>
        </w:rPr>
        <w:fldChar w:fldCharType="begin"/>
      </w:r>
      <w:r w:rsidRPr="00160F37">
        <w:rPr>
          <w:sz w:val="20"/>
          <w:szCs w:val="20"/>
        </w:rPr>
        <w:instrText>PRIVATE [[leg.ptr tos="s 21"]]</w:instrText>
      </w:r>
      <w:r w:rsidRPr="00160F37">
        <w:rPr>
          <w:sz w:val="20"/>
          <w:szCs w:val="20"/>
        </w:rPr>
        <w:fldChar w:fldCharType="end"/>
      </w:r>
      <w:r w:rsidRPr="00160F37">
        <w:rPr>
          <w:sz w:val="20"/>
          <w:szCs w:val="20"/>
        </w:rPr>
        <w:t xml:space="preserve">21; </w:t>
      </w:r>
      <w:r w:rsidRPr="00D74F3E">
        <w:rPr>
          <w:i/>
          <w:iCs/>
          <w:sz w:val="20"/>
          <w:szCs w:val="20"/>
        </w:rPr>
        <w:t>Wrongs Act 1958</w:t>
      </w:r>
      <w:r w:rsidRPr="00160F37">
        <w:rPr>
          <w:i/>
          <w:sz w:val="20"/>
          <w:szCs w:val="20"/>
        </w:rPr>
        <w:fldChar w:fldCharType="begin"/>
      </w:r>
      <w:r w:rsidRPr="00160F37">
        <w:rPr>
          <w:i/>
          <w:sz w:val="20"/>
          <w:szCs w:val="20"/>
        </w:rPr>
        <w:instrText>PRIVATE [[/citetitle]]</w:instrText>
      </w:r>
      <w:r w:rsidRPr="00160F37">
        <w:rPr>
          <w:i/>
          <w:sz w:val="20"/>
          <w:szCs w:val="20"/>
        </w:rPr>
        <w:fldChar w:fldCharType="end"/>
      </w:r>
      <w:r w:rsidRPr="00160F37">
        <w:rPr>
          <w:i/>
          <w:sz w:val="20"/>
          <w:szCs w:val="20"/>
        </w:rPr>
        <w:t xml:space="preserve"> (</w:t>
      </w:r>
      <w:r w:rsidRPr="00160F37">
        <w:rPr>
          <w:i/>
          <w:sz w:val="20"/>
          <w:szCs w:val="20"/>
        </w:rPr>
        <w:fldChar w:fldCharType="begin"/>
      </w:r>
      <w:r w:rsidRPr="00160F37">
        <w:rPr>
          <w:i/>
          <w:sz w:val="20"/>
          <w:szCs w:val="20"/>
        </w:rPr>
        <w:instrText>PRIVATE [[abbrev role="jur"]]</w:instrText>
      </w:r>
      <w:r w:rsidRPr="00160F37">
        <w:rPr>
          <w:i/>
          <w:sz w:val="20"/>
          <w:szCs w:val="20"/>
        </w:rPr>
        <w:fldChar w:fldCharType="end"/>
      </w:r>
      <w:r w:rsidRPr="00160F37">
        <w:rPr>
          <w:i/>
          <w:sz w:val="20"/>
          <w:szCs w:val="20"/>
        </w:rPr>
        <w:t>Vic</w:t>
      </w:r>
      <w:r w:rsidRPr="00160F37">
        <w:rPr>
          <w:i/>
          <w:sz w:val="20"/>
          <w:szCs w:val="20"/>
        </w:rPr>
        <w:fldChar w:fldCharType="begin"/>
      </w:r>
      <w:r w:rsidRPr="00160F37">
        <w:rPr>
          <w:i/>
          <w:sz w:val="20"/>
          <w:szCs w:val="20"/>
        </w:rPr>
        <w:instrText>PRIVATE [[/abbrev]]</w:instrText>
      </w:r>
      <w:r w:rsidRPr="00160F37">
        <w:rPr>
          <w:i/>
          <w:sz w:val="20"/>
          <w:szCs w:val="20"/>
        </w:rPr>
        <w:fldChar w:fldCharType="end"/>
      </w:r>
      <w:r w:rsidRPr="00160F37">
        <w:rPr>
          <w:i/>
          <w:sz w:val="20"/>
          <w:szCs w:val="20"/>
        </w:rPr>
        <w:t>)</w:t>
      </w:r>
      <w:r w:rsidRPr="00D74F3E">
        <w:rPr>
          <w:sz w:val="20"/>
          <w:szCs w:val="20"/>
        </w:rPr>
        <w:t xml:space="preserve"> s </w:t>
      </w:r>
      <w:r w:rsidRPr="00160F37">
        <w:rPr>
          <w:sz w:val="20"/>
          <w:szCs w:val="20"/>
        </w:rPr>
        <w:fldChar w:fldCharType="begin"/>
      </w:r>
      <w:r w:rsidRPr="00160F37">
        <w:rPr>
          <w:sz w:val="20"/>
          <w:szCs w:val="20"/>
        </w:rPr>
        <w:instrText>PRIVATE [[leg.ptr tos="s 50"]]</w:instrText>
      </w:r>
      <w:r w:rsidRPr="00160F37">
        <w:rPr>
          <w:sz w:val="20"/>
          <w:szCs w:val="20"/>
        </w:rPr>
        <w:fldChar w:fldCharType="end"/>
      </w:r>
      <w:r w:rsidRPr="00160F37">
        <w:rPr>
          <w:sz w:val="20"/>
          <w:szCs w:val="20"/>
        </w:rPr>
        <w:t xml:space="preserve">50. </w:t>
      </w:r>
      <w:r w:rsidRPr="00D74F3E">
        <w:rPr>
          <w:sz w:val="20"/>
          <w:szCs w:val="20"/>
          <w:lang w:val="en-AU"/>
        </w:rPr>
        <w:t xml:space="preserve"> </w:t>
      </w:r>
    </w:p>
    <w:p w14:paraId="13800F81" w14:textId="77777777" w:rsidR="009967B5" w:rsidRPr="00BD5C50" w:rsidRDefault="009967B5" w:rsidP="00602D35">
      <w:pPr>
        <w:pStyle w:val="FootnoteText"/>
        <w:spacing w:line="276" w:lineRule="auto"/>
        <w:rPr>
          <w:sz w:val="20"/>
          <w:szCs w:val="20"/>
        </w:rPr>
      </w:pPr>
    </w:p>
  </w:footnote>
  <w:footnote w:id="64">
    <w:p w14:paraId="2AE076A6" w14:textId="2D76593E" w:rsidR="009967B5" w:rsidRPr="00BD5C50" w:rsidRDefault="009967B5" w:rsidP="00602D35">
      <w:pPr>
        <w:pStyle w:val="FootnoteText"/>
        <w:jc w:val="both"/>
        <w:rPr>
          <w:sz w:val="20"/>
          <w:szCs w:val="20"/>
        </w:rPr>
      </w:pPr>
      <w:r w:rsidRPr="00160F37">
        <w:rPr>
          <w:rStyle w:val="FootnoteReference"/>
          <w:sz w:val="20"/>
          <w:szCs w:val="20"/>
        </w:rPr>
        <w:footnoteRef/>
      </w:r>
      <w:r w:rsidRPr="00160F37">
        <w:rPr>
          <w:sz w:val="20"/>
          <w:szCs w:val="20"/>
        </w:rPr>
        <w:t xml:space="preserve"> </w:t>
      </w:r>
      <w:r>
        <w:rPr>
          <w:sz w:val="20"/>
          <w:szCs w:val="20"/>
        </w:rPr>
        <w:t>S</w:t>
      </w:r>
      <w:r w:rsidRPr="00D74F3E">
        <w:rPr>
          <w:sz w:val="20"/>
          <w:szCs w:val="20"/>
        </w:rPr>
        <w:t>ee</w:t>
      </w:r>
      <w:r>
        <w:rPr>
          <w:sz w:val="20"/>
          <w:szCs w:val="20"/>
        </w:rPr>
        <w:t>,</w:t>
      </w:r>
      <w:r w:rsidRPr="00D74F3E">
        <w:rPr>
          <w:sz w:val="20"/>
          <w:szCs w:val="20"/>
        </w:rPr>
        <w:t xml:space="preserve"> for example: Susan J Lee Char, et al, ‘Informed consent for innovative surgery: A survey of patients and surgeons’ (2013) April 153(4) </w:t>
      </w:r>
      <w:r w:rsidRPr="00BD5C50">
        <w:rPr>
          <w:i/>
          <w:sz w:val="20"/>
          <w:szCs w:val="20"/>
        </w:rPr>
        <w:t>Surgery</w:t>
      </w:r>
      <w:r w:rsidRPr="00BD5C50">
        <w:rPr>
          <w:sz w:val="20"/>
          <w:szCs w:val="20"/>
        </w:rPr>
        <w:t xml:space="preserve"> 473.</w:t>
      </w:r>
    </w:p>
    <w:p w14:paraId="00348CC2" w14:textId="77777777" w:rsidR="009967B5" w:rsidRPr="00707B75" w:rsidRDefault="009967B5" w:rsidP="00602D35">
      <w:pPr>
        <w:pStyle w:val="FootnoteText"/>
        <w:rPr>
          <w:sz w:val="20"/>
          <w:szCs w:val="20"/>
          <w:lang w:val="en-AU"/>
        </w:rPr>
      </w:pPr>
    </w:p>
  </w:footnote>
  <w:footnote w:id="65">
    <w:p w14:paraId="37DECEAD" w14:textId="05BD564B" w:rsidR="009967B5" w:rsidRDefault="009967B5">
      <w:pPr>
        <w:pStyle w:val="FootnoteText"/>
        <w:rPr>
          <w:sz w:val="20"/>
          <w:szCs w:val="20"/>
        </w:rPr>
      </w:pPr>
      <w:r w:rsidRPr="007B76ED">
        <w:rPr>
          <w:rStyle w:val="FootnoteReference"/>
          <w:sz w:val="20"/>
          <w:szCs w:val="20"/>
        </w:rPr>
        <w:footnoteRef/>
      </w:r>
      <w:r w:rsidRPr="007B76ED">
        <w:rPr>
          <w:sz w:val="20"/>
          <w:szCs w:val="20"/>
        </w:rPr>
        <w:t xml:space="preserve"> </w:t>
      </w:r>
      <w:r w:rsidRPr="007B76ED">
        <w:rPr>
          <w:i/>
          <w:sz w:val="20"/>
          <w:szCs w:val="20"/>
        </w:rPr>
        <w:t>Montgomery</w:t>
      </w:r>
      <w:r w:rsidRPr="007B76ED">
        <w:rPr>
          <w:sz w:val="20"/>
          <w:szCs w:val="20"/>
        </w:rPr>
        <w:t xml:space="preserve"> (n3)</w:t>
      </w:r>
      <w:r>
        <w:rPr>
          <w:sz w:val="20"/>
          <w:szCs w:val="20"/>
        </w:rPr>
        <w:t xml:space="preserve"> [87]</w:t>
      </w:r>
      <w:r w:rsidRPr="007B76ED">
        <w:rPr>
          <w:sz w:val="20"/>
          <w:szCs w:val="20"/>
        </w:rPr>
        <w:t>.</w:t>
      </w:r>
    </w:p>
    <w:p w14:paraId="7A3550E5" w14:textId="77777777" w:rsidR="009967B5" w:rsidRPr="007B76ED" w:rsidRDefault="009967B5">
      <w:pPr>
        <w:pStyle w:val="FootnoteText"/>
        <w:rPr>
          <w:sz w:val="20"/>
          <w:szCs w:val="20"/>
        </w:rPr>
      </w:pPr>
    </w:p>
  </w:footnote>
  <w:footnote w:id="66">
    <w:p w14:paraId="1B408BF7" w14:textId="1E380A28" w:rsidR="009967B5" w:rsidRPr="00160F37" w:rsidRDefault="009967B5" w:rsidP="00602D35">
      <w:pPr>
        <w:pStyle w:val="FootnoteText"/>
        <w:rPr>
          <w:sz w:val="20"/>
          <w:szCs w:val="20"/>
        </w:rPr>
      </w:pPr>
      <w:r w:rsidRPr="00160F37">
        <w:rPr>
          <w:rStyle w:val="FootnoteReference"/>
          <w:sz w:val="20"/>
          <w:szCs w:val="20"/>
        </w:rPr>
        <w:footnoteRef/>
      </w:r>
      <w:r w:rsidRPr="00160F37">
        <w:rPr>
          <w:sz w:val="20"/>
          <w:szCs w:val="20"/>
        </w:rPr>
        <w:t xml:space="preserve"> Ibid [73].</w:t>
      </w:r>
    </w:p>
  </w:footnote>
  <w:footnote w:id="67">
    <w:p w14:paraId="76176065" w14:textId="250A72E9" w:rsidR="009967B5" w:rsidRPr="00BD5C50" w:rsidRDefault="009967B5" w:rsidP="00DB212C">
      <w:pPr>
        <w:spacing w:before="100" w:beforeAutospacing="1" w:after="100" w:afterAutospacing="1"/>
        <w:outlineLvl w:val="0"/>
        <w:rPr>
          <w:lang w:val="en-AU"/>
        </w:rPr>
      </w:pPr>
      <w:r w:rsidRPr="00160F37">
        <w:rPr>
          <w:rStyle w:val="FootnoteReference"/>
        </w:rPr>
        <w:footnoteRef/>
      </w:r>
      <w:r w:rsidRPr="00160F37">
        <w:t xml:space="preserve"> </w:t>
      </w:r>
      <w:r w:rsidRPr="00D74F3E">
        <w:rPr>
          <w:i/>
          <w:sz w:val="20"/>
          <w:szCs w:val="20"/>
        </w:rPr>
        <w:t xml:space="preserve">Montgomery </w:t>
      </w:r>
      <w:r w:rsidRPr="00D10DA3">
        <w:rPr>
          <w:sz w:val="20"/>
          <w:szCs w:val="20"/>
        </w:rPr>
        <w:t>(n3) [82], [83];</w:t>
      </w:r>
      <w:r w:rsidRPr="0036607B">
        <w:t xml:space="preserve"> </w:t>
      </w:r>
      <w:hyperlink r:id="rId5" w:history="1">
        <w:r w:rsidRPr="00D74F3E">
          <w:rPr>
            <w:rStyle w:val="Hyperlink"/>
            <w:rFonts w:eastAsia="Times New Roman"/>
            <w:color w:val="auto"/>
            <w:sz w:val="20"/>
            <w:szCs w:val="20"/>
          </w:rPr>
          <w:t xml:space="preserve">FM </w:t>
        </w:r>
        <w:proofErr w:type="spellStart"/>
        <w:r w:rsidRPr="00D74F3E">
          <w:rPr>
            <w:rStyle w:val="Hyperlink"/>
            <w:rFonts w:eastAsia="Times New Roman"/>
            <w:color w:val="auto"/>
            <w:sz w:val="20"/>
            <w:szCs w:val="20"/>
          </w:rPr>
          <w:t>Hajjaj</w:t>
        </w:r>
        <w:proofErr w:type="spellEnd"/>
      </w:hyperlink>
      <w:r w:rsidRPr="00160F37">
        <w:rPr>
          <w:rFonts w:eastAsia="Times New Roman"/>
          <w:sz w:val="20"/>
          <w:szCs w:val="20"/>
        </w:rPr>
        <w:t xml:space="preserve"> et al, ‘</w:t>
      </w:r>
      <w:r w:rsidRPr="00D74F3E">
        <w:rPr>
          <w:rFonts w:eastAsia="Times New Roman"/>
          <w:bCs/>
          <w:kern w:val="36"/>
          <w:sz w:val="20"/>
          <w:szCs w:val="20"/>
        </w:rPr>
        <w:t xml:space="preserve">Non-clinical influences on clinical decision-making: a major challenge to evidence-based practice’ (2010) 103(5) </w:t>
      </w:r>
      <w:r w:rsidRPr="00BD5C50">
        <w:rPr>
          <w:rFonts w:eastAsia="Times New Roman"/>
          <w:bCs/>
          <w:i/>
          <w:kern w:val="36"/>
          <w:sz w:val="20"/>
          <w:szCs w:val="20"/>
        </w:rPr>
        <w:t>Journal of the Royal Society of Medicine</w:t>
      </w:r>
      <w:r w:rsidRPr="00BD5C50">
        <w:rPr>
          <w:rFonts w:eastAsia="Times New Roman"/>
          <w:bCs/>
          <w:kern w:val="36"/>
          <w:sz w:val="20"/>
          <w:szCs w:val="20"/>
        </w:rPr>
        <w:t xml:space="preserve"> 178.</w:t>
      </w:r>
    </w:p>
  </w:footnote>
  <w:footnote w:id="68">
    <w:p w14:paraId="15DFD6CF" w14:textId="46DC3FF1" w:rsidR="009967B5" w:rsidRPr="00B510C5" w:rsidRDefault="009967B5">
      <w:pPr>
        <w:pStyle w:val="FootnoteText"/>
        <w:rPr>
          <w:sz w:val="20"/>
          <w:szCs w:val="20"/>
        </w:rPr>
      </w:pPr>
      <w:r w:rsidRPr="00160F37">
        <w:rPr>
          <w:rStyle w:val="FootnoteReference"/>
        </w:rPr>
        <w:footnoteRef/>
      </w:r>
      <w:r w:rsidRPr="00160F37">
        <w:t xml:space="preserve"> </w:t>
      </w:r>
      <w:r w:rsidRPr="006F51F4">
        <w:rPr>
          <w:rFonts w:asciiTheme="majorBidi" w:hAnsiTheme="majorBidi" w:cstheme="majorBidi"/>
          <w:sz w:val="20"/>
          <w:szCs w:val="20"/>
        </w:rPr>
        <w:t xml:space="preserve">Camilla </w:t>
      </w:r>
      <w:proofErr w:type="spellStart"/>
      <w:r w:rsidRPr="006F51F4">
        <w:rPr>
          <w:rFonts w:asciiTheme="majorBidi" w:hAnsiTheme="majorBidi" w:cstheme="majorBidi"/>
          <w:sz w:val="20"/>
          <w:szCs w:val="20"/>
        </w:rPr>
        <w:t>Scanlan</w:t>
      </w:r>
      <w:proofErr w:type="spellEnd"/>
      <w:r w:rsidRPr="006F51F4">
        <w:rPr>
          <w:rFonts w:asciiTheme="majorBidi" w:hAnsiTheme="majorBidi" w:cstheme="majorBidi"/>
          <w:sz w:val="20"/>
          <w:szCs w:val="20"/>
        </w:rPr>
        <w:t xml:space="preserve">, Cameron Stewart &amp; Ian </w:t>
      </w:r>
      <w:proofErr w:type="spellStart"/>
      <w:r w:rsidRPr="006F51F4">
        <w:rPr>
          <w:rFonts w:asciiTheme="majorBidi" w:hAnsiTheme="majorBidi" w:cstheme="majorBidi"/>
          <w:sz w:val="20"/>
          <w:szCs w:val="20"/>
        </w:rPr>
        <w:t>Kerridge</w:t>
      </w:r>
      <w:proofErr w:type="spellEnd"/>
      <w:r w:rsidRPr="006F51F4">
        <w:rPr>
          <w:rFonts w:asciiTheme="majorBidi" w:hAnsiTheme="majorBidi" w:cstheme="majorBidi"/>
          <w:sz w:val="20"/>
          <w:szCs w:val="20"/>
        </w:rPr>
        <w:t>,</w:t>
      </w:r>
      <w:r w:rsidRPr="00D74F3E" w:rsidDel="00B510C5">
        <w:rPr>
          <w:sz w:val="20"/>
          <w:szCs w:val="20"/>
        </w:rPr>
        <w:t xml:space="preserve"> </w:t>
      </w:r>
      <w:r w:rsidRPr="00D10DA3">
        <w:rPr>
          <w:sz w:val="20"/>
          <w:szCs w:val="20"/>
        </w:rPr>
        <w:t xml:space="preserve">‘Decision Making in the Shadow of Death’ (2016) 16 </w:t>
      </w:r>
      <w:r w:rsidRPr="0036607B">
        <w:rPr>
          <w:i/>
          <w:sz w:val="20"/>
          <w:szCs w:val="20"/>
        </w:rPr>
        <w:t xml:space="preserve">American Journal of </w:t>
      </w:r>
      <w:proofErr w:type="spellStart"/>
      <w:r w:rsidRPr="0036607B">
        <w:rPr>
          <w:i/>
          <w:sz w:val="20"/>
          <w:szCs w:val="20"/>
        </w:rPr>
        <w:t>Biothethics</w:t>
      </w:r>
      <w:proofErr w:type="spellEnd"/>
      <w:r w:rsidRPr="00B510C5">
        <w:rPr>
          <w:sz w:val="20"/>
          <w:szCs w:val="20"/>
        </w:rPr>
        <w:t xml:space="preserve"> 23.  </w:t>
      </w:r>
    </w:p>
    <w:p w14:paraId="672D8FB2" w14:textId="77777777" w:rsidR="009967B5" w:rsidRPr="00BD5C50" w:rsidRDefault="009967B5">
      <w:pPr>
        <w:pStyle w:val="FootnoteText"/>
        <w:rPr>
          <w:lang w:val="en-AU"/>
        </w:rPr>
      </w:pPr>
    </w:p>
  </w:footnote>
  <w:footnote w:id="69">
    <w:p w14:paraId="19D07F13" w14:textId="77777777" w:rsidR="009967B5" w:rsidRPr="00D10DA3" w:rsidRDefault="009967B5" w:rsidP="002A2EC1">
      <w:pPr>
        <w:pStyle w:val="FootnoteText"/>
        <w:rPr>
          <w:lang w:val="en-AU"/>
        </w:rPr>
      </w:pPr>
      <w:r w:rsidRPr="00160F37">
        <w:rPr>
          <w:rStyle w:val="FootnoteReference"/>
        </w:rPr>
        <w:footnoteRef/>
      </w:r>
      <w:r w:rsidRPr="00160F37">
        <w:t xml:space="preserve"> </w:t>
      </w:r>
      <w:r w:rsidRPr="00D74F3E">
        <w:rPr>
          <w:sz w:val="20"/>
          <w:szCs w:val="20"/>
          <w:lang w:val="en-AU"/>
        </w:rPr>
        <w:t>Discussed above.</w:t>
      </w:r>
    </w:p>
    <w:p w14:paraId="6EA7B4FF" w14:textId="77777777" w:rsidR="009967B5" w:rsidRPr="009904F3" w:rsidRDefault="009967B5" w:rsidP="002A2EC1">
      <w:pPr>
        <w:pStyle w:val="FootnoteText"/>
        <w:rPr>
          <w:lang w:val="en-AU"/>
        </w:rPr>
      </w:pPr>
    </w:p>
  </w:footnote>
  <w:footnote w:id="70">
    <w:p w14:paraId="06B2EE24" w14:textId="1C9FAE58" w:rsidR="009967B5" w:rsidRPr="0036607B" w:rsidRDefault="009967B5" w:rsidP="0072004F">
      <w:pPr>
        <w:pStyle w:val="FootnoteText"/>
        <w:rPr>
          <w:lang w:val="en-AU"/>
        </w:rPr>
      </w:pPr>
      <w:r w:rsidRPr="00160F37">
        <w:rPr>
          <w:rStyle w:val="FootnoteReference"/>
        </w:rPr>
        <w:footnoteRef/>
      </w:r>
      <w:r w:rsidRPr="00160F37">
        <w:t xml:space="preserve"> </w:t>
      </w:r>
      <w:r w:rsidRPr="00D74F3E">
        <w:rPr>
          <w:sz w:val="20"/>
          <w:szCs w:val="20"/>
        </w:rPr>
        <w:t>Chan (n29) 94-96. See al</w:t>
      </w:r>
      <w:r w:rsidRPr="00D10DA3">
        <w:rPr>
          <w:sz w:val="20"/>
          <w:szCs w:val="20"/>
          <w:lang w:val="en-AU"/>
        </w:rPr>
        <w:t>so Keren-Paz in this special issue.</w:t>
      </w:r>
    </w:p>
    <w:p w14:paraId="19669706" w14:textId="77777777" w:rsidR="009967B5" w:rsidRPr="009904F3" w:rsidRDefault="009967B5" w:rsidP="0072004F">
      <w:pPr>
        <w:pStyle w:val="FootnoteText"/>
        <w:rPr>
          <w:lang w:val="en-AU"/>
        </w:rPr>
      </w:pPr>
    </w:p>
  </w:footnote>
  <w:footnote w:id="71">
    <w:p w14:paraId="49A1F0F9" w14:textId="267AF853" w:rsidR="009967B5" w:rsidRPr="00D74F3E" w:rsidRDefault="009967B5">
      <w:pPr>
        <w:pStyle w:val="FootnoteText"/>
        <w:rPr>
          <w:sz w:val="20"/>
          <w:szCs w:val="20"/>
        </w:rPr>
      </w:pPr>
      <w:r w:rsidRPr="00160F37">
        <w:rPr>
          <w:rStyle w:val="FootnoteReference"/>
          <w:sz w:val="20"/>
          <w:szCs w:val="20"/>
        </w:rPr>
        <w:footnoteRef/>
      </w:r>
      <w:r w:rsidRPr="00160F37">
        <w:rPr>
          <w:sz w:val="20"/>
          <w:szCs w:val="20"/>
        </w:rPr>
        <w:t xml:space="preserve"> Chan </w:t>
      </w:r>
      <w:r>
        <w:rPr>
          <w:sz w:val="20"/>
          <w:szCs w:val="20"/>
        </w:rPr>
        <w:t>ibid</w:t>
      </w:r>
      <w:r w:rsidRPr="00160F37">
        <w:rPr>
          <w:sz w:val="20"/>
          <w:szCs w:val="20"/>
        </w:rPr>
        <w:t xml:space="preserve"> 116. See also Richards and Hu</w:t>
      </w:r>
      <w:r w:rsidRPr="00D74F3E">
        <w:rPr>
          <w:sz w:val="20"/>
          <w:szCs w:val="20"/>
        </w:rPr>
        <w:t>tchinson (n41) 938.</w:t>
      </w:r>
    </w:p>
    <w:p w14:paraId="778CE368" w14:textId="77777777" w:rsidR="009967B5" w:rsidRPr="00D10DA3" w:rsidRDefault="009967B5">
      <w:pPr>
        <w:pStyle w:val="FootnoteText"/>
        <w:rPr>
          <w:sz w:val="20"/>
          <w:szCs w:val="20"/>
        </w:rPr>
      </w:pPr>
    </w:p>
  </w:footnote>
  <w:footnote w:id="72">
    <w:p w14:paraId="04854FCE" w14:textId="5F1F0810" w:rsidR="009967B5" w:rsidRPr="00707B75" w:rsidRDefault="009967B5" w:rsidP="002F4386">
      <w:pPr>
        <w:pStyle w:val="FootnoteText"/>
        <w:jc w:val="both"/>
        <w:rPr>
          <w:sz w:val="20"/>
          <w:szCs w:val="20"/>
        </w:rPr>
      </w:pPr>
      <w:r w:rsidRPr="00160F37">
        <w:rPr>
          <w:rStyle w:val="FootnoteReference"/>
        </w:rPr>
        <w:footnoteRef/>
      </w:r>
      <w:r w:rsidRPr="00160F37">
        <w:t xml:space="preserve"> </w:t>
      </w:r>
      <w:r w:rsidRPr="00D74F3E">
        <w:rPr>
          <w:sz w:val="20"/>
          <w:szCs w:val="20"/>
        </w:rPr>
        <w:t xml:space="preserve">Chan </w:t>
      </w:r>
      <w:r>
        <w:rPr>
          <w:sz w:val="20"/>
          <w:szCs w:val="20"/>
        </w:rPr>
        <w:t>ibid</w:t>
      </w:r>
      <w:r w:rsidRPr="00D74F3E">
        <w:rPr>
          <w:sz w:val="20"/>
          <w:szCs w:val="20"/>
        </w:rPr>
        <w:t xml:space="preserve"> 93.  For general critiques of the limits of informed consent, see J</w:t>
      </w:r>
      <w:r>
        <w:rPr>
          <w:sz w:val="20"/>
          <w:szCs w:val="20"/>
        </w:rPr>
        <w:t>ohan</w:t>
      </w:r>
      <w:r w:rsidRPr="00D74F3E">
        <w:rPr>
          <w:sz w:val="20"/>
          <w:szCs w:val="20"/>
        </w:rPr>
        <w:t xml:space="preserve"> Bester and E</w:t>
      </w:r>
      <w:r>
        <w:rPr>
          <w:sz w:val="20"/>
          <w:szCs w:val="20"/>
        </w:rPr>
        <w:t>ric</w:t>
      </w:r>
      <w:r w:rsidRPr="00D74F3E">
        <w:rPr>
          <w:sz w:val="20"/>
          <w:szCs w:val="20"/>
        </w:rPr>
        <w:t xml:space="preserve"> </w:t>
      </w:r>
      <w:proofErr w:type="spellStart"/>
      <w:r w:rsidRPr="00D74F3E">
        <w:rPr>
          <w:sz w:val="20"/>
          <w:szCs w:val="20"/>
        </w:rPr>
        <w:t>Kodish</w:t>
      </w:r>
      <w:proofErr w:type="spellEnd"/>
      <w:r w:rsidRPr="00D74F3E">
        <w:rPr>
          <w:sz w:val="20"/>
          <w:szCs w:val="20"/>
        </w:rPr>
        <w:t>, ‘</w:t>
      </w:r>
      <w:r w:rsidRPr="00D10DA3">
        <w:rPr>
          <w:rFonts w:eastAsia="Times New Roman"/>
          <w:bCs/>
          <w:sz w:val="20"/>
          <w:szCs w:val="20"/>
        </w:rPr>
        <w:t>The Limits of Informed Consent for an Overwhelmed Patient: Clinicians’ Role in Protecting Patients and Preventing Overwhelm’</w:t>
      </w:r>
      <w:r w:rsidRPr="00BD5C50">
        <w:rPr>
          <w:rFonts w:eastAsia="Times New Roman"/>
          <w:bCs/>
          <w:sz w:val="20"/>
          <w:szCs w:val="20"/>
        </w:rPr>
        <w:t xml:space="preserve"> </w:t>
      </w:r>
      <w:r w:rsidRPr="00BD5C50">
        <w:rPr>
          <w:sz w:val="20"/>
          <w:szCs w:val="20"/>
        </w:rPr>
        <w:t xml:space="preserve">(2016) 18(9) </w:t>
      </w:r>
      <w:r w:rsidRPr="00BD5C50">
        <w:rPr>
          <w:rStyle w:val="Emphasis"/>
          <w:sz w:val="20"/>
          <w:szCs w:val="20"/>
        </w:rPr>
        <w:t>AMA J Ethics</w:t>
      </w:r>
      <w:r w:rsidRPr="00BD5C50">
        <w:rPr>
          <w:sz w:val="20"/>
          <w:szCs w:val="20"/>
        </w:rPr>
        <w:t xml:space="preserve"> 869; </w:t>
      </w:r>
      <w:proofErr w:type="spellStart"/>
      <w:r w:rsidRPr="00BD5C50">
        <w:rPr>
          <w:sz w:val="20"/>
          <w:szCs w:val="20"/>
        </w:rPr>
        <w:t>O</w:t>
      </w:r>
      <w:r>
        <w:rPr>
          <w:sz w:val="20"/>
          <w:szCs w:val="20"/>
        </w:rPr>
        <w:t>nora</w:t>
      </w:r>
      <w:proofErr w:type="spellEnd"/>
      <w:r w:rsidRPr="00BD5C50">
        <w:rPr>
          <w:sz w:val="20"/>
          <w:szCs w:val="20"/>
        </w:rPr>
        <w:t xml:space="preserve"> O’Neill, ‘Some limits of informed consent.’ (2003) 29 </w:t>
      </w:r>
      <w:r w:rsidRPr="00BD5C50">
        <w:rPr>
          <w:i/>
          <w:iCs/>
          <w:sz w:val="20"/>
          <w:szCs w:val="20"/>
        </w:rPr>
        <w:t>J Med Ethics</w:t>
      </w:r>
      <w:r w:rsidRPr="00707B75">
        <w:rPr>
          <w:sz w:val="20"/>
          <w:szCs w:val="20"/>
        </w:rPr>
        <w:t xml:space="preserve"> 4; A</w:t>
      </w:r>
      <w:r>
        <w:rPr>
          <w:sz w:val="20"/>
          <w:szCs w:val="20"/>
        </w:rPr>
        <w:t>nn</w:t>
      </w:r>
      <w:r w:rsidRPr="00707B75">
        <w:rPr>
          <w:sz w:val="20"/>
          <w:szCs w:val="20"/>
        </w:rPr>
        <w:t xml:space="preserve"> Kelly “Research and the Subject: The Practice of Informed Consent” (2003) 26 </w:t>
      </w:r>
      <w:r w:rsidRPr="00707B75">
        <w:rPr>
          <w:i/>
          <w:iCs/>
          <w:sz w:val="20"/>
          <w:szCs w:val="20"/>
        </w:rPr>
        <w:t>Political and Legal Anthropology Review</w:t>
      </w:r>
      <w:r w:rsidRPr="00707B75">
        <w:rPr>
          <w:sz w:val="20"/>
          <w:szCs w:val="20"/>
        </w:rPr>
        <w:t xml:space="preserve"> 182; P</w:t>
      </w:r>
      <w:r>
        <w:rPr>
          <w:sz w:val="20"/>
          <w:szCs w:val="20"/>
        </w:rPr>
        <w:t>eter</w:t>
      </w:r>
      <w:r w:rsidRPr="00707B75">
        <w:rPr>
          <w:sz w:val="20"/>
          <w:szCs w:val="20"/>
        </w:rPr>
        <w:t xml:space="preserve"> Schuck, ‘Rethinking Informed Consent’ (1994) 103 </w:t>
      </w:r>
      <w:r w:rsidRPr="00707B75">
        <w:rPr>
          <w:i/>
          <w:sz w:val="20"/>
          <w:szCs w:val="20"/>
        </w:rPr>
        <w:t>Yale LJ</w:t>
      </w:r>
      <w:r w:rsidRPr="00707B75">
        <w:rPr>
          <w:sz w:val="20"/>
          <w:szCs w:val="20"/>
        </w:rPr>
        <w:t xml:space="preserve"> 899.</w:t>
      </w:r>
    </w:p>
    <w:p w14:paraId="09533E6C" w14:textId="77777777" w:rsidR="009967B5" w:rsidRPr="00EF75A9" w:rsidRDefault="009967B5" w:rsidP="00272699">
      <w:pPr>
        <w:pStyle w:val="FootnoteText"/>
        <w:rPr>
          <w:lang w:val="en-AU"/>
        </w:rPr>
      </w:pPr>
    </w:p>
  </w:footnote>
  <w:footnote w:id="73">
    <w:p w14:paraId="4AA1264F" w14:textId="78D497E6" w:rsidR="009967B5" w:rsidRPr="002F356E" w:rsidRDefault="009967B5" w:rsidP="00543625">
      <w:pPr>
        <w:pStyle w:val="FootnoteText"/>
        <w:rPr>
          <w:sz w:val="20"/>
          <w:szCs w:val="20"/>
          <w:lang w:val="en-AU"/>
        </w:rPr>
      </w:pPr>
      <w:r w:rsidRPr="00160F37">
        <w:rPr>
          <w:rStyle w:val="FootnoteReference"/>
        </w:rPr>
        <w:footnoteRef/>
      </w:r>
      <w:r w:rsidRPr="00160F37">
        <w:t xml:space="preserve"> </w:t>
      </w:r>
      <w:r w:rsidRPr="00D74F3E">
        <w:rPr>
          <w:i/>
          <w:sz w:val="20"/>
          <w:szCs w:val="20"/>
        </w:rPr>
        <w:t xml:space="preserve">Montgomery </w:t>
      </w:r>
      <w:r w:rsidRPr="00D10DA3">
        <w:rPr>
          <w:sz w:val="20"/>
          <w:szCs w:val="20"/>
        </w:rPr>
        <w:t>(n</w:t>
      </w:r>
      <w:r w:rsidRPr="0036607B">
        <w:rPr>
          <w:sz w:val="20"/>
          <w:szCs w:val="20"/>
          <w:lang w:val="en-AU"/>
        </w:rPr>
        <w:t>3)</w:t>
      </w:r>
      <w:r w:rsidRPr="002F356E">
        <w:rPr>
          <w:sz w:val="20"/>
          <w:szCs w:val="20"/>
          <w:lang w:val="en-AU"/>
        </w:rPr>
        <w:t xml:space="preserve"> [81].</w:t>
      </w:r>
    </w:p>
    <w:p w14:paraId="45121C0C" w14:textId="77777777" w:rsidR="009967B5" w:rsidRPr="00BD5C50" w:rsidRDefault="009967B5" w:rsidP="00543625">
      <w:pPr>
        <w:pStyle w:val="FootnoteText"/>
        <w:rPr>
          <w:lang w:val="en-AU"/>
        </w:rPr>
      </w:pPr>
    </w:p>
  </w:footnote>
  <w:footnote w:id="74">
    <w:p w14:paraId="2DB7D8BF" w14:textId="6DFAE3B1" w:rsidR="009967B5" w:rsidRPr="002F356E" w:rsidRDefault="009967B5">
      <w:pPr>
        <w:pStyle w:val="FootnoteText"/>
        <w:rPr>
          <w:sz w:val="20"/>
          <w:szCs w:val="20"/>
          <w:lang w:val="en-AU"/>
        </w:rPr>
      </w:pPr>
      <w:r w:rsidRPr="00160F37">
        <w:rPr>
          <w:rStyle w:val="FootnoteReference"/>
        </w:rPr>
        <w:footnoteRef/>
      </w:r>
      <w:r w:rsidRPr="00160F37">
        <w:t xml:space="preserve"> </w:t>
      </w:r>
      <w:r>
        <w:rPr>
          <w:iCs/>
          <w:sz w:val="20"/>
          <w:szCs w:val="20"/>
        </w:rPr>
        <w:t>I</w:t>
      </w:r>
      <w:r w:rsidRPr="006F51F4">
        <w:rPr>
          <w:iCs/>
          <w:sz w:val="20"/>
          <w:szCs w:val="20"/>
        </w:rPr>
        <w:t>bid</w:t>
      </w:r>
      <w:r w:rsidRPr="002F356E">
        <w:rPr>
          <w:sz w:val="20"/>
          <w:szCs w:val="20"/>
          <w:lang w:val="en-AU"/>
        </w:rPr>
        <w:t xml:space="preserve"> [83].</w:t>
      </w:r>
    </w:p>
    <w:p w14:paraId="6568756B" w14:textId="77777777" w:rsidR="009967B5" w:rsidRPr="00BD5C50" w:rsidRDefault="009967B5">
      <w:pPr>
        <w:pStyle w:val="FootnoteText"/>
        <w:rPr>
          <w:lang w:val="en-AU"/>
        </w:rPr>
      </w:pPr>
    </w:p>
  </w:footnote>
  <w:footnote w:id="75">
    <w:p w14:paraId="3F677938" w14:textId="0AE069E7" w:rsidR="009967B5" w:rsidRPr="00D74F3E" w:rsidRDefault="009967B5">
      <w:pPr>
        <w:pStyle w:val="FootnoteText"/>
        <w:rPr>
          <w:sz w:val="20"/>
          <w:szCs w:val="20"/>
          <w:lang w:val="en-AU"/>
        </w:rPr>
      </w:pPr>
      <w:r w:rsidRPr="00160F37">
        <w:rPr>
          <w:rStyle w:val="FootnoteReference"/>
        </w:rPr>
        <w:footnoteRef/>
      </w:r>
      <w:r w:rsidRPr="00160F37">
        <w:t xml:space="preserve"> </w:t>
      </w:r>
      <w:r w:rsidRPr="00D74F3E">
        <w:rPr>
          <w:sz w:val="20"/>
          <w:szCs w:val="20"/>
          <w:lang w:val="en-AU"/>
        </w:rPr>
        <w:t>Chan (n29) 117-118.</w:t>
      </w:r>
    </w:p>
    <w:p w14:paraId="092460DA" w14:textId="77777777" w:rsidR="009967B5" w:rsidRPr="00BD5C50" w:rsidRDefault="009967B5">
      <w:pPr>
        <w:pStyle w:val="FootnoteText"/>
        <w:rPr>
          <w:lang w:val="en-AU"/>
        </w:rPr>
      </w:pPr>
    </w:p>
  </w:footnote>
  <w:footnote w:id="76">
    <w:p w14:paraId="043357AC" w14:textId="10D5E92F" w:rsidR="009967B5" w:rsidRPr="00D10DA3" w:rsidRDefault="009967B5" w:rsidP="00D710A7">
      <w:pPr>
        <w:pStyle w:val="FootnoteText"/>
        <w:rPr>
          <w:sz w:val="20"/>
          <w:szCs w:val="20"/>
          <w:lang w:val="en-AU"/>
        </w:rPr>
      </w:pPr>
      <w:r w:rsidRPr="00160F37">
        <w:rPr>
          <w:rStyle w:val="FootnoteReference"/>
        </w:rPr>
        <w:footnoteRef/>
      </w:r>
      <w:r w:rsidRPr="00160F37">
        <w:t xml:space="preserve"> </w:t>
      </w:r>
      <w:r w:rsidRPr="00D10DA3">
        <w:rPr>
          <w:sz w:val="20"/>
          <w:szCs w:val="20"/>
          <w:lang w:val="en-AU"/>
        </w:rPr>
        <w:t>(n41) 939.</w:t>
      </w:r>
    </w:p>
    <w:p w14:paraId="493E3001" w14:textId="77777777" w:rsidR="009967B5" w:rsidRPr="00BD5C50" w:rsidRDefault="009967B5" w:rsidP="00D710A7">
      <w:pPr>
        <w:pStyle w:val="FootnoteText"/>
        <w:rPr>
          <w:lang w:val="en-AU"/>
        </w:rPr>
      </w:pPr>
    </w:p>
  </w:footnote>
  <w:footnote w:id="77">
    <w:p w14:paraId="43B36F8D" w14:textId="5D8EB1F8" w:rsidR="009967B5" w:rsidRPr="00BD5C50" w:rsidRDefault="009967B5" w:rsidP="00A039E0">
      <w:pPr>
        <w:spacing w:line="276" w:lineRule="auto"/>
        <w:jc w:val="both"/>
        <w:rPr>
          <w:sz w:val="20"/>
          <w:szCs w:val="20"/>
          <w:lang w:val="en-AU"/>
        </w:rPr>
      </w:pPr>
      <w:r w:rsidRPr="00160F37">
        <w:rPr>
          <w:rStyle w:val="FootnoteReference"/>
          <w:sz w:val="20"/>
          <w:szCs w:val="20"/>
        </w:rPr>
        <w:footnoteRef/>
      </w:r>
      <w:r w:rsidRPr="00160F37">
        <w:rPr>
          <w:sz w:val="20"/>
          <w:szCs w:val="20"/>
        </w:rPr>
        <w:t xml:space="preserve"> </w:t>
      </w:r>
      <w:r w:rsidRPr="00D74F3E">
        <w:rPr>
          <w:i/>
          <w:sz w:val="20"/>
          <w:szCs w:val="20"/>
          <w:lang w:val="en-AU"/>
        </w:rPr>
        <w:t>Montgomery</w:t>
      </w:r>
      <w:r w:rsidRPr="00D10DA3">
        <w:rPr>
          <w:sz w:val="20"/>
          <w:szCs w:val="20"/>
          <w:lang w:val="en-AU"/>
        </w:rPr>
        <w:t xml:space="preserve"> (n3)</w:t>
      </w:r>
      <w:r w:rsidRPr="0036607B">
        <w:rPr>
          <w:sz w:val="20"/>
          <w:szCs w:val="20"/>
          <w:lang w:val="en-AU"/>
        </w:rPr>
        <w:t xml:space="preserve"> [89]</w:t>
      </w:r>
      <w:r>
        <w:rPr>
          <w:sz w:val="20"/>
          <w:szCs w:val="20"/>
          <w:lang w:val="en-AU"/>
        </w:rPr>
        <w:t>.</w:t>
      </w:r>
      <w:r w:rsidRPr="0036607B">
        <w:rPr>
          <w:sz w:val="20"/>
          <w:szCs w:val="20"/>
          <w:lang w:val="en-AU"/>
        </w:rPr>
        <w:t xml:space="preserve"> By comparison, </w:t>
      </w:r>
      <w:proofErr w:type="spellStart"/>
      <w:r w:rsidRPr="0036607B">
        <w:rPr>
          <w:sz w:val="20"/>
          <w:szCs w:val="20"/>
          <w:lang w:val="en-AU"/>
        </w:rPr>
        <w:t>i</w:t>
      </w:r>
      <w:proofErr w:type="spellEnd"/>
      <w:r w:rsidRPr="002F356E">
        <w:rPr>
          <w:sz w:val="20"/>
          <w:szCs w:val="20"/>
          <w:lang w:val="en-GB"/>
        </w:rPr>
        <w:t xml:space="preserve">n </w:t>
      </w:r>
      <w:r w:rsidRPr="00504AE4">
        <w:rPr>
          <w:i/>
          <w:sz w:val="20"/>
          <w:szCs w:val="20"/>
          <w:lang w:val="en-GB"/>
        </w:rPr>
        <w:t xml:space="preserve">Rogers </w:t>
      </w:r>
      <w:r w:rsidRPr="002D018C">
        <w:rPr>
          <w:iCs/>
          <w:sz w:val="20"/>
          <w:szCs w:val="20"/>
        </w:rPr>
        <w:t xml:space="preserve">(n2) </w:t>
      </w:r>
      <w:r w:rsidRPr="009C1528">
        <w:rPr>
          <w:sz w:val="20"/>
          <w:szCs w:val="20"/>
        </w:rPr>
        <w:t xml:space="preserve">493, </w:t>
      </w:r>
      <w:r w:rsidRPr="00160F37">
        <w:rPr>
          <w:sz w:val="20"/>
          <w:szCs w:val="20"/>
          <w:lang w:val="en-GB"/>
        </w:rPr>
        <w:fldChar w:fldCharType="begin"/>
      </w:r>
      <w:r w:rsidRPr="00160F37">
        <w:rPr>
          <w:sz w:val="20"/>
          <w:szCs w:val="20"/>
          <w:lang w:val="en-GB"/>
        </w:rPr>
        <w:instrText>PRIVATE [[citation]]</w:instrText>
      </w:r>
      <w:r w:rsidRPr="00160F37">
        <w:rPr>
          <w:sz w:val="20"/>
          <w:szCs w:val="20"/>
          <w:lang w:val="en-GB"/>
        </w:rPr>
        <w:fldChar w:fldCharType="end"/>
      </w:r>
      <w:r w:rsidRPr="00160F37">
        <w:rPr>
          <w:sz w:val="20"/>
          <w:szCs w:val="20"/>
          <w:lang w:val="en-GB"/>
        </w:rPr>
        <w:fldChar w:fldCharType="begin"/>
      </w:r>
      <w:r w:rsidRPr="00160F37">
        <w:rPr>
          <w:sz w:val="20"/>
          <w:szCs w:val="20"/>
          <w:lang w:val="en-GB"/>
        </w:rPr>
        <w:instrText>PRIVATE [[citet</w:instrText>
      </w:r>
      <w:r w:rsidRPr="00D74F3E">
        <w:rPr>
          <w:sz w:val="20"/>
          <w:szCs w:val="20"/>
          <w:lang w:val="en-GB"/>
        </w:rPr>
        <w:instrText>itle pubwork="unknown" title="Rogers v Whitaker"]]</w:instrText>
      </w:r>
      <w:r w:rsidRPr="00160F37">
        <w:rPr>
          <w:sz w:val="20"/>
          <w:szCs w:val="20"/>
          <w:lang w:val="en-GB"/>
        </w:rPr>
        <w:fldChar w:fldCharType="end"/>
      </w:r>
      <w:r w:rsidRPr="00160F37">
        <w:rPr>
          <w:sz w:val="20"/>
          <w:szCs w:val="20"/>
          <w:lang w:val="en-GB"/>
        </w:rPr>
        <w:t xml:space="preserve">the Australian High Court pointed to the more general factors identified by King CJ in </w:t>
      </w:r>
      <w:r w:rsidRPr="00160F37">
        <w:rPr>
          <w:sz w:val="20"/>
          <w:szCs w:val="20"/>
          <w:lang w:val="en-GB"/>
        </w:rPr>
        <w:fldChar w:fldCharType="begin"/>
      </w:r>
      <w:r w:rsidRPr="00160F37">
        <w:rPr>
          <w:sz w:val="20"/>
          <w:szCs w:val="20"/>
          <w:lang w:val="en-GB"/>
        </w:rPr>
        <w:instrText>PRIVATE [[citation condition="full" title=" (1983) 33 SASR 189"]]</w:instrText>
      </w:r>
      <w:r w:rsidRPr="00160F37">
        <w:rPr>
          <w:sz w:val="20"/>
          <w:szCs w:val="20"/>
          <w:lang w:val="en-GB"/>
        </w:rPr>
        <w:fldChar w:fldCharType="end"/>
      </w:r>
      <w:r w:rsidRPr="00160F37">
        <w:rPr>
          <w:sz w:val="20"/>
          <w:szCs w:val="20"/>
          <w:lang w:val="en-GB"/>
        </w:rPr>
        <w:fldChar w:fldCharType="begin"/>
      </w:r>
      <w:r w:rsidRPr="00160F37">
        <w:rPr>
          <w:sz w:val="20"/>
          <w:szCs w:val="20"/>
          <w:lang w:val="en-GB"/>
        </w:rPr>
        <w:instrText>PRIVATE [[citetitle pubwork="case" condition="full</w:instrText>
      </w:r>
      <w:r w:rsidRPr="00D74F3E">
        <w:rPr>
          <w:sz w:val="20"/>
          <w:szCs w:val="20"/>
          <w:lang w:val="en-GB"/>
        </w:rPr>
        <w:instrText>" title="F v R"]]</w:instrText>
      </w:r>
      <w:r w:rsidRPr="00160F37">
        <w:rPr>
          <w:sz w:val="20"/>
          <w:szCs w:val="20"/>
          <w:lang w:val="en-GB"/>
        </w:rPr>
        <w:fldChar w:fldCharType="end"/>
      </w:r>
      <w:r w:rsidRPr="00160F37">
        <w:rPr>
          <w:sz w:val="20"/>
          <w:szCs w:val="20"/>
          <w:lang w:val="en-GB"/>
        </w:rPr>
        <w:fldChar w:fldCharType="begin"/>
      </w:r>
      <w:r w:rsidRPr="00160F37">
        <w:rPr>
          <w:sz w:val="20"/>
          <w:szCs w:val="20"/>
          <w:lang w:val="en-GB"/>
        </w:rPr>
        <w:instrText>PRIVATE [[/citetitle]]</w:instrText>
      </w:r>
      <w:r w:rsidRPr="00160F37">
        <w:rPr>
          <w:sz w:val="20"/>
          <w:szCs w:val="20"/>
          <w:lang w:val="en-GB"/>
        </w:rPr>
        <w:fldChar w:fldCharType="end"/>
      </w:r>
      <w:r w:rsidRPr="00160F37">
        <w:rPr>
          <w:sz w:val="20"/>
          <w:szCs w:val="20"/>
          <w:lang w:val="en-GB"/>
        </w:rPr>
        <w:fldChar w:fldCharType="begin"/>
      </w:r>
      <w:r w:rsidRPr="00160F37">
        <w:rPr>
          <w:sz w:val="20"/>
          <w:szCs w:val="20"/>
          <w:lang w:val="en-GB"/>
        </w:rPr>
        <w:instrText>PRIVATE [[/citation]]</w:instrText>
      </w:r>
      <w:r w:rsidRPr="00160F37">
        <w:rPr>
          <w:sz w:val="20"/>
          <w:szCs w:val="20"/>
          <w:lang w:val="en-GB"/>
        </w:rPr>
        <w:fldChar w:fldCharType="end"/>
      </w:r>
      <w:r w:rsidRPr="00160F37">
        <w:rPr>
          <w:sz w:val="20"/>
          <w:szCs w:val="20"/>
          <w:lang w:val="en-GB"/>
        </w:rPr>
        <w:fldChar w:fldCharType="begin"/>
      </w:r>
      <w:r w:rsidRPr="00160F37">
        <w:rPr>
          <w:sz w:val="20"/>
          <w:szCs w:val="20"/>
          <w:lang w:val="en-GB"/>
        </w:rPr>
        <w:instrText>PRIVATE [[citetitle pubwork="unknown" title="F v R"]]</w:instrText>
      </w:r>
      <w:r w:rsidRPr="00160F37">
        <w:rPr>
          <w:sz w:val="20"/>
          <w:szCs w:val="20"/>
          <w:lang w:val="en-GB"/>
        </w:rPr>
        <w:fldChar w:fldCharType="end"/>
      </w:r>
      <w:r w:rsidRPr="00160F37">
        <w:rPr>
          <w:i/>
          <w:iCs/>
          <w:sz w:val="20"/>
          <w:szCs w:val="20"/>
          <w:lang w:val="en-GB"/>
        </w:rPr>
        <w:t xml:space="preserve">F v R </w:t>
      </w:r>
      <w:r w:rsidRPr="00D74F3E">
        <w:rPr>
          <w:sz w:val="20"/>
          <w:szCs w:val="20"/>
        </w:rPr>
        <w:t xml:space="preserve">(1983) 33 SASR 189, 192-193 </w:t>
      </w:r>
      <w:r w:rsidRPr="00160F37">
        <w:rPr>
          <w:sz w:val="20"/>
          <w:szCs w:val="20"/>
          <w:lang w:val="en-GB"/>
        </w:rPr>
        <w:fldChar w:fldCharType="begin"/>
      </w:r>
      <w:r w:rsidRPr="00160F37">
        <w:rPr>
          <w:sz w:val="20"/>
          <w:szCs w:val="20"/>
          <w:lang w:val="en-GB"/>
        </w:rPr>
        <w:instrText>PRIVATE [[/citetitle]]</w:instrText>
      </w:r>
      <w:r w:rsidRPr="00160F37">
        <w:rPr>
          <w:sz w:val="20"/>
          <w:szCs w:val="20"/>
          <w:lang w:val="en-GB"/>
        </w:rPr>
        <w:fldChar w:fldCharType="end"/>
      </w:r>
      <w:r w:rsidRPr="00160F37">
        <w:rPr>
          <w:sz w:val="20"/>
          <w:szCs w:val="20"/>
          <w:lang w:val="en-GB"/>
        </w:rPr>
        <w:t>namely: the nature of the matter to be disclosed; the nature of the treatment;</w:t>
      </w:r>
      <w:r w:rsidRPr="00BD5C50">
        <w:rPr>
          <w:sz w:val="20"/>
          <w:szCs w:val="20"/>
          <w:lang w:val="en-GB"/>
        </w:rPr>
        <w:t xml:space="preserve"> the desire of the patient for information; the temperament and health of the patient; and the general surrounding circumstances. </w:t>
      </w:r>
    </w:p>
    <w:p w14:paraId="5FFE2517" w14:textId="77777777" w:rsidR="009967B5" w:rsidRPr="00BD5C50" w:rsidRDefault="009967B5" w:rsidP="00462FC1">
      <w:pPr>
        <w:pStyle w:val="FootnoteText"/>
        <w:tabs>
          <w:tab w:val="left" w:pos="8647"/>
        </w:tabs>
        <w:rPr>
          <w:sz w:val="20"/>
          <w:szCs w:val="20"/>
          <w:lang w:val="en-AU"/>
        </w:rPr>
      </w:pPr>
    </w:p>
  </w:footnote>
  <w:footnote w:id="78">
    <w:p w14:paraId="2315578A" w14:textId="46302ABD" w:rsidR="009967B5" w:rsidRPr="00A34F6B" w:rsidRDefault="009967B5" w:rsidP="00DD7366">
      <w:pPr>
        <w:pStyle w:val="FootnoteText"/>
        <w:rPr>
          <w:sz w:val="20"/>
          <w:szCs w:val="20"/>
        </w:rPr>
      </w:pPr>
      <w:r w:rsidRPr="00160F37">
        <w:rPr>
          <w:rStyle w:val="FootnoteReference"/>
          <w:sz w:val="20"/>
          <w:szCs w:val="20"/>
        </w:rPr>
        <w:footnoteRef/>
      </w:r>
      <w:r w:rsidRPr="00160F37">
        <w:rPr>
          <w:sz w:val="20"/>
          <w:szCs w:val="20"/>
        </w:rPr>
        <w:t xml:space="preserve"> </w:t>
      </w:r>
      <w:r w:rsidRPr="00D74F3E">
        <w:rPr>
          <w:i/>
          <w:sz w:val="20"/>
          <w:szCs w:val="20"/>
        </w:rPr>
        <w:t>Montgomery</w:t>
      </w:r>
      <w:r w:rsidRPr="00D10DA3">
        <w:rPr>
          <w:sz w:val="20"/>
          <w:szCs w:val="20"/>
        </w:rPr>
        <w:t xml:space="preserve"> (n3)</w:t>
      </w:r>
      <w:r w:rsidRPr="002F356E">
        <w:rPr>
          <w:sz w:val="20"/>
          <w:szCs w:val="20"/>
        </w:rPr>
        <w:t xml:space="preserve"> [90]. See also </w:t>
      </w:r>
      <w:r w:rsidRPr="00504AE4">
        <w:rPr>
          <w:i/>
          <w:sz w:val="20"/>
          <w:szCs w:val="20"/>
        </w:rPr>
        <w:t>Rogers</w:t>
      </w:r>
      <w:r w:rsidRPr="002D018C">
        <w:rPr>
          <w:sz w:val="20"/>
          <w:szCs w:val="20"/>
        </w:rPr>
        <w:t xml:space="preserve"> (n2) [14]; </w:t>
      </w:r>
      <w:proofErr w:type="spellStart"/>
      <w:r w:rsidRPr="002831C4">
        <w:rPr>
          <w:i/>
          <w:sz w:val="20"/>
          <w:szCs w:val="20"/>
          <w:lang w:val="en-GB"/>
        </w:rPr>
        <w:t>Morocz</w:t>
      </w:r>
      <w:proofErr w:type="spellEnd"/>
      <w:r w:rsidRPr="002831C4">
        <w:rPr>
          <w:i/>
          <w:sz w:val="20"/>
          <w:szCs w:val="20"/>
          <w:lang w:val="en-GB"/>
        </w:rPr>
        <w:t xml:space="preserve"> v </w:t>
      </w:r>
      <w:proofErr w:type="spellStart"/>
      <w:r w:rsidRPr="002831C4">
        <w:rPr>
          <w:i/>
          <w:sz w:val="20"/>
          <w:szCs w:val="20"/>
          <w:lang w:val="en-GB"/>
        </w:rPr>
        <w:t>Marshman</w:t>
      </w:r>
      <w:proofErr w:type="spellEnd"/>
      <w:r w:rsidRPr="00A34F6B">
        <w:rPr>
          <w:sz w:val="20"/>
          <w:szCs w:val="20"/>
        </w:rPr>
        <w:t xml:space="preserve"> [2015] NSWC 325, [102].</w:t>
      </w:r>
    </w:p>
    <w:p w14:paraId="04CC1471" w14:textId="77777777" w:rsidR="009967B5" w:rsidRPr="00BD5C50" w:rsidRDefault="009967B5" w:rsidP="00DD7366">
      <w:pPr>
        <w:pStyle w:val="FootnoteText"/>
        <w:rPr>
          <w:sz w:val="20"/>
          <w:szCs w:val="20"/>
        </w:rPr>
      </w:pPr>
    </w:p>
  </w:footnote>
  <w:footnote w:id="79">
    <w:p w14:paraId="78A1F19B" w14:textId="3EDEC87C" w:rsidR="009967B5" w:rsidRPr="00160F37" w:rsidRDefault="009967B5" w:rsidP="0089110D">
      <w:pPr>
        <w:pStyle w:val="FootnoteText"/>
        <w:rPr>
          <w:sz w:val="20"/>
          <w:szCs w:val="20"/>
        </w:rPr>
      </w:pPr>
      <w:r w:rsidRPr="00160F37">
        <w:rPr>
          <w:rStyle w:val="FootnoteReference"/>
          <w:sz w:val="20"/>
          <w:szCs w:val="20"/>
        </w:rPr>
        <w:footnoteRef/>
      </w:r>
      <w:r w:rsidRPr="00160F37">
        <w:rPr>
          <w:sz w:val="20"/>
          <w:szCs w:val="20"/>
        </w:rPr>
        <w:t xml:space="preserve"> </w:t>
      </w:r>
      <w:r w:rsidRPr="00D74F3E">
        <w:rPr>
          <w:sz w:val="20"/>
          <w:szCs w:val="20"/>
          <w:lang w:val="en-AU"/>
        </w:rPr>
        <w:t>G</w:t>
      </w:r>
      <w:r w:rsidRPr="00D10DA3">
        <w:rPr>
          <w:sz w:val="20"/>
          <w:szCs w:val="20"/>
          <w:lang w:val="en-AU"/>
        </w:rPr>
        <w:t xml:space="preserve">uidelines are however available: </w:t>
      </w:r>
      <w:r w:rsidRPr="002F356E">
        <w:rPr>
          <w:sz w:val="20"/>
          <w:szCs w:val="20"/>
        </w:rPr>
        <w:t xml:space="preserve">GMC, </w:t>
      </w:r>
      <w:r w:rsidRPr="002F356E">
        <w:rPr>
          <w:i/>
          <w:sz w:val="20"/>
          <w:szCs w:val="20"/>
        </w:rPr>
        <w:t>Good Medical Practice</w:t>
      </w:r>
      <w:r w:rsidRPr="00504AE4">
        <w:rPr>
          <w:sz w:val="20"/>
          <w:szCs w:val="20"/>
        </w:rPr>
        <w:t xml:space="preserve"> </w:t>
      </w:r>
      <w:r w:rsidRPr="00D36D5B">
        <w:rPr>
          <w:sz w:val="20"/>
          <w:szCs w:val="20"/>
        </w:rPr>
        <w:t>(2014)</w:t>
      </w:r>
      <w:r w:rsidRPr="00504AE4">
        <w:rPr>
          <w:sz w:val="20"/>
          <w:szCs w:val="20"/>
        </w:rPr>
        <w:t xml:space="preserve"> </w:t>
      </w:r>
      <w:hyperlink r:id="rId6" w:history="1">
        <w:r w:rsidRPr="006F51F4">
          <w:rPr>
            <w:rStyle w:val="Hyperlink"/>
            <w:color w:val="auto"/>
            <w:sz w:val="20"/>
            <w:szCs w:val="20"/>
          </w:rPr>
          <w:t>https://www.gmc-uk.org/ethical-guidance/ethical-guidance-for-doctors/good-medical-practice</w:t>
        </w:r>
      </w:hyperlink>
      <w:r>
        <w:rPr>
          <w:rStyle w:val="Hyperlink"/>
          <w:color w:val="auto"/>
          <w:sz w:val="20"/>
          <w:szCs w:val="20"/>
        </w:rPr>
        <w:t xml:space="preserve"> (access 9 October 2018)</w:t>
      </w:r>
      <w:r w:rsidRPr="00160F37">
        <w:rPr>
          <w:sz w:val="20"/>
          <w:szCs w:val="20"/>
        </w:rPr>
        <w:t xml:space="preserve">. In Australia see: National Health and Medical Research Council (NHMRC) ‘General Guidelines for Medical Practitioners on Providing Information to Patients’, (2004)  </w:t>
      </w:r>
      <w:hyperlink r:id="rId7" w:history="1">
        <w:r w:rsidRPr="006F51F4">
          <w:rPr>
            <w:rStyle w:val="Hyperlink"/>
            <w:color w:val="auto"/>
            <w:sz w:val="20"/>
            <w:szCs w:val="20"/>
          </w:rPr>
          <w:t>https://www.nhmrc.gov.au/guidelines-publications/e57</w:t>
        </w:r>
      </w:hyperlink>
      <w:r w:rsidRPr="00160F37">
        <w:rPr>
          <w:sz w:val="20"/>
          <w:szCs w:val="20"/>
        </w:rPr>
        <w:t xml:space="preserve">; NHMRC ‘Communicating with Patients: Advice for Medical Practitioners’, (2004) </w:t>
      </w:r>
      <w:hyperlink r:id="rId8" w:history="1">
        <w:r w:rsidRPr="006F51F4">
          <w:rPr>
            <w:rStyle w:val="Hyperlink"/>
            <w:color w:val="auto"/>
            <w:sz w:val="20"/>
            <w:szCs w:val="20"/>
          </w:rPr>
          <w:t>https://www.nhmrc.gov.au/guidelines-publications/e58</w:t>
        </w:r>
      </w:hyperlink>
      <w:r w:rsidRPr="006F51F4">
        <w:rPr>
          <w:rStyle w:val="Hyperlink"/>
          <w:color w:val="auto"/>
          <w:sz w:val="20"/>
          <w:szCs w:val="20"/>
        </w:rPr>
        <w:t xml:space="preserve">. </w:t>
      </w:r>
    </w:p>
    <w:p w14:paraId="77BEC82F" w14:textId="77777777" w:rsidR="009967B5" w:rsidRPr="00BD5C50" w:rsidRDefault="009967B5" w:rsidP="0089110D">
      <w:pPr>
        <w:pStyle w:val="FootnoteText"/>
        <w:rPr>
          <w:sz w:val="20"/>
          <w:szCs w:val="20"/>
          <w:lang w:val="en-AU"/>
        </w:rPr>
      </w:pPr>
    </w:p>
  </w:footnote>
  <w:footnote w:id="80">
    <w:p w14:paraId="164875CF" w14:textId="082138D2" w:rsidR="009967B5" w:rsidRPr="00D74F3E" w:rsidRDefault="009967B5">
      <w:pPr>
        <w:pStyle w:val="FootnoteText"/>
        <w:rPr>
          <w:sz w:val="20"/>
          <w:szCs w:val="20"/>
        </w:rPr>
      </w:pPr>
      <w:r w:rsidRPr="00160F37">
        <w:rPr>
          <w:rStyle w:val="FootnoteReference"/>
          <w:sz w:val="20"/>
          <w:szCs w:val="20"/>
        </w:rPr>
        <w:footnoteRef/>
      </w:r>
      <w:r w:rsidRPr="00160F37">
        <w:rPr>
          <w:sz w:val="20"/>
          <w:szCs w:val="20"/>
        </w:rPr>
        <w:t xml:space="preserve"> [2005] EWH</w:t>
      </w:r>
      <w:r w:rsidRPr="00D74F3E">
        <w:rPr>
          <w:sz w:val="20"/>
          <w:szCs w:val="20"/>
        </w:rPr>
        <w:t>C 206.</w:t>
      </w:r>
    </w:p>
    <w:p w14:paraId="0B321783" w14:textId="77777777" w:rsidR="009967B5" w:rsidRPr="00BD5C50" w:rsidRDefault="009967B5" w:rsidP="00462FC1">
      <w:pPr>
        <w:pStyle w:val="FootnoteText"/>
        <w:rPr>
          <w:sz w:val="20"/>
          <w:szCs w:val="20"/>
        </w:rPr>
      </w:pPr>
    </w:p>
  </w:footnote>
  <w:footnote w:id="81">
    <w:p w14:paraId="3FB79142" w14:textId="13E704F6" w:rsidR="009967B5" w:rsidRPr="00707B75" w:rsidRDefault="009967B5" w:rsidP="002F4386">
      <w:pPr>
        <w:jc w:val="both"/>
        <w:rPr>
          <w:sz w:val="20"/>
          <w:szCs w:val="20"/>
        </w:rPr>
      </w:pPr>
      <w:r w:rsidRPr="00160F37">
        <w:rPr>
          <w:rStyle w:val="FootnoteReference"/>
          <w:sz w:val="20"/>
          <w:szCs w:val="20"/>
        </w:rPr>
        <w:footnoteRef/>
      </w:r>
      <w:r w:rsidRPr="00160F37">
        <w:rPr>
          <w:sz w:val="20"/>
          <w:szCs w:val="20"/>
        </w:rPr>
        <w:t xml:space="preserve"> Whether </w:t>
      </w:r>
      <w:r w:rsidRPr="00D74F3E">
        <w:rPr>
          <w:i/>
          <w:sz w:val="20"/>
          <w:szCs w:val="20"/>
        </w:rPr>
        <w:t xml:space="preserve">Al </w:t>
      </w:r>
      <w:proofErr w:type="spellStart"/>
      <w:r w:rsidRPr="00D74F3E">
        <w:rPr>
          <w:i/>
          <w:sz w:val="20"/>
          <w:szCs w:val="20"/>
        </w:rPr>
        <w:t>Hamwi</w:t>
      </w:r>
      <w:proofErr w:type="spellEnd"/>
      <w:r w:rsidRPr="00D10DA3">
        <w:rPr>
          <w:sz w:val="20"/>
          <w:szCs w:val="20"/>
        </w:rPr>
        <w:t xml:space="preserve"> remains good law </w:t>
      </w:r>
      <w:r>
        <w:rPr>
          <w:sz w:val="20"/>
          <w:szCs w:val="20"/>
        </w:rPr>
        <w:t>after</w:t>
      </w:r>
      <w:r w:rsidRPr="00D10DA3">
        <w:rPr>
          <w:sz w:val="20"/>
          <w:szCs w:val="20"/>
        </w:rPr>
        <w:t xml:space="preserve"> </w:t>
      </w:r>
      <w:r w:rsidRPr="002F356E">
        <w:rPr>
          <w:i/>
          <w:sz w:val="20"/>
          <w:szCs w:val="20"/>
        </w:rPr>
        <w:t>Montgomery</w:t>
      </w:r>
      <w:r w:rsidRPr="002F356E">
        <w:rPr>
          <w:sz w:val="20"/>
          <w:szCs w:val="20"/>
        </w:rPr>
        <w:t xml:space="preserve"> is uncertain.  How understanding in negligence overlaps with understanding in the </w:t>
      </w:r>
      <w:r w:rsidRPr="00BD5C50">
        <w:rPr>
          <w:i/>
          <w:sz w:val="20"/>
          <w:szCs w:val="20"/>
        </w:rPr>
        <w:t xml:space="preserve">Mental Capacity Act 2005 </w:t>
      </w:r>
      <w:r w:rsidRPr="00F865D2">
        <w:rPr>
          <w:sz w:val="20"/>
          <w:szCs w:val="20"/>
        </w:rPr>
        <w:t>(UK) is also under-considered.  For more detailed discussion, see M</w:t>
      </w:r>
      <w:r>
        <w:rPr>
          <w:sz w:val="20"/>
          <w:szCs w:val="20"/>
        </w:rPr>
        <w:t>ichael</w:t>
      </w:r>
      <w:r w:rsidRPr="00F865D2">
        <w:rPr>
          <w:sz w:val="20"/>
          <w:szCs w:val="20"/>
        </w:rPr>
        <w:t xml:space="preserve"> Fay and </w:t>
      </w:r>
      <w:r w:rsidRPr="00D36D5B">
        <w:rPr>
          <w:sz w:val="20"/>
          <w:szCs w:val="20"/>
        </w:rPr>
        <w:t>C</w:t>
      </w:r>
      <w:r>
        <w:rPr>
          <w:sz w:val="20"/>
          <w:szCs w:val="20"/>
        </w:rPr>
        <w:t>laire</w:t>
      </w:r>
      <w:r w:rsidRPr="00F865D2">
        <w:rPr>
          <w:sz w:val="20"/>
          <w:szCs w:val="20"/>
        </w:rPr>
        <w:t xml:space="preserve"> Melia,</w:t>
      </w:r>
      <w:r w:rsidRPr="00707B75">
        <w:rPr>
          <w:sz w:val="20"/>
          <w:szCs w:val="20"/>
        </w:rPr>
        <w:t xml:space="preserve"> ‘Beyond Montgomery: doctor-patient relations and the legal standard of effective communication’ (forthcoming). </w:t>
      </w:r>
      <w:r w:rsidRPr="00707B75">
        <w:rPr>
          <w:sz w:val="20"/>
          <w:szCs w:val="20"/>
          <w:lang w:val="en-GB"/>
        </w:rPr>
        <w:t xml:space="preserve">In Australia, at least for non-English speaking patients, it has been held that the duty requires doctors to ‘take reasonable care to ensure that the material risks attending the surgical procedure were conveyed to the claimant’ and need for translation may make it ‘necessary for the practitioners to satisfy themselves that the substance of the information conveyed’: </w:t>
      </w:r>
      <w:r w:rsidRPr="00707B75">
        <w:rPr>
          <w:i/>
          <w:sz w:val="20"/>
          <w:szCs w:val="20"/>
        </w:rPr>
        <w:t xml:space="preserve">Biggs v George </w:t>
      </w:r>
      <w:r w:rsidRPr="00707B75">
        <w:rPr>
          <w:sz w:val="20"/>
          <w:szCs w:val="20"/>
        </w:rPr>
        <w:t>[2016] NSWCA 113, [28].</w:t>
      </w:r>
    </w:p>
    <w:p w14:paraId="4A4DB60C" w14:textId="77777777" w:rsidR="009967B5" w:rsidRPr="00EF75A9" w:rsidRDefault="009967B5">
      <w:pPr>
        <w:pStyle w:val="FootnoteText"/>
        <w:rPr>
          <w:sz w:val="20"/>
          <w:szCs w:val="20"/>
        </w:rPr>
      </w:pPr>
    </w:p>
  </w:footnote>
  <w:footnote w:id="82">
    <w:p w14:paraId="05596314" w14:textId="5171D81D" w:rsidR="009967B5" w:rsidRPr="00160F37" w:rsidRDefault="009967B5" w:rsidP="00462FC1">
      <w:pPr>
        <w:pStyle w:val="FootnoteText"/>
        <w:spacing w:line="276" w:lineRule="auto"/>
        <w:rPr>
          <w:sz w:val="20"/>
          <w:szCs w:val="20"/>
        </w:rPr>
      </w:pPr>
      <w:r w:rsidRPr="00160F37">
        <w:rPr>
          <w:rStyle w:val="FootnoteReference"/>
          <w:sz w:val="20"/>
          <w:szCs w:val="20"/>
        </w:rPr>
        <w:footnoteRef/>
      </w:r>
      <w:r w:rsidRPr="00160F37">
        <w:rPr>
          <w:sz w:val="20"/>
          <w:szCs w:val="20"/>
        </w:rPr>
        <w:t xml:space="preserve"> </w:t>
      </w:r>
      <w:hyperlink r:id="rId9" w:history="1">
        <w:r w:rsidRPr="00E92516">
          <w:rPr>
            <w:rStyle w:val="Hyperlink"/>
            <w:i/>
            <w:iCs/>
            <w:color w:val="auto"/>
            <w:sz w:val="20"/>
            <w:szCs w:val="20"/>
            <w:lang w:eastAsia="en-AU"/>
          </w:rPr>
          <w:t>Great Ormond Street Hospital v Yates &amp; Gard</w:t>
        </w:r>
      </w:hyperlink>
      <w:r w:rsidRPr="00E92516">
        <w:rPr>
          <w:sz w:val="20"/>
          <w:szCs w:val="20"/>
          <w:lang w:eastAsia="en-AU"/>
        </w:rPr>
        <w:t xml:space="preserve"> [2017] EWHC 1909 (Fam).</w:t>
      </w:r>
      <w:r>
        <w:rPr>
          <w:sz w:val="20"/>
          <w:szCs w:val="20"/>
          <w:lang w:eastAsia="en-AU"/>
        </w:rPr>
        <w:t xml:space="preserve"> </w:t>
      </w:r>
      <w:r w:rsidRPr="00160F37">
        <w:rPr>
          <w:sz w:val="20"/>
          <w:szCs w:val="20"/>
        </w:rPr>
        <w:t>See Montgomery’s contribution to this special issue.</w:t>
      </w:r>
    </w:p>
    <w:p w14:paraId="26548788" w14:textId="77777777" w:rsidR="009967B5" w:rsidRPr="00BD5C50" w:rsidRDefault="009967B5" w:rsidP="00A40079">
      <w:pPr>
        <w:pStyle w:val="FootnoteText"/>
        <w:spacing w:line="276" w:lineRule="auto"/>
        <w:rPr>
          <w:sz w:val="20"/>
          <w:szCs w:val="20"/>
        </w:rPr>
      </w:pPr>
    </w:p>
  </w:footnote>
  <w:footnote w:id="83">
    <w:p w14:paraId="576313AD" w14:textId="4FCB637A" w:rsidR="009967B5" w:rsidRPr="00D10DA3" w:rsidRDefault="009967B5">
      <w:pPr>
        <w:pStyle w:val="FootnoteText"/>
        <w:rPr>
          <w:sz w:val="20"/>
          <w:szCs w:val="20"/>
        </w:rPr>
      </w:pPr>
      <w:r w:rsidRPr="00160F37">
        <w:rPr>
          <w:rStyle w:val="FootnoteReference"/>
          <w:sz w:val="20"/>
          <w:szCs w:val="20"/>
        </w:rPr>
        <w:footnoteRef/>
      </w:r>
      <w:r w:rsidRPr="00160F37">
        <w:rPr>
          <w:sz w:val="20"/>
          <w:szCs w:val="20"/>
        </w:rPr>
        <w:t xml:space="preserve"> </w:t>
      </w:r>
      <w:r w:rsidRPr="00D74F3E">
        <w:rPr>
          <w:i/>
          <w:sz w:val="20"/>
          <w:szCs w:val="20"/>
        </w:rPr>
        <w:t>Evans v Alder Hey</w:t>
      </w:r>
      <w:r w:rsidRPr="00D10DA3">
        <w:rPr>
          <w:sz w:val="20"/>
          <w:szCs w:val="20"/>
        </w:rPr>
        <w:t xml:space="preserve"> [2018] EWCA 984 (</w:t>
      </w:r>
      <w:proofErr w:type="spellStart"/>
      <w:r w:rsidRPr="00D10DA3">
        <w:rPr>
          <w:sz w:val="20"/>
          <w:szCs w:val="20"/>
        </w:rPr>
        <w:t>Civ</w:t>
      </w:r>
      <w:proofErr w:type="spellEnd"/>
      <w:r w:rsidRPr="00D10DA3">
        <w:rPr>
          <w:sz w:val="20"/>
          <w:szCs w:val="20"/>
        </w:rPr>
        <w:t>).</w:t>
      </w:r>
    </w:p>
    <w:p w14:paraId="5D23B0F5" w14:textId="77777777" w:rsidR="009967B5" w:rsidRPr="00BD5C50" w:rsidRDefault="009967B5">
      <w:pPr>
        <w:pStyle w:val="FootnoteText"/>
        <w:rPr>
          <w:sz w:val="20"/>
          <w:szCs w:val="20"/>
        </w:rPr>
      </w:pPr>
    </w:p>
  </w:footnote>
  <w:footnote w:id="84">
    <w:p w14:paraId="39B9E339" w14:textId="2A209768" w:rsidR="009967B5" w:rsidRPr="006F51F4" w:rsidRDefault="009967B5">
      <w:pPr>
        <w:pStyle w:val="Default"/>
        <w:jc w:val="both"/>
        <w:rPr>
          <w:color w:val="auto"/>
          <w:sz w:val="20"/>
          <w:szCs w:val="20"/>
        </w:rPr>
      </w:pPr>
      <w:r w:rsidRPr="006F51F4">
        <w:rPr>
          <w:rStyle w:val="FootnoteReference"/>
          <w:color w:val="auto"/>
          <w:sz w:val="20"/>
          <w:szCs w:val="20"/>
        </w:rPr>
        <w:footnoteRef/>
      </w:r>
      <w:r w:rsidRPr="006F51F4">
        <w:rPr>
          <w:color w:val="auto"/>
          <w:sz w:val="20"/>
          <w:szCs w:val="20"/>
        </w:rPr>
        <w:t xml:space="preserve"> </w:t>
      </w:r>
      <w:r w:rsidRPr="006F51F4">
        <w:rPr>
          <w:rFonts w:ascii="Times New Roman" w:hAnsi="Times New Roman" w:cs="Times New Roman"/>
          <w:color w:val="auto"/>
          <w:sz w:val="20"/>
          <w:szCs w:val="20"/>
        </w:rPr>
        <w:t xml:space="preserve">Layla was successfully treated for </w:t>
      </w:r>
      <w:r w:rsidRPr="006F51F4">
        <w:rPr>
          <w:rFonts w:ascii="Times New Roman" w:hAnsi="Times New Roman" w:cs="Times New Roman"/>
          <w:color w:val="auto"/>
          <w:sz w:val="20"/>
          <w:szCs w:val="20"/>
          <w:lang w:val="en-GB"/>
        </w:rPr>
        <w:t xml:space="preserve">lymphoblastic </w:t>
      </w:r>
      <w:proofErr w:type="spellStart"/>
      <w:r w:rsidRPr="006F51F4">
        <w:rPr>
          <w:rFonts w:ascii="Times New Roman" w:hAnsi="Times New Roman" w:cs="Times New Roman"/>
          <w:color w:val="auto"/>
          <w:sz w:val="20"/>
          <w:szCs w:val="20"/>
          <w:lang w:val="en-GB"/>
        </w:rPr>
        <w:t>leukemia</w:t>
      </w:r>
      <w:proofErr w:type="spellEnd"/>
      <w:r w:rsidRPr="006F51F4">
        <w:rPr>
          <w:rFonts w:ascii="Times New Roman" w:hAnsi="Times New Roman" w:cs="Times New Roman"/>
          <w:color w:val="auto"/>
          <w:sz w:val="20"/>
          <w:szCs w:val="20"/>
        </w:rPr>
        <w:t xml:space="preserve"> using a novel, untested therapy (involving a</w:t>
      </w:r>
      <w:r w:rsidRPr="00160F37">
        <w:rPr>
          <w:rFonts w:ascii="Times New Roman" w:hAnsi="Times New Roman" w:cs="Times New Roman"/>
          <w:color w:val="auto"/>
          <w:sz w:val="20"/>
          <w:szCs w:val="20"/>
        </w:rPr>
        <w:t>n infusion of another person’s immune cell</w:t>
      </w:r>
      <w:r w:rsidRPr="00D74F3E">
        <w:rPr>
          <w:rFonts w:ascii="Times New Roman" w:hAnsi="Times New Roman" w:cs="Times New Roman"/>
          <w:color w:val="auto"/>
          <w:sz w:val="20"/>
          <w:szCs w:val="20"/>
        </w:rPr>
        <w:t xml:space="preserve">s which had been </w:t>
      </w:r>
      <w:hyperlink r:id="rId10" w:history="1">
        <w:r w:rsidRPr="00D74F3E">
          <w:rPr>
            <w:rFonts w:ascii="Times New Roman" w:hAnsi="Times New Roman" w:cs="Times New Roman"/>
            <w:color w:val="auto"/>
            <w:sz w:val="20"/>
            <w:szCs w:val="20"/>
          </w:rPr>
          <w:t>genetically altered</w:t>
        </w:r>
      </w:hyperlink>
      <w:r w:rsidRPr="00160F37">
        <w:rPr>
          <w:rFonts w:ascii="Times New Roman" w:hAnsi="Times New Roman" w:cs="Times New Roman"/>
          <w:color w:val="auto"/>
          <w:sz w:val="20"/>
          <w:szCs w:val="20"/>
        </w:rPr>
        <w:t>):</w:t>
      </w:r>
      <w:r w:rsidRPr="006F51F4">
        <w:rPr>
          <w:rFonts w:ascii="Times New Roman" w:hAnsi="Times New Roman" w:cs="Times New Roman"/>
          <w:color w:val="auto"/>
          <w:sz w:val="20"/>
          <w:szCs w:val="20"/>
        </w:rPr>
        <w:t xml:space="preserve"> </w:t>
      </w:r>
      <w:hyperlink r:id="rId11" w:anchor="auth-1" w:history="1">
        <w:r w:rsidRPr="00D74F3E">
          <w:rPr>
            <w:rFonts w:ascii="Times New Roman" w:hAnsi="Times New Roman" w:cs="Times New Roman"/>
            <w:color w:val="auto"/>
            <w:sz w:val="20"/>
            <w:szCs w:val="20"/>
          </w:rPr>
          <w:t>Sara Reardon</w:t>
        </w:r>
      </w:hyperlink>
      <w:r w:rsidRPr="006F51F4">
        <w:rPr>
          <w:rFonts w:ascii="Times New Roman" w:hAnsi="Times New Roman" w:cs="Times New Roman"/>
          <w:color w:val="auto"/>
          <w:sz w:val="20"/>
          <w:szCs w:val="20"/>
        </w:rPr>
        <w:t>, ‘</w:t>
      </w:r>
      <w:r w:rsidRPr="00160F37">
        <w:rPr>
          <w:rFonts w:ascii="Times New Roman" w:eastAsia="Times New Roman" w:hAnsi="Times New Roman" w:cs="Times New Roman"/>
          <w:bCs/>
          <w:color w:val="auto"/>
          <w:kern w:val="36"/>
          <w:sz w:val="20"/>
          <w:szCs w:val="20"/>
          <w:lang w:eastAsia="en-AU"/>
        </w:rPr>
        <w:t xml:space="preserve">Leukaemia success heralds wave of gene-editing therapies’ (2015) 527 </w:t>
      </w:r>
      <w:r w:rsidRPr="00D74F3E">
        <w:rPr>
          <w:rFonts w:ascii="Times New Roman" w:eastAsia="Times New Roman" w:hAnsi="Times New Roman" w:cs="Times New Roman"/>
          <w:bCs/>
          <w:i/>
          <w:color w:val="auto"/>
          <w:kern w:val="36"/>
          <w:sz w:val="20"/>
          <w:szCs w:val="20"/>
          <w:lang w:eastAsia="en-AU"/>
        </w:rPr>
        <w:t>Nature</w:t>
      </w:r>
      <w:r w:rsidRPr="00D10DA3">
        <w:rPr>
          <w:rFonts w:ascii="Times New Roman" w:eastAsia="Times New Roman" w:hAnsi="Times New Roman" w:cs="Times New Roman"/>
          <w:bCs/>
          <w:color w:val="auto"/>
          <w:kern w:val="36"/>
          <w:sz w:val="20"/>
          <w:szCs w:val="20"/>
          <w:lang w:eastAsia="en-AU"/>
        </w:rPr>
        <w:t xml:space="preserve"> 146</w:t>
      </w:r>
      <w:r w:rsidRPr="006F51F4">
        <w:rPr>
          <w:color w:val="auto"/>
          <w:sz w:val="20"/>
          <w:szCs w:val="20"/>
        </w:rPr>
        <w:t>.</w:t>
      </w:r>
    </w:p>
    <w:p w14:paraId="12514BDC" w14:textId="77777777" w:rsidR="009967B5" w:rsidRPr="006F51F4" w:rsidRDefault="009967B5">
      <w:pPr>
        <w:pStyle w:val="Default"/>
        <w:rPr>
          <w:color w:val="auto"/>
          <w:sz w:val="20"/>
          <w:szCs w:val="20"/>
        </w:rPr>
      </w:pPr>
    </w:p>
  </w:footnote>
  <w:footnote w:id="85">
    <w:p w14:paraId="17FABE56" w14:textId="37CDC867" w:rsidR="009967B5" w:rsidRPr="00160F37" w:rsidRDefault="009967B5" w:rsidP="00A40079">
      <w:pPr>
        <w:pStyle w:val="FootnoteText"/>
        <w:rPr>
          <w:sz w:val="20"/>
          <w:szCs w:val="20"/>
        </w:rPr>
      </w:pPr>
      <w:r w:rsidRPr="00160F37">
        <w:rPr>
          <w:rStyle w:val="FootnoteReference"/>
          <w:sz w:val="20"/>
          <w:szCs w:val="20"/>
        </w:rPr>
        <w:footnoteRef/>
      </w:r>
      <w:r w:rsidRPr="00160F37">
        <w:rPr>
          <w:sz w:val="20"/>
          <w:szCs w:val="20"/>
        </w:rPr>
        <w:t xml:space="preserve"> William Kremer, ‘Paolo </w:t>
      </w:r>
      <w:proofErr w:type="spellStart"/>
      <w:r w:rsidRPr="00160F37">
        <w:rPr>
          <w:sz w:val="20"/>
          <w:szCs w:val="20"/>
        </w:rPr>
        <w:t>Macchiarini</w:t>
      </w:r>
      <w:proofErr w:type="spellEnd"/>
      <w:r w:rsidRPr="00160F37">
        <w:rPr>
          <w:sz w:val="20"/>
          <w:szCs w:val="20"/>
        </w:rPr>
        <w:t xml:space="preserve">: A surgeon’s downfall’. BBC News, 10 September 2016 </w:t>
      </w:r>
      <w:hyperlink r:id="rId12" w:history="1">
        <w:r w:rsidRPr="006F51F4">
          <w:rPr>
            <w:rStyle w:val="Hyperlink"/>
            <w:color w:val="auto"/>
            <w:sz w:val="20"/>
            <w:szCs w:val="20"/>
          </w:rPr>
          <w:t>http://www.bbc.com/news/magazine-37311038</w:t>
        </w:r>
      </w:hyperlink>
      <w:r w:rsidRPr="00160F37">
        <w:rPr>
          <w:sz w:val="20"/>
          <w:szCs w:val="20"/>
        </w:rPr>
        <w:t xml:space="preserve"> .</w:t>
      </w:r>
    </w:p>
    <w:p w14:paraId="260443C4" w14:textId="77777777" w:rsidR="009967B5" w:rsidRPr="00D74F3E" w:rsidRDefault="009967B5">
      <w:pPr>
        <w:pStyle w:val="FootnoteText"/>
        <w:rPr>
          <w:sz w:val="20"/>
          <w:szCs w:val="20"/>
        </w:rPr>
      </w:pPr>
    </w:p>
  </w:footnote>
  <w:footnote w:id="86">
    <w:p w14:paraId="1C6182D9" w14:textId="79F8CEAF" w:rsidR="009967B5" w:rsidRPr="005F651B" w:rsidRDefault="009967B5">
      <w:pPr>
        <w:pStyle w:val="FootnoteText"/>
        <w:rPr>
          <w:sz w:val="20"/>
        </w:rPr>
      </w:pPr>
      <w:r w:rsidRPr="005F651B">
        <w:rPr>
          <w:rStyle w:val="FootnoteReference"/>
          <w:sz w:val="20"/>
        </w:rPr>
        <w:footnoteRef/>
      </w:r>
      <w:r w:rsidRPr="005F651B">
        <w:rPr>
          <w:sz w:val="20"/>
        </w:rPr>
        <w:t xml:space="preserve"> </w:t>
      </w:r>
      <w:r>
        <w:rPr>
          <w:sz w:val="20"/>
        </w:rPr>
        <w:t>(n27).</w:t>
      </w:r>
    </w:p>
    <w:p w14:paraId="4904C077" w14:textId="77777777" w:rsidR="009967B5" w:rsidRPr="005F651B" w:rsidRDefault="009967B5">
      <w:pPr>
        <w:pStyle w:val="FootnoteText"/>
        <w:rPr>
          <w:sz w:val="20"/>
        </w:rPr>
      </w:pPr>
    </w:p>
  </w:footnote>
  <w:footnote w:id="87">
    <w:p w14:paraId="2D8FC08D" w14:textId="4E72ADE6" w:rsidR="009967B5" w:rsidRPr="006F51F4" w:rsidRDefault="009967B5" w:rsidP="009A665C">
      <w:pPr>
        <w:pStyle w:val="FootnoteText"/>
        <w:rPr>
          <w:rFonts w:eastAsia="Times New Roman"/>
          <w:sz w:val="20"/>
          <w:szCs w:val="20"/>
          <w:lang w:val="en-GB" w:eastAsia="en-AU"/>
        </w:rPr>
      </w:pPr>
      <w:r w:rsidRPr="00160F37">
        <w:rPr>
          <w:rStyle w:val="FootnoteReference"/>
          <w:sz w:val="20"/>
          <w:szCs w:val="20"/>
        </w:rPr>
        <w:footnoteRef/>
      </w:r>
      <w:r w:rsidRPr="00160F37">
        <w:rPr>
          <w:sz w:val="20"/>
          <w:szCs w:val="20"/>
        </w:rPr>
        <w:t xml:space="preserve"> </w:t>
      </w:r>
      <w:r w:rsidRPr="00D74F3E">
        <w:rPr>
          <w:i/>
          <w:sz w:val="20"/>
          <w:szCs w:val="20"/>
          <w:lang w:val="en-AU"/>
        </w:rPr>
        <w:t>Rosenberg</w:t>
      </w:r>
      <w:r w:rsidRPr="00D10DA3">
        <w:rPr>
          <w:sz w:val="20"/>
          <w:szCs w:val="20"/>
          <w:lang w:val="en-AU"/>
        </w:rPr>
        <w:t xml:space="preserve"> (n9)</w:t>
      </w:r>
      <w:r w:rsidRPr="00504AE4">
        <w:rPr>
          <w:sz w:val="20"/>
          <w:szCs w:val="20"/>
          <w:lang w:val="en-AU"/>
        </w:rPr>
        <w:t xml:space="preserve"> [61];</w:t>
      </w:r>
      <w:r w:rsidRPr="002D018C">
        <w:rPr>
          <w:sz w:val="20"/>
          <w:szCs w:val="20"/>
        </w:rPr>
        <w:t xml:space="preserve"> [69]. </w:t>
      </w:r>
    </w:p>
    <w:p w14:paraId="7EDAB5F7" w14:textId="77777777" w:rsidR="009967B5" w:rsidRPr="00160F37" w:rsidRDefault="009967B5" w:rsidP="009A665C">
      <w:pPr>
        <w:pStyle w:val="FootnoteText"/>
        <w:rPr>
          <w:sz w:val="20"/>
          <w:szCs w:val="20"/>
          <w:lang w:val="en-AU"/>
        </w:rPr>
      </w:pPr>
    </w:p>
  </w:footnote>
  <w:footnote w:id="88">
    <w:p w14:paraId="6BE30423" w14:textId="18F09680" w:rsidR="009967B5" w:rsidRPr="002F356E" w:rsidRDefault="009967B5" w:rsidP="00561752">
      <w:pPr>
        <w:pStyle w:val="FootnoteText"/>
        <w:rPr>
          <w:sz w:val="20"/>
          <w:szCs w:val="20"/>
        </w:rPr>
      </w:pPr>
      <w:r w:rsidRPr="00160F37">
        <w:rPr>
          <w:rStyle w:val="FootnoteReference"/>
          <w:sz w:val="20"/>
          <w:szCs w:val="20"/>
        </w:rPr>
        <w:footnoteRef/>
      </w:r>
      <w:r w:rsidRPr="00160F37">
        <w:rPr>
          <w:sz w:val="20"/>
          <w:szCs w:val="20"/>
        </w:rPr>
        <w:t xml:space="preserve"> </w:t>
      </w:r>
      <w:proofErr w:type="spellStart"/>
      <w:r w:rsidRPr="00D74F3E">
        <w:rPr>
          <w:bCs/>
          <w:i/>
          <w:iCs/>
          <w:sz w:val="20"/>
          <w:szCs w:val="20"/>
          <w:lang w:val="en-AU"/>
        </w:rPr>
        <w:t>Duce</w:t>
      </w:r>
      <w:proofErr w:type="spellEnd"/>
      <w:r w:rsidRPr="00D74F3E">
        <w:rPr>
          <w:bCs/>
          <w:i/>
          <w:iCs/>
          <w:sz w:val="20"/>
          <w:szCs w:val="20"/>
          <w:lang w:val="en-AU"/>
        </w:rPr>
        <w:t xml:space="preserve"> v Worcestershire Acute Hospitals NHS Trust </w:t>
      </w:r>
      <w:r w:rsidRPr="00D10DA3">
        <w:rPr>
          <w:bCs/>
          <w:sz w:val="20"/>
          <w:szCs w:val="20"/>
          <w:lang w:val="en-AU"/>
        </w:rPr>
        <w:t xml:space="preserve">[2018] EWCA </w:t>
      </w:r>
      <w:proofErr w:type="spellStart"/>
      <w:r w:rsidRPr="00D10DA3">
        <w:rPr>
          <w:bCs/>
          <w:sz w:val="20"/>
          <w:szCs w:val="20"/>
          <w:lang w:val="en-AU"/>
        </w:rPr>
        <w:t>Civ</w:t>
      </w:r>
      <w:proofErr w:type="spellEnd"/>
      <w:r w:rsidRPr="00D10DA3">
        <w:rPr>
          <w:bCs/>
          <w:sz w:val="20"/>
          <w:szCs w:val="20"/>
          <w:lang w:val="en-AU"/>
        </w:rPr>
        <w:t xml:space="preserve"> 1307, [43]</w:t>
      </w:r>
      <w:r w:rsidRPr="002F356E">
        <w:rPr>
          <w:sz w:val="20"/>
          <w:szCs w:val="20"/>
        </w:rPr>
        <w:t>.</w:t>
      </w:r>
    </w:p>
    <w:p w14:paraId="327A301A" w14:textId="77777777" w:rsidR="009967B5" w:rsidRPr="00BD5C50" w:rsidRDefault="009967B5">
      <w:pPr>
        <w:pStyle w:val="FootnoteText"/>
        <w:rPr>
          <w:sz w:val="20"/>
          <w:szCs w:val="20"/>
        </w:rPr>
      </w:pPr>
    </w:p>
  </w:footnote>
  <w:footnote w:id="89">
    <w:p w14:paraId="6AD3BD80" w14:textId="647FD509" w:rsidR="009967B5" w:rsidRPr="00160F37" w:rsidRDefault="009967B5">
      <w:pPr>
        <w:pStyle w:val="FootnoteText"/>
        <w:rPr>
          <w:sz w:val="20"/>
          <w:szCs w:val="20"/>
        </w:rPr>
      </w:pPr>
      <w:r w:rsidRPr="00160F37">
        <w:rPr>
          <w:rStyle w:val="FootnoteReference"/>
          <w:sz w:val="20"/>
          <w:szCs w:val="20"/>
        </w:rPr>
        <w:footnoteRef/>
      </w:r>
      <w:r w:rsidRPr="00160F37">
        <w:rPr>
          <w:sz w:val="20"/>
          <w:szCs w:val="20"/>
        </w:rPr>
        <w:t xml:space="preserve"> Ibid.</w:t>
      </w:r>
    </w:p>
    <w:p w14:paraId="4568E757" w14:textId="77777777" w:rsidR="009967B5" w:rsidRPr="00BD5C50" w:rsidRDefault="009967B5">
      <w:pPr>
        <w:pStyle w:val="FootnoteText"/>
      </w:pPr>
    </w:p>
  </w:footnote>
  <w:footnote w:id="90">
    <w:p w14:paraId="05C1117A" w14:textId="57DB61EE" w:rsidR="009967B5" w:rsidRPr="00D74F3E" w:rsidRDefault="009967B5">
      <w:pPr>
        <w:pStyle w:val="FootnoteText"/>
        <w:rPr>
          <w:sz w:val="20"/>
          <w:szCs w:val="20"/>
          <w:lang w:val="en-AU"/>
        </w:rPr>
      </w:pPr>
      <w:r w:rsidRPr="00160F37">
        <w:rPr>
          <w:rStyle w:val="FootnoteReference"/>
        </w:rPr>
        <w:footnoteRef/>
      </w:r>
      <w:r w:rsidRPr="00160F37">
        <w:t xml:space="preserve"> </w:t>
      </w:r>
      <w:r w:rsidRPr="00D74F3E">
        <w:rPr>
          <w:sz w:val="20"/>
          <w:szCs w:val="20"/>
          <w:lang w:val="en-AU"/>
        </w:rPr>
        <w:t>Chan (n29) 117.</w:t>
      </w:r>
    </w:p>
    <w:p w14:paraId="53E7FAB3" w14:textId="77777777" w:rsidR="009967B5" w:rsidRPr="00BD5C50" w:rsidRDefault="009967B5">
      <w:pPr>
        <w:pStyle w:val="FootnoteText"/>
        <w:rPr>
          <w:lang w:val="en-AU"/>
        </w:rPr>
      </w:pPr>
    </w:p>
  </w:footnote>
  <w:footnote w:id="91">
    <w:p w14:paraId="3108B64F" w14:textId="3066FA6A" w:rsidR="009967B5" w:rsidRPr="00160F37" w:rsidRDefault="009967B5" w:rsidP="00264E47">
      <w:pPr>
        <w:pStyle w:val="FootnoteText"/>
        <w:rPr>
          <w:sz w:val="20"/>
          <w:szCs w:val="20"/>
        </w:rPr>
      </w:pPr>
      <w:r w:rsidRPr="00160F37">
        <w:rPr>
          <w:rStyle w:val="FootnoteReference"/>
          <w:sz w:val="20"/>
          <w:szCs w:val="20"/>
        </w:rPr>
        <w:footnoteRef/>
      </w:r>
      <w:r w:rsidRPr="00160F37">
        <w:rPr>
          <w:sz w:val="20"/>
          <w:szCs w:val="20"/>
        </w:rPr>
        <w:t xml:space="preserve"> </w:t>
      </w:r>
      <w:proofErr w:type="spellStart"/>
      <w:r w:rsidRPr="002831C4">
        <w:rPr>
          <w:i/>
          <w:sz w:val="20"/>
          <w:szCs w:val="20"/>
          <w:lang w:val="en-GB"/>
        </w:rPr>
        <w:t>Morocz</w:t>
      </w:r>
      <w:proofErr w:type="spellEnd"/>
      <w:r>
        <w:rPr>
          <w:i/>
          <w:sz w:val="20"/>
          <w:szCs w:val="20"/>
          <w:lang w:val="en-GB"/>
        </w:rPr>
        <w:t xml:space="preserve"> </w:t>
      </w:r>
      <w:r w:rsidRPr="006F51F4">
        <w:rPr>
          <w:iCs/>
          <w:sz w:val="20"/>
          <w:szCs w:val="20"/>
          <w:lang w:val="en-GB"/>
        </w:rPr>
        <w:t>(n77)</w:t>
      </w:r>
      <w:r w:rsidRPr="00160F37">
        <w:rPr>
          <w:sz w:val="20"/>
          <w:szCs w:val="20"/>
        </w:rPr>
        <w:t>.</w:t>
      </w:r>
    </w:p>
    <w:p w14:paraId="6414BADB" w14:textId="77777777" w:rsidR="009967B5" w:rsidRPr="00BD5C50" w:rsidRDefault="009967B5">
      <w:pPr>
        <w:pStyle w:val="FootnoteText"/>
        <w:rPr>
          <w:lang w:val="en-AU"/>
        </w:rPr>
      </w:pPr>
    </w:p>
  </w:footnote>
  <w:footnote w:id="92">
    <w:p w14:paraId="43D4E858" w14:textId="2A09C3EC" w:rsidR="009967B5" w:rsidRPr="006F51F4" w:rsidRDefault="009967B5" w:rsidP="002F4386">
      <w:pPr>
        <w:pStyle w:val="Default"/>
        <w:jc w:val="both"/>
        <w:rPr>
          <w:rFonts w:ascii="Times New Roman" w:hAnsi="Times New Roman" w:cs="Times New Roman"/>
          <w:color w:val="auto"/>
        </w:rPr>
      </w:pPr>
      <w:r w:rsidRPr="006F51F4">
        <w:rPr>
          <w:rStyle w:val="FootnoteReference"/>
          <w:color w:val="auto"/>
        </w:rPr>
        <w:footnoteRef/>
      </w:r>
      <w:r w:rsidRPr="006F51F4">
        <w:rPr>
          <w:color w:val="auto"/>
        </w:rPr>
        <w:t xml:space="preserve"> </w:t>
      </w:r>
      <w:r w:rsidRPr="006F51F4">
        <w:rPr>
          <w:rFonts w:ascii="Times New Roman" w:hAnsi="Times New Roman" w:cs="Times New Roman"/>
          <w:color w:val="auto"/>
          <w:sz w:val="20"/>
          <w:szCs w:val="20"/>
        </w:rPr>
        <w:t xml:space="preserve">In Australia, in </w:t>
      </w:r>
      <w:proofErr w:type="spellStart"/>
      <w:r w:rsidRPr="006F51F4">
        <w:rPr>
          <w:rFonts w:ascii="Times New Roman" w:hAnsi="Times New Roman" w:cs="Times New Roman"/>
          <w:i/>
          <w:iCs/>
          <w:color w:val="auto"/>
          <w:sz w:val="20"/>
          <w:szCs w:val="20"/>
        </w:rPr>
        <w:t>Morocz</w:t>
      </w:r>
      <w:proofErr w:type="spellEnd"/>
      <w:r w:rsidRPr="006F51F4">
        <w:rPr>
          <w:rFonts w:ascii="Times New Roman" w:hAnsi="Times New Roman" w:cs="Times New Roman"/>
          <w:i/>
          <w:iCs/>
          <w:color w:val="auto"/>
          <w:sz w:val="20"/>
          <w:szCs w:val="20"/>
        </w:rPr>
        <w:t xml:space="preserve"> </w:t>
      </w:r>
      <w:r w:rsidRPr="006F51F4">
        <w:rPr>
          <w:rFonts w:ascii="Times New Roman" w:hAnsi="Times New Roman" w:cs="Times New Roman"/>
          <w:color w:val="auto"/>
          <w:sz w:val="20"/>
          <w:szCs w:val="20"/>
        </w:rPr>
        <w:t xml:space="preserve">ibid </w:t>
      </w:r>
      <w:r>
        <w:rPr>
          <w:rFonts w:ascii="Times New Roman" w:hAnsi="Times New Roman" w:cs="Times New Roman"/>
          <w:color w:val="auto"/>
          <w:sz w:val="20"/>
          <w:szCs w:val="20"/>
        </w:rPr>
        <w:t xml:space="preserve">[193], </w:t>
      </w:r>
      <w:r w:rsidRPr="006F51F4">
        <w:rPr>
          <w:rFonts w:ascii="Times New Roman" w:hAnsi="Times New Roman" w:cs="Times New Roman"/>
          <w:color w:val="auto"/>
          <w:sz w:val="20"/>
          <w:szCs w:val="20"/>
        </w:rPr>
        <w:t xml:space="preserve">Justice Harrison held that the surgeon was not obliged to inform his patient about </w:t>
      </w:r>
      <w:r>
        <w:rPr>
          <w:rFonts w:ascii="Times New Roman" w:hAnsi="Times New Roman" w:cs="Times New Roman"/>
          <w:color w:val="auto"/>
          <w:sz w:val="20"/>
          <w:szCs w:val="20"/>
        </w:rPr>
        <w:t>‘</w:t>
      </w:r>
      <w:r w:rsidRPr="006F51F4">
        <w:rPr>
          <w:rFonts w:ascii="Times New Roman" w:hAnsi="Times New Roman" w:cs="Times New Roman"/>
          <w:color w:val="auto"/>
          <w:sz w:val="20"/>
          <w:szCs w:val="20"/>
        </w:rPr>
        <w:t>his particular surgical history or experience with the performance of … (the procedure) or to discuss complications … that had been experienced by patients upon whom that procedure had been performed by him</w:t>
      </w:r>
      <w:r>
        <w:rPr>
          <w:rFonts w:ascii="Times New Roman" w:hAnsi="Times New Roman" w:cs="Times New Roman"/>
          <w:color w:val="auto"/>
          <w:sz w:val="20"/>
          <w:szCs w:val="20"/>
        </w:rPr>
        <w:t>.’</w:t>
      </w:r>
      <w:r w:rsidRPr="006F51F4">
        <w:rPr>
          <w:rFonts w:ascii="Times New Roman" w:hAnsi="Times New Roman" w:cs="Times New Roman"/>
          <w:color w:val="auto"/>
          <w:sz w:val="20"/>
          <w:szCs w:val="20"/>
        </w:rPr>
        <w:t xml:space="preserve"> Conversely, more recently in </w:t>
      </w:r>
      <w:proofErr w:type="spellStart"/>
      <w:r w:rsidRPr="006F51F4">
        <w:rPr>
          <w:rFonts w:ascii="Times New Roman" w:hAnsi="Times New Roman" w:cs="Times New Roman"/>
          <w:i/>
          <w:color w:val="auto"/>
          <w:sz w:val="20"/>
          <w:szCs w:val="20"/>
        </w:rPr>
        <w:t>J</w:t>
      </w:r>
      <w:r w:rsidRPr="006F51F4">
        <w:rPr>
          <w:rFonts w:ascii="Times New Roman" w:hAnsi="Times New Roman" w:cs="Times New Roman"/>
          <w:i/>
          <w:iCs/>
          <w:color w:val="auto"/>
          <w:sz w:val="20"/>
          <w:szCs w:val="20"/>
        </w:rPr>
        <w:t>ambrovic</w:t>
      </w:r>
      <w:proofErr w:type="spellEnd"/>
      <w:r w:rsidRPr="006F51F4">
        <w:rPr>
          <w:rFonts w:ascii="Times New Roman" w:hAnsi="Times New Roman" w:cs="Times New Roman"/>
          <w:i/>
          <w:iCs/>
          <w:color w:val="auto"/>
          <w:sz w:val="20"/>
          <w:szCs w:val="20"/>
        </w:rPr>
        <w:t xml:space="preserve"> v Day </w:t>
      </w:r>
      <w:r w:rsidRPr="006F51F4">
        <w:rPr>
          <w:rFonts w:ascii="Times New Roman" w:hAnsi="Times New Roman" w:cs="Times New Roman"/>
          <w:color w:val="auto"/>
          <w:sz w:val="20"/>
          <w:szCs w:val="20"/>
        </w:rPr>
        <w:t>[2017] NSWSC 1468,</w:t>
      </w:r>
      <w:r>
        <w:rPr>
          <w:rFonts w:ascii="Times New Roman" w:hAnsi="Times New Roman" w:cs="Times New Roman"/>
          <w:color w:val="auto"/>
          <w:sz w:val="20"/>
          <w:szCs w:val="20"/>
        </w:rPr>
        <w:t xml:space="preserve"> [116]</w:t>
      </w:r>
      <w:r w:rsidRPr="006F51F4">
        <w:rPr>
          <w:rFonts w:ascii="Times New Roman" w:hAnsi="Times New Roman" w:cs="Times New Roman"/>
          <w:color w:val="auto"/>
          <w:sz w:val="20"/>
          <w:szCs w:val="20"/>
        </w:rPr>
        <w:t xml:space="preserve"> the experts agreed </w:t>
      </w:r>
      <w:r w:rsidRPr="00160F37">
        <w:rPr>
          <w:rFonts w:ascii="Times New Roman" w:hAnsi="Times New Roman" w:cs="Times New Roman"/>
          <w:color w:val="auto"/>
          <w:sz w:val="20"/>
          <w:szCs w:val="20"/>
          <w:lang w:val="en-US"/>
        </w:rPr>
        <w:t>that the defendant should have disclosed that this was the first time he would had performed such surgery</w:t>
      </w:r>
      <w:r w:rsidRPr="006F51F4">
        <w:rPr>
          <w:rFonts w:ascii="Times New Roman" w:hAnsi="Times New Roman" w:cs="Times New Roman"/>
          <w:color w:val="auto"/>
          <w:sz w:val="20"/>
          <w:szCs w:val="20"/>
        </w:rPr>
        <w:t>.</w:t>
      </w:r>
    </w:p>
    <w:p w14:paraId="76E5BF34" w14:textId="7E5780CB" w:rsidR="009967B5" w:rsidRPr="00160F37" w:rsidRDefault="009967B5">
      <w:pPr>
        <w:pStyle w:val="FootnoteText"/>
        <w:rPr>
          <w:lang w:val="en-AU"/>
        </w:rPr>
      </w:pPr>
    </w:p>
  </w:footnote>
  <w:footnote w:id="93">
    <w:p w14:paraId="28B41C71" w14:textId="3A50A8AB" w:rsidR="009967B5" w:rsidRPr="00160F37" w:rsidRDefault="009967B5" w:rsidP="000925AA">
      <w:pPr>
        <w:pStyle w:val="FootnoteText"/>
        <w:rPr>
          <w:sz w:val="20"/>
          <w:szCs w:val="20"/>
        </w:rPr>
      </w:pPr>
      <w:r w:rsidRPr="00160F37">
        <w:rPr>
          <w:rStyle w:val="FootnoteReference"/>
          <w:sz w:val="20"/>
          <w:szCs w:val="20"/>
        </w:rPr>
        <w:footnoteRef/>
      </w:r>
      <w:r w:rsidRPr="00160F37">
        <w:rPr>
          <w:sz w:val="20"/>
          <w:szCs w:val="20"/>
        </w:rPr>
        <w:t xml:space="preserve"> The precise language </w:t>
      </w:r>
      <w:r>
        <w:rPr>
          <w:sz w:val="20"/>
          <w:szCs w:val="20"/>
        </w:rPr>
        <w:t xml:space="preserve">which ought to be </w:t>
      </w:r>
      <w:r w:rsidRPr="00160F37">
        <w:rPr>
          <w:sz w:val="20"/>
          <w:szCs w:val="20"/>
        </w:rPr>
        <w:t xml:space="preserve">used when obtaining consent is beyond the scope of this </w:t>
      </w:r>
      <w:r>
        <w:rPr>
          <w:sz w:val="20"/>
          <w:szCs w:val="20"/>
        </w:rPr>
        <w:t>article</w:t>
      </w:r>
      <w:r w:rsidRPr="00160F37">
        <w:rPr>
          <w:sz w:val="20"/>
          <w:szCs w:val="20"/>
        </w:rPr>
        <w:t>.</w:t>
      </w:r>
    </w:p>
    <w:p w14:paraId="20B3E070" w14:textId="77777777" w:rsidR="009967B5" w:rsidRPr="00D74F3E" w:rsidRDefault="009967B5" w:rsidP="000925AA">
      <w:pPr>
        <w:pStyle w:val="FootnoteText"/>
        <w:rPr>
          <w:sz w:val="20"/>
          <w:szCs w:val="20"/>
        </w:rPr>
      </w:pPr>
    </w:p>
  </w:footnote>
  <w:footnote w:id="94">
    <w:p w14:paraId="27DEE36E" w14:textId="5D4F3716" w:rsidR="009967B5" w:rsidRPr="00504AE4" w:rsidRDefault="009967B5">
      <w:pPr>
        <w:pStyle w:val="FootnoteText"/>
        <w:rPr>
          <w:sz w:val="20"/>
          <w:szCs w:val="20"/>
        </w:rPr>
      </w:pPr>
      <w:r w:rsidRPr="00160F37">
        <w:rPr>
          <w:rStyle w:val="FootnoteReference"/>
          <w:sz w:val="20"/>
          <w:szCs w:val="20"/>
        </w:rPr>
        <w:footnoteRef/>
      </w:r>
      <w:r w:rsidRPr="00160F37">
        <w:rPr>
          <w:sz w:val="20"/>
          <w:szCs w:val="20"/>
        </w:rPr>
        <w:t xml:space="preserve"> Char et al (n63)</w:t>
      </w:r>
      <w:r w:rsidRPr="00D10DA3">
        <w:rPr>
          <w:sz w:val="20"/>
          <w:szCs w:val="20"/>
        </w:rPr>
        <w:t xml:space="preserve"> </w:t>
      </w:r>
      <w:r w:rsidRPr="00504AE4">
        <w:rPr>
          <w:sz w:val="20"/>
          <w:szCs w:val="20"/>
        </w:rPr>
        <w:t xml:space="preserve">5. </w:t>
      </w:r>
    </w:p>
    <w:p w14:paraId="20BD919E" w14:textId="77777777" w:rsidR="009967B5" w:rsidRPr="00BD5C50" w:rsidRDefault="009967B5">
      <w:pPr>
        <w:pStyle w:val="FootnoteText"/>
        <w:rPr>
          <w:sz w:val="20"/>
          <w:szCs w:val="20"/>
        </w:rPr>
      </w:pPr>
    </w:p>
  </w:footnote>
  <w:footnote w:id="95">
    <w:p w14:paraId="6357D748" w14:textId="36972C5A" w:rsidR="009967B5" w:rsidRPr="00160F37" w:rsidRDefault="009967B5" w:rsidP="00327DF7">
      <w:pPr>
        <w:pStyle w:val="FootnoteText"/>
        <w:rPr>
          <w:sz w:val="20"/>
          <w:szCs w:val="20"/>
        </w:rPr>
      </w:pPr>
      <w:r w:rsidRPr="00160F37">
        <w:rPr>
          <w:rStyle w:val="FootnoteReference"/>
          <w:sz w:val="20"/>
          <w:szCs w:val="20"/>
        </w:rPr>
        <w:footnoteRef/>
      </w:r>
      <w:r w:rsidRPr="00160F37">
        <w:rPr>
          <w:sz w:val="20"/>
          <w:szCs w:val="20"/>
        </w:rPr>
        <w:t xml:space="preserve"> Ibid.</w:t>
      </w:r>
    </w:p>
    <w:p w14:paraId="397FCE65" w14:textId="77777777" w:rsidR="009967B5" w:rsidRPr="00BD5C50" w:rsidRDefault="009967B5" w:rsidP="00C46EC2">
      <w:pPr>
        <w:pStyle w:val="FootnoteText"/>
        <w:rPr>
          <w:sz w:val="20"/>
          <w:szCs w:val="20"/>
          <w:lang w:val="en-AU"/>
        </w:rPr>
      </w:pPr>
    </w:p>
  </w:footnote>
  <w:footnote w:id="96">
    <w:p w14:paraId="15192F3D" w14:textId="20B3B641" w:rsidR="009967B5" w:rsidRPr="002D018C" w:rsidRDefault="009967B5" w:rsidP="00A206CB">
      <w:pPr>
        <w:pStyle w:val="FootnoteText"/>
        <w:rPr>
          <w:sz w:val="20"/>
          <w:szCs w:val="20"/>
          <w:lang w:val="en-AU"/>
        </w:rPr>
      </w:pPr>
      <w:r w:rsidRPr="00160F37">
        <w:rPr>
          <w:rStyle w:val="FootnoteReference"/>
          <w:sz w:val="20"/>
          <w:szCs w:val="20"/>
        </w:rPr>
        <w:footnoteRef/>
      </w:r>
      <w:r w:rsidRPr="00160F37">
        <w:rPr>
          <w:sz w:val="20"/>
          <w:szCs w:val="20"/>
        </w:rPr>
        <w:t xml:space="preserve"> </w:t>
      </w:r>
      <w:r w:rsidRPr="00D74F3E">
        <w:rPr>
          <w:sz w:val="20"/>
          <w:szCs w:val="20"/>
          <w:lang w:val="en-AU"/>
        </w:rPr>
        <w:t>Richards and Hutchinson (n41)</w:t>
      </w:r>
      <w:r w:rsidRPr="002F356E">
        <w:rPr>
          <w:sz w:val="20"/>
          <w:szCs w:val="20"/>
          <w:lang w:val="en-AU"/>
        </w:rPr>
        <w:t xml:space="preserve"> </w:t>
      </w:r>
      <w:r w:rsidRPr="002D018C">
        <w:rPr>
          <w:sz w:val="20"/>
          <w:szCs w:val="20"/>
          <w:lang w:val="en-AU"/>
        </w:rPr>
        <w:t>942.</w:t>
      </w:r>
    </w:p>
    <w:p w14:paraId="023603AB" w14:textId="77777777" w:rsidR="009967B5" w:rsidRPr="00BD5C50" w:rsidRDefault="009967B5" w:rsidP="00A206CB">
      <w:pPr>
        <w:pStyle w:val="FootnoteText"/>
        <w:rPr>
          <w:sz w:val="20"/>
          <w:szCs w:val="20"/>
          <w:lang w:val="en-AU"/>
        </w:rPr>
      </w:pPr>
    </w:p>
  </w:footnote>
  <w:footnote w:id="97">
    <w:p w14:paraId="50F31EC9" w14:textId="32A90745" w:rsidR="009967B5" w:rsidRPr="002D018C" w:rsidRDefault="009967B5">
      <w:pPr>
        <w:pStyle w:val="FootnoteText"/>
      </w:pPr>
      <w:r w:rsidRPr="00160F37">
        <w:rPr>
          <w:rStyle w:val="FootnoteReference"/>
        </w:rPr>
        <w:footnoteRef/>
      </w:r>
      <w:r w:rsidRPr="00160F37">
        <w:t xml:space="preserve"> </w:t>
      </w:r>
      <w:r w:rsidRPr="00D74F3E">
        <w:rPr>
          <w:sz w:val="20"/>
          <w:szCs w:val="20"/>
        </w:rPr>
        <w:t>G</w:t>
      </w:r>
      <w:r>
        <w:rPr>
          <w:sz w:val="20"/>
          <w:szCs w:val="20"/>
        </w:rPr>
        <w:t>ideon</w:t>
      </w:r>
      <w:r w:rsidRPr="00D74F3E">
        <w:rPr>
          <w:sz w:val="20"/>
          <w:szCs w:val="20"/>
        </w:rPr>
        <w:t xml:space="preserve"> </w:t>
      </w:r>
      <w:proofErr w:type="spellStart"/>
      <w:r w:rsidRPr="00D74F3E">
        <w:rPr>
          <w:sz w:val="20"/>
          <w:szCs w:val="20"/>
        </w:rPr>
        <w:t>Parchomovsky</w:t>
      </w:r>
      <w:proofErr w:type="spellEnd"/>
      <w:r w:rsidRPr="00D74F3E">
        <w:rPr>
          <w:sz w:val="20"/>
          <w:szCs w:val="20"/>
        </w:rPr>
        <w:t xml:space="preserve"> and A</w:t>
      </w:r>
      <w:r>
        <w:rPr>
          <w:sz w:val="20"/>
          <w:szCs w:val="20"/>
        </w:rPr>
        <w:t>lex</w:t>
      </w:r>
      <w:r w:rsidRPr="00D74F3E">
        <w:rPr>
          <w:sz w:val="20"/>
          <w:szCs w:val="20"/>
        </w:rPr>
        <w:t xml:space="preserve"> Stein, ‘Torts and innovation’ (2008) </w:t>
      </w:r>
      <w:proofErr w:type="spellStart"/>
      <w:r w:rsidRPr="00D10DA3">
        <w:rPr>
          <w:i/>
          <w:sz w:val="20"/>
          <w:szCs w:val="20"/>
        </w:rPr>
        <w:t>Mich</w:t>
      </w:r>
      <w:proofErr w:type="spellEnd"/>
      <w:r w:rsidRPr="00D10DA3">
        <w:rPr>
          <w:i/>
          <w:sz w:val="20"/>
          <w:szCs w:val="20"/>
        </w:rPr>
        <w:t xml:space="preserve"> Law Rev</w:t>
      </w:r>
      <w:r w:rsidRPr="002F356E">
        <w:rPr>
          <w:sz w:val="20"/>
          <w:szCs w:val="20"/>
        </w:rPr>
        <w:t xml:space="preserve"> 107, </w:t>
      </w:r>
      <w:r w:rsidRPr="00504AE4">
        <w:rPr>
          <w:sz w:val="20"/>
          <w:szCs w:val="20"/>
        </w:rPr>
        <w:t>285.</w:t>
      </w:r>
      <w:r w:rsidRPr="002D018C">
        <w:t xml:space="preserve"> </w:t>
      </w:r>
    </w:p>
    <w:p w14:paraId="72A4509E" w14:textId="77777777" w:rsidR="009967B5" w:rsidRPr="00BD5C50" w:rsidRDefault="009967B5">
      <w:pPr>
        <w:pStyle w:val="FootnoteText"/>
      </w:pPr>
    </w:p>
  </w:footnote>
  <w:footnote w:id="98">
    <w:p w14:paraId="29EF459B" w14:textId="2963AC50" w:rsidR="009967B5" w:rsidRPr="006F51F4" w:rsidRDefault="009967B5" w:rsidP="00D108EE">
      <w:pPr>
        <w:pStyle w:val="Default"/>
        <w:rPr>
          <w:color w:val="auto"/>
        </w:rPr>
      </w:pPr>
      <w:r w:rsidRPr="006F51F4">
        <w:rPr>
          <w:rStyle w:val="FootnoteReference"/>
          <w:color w:val="auto"/>
        </w:rPr>
        <w:footnoteRef/>
      </w:r>
      <w:r w:rsidRPr="006F51F4">
        <w:rPr>
          <w:color w:val="auto"/>
        </w:rPr>
        <w:t xml:space="preserve"> </w:t>
      </w:r>
      <w:r w:rsidRPr="006F51F4">
        <w:rPr>
          <w:rFonts w:ascii="Times New Roman" w:hAnsi="Times New Roman" w:cs="Times New Roman"/>
          <w:i/>
          <w:color w:val="auto"/>
          <w:sz w:val="20"/>
          <w:szCs w:val="20"/>
        </w:rPr>
        <w:t>Montgomery</w:t>
      </w:r>
      <w:r w:rsidRPr="006F51F4">
        <w:rPr>
          <w:rFonts w:ascii="Times New Roman" w:hAnsi="Times New Roman" w:cs="Times New Roman"/>
          <w:color w:val="auto"/>
          <w:sz w:val="20"/>
          <w:szCs w:val="20"/>
        </w:rPr>
        <w:t xml:space="preserve"> (n3) [91]; </w:t>
      </w:r>
      <w:r w:rsidRPr="006F51F4">
        <w:rPr>
          <w:rFonts w:ascii="Times New Roman" w:hAnsi="Times New Roman" w:cs="Times New Roman"/>
          <w:i/>
          <w:color w:val="auto"/>
          <w:sz w:val="20"/>
          <w:szCs w:val="20"/>
        </w:rPr>
        <w:t xml:space="preserve">Rogers </w:t>
      </w:r>
      <w:r w:rsidRPr="006F51F4">
        <w:rPr>
          <w:rFonts w:ascii="Times New Roman" w:hAnsi="Times New Roman" w:cs="Times New Roman"/>
          <w:color w:val="auto"/>
          <w:sz w:val="20"/>
          <w:szCs w:val="20"/>
        </w:rPr>
        <w:t>(n2) [16] (limited scope of therapeutic exception).</w:t>
      </w:r>
    </w:p>
    <w:p w14:paraId="5A86EE5C" w14:textId="77777777" w:rsidR="009967B5" w:rsidRPr="00160F37" w:rsidRDefault="009967B5">
      <w:pPr>
        <w:pStyle w:val="FootnoteText"/>
        <w:rPr>
          <w:lang w:val="en-AU"/>
        </w:rPr>
      </w:pPr>
    </w:p>
  </w:footnote>
  <w:footnote w:id="99">
    <w:p w14:paraId="30C755FA" w14:textId="2B1B4932" w:rsidR="009967B5" w:rsidRPr="00160F37" w:rsidRDefault="009967B5">
      <w:pPr>
        <w:pStyle w:val="FootnoteText"/>
        <w:rPr>
          <w:sz w:val="20"/>
          <w:szCs w:val="20"/>
        </w:rPr>
      </w:pPr>
      <w:r w:rsidRPr="00160F37">
        <w:rPr>
          <w:rStyle w:val="FootnoteReference"/>
          <w:sz w:val="20"/>
          <w:szCs w:val="20"/>
        </w:rPr>
        <w:footnoteRef/>
      </w:r>
      <w:r w:rsidRPr="00160F37">
        <w:rPr>
          <w:sz w:val="20"/>
          <w:szCs w:val="20"/>
        </w:rPr>
        <w:t xml:space="preserve"> [114].</w:t>
      </w:r>
    </w:p>
    <w:p w14:paraId="11573D84" w14:textId="77777777" w:rsidR="009967B5" w:rsidRPr="00BD5C50" w:rsidRDefault="009967B5">
      <w:pPr>
        <w:pStyle w:val="FootnoteText"/>
        <w:rPr>
          <w:sz w:val="20"/>
          <w:szCs w:val="20"/>
        </w:rPr>
      </w:pPr>
    </w:p>
  </w:footnote>
  <w:footnote w:id="100">
    <w:p w14:paraId="01858E56" w14:textId="6FD64496" w:rsidR="009967B5" w:rsidRPr="002D018C" w:rsidRDefault="009967B5">
      <w:pPr>
        <w:pStyle w:val="FootnoteText"/>
      </w:pPr>
      <w:r w:rsidRPr="00160F37">
        <w:rPr>
          <w:rStyle w:val="FootnoteReference"/>
        </w:rPr>
        <w:footnoteRef/>
      </w:r>
      <w:r w:rsidRPr="00160F37">
        <w:t xml:space="preserve"> </w:t>
      </w:r>
      <w:r w:rsidRPr="00D74F3E">
        <w:rPr>
          <w:i/>
          <w:sz w:val="20"/>
          <w:szCs w:val="20"/>
        </w:rPr>
        <w:t>Montgomery</w:t>
      </w:r>
      <w:r w:rsidRPr="00D10DA3">
        <w:rPr>
          <w:sz w:val="20"/>
          <w:szCs w:val="20"/>
        </w:rPr>
        <w:t xml:space="preserve"> (n3)</w:t>
      </w:r>
      <w:r w:rsidRPr="00504AE4">
        <w:rPr>
          <w:sz w:val="20"/>
          <w:szCs w:val="20"/>
        </w:rPr>
        <w:t xml:space="preserve"> [81].</w:t>
      </w:r>
    </w:p>
    <w:p w14:paraId="41ED3710" w14:textId="77777777" w:rsidR="009967B5" w:rsidRPr="00BD5C50" w:rsidRDefault="009967B5">
      <w:pPr>
        <w:pStyle w:val="FootnoteText"/>
      </w:pPr>
    </w:p>
  </w:footnote>
  <w:footnote w:id="101">
    <w:p w14:paraId="7BC67E06" w14:textId="7E2C0A5C" w:rsidR="009967B5" w:rsidRPr="00BD5C50" w:rsidRDefault="009967B5" w:rsidP="00C46EC2">
      <w:pPr>
        <w:pStyle w:val="FootnoteText"/>
        <w:rPr>
          <w:sz w:val="20"/>
          <w:szCs w:val="20"/>
        </w:rPr>
      </w:pPr>
      <w:r w:rsidRPr="00160F37">
        <w:rPr>
          <w:rStyle w:val="FootnoteReference"/>
          <w:sz w:val="20"/>
          <w:szCs w:val="20"/>
        </w:rPr>
        <w:footnoteRef/>
      </w:r>
      <w:r w:rsidRPr="00160F37">
        <w:rPr>
          <w:sz w:val="20"/>
          <w:szCs w:val="20"/>
        </w:rPr>
        <w:t xml:space="preserve"> </w:t>
      </w:r>
      <w:r w:rsidR="008F55F7">
        <w:rPr>
          <w:sz w:val="20"/>
          <w:szCs w:val="20"/>
        </w:rPr>
        <w:t xml:space="preserve">Walter </w:t>
      </w:r>
      <w:proofErr w:type="spellStart"/>
      <w:r w:rsidRPr="00160F37">
        <w:rPr>
          <w:sz w:val="20"/>
          <w:szCs w:val="20"/>
        </w:rPr>
        <w:t>Biffl</w:t>
      </w:r>
      <w:proofErr w:type="spellEnd"/>
      <w:r w:rsidRPr="00160F37">
        <w:rPr>
          <w:sz w:val="20"/>
          <w:szCs w:val="20"/>
        </w:rPr>
        <w:t xml:space="preserve"> et al. ‘Responsible development and application of surgical innovations: a position statement of the Society of Univ</w:t>
      </w:r>
      <w:r w:rsidRPr="00BD5C50">
        <w:rPr>
          <w:sz w:val="20"/>
          <w:szCs w:val="20"/>
        </w:rPr>
        <w:t>ersity Surgeons’ J Am Coll Surg. </w:t>
      </w:r>
      <w:proofErr w:type="gramStart"/>
      <w:r w:rsidRPr="00BD5C50">
        <w:rPr>
          <w:sz w:val="20"/>
          <w:szCs w:val="20"/>
        </w:rPr>
        <w:t>2008;206:1204</w:t>
      </w:r>
      <w:proofErr w:type="gramEnd"/>
      <w:r w:rsidRPr="00BD5C50">
        <w:rPr>
          <w:sz w:val="20"/>
          <w:szCs w:val="20"/>
        </w:rPr>
        <w:t>–9.</w:t>
      </w:r>
    </w:p>
    <w:p w14:paraId="771DD526" w14:textId="77777777" w:rsidR="009967B5" w:rsidRPr="00707B75" w:rsidRDefault="009967B5">
      <w:pPr>
        <w:pStyle w:val="FootnoteText"/>
        <w:rPr>
          <w:sz w:val="20"/>
          <w:szCs w:val="20"/>
        </w:rPr>
      </w:pPr>
    </w:p>
  </w:footnote>
  <w:footnote w:id="102">
    <w:p w14:paraId="4B7DA483" w14:textId="77777777" w:rsidR="009967B5" w:rsidRPr="00D74F3E" w:rsidRDefault="009967B5" w:rsidP="00C646D0">
      <w:pPr>
        <w:spacing w:line="276" w:lineRule="auto"/>
        <w:rPr>
          <w:sz w:val="20"/>
          <w:szCs w:val="20"/>
          <w:lang w:val="en-AU"/>
        </w:rPr>
      </w:pPr>
      <w:r w:rsidRPr="00160F37">
        <w:rPr>
          <w:rStyle w:val="FootnoteReference"/>
          <w:sz w:val="20"/>
          <w:szCs w:val="20"/>
        </w:rPr>
        <w:footnoteRef/>
      </w:r>
      <w:r w:rsidRPr="00160F37">
        <w:rPr>
          <w:sz w:val="20"/>
          <w:szCs w:val="20"/>
        </w:rPr>
        <w:t xml:space="preserve"> </w:t>
      </w:r>
      <w:r w:rsidRPr="00D74F3E">
        <w:rPr>
          <w:sz w:val="20"/>
          <w:szCs w:val="20"/>
          <w:lang w:val="en-AU"/>
        </w:rPr>
        <w:t>(2014) NSWCATOD 113</w:t>
      </w:r>
      <w:r>
        <w:rPr>
          <w:sz w:val="20"/>
          <w:szCs w:val="20"/>
          <w:lang w:val="en-AU"/>
        </w:rPr>
        <w:t>, [235]</w:t>
      </w:r>
      <w:r w:rsidRPr="00D74F3E">
        <w:rPr>
          <w:sz w:val="20"/>
          <w:szCs w:val="20"/>
          <w:lang w:val="en-AU"/>
        </w:rPr>
        <w:t>.</w:t>
      </w:r>
    </w:p>
    <w:p w14:paraId="2E1D0025" w14:textId="77777777" w:rsidR="009967B5" w:rsidRPr="00BD5C50" w:rsidRDefault="009967B5" w:rsidP="00C646D0">
      <w:pPr>
        <w:spacing w:line="276" w:lineRule="auto"/>
        <w:rPr>
          <w:b/>
          <w:sz w:val="20"/>
          <w:szCs w:val="20"/>
          <w:lang w:val="en-AU"/>
        </w:rPr>
      </w:pPr>
    </w:p>
  </w:footnote>
  <w:footnote w:id="103">
    <w:p w14:paraId="0B6DCA0F" w14:textId="77202E33" w:rsidR="009967B5" w:rsidRPr="00160F37" w:rsidRDefault="009967B5">
      <w:pPr>
        <w:pStyle w:val="FootnoteText"/>
        <w:rPr>
          <w:sz w:val="20"/>
          <w:szCs w:val="20"/>
        </w:rPr>
      </w:pPr>
      <w:r w:rsidRPr="00160F37">
        <w:rPr>
          <w:rStyle w:val="FootnoteReference"/>
          <w:sz w:val="20"/>
          <w:szCs w:val="20"/>
        </w:rPr>
        <w:footnoteRef/>
      </w:r>
      <w:r w:rsidRPr="00160F37">
        <w:rPr>
          <w:sz w:val="20"/>
          <w:szCs w:val="20"/>
        </w:rPr>
        <w:t xml:space="preserve"> Ibid [257].</w:t>
      </w:r>
    </w:p>
    <w:p w14:paraId="78855E3C" w14:textId="77777777" w:rsidR="009967B5" w:rsidRPr="00BD5C50" w:rsidRDefault="009967B5">
      <w:pPr>
        <w:pStyle w:val="FootnoteText"/>
        <w:rPr>
          <w:sz w:val="20"/>
          <w:szCs w:val="20"/>
          <w:lang w:val="en-AU"/>
        </w:rPr>
      </w:pPr>
    </w:p>
  </w:footnote>
  <w:footnote w:id="104">
    <w:p w14:paraId="128D157E" w14:textId="28995B42" w:rsidR="009967B5" w:rsidRPr="00D74F3E" w:rsidRDefault="009967B5" w:rsidP="00582C94">
      <w:pPr>
        <w:pStyle w:val="FootnoteText"/>
        <w:rPr>
          <w:sz w:val="20"/>
          <w:szCs w:val="20"/>
          <w:lang w:val="en-AU"/>
        </w:rPr>
      </w:pPr>
      <w:r w:rsidRPr="00160F37">
        <w:rPr>
          <w:rStyle w:val="FootnoteReference"/>
          <w:sz w:val="20"/>
          <w:szCs w:val="20"/>
        </w:rPr>
        <w:footnoteRef/>
      </w:r>
      <w:r w:rsidRPr="00160F37">
        <w:rPr>
          <w:sz w:val="20"/>
          <w:szCs w:val="20"/>
        </w:rPr>
        <w:t xml:space="preserve"> Ibid </w:t>
      </w:r>
      <w:r w:rsidRPr="00D74F3E">
        <w:rPr>
          <w:sz w:val="20"/>
          <w:szCs w:val="20"/>
          <w:lang w:val="en-AU"/>
        </w:rPr>
        <w:t>[250].</w:t>
      </w:r>
    </w:p>
    <w:p w14:paraId="5A71E45E" w14:textId="77777777" w:rsidR="009967B5" w:rsidRPr="00BD5C50" w:rsidRDefault="009967B5" w:rsidP="00582C94">
      <w:pPr>
        <w:pStyle w:val="FootnoteText"/>
        <w:rPr>
          <w:sz w:val="20"/>
          <w:szCs w:val="20"/>
          <w:lang w:val="en-AU"/>
        </w:rPr>
      </w:pPr>
    </w:p>
  </w:footnote>
  <w:footnote w:id="105">
    <w:p w14:paraId="6E2D4727" w14:textId="0C05ADAD" w:rsidR="009967B5" w:rsidRPr="00504AE4" w:rsidRDefault="009967B5" w:rsidP="00451685">
      <w:pPr>
        <w:pStyle w:val="FootnoteText"/>
        <w:rPr>
          <w:sz w:val="20"/>
          <w:szCs w:val="20"/>
          <w:lang w:val="en-GB"/>
        </w:rPr>
      </w:pPr>
      <w:r w:rsidRPr="00160F37">
        <w:rPr>
          <w:rStyle w:val="FootnoteReference"/>
        </w:rPr>
        <w:footnoteRef/>
      </w:r>
      <w:r w:rsidRPr="00160F37">
        <w:t xml:space="preserve"> </w:t>
      </w:r>
      <w:r w:rsidRPr="00D74F3E">
        <w:rPr>
          <w:rStyle w:val="Emphasis"/>
          <w:sz w:val="20"/>
          <w:szCs w:val="20"/>
        </w:rPr>
        <w:t>Pearce</w:t>
      </w:r>
      <w:r w:rsidRPr="00D10DA3">
        <w:rPr>
          <w:rStyle w:val="st"/>
          <w:i/>
          <w:sz w:val="20"/>
          <w:szCs w:val="20"/>
        </w:rPr>
        <w:t xml:space="preserve"> v United Bristol Healthcare NHS Trust</w:t>
      </w:r>
      <w:r w:rsidRPr="002F356E">
        <w:rPr>
          <w:rStyle w:val="st"/>
          <w:sz w:val="20"/>
          <w:szCs w:val="20"/>
        </w:rPr>
        <w:t xml:space="preserve"> (1998) 48 BMLR 118 </w:t>
      </w:r>
      <w:r w:rsidRPr="00504AE4">
        <w:rPr>
          <w:sz w:val="20"/>
          <w:szCs w:val="20"/>
          <w:lang w:val="en-GB"/>
        </w:rPr>
        <w:t>(to the unborn child).</w:t>
      </w:r>
    </w:p>
    <w:p w14:paraId="50E48888" w14:textId="77777777" w:rsidR="009967B5" w:rsidRPr="00BD5C50" w:rsidRDefault="009967B5" w:rsidP="00451685">
      <w:pPr>
        <w:pStyle w:val="FootnoteText"/>
        <w:rPr>
          <w:lang w:val="en-AU"/>
        </w:rPr>
      </w:pPr>
    </w:p>
  </w:footnote>
  <w:footnote w:id="106">
    <w:p w14:paraId="3C23F934" w14:textId="0749F057" w:rsidR="009967B5" w:rsidRPr="00707B75" w:rsidRDefault="009967B5" w:rsidP="00D05787">
      <w:pPr>
        <w:pStyle w:val="FootnoteText"/>
        <w:rPr>
          <w:sz w:val="20"/>
          <w:szCs w:val="20"/>
          <w:lang w:val="en-GB"/>
        </w:rPr>
      </w:pPr>
      <w:r w:rsidRPr="00160F37">
        <w:rPr>
          <w:rStyle w:val="FootnoteReference"/>
        </w:rPr>
        <w:footnoteRef/>
      </w:r>
      <w:r w:rsidRPr="00160F37">
        <w:t xml:space="preserve"> </w:t>
      </w:r>
      <w:proofErr w:type="spellStart"/>
      <w:r w:rsidRPr="00D74F3E">
        <w:rPr>
          <w:rStyle w:val="Emphasis"/>
          <w:sz w:val="20"/>
          <w:szCs w:val="20"/>
        </w:rPr>
        <w:t>Sidaway</w:t>
      </w:r>
      <w:proofErr w:type="spellEnd"/>
      <w:r w:rsidRPr="00D10DA3">
        <w:rPr>
          <w:rStyle w:val="st"/>
          <w:sz w:val="20"/>
          <w:szCs w:val="20"/>
        </w:rPr>
        <w:t xml:space="preserve"> </w:t>
      </w:r>
      <w:r w:rsidRPr="002F356E">
        <w:rPr>
          <w:rStyle w:val="st"/>
          <w:i/>
          <w:sz w:val="20"/>
          <w:szCs w:val="20"/>
        </w:rPr>
        <w:t xml:space="preserve">v Board of Governors of the </w:t>
      </w:r>
      <w:proofErr w:type="spellStart"/>
      <w:r w:rsidRPr="002F356E">
        <w:rPr>
          <w:rStyle w:val="st"/>
          <w:i/>
          <w:sz w:val="20"/>
          <w:szCs w:val="20"/>
        </w:rPr>
        <w:t>Bethl</w:t>
      </w:r>
      <w:r w:rsidRPr="00504AE4">
        <w:rPr>
          <w:rStyle w:val="st"/>
          <w:i/>
          <w:sz w:val="20"/>
          <w:szCs w:val="20"/>
        </w:rPr>
        <w:t>em</w:t>
      </w:r>
      <w:proofErr w:type="spellEnd"/>
      <w:r w:rsidRPr="00504AE4">
        <w:rPr>
          <w:rStyle w:val="st"/>
          <w:i/>
          <w:sz w:val="20"/>
          <w:szCs w:val="20"/>
        </w:rPr>
        <w:t xml:space="preserve"> Royal Hospital </w:t>
      </w:r>
      <w:r w:rsidRPr="00504AE4">
        <w:rPr>
          <w:rStyle w:val="st"/>
          <w:sz w:val="20"/>
          <w:szCs w:val="20"/>
        </w:rPr>
        <w:t>[1985] AC 871 (spinal injury);</w:t>
      </w:r>
      <w:r w:rsidRPr="002D018C">
        <w:rPr>
          <w:i/>
          <w:sz w:val="20"/>
          <w:szCs w:val="20"/>
          <w:lang w:val="en-GB"/>
        </w:rPr>
        <w:t xml:space="preserve"> Birch v University College London </w:t>
      </w:r>
      <w:proofErr w:type="spellStart"/>
      <w:r w:rsidRPr="002D018C">
        <w:rPr>
          <w:i/>
          <w:sz w:val="20"/>
          <w:szCs w:val="20"/>
          <w:lang w:val="en-GB"/>
        </w:rPr>
        <w:t>Hopital</w:t>
      </w:r>
      <w:proofErr w:type="spellEnd"/>
      <w:r w:rsidRPr="002D018C">
        <w:rPr>
          <w:i/>
          <w:sz w:val="20"/>
          <w:szCs w:val="20"/>
          <w:lang w:val="en-GB"/>
        </w:rPr>
        <w:t xml:space="preserve"> NHS Trust</w:t>
      </w:r>
      <w:r w:rsidRPr="00BD5C50">
        <w:rPr>
          <w:sz w:val="20"/>
          <w:szCs w:val="20"/>
        </w:rPr>
        <w:t xml:space="preserve"> </w:t>
      </w:r>
      <w:r w:rsidRPr="00BD5C50">
        <w:rPr>
          <w:rStyle w:val="st"/>
          <w:sz w:val="20"/>
          <w:szCs w:val="20"/>
        </w:rPr>
        <w:t>2008] EWHC 2237 (QB);</w:t>
      </w:r>
      <w:r w:rsidRPr="00D46D87">
        <w:rPr>
          <w:i/>
          <w:sz w:val="20"/>
          <w:szCs w:val="20"/>
          <w:lang w:val="en-GB"/>
        </w:rPr>
        <w:t xml:space="preserve"> </w:t>
      </w:r>
      <w:r w:rsidRPr="00707B75">
        <w:rPr>
          <w:sz w:val="20"/>
          <w:szCs w:val="20"/>
          <w:lang w:val="en-GB"/>
        </w:rPr>
        <w:t>(stroke);</w:t>
      </w:r>
      <w:r w:rsidRPr="00707B75">
        <w:rPr>
          <w:i/>
          <w:sz w:val="20"/>
          <w:szCs w:val="20"/>
          <w:lang w:val="en-GB"/>
        </w:rPr>
        <w:t xml:space="preserve"> Rogers </w:t>
      </w:r>
      <w:r w:rsidRPr="00707B75">
        <w:rPr>
          <w:sz w:val="20"/>
          <w:szCs w:val="20"/>
          <w:lang w:val="en-GB"/>
        </w:rPr>
        <w:t>(n2) (blindness).</w:t>
      </w:r>
    </w:p>
    <w:p w14:paraId="3A95E12B" w14:textId="77777777" w:rsidR="009967B5" w:rsidRPr="00707B75" w:rsidRDefault="009967B5" w:rsidP="00D05787">
      <w:pPr>
        <w:pStyle w:val="FootnoteText"/>
        <w:rPr>
          <w:lang w:val="en-AU"/>
        </w:rPr>
      </w:pPr>
    </w:p>
  </w:footnote>
  <w:footnote w:id="107">
    <w:p w14:paraId="7EE4A8DB" w14:textId="4D6C5A83" w:rsidR="009967B5" w:rsidRPr="00160F37" w:rsidRDefault="009967B5" w:rsidP="00945323">
      <w:pPr>
        <w:outlineLvl w:val="0"/>
        <w:rPr>
          <w:sz w:val="20"/>
          <w:szCs w:val="20"/>
          <w:lang w:val="en-GB"/>
        </w:rPr>
      </w:pPr>
      <w:r w:rsidRPr="00160F37">
        <w:rPr>
          <w:rStyle w:val="FootnoteReference"/>
          <w:sz w:val="20"/>
          <w:szCs w:val="20"/>
        </w:rPr>
        <w:footnoteRef/>
      </w:r>
      <w:r w:rsidRPr="00160F37">
        <w:rPr>
          <w:sz w:val="20"/>
          <w:szCs w:val="20"/>
        </w:rPr>
        <w:t xml:space="preserve"> </w:t>
      </w:r>
      <w:r w:rsidRPr="00D74F3E">
        <w:rPr>
          <w:sz w:val="20"/>
          <w:szCs w:val="20"/>
          <w:lang w:val="en-GB"/>
        </w:rPr>
        <w:t>GOSH Press Release, ‘</w:t>
      </w:r>
      <w:r w:rsidRPr="00D10DA3">
        <w:rPr>
          <w:rFonts w:eastAsia="Times New Roman"/>
          <w:bCs/>
          <w:kern w:val="36"/>
          <w:sz w:val="20"/>
          <w:szCs w:val="20"/>
        </w:rPr>
        <w:t xml:space="preserve">World first use of gene-edited immune cells to treat ‘incurable’ </w:t>
      </w:r>
      <w:proofErr w:type="spellStart"/>
      <w:r w:rsidRPr="00D10DA3">
        <w:rPr>
          <w:rFonts w:eastAsia="Times New Roman"/>
          <w:bCs/>
          <w:kern w:val="36"/>
          <w:sz w:val="20"/>
          <w:szCs w:val="20"/>
        </w:rPr>
        <w:t>leukaemia</w:t>
      </w:r>
      <w:proofErr w:type="spellEnd"/>
      <w:r w:rsidRPr="002F356E">
        <w:rPr>
          <w:rFonts w:eastAsia="Times New Roman"/>
          <w:bCs/>
          <w:kern w:val="36"/>
          <w:sz w:val="20"/>
          <w:szCs w:val="20"/>
        </w:rPr>
        <w:t xml:space="preserve">’ 5 November 2015, </w:t>
      </w:r>
      <w:r w:rsidRPr="00504AE4">
        <w:rPr>
          <w:sz w:val="20"/>
          <w:szCs w:val="20"/>
          <w:lang w:val="en-GB"/>
        </w:rPr>
        <w:t xml:space="preserve"> </w:t>
      </w:r>
      <w:hyperlink r:id="rId13" w:history="1">
        <w:r w:rsidRPr="006F51F4">
          <w:rPr>
            <w:rStyle w:val="Hyperlink"/>
            <w:color w:val="auto"/>
            <w:sz w:val="20"/>
            <w:szCs w:val="20"/>
            <w:lang w:val="en-GB"/>
          </w:rPr>
          <w:t>https://www.gosh.nhs.uk/news/latest-press-releases/2015-press-release-archive/world-first-use-gene-edited-immune-cells-treat-incurable-leukaemia</w:t>
        </w:r>
      </w:hyperlink>
      <w:r w:rsidRPr="00160F37">
        <w:rPr>
          <w:sz w:val="20"/>
          <w:szCs w:val="20"/>
          <w:lang w:val="en-GB"/>
        </w:rPr>
        <w:t>.</w:t>
      </w:r>
    </w:p>
    <w:p w14:paraId="6B4DF052" w14:textId="77777777" w:rsidR="009967B5" w:rsidRPr="00BD5C50" w:rsidRDefault="009967B5" w:rsidP="00945323">
      <w:pPr>
        <w:outlineLvl w:val="0"/>
        <w:rPr>
          <w:sz w:val="20"/>
          <w:szCs w:val="20"/>
          <w:lang w:val="en-GB"/>
        </w:rPr>
      </w:pPr>
    </w:p>
  </w:footnote>
  <w:footnote w:id="108">
    <w:p w14:paraId="7CB3F36B" w14:textId="1E4EA8DA" w:rsidR="009967B5" w:rsidRPr="00504AE4" w:rsidRDefault="009967B5" w:rsidP="00D664FD">
      <w:pPr>
        <w:pStyle w:val="FootnoteText"/>
        <w:rPr>
          <w:sz w:val="20"/>
          <w:szCs w:val="20"/>
        </w:rPr>
      </w:pPr>
      <w:r w:rsidRPr="00160F37">
        <w:rPr>
          <w:rStyle w:val="FootnoteReference"/>
          <w:sz w:val="20"/>
          <w:szCs w:val="20"/>
        </w:rPr>
        <w:footnoteRef/>
      </w:r>
      <w:r w:rsidRPr="00160F37">
        <w:rPr>
          <w:sz w:val="20"/>
          <w:szCs w:val="20"/>
        </w:rPr>
        <w:t xml:space="preserve"> </w:t>
      </w:r>
      <w:proofErr w:type="spellStart"/>
      <w:r w:rsidRPr="00D74F3E">
        <w:rPr>
          <w:bCs/>
          <w:i/>
          <w:iCs/>
          <w:sz w:val="20"/>
          <w:szCs w:val="20"/>
          <w:lang w:val="en-AU"/>
        </w:rPr>
        <w:t>Duce</w:t>
      </w:r>
      <w:proofErr w:type="spellEnd"/>
      <w:r w:rsidRPr="00D10DA3">
        <w:rPr>
          <w:bCs/>
          <w:sz w:val="20"/>
          <w:szCs w:val="20"/>
          <w:lang w:val="en-AU"/>
        </w:rPr>
        <w:t xml:space="preserve"> (n82)</w:t>
      </w:r>
      <w:r w:rsidRPr="00504AE4">
        <w:rPr>
          <w:bCs/>
          <w:sz w:val="20"/>
          <w:szCs w:val="20"/>
          <w:lang w:val="en-AU"/>
        </w:rPr>
        <w:t xml:space="preserve"> [43].</w:t>
      </w:r>
    </w:p>
    <w:p w14:paraId="1E8E595F" w14:textId="77777777" w:rsidR="009967B5" w:rsidRPr="00BD5C50" w:rsidRDefault="009967B5" w:rsidP="00D664FD">
      <w:pPr>
        <w:pStyle w:val="FootnoteText"/>
        <w:rPr>
          <w:sz w:val="20"/>
          <w:szCs w:val="20"/>
        </w:rPr>
      </w:pPr>
    </w:p>
  </w:footnote>
  <w:footnote w:id="109">
    <w:p w14:paraId="6F6A3587" w14:textId="2D58880F" w:rsidR="009967B5" w:rsidRPr="00530CCD" w:rsidRDefault="009967B5" w:rsidP="00D664FD">
      <w:pPr>
        <w:pStyle w:val="FootnoteText"/>
        <w:rPr>
          <w:i/>
          <w:iCs/>
          <w:sz w:val="20"/>
          <w:szCs w:val="20"/>
        </w:rPr>
      </w:pPr>
      <w:r w:rsidRPr="00160F37">
        <w:rPr>
          <w:rStyle w:val="FootnoteReference"/>
          <w:sz w:val="20"/>
          <w:szCs w:val="20"/>
        </w:rPr>
        <w:footnoteRef/>
      </w:r>
      <w:r w:rsidRPr="00160F37">
        <w:rPr>
          <w:sz w:val="20"/>
          <w:szCs w:val="20"/>
        </w:rPr>
        <w:t xml:space="preserve"> </w:t>
      </w:r>
      <w:proofErr w:type="spellStart"/>
      <w:r w:rsidRPr="00160F37">
        <w:rPr>
          <w:sz w:val="20"/>
          <w:szCs w:val="20"/>
        </w:rPr>
        <w:t>T</w:t>
      </w:r>
      <w:r w:rsidR="008F55F7">
        <w:rPr>
          <w:sz w:val="20"/>
          <w:szCs w:val="20"/>
        </w:rPr>
        <w:t>sachi</w:t>
      </w:r>
      <w:proofErr w:type="spellEnd"/>
      <w:r w:rsidRPr="00160F37">
        <w:rPr>
          <w:sz w:val="20"/>
          <w:szCs w:val="20"/>
        </w:rPr>
        <w:t xml:space="preserve"> Keren-Paz and </w:t>
      </w:r>
      <w:proofErr w:type="spellStart"/>
      <w:r w:rsidRPr="00160F37">
        <w:rPr>
          <w:sz w:val="20"/>
          <w:szCs w:val="20"/>
        </w:rPr>
        <w:t>A</w:t>
      </w:r>
      <w:r w:rsidR="008F55F7">
        <w:rPr>
          <w:sz w:val="20"/>
          <w:szCs w:val="20"/>
        </w:rPr>
        <w:t>lica</w:t>
      </w:r>
      <w:proofErr w:type="spellEnd"/>
      <w:r w:rsidRPr="00160F37">
        <w:rPr>
          <w:sz w:val="20"/>
          <w:szCs w:val="20"/>
        </w:rPr>
        <w:t xml:space="preserve"> El Haj, ‘Liability versus Innovation: The Legal Case for Regenerative Medicine’ (2014)</w:t>
      </w:r>
      <w:r w:rsidR="008F55F7">
        <w:rPr>
          <w:i/>
          <w:iCs/>
          <w:sz w:val="20"/>
          <w:szCs w:val="20"/>
        </w:rPr>
        <w:t xml:space="preserve"> </w:t>
      </w:r>
      <w:r w:rsidRPr="00530CCD">
        <w:rPr>
          <w:i/>
          <w:iCs/>
          <w:sz w:val="20"/>
          <w:szCs w:val="20"/>
        </w:rPr>
        <w:t>Tissue Engineering, Part A</w:t>
      </w:r>
      <w:r w:rsidRPr="00530CCD">
        <w:rPr>
          <w:iCs/>
          <w:sz w:val="20"/>
          <w:szCs w:val="20"/>
        </w:rPr>
        <w:t>:</w:t>
      </w:r>
      <w:r w:rsidRPr="00530CCD">
        <w:rPr>
          <w:i/>
          <w:iCs/>
          <w:sz w:val="20"/>
          <w:szCs w:val="20"/>
        </w:rPr>
        <w:t xml:space="preserve"> </w:t>
      </w:r>
      <w:r w:rsidRPr="00530CCD">
        <w:rPr>
          <w:iCs/>
          <w:sz w:val="20"/>
          <w:szCs w:val="20"/>
        </w:rPr>
        <w:t>DOI: 10.1089/ten.tea.2013.0324,</w:t>
      </w:r>
      <w:r w:rsidRPr="00530CCD">
        <w:rPr>
          <w:i/>
          <w:iCs/>
          <w:sz w:val="20"/>
          <w:szCs w:val="20"/>
        </w:rPr>
        <w:t xml:space="preserve"> </w:t>
      </w:r>
      <w:r w:rsidRPr="00530CCD">
        <w:rPr>
          <w:sz w:val="20"/>
          <w:szCs w:val="20"/>
        </w:rPr>
        <w:t>2.</w:t>
      </w:r>
    </w:p>
    <w:p w14:paraId="5894798C" w14:textId="77777777" w:rsidR="009967B5" w:rsidRPr="00BD5C50" w:rsidRDefault="009967B5" w:rsidP="00D664FD">
      <w:pPr>
        <w:pStyle w:val="FootnoteText"/>
        <w:rPr>
          <w:sz w:val="20"/>
          <w:szCs w:val="20"/>
        </w:rPr>
      </w:pPr>
    </w:p>
  </w:footnote>
  <w:footnote w:id="110">
    <w:p w14:paraId="6E419925" w14:textId="617545C1" w:rsidR="009967B5" w:rsidRPr="00160F37" w:rsidRDefault="009967B5" w:rsidP="00D664FD">
      <w:pPr>
        <w:pStyle w:val="FootnoteText"/>
        <w:rPr>
          <w:sz w:val="20"/>
          <w:szCs w:val="20"/>
        </w:rPr>
      </w:pPr>
      <w:r w:rsidRPr="00160F37">
        <w:rPr>
          <w:rStyle w:val="FootnoteReference"/>
          <w:sz w:val="20"/>
          <w:szCs w:val="20"/>
        </w:rPr>
        <w:footnoteRef/>
      </w:r>
      <w:r w:rsidRPr="00160F37">
        <w:rPr>
          <w:sz w:val="20"/>
          <w:szCs w:val="20"/>
        </w:rPr>
        <w:t xml:space="preserve"> Ibid.</w:t>
      </w:r>
    </w:p>
    <w:p w14:paraId="6B01E51D" w14:textId="77777777" w:rsidR="009967B5" w:rsidRPr="00BD5C50" w:rsidRDefault="009967B5" w:rsidP="00D664FD">
      <w:pPr>
        <w:pStyle w:val="FootnoteText"/>
        <w:rPr>
          <w:sz w:val="20"/>
          <w:szCs w:val="20"/>
        </w:rPr>
      </w:pPr>
    </w:p>
  </w:footnote>
  <w:footnote w:id="111">
    <w:p w14:paraId="577972EA" w14:textId="559E6E63" w:rsidR="009967B5" w:rsidRPr="006F51F4" w:rsidRDefault="009967B5" w:rsidP="005E4273">
      <w:pPr>
        <w:pStyle w:val="FootnoteText"/>
        <w:jc w:val="both"/>
        <w:rPr>
          <w:rFonts w:eastAsia="Times New Roman"/>
          <w:sz w:val="20"/>
          <w:szCs w:val="20"/>
          <w:shd w:val="clear" w:color="auto" w:fill="FFFFFF"/>
          <w:lang w:val="en-GB"/>
        </w:rPr>
      </w:pPr>
      <w:r w:rsidRPr="00160F37">
        <w:rPr>
          <w:rStyle w:val="FootnoteReference"/>
        </w:rPr>
        <w:footnoteRef/>
      </w:r>
      <w:r w:rsidRPr="00160F37">
        <w:t xml:space="preserve"> </w:t>
      </w:r>
      <w:r w:rsidRPr="00D74F3E">
        <w:rPr>
          <w:sz w:val="20"/>
          <w:szCs w:val="20"/>
          <w:lang w:val="en-GB"/>
        </w:rPr>
        <w:t xml:space="preserve">E.g., </w:t>
      </w:r>
      <w:r w:rsidRPr="00D10DA3">
        <w:rPr>
          <w:i/>
          <w:sz w:val="20"/>
          <w:szCs w:val="20"/>
          <w:lang w:val="en-GB"/>
        </w:rPr>
        <w:t xml:space="preserve">Estrada v </w:t>
      </w:r>
      <w:proofErr w:type="spellStart"/>
      <w:r w:rsidRPr="00D10DA3">
        <w:rPr>
          <w:i/>
          <w:sz w:val="20"/>
          <w:szCs w:val="20"/>
          <w:lang w:val="en-GB"/>
        </w:rPr>
        <w:t>Jaques</w:t>
      </w:r>
      <w:proofErr w:type="spellEnd"/>
      <w:r w:rsidRPr="002F356E">
        <w:rPr>
          <w:sz w:val="20"/>
          <w:szCs w:val="20"/>
          <w:lang w:val="en-GB"/>
        </w:rPr>
        <w:t xml:space="preserve"> </w:t>
      </w:r>
      <w:r w:rsidRPr="006F51F4">
        <w:rPr>
          <w:rFonts w:eastAsia="Times New Roman"/>
          <w:sz w:val="20"/>
          <w:szCs w:val="20"/>
          <w:shd w:val="clear" w:color="auto" w:fill="FFFFFF"/>
        </w:rPr>
        <w:t>321 S.E.2d 240 (N.C. Ct. App. 1984)</w:t>
      </w:r>
      <w:r w:rsidRPr="00160F37">
        <w:rPr>
          <w:sz w:val="20"/>
          <w:szCs w:val="20"/>
          <w:lang w:val="en-GB"/>
        </w:rPr>
        <w:t xml:space="preserve"> (</w:t>
      </w:r>
      <w:r>
        <w:rPr>
          <w:sz w:val="20"/>
          <w:szCs w:val="20"/>
          <w:lang w:val="en-GB"/>
        </w:rPr>
        <w:t>The</w:t>
      </w:r>
      <w:r w:rsidRPr="00160F37">
        <w:rPr>
          <w:sz w:val="20"/>
          <w:szCs w:val="20"/>
          <w:lang w:val="en-GB"/>
        </w:rPr>
        <w:t xml:space="preserve"> Court held doctors ‘</w:t>
      </w:r>
      <w:r w:rsidRPr="00BD5C50">
        <w:rPr>
          <w:rFonts w:eastAsia="Times New Roman"/>
          <w:sz w:val="20"/>
          <w:szCs w:val="20"/>
          <w:lang w:val="en-GB" w:eastAsia="en-AU"/>
        </w:rPr>
        <w:t xml:space="preserve">had a duty to disclose the novel nature of “relatively new” procedures and “any uncertainty regarding the risks” associated with such procedures.’). Cf. </w:t>
      </w:r>
      <w:proofErr w:type="spellStart"/>
      <w:r w:rsidRPr="00D46D87">
        <w:rPr>
          <w:rFonts w:eastAsia="Times New Roman"/>
          <w:i/>
          <w:sz w:val="20"/>
          <w:szCs w:val="20"/>
          <w:lang w:val="en-GB" w:eastAsia="en-AU"/>
        </w:rPr>
        <w:t>Osburn</w:t>
      </w:r>
      <w:proofErr w:type="spellEnd"/>
      <w:r w:rsidRPr="00D46D87">
        <w:rPr>
          <w:rFonts w:eastAsia="Times New Roman"/>
          <w:i/>
          <w:sz w:val="20"/>
          <w:szCs w:val="20"/>
          <w:lang w:val="en-GB" w:eastAsia="en-AU"/>
        </w:rPr>
        <w:t xml:space="preserve"> v </w:t>
      </w:r>
      <w:proofErr w:type="spellStart"/>
      <w:r w:rsidRPr="00D46D87">
        <w:rPr>
          <w:rFonts w:eastAsia="Times New Roman"/>
          <w:i/>
          <w:sz w:val="20"/>
          <w:szCs w:val="20"/>
          <w:lang w:val="en-GB" w:eastAsia="en-AU"/>
        </w:rPr>
        <w:t>Danek</w:t>
      </w:r>
      <w:proofErr w:type="spellEnd"/>
      <w:r w:rsidRPr="00D46D87">
        <w:rPr>
          <w:rFonts w:eastAsia="Times New Roman"/>
          <w:i/>
          <w:sz w:val="20"/>
          <w:szCs w:val="20"/>
          <w:lang w:val="en-GB" w:eastAsia="en-AU"/>
        </w:rPr>
        <w:t xml:space="preserve"> </w:t>
      </w:r>
      <w:r w:rsidRPr="00707B75">
        <w:rPr>
          <w:rFonts w:eastAsia="Times New Roman"/>
          <w:i/>
          <w:sz w:val="20"/>
          <w:szCs w:val="20"/>
          <w:lang w:val="en-AU" w:eastAsia="en-AU"/>
        </w:rPr>
        <w:t>Medical Inc</w:t>
      </w:r>
      <w:r w:rsidRPr="00707B75">
        <w:rPr>
          <w:rFonts w:eastAsia="Times New Roman"/>
          <w:sz w:val="20"/>
          <w:szCs w:val="20"/>
          <w:lang w:val="en-AU" w:eastAsia="en-AU"/>
        </w:rPr>
        <w:t xml:space="preserve"> </w:t>
      </w:r>
      <w:r w:rsidRPr="006F51F4">
        <w:rPr>
          <w:rFonts w:eastAsia="Times New Roman"/>
          <w:sz w:val="20"/>
          <w:szCs w:val="20"/>
          <w:shd w:val="clear" w:color="auto" w:fill="FFFFFF"/>
        </w:rPr>
        <w:t>520 S.E.2d 88 (N.C. Ct. App.1999 (</w:t>
      </w:r>
      <w:r>
        <w:rPr>
          <w:rFonts w:eastAsia="Times New Roman"/>
          <w:sz w:val="20"/>
          <w:szCs w:val="20"/>
          <w:lang w:val="en-AU" w:eastAsia="en-AU"/>
        </w:rPr>
        <w:t>same</w:t>
      </w:r>
      <w:r w:rsidRPr="00160F37">
        <w:rPr>
          <w:rFonts w:eastAsia="Times New Roman"/>
          <w:sz w:val="20"/>
          <w:szCs w:val="20"/>
          <w:lang w:val="en-AU" w:eastAsia="en-AU"/>
        </w:rPr>
        <w:t xml:space="preserve"> Court refused to follow </w:t>
      </w:r>
      <w:r w:rsidRPr="00D74F3E">
        <w:rPr>
          <w:rFonts w:eastAsia="Times New Roman"/>
          <w:i/>
          <w:sz w:val="20"/>
          <w:szCs w:val="20"/>
          <w:lang w:val="en-AU" w:eastAsia="en-AU"/>
        </w:rPr>
        <w:t>Estrada</w:t>
      </w:r>
      <w:r w:rsidRPr="00D10DA3">
        <w:rPr>
          <w:rFonts w:eastAsia="Times New Roman"/>
          <w:sz w:val="20"/>
          <w:szCs w:val="20"/>
          <w:lang w:val="en-AU" w:eastAsia="en-AU"/>
        </w:rPr>
        <w:t>, stating it unnecessary to require a doctor ‘</w:t>
      </w:r>
      <w:r w:rsidRPr="006F51F4">
        <w:rPr>
          <w:rFonts w:eastAsia="Times New Roman"/>
          <w:sz w:val="20"/>
          <w:szCs w:val="20"/>
          <w:shd w:val="clear" w:color="auto" w:fill="FFFFFF"/>
        </w:rPr>
        <w:t xml:space="preserve">to </w:t>
      </w:r>
      <w:r w:rsidRPr="006F51F4">
        <w:rPr>
          <w:rFonts w:eastAsia="Times New Roman"/>
          <w:sz w:val="20"/>
          <w:szCs w:val="20"/>
          <w:shd w:val="clear" w:color="auto" w:fill="FFFFFF"/>
          <w:lang w:val="en-GB"/>
        </w:rPr>
        <w:t>inform patients in every instance that a procedure is experimental in nature’).</w:t>
      </w:r>
      <w:r w:rsidRPr="00160F37">
        <w:rPr>
          <w:sz w:val="20"/>
          <w:szCs w:val="20"/>
        </w:rPr>
        <w:t xml:space="preserve"> </w:t>
      </w:r>
    </w:p>
    <w:p w14:paraId="0BA450CE" w14:textId="77777777" w:rsidR="009967B5" w:rsidRPr="00160F37" w:rsidRDefault="009967B5" w:rsidP="0040022A">
      <w:pPr>
        <w:pStyle w:val="FootnoteText"/>
        <w:rPr>
          <w:lang w:val="en-AU"/>
        </w:rPr>
      </w:pPr>
    </w:p>
  </w:footnote>
  <w:footnote w:id="112">
    <w:p w14:paraId="117A623A" w14:textId="53305D1C" w:rsidR="009967B5" w:rsidRPr="009C1528" w:rsidRDefault="009967B5">
      <w:pPr>
        <w:pStyle w:val="FootnoteText"/>
        <w:rPr>
          <w:sz w:val="20"/>
          <w:szCs w:val="20"/>
        </w:rPr>
      </w:pPr>
      <w:r w:rsidRPr="00160F37">
        <w:rPr>
          <w:rStyle w:val="FootnoteReference"/>
          <w:sz w:val="20"/>
          <w:szCs w:val="20"/>
        </w:rPr>
        <w:footnoteRef/>
      </w:r>
      <w:r w:rsidRPr="00160F37">
        <w:rPr>
          <w:sz w:val="20"/>
          <w:szCs w:val="20"/>
        </w:rPr>
        <w:t xml:space="preserve"> Char et al (n63)</w:t>
      </w:r>
      <w:r w:rsidRPr="00D10DA3">
        <w:rPr>
          <w:sz w:val="20"/>
          <w:szCs w:val="20"/>
        </w:rPr>
        <w:t xml:space="preserve"> </w:t>
      </w:r>
      <w:r w:rsidRPr="00504AE4">
        <w:rPr>
          <w:sz w:val="20"/>
          <w:szCs w:val="20"/>
        </w:rPr>
        <w:t>5-6</w:t>
      </w:r>
      <w:r w:rsidRPr="002D018C">
        <w:rPr>
          <w:sz w:val="20"/>
          <w:szCs w:val="20"/>
        </w:rPr>
        <w:t>.</w:t>
      </w:r>
    </w:p>
    <w:p w14:paraId="1A178136" w14:textId="77777777" w:rsidR="009967B5" w:rsidRPr="00BD5C50" w:rsidRDefault="009967B5">
      <w:pPr>
        <w:pStyle w:val="FootnoteText"/>
        <w:rPr>
          <w:sz w:val="20"/>
          <w:szCs w:val="20"/>
        </w:rPr>
      </w:pPr>
    </w:p>
  </w:footnote>
  <w:footnote w:id="113">
    <w:p w14:paraId="1F170E22" w14:textId="62970F84" w:rsidR="009967B5" w:rsidRPr="00504AE4" w:rsidRDefault="009967B5" w:rsidP="00004F8F">
      <w:pPr>
        <w:pStyle w:val="FootnoteText"/>
        <w:rPr>
          <w:sz w:val="20"/>
          <w:szCs w:val="20"/>
        </w:rPr>
      </w:pPr>
      <w:r w:rsidRPr="00160F37">
        <w:rPr>
          <w:rStyle w:val="FootnoteReference"/>
          <w:sz w:val="20"/>
          <w:szCs w:val="20"/>
        </w:rPr>
        <w:footnoteRef/>
      </w:r>
      <w:r w:rsidRPr="00160F37">
        <w:rPr>
          <w:sz w:val="20"/>
          <w:szCs w:val="20"/>
        </w:rPr>
        <w:t xml:space="preserve"> Richards and Hutchinson (n41)</w:t>
      </w:r>
      <w:r w:rsidRPr="00D10DA3">
        <w:rPr>
          <w:sz w:val="20"/>
          <w:szCs w:val="20"/>
        </w:rPr>
        <w:t xml:space="preserve"> </w:t>
      </w:r>
      <w:r w:rsidRPr="00504AE4">
        <w:rPr>
          <w:sz w:val="20"/>
          <w:szCs w:val="20"/>
        </w:rPr>
        <w:t>942.</w:t>
      </w:r>
    </w:p>
    <w:p w14:paraId="12C4A6E6" w14:textId="77777777" w:rsidR="009967B5" w:rsidRPr="00BD5C50" w:rsidRDefault="009967B5" w:rsidP="00004F8F">
      <w:pPr>
        <w:pStyle w:val="FootnoteText"/>
        <w:rPr>
          <w:sz w:val="20"/>
          <w:szCs w:val="20"/>
          <w:lang w:val="en-AU"/>
        </w:rPr>
      </w:pPr>
    </w:p>
  </w:footnote>
  <w:footnote w:id="114">
    <w:p w14:paraId="5285F7A1" w14:textId="77777777" w:rsidR="009967B5" w:rsidRPr="00160F37" w:rsidRDefault="009967B5">
      <w:pPr>
        <w:pStyle w:val="FootnoteText"/>
        <w:rPr>
          <w:sz w:val="20"/>
          <w:szCs w:val="20"/>
        </w:rPr>
      </w:pPr>
      <w:r w:rsidRPr="00160F37">
        <w:rPr>
          <w:rStyle w:val="FootnoteReference"/>
          <w:sz w:val="20"/>
          <w:szCs w:val="20"/>
        </w:rPr>
        <w:footnoteRef/>
      </w:r>
      <w:r w:rsidRPr="00160F37">
        <w:rPr>
          <w:sz w:val="20"/>
          <w:szCs w:val="20"/>
        </w:rPr>
        <w:t xml:space="preserve"> Ibid.</w:t>
      </w:r>
    </w:p>
    <w:p w14:paraId="3FD7A178" w14:textId="77777777" w:rsidR="009967B5" w:rsidRPr="00BD5C50" w:rsidRDefault="009967B5">
      <w:pPr>
        <w:pStyle w:val="FootnoteText"/>
        <w:rPr>
          <w:sz w:val="20"/>
          <w:szCs w:val="20"/>
        </w:rPr>
      </w:pPr>
    </w:p>
  </w:footnote>
  <w:footnote w:id="115">
    <w:p w14:paraId="576C9AE0" w14:textId="71953881" w:rsidR="009967B5" w:rsidRPr="00160F37" w:rsidRDefault="009967B5" w:rsidP="006607D1">
      <w:pPr>
        <w:pStyle w:val="FootnoteText"/>
        <w:rPr>
          <w:sz w:val="20"/>
          <w:szCs w:val="20"/>
        </w:rPr>
      </w:pPr>
      <w:r w:rsidRPr="00160F37">
        <w:rPr>
          <w:rStyle w:val="FootnoteReference"/>
          <w:sz w:val="20"/>
          <w:szCs w:val="20"/>
        </w:rPr>
        <w:footnoteRef/>
      </w:r>
      <w:r w:rsidRPr="00160F37">
        <w:rPr>
          <w:sz w:val="20"/>
          <w:szCs w:val="20"/>
        </w:rPr>
        <w:t xml:space="preserve"> Ibid. See the discussion of SIROT by Keren-Paz in this special issue.</w:t>
      </w:r>
    </w:p>
    <w:p w14:paraId="7C7E78DC" w14:textId="77777777" w:rsidR="009967B5" w:rsidRPr="00BD5C50" w:rsidRDefault="009967B5" w:rsidP="006607D1">
      <w:pPr>
        <w:pStyle w:val="FootnoteText"/>
        <w:rPr>
          <w:sz w:val="20"/>
          <w:szCs w:val="20"/>
        </w:rPr>
      </w:pPr>
    </w:p>
  </w:footnote>
  <w:footnote w:id="116">
    <w:p w14:paraId="1AEF88EF" w14:textId="77777777" w:rsidR="009967B5" w:rsidRPr="00160F37" w:rsidRDefault="009967B5" w:rsidP="006607D1">
      <w:pPr>
        <w:pStyle w:val="FootnoteText"/>
        <w:rPr>
          <w:sz w:val="20"/>
          <w:szCs w:val="20"/>
        </w:rPr>
      </w:pPr>
      <w:r w:rsidRPr="00160F37">
        <w:rPr>
          <w:rStyle w:val="FootnoteReference"/>
          <w:sz w:val="20"/>
          <w:szCs w:val="20"/>
        </w:rPr>
        <w:footnoteRef/>
      </w:r>
      <w:r w:rsidRPr="00160F37">
        <w:rPr>
          <w:sz w:val="20"/>
          <w:szCs w:val="20"/>
        </w:rPr>
        <w:t xml:space="preserve"> Ibid.</w:t>
      </w:r>
    </w:p>
    <w:p w14:paraId="7264F9C9" w14:textId="77777777" w:rsidR="009967B5" w:rsidRPr="00BD5C50" w:rsidRDefault="009967B5" w:rsidP="006607D1">
      <w:pPr>
        <w:pStyle w:val="FootnoteText"/>
        <w:rPr>
          <w:sz w:val="20"/>
          <w:szCs w:val="20"/>
        </w:rPr>
      </w:pPr>
    </w:p>
  </w:footnote>
  <w:footnote w:id="117">
    <w:p w14:paraId="7B718F2B" w14:textId="12CEEAD5" w:rsidR="009967B5" w:rsidRPr="009C1528" w:rsidRDefault="009967B5">
      <w:pPr>
        <w:pStyle w:val="FootnoteText"/>
        <w:rPr>
          <w:lang w:val="en-AU"/>
        </w:rPr>
      </w:pPr>
      <w:r w:rsidRPr="00160F37">
        <w:rPr>
          <w:rStyle w:val="FootnoteReference"/>
        </w:rPr>
        <w:footnoteRef/>
      </w:r>
      <w:r w:rsidRPr="00160F37">
        <w:t xml:space="preserve"> </w:t>
      </w:r>
      <w:r w:rsidRPr="00D74F3E">
        <w:rPr>
          <w:sz w:val="20"/>
          <w:szCs w:val="20"/>
          <w:lang w:val="en-AU"/>
        </w:rPr>
        <w:t>Chan (n29)</w:t>
      </w:r>
      <w:r w:rsidRPr="002F356E">
        <w:rPr>
          <w:sz w:val="20"/>
          <w:szCs w:val="20"/>
          <w:lang w:val="en-AU"/>
        </w:rPr>
        <w:t xml:space="preserve"> </w:t>
      </w:r>
      <w:r w:rsidRPr="002D018C">
        <w:rPr>
          <w:sz w:val="20"/>
          <w:szCs w:val="20"/>
          <w:lang w:val="en-AU"/>
        </w:rPr>
        <w:t>119-120.</w:t>
      </w:r>
    </w:p>
    <w:p w14:paraId="3E51B1FF" w14:textId="77777777" w:rsidR="009967B5" w:rsidRPr="00BD5C50" w:rsidRDefault="009967B5">
      <w:pPr>
        <w:pStyle w:val="FootnoteText"/>
        <w:rPr>
          <w:lang w:val="en-AU"/>
        </w:rPr>
      </w:pPr>
    </w:p>
  </w:footnote>
  <w:footnote w:id="118">
    <w:p w14:paraId="5CB36FBF" w14:textId="69F711C5" w:rsidR="009967B5" w:rsidRPr="00D74F3E" w:rsidRDefault="009967B5" w:rsidP="00004F8F">
      <w:pPr>
        <w:pStyle w:val="FootnoteText"/>
        <w:rPr>
          <w:sz w:val="20"/>
          <w:szCs w:val="20"/>
        </w:rPr>
      </w:pPr>
      <w:r w:rsidRPr="00160F37">
        <w:rPr>
          <w:rStyle w:val="FootnoteReference"/>
          <w:sz w:val="20"/>
          <w:szCs w:val="20"/>
        </w:rPr>
        <w:footnoteRef/>
      </w:r>
      <w:r w:rsidRPr="00160F37">
        <w:rPr>
          <w:sz w:val="20"/>
          <w:szCs w:val="20"/>
        </w:rPr>
        <w:t xml:space="preserve"> [2015] </w:t>
      </w:r>
      <w:r w:rsidRPr="00D74F3E">
        <w:rPr>
          <w:sz w:val="20"/>
          <w:szCs w:val="20"/>
        </w:rPr>
        <w:t>EWHC 3756.</w:t>
      </w:r>
    </w:p>
    <w:p w14:paraId="0DC53C37" w14:textId="77777777" w:rsidR="009967B5" w:rsidRPr="00BD5C50" w:rsidRDefault="009967B5" w:rsidP="00004F8F">
      <w:pPr>
        <w:pStyle w:val="FootnoteText"/>
        <w:rPr>
          <w:sz w:val="20"/>
          <w:szCs w:val="20"/>
          <w:lang w:val="en-AU"/>
        </w:rPr>
      </w:pPr>
    </w:p>
  </w:footnote>
  <w:footnote w:id="119">
    <w:p w14:paraId="6AD2C93A" w14:textId="271399F7" w:rsidR="009967B5" w:rsidRPr="00160F37" w:rsidRDefault="009967B5">
      <w:pPr>
        <w:pStyle w:val="FootnoteText"/>
        <w:rPr>
          <w:sz w:val="20"/>
          <w:szCs w:val="20"/>
        </w:rPr>
      </w:pPr>
      <w:r w:rsidRPr="00160F37">
        <w:rPr>
          <w:rStyle w:val="FootnoteReference"/>
          <w:sz w:val="20"/>
          <w:szCs w:val="20"/>
        </w:rPr>
        <w:footnoteRef/>
      </w:r>
      <w:r w:rsidRPr="00160F37">
        <w:rPr>
          <w:sz w:val="20"/>
          <w:szCs w:val="20"/>
        </w:rPr>
        <w:t xml:space="preserve"> Ibid [4].</w:t>
      </w:r>
    </w:p>
    <w:p w14:paraId="62A3BC68" w14:textId="77777777" w:rsidR="009967B5" w:rsidRPr="00BD5C50" w:rsidRDefault="009967B5">
      <w:pPr>
        <w:pStyle w:val="FootnoteText"/>
        <w:rPr>
          <w:sz w:val="20"/>
          <w:szCs w:val="20"/>
        </w:rPr>
      </w:pPr>
    </w:p>
  </w:footnote>
  <w:footnote w:id="120">
    <w:p w14:paraId="337EA3EB" w14:textId="36064F21" w:rsidR="009967B5" w:rsidRPr="00160F37" w:rsidRDefault="009967B5">
      <w:pPr>
        <w:pStyle w:val="FootnoteText"/>
        <w:rPr>
          <w:sz w:val="20"/>
          <w:szCs w:val="20"/>
        </w:rPr>
      </w:pPr>
      <w:r w:rsidRPr="00160F37">
        <w:rPr>
          <w:rStyle w:val="FootnoteReference"/>
          <w:sz w:val="20"/>
          <w:szCs w:val="20"/>
        </w:rPr>
        <w:footnoteRef/>
      </w:r>
      <w:r w:rsidRPr="00160F37">
        <w:rPr>
          <w:sz w:val="20"/>
          <w:szCs w:val="20"/>
        </w:rPr>
        <w:t xml:space="preserve"> Ibid [12].</w:t>
      </w:r>
    </w:p>
    <w:p w14:paraId="3E7FC4FD" w14:textId="77777777" w:rsidR="009967B5" w:rsidRPr="00BD5C50" w:rsidRDefault="009967B5">
      <w:pPr>
        <w:pStyle w:val="FootnoteText"/>
        <w:rPr>
          <w:sz w:val="20"/>
          <w:szCs w:val="20"/>
        </w:rPr>
      </w:pPr>
    </w:p>
  </w:footnote>
  <w:footnote w:id="121">
    <w:p w14:paraId="1C632CF0" w14:textId="2B1679E2" w:rsidR="009967B5" w:rsidRPr="006F51F4" w:rsidRDefault="009967B5" w:rsidP="00004F8F">
      <w:pPr>
        <w:pStyle w:val="FootnoteText"/>
        <w:rPr>
          <w:rStyle w:val="Hyperlink"/>
          <w:color w:val="auto"/>
          <w:sz w:val="20"/>
          <w:szCs w:val="20"/>
        </w:rPr>
      </w:pPr>
      <w:r w:rsidRPr="00160F37">
        <w:rPr>
          <w:rStyle w:val="FootnoteReference"/>
          <w:sz w:val="20"/>
          <w:szCs w:val="20"/>
        </w:rPr>
        <w:footnoteRef/>
      </w:r>
      <w:r w:rsidRPr="00160F37">
        <w:rPr>
          <w:sz w:val="20"/>
          <w:szCs w:val="20"/>
        </w:rPr>
        <w:t xml:space="preserve"> </w:t>
      </w:r>
      <w:r w:rsidRPr="00D74F3E">
        <w:rPr>
          <w:sz w:val="20"/>
          <w:szCs w:val="20"/>
          <w:lang w:val="en-AU"/>
        </w:rPr>
        <w:t>Louise Austin, ‘</w:t>
      </w:r>
      <w:proofErr w:type="spellStart"/>
      <w:r w:rsidRPr="00D10DA3">
        <w:rPr>
          <w:i/>
          <w:sz w:val="20"/>
          <w:szCs w:val="20"/>
          <w:lang w:val="en-AU"/>
        </w:rPr>
        <w:t>Grimstone</w:t>
      </w:r>
      <w:proofErr w:type="spellEnd"/>
      <w:r w:rsidRPr="00D10DA3">
        <w:rPr>
          <w:i/>
          <w:sz w:val="20"/>
          <w:szCs w:val="20"/>
          <w:lang w:val="en-AU"/>
        </w:rPr>
        <w:t xml:space="preserve"> v Epsom and St </w:t>
      </w:r>
      <w:proofErr w:type="spellStart"/>
      <w:r w:rsidRPr="00D10DA3">
        <w:rPr>
          <w:i/>
          <w:sz w:val="20"/>
          <w:szCs w:val="20"/>
          <w:lang w:val="en-AU"/>
        </w:rPr>
        <w:t>Helier</w:t>
      </w:r>
      <w:proofErr w:type="spellEnd"/>
      <w:r w:rsidRPr="00D10DA3">
        <w:rPr>
          <w:i/>
          <w:sz w:val="20"/>
          <w:szCs w:val="20"/>
          <w:lang w:val="en-AU"/>
        </w:rPr>
        <w:t xml:space="preserve"> University Hospitals NHS Trust</w:t>
      </w:r>
      <w:r w:rsidRPr="002F356E">
        <w:rPr>
          <w:sz w:val="20"/>
          <w:szCs w:val="20"/>
          <w:lang w:val="en-AU"/>
        </w:rPr>
        <w:t xml:space="preserve">: (It’s Not) Hip to be Square’ (2017) </w:t>
      </w:r>
      <w:r w:rsidRPr="00504AE4">
        <w:rPr>
          <w:i/>
          <w:iCs/>
          <w:sz w:val="20"/>
          <w:szCs w:val="20"/>
        </w:rPr>
        <w:t>Medical Law Review</w:t>
      </w:r>
      <w:r w:rsidRPr="002D018C">
        <w:rPr>
          <w:sz w:val="20"/>
          <w:szCs w:val="20"/>
        </w:rPr>
        <w:t xml:space="preserve">, fwx053, </w:t>
      </w:r>
      <w:hyperlink r:id="rId14" w:history="1">
        <w:r w:rsidRPr="006F51F4">
          <w:rPr>
            <w:rStyle w:val="Hyperlink"/>
            <w:color w:val="auto"/>
            <w:sz w:val="20"/>
            <w:szCs w:val="20"/>
          </w:rPr>
          <w:t>https://doi.org/10.1093/medlaw/fwx053</w:t>
        </w:r>
      </w:hyperlink>
      <w:r w:rsidRPr="006F51F4">
        <w:rPr>
          <w:rStyle w:val="Hyperlink"/>
          <w:color w:val="auto"/>
          <w:sz w:val="20"/>
          <w:szCs w:val="20"/>
        </w:rPr>
        <w:t>.</w:t>
      </w:r>
    </w:p>
    <w:p w14:paraId="46B4E445" w14:textId="77777777" w:rsidR="009967B5" w:rsidRPr="00160F37" w:rsidRDefault="009967B5" w:rsidP="00004F8F">
      <w:pPr>
        <w:pStyle w:val="FootnoteText"/>
        <w:rPr>
          <w:sz w:val="20"/>
          <w:szCs w:val="20"/>
          <w:lang w:val="en-AU"/>
        </w:rPr>
      </w:pPr>
    </w:p>
  </w:footnote>
  <w:footnote w:id="122">
    <w:p w14:paraId="047DC279" w14:textId="184EA53A" w:rsidR="009967B5" w:rsidRPr="00504AE4" w:rsidRDefault="009967B5">
      <w:pPr>
        <w:pStyle w:val="FootnoteText"/>
        <w:rPr>
          <w:sz w:val="20"/>
          <w:szCs w:val="20"/>
        </w:rPr>
      </w:pPr>
      <w:r w:rsidRPr="00160F37">
        <w:rPr>
          <w:rStyle w:val="FootnoteReference"/>
          <w:sz w:val="20"/>
          <w:szCs w:val="20"/>
        </w:rPr>
        <w:footnoteRef/>
      </w:r>
      <w:r w:rsidRPr="00160F37">
        <w:rPr>
          <w:sz w:val="20"/>
          <w:szCs w:val="20"/>
        </w:rPr>
        <w:t xml:space="preserve"> </w:t>
      </w:r>
      <w:r w:rsidRPr="00D74F3E">
        <w:rPr>
          <w:i/>
          <w:sz w:val="20"/>
          <w:szCs w:val="20"/>
        </w:rPr>
        <w:t>Montgomery</w:t>
      </w:r>
      <w:r w:rsidRPr="00D10DA3">
        <w:rPr>
          <w:sz w:val="20"/>
          <w:szCs w:val="20"/>
        </w:rPr>
        <w:t xml:space="preserve"> (n3)</w:t>
      </w:r>
      <w:r w:rsidRPr="00504AE4">
        <w:rPr>
          <w:sz w:val="20"/>
          <w:szCs w:val="20"/>
        </w:rPr>
        <w:t xml:space="preserve"> [85].</w:t>
      </w:r>
    </w:p>
    <w:p w14:paraId="020B1281" w14:textId="77777777" w:rsidR="009967B5" w:rsidRPr="00BD5C50" w:rsidRDefault="009967B5">
      <w:pPr>
        <w:pStyle w:val="FootnoteText"/>
        <w:rPr>
          <w:sz w:val="20"/>
          <w:szCs w:val="20"/>
        </w:rPr>
      </w:pPr>
    </w:p>
  </w:footnote>
  <w:footnote w:id="123">
    <w:p w14:paraId="679A550D" w14:textId="1C25588C" w:rsidR="009967B5" w:rsidRPr="00D10DA3" w:rsidRDefault="009967B5">
      <w:pPr>
        <w:pStyle w:val="FootnoteText"/>
        <w:rPr>
          <w:sz w:val="20"/>
          <w:szCs w:val="20"/>
        </w:rPr>
      </w:pPr>
      <w:r w:rsidRPr="00160F37">
        <w:rPr>
          <w:rStyle w:val="FootnoteReference"/>
          <w:sz w:val="20"/>
          <w:szCs w:val="20"/>
        </w:rPr>
        <w:footnoteRef/>
      </w:r>
      <w:r w:rsidRPr="00160F37">
        <w:rPr>
          <w:sz w:val="20"/>
          <w:szCs w:val="20"/>
        </w:rPr>
        <w:t xml:space="preserve"> Ibid</w:t>
      </w:r>
      <w:r w:rsidRPr="00D10DA3">
        <w:rPr>
          <w:sz w:val="20"/>
          <w:szCs w:val="20"/>
        </w:rPr>
        <w:t xml:space="preserve"> [86].</w:t>
      </w:r>
    </w:p>
    <w:p w14:paraId="7DD195B5" w14:textId="77777777" w:rsidR="009967B5" w:rsidRPr="00BD5C50" w:rsidRDefault="009967B5">
      <w:pPr>
        <w:pStyle w:val="FootnoteText"/>
        <w:rPr>
          <w:sz w:val="20"/>
          <w:szCs w:val="20"/>
        </w:rPr>
      </w:pPr>
    </w:p>
  </w:footnote>
  <w:footnote w:id="124">
    <w:p w14:paraId="64C3766B" w14:textId="5FC2A85B" w:rsidR="009967B5" w:rsidRPr="009C1528" w:rsidRDefault="009967B5" w:rsidP="005C4AA1">
      <w:pPr>
        <w:pStyle w:val="NormalWeb"/>
        <w:rPr>
          <w:rFonts w:eastAsia="Times New Roman"/>
          <w:sz w:val="20"/>
          <w:szCs w:val="20"/>
          <w:lang w:val="en-AU" w:eastAsia="en-AU"/>
        </w:rPr>
      </w:pPr>
      <w:r w:rsidRPr="00160F37">
        <w:rPr>
          <w:rStyle w:val="FootnoteReference"/>
          <w:sz w:val="20"/>
          <w:szCs w:val="20"/>
        </w:rPr>
        <w:footnoteRef/>
      </w:r>
      <w:r w:rsidRPr="00160F37">
        <w:rPr>
          <w:sz w:val="20"/>
          <w:szCs w:val="20"/>
        </w:rPr>
        <w:t xml:space="preserve"> The claim may have failed on causation, given the finding she would have had surgery in any event, unless the modification in </w:t>
      </w:r>
      <w:r w:rsidRPr="00D74F3E">
        <w:rPr>
          <w:i/>
          <w:sz w:val="20"/>
          <w:szCs w:val="20"/>
        </w:rPr>
        <w:t xml:space="preserve">Chester v </w:t>
      </w:r>
      <w:proofErr w:type="spellStart"/>
      <w:r w:rsidRPr="00D74F3E">
        <w:rPr>
          <w:i/>
          <w:sz w:val="20"/>
          <w:szCs w:val="20"/>
        </w:rPr>
        <w:t>Afshar</w:t>
      </w:r>
      <w:proofErr w:type="spellEnd"/>
      <w:r w:rsidRPr="00D10DA3">
        <w:rPr>
          <w:sz w:val="20"/>
          <w:szCs w:val="20"/>
        </w:rPr>
        <w:t xml:space="preserve"> applied: </w:t>
      </w:r>
      <w:proofErr w:type="spellStart"/>
      <w:r w:rsidRPr="002F356E">
        <w:rPr>
          <w:i/>
          <w:sz w:val="20"/>
          <w:szCs w:val="20"/>
          <w:lang w:val="en-AU"/>
        </w:rPr>
        <w:t>Grimstone</w:t>
      </w:r>
      <w:proofErr w:type="spellEnd"/>
      <w:r w:rsidRPr="002F356E">
        <w:rPr>
          <w:i/>
          <w:sz w:val="20"/>
          <w:szCs w:val="20"/>
          <w:lang w:val="en-AU"/>
        </w:rPr>
        <w:t xml:space="preserve"> </w:t>
      </w:r>
      <w:r w:rsidRPr="00504AE4">
        <w:rPr>
          <w:sz w:val="20"/>
          <w:szCs w:val="20"/>
          <w:lang w:val="en-AU"/>
        </w:rPr>
        <w:t>(n108)</w:t>
      </w:r>
      <w:r w:rsidRPr="009C1528">
        <w:rPr>
          <w:sz w:val="20"/>
          <w:szCs w:val="20"/>
          <w:lang w:val="en-AU"/>
        </w:rPr>
        <w:t xml:space="preserve"> [12].</w:t>
      </w:r>
    </w:p>
    <w:p w14:paraId="39A2E5BA" w14:textId="77777777" w:rsidR="009967B5" w:rsidRPr="00BD5C50" w:rsidRDefault="009967B5" w:rsidP="005C4AA1">
      <w:pPr>
        <w:pStyle w:val="FootnoteText"/>
        <w:rPr>
          <w:sz w:val="20"/>
          <w:szCs w:val="20"/>
          <w:lang w:val="en-AU"/>
        </w:rPr>
      </w:pPr>
    </w:p>
  </w:footnote>
  <w:footnote w:id="125">
    <w:p w14:paraId="310697CF" w14:textId="19F4575A" w:rsidR="009967B5" w:rsidRPr="00D10DA3" w:rsidRDefault="009967B5">
      <w:pPr>
        <w:pStyle w:val="FootnoteText"/>
        <w:rPr>
          <w:sz w:val="20"/>
          <w:szCs w:val="20"/>
          <w:lang w:val="en-AU"/>
        </w:rPr>
      </w:pPr>
      <w:r w:rsidRPr="00160F37">
        <w:rPr>
          <w:rStyle w:val="FootnoteReference"/>
          <w:sz w:val="20"/>
          <w:szCs w:val="20"/>
        </w:rPr>
        <w:footnoteRef/>
      </w:r>
      <w:r w:rsidRPr="00160F37">
        <w:rPr>
          <w:sz w:val="20"/>
          <w:szCs w:val="20"/>
        </w:rPr>
        <w:t xml:space="preserve"> </w:t>
      </w:r>
      <w:r w:rsidRPr="00D74F3E">
        <w:rPr>
          <w:sz w:val="20"/>
          <w:szCs w:val="20"/>
          <w:lang w:val="en-AU"/>
        </w:rPr>
        <w:t xml:space="preserve">[1999] </w:t>
      </w:r>
      <w:r w:rsidRPr="00D10DA3">
        <w:rPr>
          <w:sz w:val="20"/>
          <w:szCs w:val="20"/>
          <w:lang w:val="en-AU"/>
        </w:rPr>
        <w:t xml:space="preserve">EWCA </w:t>
      </w:r>
      <w:proofErr w:type="spellStart"/>
      <w:r w:rsidRPr="00D10DA3">
        <w:rPr>
          <w:sz w:val="20"/>
          <w:szCs w:val="20"/>
          <w:lang w:val="en-AU"/>
        </w:rPr>
        <w:t>Civ</w:t>
      </w:r>
      <w:proofErr w:type="spellEnd"/>
      <w:r w:rsidRPr="00D10DA3">
        <w:rPr>
          <w:sz w:val="20"/>
          <w:szCs w:val="20"/>
          <w:lang w:val="en-AU"/>
        </w:rPr>
        <w:t xml:space="preserve"> 3005.</w:t>
      </w:r>
    </w:p>
    <w:p w14:paraId="6C693F75" w14:textId="77777777" w:rsidR="009967B5" w:rsidRPr="00BD5C50" w:rsidRDefault="009967B5">
      <w:pPr>
        <w:pStyle w:val="FootnoteText"/>
        <w:rPr>
          <w:sz w:val="20"/>
          <w:szCs w:val="20"/>
          <w:lang w:val="en-AU"/>
        </w:rPr>
      </w:pPr>
    </w:p>
  </w:footnote>
  <w:footnote w:id="126">
    <w:p w14:paraId="6B00C119" w14:textId="721C8A96" w:rsidR="009967B5" w:rsidRPr="00504AE4" w:rsidRDefault="009967B5">
      <w:pPr>
        <w:pStyle w:val="FootnoteText"/>
        <w:rPr>
          <w:sz w:val="20"/>
          <w:szCs w:val="20"/>
          <w:lang w:val="en-GB"/>
        </w:rPr>
      </w:pPr>
      <w:r w:rsidRPr="00160F37">
        <w:rPr>
          <w:rStyle w:val="FootnoteReference"/>
          <w:sz w:val="20"/>
          <w:szCs w:val="20"/>
        </w:rPr>
        <w:footnoteRef/>
      </w:r>
      <w:r w:rsidRPr="00160F37">
        <w:rPr>
          <w:sz w:val="20"/>
          <w:szCs w:val="20"/>
        </w:rPr>
        <w:t xml:space="preserve"> </w:t>
      </w:r>
      <w:r w:rsidRPr="00D74F3E">
        <w:rPr>
          <w:i/>
          <w:sz w:val="20"/>
          <w:szCs w:val="20"/>
        </w:rPr>
        <w:t>A v East Kent</w:t>
      </w:r>
      <w:r w:rsidRPr="00D10DA3">
        <w:rPr>
          <w:i/>
          <w:sz w:val="20"/>
          <w:szCs w:val="20"/>
          <w:lang w:val="en-GB"/>
        </w:rPr>
        <w:t xml:space="preserve"> University NHS Foundation Trust</w:t>
      </w:r>
      <w:r w:rsidRPr="002F356E">
        <w:rPr>
          <w:i/>
          <w:sz w:val="20"/>
          <w:szCs w:val="20"/>
        </w:rPr>
        <w:t xml:space="preserve"> </w:t>
      </w:r>
      <w:r w:rsidRPr="00504AE4">
        <w:rPr>
          <w:sz w:val="20"/>
          <w:szCs w:val="20"/>
          <w:lang w:val="en-GB"/>
        </w:rPr>
        <w:t>[2015] EWHC 1038 (QB), [84].</w:t>
      </w:r>
    </w:p>
    <w:p w14:paraId="0577D5C0" w14:textId="77777777" w:rsidR="009967B5" w:rsidRPr="00BD5C50" w:rsidRDefault="009967B5">
      <w:pPr>
        <w:pStyle w:val="FootnoteText"/>
        <w:rPr>
          <w:sz w:val="20"/>
          <w:szCs w:val="20"/>
        </w:rPr>
      </w:pPr>
    </w:p>
  </w:footnote>
  <w:footnote w:id="127">
    <w:p w14:paraId="25B11F30" w14:textId="240DCF72" w:rsidR="009967B5" w:rsidRPr="00BD5C50" w:rsidRDefault="009967B5">
      <w:pPr>
        <w:pStyle w:val="FootnoteText"/>
        <w:rPr>
          <w:lang w:val="en-AU"/>
        </w:rPr>
      </w:pPr>
      <w:r w:rsidRPr="00160F37">
        <w:rPr>
          <w:rStyle w:val="FootnoteReference"/>
        </w:rPr>
        <w:footnoteRef/>
      </w:r>
      <w:r w:rsidRPr="00160F37">
        <w:t xml:space="preserve"> </w:t>
      </w:r>
      <w:r w:rsidRPr="00D74F3E">
        <w:rPr>
          <w:sz w:val="20"/>
          <w:szCs w:val="20"/>
        </w:rPr>
        <w:t>F</w:t>
      </w:r>
      <w:proofErr w:type="spellStart"/>
      <w:r w:rsidRPr="00D10DA3">
        <w:rPr>
          <w:sz w:val="20"/>
          <w:szCs w:val="20"/>
          <w:lang w:val="en-AU"/>
        </w:rPr>
        <w:t>oreseeability</w:t>
      </w:r>
      <w:proofErr w:type="spellEnd"/>
      <w:r w:rsidRPr="00D10DA3">
        <w:rPr>
          <w:sz w:val="20"/>
          <w:szCs w:val="20"/>
          <w:lang w:val="en-AU"/>
        </w:rPr>
        <w:t xml:space="preserve"> of risk, known unknowns and unknown unknowns and relevance to reasonableness of treatment (in addition to consent) </w:t>
      </w:r>
      <w:r>
        <w:rPr>
          <w:sz w:val="20"/>
          <w:szCs w:val="20"/>
          <w:lang w:val="en-AU"/>
        </w:rPr>
        <w:t>are</w:t>
      </w:r>
      <w:r w:rsidRPr="00D10DA3">
        <w:rPr>
          <w:sz w:val="20"/>
          <w:szCs w:val="20"/>
          <w:lang w:val="en-AU"/>
        </w:rPr>
        <w:t xml:space="preserve"> discussed by Keren</w:t>
      </w:r>
      <w:r>
        <w:rPr>
          <w:sz w:val="20"/>
          <w:szCs w:val="20"/>
          <w:lang w:val="en-AU"/>
        </w:rPr>
        <w:t>-</w:t>
      </w:r>
      <w:r w:rsidRPr="00D10DA3">
        <w:rPr>
          <w:sz w:val="20"/>
          <w:szCs w:val="20"/>
          <w:lang w:val="en-AU"/>
        </w:rPr>
        <w:t>Paz in h</w:t>
      </w:r>
      <w:r w:rsidRPr="00BD5C50">
        <w:rPr>
          <w:sz w:val="20"/>
          <w:szCs w:val="20"/>
          <w:lang w:val="en-AU"/>
        </w:rPr>
        <w:t>is contribution to this special edition.</w:t>
      </w:r>
    </w:p>
    <w:p w14:paraId="6B7B1814" w14:textId="77777777" w:rsidR="009967B5" w:rsidRPr="00707B75" w:rsidRDefault="009967B5">
      <w:pPr>
        <w:pStyle w:val="FootnoteText"/>
        <w:rPr>
          <w:lang w:val="en-AU"/>
        </w:rPr>
      </w:pPr>
    </w:p>
  </w:footnote>
  <w:footnote w:id="128">
    <w:p w14:paraId="26BDBD4C" w14:textId="57E16BDF" w:rsidR="009967B5" w:rsidRPr="00504AE4" w:rsidRDefault="009967B5" w:rsidP="00004F8F">
      <w:pPr>
        <w:pStyle w:val="FootnoteText"/>
        <w:rPr>
          <w:sz w:val="20"/>
          <w:szCs w:val="20"/>
        </w:rPr>
      </w:pPr>
      <w:r w:rsidRPr="00160F37">
        <w:rPr>
          <w:rStyle w:val="FootnoteReference"/>
          <w:sz w:val="20"/>
          <w:szCs w:val="20"/>
        </w:rPr>
        <w:footnoteRef/>
      </w:r>
      <w:r w:rsidRPr="00160F37">
        <w:rPr>
          <w:sz w:val="20"/>
          <w:szCs w:val="20"/>
        </w:rPr>
        <w:t xml:space="preserve"> Richards and Hutchinson (n41)</w:t>
      </w:r>
      <w:r w:rsidRPr="00D10DA3">
        <w:rPr>
          <w:sz w:val="20"/>
          <w:szCs w:val="20"/>
        </w:rPr>
        <w:t xml:space="preserve"> </w:t>
      </w:r>
      <w:r w:rsidRPr="00504AE4">
        <w:rPr>
          <w:sz w:val="20"/>
          <w:szCs w:val="20"/>
        </w:rPr>
        <w:t>942.</w:t>
      </w:r>
    </w:p>
    <w:p w14:paraId="261077E9" w14:textId="77777777" w:rsidR="009967B5" w:rsidRPr="00BD5C50" w:rsidRDefault="009967B5" w:rsidP="00004F8F">
      <w:pPr>
        <w:pStyle w:val="FootnoteText"/>
        <w:rPr>
          <w:sz w:val="20"/>
          <w:szCs w:val="20"/>
          <w:lang w:val="en-AU"/>
        </w:rPr>
      </w:pPr>
    </w:p>
  </w:footnote>
  <w:footnote w:id="129">
    <w:p w14:paraId="522E9BAB" w14:textId="7DF42918" w:rsidR="009967B5" w:rsidRPr="00504AE4" w:rsidRDefault="009967B5" w:rsidP="006607D1">
      <w:pPr>
        <w:pStyle w:val="FootnoteText"/>
        <w:rPr>
          <w:sz w:val="20"/>
          <w:szCs w:val="20"/>
        </w:rPr>
      </w:pPr>
      <w:r w:rsidRPr="00160F37">
        <w:rPr>
          <w:rStyle w:val="FootnoteReference"/>
          <w:sz w:val="20"/>
          <w:szCs w:val="20"/>
        </w:rPr>
        <w:footnoteRef/>
      </w:r>
      <w:r w:rsidRPr="00160F37">
        <w:rPr>
          <w:sz w:val="20"/>
          <w:szCs w:val="20"/>
        </w:rPr>
        <w:t xml:space="preserve"> </w:t>
      </w:r>
      <w:r w:rsidRPr="00D74F3E">
        <w:rPr>
          <w:i/>
          <w:sz w:val="20"/>
          <w:szCs w:val="20"/>
        </w:rPr>
        <w:t>Montgomer</w:t>
      </w:r>
      <w:r w:rsidRPr="00D10DA3">
        <w:rPr>
          <w:sz w:val="20"/>
          <w:szCs w:val="20"/>
        </w:rPr>
        <w:t>y (n3)</w:t>
      </w:r>
      <w:r w:rsidRPr="00504AE4">
        <w:rPr>
          <w:sz w:val="20"/>
          <w:szCs w:val="20"/>
        </w:rPr>
        <w:t xml:space="preserve"> [85].</w:t>
      </w:r>
    </w:p>
    <w:p w14:paraId="6116CE0E" w14:textId="77777777" w:rsidR="009967B5" w:rsidRPr="00BD5C50" w:rsidRDefault="009967B5" w:rsidP="006607D1">
      <w:pPr>
        <w:pStyle w:val="FootnoteText"/>
        <w:rPr>
          <w:sz w:val="20"/>
          <w:szCs w:val="20"/>
        </w:rPr>
      </w:pPr>
    </w:p>
  </w:footnote>
  <w:footnote w:id="130">
    <w:p w14:paraId="6E061A8B" w14:textId="1AD96AD1" w:rsidR="009967B5" w:rsidRPr="00D74F3E" w:rsidRDefault="009967B5" w:rsidP="006607D1">
      <w:pPr>
        <w:pStyle w:val="FootnoteText"/>
        <w:rPr>
          <w:sz w:val="20"/>
          <w:szCs w:val="20"/>
          <w:lang w:val="en-GB"/>
        </w:rPr>
      </w:pPr>
      <w:r w:rsidRPr="00160F37">
        <w:rPr>
          <w:rStyle w:val="FootnoteReference"/>
          <w:sz w:val="20"/>
          <w:szCs w:val="20"/>
        </w:rPr>
        <w:footnoteRef/>
      </w:r>
      <w:r w:rsidRPr="00160F37">
        <w:rPr>
          <w:sz w:val="20"/>
          <w:szCs w:val="20"/>
        </w:rPr>
        <w:t xml:space="preserve"> </w:t>
      </w:r>
      <w:r w:rsidRPr="00D74F3E">
        <w:rPr>
          <w:sz w:val="20"/>
          <w:szCs w:val="20"/>
          <w:lang w:val="en-GB"/>
        </w:rPr>
        <w:t>(n1</w:t>
      </w:r>
      <w:r>
        <w:rPr>
          <w:sz w:val="20"/>
          <w:szCs w:val="20"/>
          <w:lang w:val="en-GB"/>
        </w:rPr>
        <w:t>27</w:t>
      </w:r>
      <w:r w:rsidRPr="00D74F3E">
        <w:rPr>
          <w:sz w:val="20"/>
          <w:szCs w:val="20"/>
          <w:lang w:val="en-GB"/>
        </w:rPr>
        <w:t>).</w:t>
      </w:r>
    </w:p>
    <w:p w14:paraId="7B3529C6" w14:textId="77777777" w:rsidR="009967B5" w:rsidRPr="00BD5C50" w:rsidRDefault="009967B5" w:rsidP="006607D1">
      <w:pPr>
        <w:pStyle w:val="FootnoteText"/>
        <w:rPr>
          <w:sz w:val="20"/>
          <w:szCs w:val="20"/>
          <w:lang w:val="en-GB"/>
        </w:rPr>
      </w:pPr>
    </w:p>
  </w:footnote>
  <w:footnote w:id="131">
    <w:p w14:paraId="76B5D82B" w14:textId="21E39963" w:rsidR="009967B5" w:rsidRPr="00D74F3E" w:rsidRDefault="009967B5">
      <w:pPr>
        <w:pStyle w:val="FootnoteText"/>
        <w:rPr>
          <w:sz w:val="20"/>
          <w:szCs w:val="20"/>
          <w:lang w:val="en-GB"/>
        </w:rPr>
      </w:pPr>
      <w:r w:rsidRPr="00160F37">
        <w:rPr>
          <w:rStyle w:val="FootnoteReference"/>
          <w:sz w:val="20"/>
          <w:szCs w:val="20"/>
        </w:rPr>
        <w:footnoteRef/>
      </w:r>
      <w:r w:rsidRPr="00160F37">
        <w:rPr>
          <w:sz w:val="20"/>
          <w:szCs w:val="20"/>
        </w:rPr>
        <w:t xml:space="preserve"> </w:t>
      </w:r>
      <w:r w:rsidRPr="00D74F3E">
        <w:rPr>
          <w:sz w:val="20"/>
          <w:szCs w:val="20"/>
          <w:lang w:val="en-GB"/>
        </w:rPr>
        <w:t xml:space="preserve">Ibid [64]. </w:t>
      </w:r>
    </w:p>
    <w:p w14:paraId="58CB1E5B" w14:textId="77777777" w:rsidR="009967B5" w:rsidRPr="00BD5C50" w:rsidRDefault="009967B5">
      <w:pPr>
        <w:pStyle w:val="FootnoteText"/>
        <w:rPr>
          <w:sz w:val="20"/>
          <w:szCs w:val="20"/>
          <w:lang w:val="en-GB"/>
        </w:rPr>
      </w:pPr>
    </w:p>
  </w:footnote>
  <w:footnote w:id="132">
    <w:p w14:paraId="3932EB53" w14:textId="77777777" w:rsidR="009967B5" w:rsidRPr="00D74F3E" w:rsidRDefault="009967B5">
      <w:pPr>
        <w:pStyle w:val="FootnoteText"/>
        <w:rPr>
          <w:sz w:val="20"/>
          <w:szCs w:val="20"/>
          <w:lang w:val="en-GB"/>
        </w:rPr>
      </w:pPr>
      <w:r w:rsidRPr="00160F37">
        <w:rPr>
          <w:rStyle w:val="FootnoteReference"/>
          <w:sz w:val="20"/>
          <w:szCs w:val="20"/>
        </w:rPr>
        <w:footnoteRef/>
      </w:r>
      <w:r w:rsidRPr="00160F37">
        <w:rPr>
          <w:sz w:val="20"/>
          <w:szCs w:val="20"/>
        </w:rPr>
        <w:t xml:space="preserve"> </w:t>
      </w:r>
      <w:r w:rsidRPr="00D74F3E">
        <w:rPr>
          <w:sz w:val="20"/>
          <w:szCs w:val="20"/>
          <w:lang w:val="en-GB"/>
        </w:rPr>
        <w:t>Ibid.</w:t>
      </w:r>
    </w:p>
    <w:p w14:paraId="7D86857B" w14:textId="77777777" w:rsidR="009967B5" w:rsidRPr="00BD5C50" w:rsidRDefault="009967B5">
      <w:pPr>
        <w:pStyle w:val="FootnoteText"/>
        <w:rPr>
          <w:sz w:val="20"/>
          <w:szCs w:val="20"/>
          <w:lang w:val="en-GB"/>
        </w:rPr>
      </w:pPr>
    </w:p>
  </w:footnote>
  <w:footnote w:id="133">
    <w:p w14:paraId="717A92CF" w14:textId="33802D0D" w:rsidR="009967B5" w:rsidRPr="00D74F3E" w:rsidRDefault="009967B5">
      <w:pPr>
        <w:pStyle w:val="FootnoteText"/>
        <w:rPr>
          <w:sz w:val="20"/>
          <w:szCs w:val="20"/>
          <w:lang w:val="en-GB"/>
        </w:rPr>
      </w:pPr>
      <w:r w:rsidRPr="00160F37">
        <w:rPr>
          <w:rStyle w:val="FootnoteReference"/>
          <w:sz w:val="20"/>
          <w:szCs w:val="20"/>
        </w:rPr>
        <w:footnoteRef/>
      </w:r>
      <w:r w:rsidRPr="00160F37">
        <w:rPr>
          <w:sz w:val="20"/>
          <w:szCs w:val="20"/>
        </w:rPr>
        <w:t xml:space="preserve"> </w:t>
      </w:r>
      <w:r w:rsidRPr="00D74F3E">
        <w:rPr>
          <w:sz w:val="20"/>
          <w:szCs w:val="20"/>
          <w:lang w:val="en-GB"/>
        </w:rPr>
        <w:t>Ibid [84].</w:t>
      </w:r>
    </w:p>
    <w:p w14:paraId="77EB2715" w14:textId="77777777" w:rsidR="009967B5" w:rsidRPr="00BD5C50" w:rsidRDefault="009967B5">
      <w:pPr>
        <w:pStyle w:val="FootnoteText"/>
        <w:rPr>
          <w:sz w:val="20"/>
          <w:szCs w:val="20"/>
          <w:lang w:val="en-GB"/>
        </w:rPr>
      </w:pPr>
    </w:p>
  </w:footnote>
  <w:footnote w:id="134">
    <w:p w14:paraId="0625704A" w14:textId="574D2D81" w:rsidR="009967B5" w:rsidRPr="00D74F3E" w:rsidRDefault="009967B5">
      <w:pPr>
        <w:pStyle w:val="FootnoteText"/>
        <w:rPr>
          <w:sz w:val="20"/>
          <w:szCs w:val="20"/>
          <w:lang w:val="en-GB"/>
        </w:rPr>
      </w:pPr>
      <w:r w:rsidRPr="00160F37">
        <w:rPr>
          <w:rStyle w:val="FootnoteReference"/>
          <w:sz w:val="20"/>
          <w:szCs w:val="20"/>
        </w:rPr>
        <w:footnoteRef/>
      </w:r>
      <w:r w:rsidRPr="00160F37">
        <w:rPr>
          <w:sz w:val="20"/>
          <w:szCs w:val="20"/>
        </w:rPr>
        <w:t xml:space="preserve"> </w:t>
      </w:r>
      <w:r w:rsidRPr="00D74F3E">
        <w:rPr>
          <w:sz w:val="20"/>
          <w:szCs w:val="20"/>
          <w:lang w:val="en-GB"/>
        </w:rPr>
        <w:t>Ibid [101]</w:t>
      </w:r>
      <w:proofErr w:type="gramStart"/>
      <w:r w:rsidRPr="00D74F3E">
        <w:rPr>
          <w:sz w:val="20"/>
          <w:szCs w:val="20"/>
          <w:lang w:val="en-GB"/>
        </w:rPr>
        <w:t>-[</w:t>
      </w:r>
      <w:proofErr w:type="gramEnd"/>
      <w:r w:rsidRPr="00D74F3E">
        <w:rPr>
          <w:sz w:val="20"/>
          <w:szCs w:val="20"/>
          <w:lang w:val="en-GB"/>
        </w:rPr>
        <w:t>102].</w:t>
      </w:r>
    </w:p>
    <w:p w14:paraId="1347582D" w14:textId="77777777" w:rsidR="009967B5" w:rsidRPr="00BD5C50" w:rsidRDefault="009967B5">
      <w:pPr>
        <w:pStyle w:val="FootnoteText"/>
        <w:rPr>
          <w:sz w:val="20"/>
          <w:szCs w:val="20"/>
          <w:lang w:val="en-GB"/>
        </w:rPr>
      </w:pPr>
    </w:p>
  </w:footnote>
  <w:footnote w:id="135">
    <w:p w14:paraId="120ADDE1" w14:textId="1DCB621E" w:rsidR="009967B5" w:rsidRPr="00D10DA3" w:rsidRDefault="009967B5">
      <w:pPr>
        <w:pStyle w:val="FootnoteText"/>
      </w:pPr>
      <w:r w:rsidRPr="00160F37">
        <w:rPr>
          <w:rStyle w:val="FootnoteReference"/>
        </w:rPr>
        <w:footnoteRef/>
      </w:r>
      <w:r w:rsidRPr="00160F37">
        <w:t xml:space="preserve"> </w:t>
      </w:r>
      <w:r w:rsidRPr="00D74F3E">
        <w:rPr>
          <w:sz w:val="20"/>
          <w:szCs w:val="20"/>
        </w:rPr>
        <w:t>(n87).</w:t>
      </w:r>
    </w:p>
    <w:p w14:paraId="27967E5E" w14:textId="77777777" w:rsidR="009967B5" w:rsidRPr="002F356E" w:rsidRDefault="009967B5">
      <w:pPr>
        <w:pStyle w:val="FootnoteText"/>
      </w:pPr>
    </w:p>
  </w:footnote>
  <w:footnote w:id="136">
    <w:p w14:paraId="779E9470" w14:textId="79B16664" w:rsidR="009967B5" w:rsidRPr="00504AE4" w:rsidRDefault="009967B5">
      <w:pPr>
        <w:pStyle w:val="FootnoteText"/>
        <w:rPr>
          <w:sz w:val="20"/>
          <w:szCs w:val="20"/>
        </w:rPr>
      </w:pPr>
      <w:r w:rsidRPr="00160F37">
        <w:rPr>
          <w:rStyle w:val="FootnoteReference"/>
          <w:sz w:val="20"/>
          <w:szCs w:val="20"/>
        </w:rPr>
        <w:footnoteRef/>
      </w:r>
      <w:r w:rsidRPr="00160F37">
        <w:rPr>
          <w:sz w:val="20"/>
          <w:szCs w:val="20"/>
        </w:rPr>
        <w:t xml:space="preserve"> </w:t>
      </w:r>
      <w:r w:rsidRPr="00D74F3E">
        <w:rPr>
          <w:i/>
          <w:sz w:val="20"/>
          <w:szCs w:val="20"/>
        </w:rPr>
        <w:t>Montgomery</w:t>
      </w:r>
      <w:r w:rsidRPr="00D10DA3">
        <w:rPr>
          <w:sz w:val="20"/>
          <w:szCs w:val="20"/>
        </w:rPr>
        <w:t xml:space="preserve"> (n3); </w:t>
      </w:r>
      <w:r w:rsidRPr="002F356E">
        <w:rPr>
          <w:i/>
          <w:sz w:val="20"/>
          <w:szCs w:val="20"/>
        </w:rPr>
        <w:t>Rogers</w:t>
      </w:r>
      <w:r w:rsidRPr="00504AE4">
        <w:rPr>
          <w:sz w:val="20"/>
          <w:szCs w:val="20"/>
        </w:rPr>
        <w:t xml:space="preserve"> (n2).</w:t>
      </w:r>
    </w:p>
    <w:p w14:paraId="62F66099" w14:textId="77777777" w:rsidR="009967B5" w:rsidRPr="00BD5C50" w:rsidRDefault="009967B5">
      <w:pPr>
        <w:pStyle w:val="FootnoteText"/>
        <w:rPr>
          <w:sz w:val="20"/>
          <w:szCs w:val="20"/>
          <w:lang w:val="en-AU"/>
        </w:rPr>
      </w:pPr>
    </w:p>
  </w:footnote>
  <w:footnote w:id="137">
    <w:p w14:paraId="2DC2CEE5" w14:textId="4B62ECD8" w:rsidR="009967B5" w:rsidRPr="002F356E" w:rsidRDefault="009967B5" w:rsidP="00004F8F">
      <w:pPr>
        <w:pStyle w:val="FootnoteText"/>
        <w:rPr>
          <w:rStyle w:val="st"/>
          <w:sz w:val="20"/>
          <w:szCs w:val="20"/>
        </w:rPr>
      </w:pPr>
      <w:r w:rsidRPr="00160F37">
        <w:rPr>
          <w:rStyle w:val="FootnoteReference"/>
          <w:sz w:val="20"/>
          <w:szCs w:val="20"/>
        </w:rPr>
        <w:footnoteRef/>
      </w:r>
      <w:r w:rsidRPr="00160F37">
        <w:rPr>
          <w:sz w:val="20"/>
          <w:szCs w:val="20"/>
        </w:rPr>
        <w:t xml:space="preserve"> </w:t>
      </w:r>
      <w:proofErr w:type="spellStart"/>
      <w:r w:rsidRPr="00D74F3E">
        <w:rPr>
          <w:i/>
          <w:sz w:val="20"/>
          <w:szCs w:val="20"/>
        </w:rPr>
        <w:t>Bolam</w:t>
      </w:r>
      <w:proofErr w:type="spellEnd"/>
      <w:r w:rsidRPr="00D74F3E">
        <w:rPr>
          <w:i/>
          <w:sz w:val="20"/>
          <w:szCs w:val="20"/>
        </w:rPr>
        <w:t xml:space="preserve"> v </w:t>
      </w:r>
      <w:proofErr w:type="spellStart"/>
      <w:r w:rsidRPr="00D74F3E">
        <w:rPr>
          <w:i/>
          <w:sz w:val="20"/>
          <w:szCs w:val="20"/>
        </w:rPr>
        <w:t>Friern</w:t>
      </w:r>
      <w:proofErr w:type="spellEnd"/>
      <w:r w:rsidRPr="00D74F3E">
        <w:rPr>
          <w:i/>
          <w:sz w:val="20"/>
          <w:szCs w:val="20"/>
        </w:rPr>
        <w:t xml:space="preserve"> Hospital Manage</w:t>
      </w:r>
      <w:r w:rsidRPr="00D10DA3">
        <w:rPr>
          <w:i/>
          <w:sz w:val="20"/>
          <w:szCs w:val="20"/>
        </w:rPr>
        <w:t>ment Committee</w:t>
      </w:r>
      <w:r w:rsidRPr="002F356E">
        <w:rPr>
          <w:rStyle w:val="st"/>
          <w:sz w:val="20"/>
          <w:szCs w:val="20"/>
        </w:rPr>
        <w:t xml:space="preserve"> [1957] 1 WLR 582.</w:t>
      </w:r>
    </w:p>
    <w:p w14:paraId="4FE21A0C" w14:textId="77777777" w:rsidR="009967B5" w:rsidRPr="00BD5C50" w:rsidRDefault="009967B5" w:rsidP="00004F8F">
      <w:pPr>
        <w:pStyle w:val="FootnoteText"/>
        <w:rPr>
          <w:sz w:val="20"/>
          <w:szCs w:val="20"/>
        </w:rPr>
      </w:pPr>
    </w:p>
  </w:footnote>
  <w:footnote w:id="138">
    <w:p w14:paraId="28961818" w14:textId="25DA0879" w:rsidR="009967B5" w:rsidRPr="00707B75" w:rsidRDefault="009967B5">
      <w:pPr>
        <w:pStyle w:val="FootnoteText"/>
        <w:rPr>
          <w:lang w:val="en-AU"/>
        </w:rPr>
      </w:pPr>
      <w:r w:rsidRPr="00160F37">
        <w:rPr>
          <w:rStyle w:val="FootnoteReference"/>
        </w:rPr>
        <w:footnoteRef/>
      </w:r>
      <w:r w:rsidRPr="00160F37">
        <w:t xml:space="preserve"> </w:t>
      </w:r>
      <w:r w:rsidRPr="00D74F3E">
        <w:rPr>
          <w:sz w:val="20"/>
          <w:szCs w:val="20"/>
        </w:rPr>
        <w:t>J</w:t>
      </w:r>
      <w:r>
        <w:rPr>
          <w:sz w:val="20"/>
          <w:szCs w:val="20"/>
        </w:rPr>
        <w:t>ohan</w:t>
      </w:r>
      <w:r w:rsidRPr="00D74F3E">
        <w:rPr>
          <w:sz w:val="20"/>
          <w:szCs w:val="20"/>
        </w:rPr>
        <w:t xml:space="preserve"> Bester and E</w:t>
      </w:r>
      <w:r>
        <w:rPr>
          <w:sz w:val="20"/>
          <w:szCs w:val="20"/>
        </w:rPr>
        <w:t>ric</w:t>
      </w:r>
      <w:r w:rsidRPr="00D74F3E">
        <w:rPr>
          <w:sz w:val="20"/>
          <w:szCs w:val="20"/>
        </w:rPr>
        <w:t xml:space="preserve"> </w:t>
      </w:r>
      <w:proofErr w:type="spellStart"/>
      <w:r w:rsidRPr="00D74F3E">
        <w:rPr>
          <w:sz w:val="20"/>
          <w:szCs w:val="20"/>
        </w:rPr>
        <w:t>Kodish</w:t>
      </w:r>
      <w:proofErr w:type="spellEnd"/>
      <w:r w:rsidRPr="00D74F3E">
        <w:rPr>
          <w:sz w:val="20"/>
          <w:szCs w:val="20"/>
        </w:rPr>
        <w:t>, ‘</w:t>
      </w:r>
      <w:r w:rsidRPr="00D10DA3">
        <w:rPr>
          <w:rFonts w:eastAsia="Times New Roman"/>
          <w:bCs/>
          <w:sz w:val="20"/>
          <w:szCs w:val="20"/>
        </w:rPr>
        <w:t xml:space="preserve">The Limits of Informed Consent for an Overwhelmed Patient: Clinicians’ Role in Protecting Patients and Preventing Overwhelm’ </w:t>
      </w:r>
      <w:r w:rsidRPr="00BD5C50">
        <w:rPr>
          <w:sz w:val="20"/>
          <w:szCs w:val="20"/>
        </w:rPr>
        <w:t xml:space="preserve">(2016) 18(9) </w:t>
      </w:r>
      <w:r w:rsidRPr="00BD5C50">
        <w:rPr>
          <w:rStyle w:val="Emphasis"/>
          <w:sz w:val="20"/>
          <w:szCs w:val="20"/>
        </w:rPr>
        <w:t>AMA J Ethics</w:t>
      </w:r>
      <w:r w:rsidRPr="00D46D87">
        <w:rPr>
          <w:sz w:val="20"/>
          <w:szCs w:val="20"/>
        </w:rPr>
        <w:t xml:space="preserve"> 869</w:t>
      </w:r>
    </w:p>
    <w:p w14:paraId="56267818" w14:textId="77777777" w:rsidR="009967B5" w:rsidRPr="00707B75" w:rsidRDefault="009967B5">
      <w:pPr>
        <w:pStyle w:val="FootnoteText"/>
        <w:rPr>
          <w:lang w:val="en-AU"/>
        </w:rPr>
      </w:pPr>
    </w:p>
  </w:footnote>
  <w:footnote w:id="139">
    <w:p w14:paraId="1E22F159" w14:textId="77777777" w:rsidR="009967B5" w:rsidRPr="002D018C" w:rsidRDefault="009967B5" w:rsidP="00993D05">
      <w:pPr>
        <w:pStyle w:val="FootnoteText"/>
        <w:rPr>
          <w:lang w:val="en-AU"/>
        </w:rPr>
      </w:pPr>
      <w:r w:rsidRPr="00160F37">
        <w:rPr>
          <w:rStyle w:val="FootnoteReference"/>
        </w:rPr>
        <w:footnoteRef/>
      </w:r>
      <w:r w:rsidRPr="00160F37">
        <w:t xml:space="preserve"> </w:t>
      </w:r>
      <w:r w:rsidRPr="00D74F3E">
        <w:rPr>
          <w:i/>
          <w:sz w:val="20"/>
          <w:szCs w:val="20"/>
          <w:lang w:val="en-AU"/>
        </w:rPr>
        <w:t>Montgomery</w:t>
      </w:r>
      <w:r w:rsidRPr="00D10DA3">
        <w:rPr>
          <w:sz w:val="20"/>
          <w:szCs w:val="20"/>
          <w:lang w:val="en-AU"/>
        </w:rPr>
        <w:t xml:space="preserve"> (n3)</w:t>
      </w:r>
      <w:r w:rsidRPr="002F356E">
        <w:rPr>
          <w:lang w:val="en-AU"/>
        </w:rPr>
        <w:t xml:space="preserve"> </w:t>
      </w:r>
      <w:r w:rsidRPr="00504AE4">
        <w:rPr>
          <w:sz w:val="20"/>
          <w:szCs w:val="20"/>
          <w:lang w:val="en-AU"/>
        </w:rPr>
        <w:t>91.</w:t>
      </w:r>
    </w:p>
    <w:p w14:paraId="3D91A44C" w14:textId="77777777" w:rsidR="009967B5" w:rsidRPr="00BD5C50" w:rsidRDefault="009967B5" w:rsidP="00993D05">
      <w:pPr>
        <w:pStyle w:val="FootnoteText"/>
        <w:rPr>
          <w:lang w:val="en-AU"/>
        </w:rPr>
      </w:pPr>
    </w:p>
  </w:footnote>
  <w:footnote w:id="140">
    <w:p w14:paraId="70FACF79" w14:textId="46D78947" w:rsidR="009967B5" w:rsidRPr="00D74F3E" w:rsidRDefault="009967B5">
      <w:pPr>
        <w:pStyle w:val="FootnoteText"/>
        <w:rPr>
          <w:sz w:val="20"/>
          <w:szCs w:val="20"/>
          <w:lang w:val="en-AU"/>
        </w:rPr>
      </w:pPr>
      <w:r w:rsidRPr="00160F37">
        <w:rPr>
          <w:rStyle w:val="FootnoteReference"/>
        </w:rPr>
        <w:footnoteRef/>
      </w:r>
      <w:r w:rsidRPr="00160F37">
        <w:t xml:space="preserve"> </w:t>
      </w:r>
      <w:r>
        <w:rPr>
          <w:sz w:val="20"/>
          <w:szCs w:val="20"/>
        </w:rPr>
        <w:t>(n77)</w:t>
      </w:r>
      <w:r w:rsidRPr="00D74F3E">
        <w:rPr>
          <w:sz w:val="20"/>
          <w:szCs w:val="20"/>
          <w:lang w:val="en-AU"/>
        </w:rPr>
        <w:t xml:space="preserve"> [167].</w:t>
      </w:r>
    </w:p>
    <w:p w14:paraId="1B2EB181" w14:textId="77777777" w:rsidR="009967B5" w:rsidRPr="00D10DA3" w:rsidRDefault="009967B5">
      <w:pPr>
        <w:pStyle w:val="FootnoteText"/>
        <w:rPr>
          <w:lang w:val="en-AU"/>
        </w:rPr>
      </w:pPr>
    </w:p>
  </w:footnote>
  <w:footnote w:id="141">
    <w:p w14:paraId="0FB945CB" w14:textId="55BA3358" w:rsidR="009967B5" w:rsidRPr="00504AE4" w:rsidRDefault="009967B5">
      <w:pPr>
        <w:pStyle w:val="FootnoteText"/>
        <w:rPr>
          <w:sz w:val="20"/>
          <w:szCs w:val="20"/>
        </w:rPr>
      </w:pPr>
      <w:r w:rsidRPr="00160F37">
        <w:rPr>
          <w:rStyle w:val="FootnoteReference"/>
          <w:sz w:val="20"/>
          <w:szCs w:val="20"/>
        </w:rPr>
        <w:footnoteRef/>
      </w:r>
      <w:r w:rsidRPr="00160F37">
        <w:rPr>
          <w:sz w:val="20"/>
          <w:szCs w:val="20"/>
        </w:rPr>
        <w:t xml:space="preserve"> </w:t>
      </w:r>
      <w:r w:rsidRPr="00D74F3E">
        <w:rPr>
          <w:i/>
          <w:sz w:val="20"/>
          <w:szCs w:val="20"/>
        </w:rPr>
        <w:t>Rosenberg</w:t>
      </w:r>
      <w:r w:rsidRPr="00D10DA3">
        <w:rPr>
          <w:sz w:val="20"/>
          <w:szCs w:val="20"/>
        </w:rPr>
        <w:t xml:space="preserve"> (n12)</w:t>
      </w:r>
      <w:r w:rsidRPr="00504AE4">
        <w:rPr>
          <w:sz w:val="20"/>
          <w:szCs w:val="20"/>
        </w:rPr>
        <w:t xml:space="preserve"> [78].</w:t>
      </w:r>
    </w:p>
    <w:p w14:paraId="700A9B77" w14:textId="77777777" w:rsidR="009967B5" w:rsidRPr="00BD5C50" w:rsidRDefault="009967B5">
      <w:pPr>
        <w:pStyle w:val="FootnoteText"/>
        <w:rPr>
          <w:sz w:val="20"/>
          <w:szCs w:val="20"/>
        </w:rPr>
      </w:pPr>
    </w:p>
  </w:footnote>
  <w:footnote w:id="142">
    <w:p w14:paraId="011E12D8" w14:textId="6350ACE7" w:rsidR="009967B5" w:rsidRPr="00D10DA3" w:rsidRDefault="009967B5">
      <w:pPr>
        <w:pStyle w:val="FootnoteText"/>
        <w:rPr>
          <w:sz w:val="20"/>
          <w:szCs w:val="20"/>
        </w:rPr>
      </w:pPr>
      <w:r w:rsidRPr="00160F37">
        <w:rPr>
          <w:rStyle w:val="FootnoteReference"/>
          <w:sz w:val="20"/>
          <w:szCs w:val="20"/>
        </w:rPr>
        <w:footnoteRef/>
      </w:r>
      <w:r w:rsidRPr="00160F37">
        <w:rPr>
          <w:sz w:val="20"/>
          <w:szCs w:val="20"/>
        </w:rPr>
        <w:t xml:space="preserve"> Ibid</w:t>
      </w:r>
      <w:r w:rsidRPr="00D10DA3">
        <w:rPr>
          <w:sz w:val="20"/>
          <w:szCs w:val="20"/>
        </w:rPr>
        <w:t xml:space="preserve"> [78]</w:t>
      </w:r>
    </w:p>
    <w:p w14:paraId="19506087" w14:textId="77777777" w:rsidR="009967B5" w:rsidRPr="00A34F6B" w:rsidRDefault="009967B5">
      <w:pPr>
        <w:pStyle w:val="FootnoteText"/>
        <w:rPr>
          <w:sz w:val="20"/>
          <w:szCs w:val="20"/>
          <w:lang w:val="en-AU"/>
        </w:rPr>
      </w:pPr>
    </w:p>
  </w:footnote>
  <w:footnote w:id="143">
    <w:p w14:paraId="284C3BBE" w14:textId="29061660" w:rsidR="009967B5" w:rsidRPr="00504AE4" w:rsidRDefault="009967B5">
      <w:pPr>
        <w:pStyle w:val="FootnoteText"/>
        <w:rPr>
          <w:sz w:val="20"/>
          <w:szCs w:val="20"/>
          <w:lang w:val="en-GB"/>
        </w:rPr>
      </w:pPr>
      <w:r w:rsidRPr="00160F37">
        <w:rPr>
          <w:rStyle w:val="FootnoteReference"/>
          <w:sz w:val="20"/>
          <w:szCs w:val="20"/>
        </w:rPr>
        <w:footnoteRef/>
      </w:r>
      <w:r w:rsidRPr="00160F37">
        <w:rPr>
          <w:sz w:val="20"/>
          <w:szCs w:val="20"/>
        </w:rPr>
        <w:t xml:space="preserve"> </w:t>
      </w:r>
      <w:r w:rsidRPr="00D74F3E">
        <w:rPr>
          <w:i/>
          <w:sz w:val="20"/>
          <w:szCs w:val="20"/>
        </w:rPr>
        <w:t>A v East Kent</w:t>
      </w:r>
      <w:r w:rsidRPr="00D10DA3">
        <w:rPr>
          <w:sz w:val="20"/>
          <w:szCs w:val="20"/>
        </w:rPr>
        <w:t xml:space="preserve"> (n130)</w:t>
      </w:r>
      <w:r w:rsidRPr="00504AE4">
        <w:rPr>
          <w:sz w:val="20"/>
          <w:szCs w:val="20"/>
          <w:lang w:val="en-GB"/>
        </w:rPr>
        <w:t xml:space="preserve"> [84].</w:t>
      </w:r>
    </w:p>
    <w:p w14:paraId="31874C21" w14:textId="77777777" w:rsidR="009967B5" w:rsidRPr="002831C4" w:rsidRDefault="009967B5">
      <w:pPr>
        <w:pStyle w:val="FootnoteText"/>
        <w:rPr>
          <w:sz w:val="20"/>
          <w:szCs w:val="20"/>
        </w:rPr>
      </w:pPr>
    </w:p>
  </w:footnote>
  <w:footnote w:id="144">
    <w:p w14:paraId="6131C28A" w14:textId="1B4843AF" w:rsidR="009967B5" w:rsidRDefault="009967B5">
      <w:pPr>
        <w:pStyle w:val="FootnoteText"/>
        <w:rPr>
          <w:sz w:val="20"/>
          <w:szCs w:val="20"/>
          <w:lang w:eastAsia="en-AU"/>
        </w:rPr>
      </w:pPr>
      <w:r w:rsidRPr="00160F37">
        <w:rPr>
          <w:rStyle w:val="FootnoteReference"/>
          <w:sz w:val="20"/>
          <w:szCs w:val="20"/>
        </w:rPr>
        <w:footnoteRef/>
      </w:r>
      <w:r w:rsidRPr="00160F37">
        <w:rPr>
          <w:sz w:val="20"/>
          <w:szCs w:val="20"/>
        </w:rPr>
        <w:t xml:space="preserve"> </w:t>
      </w:r>
      <w:r>
        <w:rPr>
          <w:sz w:val="20"/>
          <w:szCs w:val="20"/>
          <w:lang w:eastAsia="en-AU"/>
        </w:rPr>
        <w:t xml:space="preserve">(n82). </w:t>
      </w:r>
    </w:p>
    <w:p w14:paraId="7BE31260" w14:textId="77777777" w:rsidR="009967B5" w:rsidRPr="00160F37" w:rsidRDefault="009967B5">
      <w:pPr>
        <w:pStyle w:val="FootnoteText"/>
        <w:rPr>
          <w:sz w:val="20"/>
          <w:szCs w:val="20"/>
        </w:rPr>
      </w:pPr>
    </w:p>
  </w:footnote>
  <w:footnote w:id="145">
    <w:p w14:paraId="391866A6" w14:textId="401B603D" w:rsidR="009967B5" w:rsidRDefault="009967B5">
      <w:pPr>
        <w:pStyle w:val="FootnoteText"/>
        <w:rPr>
          <w:sz w:val="20"/>
        </w:rPr>
      </w:pPr>
      <w:r w:rsidRPr="00443838">
        <w:rPr>
          <w:rStyle w:val="FootnoteReference"/>
          <w:sz w:val="20"/>
        </w:rPr>
        <w:footnoteRef/>
      </w:r>
      <w:r w:rsidRPr="00443838">
        <w:rPr>
          <w:sz w:val="20"/>
        </w:rPr>
        <w:t xml:space="preserve"> </w:t>
      </w:r>
      <w:r>
        <w:rPr>
          <w:sz w:val="20"/>
        </w:rPr>
        <w:t xml:space="preserve">For an overview of alternatives to synthetic tracheal transplants, see Pierre </w:t>
      </w:r>
      <w:proofErr w:type="spellStart"/>
      <w:r>
        <w:rPr>
          <w:sz w:val="20"/>
        </w:rPr>
        <w:t>Delaere</w:t>
      </w:r>
      <w:proofErr w:type="spellEnd"/>
      <w:r>
        <w:rPr>
          <w:sz w:val="20"/>
        </w:rPr>
        <w:t xml:space="preserve"> and Dirk Van </w:t>
      </w:r>
      <w:proofErr w:type="spellStart"/>
      <w:r>
        <w:rPr>
          <w:sz w:val="20"/>
        </w:rPr>
        <w:t>Raemdonck</w:t>
      </w:r>
      <w:proofErr w:type="spellEnd"/>
      <w:r>
        <w:rPr>
          <w:sz w:val="20"/>
        </w:rPr>
        <w:t xml:space="preserve"> ‘Tracheal Replacement’ J</w:t>
      </w:r>
      <w:r w:rsidRPr="000B24C5">
        <w:rPr>
          <w:sz w:val="20"/>
        </w:rPr>
        <w:t> </w:t>
      </w:r>
      <w:proofErr w:type="spellStart"/>
      <w:r w:rsidRPr="000B24C5">
        <w:rPr>
          <w:sz w:val="20"/>
        </w:rPr>
        <w:t>Thorac</w:t>
      </w:r>
      <w:proofErr w:type="spellEnd"/>
      <w:r w:rsidRPr="000B24C5">
        <w:rPr>
          <w:sz w:val="20"/>
        </w:rPr>
        <w:t xml:space="preserve"> Dis. 2016 Mar; 8</w:t>
      </w:r>
      <w:r>
        <w:rPr>
          <w:sz w:val="20"/>
        </w:rPr>
        <w:t xml:space="preserve"> </w:t>
      </w:r>
      <w:r w:rsidRPr="000B24C5">
        <w:rPr>
          <w:sz w:val="20"/>
        </w:rPr>
        <w:t>(</w:t>
      </w:r>
      <w:proofErr w:type="spellStart"/>
      <w:r w:rsidRPr="000B24C5">
        <w:rPr>
          <w:sz w:val="20"/>
        </w:rPr>
        <w:t>Suppl</w:t>
      </w:r>
      <w:proofErr w:type="spellEnd"/>
      <w:r w:rsidRPr="000B24C5">
        <w:rPr>
          <w:sz w:val="20"/>
        </w:rPr>
        <w:t xml:space="preserve"> 2): S186–S196</w:t>
      </w:r>
      <w:r>
        <w:rPr>
          <w:sz w:val="20"/>
        </w:rPr>
        <w:t>.</w:t>
      </w:r>
    </w:p>
    <w:p w14:paraId="55EE8BCB" w14:textId="77777777" w:rsidR="009967B5" w:rsidRPr="00443838" w:rsidRDefault="009967B5">
      <w:pPr>
        <w:pStyle w:val="FootnoteText"/>
        <w:rPr>
          <w:sz w:val="20"/>
        </w:rPr>
      </w:pPr>
    </w:p>
  </w:footnote>
  <w:footnote w:id="146">
    <w:p w14:paraId="16BCBF77" w14:textId="3E594C11" w:rsidR="009967B5" w:rsidRPr="00160F37" w:rsidRDefault="009967B5">
      <w:pPr>
        <w:pStyle w:val="FootnoteText"/>
        <w:rPr>
          <w:sz w:val="20"/>
          <w:szCs w:val="20"/>
        </w:rPr>
      </w:pPr>
      <w:r w:rsidRPr="00160F37">
        <w:rPr>
          <w:rStyle w:val="FootnoteReference"/>
          <w:sz w:val="20"/>
          <w:szCs w:val="20"/>
        </w:rPr>
        <w:footnoteRef/>
      </w:r>
      <w:r w:rsidRPr="00160F37">
        <w:rPr>
          <w:sz w:val="20"/>
          <w:szCs w:val="20"/>
        </w:rPr>
        <w:t xml:space="preserve"> Ibid [81].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C6797"/>
    <w:multiLevelType w:val="hybridMultilevel"/>
    <w:tmpl w:val="5BDA3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B71F3"/>
    <w:multiLevelType w:val="hybridMultilevel"/>
    <w:tmpl w:val="9AA29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A0406"/>
    <w:multiLevelType w:val="hybridMultilevel"/>
    <w:tmpl w:val="98267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90AD0"/>
    <w:multiLevelType w:val="hybridMultilevel"/>
    <w:tmpl w:val="1AAEE9C6"/>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15DA0BDD"/>
    <w:multiLevelType w:val="hybridMultilevel"/>
    <w:tmpl w:val="63843EFE"/>
    <w:lvl w:ilvl="0" w:tplc="2716E0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86108E"/>
    <w:multiLevelType w:val="multilevel"/>
    <w:tmpl w:val="9436590E"/>
    <w:lvl w:ilvl="0">
      <w:start w:val="2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43C5C23"/>
    <w:multiLevelType w:val="hybridMultilevel"/>
    <w:tmpl w:val="00120D96"/>
    <w:lvl w:ilvl="0" w:tplc="11B49B86">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9B0AE9"/>
    <w:multiLevelType w:val="hybridMultilevel"/>
    <w:tmpl w:val="EC9A7D20"/>
    <w:lvl w:ilvl="0" w:tplc="32020478">
      <w:start w:val="1"/>
      <w:numFmt w:val="lowerRoman"/>
      <w:lvlText w:val="(%1)"/>
      <w:lvlJc w:val="left"/>
      <w:pPr>
        <w:ind w:left="1080" w:hanging="50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4F583C"/>
    <w:multiLevelType w:val="hybridMultilevel"/>
    <w:tmpl w:val="3676D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6B19A0"/>
    <w:multiLevelType w:val="hybridMultilevel"/>
    <w:tmpl w:val="35C64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04450F"/>
    <w:multiLevelType w:val="multilevel"/>
    <w:tmpl w:val="0EC4D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D27639"/>
    <w:multiLevelType w:val="multilevel"/>
    <w:tmpl w:val="5B1827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4C396FC4"/>
    <w:multiLevelType w:val="hybridMultilevel"/>
    <w:tmpl w:val="E47C2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F007918"/>
    <w:multiLevelType w:val="hybridMultilevel"/>
    <w:tmpl w:val="C5502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426F29"/>
    <w:multiLevelType w:val="hybridMultilevel"/>
    <w:tmpl w:val="8EF61698"/>
    <w:lvl w:ilvl="0" w:tplc="11B49B86">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B29083C"/>
    <w:multiLevelType w:val="hybridMultilevel"/>
    <w:tmpl w:val="D8EA16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D3579B8"/>
    <w:multiLevelType w:val="hybridMultilevel"/>
    <w:tmpl w:val="DB76D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0003AAB"/>
    <w:multiLevelType w:val="hybridMultilevel"/>
    <w:tmpl w:val="E9CE4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560196"/>
    <w:multiLevelType w:val="multilevel"/>
    <w:tmpl w:val="312EFD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9D907F8"/>
    <w:multiLevelType w:val="hybridMultilevel"/>
    <w:tmpl w:val="3092B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1469C6"/>
    <w:multiLevelType w:val="hybridMultilevel"/>
    <w:tmpl w:val="66C87352"/>
    <w:lvl w:ilvl="0" w:tplc="6A7699AC">
      <w:start w:val="1"/>
      <w:numFmt w:val="lowerRoman"/>
      <w:lvlText w:val="(%1)"/>
      <w:lvlJc w:val="left"/>
      <w:pPr>
        <w:ind w:left="1296" w:hanging="576"/>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76C25143"/>
    <w:multiLevelType w:val="hybridMultilevel"/>
    <w:tmpl w:val="73E0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3"/>
  </w:num>
  <w:num w:numId="4">
    <w:abstractNumId w:val="20"/>
  </w:num>
  <w:num w:numId="5">
    <w:abstractNumId w:val="15"/>
  </w:num>
  <w:num w:numId="6">
    <w:abstractNumId w:val="7"/>
  </w:num>
  <w:num w:numId="7">
    <w:abstractNumId w:val="4"/>
  </w:num>
  <w:num w:numId="8">
    <w:abstractNumId w:val="16"/>
  </w:num>
  <w:num w:numId="9">
    <w:abstractNumId w:val="12"/>
  </w:num>
  <w:num w:numId="10">
    <w:abstractNumId w:val="11"/>
  </w:num>
  <w:num w:numId="11">
    <w:abstractNumId w:val="2"/>
  </w:num>
  <w:num w:numId="12">
    <w:abstractNumId w:val="1"/>
  </w:num>
  <w:num w:numId="13">
    <w:abstractNumId w:val="8"/>
  </w:num>
  <w:num w:numId="14">
    <w:abstractNumId w:val="13"/>
  </w:num>
  <w:num w:numId="15">
    <w:abstractNumId w:val="9"/>
  </w:num>
  <w:num w:numId="16">
    <w:abstractNumId w:val="17"/>
  </w:num>
  <w:num w:numId="17">
    <w:abstractNumId w:val="19"/>
  </w:num>
  <w:num w:numId="18">
    <w:abstractNumId w:val="21"/>
  </w:num>
  <w:num w:numId="19">
    <w:abstractNumId w:val="5"/>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8"/>
    </w:lvlOverride>
  </w:num>
  <w:num w:numId="21">
    <w:abstractNumId w:val="1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7BE"/>
    <w:rsid w:val="0000257A"/>
    <w:rsid w:val="0000333B"/>
    <w:rsid w:val="00003E93"/>
    <w:rsid w:val="00004F8F"/>
    <w:rsid w:val="00006AD5"/>
    <w:rsid w:val="00006B09"/>
    <w:rsid w:val="000070E8"/>
    <w:rsid w:val="000075B9"/>
    <w:rsid w:val="0001098B"/>
    <w:rsid w:val="00012C89"/>
    <w:rsid w:val="00013335"/>
    <w:rsid w:val="00013D2C"/>
    <w:rsid w:val="000154E8"/>
    <w:rsid w:val="0001567E"/>
    <w:rsid w:val="00015A28"/>
    <w:rsid w:val="00020F71"/>
    <w:rsid w:val="00021049"/>
    <w:rsid w:val="00022C0C"/>
    <w:rsid w:val="0002410C"/>
    <w:rsid w:val="000271C2"/>
    <w:rsid w:val="00027A8E"/>
    <w:rsid w:val="00030CBA"/>
    <w:rsid w:val="00034C08"/>
    <w:rsid w:val="0003722B"/>
    <w:rsid w:val="0004127B"/>
    <w:rsid w:val="00041715"/>
    <w:rsid w:val="00042D01"/>
    <w:rsid w:val="000458B7"/>
    <w:rsid w:val="00047C9E"/>
    <w:rsid w:val="000546A0"/>
    <w:rsid w:val="00062BB8"/>
    <w:rsid w:val="00063687"/>
    <w:rsid w:val="0006554B"/>
    <w:rsid w:val="00067253"/>
    <w:rsid w:val="00067817"/>
    <w:rsid w:val="00070ADD"/>
    <w:rsid w:val="00073723"/>
    <w:rsid w:val="000744B6"/>
    <w:rsid w:val="000767EC"/>
    <w:rsid w:val="00077040"/>
    <w:rsid w:val="0007719A"/>
    <w:rsid w:val="000774C3"/>
    <w:rsid w:val="000818A3"/>
    <w:rsid w:val="00081B9D"/>
    <w:rsid w:val="00083AD0"/>
    <w:rsid w:val="00083D44"/>
    <w:rsid w:val="00086958"/>
    <w:rsid w:val="00090369"/>
    <w:rsid w:val="0009070F"/>
    <w:rsid w:val="00091881"/>
    <w:rsid w:val="0009200F"/>
    <w:rsid w:val="000925AA"/>
    <w:rsid w:val="00095071"/>
    <w:rsid w:val="00096F52"/>
    <w:rsid w:val="0009772D"/>
    <w:rsid w:val="000A10D1"/>
    <w:rsid w:val="000A1BB0"/>
    <w:rsid w:val="000A1C05"/>
    <w:rsid w:val="000A248B"/>
    <w:rsid w:val="000A2A7C"/>
    <w:rsid w:val="000A594A"/>
    <w:rsid w:val="000A72EF"/>
    <w:rsid w:val="000B0ABA"/>
    <w:rsid w:val="000B0CCF"/>
    <w:rsid w:val="000B24C5"/>
    <w:rsid w:val="000B293F"/>
    <w:rsid w:val="000B5C47"/>
    <w:rsid w:val="000C0456"/>
    <w:rsid w:val="000C0A54"/>
    <w:rsid w:val="000C2B34"/>
    <w:rsid w:val="000C3335"/>
    <w:rsid w:val="000C393F"/>
    <w:rsid w:val="000C7171"/>
    <w:rsid w:val="000C7DBA"/>
    <w:rsid w:val="000D02F2"/>
    <w:rsid w:val="000D2C2C"/>
    <w:rsid w:val="000D42CA"/>
    <w:rsid w:val="000D695A"/>
    <w:rsid w:val="000D6F3F"/>
    <w:rsid w:val="000E23C3"/>
    <w:rsid w:val="000E25A3"/>
    <w:rsid w:val="000E59B8"/>
    <w:rsid w:val="000E5D19"/>
    <w:rsid w:val="000F1106"/>
    <w:rsid w:val="000F2709"/>
    <w:rsid w:val="000F3E21"/>
    <w:rsid w:val="000F544C"/>
    <w:rsid w:val="000F7CC2"/>
    <w:rsid w:val="001025C7"/>
    <w:rsid w:val="0010391C"/>
    <w:rsid w:val="0010396F"/>
    <w:rsid w:val="00103B4D"/>
    <w:rsid w:val="00104332"/>
    <w:rsid w:val="001045A7"/>
    <w:rsid w:val="00106333"/>
    <w:rsid w:val="00111F20"/>
    <w:rsid w:val="00115443"/>
    <w:rsid w:val="0011747E"/>
    <w:rsid w:val="00121A1F"/>
    <w:rsid w:val="00123F82"/>
    <w:rsid w:val="00123F8F"/>
    <w:rsid w:val="0012499E"/>
    <w:rsid w:val="00124CBB"/>
    <w:rsid w:val="00127F92"/>
    <w:rsid w:val="001307D0"/>
    <w:rsid w:val="00130BA1"/>
    <w:rsid w:val="0013192F"/>
    <w:rsid w:val="0013287A"/>
    <w:rsid w:val="00132F77"/>
    <w:rsid w:val="00133FBD"/>
    <w:rsid w:val="00141120"/>
    <w:rsid w:val="0014220B"/>
    <w:rsid w:val="00145AFA"/>
    <w:rsid w:val="0015319E"/>
    <w:rsid w:val="00153689"/>
    <w:rsid w:val="00154F79"/>
    <w:rsid w:val="00160F37"/>
    <w:rsid w:val="00162CFB"/>
    <w:rsid w:val="001648FF"/>
    <w:rsid w:val="00164F4D"/>
    <w:rsid w:val="00166346"/>
    <w:rsid w:val="001748DD"/>
    <w:rsid w:val="0017700D"/>
    <w:rsid w:val="001818B8"/>
    <w:rsid w:val="001827DD"/>
    <w:rsid w:val="001842C6"/>
    <w:rsid w:val="0018455E"/>
    <w:rsid w:val="00184D76"/>
    <w:rsid w:val="00187B21"/>
    <w:rsid w:val="0019196E"/>
    <w:rsid w:val="001961FC"/>
    <w:rsid w:val="00196E58"/>
    <w:rsid w:val="001A6445"/>
    <w:rsid w:val="001A6912"/>
    <w:rsid w:val="001A7CCD"/>
    <w:rsid w:val="001B0B8B"/>
    <w:rsid w:val="001C268B"/>
    <w:rsid w:val="001C7D2C"/>
    <w:rsid w:val="001C7FC1"/>
    <w:rsid w:val="001D295C"/>
    <w:rsid w:val="001D3CD2"/>
    <w:rsid w:val="001E0427"/>
    <w:rsid w:val="001E2CCC"/>
    <w:rsid w:val="001E3FEC"/>
    <w:rsid w:val="001E56E8"/>
    <w:rsid w:val="001F477C"/>
    <w:rsid w:val="001F5577"/>
    <w:rsid w:val="001F56D2"/>
    <w:rsid w:val="001F5D73"/>
    <w:rsid w:val="00204C5A"/>
    <w:rsid w:val="0020561C"/>
    <w:rsid w:val="00207072"/>
    <w:rsid w:val="00212CE5"/>
    <w:rsid w:val="00215592"/>
    <w:rsid w:val="0021574D"/>
    <w:rsid w:val="00222FE4"/>
    <w:rsid w:val="00223D58"/>
    <w:rsid w:val="00226528"/>
    <w:rsid w:val="0023495E"/>
    <w:rsid w:val="00237808"/>
    <w:rsid w:val="002413FB"/>
    <w:rsid w:val="00242908"/>
    <w:rsid w:val="00245847"/>
    <w:rsid w:val="00245D45"/>
    <w:rsid w:val="002508B0"/>
    <w:rsid w:val="00250CD9"/>
    <w:rsid w:val="0025383C"/>
    <w:rsid w:val="00253869"/>
    <w:rsid w:val="00255D28"/>
    <w:rsid w:val="00261502"/>
    <w:rsid w:val="0026228F"/>
    <w:rsid w:val="00263646"/>
    <w:rsid w:val="00264E47"/>
    <w:rsid w:val="00264EA9"/>
    <w:rsid w:val="00267243"/>
    <w:rsid w:val="00270280"/>
    <w:rsid w:val="0027180B"/>
    <w:rsid w:val="00272699"/>
    <w:rsid w:val="00273212"/>
    <w:rsid w:val="00277715"/>
    <w:rsid w:val="002810E3"/>
    <w:rsid w:val="002831C4"/>
    <w:rsid w:val="00283AB9"/>
    <w:rsid w:val="002842C0"/>
    <w:rsid w:val="00284F60"/>
    <w:rsid w:val="00284F65"/>
    <w:rsid w:val="00285545"/>
    <w:rsid w:val="00294533"/>
    <w:rsid w:val="00296027"/>
    <w:rsid w:val="00296675"/>
    <w:rsid w:val="00297D5B"/>
    <w:rsid w:val="002A1EDB"/>
    <w:rsid w:val="002A2EC1"/>
    <w:rsid w:val="002A33AA"/>
    <w:rsid w:val="002A33F6"/>
    <w:rsid w:val="002A53BB"/>
    <w:rsid w:val="002A558F"/>
    <w:rsid w:val="002A72D8"/>
    <w:rsid w:val="002B1628"/>
    <w:rsid w:val="002B3BBC"/>
    <w:rsid w:val="002B454C"/>
    <w:rsid w:val="002B4CDA"/>
    <w:rsid w:val="002B6B99"/>
    <w:rsid w:val="002C0658"/>
    <w:rsid w:val="002C0DE4"/>
    <w:rsid w:val="002C59E5"/>
    <w:rsid w:val="002D018C"/>
    <w:rsid w:val="002D3D83"/>
    <w:rsid w:val="002D6AD6"/>
    <w:rsid w:val="002D719F"/>
    <w:rsid w:val="002E0028"/>
    <w:rsid w:val="002E06EF"/>
    <w:rsid w:val="002E20A2"/>
    <w:rsid w:val="002E2E36"/>
    <w:rsid w:val="002E53DD"/>
    <w:rsid w:val="002E6071"/>
    <w:rsid w:val="002F13CB"/>
    <w:rsid w:val="002F1A66"/>
    <w:rsid w:val="002F356E"/>
    <w:rsid w:val="002F4386"/>
    <w:rsid w:val="002F6823"/>
    <w:rsid w:val="002F7B4D"/>
    <w:rsid w:val="00305C71"/>
    <w:rsid w:val="0030658B"/>
    <w:rsid w:val="00311643"/>
    <w:rsid w:val="0031418E"/>
    <w:rsid w:val="003223BF"/>
    <w:rsid w:val="0032289D"/>
    <w:rsid w:val="003264DE"/>
    <w:rsid w:val="00327DF7"/>
    <w:rsid w:val="00333588"/>
    <w:rsid w:val="00333663"/>
    <w:rsid w:val="00334586"/>
    <w:rsid w:val="00334D1D"/>
    <w:rsid w:val="0033577B"/>
    <w:rsid w:val="00346134"/>
    <w:rsid w:val="00350243"/>
    <w:rsid w:val="00352B6A"/>
    <w:rsid w:val="00353E36"/>
    <w:rsid w:val="003550AF"/>
    <w:rsid w:val="0036120D"/>
    <w:rsid w:val="00361964"/>
    <w:rsid w:val="00361995"/>
    <w:rsid w:val="00363750"/>
    <w:rsid w:val="00363D28"/>
    <w:rsid w:val="003647C2"/>
    <w:rsid w:val="0036607B"/>
    <w:rsid w:val="00366130"/>
    <w:rsid w:val="00376445"/>
    <w:rsid w:val="00386662"/>
    <w:rsid w:val="0038766A"/>
    <w:rsid w:val="00390B5E"/>
    <w:rsid w:val="00391584"/>
    <w:rsid w:val="00392548"/>
    <w:rsid w:val="003927F1"/>
    <w:rsid w:val="00397704"/>
    <w:rsid w:val="003A33D8"/>
    <w:rsid w:val="003A3890"/>
    <w:rsid w:val="003A7B3B"/>
    <w:rsid w:val="003B128D"/>
    <w:rsid w:val="003B300E"/>
    <w:rsid w:val="003B5089"/>
    <w:rsid w:val="003C4C3C"/>
    <w:rsid w:val="003D1F7E"/>
    <w:rsid w:val="003D38DF"/>
    <w:rsid w:val="003E1C06"/>
    <w:rsid w:val="003E2099"/>
    <w:rsid w:val="003E503E"/>
    <w:rsid w:val="003F215A"/>
    <w:rsid w:val="003F3BC4"/>
    <w:rsid w:val="003F7B61"/>
    <w:rsid w:val="0040022A"/>
    <w:rsid w:val="00402114"/>
    <w:rsid w:val="00404EA3"/>
    <w:rsid w:val="004053AB"/>
    <w:rsid w:val="00405549"/>
    <w:rsid w:val="00407F5D"/>
    <w:rsid w:val="004117F4"/>
    <w:rsid w:val="004121A6"/>
    <w:rsid w:val="00412ECD"/>
    <w:rsid w:val="0041415B"/>
    <w:rsid w:val="004154DD"/>
    <w:rsid w:val="0042012D"/>
    <w:rsid w:val="00422F8B"/>
    <w:rsid w:val="00423C73"/>
    <w:rsid w:val="004256A1"/>
    <w:rsid w:val="00430443"/>
    <w:rsid w:val="004316EF"/>
    <w:rsid w:val="004321BA"/>
    <w:rsid w:val="00433DA8"/>
    <w:rsid w:val="00436B20"/>
    <w:rsid w:val="00443838"/>
    <w:rsid w:val="004505DF"/>
    <w:rsid w:val="00451685"/>
    <w:rsid w:val="00452965"/>
    <w:rsid w:val="00455710"/>
    <w:rsid w:val="0045653F"/>
    <w:rsid w:val="00457275"/>
    <w:rsid w:val="00457394"/>
    <w:rsid w:val="00457668"/>
    <w:rsid w:val="00461A32"/>
    <w:rsid w:val="00462FC1"/>
    <w:rsid w:val="00465752"/>
    <w:rsid w:val="0046688A"/>
    <w:rsid w:val="004705F8"/>
    <w:rsid w:val="004712B3"/>
    <w:rsid w:val="00474A37"/>
    <w:rsid w:val="0047665B"/>
    <w:rsid w:val="00477D8A"/>
    <w:rsid w:val="0048009F"/>
    <w:rsid w:val="00481470"/>
    <w:rsid w:val="00482836"/>
    <w:rsid w:val="00482F83"/>
    <w:rsid w:val="00483C50"/>
    <w:rsid w:val="004849AC"/>
    <w:rsid w:val="004859F2"/>
    <w:rsid w:val="00486B49"/>
    <w:rsid w:val="00487351"/>
    <w:rsid w:val="0049058D"/>
    <w:rsid w:val="0049228E"/>
    <w:rsid w:val="004927F9"/>
    <w:rsid w:val="00497B6A"/>
    <w:rsid w:val="004A27B9"/>
    <w:rsid w:val="004A50A1"/>
    <w:rsid w:val="004B133A"/>
    <w:rsid w:val="004B3278"/>
    <w:rsid w:val="004B37BF"/>
    <w:rsid w:val="004B4889"/>
    <w:rsid w:val="004B55F0"/>
    <w:rsid w:val="004C037D"/>
    <w:rsid w:val="004C1A9B"/>
    <w:rsid w:val="004C25DB"/>
    <w:rsid w:val="004C2C08"/>
    <w:rsid w:val="004C3002"/>
    <w:rsid w:val="004C3634"/>
    <w:rsid w:val="004C6B0F"/>
    <w:rsid w:val="004D1C1F"/>
    <w:rsid w:val="004D3A6E"/>
    <w:rsid w:val="004D5F19"/>
    <w:rsid w:val="004D7880"/>
    <w:rsid w:val="004E2503"/>
    <w:rsid w:val="004E34D6"/>
    <w:rsid w:val="004E7B62"/>
    <w:rsid w:val="004F086D"/>
    <w:rsid w:val="004F2C07"/>
    <w:rsid w:val="004F45C9"/>
    <w:rsid w:val="004F6B18"/>
    <w:rsid w:val="004F6B52"/>
    <w:rsid w:val="004F7D80"/>
    <w:rsid w:val="00500EDF"/>
    <w:rsid w:val="005015E2"/>
    <w:rsid w:val="00501BE5"/>
    <w:rsid w:val="0050200C"/>
    <w:rsid w:val="0050217E"/>
    <w:rsid w:val="005040CB"/>
    <w:rsid w:val="00504AE4"/>
    <w:rsid w:val="00504C53"/>
    <w:rsid w:val="005068B7"/>
    <w:rsid w:val="00510CD5"/>
    <w:rsid w:val="00511E2D"/>
    <w:rsid w:val="0051262A"/>
    <w:rsid w:val="0051522A"/>
    <w:rsid w:val="0052013F"/>
    <w:rsid w:val="00523758"/>
    <w:rsid w:val="0052686A"/>
    <w:rsid w:val="00530CCD"/>
    <w:rsid w:val="00533C2F"/>
    <w:rsid w:val="005347DF"/>
    <w:rsid w:val="00541075"/>
    <w:rsid w:val="00541640"/>
    <w:rsid w:val="005425B7"/>
    <w:rsid w:val="00543625"/>
    <w:rsid w:val="00543A56"/>
    <w:rsid w:val="00553599"/>
    <w:rsid w:val="00553B19"/>
    <w:rsid w:val="00555591"/>
    <w:rsid w:val="00555F84"/>
    <w:rsid w:val="0055653F"/>
    <w:rsid w:val="00557759"/>
    <w:rsid w:val="00560449"/>
    <w:rsid w:val="0056105E"/>
    <w:rsid w:val="00561752"/>
    <w:rsid w:val="00564D08"/>
    <w:rsid w:val="0056725E"/>
    <w:rsid w:val="00567531"/>
    <w:rsid w:val="0057123D"/>
    <w:rsid w:val="00571456"/>
    <w:rsid w:val="00571766"/>
    <w:rsid w:val="0057683D"/>
    <w:rsid w:val="0057730B"/>
    <w:rsid w:val="00580672"/>
    <w:rsid w:val="00581069"/>
    <w:rsid w:val="00581808"/>
    <w:rsid w:val="00581A84"/>
    <w:rsid w:val="00582C94"/>
    <w:rsid w:val="0058326D"/>
    <w:rsid w:val="00583D26"/>
    <w:rsid w:val="00584236"/>
    <w:rsid w:val="0058469B"/>
    <w:rsid w:val="00584D30"/>
    <w:rsid w:val="0058722E"/>
    <w:rsid w:val="0059127A"/>
    <w:rsid w:val="005926A1"/>
    <w:rsid w:val="00596289"/>
    <w:rsid w:val="00596424"/>
    <w:rsid w:val="005A193E"/>
    <w:rsid w:val="005A1A8C"/>
    <w:rsid w:val="005A1D9A"/>
    <w:rsid w:val="005A4DC6"/>
    <w:rsid w:val="005A4E27"/>
    <w:rsid w:val="005A558D"/>
    <w:rsid w:val="005B1806"/>
    <w:rsid w:val="005B1A09"/>
    <w:rsid w:val="005B6E51"/>
    <w:rsid w:val="005C0A95"/>
    <w:rsid w:val="005C1D84"/>
    <w:rsid w:val="005C35D7"/>
    <w:rsid w:val="005C4AA1"/>
    <w:rsid w:val="005C5B92"/>
    <w:rsid w:val="005D06C4"/>
    <w:rsid w:val="005D29F2"/>
    <w:rsid w:val="005D29FB"/>
    <w:rsid w:val="005D4A3C"/>
    <w:rsid w:val="005D52F9"/>
    <w:rsid w:val="005D631E"/>
    <w:rsid w:val="005E2F96"/>
    <w:rsid w:val="005E4273"/>
    <w:rsid w:val="005E6472"/>
    <w:rsid w:val="005E67B2"/>
    <w:rsid w:val="005E7783"/>
    <w:rsid w:val="005F3CB3"/>
    <w:rsid w:val="005F4827"/>
    <w:rsid w:val="005F651B"/>
    <w:rsid w:val="005F69C6"/>
    <w:rsid w:val="0060183A"/>
    <w:rsid w:val="00602D35"/>
    <w:rsid w:val="00606368"/>
    <w:rsid w:val="00606CD5"/>
    <w:rsid w:val="006102A2"/>
    <w:rsid w:val="0061711B"/>
    <w:rsid w:val="00617DCB"/>
    <w:rsid w:val="00625E82"/>
    <w:rsid w:val="00633277"/>
    <w:rsid w:val="00633EC8"/>
    <w:rsid w:val="00636633"/>
    <w:rsid w:val="00636936"/>
    <w:rsid w:val="00641CCC"/>
    <w:rsid w:val="00651764"/>
    <w:rsid w:val="00651E10"/>
    <w:rsid w:val="006539DD"/>
    <w:rsid w:val="00653F6D"/>
    <w:rsid w:val="00655BA9"/>
    <w:rsid w:val="00657FC0"/>
    <w:rsid w:val="006607D1"/>
    <w:rsid w:val="0066762A"/>
    <w:rsid w:val="00674E16"/>
    <w:rsid w:val="00675942"/>
    <w:rsid w:val="00677B14"/>
    <w:rsid w:val="00681DDE"/>
    <w:rsid w:val="00682EFE"/>
    <w:rsid w:val="00686199"/>
    <w:rsid w:val="00687FE6"/>
    <w:rsid w:val="006908AC"/>
    <w:rsid w:val="00696BC0"/>
    <w:rsid w:val="006970EF"/>
    <w:rsid w:val="006A43F0"/>
    <w:rsid w:val="006C0EEC"/>
    <w:rsid w:val="006C16BF"/>
    <w:rsid w:val="006C4D2A"/>
    <w:rsid w:val="006C61EB"/>
    <w:rsid w:val="006D14C6"/>
    <w:rsid w:val="006D42EF"/>
    <w:rsid w:val="006D53BC"/>
    <w:rsid w:val="006D5562"/>
    <w:rsid w:val="006D59AE"/>
    <w:rsid w:val="006D5E7A"/>
    <w:rsid w:val="006D5F34"/>
    <w:rsid w:val="006D7955"/>
    <w:rsid w:val="006E2DC5"/>
    <w:rsid w:val="006E3A6B"/>
    <w:rsid w:val="006E427D"/>
    <w:rsid w:val="006E526E"/>
    <w:rsid w:val="006F1B0F"/>
    <w:rsid w:val="006F51F4"/>
    <w:rsid w:val="006F5592"/>
    <w:rsid w:val="006F7461"/>
    <w:rsid w:val="0070078C"/>
    <w:rsid w:val="0070147F"/>
    <w:rsid w:val="007014DB"/>
    <w:rsid w:val="00703691"/>
    <w:rsid w:val="00705743"/>
    <w:rsid w:val="00705F87"/>
    <w:rsid w:val="00707B75"/>
    <w:rsid w:val="007122D9"/>
    <w:rsid w:val="00714214"/>
    <w:rsid w:val="00714CCC"/>
    <w:rsid w:val="007176AC"/>
    <w:rsid w:val="00717701"/>
    <w:rsid w:val="00717869"/>
    <w:rsid w:val="0072004F"/>
    <w:rsid w:val="00721DE7"/>
    <w:rsid w:val="00726F81"/>
    <w:rsid w:val="007271FD"/>
    <w:rsid w:val="00727D4B"/>
    <w:rsid w:val="00730224"/>
    <w:rsid w:val="00731703"/>
    <w:rsid w:val="0073723A"/>
    <w:rsid w:val="00740FC5"/>
    <w:rsid w:val="00741290"/>
    <w:rsid w:val="00742FDF"/>
    <w:rsid w:val="00744C3D"/>
    <w:rsid w:val="00745096"/>
    <w:rsid w:val="00746BFF"/>
    <w:rsid w:val="00746C29"/>
    <w:rsid w:val="00753285"/>
    <w:rsid w:val="00756977"/>
    <w:rsid w:val="00757803"/>
    <w:rsid w:val="00760A39"/>
    <w:rsid w:val="007667BB"/>
    <w:rsid w:val="0077393B"/>
    <w:rsid w:val="00777D6A"/>
    <w:rsid w:val="00777FC7"/>
    <w:rsid w:val="00780011"/>
    <w:rsid w:val="00784B94"/>
    <w:rsid w:val="00785948"/>
    <w:rsid w:val="00786692"/>
    <w:rsid w:val="00787B2C"/>
    <w:rsid w:val="0079001E"/>
    <w:rsid w:val="007930A0"/>
    <w:rsid w:val="007A1E5F"/>
    <w:rsid w:val="007A3A26"/>
    <w:rsid w:val="007A7F7E"/>
    <w:rsid w:val="007B097E"/>
    <w:rsid w:val="007B222B"/>
    <w:rsid w:val="007B45CE"/>
    <w:rsid w:val="007B6CEB"/>
    <w:rsid w:val="007B6DDA"/>
    <w:rsid w:val="007B76ED"/>
    <w:rsid w:val="007B7920"/>
    <w:rsid w:val="007C2E63"/>
    <w:rsid w:val="007C3BCD"/>
    <w:rsid w:val="007C4312"/>
    <w:rsid w:val="007C62F8"/>
    <w:rsid w:val="007C64F8"/>
    <w:rsid w:val="007C6912"/>
    <w:rsid w:val="007C72AA"/>
    <w:rsid w:val="007C7D40"/>
    <w:rsid w:val="007D2394"/>
    <w:rsid w:val="007D2944"/>
    <w:rsid w:val="007D3F85"/>
    <w:rsid w:val="007D42CE"/>
    <w:rsid w:val="007D5ECE"/>
    <w:rsid w:val="007E17E3"/>
    <w:rsid w:val="007E3CE7"/>
    <w:rsid w:val="007E406D"/>
    <w:rsid w:val="007E534A"/>
    <w:rsid w:val="007E640F"/>
    <w:rsid w:val="007F0CE8"/>
    <w:rsid w:val="007F1AFA"/>
    <w:rsid w:val="007F3B13"/>
    <w:rsid w:val="007F5E98"/>
    <w:rsid w:val="007F6025"/>
    <w:rsid w:val="007F64C7"/>
    <w:rsid w:val="00800929"/>
    <w:rsid w:val="00801DDB"/>
    <w:rsid w:val="0080200D"/>
    <w:rsid w:val="0080718D"/>
    <w:rsid w:val="0081216D"/>
    <w:rsid w:val="00815DE6"/>
    <w:rsid w:val="00816ACF"/>
    <w:rsid w:val="00816ED0"/>
    <w:rsid w:val="008171E1"/>
    <w:rsid w:val="00817BA7"/>
    <w:rsid w:val="008202F5"/>
    <w:rsid w:val="00820893"/>
    <w:rsid w:val="008228E7"/>
    <w:rsid w:val="0082380D"/>
    <w:rsid w:val="00823837"/>
    <w:rsid w:val="00826BDE"/>
    <w:rsid w:val="00827453"/>
    <w:rsid w:val="00830A70"/>
    <w:rsid w:val="00831445"/>
    <w:rsid w:val="00836683"/>
    <w:rsid w:val="00846142"/>
    <w:rsid w:val="00846791"/>
    <w:rsid w:val="00846CC1"/>
    <w:rsid w:val="008474B6"/>
    <w:rsid w:val="00857816"/>
    <w:rsid w:val="00862EC7"/>
    <w:rsid w:val="00870A39"/>
    <w:rsid w:val="00874CB0"/>
    <w:rsid w:val="0088167B"/>
    <w:rsid w:val="00881C1C"/>
    <w:rsid w:val="00882D4C"/>
    <w:rsid w:val="008854AC"/>
    <w:rsid w:val="0088727F"/>
    <w:rsid w:val="0089110D"/>
    <w:rsid w:val="0089253F"/>
    <w:rsid w:val="00894DAD"/>
    <w:rsid w:val="00895248"/>
    <w:rsid w:val="00896706"/>
    <w:rsid w:val="008A1D07"/>
    <w:rsid w:val="008A2147"/>
    <w:rsid w:val="008A5D10"/>
    <w:rsid w:val="008B309C"/>
    <w:rsid w:val="008B46C2"/>
    <w:rsid w:val="008B485E"/>
    <w:rsid w:val="008B49C3"/>
    <w:rsid w:val="008B6C2B"/>
    <w:rsid w:val="008B6FAB"/>
    <w:rsid w:val="008B7BED"/>
    <w:rsid w:val="008C0260"/>
    <w:rsid w:val="008C0294"/>
    <w:rsid w:val="008C17C2"/>
    <w:rsid w:val="008C24FC"/>
    <w:rsid w:val="008C2E38"/>
    <w:rsid w:val="008C4F64"/>
    <w:rsid w:val="008D246A"/>
    <w:rsid w:val="008D2533"/>
    <w:rsid w:val="008D58D0"/>
    <w:rsid w:val="008D5C2A"/>
    <w:rsid w:val="008D5C34"/>
    <w:rsid w:val="008E5B7B"/>
    <w:rsid w:val="008F3FA3"/>
    <w:rsid w:val="008F55F7"/>
    <w:rsid w:val="008F696A"/>
    <w:rsid w:val="008F6F31"/>
    <w:rsid w:val="00901C7D"/>
    <w:rsid w:val="009023B0"/>
    <w:rsid w:val="009035D4"/>
    <w:rsid w:val="009076EF"/>
    <w:rsid w:val="00910D1E"/>
    <w:rsid w:val="00911074"/>
    <w:rsid w:val="009147C0"/>
    <w:rsid w:val="00914924"/>
    <w:rsid w:val="00914F2B"/>
    <w:rsid w:val="009157A4"/>
    <w:rsid w:val="009171E9"/>
    <w:rsid w:val="0091775B"/>
    <w:rsid w:val="009221D8"/>
    <w:rsid w:val="00930254"/>
    <w:rsid w:val="00933691"/>
    <w:rsid w:val="0093636F"/>
    <w:rsid w:val="00936458"/>
    <w:rsid w:val="00937C79"/>
    <w:rsid w:val="00940AF4"/>
    <w:rsid w:val="00942E66"/>
    <w:rsid w:val="00945323"/>
    <w:rsid w:val="00946338"/>
    <w:rsid w:val="00946C62"/>
    <w:rsid w:val="00951EF6"/>
    <w:rsid w:val="00954431"/>
    <w:rsid w:val="0095768E"/>
    <w:rsid w:val="00957810"/>
    <w:rsid w:val="00965339"/>
    <w:rsid w:val="00965B24"/>
    <w:rsid w:val="009701EF"/>
    <w:rsid w:val="00975393"/>
    <w:rsid w:val="00977850"/>
    <w:rsid w:val="00980185"/>
    <w:rsid w:val="0098252F"/>
    <w:rsid w:val="00983D8B"/>
    <w:rsid w:val="00984D14"/>
    <w:rsid w:val="009859B6"/>
    <w:rsid w:val="009859DE"/>
    <w:rsid w:val="00985A47"/>
    <w:rsid w:val="00986F2D"/>
    <w:rsid w:val="00986FEA"/>
    <w:rsid w:val="00987A1D"/>
    <w:rsid w:val="009902CC"/>
    <w:rsid w:val="009904F3"/>
    <w:rsid w:val="00991906"/>
    <w:rsid w:val="00991E34"/>
    <w:rsid w:val="00992D27"/>
    <w:rsid w:val="00993D05"/>
    <w:rsid w:val="009967B5"/>
    <w:rsid w:val="009A196C"/>
    <w:rsid w:val="009A1A19"/>
    <w:rsid w:val="009A5C4A"/>
    <w:rsid w:val="009A665C"/>
    <w:rsid w:val="009A679F"/>
    <w:rsid w:val="009A6A16"/>
    <w:rsid w:val="009A7A46"/>
    <w:rsid w:val="009B093C"/>
    <w:rsid w:val="009B66F4"/>
    <w:rsid w:val="009B7345"/>
    <w:rsid w:val="009C1528"/>
    <w:rsid w:val="009C51E9"/>
    <w:rsid w:val="009C5AFB"/>
    <w:rsid w:val="009C613B"/>
    <w:rsid w:val="009D50B2"/>
    <w:rsid w:val="009D511B"/>
    <w:rsid w:val="009D5A52"/>
    <w:rsid w:val="009E66B7"/>
    <w:rsid w:val="009E7D66"/>
    <w:rsid w:val="009F5F11"/>
    <w:rsid w:val="00A00375"/>
    <w:rsid w:val="00A01FD4"/>
    <w:rsid w:val="00A039E0"/>
    <w:rsid w:val="00A07639"/>
    <w:rsid w:val="00A107AD"/>
    <w:rsid w:val="00A11EE5"/>
    <w:rsid w:val="00A12A76"/>
    <w:rsid w:val="00A1395E"/>
    <w:rsid w:val="00A14D7C"/>
    <w:rsid w:val="00A1608E"/>
    <w:rsid w:val="00A16B02"/>
    <w:rsid w:val="00A206CB"/>
    <w:rsid w:val="00A20AEF"/>
    <w:rsid w:val="00A20D53"/>
    <w:rsid w:val="00A220E8"/>
    <w:rsid w:val="00A25376"/>
    <w:rsid w:val="00A266AE"/>
    <w:rsid w:val="00A3314E"/>
    <w:rsid w:val="00A332C5"/>
    <w:rsid w:val="00A34F6B"/>
    <w:rsid w:val="00A35171"/>
    <w:rsid w:val="00A3673D"/>
    <w:rsid w:val="00A37A76"/>
    <w:rsid w:val="00A40079"/>
    <w:rsid w:val="00A4134E"/>
    <w:rsid w:val="00A415B4"/>
    <w:rsid w:val="00A41C3C"/>
    <w:rsid w:val="00A4408A"/>
    <w:rsid w:val="00A45052"/>
    <w:rsid w:val="00A50660"/>
    <w:rsid w:val="00A510E1"/>
    <w:rsid w:val="00A511D5"/>
    <w:rsid w:val="00A517D0"/>
    <w:rsid w:val="00A542E6"/>
    <w:rsid w:val="00A56755"/>
    <w:rsid w:val="00A60343"/>
    <w:rsid w:val="00A623EF"/>
    <w:rsid w:val="00A6413F"/>
    <w:rsid w:val="00A64F2B"/>
    <w:rsid w:val="00A6638A"/>
    <w:rsid w:val="00A67F89"/>
    <w:rsid w:val="00A71E73"/>
    <w:rsid w:val="00A7445B"/>
    <w:rsid w:val="00A75DE4"/>
    <w:rsid w:val="00A81E32"/>
    <w:rsid w:val="00A83F5D"/>
    <w:rsid w:val="00A87A1D"/>
    <w:rsid w:val="00A933BD"/>
    <w:rsid w:val="00A93D75"/>
    <w:rsid w:val="00A943C7"/>
    <w:rsid w:val="00A948E0"/>
    <w:rsid w:val="00AA041D"/>
    <w:rsid w:val="00AA2BF3"/>
    <w:rsid w:val="00AA6092"/>
    <w:rsid w:val="00AB0DD8"/>
    <w:rsid w:val="00AB4E8D"/>
    <w:rsid w:val="00AB5DB6"/>
    <w:rsid w:val="00AB6CC0"/>
    <w:rsid w:val="00AC0884"/>
    <w:rsid w:val="00AC2E4C"/>
    <w:rsid w:val="00AC34FE"/>
    <w:rsid w:val="00AC44C3"/>
    <w:rsid w:val="00AC6677"/>
    <w:rsid w:val="00AC725B"/>
    <w:rsid w:val="00AD16F0"/>
    <w:rsid w:val="00AD17B6"/>
    <w:rsid w:val="00AD1E6B"/>
    <w:rsid w:val="00AD385D"/>
    <w:rsid w:val="00AD7B83"/>
    <w:rsid w:val="00AE13DF"/>
    <w:rsid w:val="00AE63D7"/>
    <w:rsid w:val="00AF07BE"/>
    <w:rsid w:val="00AF2315"/>
    <w:rsid w:val="00AF6DDA"/>
    <w:rsid w:val="00AF710C"/>
    <w:rsid w:val="00B00EDB"/>
    <w:rsid w:val="00B02481"/>
    <w:rsid w:val="00B03775"/>
    <w:rsid w:val="00B05220"/>
    <w:rsid w:val="00B0579C"/>
    <w:rsid w:val="00B05913"/>
    <w:rsid w:val="00B10231"/>
    <w:rsid w:val="00B1360D"/>
    <w:rsid w:val="00B159E4"/>
    <w:rsid w:val="00B1724E"/>
    <w:rsid w:val="00B2013B"/>
    <w:rsid w:val="00B21226"/>
    <w:rsid w:val="00B2532A"/>
    <w:rsid w:val="00B27C7A"/>
    <w:rsid w:val="00B27FD6"/>
    <w:rsid w:val="00B305E6"/>
    <w:rsid w:val="00B30C3D"/>
    <w:rsid w:val="00B31067"/>
    <w:rsid w:val="00B3308E"/>
    <w:rsid w:val="00B42FB3"/>
    <w:rsid w:val="00B510C5"/>
    <w:rsid w:val="00B512EA"/>
    <w:rsid w:val="00B52770"/>
    <w:rsid w:val="00B538A2"/>
    <w:rsid w:val="00B53B8D"/>
    <w:rsid w:val="00B5614F"/>
    <w:rsid w:val="00B56B41"/>
    <w:rsid w:val="00B60EE2"/>
    <w:rsid w:val="00B61192"/>
    <w:rsid w:val="00B66DC3"/>
    <w:rsid w:val="00B70C40"/>
    <w:rsid w:val="00B740B5"/>
    <w:rsid w:val="00B765C2"/>
    <w:rsid w:val="00B768C2"/>
    <w:rsid w:val="00B86D91"/>
    <w:rsid w:val="00B872AA"/>
    <w:rsid w:val="00B874A7"/>
    <w:rsid w:val="00B91228"/>
    <w:rsid w:val="00B96013"/>
    <w:rsid w:val="00B96DEC"/>
    <w:rsid w:val="00BA2ACE"/>
    <w:rsid w:val="00BA3BBF"/>
    <w:rsid w:val="00BA4A19"/>
    <w:rsid w:val="00BA6E2B"/>
    <w:rsid w:val="00BB2CF8"/>
    <w:rsid w:val="00BB4E52"/>
    <w:rsid w:val="00BB5BBF"/>
    <w:rsid w:val="00BC1D28"/>
    <w:rsid w:val="00BC201A"/>
    <w:rsid w:val="00BC345D"/>
    <w:rsid w:val="00BC479F"/>
    <w:rsid w:val="00BC6D0A"/>
    <w:rsid w:val="00BD0A60"/>
    <w:rsid w:val="00BD5C50"/>
    <w:rsid w:val="00BE01AC"/>
    <w:rsid w:val="00BE1F2C"/>
    <w:rsid w:val="00BE3703"/>
    <w:rsid w:val="00BF0B19"/>
    <w:rsid w:val="00BF0FD9"/>
    <w:rsid w:val="00BF1237"/>
    <w:rsid w:val="00BF42DD"/>
    <w:rsid w:val="00BF5FC0"/>
    <w:rsid w:val="00BF6B7A"/>
    <w:rsid w:val="00C01A63"/>
    <w:rsid w:val="00C02822"/>
    <w:rsid w:val="00C02A7B"/>
    <w:rsid w:val="00C02FAA"/>
    <w:rsid w:val="00C04F8A"/>
    <w:rsid w:val="00C06AC6"/>
    <w:rsid w:val="00C06F8F"/>
    <w:rsid w:val="00C10052"/>
    <w:rsid w:val="00C11828"/>
    <w:rsid w:val="00C14501"/>
    <w:rsid w:val="00C15005"/>
    <w:rsid w:val="00C15D41"/>
    <w:rsid w:val="00C1633F"/>
    <w:rsid w:val="00C16ECF"/>
    <w:rsid w:val="00C171DC"/>
    <w:rsid w:val="00C209A4"/>
    <w:rsid w:val="00C222BE"/>
    <w:rsid w:val="00C22780"/>
    <w:rsid w:val="00C246FB"/>
    <w:rsid w:val="00C25979"/>
    <w:rsid w:val="00C3432F"/>
    <w:rsid w:val="00C3439F"/>
    <w:rsid w:val="00C34F14"/>
    <w:rsid w:val="00C369A2"/>
    <w:rsid w:val="00C3710A"/>
    <w:rsid w:val="00C40FB2"/>
    <w:rsid w:val="00C46EC2"/>
    <w:rsid w:val="00C50B46"/>
    <w:rsid w:val="00C5350C"/>
    <w:rsid w:val="00C53A9D"/>
    <w:rsid w:val="00C565B4"/>
    <w:rsid w:val="00C60FF2"/>
    <w:rsid w:val="00C61568"/>
    <w:rsid w:val="00C642B1"/>
    <w:rsid w:val="00C645D8"/>
    <w:rsid w:val="00C646D0"/>
    <w:rsid w:val="00C668D8"/>
    <w:rsid w:val="00C6799E"/>
    <w:rsid w:val="00C70110"/>
    <w:rsid w:val="00C73FBC"/>
    <w:rsid w:val="00C742B4"/>
    <w:rsid w:val="00C74E7C"/>
    <w:rsid w:val="00C77C88"/>
    <w:rsid w:val="00C801E4"/>
    <w:rsid w:val="00C80926"/>
    <w:rsid w:val="00C81A28"/>
    <w:rsid w:val="00C8286A"/>
    <w:rsid w:val="00C82A00"/>
    <w:rsid w:val="00C83A54"/>
    <w:rsid w:val="00C86BA1"/>
    <w:rsid w:val="00C91FA6"/>
    <w:rsid w:val="00C967B0"/>
    <w:rsid w:val="00C971B0"/>
    <w:rsid w:val="00C9720F"/>
    <w:rsid w:val="00C972FD"/>
    <w:rsid w:val="00CA11E1"/>
    <w:rsid w:val="00CA2FEC"/>
    <w:rsid w:val="00CA5FFB"/>
    <w:rsid w:val="00CA6B83"/>
    <w:rsid w:val="00CB2A44"/>
    <w:rsid w:val="00CB7A3B"/>
    <w:rsid w:val="00CC2E5C"/>
    <w:rsid w:val="00CC368A"/>
    <w:rsid w:val="00CC3D25"/>
    <w:rsid w:val="00CC5FE9"/>
    <w:rsid w:val="00CC6E3F"/>
    <w:rsid w:val="00CC7D29"/>
    <w:rsid w:val="00CD201C"/>
    <w:rsid w:val="00CD4443"/>
    <w:rsid w:val="00CD4D67"/>
    <w:rsid w:val="00CE3C3A"/>
    <w:rsid w:val="00CE46D9"/>
    <w:rsid w:val="00CE51DA"/>
    <w:rsid w:val="00CE539B"/>
    <w:rsid w:val="00CE5BA2"/>
    <w:rsid w:val="00CE6276"/>
    <w:rsid w:val="00CF0503"/>
    <w:rsid w:val="00CF42A1"/>
    <w:rsid w:val="00D003FB"/>
    <w:rsid w:val="00D00E0B"/>
    <w:rsid w:val="00D01788"/>
    <w:rsid w:val="00D04AD7"/>
    <w:rsid w:val="00D05787"/>
    <w:rsid w:val="00D108EE"/>
    <w:rsid w:val="00D10DA3"/>
    <w:rsid w:val="00D12CEE"/>
    <w:rsid w:val="00D13C61"/>
    <w:rsid w:val="00D20FDF"/>
    <w:rsid w:val="00D24565"/>
    <w:rsid w:val="00D249BC"/>
    <w:rsid w:val="00D24C99"/>
    <w:rsid w:val="00D268CF"/>
    <w:rsid w:val="00D308F0"/>
    <w:rsid w:val="00D36D5B"/>
    <w:rsid w:val="00D41EDB"/>
    <w:rsid w:val="00D42EAA"/>
    <w:rsid w:val="00D43682"/>
    <w:rsid w:val="00D45CBB"/>
    <w:rsid w:val="00D46D87"/>
    <w:rsid w:val="00D52497"/>
    <w:rsid w:val="00D535E7"/>
    <w:rsid w:val="00D536DB"/>
    <w:rsid w:val="00D55D90"/>
    <w:rsid w:val="00D57C1B"/>
    <w:rsid w:val="00D60F08"/>
    <w:rsid w:val="00D61FE7"/>
    <w:rsid w:val="00D66357"/>
    <w:rsid w:val="00D664FD"/>
    <w:rsid w:val="00D710A7"/>
    <w:rsid w:val="00D710F9"/>
    <w:rsid w:val="00D71E5B"/>
    <w:rsid w:val="00D723D1"/>
    <w:rsid w:val="00D73FBC"/>
    <w:rsid w:val="00D74F3E"/>
    <w:rsid w:val="00D802B1"/>
    <w:rsid w:val="00D82D91"/>
    <w:rsid w:val="00D83C5E"/>
    <w:rsid w:val="00D8401D"/>
    <w:rsid w:val="00D90E4F"/>
    <w:rsid w:val="00D94F00"/>
    <w:rsid w:val="00D95313"/>
    <w:rsid w:val="00D962D0"/>
    <w:rsid w:val="00D9692E"/>
    <w:rsid w:val="00D9790E"/>
    <w:rsid w:val="00DA012B"/>
    <w:rsid w:val="00DA2D4A"/>
    <w:rsid w:val="00DA2EAA"/>
    <w:rsid w:val="00DA6888"/>
    <w:rsid w:val="00DA6C9B"/>
    <w:rsid w:val="00DB212C"/>
    <w:rsid w:val="00DB30A8"/>
    <w:rsid w:val="00DB35D4"/>
    <w:rsid w:val="00DB6B66"/>
    <w:rsid w:val="00DC08CF"/>
    <w:rsid w:val="00DC1303"/>
    <w:rsid w:val="00DC1D7E"/>
    <w:rsid w:val="00DC1E48"/>
    <w:rsid w:val="00DC3405"/>
    <w:rsid w:val="00DD02E6"/>
    <w:rsid w:val="00DD06CC"/>
    <w:rsid w:val="00DD1835"/>
    <w:rsid w:val="00DD5879"/>
    <w:rsid w:val="00DD6BFD"/>
    <w:rsid w:val="00DD7366"/>
    <w:rsid w:val="00DE45C1"/>
    <w:rsid w:val="00DE4935"/>
    <w:rsid w:val="00DE754F"/>
    <w:rsid w:val="00DF0404"/>
    <w:rsid w:val="00DF08C1"/>
    <w:rsid w:val="00DF1655"/>
    <w:rsid w:val="00DF203F"/>
    <w:rsid w:val="00DF7E0C"/>
    <w:rsid w:val="00E03A5B"/>
    <w:rsid w:val="00E06CF7"/>
    <w:rsid w:val="00E11969"/>
    <w:rsid w:val="00E11B70"/>
    <w:rsid w:val="00E11ED0"/>
    <w:rsid w:val="00E16292"/>
    <w:rsid w:val="00E17489"/>
    <w:rsid w:val="00E20A69"/>
    <w:rsid w:val="00E21B17"/>
    <w:rsid w:val="00E26B89"/>
    <w:rsid w:val="00E26F53"/>
    <w:rsid w:val="00E30942"/>
    <w:rsid w:val="00E341D1"/>
    <w:rsid w:val="00E34362"/>
    <w:rsid w:val="00E36F59"/>
    <w:rsid w:val="00E37471"/>
    <w:rsid w:val="00E402FC"/>
    <w:rsid w:val="00E4495D"/>
    <w:rsid w:val="00E5165B"/>
    <w:rsid w:val="00E544F0"/>
    <w:rsid w:val="00E551EA"/>
    <w:rsid w:val="00E573E0"/>
    <w:rsid w:val="00E57675"/>
    <w:rsid w:val="00E639EF"/>
    <w:rsid w:val="00E70775"/>
    <w:rsid w:val="00E71D15"/>
    <w:rsid w:val="00E7280D"/>
    <w:rsid w:val="00E767B2"/>
    <w:rsid w:val="00E834D3"/>
    <w:rsid w:val="00E83DF4"/>
    <w:rsid w:val="00E85AE0"/>
    <w:rsid w:val="00E85EAE"/>
    <w:rsid w:val="00E8609C"/>
    <w:rsid w:val="00E86DA4"/>
    <w:rsid w:val="00E8777C"/>
    <w:rsid w:val="00E90AB1"/>
    <w:rsid w:val="00E91166"/>
    <w:rsid w:val="00E916A1"/>
    <w:rsid w:val="00E9470A"/>
    <w:rsid w:val="00E94770"/>
    <w:rsid w:val="00E957B4"/>
    <w:rsid w:val="00EA2033"/>
    <w:rsid w:val="00EA5F21"/>
    <w:rsid w:val="00EB027E"/>
    <w:rsid w:val="00EB22DD"/>
    <w:rsid w:val="00EC2945"/>
    <w:rsid w:val="00EC4F76"/>
    <w:rsid w:val="00EC5F41"/>
    <w:rsid w:val="00ED1B62"/>
    <w:rsid w:val="00ED2446"/>
    <w:rsid w:val="00ED2619"/>
    <w:rsid w:val="00ED3541"/>
    <w:rsid w:val="00ED513F"/>
    <w:rsid w:val="00EE25FF"/>
    <w:rsid w:val="00EE4D35"/>
    <w:rsid w:val="00EE57CD"/>
    <w:rsid w:val="00EE6024"/>
    <w:rsid w:val="00EE6A4E"/>
    <w:rsid w:val="00EF080C"/>
    <w:rsid w:val="00EF1DBA"/>
    <w:rsid w:val="00EF32CB"/>
    <w:rsid w:val="00EF355D"/>
    <w:rsid w:val="00EF3A0D"/>
    <w:rsid w:val="00EF5A96"/>
    <w:rsid w:val="00EF5DFE"/>
    <w:rsid w:val="00EF5E82"/>
    <w:rsid w:val="00EF75A9"/>
    <w:rsid w:val="00F005E6"/>
    <w:rsid w:val="00F01EB0"/>
    <w:rsid w:val="00F02488"/>
    <w:rsid w:val="00F02A65"/>
    <w:rsid w:val="00F02C98"/>
    <w:rsid w:val="00F04F01"/>
    <w:rsid w:val="00F05BA6"/>
    <w:rsid w:val="00F0604D"/>
    <w:rsid w:val="00F12DA9"/>
    <w:rsid w:val="00F13E0A"/>
    <w:rsid w:val="00F17E17"/>
    <w:rsid w:val="00F21901"/>
    <w:rsid w:val="00F22C27"/>
    <w:rsid w:val="00F2456B"/>
    <w:rsid w:val="00F24E72"/>
    <w:rsid w:val="00F267CD"/>
    <w:rsid w:val="00F353F2"/>
    <w:rsid w:val="00F42EF6"/>
    <w:rsid w:val="00F451E8"/>
    <w:rsid w:val="00F45795"/>
    <w:rsid w:val="00F504E0"/>
    <w:rsid w:val="00F50DE8"/>
    <w:rsid w:val="00F514AE"/>
    <w:rsid w:val="00F53B24"/>
    <w:rsid w:val="00F54E2B"/>
    <w:rsid w:val="00F708F4"/>
    <w:rsid w:val="00F75A4E"/>
    <w:rsid w:val="00F855E9"/>
    <w:rsid w:val="00F865D2"/>
    <w:rsid w:val="00F94785"/>
    <w:rsid w:val="00F94A10"/>
    <w:rsid w:val="00F95265"/>
    <w:rsid w:val="00F95D9B"/>
    <w:rsid w:val="00F96DBC"/>
    <w:rsid w:val="00F97D3E"/>
    <w:rsid w:val="00FA07F7"/>
    <w:rsid w:val="00FA7DF4"/>
    <w:rsid w:val="00FB0432"/>
    <w:rsid w:val="00FB3A08"/>
    <w:rsid w:val="00FB4387"/>
    <w:rsid w:val="00FB43A7"/>
    <w:rsid w:val="00FB5D3B"/>
    <w:rsid w:val="00FB7084"/>
    <w:rsid w:val="00FC47B4"/>
    <w:rsid w:val="00FC55FC"/>
    <w:rsid w:val="00FC69A9"/>
    <w:rsid w:val="00FD080A"/>
    <w:rsid w:val="00FD338F"/>
    <w:rsid w:val="00FD55B7"/>
    <w:rsid w:val="00FE3163"/>
    <w:rsid w:val="00FE3385"/>
    <w:rsid w:val="00FE6FB3"/>
    <w:rsid w:val="00FF3762"/>
    <w:rsid w:val="00FF40FC"/>
    <w:rsid w:val="00FF7B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3558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6DEC"/>
    <w:rPr>
      <w:rFonts w:ascii="Times New Roman" w:hAnsi="Times New Roman" w:cs="Times New Roman"/>
    </w:rPr>
  </w:style>
  <w:style w:type="paragraph" w:styleId="Heading1">
    <w:name w:val="heading 1"/>
    <w:basedOn w:val="Normal"/>
    <w:next w:val="Normal"/>
    <w:link w:val="Heading1Char"/>
    <w:uiPriority w:val="9"/>
    <w:qFormat/>
    <w:rsid w:val="0095443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546A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E573E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005E6"/>
  </w:style>
  <w:style w:type="character" w:customStyle="1" w:styleId="FootnoteTextChar">
    <w:name w:val="Footnote Text Char"/>
    <w:basedOn w:val="DefaultParagraphFont"/>
    <w:link w:val="FootnoteText"/>
    <w:uiPriority w:val="99"/>
    <w:rsid w:val="00F005E6"/>
  </w:style>
  <w:style w:type="character" w:styleId="FootnoteReference">
    <w:name w:val="footnote reference"/>
    <w:basedOn w:val="DefaultParagraphFont"/>
    <w:uiPriority w:val="99"/>
    <w:unhideWhenUsed/>
    <w:rsid w:val="00F005E6"/>
    <w:rPr>
      <w:vertAlign w:val="superscript"/>
    </w:rPr>
  </w:style>
  <w:style w:type="character" w:styleId="Emphasis">
    <w:name w:val="Emphasis"/>
    <w:basedOn w:val="DefaultParagraphFont"/>
    <w:uiPriority w:val="20"/>
    <w:qFormat/>
    <w:rsid w:val="00F005E6"/>
    <w:rPr>
      <w:i/>
      <w:iCs/>
    </w:rPr>
  </w:style>
  <w:style w:type="character" w:customStyle="1" w:styleId="Heading1Char">
    <w:name w:val="Heading 1 Char"/>
    <w:basedOn w:val="DefaultParagraphFont"/>
    <w:link w:val="Heading1"/>
    <w:uiPriority w:val="9"/>
    <w:rsid w:val="00954431"/>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unhideWhenUsed/>
    <w:rsid w:val="00954431"/>
  </w:style>
  <w:style w:type="character" w:customStyle="1" w:styleId="CommentTextChar">
    <w:name w:val="Comment Text Char"/>
    <w:basedOn w:val="DefaultParagraphFont"/>
    <w:link w:val="CommentText"/>
    <w:uiPriority w:val="99"/>
    <w:rsid w:val="00954431"/>
  </w:style>
  <w:style w:type="character" w:styleId="Hyperlink">
    <w:name w:val="Hyperlink"/>
    <w:basedOn w:val="DefaultParagraphFont"/>
    <w:uiPriority w:val="99"/>
    <w:unhideWhenUsed/>
    <w:rsid w:val="00954431"/>
    <w:rPr>
      <w:strike w:val="0"/>
      <w:dstrike w:val="0"/>
      <w:color w:val="0088CC"/>
      <w:u w:val="none"/>
      <w:effect w:val="none"/>
    </w:rPr>
  </w:style>
  <w:style w:type="character" w:styleId="CommentReference">
    <w:name w:val="annotation reference"/>
    <w:basedOn w:val="DefaultParagraphFont"/>
    <w:uiPriority w:val="99"/>
    <w:semiHidden/>
    <w:unhideWhenUsed/>
    <w:rsid w:val="00954431"/>
    <w:rPr>
      <w:sz w:val="16"/>
      <w:szCs w:val="16"/>
    </w:rPr>
  </w:style>
  <w:style w:type="paragraph" w:styleId="BalloonText">
    <w:name w:val="Balloon Text"/>
    <w:basedOn w:val="Normal"/>
    <w:link w:val="BalloonTextChar"/>
    <w:uiPriority w:val="99"/>
    <w:semiHidden/>
    <w:unhideWhenUsed/>
    <w:rsid w:val="00954431"/>
    <w:rPr>
      <w:sz w:val="18"/>
      <w:szCs w:val="18"/>
    </w:rPr>
  </w:style>
  <w:style w:type="character" w:customStyle="1" w:styleId="BalloonTextChar">
    <w:name w:val="Balloon Text Char"/>
    <w:basedOn w:val="DefaultParagraphFont"/>
    <w:link w:val="BalloonText"/>
    <w:uiPriority w:val="99"/>
    <w:semiHidden/>
    <w:rsid w:val="0095443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8228E7"/>
    <w:rPr>
      <w:b/>
      <w:bCs/>
      <w:sz w:val="20"/>
      <w:szCs w:val="20"/>
    </w:rPr>
  </w:style>
  <w:style w:type="character" w:customStyle="1" w:styleId="CommentSubjectChar">
    <w:name w:val="Comment Subject Char"/>
    <w:basedOn w:val="CommentTextChar"/>
    <w:link w:val="CommentSubject"/>
    <w:uiPriority w:val="99"/>
    <w:semiHidden/>
    <w:rsid w:val="008228E7"/>
    <w:rPr>
      <w:b/>
      <w:bCs/>
      <w:sz w:val="20"/>
      <w:szCs w:val="20"/>
    </w:rPr>
  </w:style>
  <w:style w:type="character" w:customStyle="1" w:styleId="Heading2Char">
    <w:name w:val="Heading 2 Char"/>
    <w:basedOn w:val="DefaultParagraphFont"/>
    <w:link w:val="Heading2"/>
    <w:uiPriority w:val="9"/>
    <w:semiHidden/>
    <w:rsid w:val="000546A0"/>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1045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45A7"/>
    <w:pPr>
      <w:ind w:left="720"/>
      <w:contextualSpacing/>
    </w:pPr>
  </w:style>
  <w:style w:type="character" w:customStyle="1" w:styleId="st">
    <w:name w:val="st"/>
    <w:basedOn w:val="DefaultParagraphFont"/>
    <w:rsid w:val="00145AFA"/>
  </w:style>
  <w:style w:type="character" w:customStyle="1" w:styleId="citation">
    <w:name w:val="citation"/>
    <w:basedOn w:val="DefaultParagraphFont"/>
    <w:rsid w:val="00E71D15"/>
  </w:style>
  <w:style w:type="paragraph" w:styleId="NormalWeb">
    <w:name w:val="Normal (Web)"/>
    <w:basedOn w:val="Normal"/>
    <w:uiPriority w:val="99"/>
    <w:unhideWhenUsed/>
    <w:rsid w:val="0056105E"/>
  </w:style>
  <w:style w:type="paragraph" w:customStyle="1" w:styleId="paraindent">
    <w:name w:val="paraindent"/>
    <w:basedOn w:val="Normal"/>
    <w:rsid w:val="0012499E"/>
    <w:pPr>
      <w:spacing w:before="100" w:beforeAutospacing="1" w:after="100" w:afterAutospacing="1"/>
    </w:pPr>
    <w:rPr>
      <w:rFonts w:eastAsia="Times New Roman"/>
    </w:rPr>
  </w:style>
  <w:style w:type="character" w:styleId="Strong">
    <w:name w:val="Strong"/>
    <w:basedOn w:val="DefaultParagraphFont"/>
    <w:uiPriority w:val="22"/>
    <w:qFormat/>
    <w:rsid w:val="0023495E"/>
    <w:rPr>
      <w:b/>
      <w:bCs/>
    </w:rPr>
  </w:style>
  <w:style w:type="character" w:customStyle="1" w:styleId="Heading4Char">
    <w:name w:val="Heading 4 Char"/>
    <w:basedOn w:val="DefaultParagraphFont"/>
    <w:link w:val="Heading4"/>
    <w:uiPriority w:val="9"/>
    <w:rsid w:val="00E573E0"/>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F94785"/>
    <w:rPr>
      <w:color w:val="954F72" w:themeColor="followedHyperlink"/>
      <w:u w:val="single"/>
    </w:rPr>
  </w:style>
  <w:style w:type="character" w:customStyle="1" w:styleId="apple-converted-space">
    <w:name w:val="apple-converted-space"/>
    <w:basedOn w:val="DefaultParagraphFont"/>
    <w:rsid w:val="00A20D53"/>
  </w:style>
  <w:style w:type="character" w:customStyle="1" w:styleId="element-citation">
    <w:name w:val="element-citation"/>
    <w:basedOn w:val="DefaultParagraphFont"/>
    <w:rsid w:val="00A20D53"/>
  </w:style>
  <w:style w:type="character" w:customStyle="1" w:styleId="ref-journal">
    <w:name w:val="ref-journal"/>
    <w:basedOn w:val="DefaultParagraphFont"/>
    <w:rsid w:val="00A20D53"/>
  </w:style>
  <w:style w:type="character" w:customStyle="1" w:styleId="ref-vol">
    <w:name w:val="ref-vol"/>
    <w:basedOn w:val="DefaultParagraphFont"/>
    <w:rsid w:val="00A20D53"/>
  </w:style>
  <w:style w:type="paragraph" w:customStyle="1" w:styleId="Default">
    <w:name w:val="Default"/>
    <w:rsid w:val="004D7880"/>
    <w:pPr>
      <w:autoSpaceDE w:val="0"/>
      <w:autoSpaceDN w:val="0"/>
      <w:adjustRightInd w:val="0"/>
    </w:pPr>
    <w:rPr>
      <w:rFonts w:ascii="Knockout 29 Junior Ltweight" w:hAnsi="Knockout 29 Junior Ltweight" w:cs="Knockout 29 Junior Ltweight"/>
      <w:color w:val="000000"/>
      <w:lang w:val="en-AU"/>
    </w:rPr>
  </w:style>
  <w:style w:type="character" w:customStyle="1" w:styleId="articleauthor-name">
    <w:name w:val="article__author-name"/>
    <w:basedOn w:val="DefaultParagraphFont"/>
    <w:rsid w:val="00B5614F"/>
  </w:style>
  <w:style w:type="character" w:customStyle="1" w:styleId="y0nh2b">
    <w:name w:val="y0nh2b"/>
    <w:basedOn w:val="DefaultParagraphFont"/>
    <w:rsid w:val="00543A56"/>
  </w:style>
  <w:style w:type="paragraph" w:styleId="Header">
    <w:name w:val="header"/>
    <w:basedOn w:val="Normal"/>
    <w:link w:val="HeaderChar"/>
    <w:uiPriority w:val="99"/>
    <w:unhideWhenUsed/>
    <w:rsid w:val="008B7BED"/>
    <w:pPr>
      <w:tabs>
        <w:tab w:val="center" w:pos="4513"/>
        <w:tab w:val="right" w:pos="9026"/>
      </w:tabs>
    </w:pPr>
  </w:style>
  <w:style w:type="character" w:customStyle="1" w:styleId="HeaderChar">
    <w:name w:val="Header Char"/>
    <w:basedOn w:val="DefaultParagraphFont"/>
    <w:link w:val="Header"/>
    <w:uiPriority w:val="99"/>
    <w:rsid w:val="008B7BED"/>
    <w:rPr>
      <w:rFonts w:ascii="Times New Roman" w:hAnsi="Times New Roman" w:cs="Times New Roman"/>
    </w:rPr>
  </w:style>
  <w:style w:type="paragraph" w:styleId="Footer">
    <w:name w:val="footer"/>
    <w:basedOn w:val="Normal"/>
    <w:link w:val="FooterChar"/>
    <w:uiPriority w:val="99"/>
    <w:unhideWhenUsed/>
    <w:rsid w:val="008B7BED"/>
    <w:pPr>
      <w:tabs>
        <w:tab w:val="center" w:pos="4513"/>
        <w:tab w:val="right" w:pos="9026"/>
      </w:tabs>
    </w:pPr>
  </w:style>
  <w:style w:type="character" w:customStyle="1" w:styleId="FooterChar">
    <w:name w:val="Footer Char"/>
    <w:basedOn w:val="DefaultParagraphFont"/>
    <w:link w:val="Footer"/>
    <w:uiPriority w:val="99"/>
    <w:rsid w:val="008B7BED"/>
    <w:rPr>
      <w:rFonts w:ascii="Times New Roman" w:hAnsi="Times New Roman" w:cs="Times New Roman"/>
    </w:rPr>
  </w:style>
  <w:style w:type="paragraph" w:styleId="Revision">
    <w:name w:val="Revision"/>
    <w:hidden/>
    <w:uiPriority w:val="99"/>
    <w:semiHidden/>
    <w:rsid w:val="00BF42DD"/>
    <w:rPr>
      <w:rFonts w:ascii="Times New Roman" w:hAnsi="Times New Roman" w:cs="Times New Roman"/>
    </w:rPr>
  </w:style>
  <w:style w:type="paragraph" w:customStyle="1" w:styleId="judgmentpara">
    <w:name w:val="judgment_para"/>
    <w:basedOn w:val="Normal"/>
    <w:rsid w:val="005F4827"/>
    <w:pPr>
      <w:spacing w:before="100" w:beforeAutospacing="1" w:after="100" w:afterAutospacing="1"/>
    </w:pPr>
    <w:rPr>
      <w:rFonts w:eastAsia="Times New Roman"/>
    </w:rPr>
  </w:style>
  <w:style w:type="character" w:customStyle="1" w:styleId="listnumber">
    <w:name w:val="list_number_"/>
    <w:basedOn w:val="DefaultParagraphFont"/>
    <w:rsid w:val="005F4827"/>
  </w:style>
  <w:style w:type="character" w:customStyle="1" w:styleId="A8">
    <w:name w:val="A8"/>
    <w:uiPriority w:val="99"/>
    <w:rsid w:val="00D9692E"/>
    <w:rPr>
      <w:rFonts w:cs="Palatino"/>
      <w:color w:val="000000"/>
      <w:sz w:val="11"/>
      <w:szCs w:val="11"/>
    </w:rPr>
  </w:style>
  <w:style w:type="paragraph" w:customStyle="1" w:styleId="Pa20">
    <w:name w:val="Pa20"/>
    <w:basedOn w:val="Default"/>
    <w:next w:val="Default"/>
    <w:uiPriority w:val="99"/>
    <w:rsid w:val="008171E1"/>
    <w:pPr>
      <w:spacing w:line="181" w:lineRule="atLeast"/>
    </w:pPr>
    <w:rPr>
      <w:rFonts w:ascii="Palatino" w:hAnsi="Palatino" w:cstheme="minorBidi"/>
      <w:color w:val="auto"/>
      <w:lang w:val="en-US"/>
    </w:rPr>
  </w:style>
  <w:style w:type="paragraph" w:customStyle="1" w:styleId="Pa22">
    <w:name w:val="Pa22"/>
    <w:basedOn w:val="Default"/>
    <w:next w:val="Default"/>
    <w:uiPriority w:val="99"/>
    <w:rsid w:val="008171E1"/>
    <w:pPr>
      <w:spacing w:line="161" w:lineRule="atLeast"/>
    </w:pPr>
    <w:rPr>
      <w:rFonts w:ascii="Palatino" w:hAnsi="Palatino" w:cstheme="minorBidi"/>
      <w:color w:val="auto"/>
      <w:lang w:val="en-US"/>
    </w:rPr>
  </w:style>
  <w:style w:type="character" w:customStyle="1" w:styleId="A9">
    <w:name w:val="A9"/>
    <w:uiPriority w:val="99"/>
    <w:rsid w:val="008171E1"/>
    <w:rPr>
      <w:rFonts w:cs="Palatino"/>
      <w:color w:val="000000"/>
      <w:sz w:val="9"/>
      <w:szCs w:val="9"/>
    </w:rPr>
  </w:style>
  <w:style w:type="paragraph" w:customStyle="1" w:styleId="Authornames">
    <w:name w:val="Author names"/>
    <w:basedOn w:val="Normal"/>
    <w:next w:val="Normal"/>
    <w:qFormat/>
    <w:rsid w:val="002E06EF"/>
    <w:pPr>
      <w:spacing w:before="240" w:line="360" w:lineRule="auto"/>
    </w:pPr>
    <w:rPr>
      <w:rFonts w:eastAsia="Times New Roman"/>
      <w:sz w:val="28"/>
      <w:lang w:val="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5611">
      <w:bodyDiv w:val="1"/>
      <w:marLeft w:val="0"/>
      <w:marRight w:val="0"/>
      <w:marTop w:val="0"/>
      <w:marBottom w:val="0"/>
      <w:divBdr>
        <w:top w:val="none" w:sz="0" w:space="0" w:color="auto"/>
        <w:left w:val="none" w:sz="0" w:space="0" w:color="auto"/>
        <w:bottom w:val="none" w:sz="0" w:space="0" w:color="auto"/>
        <w:right w:val="none" w:sz="0" w:space="0" w:color="auto"/>
      </w:divBdr>
    </w:div>
    <w:div w:id="74940122">
      <w:bodyDiv w:val="1"/>
      <w:marLeft w:val="0"/>
      <w:marRight w:val="0"/>
      <w:marTop w:val="0"/>
      <w:marBottom w:val="0"/>
      <w:divBdr>
        <w:top w:val="none" w:sz="0" w:space="0" w:color="auto"/>
        <w:left w:val="none" w:sz="0" w:space="0" w:color="auto"/>
        <w:bottom w:val="none" w:sz="0" w:space="0" w:color="auto"/>
        <w:right w:val="none" w:sz="0" w:space="0" w:color="auto"/>
      </w:divBdr>
    </w:div>
    <w:div w:id="143745752">
      <w:bodyDiv w:val="1"/>
      <w:marLeft w:val="0"/>
      <w:marRight w:val="0"/>
      <w:marTop w:val="0"/>
      <w:marBottom w:val="0"/>
      <w:divBdr>
        <w:top w:val="none" w:sz="0" w:space="0" w:color="auto"/>
        <w:left w:val="none" w:sz="0" w:space="0" w:color="auto"/>
        <w:bottom w:val="none" w:sz="0" w:space="0" w:color="auto"/>
        <w:right w:val="none" w:sz="0" w:space="0" w:color="auto"/>
      </w:divBdr>
    </w:div>
    <w:div w:id="157574121">
      <w:bodyDiv w:val="1"/>
      <w:marLeft w:val="0"/>
      <w:marRight w:val="0"/>
      <w:marTop w:val="0"/>
      <w:marBottom w:val="0"/>
      <w:divBdr>
        <w:top w:val="none" w:sz="0" w:space="0" w:color="auto"/>
        <w:left w:val="none" w:sz="0" w:space="0" w:color="auto"/>
        <w:bottom w:val="none" w:sz="0" w:space="0" w:color="auto"/>
        <w:right w:val="none" w:sz="0" w:space="0" w:color="auto"/>
      </w:divBdr>
    </w:div>
    <w:div w:id="321589977">
      <w:bodyDiv w:val="1"/>
      <w:marLeft w:val="0"/>
      <w:marRight w:val="0"/>
      <w:marTop w:val="0"/>
      <w:marBottom w:val="0"/>
      <w:divBdr>
        <w:top w:val="none" w:sz="0" w:space="0" w:color="auto"/>
        <w:left w:val="none" w:sz="0" w:space="0" w:color="auto"/>
        <w:bottom w:val="none" w:sz="0" w:space="0" w:color="auto"/>
        <w:right w:val="none" w:sz="0" w:space="0" w:color="auto"/>
      </w:divBdr>
      <w:divsChild>
        <w:div w:id="2102606432">
          <w:marLeft w:val="0"/>
          <w:marRight w:val="0"/>
          <w:marTop w:val="0"/>
          <w:marBottom w:val="0"/>
          <w:divBdr>
            <w:top w:val="none" w:sz="0" w:space="0" w:color="auto"/>
            <w:left w:val="none" w:sz="0" w:space="0" w:color="auto"/>
            <w:bottom w:val="none" w:sz="0" w:space="0" w:color="auto"/>
            <w:right w:val="none" w:sz="0" w:space="0" w:color="auto"/>
          </w:divBdr>
          <w:divsChild>
            <w:div w:id="986785868">
              <w:marLeft w:val="0"/>
              <w:marRight w:val="0"/>
              <w:marTop w:val="0"/>
              <w:marBottom w:val="0"/>
              <w:divBdr>
                <w:top w:val="none" w:sz="0" w:space="0" w:color="auto"/>
                <w:left w:val="none" w:sz="0" w:space="0" w:color="auto"/>
                <w:bottom w:val="none" w:sz="0" w:space="0" w:color="auto"/>
                <w:right w:val="none" w:sz="0" w:space="0" w:color="auto"/>
              </w:divBdr>
              <w:divsChild>
                <w:div w:id="116786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663099">
      <w:bodyDiv w:val="1"/>
      <w:marLeft w:val="0"/>
      <w:marRight w:val="0"/>
      <w:marTop w:val="0"/>
      <w:marBottom w:val="0"/>
      <w:divBdr>
        <w:top w:val="none" w:sz="0" w:space="0" w:color="auto"/>
        <w:left w:val="none" w:sz="0" w:space="0" w:color="auto"/>
        <w:bottom w:val="none" w:sz="0" w:space="0" w:color="auto"/>
        <w:right w:val="none" w:sz="0" w:space="0" w:color="auto"/>
      </w:divBdr>
    </w:div>
    <w:div w:id="518936778">
      <w:bodyDiv w:val="1"/>
      <w:marLeft w:val="0"/>
      <w:marRight w:val="0"/>
      <w:marTop w:val="0"/>
      <w:marBottom w:val="0"/>
      <w:divBdr>
        <w:top w:val="none" w:sz="0" w:space="0" w:color="auto"/>
        <w:left w:val="none" w:sz="0" w:space="0" w:color="auto"/>
        <w:bottom w:val="none" w:sz="0" w:space="0" w:color="auto"/>
        <w:right w:val="none" w:sz="0" w:space="0" w:color="auto"/>
      </w:divBdr>
    </w:div>
    <w:div w:id="586115381">
      <w:bodyDiv w:val="1"/>
      <w:marLeft w:val="0"/>
      <w:marRight w:val="0"/>
      <w:marTop w:val="0"/>
      <w:marBottom w:val="0"/>
      <w:divBdr>
        <w:top w:val="none" w:sz="0" w:space="0" w:color="auto"/>
        <w:left w:val="none" w:sz="0" w:space="0" w:color="auto"/>
        <w:bottom w:val="none" w:sz="0" w:space="0" w:color="auto"/>
        <w:right w:val="none" w:sz="0" w:space="0" w:color="auto"/>
      </w:divBdr>
    </w:div>
    <w:div w:id="613555441">
      <w:bodyDiv w:val="1"/>
      <w:marLeft w:val="0"/>
      <w:marRight w:val="0"/>
      <w:marTop w:val="0"/>
      <w:marBottom w:val="0"/>
      <w:divBdr>
        <w:top w:val="none" w:sz="0" w:space="0" w:color="auto"/>
        <w:left w:val="none" w:sz="0" w:space="0" w:color="auto"/>
        <w:bottom w:val="none" w:sz="0" w:space="0" w:color="auto"/>
        <w:right w:val="none" w:sz="0" w:space="0" w:color="auto"/>
      </w:divBdr>
    </w:div>
    <w:div w:id="617025593">
      <w:bodyDiv w:val="1"/>
      <w:marLeft w:val="0"/>
      <w:marRight w:val="0"/>
      <w:marTop w:val="0"/>
      <w:marBottom w:val="0"/>
      <w:divBdr>
        <w:top w:val="none" w:sz="0" w:space="0" w:color="auto"/>
        <w:left w:val="none" w:sz="0" w:space="0" w:color="auto"/>
        <w:bottom w:val="none" w:sz="0" w:space="0" w:color="auto"/>
        <w:right w:val="none" w:sz="0" w:space="0" w:color="auto"/>
      </w:divBdr>
    </w:div>
    <w:div w:id="657196998">
      <w:bodyDiv w:val="1"/>
      <w:marLeft w:val="0"/>
      <w:marRight w:val="0"/>
      <w:marTop w:val="0"/>
      <w:marBottom w:val="0"/>
      <w:divBdr>
        <w:top w:val="none" w:sz="0" w:space="0" w:color="auto"/>
        <w:left w:val="none" w:sz="0" w:space="0" w:color="auto"/>
        <w:bottom w:val="none" w:sz="0" w:space="0" w:color="auto"/>
        <w:right w:val="none" w:sz="0" w:space="0" w:color="auto"/>
      </w:divBdr>
      <w:divsChild>
        <w:div w:id="1397896387">
          <w:marLeft w:val="0"/>
          <w:marRight w:val="0"/>
          <w:marTop w:val="0"/>
          <w:marBottom w:val="195"/>
          <w:divBdr>
            <w:top w:val="none" w:sz="0" w:space="0" w:color="auto"/>
            <w:left w:val="none" w:sz="0" w:space="0" w:color="auto"/>
            <w:bottom w:val="none" w:sz="0" w:space="0" w:color="auto"/>
            <w:right w:val="none" w:sz="0" w:space="0" w:color="auto"/>
          </w:divBdr>
        </w:div>
      </w:divsChild>
    </w:div>
    <w:div w:id="695083386">
      <w:bodyDiv w:val="1"/>
      <w:marLeft w:val="0"/>
      <w:marRight w:val="0"/>
      <w:marTop w:val="0"/>
      <w:marBottom w:val="0"/>
      <w:divBdr>
        <w:top w:val="none" w:sz="0" w:space="0" w:color="auto"/>
        <w:left w:val="none" w:sz="0" w:space="0" w:color="auto"/>
        <w:bottom w:val="none" w:sz="0" w:space="0" w:color="auto"/>
        <w:right w:val="none" w:sz="0" w:space="0" w:color="auto"/>
      </w:divBdr>
      <w:divsChild>
        <w:div w:id="56422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798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4966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7656084">
      <w:bodyDiv w:val="1"/>
      <w:marLeft w:val="0"/>
      <w:marRight w:val="0"/>
      <w:marTop w:val="0"/>
      <w:marBottom w:val="0"/>
      <w:divBdr>
        <w:top w:val="none" w:sz="0" w:space="0" w:color="auto"/>
        <w:left w:val="none" w:sz="0" w:space="0" w:color="auto"/>
        <w:bottom w:val="none" w:sz="0" w:space="0" w:color="auto"/>
        <w:right w:val="none" w:sz="0" w:space="0" w:color="auto"/>
      </w:divBdr>
      <w:divsChild>
        <w:div w:id="1532721682">
          <w:marLeft w:val="0"/>
          <w:marRight w:val="0"/>
          <w:marTop w:val="0"/>
          <w:marBottom w:val="0"/>
          <w:divBdr>
            <w:top w:val="none" w:sz="0" w:space="0" w:color="auto"/>
            <w:left w:val="none" w:sz="0" w:space="0" w:color="auto"/>
            <w:bottom w:val="none" w:sz="0" w:space="0" w:color="auto"/>
            <w:right w:val="none" w:sz="0" w:space="0" w:color="auto"/>
          </w:divBdr>
        </w:div>
      </w:divsChild>
    </w:div>
    <w:div w:id="740908013">
      <w:bodyDiv w:val="1"/>
      <w:marLeft w:val="0"/>
      <w:marRight w:val="0"/>
      <w:marTop w:val="0"/>
      <w:marBottom w:val="0"/>
      <w:divBdr>
        <w:top w:val="none" w:sz="0" w:space="0" w:color="auto"/>
        <w:left w:val="none" w:sz="0" w:space="0" w:color="auto"/>
        <w:bottom w:val="none" w:sz="0" w:space="0" w:color="auto"/>
        <w:right w:val="none" w:sz="0" w:space="0" w:color="auto"/>
      </w:divBdr>
      <w:divsChild>
        <w:div w:id="970012425">
          <w:marLeft w:val="0"/>
          <w:marRight w:val="0"/>
          <w:marTop w:val="166"/>
          <w:marBottom w:val="166"/>
          <w:divBdr>
            <w:top w:val="none" w:sz="0" w:space="0" w:color="auto"/>
            <w:left w:val="none" w:sz="0" w:space="0" w:color="auto"/>
            <w:bottom w:val="none" w:sz="0" w:space="0" w:color="auto"/>
            <w:right w:val="none" w:sz="0" w:space="0" w:color="auto"/>
          </w:divBdr>
        </w:div>
        <w:div w:id="1111365780">
          <w:marLeft w:val="0"/>
          <w:marRight w:val="0"/>
          <w:marTop w:val="166"/>
          <w:marBottom w:val="166"/>
          <w:divBdr>
            <w:top w:val="none" w:sz="0" w:space="0" w:color="auto"/>
            <w:left w:val="none" w:sz="0" w:space="0" w:color="auto"/>
            <w:bottom w:val="none" w:sz="0" w:space="0" w:color="auto"/>
            <w:right w:val="none" w:sz="0" w:space="0" w:color="auto"/>
          </w:divBdr>
        </w:div>
        <w:div w:id="1697847326">
          <w:marLeft w:val="0"/>
          <w:marRight w:val="0"/>
          <w:marTop w:val="166"/>
          <w:marBottom w:val="166"/>
          <w:divBdr>
            <w:top w:val="none" w:sz="0" w:space="0" w:color="auto"/>
            <w:left w:val="none" w:sz="0" w:space="0" w:color="auto"/>
            <w:bottom w:val="none" w:sz="0" w:space="0" w:color="auto"/>
            <w:right w:val="none" w:sz="0" w:space="0" w:color="auto"/>
          </w:divBdr>
        </w:div>
        <w:div w:id="2102138959">
          <w:marLeft w:val="0"/>
          <w:marRight w:val="0"/>
          <w:marTop w:val="166"/>
          <w:marBottom w:val="166"/>
          <w:divBdr>
            <w:top w:val="none" w:sz="0" w:space="0" w:color="auto"/>
            <w:left w:val="none" w:sz="0" w:space="0" w:color="auto"/>
            <w:bottom w:val="none" w:sz="0" w:space="0" w:color="auto"/>
            <w:right w:val="none" w:sz="0" w:space="0" w:color="auto"/>
          </w:divBdr>
        </w:div>
      </w:divsChild>
    </w:div>
    <w:div w:id="821696929">
      <w:bodyDiv w:val="1"/>
      <w:marLeft w:val="0"/>
      <w:marRight w:val="0"/>
      <w:marTop w:val="0"/>
      <w:marBottom w:val="0"/>
      <w:divBdr>
        <w:top w:val="none" w:sz="0" w:space="0" w:color="auto"/>
        <w:left w:val="none" w:sz="0" w:space="0" w:color="auto"/>
        <w:bottom w:val="none" w:sz="0" w:space="0" w:color="auto"/>
        <w:right w:val="none" w:sz="0" w:space="0" w:color="auto"/>
      </w:divBdr>
    </w:div>
    <w:div w:id="847406743">
      <w:bodyDiv w:val="1"/>
      <w:marLeft w:val="0"/>
      <w:marRight w:val="0"/>
      <w:marTop w:val="0"/>
      <w:marBottom w:val="0"/>
      <w:divBdr>
        <w:top w:val="none" w:sz="0" w:space="0" w:color="auto"/>
        <w:left w:val="none" w:sz="0" w:space="0" w:color="auto"/>
        <w:bottom w:val="none" w:sz="0" w:space="0" w:color="auto"/>
        <w:right w:val="none" w:sz="0" w:space="0" w:color="auto"/>
      </w:divBdr>
    </w:div>
    <w:div w:id="898318663">
      <w:bodyDiv w:val="1"/>
      <w:marLeft w:val="0"/>
      <w:marRight w:val="0"/>
      <w:marTop w:val="0"/>
      <w:marBottom w:val="0"/>
      <w:divBdr>
        <w:top w:val="none" w:sz="0" w:space="0" w:color="auto"/>
        <w:left w:val="none" w:sz="0" w:space="0" w:color="auto"/>
        <w:bottom w:val="none" w:sz="0" w:space="0" w:color="auto"/>
        <w:right w:val="none" w:sz="0" w:space="0" w:color="auto"/>
      </w:divBdr>
      <w:divsChild>
        <w:div w:id="1955095013">
          <w:marLeft w:val="0"/>
          <w:marRight w:val="0"/>
          <w:marTop w:val="0"/>
          <w:marBottom w:val="0"/>
          <w:divBdr>
            <w:top w:val="none" w:sz="0" w:space="0" w:color="auto"/>
            <w:left w:val="none" w:sz="0" w:space="0" w:color="auto"/>
            <w:bottom w:val="none" w:sz="0" w:space="0" w:color="auto"/>
            <w:right w:val="none" w:sz="0" w:space="0" w:color="auto"/>
          </w:divBdr>
          <w:divsChild>
            <w:div w:id="1257594503">
              <w:marLeft w:val="0"/>
              <w:marRight w:val="0"/>
              <w:marTop w:val="0"/>
              <w:marBottom w:val="0"/>
              <w:divBdr>
                <w:top w:val="none" w:sz="0" w:space="0" w:color="auto"/>
                <w:left w:val="none" w:sz="0" w:space="0" w:color="auto"/>
                <w:bottom w:val="none" w:sz="0" w:space="0" w:color="auto"/>
                <w:right w:val="none" w:sz="0" w:space="0" w:color="auto"/>
              </w:divBdr>
              <w:divsChild>
                <w:div w:id="1396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760875">
      <w:bodyDiv w:val="1"/>
      <w:marLeft w:val="0"/>
      <w:marRight w:val="0"/>
      <w:marTop w:val="0"/>
      <w:marBottom w:val="0"/>
      <w:divBdr>
        <w:top w:val="none" w:sz="0" w:space="0" w:color="auto"/>
        <w:left w:val="none" w:sz="0" w:space="0" w:color="auto"/>
        <w:bottom w:val="none" w:sz="0" w:space="0" w:color="auto"/>
        <w:right w:val="none" w:sz="0" w:space="0" w:color="auto"/>
      </w:divBdr>
      <w:divsChild>
        <w:div w:id="1242565638">
          <w:marLeft w:val="0"/>
          <w:marRight w:val="0"/>
          <w:marTop w:val="0"/>
          <w:marBottom w:val="0"/>
          <w:divBdr>
            <w:top w:val="none" w:sz="0" w:space="0" w:color="auto"/>
            <w:left w:val="none" w:sz="0" w:space="0" w:color="auto"/>
            <w:bottom w:val="none" w:sz="0" w:space="0" w:color="auto"/>
            <w:right w:val="none" w:sz="0" w:space="0" w:color="auto"/>
          </w:divBdr>
          <w:divsChild>
            <w:div w:id="1414205440">
              <w:marLeft w:val="0"/>
              <w:marRight w:val="0"/>
              <w:marTop w:val="0"/>
              <w:marBottom w:val="0"/>
              <w:divBdr>
                <w:top w:val="none" w:sz="0" w:space="0" w:color="auto"/>
                <w:left w:val="none" w:sz="0" w:space="0" w:color="auto"/>
                <w:bottom w:val="none" w:sz="0" w:space="0" w:color="auto"/>
                <w:right w:val="none" w:sz="0" w:space="0" w:color="auto"/>
              </w:divBdr>
            </w:div>
          </w:divsChild>
        </w:div>
        <w:div w:id="1349452328">
          <w:marLeft w:val="0"/>
          <w:marRight w:val="0"/>
          <w:marTop w:val="0"/>
          <w:marBottom w:val="0"/>
          <w:divBdr>
            <w:top w:val="none" w:sz="0" w:space="0" w:color="auto"/>
            <w:left w:val="none" w:sz="0" w:space="0" w:color="auto"/>
            <w:bottom w:val="none" w:sz="0" w:space="0" w:color="auto"/>
            <w:right w:val="none" w:sz="0" w:space="0" w:color="auto"/>
          </w:divBdr>
        </w:div>
      </w:divsChild>
    </w:div>
    <w:div w:id="907302933">
      <w:bodyDiv w:val="1"/>
      <w:marLeft w:val="0"/>
      <w:marRight w:val="0"/>
      <w:marTop w:val="0"/>
      <w:marBottom w:val="0"/>
      <w:divBdr>
        <w:top w:val="none" w:sz="0" w:space="0" w:color="auto"/>
        <w:left w:val="none" w:sz="0" w:space="0" w:color="auto"/>
        <w:bottom w:val="none" w:sz="0" w:space="0" w:color="auto"/>
        <w:right w:val="none" w:sz="0" w:space="0" w:color="auto"/>
      </w:divBdr>
      <w:divsChild>
        <w:div w:id="378287439">
          <w:marLeft w:val="0"/>
          <w:marRight w:val="0"/>
          <w:marTop w:val="0"/>
          <w:marBottom w:val="0"/>
          <w:divBdr>
            <w:top w:val="none" w:sz="0" w:space="0" w:color="auto"/>
            <w:left w:val="none" w:sz="0" w:space="0" w:color="auto"/>
            <w:bottom w:val="none" w:sz="0" w:space="0" w:color="auto"/>
            <w:right w:val="none" w:sz="0" w:space="0" w:color="auto"/>
          </w:divBdr>
          <w:divsChild>
            <w:div w:id="2097822364">
              <w:marLeft w:val="0"/>
              <w:marRight w:val="0"/>
              <w:marTop w:val="0"/>
              <w:marBottom w:val="0"/>
              <w:divBdr>
                <w:top w:val="none" w:sz="0" w:space="0" w:color="auto"/>
                <w:left w:val="none" w:sz="0" w:space="0" w:color="auto"/>
                <w:bottom w:val="none" w:sz="0" w:space="0" w:color="auto"/>
                <w:right w:val="none" w:sz="0" w:space="0" w:color="auto"/>
              </w:divBdr>
              <w:divsChild>
                <w:div w:id="846746256">
                  <w:marLeft w:val="0"/>
                  <w:marRight w:val="0"/>
                  <w:marTop w:val="0"/>
                  <w:marBottom w:val="0"/>
                  <w:divBdr>
                    <w:top w:val="none" w:sz="0" w:space="0" w:color="auto"/>
                    <w:left w:val="none" w:sz="0" w:space="0" w:color="auto"/>
                    <w:bottom w:val="none" w:sz="0" w:space="0" w:color="auto"/>
                    <w:right w:val="none" w:sz="0" w:space="0" w:color="auto"/>
                  </w:divBdr>
                  <w:divsChild>
                    <w:div w:id="1757288623">
                      <w:marLeft w:val="0"/>
                      <w:marRight w:val="0"/>
                      <w:marTop w:val="0"/>
                      <w:marBottom w:val="0"/>
                      <w:divBdr>
                        <w:top w:val="none" w:sz="0" w:space="0" w:color="auto"/>
                        <w:left w:val="none" w:sz="0" w:space="0" w:color="auto"/>
                        <w:bottom w:val="none" w:sz="0" w:space="0" w:color="auto"/>
                        <w:right w:val="none" w:sz="0" w:space="0" w:color="auto"/>
                      </w:divBdr>
                      <w:divsChild>
                        <w:div w:id="1987391437">
                          <w:marLeft w:val="0"/>
                          <w:marRight w:val="0"/>
                          <w:marTop w:val="0"/>
                          <w:marBottom w:val="0"/>
                          <w:divBdr>
                            <w:top w:val="none" w:sz="0" w:space="0" w:color="auto"/>
                            <w:left w:val="none" w:sz="0" w:space="0" w:color="auto"/>
                            <w:bottom w:val="none" w:sz="0" w:space="0" w:color="auto"/>
                            <w:right w:val="none" w:sz="0" w:space="0" w:color="auto"/>
                          </w:divBdr>
                        </w:div>
                      </w:divsChild>
                    </w:div>
                    <w:div w:id="20507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659638">
      <w:bodyDiv w:val="1"/>
      <w:marLeft w:val="0"/>
      <w:marRight w:val="0"/>
      <w:marTop w:val="0"/>
      <w:marBottom w:val="0"/>
      <w:divBdr>
        <w:top w:val="none" w:sz="0" w:space="0" w:color="auto"/>
        <w:left w:val="none" w:sz="0" w:space="0" w:color="auto"/>
        <w:bottom w:val="none" w:sz="0" w:space="0" w:color="auto"/>
        <w:right w:val="none" w:sz="0" w:space="0" w:color="auto"/>
      </w:divBdr>
    </w:div>
    <w:div w:id="958490830">
      <w:bodyDiv w:val="1"/>
      <w:marLeft w:val="0"/>
      <w:marRight w:val="0"/>
      <w:marTop w:val="0"/>
      <w:marBottom w:val="0"/>
      <w:divBdr>
        <w:top w:val="none" w:sz="0" w:space="0" w:color="auto"/>
        <w:left w:val="none" w:sz="0" w:space="0" w:color="auto"/>
        <w:bottom w:val="none" w:sz="0" w:space="0" w:color="auto"/>
        <w:right w:val="none" w:sz="0" w:space="0" w:color="auto"/>
      </w:divBdr>
    </w:div>
    <w:div w:id="1012144568">
      <w:bodyDiv w:val="1"/>
      <w:marLeft w:val="0"/>
      <w:marRight w:val="0"/>
      <w:marTop w:val="0"/>
      <w:marBottom w:val="0"/>
      <w:divBdr>
        <w:top w:val="none" w:sz="0" w:space="0" w:color="auto"/>
        <w:left w:val="none" w:sz="0" w:space="0" w:color="auto"/>
        <w:bottom w:val="none" w:sz="0" w:space="0" w:color="auto"/>
        <w:right w:val="none" w:sz="0" w:space="0" w:color="auto"/>
      </w:divBdr>
    </w:div>
    <w:div w:id="1089350359">
      <w:bodyDiv w:val="1"/>
      <w:marLeft w:val="0"/>
      <w:marRight w:val="0"/>
      <w:marTop w:val="0"/>
      <w:marBottom w:val="0"/>
      <w:divBdr>
        <w:top w:val="none" w:sz="0" w:space="0" w:color="auto"/>
        <w:left w:val="none" w:sz="0" w:space="0" w:color="auto"/>
        <w:bottom w:val="none" w:sz="0" w:space="0" w:color="auto"/>
        <w:right w:val="none" w:sz="0" w:space="0" w:color="auto"/>
      </w:divBdr>
    </w:div>
    <w:div w:id="1254436932">
      <w:bodyDiv w:val="1"/>
      <w:marLeft w:val="0"/>
      <w:marRight w:val="0"/>
      <w:marTop w:val="0"/>
      <w:marBottom w:val="0"/>
      <w:divBdr>
        <w:top w:val="none" w:sz="0" w:space="0" w:color="auto"/>
        <w:left w:val="none" w:sz="0" w:space="0" w:color="auto"/>
        <w:bottom w:val="none" w:sz="0" w:space="0" w:color="auto"/>
        <w:right w:val="none" w:sz="0" w:space="0" w:color="auto"/>
      </w:divBdr>
      <w:divsChild>
        <w:div w:id="282881761">
          <w:marLeft w:val="0"/>
          <w:marRight w:val="0"/>
          <w:marTop w:val="0"/>
          <w:marBottom w:val="0"/>
          <w:divBdr>
            <w:top w:val="none" w:sz="0" w:space="0" w:color="auto"/>
            <w:left w:val="none" w:sz="0" w:space="0" w:color="auto"/>
            <w:bottom w:val="none" w:sz="0" w:space="0" w:color="auto"/>
            <w:right w:val="none" w:sz="0" w:space="0" w:color="auto"/>
          </w:divBdr>
          <w:divsChild>
            <w:div w:id="510989597">
              <w:marLeft w:val="0"/>
              <w:marRight w:val="0"/>
              <w:marTop w:val="0"/>
              <w:marBottom w:val="0"/>
              <w:divBdr>
                <w:top w:val="none" w:sz="0" w:space="0" w:color="auto"/>
                <w:left w:val="none" w:sz="0" w:space="0" w:color="auto"/>
                <w:bottom w:val="none" w:sz="0" w:space="0" w:color="auto"/>
                <w:right w:val="none" w:sz="0" w:space="0" w:color="auto"/>
              </w:divBdr>
              <w:divsChild>
                <w:div w:id="162414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439709">
      <w:bodyDiv w:val="1"/>
      <w:marLeft w:val="0"/>
      <w:marRight w:val="0"/>
      <w:marTop w:val="0"/>
      <w:marBottom w:val="0"/>
      <w:divBdr>
        <w:top w:val="none" w:sz="0" w:space="0" w:color="auto"/>
        <w:left w:val="none" w:sz="0" w:space="0" w:color="auto"/>
        <w:bottom w:val="none" w:sz="0" w:space="0" w:color="auto"/>
        <w:right w:val="none" w:sz="0" w:space="0" w:color="auto"/>
      </w:divBdr>
      <w:divsChild>
        <w:div w:id="20478160">
          <w:marLeft w:val="0"/>
          <w:marRight w:val="0"/>
          <w:marTop w:val="166"/>
          <w:marBottom w:val="166"/>
          <w:divBdr>
            <w:top w:val="none" w:sz="0" w:space="0" w:color="auto"/>
            <w:left w:val="none" w:sz="0" w:space="0" w:color="auto"/>
            <w:bottom w:val="none" w:sz="0" w:space="0" w:color="auto"/>
            <w:right w:val="none" w:sz="0" w:space="0" w:color="auto"/>
          </w:divBdr>
        </w:div>
        <w:div w:id="475076012">
          <w:marLeft w:val="0"/>
          <w:marRight w:val="0"/>
          <w:marTop w:val="166"/>
          <w:marBottom w:val="166"/>
          <w:divBdr>
            <w:top w:val="none" w:sz="0" w:space="0" w:color="auto"/>
            <w:left w:val="none" w:sz="0" w:space="0" w:color="auto"/>
            <w:bottom w:val="none" w:sz="0" w:space="0" w:color="auto"/>
            <w:right w:val="none" w:sz="0" w:space="0" w:color="auto"/>
          </w:divBdr>
        </w:div>
        <w:div w:id="784544290">
          <w:marLeft w:val="0"/>
          <w:marRight w:val="0"/>
          <w:marTop w:val="166"/>
          <w:marBottom w:val="166"/>
          <w:divBdr>
            <w:top w:val="none" w:sz="0" w:space="0" w:color="auto"/>
            <w:left w:val="none" w:sz="0" w:space="0" w:color="auto"/>
            <w:bottom w:val="none" w:sz="0" w:space="0" w:color="auto"/>
            <w:right w:val="none" w:sz="0" w:space="0" w:color="auto"/>
          </w:divBdr>
        </w:div>
        <w:div w:id="1744794700">
          <w:marLeft w:val="0"/>
          <w:marRight w:val="0"/>
          <w:marTop w:val="166"/>
          <w:marBottom w:val="166"/>
          <w:divBdr>
            <w:top w:val="none" w:sz="0" w:space="0" w:color="auto"/>
            <w:left w:val="none" w:sz="0" w:space="0" w:color="auto"/>
            <w:bottom w:val="none" w:sz="0" w:space="0" w:color="auto"/>
            <w:right w:val="none" w:sz="0" w:space="0" w:color="auto"/>
          </w:divBdr>
        </w:div>
      </w:divsChild>
    </w:div>
    <w:div w:id="1273633654">
      <w:bodyDiv w:val="1"/>
      <w:marLeft w:val="0"/>
      <w:marRight w:val="0"/>
      <w:marTop w:val="0"/>
      <w:marBottom w:val="0"/>
      <w:divBdr>
        <w:top w:val="none" w:sz="0" w:space="0" w:color="auto"/>
        <w:left w:val="none" w:sz="0" w:space="0" w:color="auto"/>
        <w:bottom w:val="none" w:sz="0" w:space="0" w:color="auto"/>
        <w:right w:val="none" w:sz="0" w:space="0" w:color="auto"/>
      </w:divBdr>
      <w:divsChild>
        <w:div w:id="1542860071">
          <w:marLeft w:val="0"/>
          <w:marRight w:val="0"/>
          <w:marTop w:val="0"/>
          <w:marBottom w:val="0"/>
          <w:divBdr>
            <w:top w:val="none" w:sz="0" w:space="0" w:color="auto"/>
            <w:left w:val="none" w:sz="0" w:space="0" w:color="auto"/>
            <w:bottom w:val="none" w:sz="0" w:space="0" w:color="auto"/>
            <w:right w:val="none" w:sz="0" w:space="0" w:color="auto"/>
          </w:divBdr>
          <w:divsChild>
            <w:div w:id="316610090">
              <w:marLeft w:val="0"/>
              <w:marRight w:val="0"/>
              <w:marTop w:val="0"/>
              <w:marBottom w:val="0"/>
              <w:divBdr>
                <w:top w:val="none" w:sz="0" w:space="0" w:color="auto"/>
                <w:left w:val="none" w:sz="0" w:space="0" w:color="auto"/>
                <w:bottom w:val="none" w:sz="0" w:space="0" w:color="auto"/>
                <w:right w:val="none" w:sz="0" w:space="0" w:color="auto"/>
              </w:divBdr>
              <w:divsChild>
                <w:div w:id="100120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72575">
      <w:bodyDiv w:val="1"/>
      <w:marLeft w:val="0"/>
      <w:marRight w:val="0"/>
      <w:marTop w:val="0"/>
      <w:marBottom w:val="0"/>
      <w:divBdr>
        <w:top w:val="none" w:sz="0" w:space="0" w:color="auto"/>
        <w:left w:val="none" w:sz="0" w:space="0" w:color="auto"/>
        <w:bottom w:val="none" w:sz="0" w:space="0" w:color="auto"/>
        <w:right w:val="none" w:sz="0" w:space="0" w:color="auto"/>
      </w:divBdr>
    </w:div>
    <w:div w:id="1400709129">
      <w:bodyDiv w:val="1"/>
      <w:marLeft w:val="0"/>
      <w:marRight w:val="0"/>
      <w:marTop w:val="0"/>
      <w:marBottom w:val="0"/>
      <w:divBdr>
        <w:top w:val="none" w:sz="0" w:space="0" w:color="auto"/>
        <w:left w:val="none" w:sz="0" w:space="0" w:color="auto"/>
        <w:bottom w:val="none" w:sz="0" w:space="0" w:color="auto"/>
        <w:right w:val="none" w:sz="0" w:space="0" w:color="auto"/>
      </w:divBdr>
    </w:div>
    <w:div w:id="1453866881">
      <w:bodyDiv w:val="1"/>
      <w:marLeft w:val="0"/>
      <w:marRight w:val="0"/>
      <w:marTop w:val="0"/>
      <w:marBottom w:val="0"/>
      <w:divBdr>
        <w:top w:val="none" w:sz="0" w:space="0" w:color="auto"/>
        <w:left w:val="none" w:sz="0" w:space="0" w:color="auto"/>
        <w:bottom w:val="none" w:sz="0" w:space="0" w:color="auto"/>
        <w:right w:val="none" w:sz="0" w:space="0" w:color="auto"/>
      </w:divBdr>
    </w:div>
    <w:div w:id="1479305673">
      <w:bodyDiv w:val="1"/>
      <w:marLeft w:val="0"/>
      <w:marRight w:val="0"/>
      <w:marTop w:val="0"/>
      <w:marBottom w:val="0"/>
      <w:divBdr>
        <w:top w:val="none" w:sz="0" w:space="0" w:color="auto"/>
        <w:left w:val="none" w:sz="0" w:space="0" w:color="auto"/>
        <w:bottom w:val="none" w:sz="0" w:space="0" w:color="auto"/>
        <w:right w:val="none" w:sz="0" w:space="0" w:color="auto"/>
      </w:divBdr>
    </w:div>
    <w:div w:id="1575698449">
      <w:bodyDiv w:val="1"/>
      <w:marLeft w:val="0"/>
      <w:marRight w:val="0"/>
      <w:marTop w:val="0"/>
      <w:marBottom w:val="0"/>
      <w:divBdr>
        <w:top w:val="none" w:sz="0" w:space="0" w:color="auto"/>
        <w:left w:val="none" w:sz="0" w:space="0" w:color="auto"/>
        <w:bottom w:val="none" w:sz="0" w:space="0" w:color="auto"/>
        <w:right w:val="none" w:sz="0" w:space="0" w:color="auto"/>
      </w:divBdr>
    </w:div>
    <w:div w:id="1590499885">
      <w:bodyDiv w:val="1"/>
      <w:marLeft w:val="0"/>
      <w:marRight w:val="0"/>
      <w:marTop w:val="0"/>
      <w:marBottom w:val="0"/>
      <w:divBdr>
        <w:top w:val="none" w:sz="0" w:space="0" w:color="auto"/>
        <w:left w:val="none" w:sz="0" w:space="0" w:color="auto"/>
        <w:bottom w:val="none" w:sz="0" w:space="0" w:color="auto"/>
        <w:right w:val="none" w:sz="0" w:space="0" w:color="auto"/>
      </w:divBdr>
      <w:divsChild>
        <w:div w:id="1576429774">
          <w:marLeft w:val="0"/>
          <w:marRight w:val="0"/>
          <w:marTop w:val="0"/>
          <w:marBottom w:val="0"/>
          <w:divBdr>
            <w:top w:val="none" w:sz="0" w:space="0" w:color="auto"/>
            <w:left w:val="none" w:sz="0" w:space="0" w:color="auto"/>
            <w:bottom w:val="none" w:sz="0" w:space="0" w:color="auto"/>
            <w:right w:val="none" w:sz="0" w:space="0" w:color="auto"/>
          </w:divBdr>
          <w:divsChild>
            <w:div w:id="1455177968">
              <w:marLeft w:val="0"/>
              <w:marRight w:val="0"/>
              <w:marTop w:val="0"/>
              <w:marBottom w:val="0"/>
              <w:divBdr>
                <w:top w:val="none" w:sz="0" w:space="0" w:color="auto"/>
                <w:left w:val="none" w:sz="0" w:space="0" w:color="auto"/>
                <w:bottom w:val="none" w:sz="0" w:space="0" w:color="auto"/>
                <w:right w:val="none" w:sz="0" w:space="0" w:color="auto"/>
              </w:divBdr>
              <w:divsChild>
                <w:div w:id="144449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181309">
      <w:bodyDiv w:val="1"/>
      <w:marLeft w:val="0"/>
      <w:marRight w:val="0"/>
      <w:marTop w:val="0"/>
      <w:marBottom w:val="0"/>
      <w:divBdr>
        <w:top w:val="none" w:sz="0" w:space="0" w:color="auto"/>
        <w:left w:val="none" w:sz="0" w:space="0" w:color="auto"/>
        <w:bottom w:val="none" w:sz="0" w:space="0" w:color="auto"/>
        <w:right w:val="none" w:sz="0" w:space="0" w:color="auto"/>
      </w:divBdr>
    </w:div>
    <w:div w:id="1660309456">
      <w:bodyDiv w:val="1"/>
      <w:marLeft w:val="0"/>
      <w:marRight w:val="0"/>
      <w:marTop w:val="0"/>
      <w:marBottom w:val="0"/>
      <w:divBdr>
        <w:top w:val="none" w:sz="0" w:space="0" w:color="auto"/>
        <w:left w:val="none" w:sz="0" w:space="0" w:color="auto"/>
        <w:bottom w:val="none" w:sz="0" w:space="0" w:color="auto"/>
        <w:right w:val="none" w:sz="0" w:space="0" w:color="auto"/>
      </w:divBdr>
    </w:div>
    <w:div w:id="1706639764">
      <w:bodyDiv w:val="1"/>
      <w:marLeft w:val="0"/>
      <w:marRight w:val="0"/>
      <w:marTop w:val="0"/>
      <w:marBottom w:val="0"/>
      <w:divBdr>
        <w:top w:val="none" w:sz="0" w:space="0" w:color="auto"/>
        <w:left w:val="none" w:sz="0" w:space="0" w:color="auto"/>
        <w:bottom w:val="none" w:sz="0" w:space="0" w:color="auto"/>
        <w:right w:val="none" w:sz="0" w:space="0" w:color="auto"/>
      </w:divBdr>
    </w:div>
    <w:div w:id="1709597871">
      <w:bodyDiv w:val="1"/>
      <w:marLeft w:val="0"/>
      <w:marRight w:val="0"/>
      <w:marTop w:val="0"/>
      <w:marBottom w:val="0"/>
      <w:divBdr>
        <w:top w:val="none" w:sz="0" w:space="0" w:color="auto"/>
        <w:left w:val="none" w:sz="0" w:space="0" w:color="auto"/>
        <w:bottom w:val="none" w:sz="0" w:space="0" w:color="auto"/>
        <w:right w:val="none" w:sz="0" w:space="0" w:color="auto"/>
      </w:divBdr>
    </w:div>
    <w:div w:id="1788425146">
      <w:bodyDiv w:val="1"/>
      <w:marLeft w:val="0"/>
      <w:marRight w:val="0"/>
      <w:marTop w:val="0"/>
      <w:marBottom w:val="0"/>
      <w:divBdr>
        <w:top w:val="none" w:sz="0" w:space="0" w:color="auto"/>
        <w:left w:val="none" w:sz="0" w:space="0" w:color="auto"/>
        <w:bottom w:val="none" w:sz="0" w:space="0" w:color="auto"/>
        <w:right w:val="none" w:sz="0" w:space="0" w:color="auto"/>
      </w:divBdr>
    </w:div>
    <w:div w:id="1871456286">
      <w:bodyDiv w:val="1"/>
      <w:marLeft w:val="0"/>
      <w:marRight w:val="0"/>
      <w:marTop w:val="0"/>
      <w:marBottom w:val="0"/>
      <w:divBdr>
        <w:top w:val="none" w:sz="0" w:space="0" w:color="auto"/>
        <w:left w:val="none" w:sz="0" w:space="0" w:color="auto"/>
        <w:bottom w:val="none" w:sz="0" w:space="0" w:color="auto"/>
        <w:right w:val="none" w:sz="0" w:space="0" w:color="auto"/>
      </w:divBdr>
    </w:div>
    <w:div w:id="1904485294">
      <w:bodyDiv w:val="1"/>
      <w:marLeft w:val="0"/>
      <w:marRight w:val="0"/>
      <w:marTop w:val="0"/>
      <w:marBottom w:val="0"/>
      <w:divBdr>
        <w:top w:val="none" w:sz="0" w:space="0" w:color="auto"/>
        <w:left w:val="none" w:sz="0" w:space="0" w:color="auto"/>
        <w:bottom w:val="none" w:sz="0" w:space="0" w:color="auto"/>
        <w:right w:val="none" w:sz="0" w:space="0" w:color="auto"/>
      </w:divBdr>
    </w:div>
    <w:div w:id="1949701481">
      <w:bodyDiv w:val="1"/>
      <w:marLeft w:val="0"/>
      <w:marRight w:val="0"/>
      <w:marTop w:val="0"/>
      <w:marBottom w:val="0"/>
      <w:divBdr>
        <w:top w:val="none" w:sz="0" w:space="0" w:color="auto"/>
        <w:left w:val="none" w:sz="0" w:space="0" w:color="auto"/>
        <w:bottom w:val="none" w:sz="0" w:space="0" w:color="auto"/>
        <w:right w:val="none" w:sz="0" w:space="0" w:color="auto"/>
      </w:divBdr>
      <w:divsChild>
        <w:div w:id="1742363222">
          <w:marLeft w:val="0"/>
          <w:marRight w:val="0"/>
          <w:marTop w:val="0"/>
          <w:marBottom w:val="0"/>
          <w:divBdr>
            <w:top w:val="none" w:sz="0" w:space="0" w:color="auto"/>
            <w:left w:val="none" w:sz="0" w:space="0" w:color="auto"/>
            <w:bottom w:val="none" w:sz="0" w:space="0" w:color="auto"/>
            <w:right w:val="none" w:sz="0" w:space="0" w:color="auto"/>
          </w:divBdr>
          <w:divsChild>
            <w:div w:id="1949199107">
              <w:marLeft w:val="0"/>
              <w:marRight w:val="0"/>
              <w:marTop w:val="0"/>
              <w:marBottom w:val="0"/>
              <w:divBdr>
                <w:top w:val="none" w:sz="0" w:space="0" w:color="auto"/>
                <w:left w:val="none" w:sz="0" w:space="0" w:color="auto"/>
                <w:bottom w:val="none" w:sz="0" w:space="0" w:color="auto"/>
                <w:right w:val="none" w:sz="0" w:space="0" w:color="auto"/>
              </w:divBdr>
            </w:div>
          </w:divsChild>
        </w:div>
        <w:div w:id="932468034">
          <w:marLeft w:val="0"/>
          <w:marRight w:val="0"/>
          <w:marTop w:val="0"/>
          <w:marBottom w:val="0"/>
          <w:divBdr>
            <w:top w:val="none" w:sz="0" w:space="0" w:color="auto"/>
            <w:left w:val="none" w:sz="0" w:space="0" w:color="auto"/>
            <w:bottom w:val="none" w:sz="0" w:space="0" w:color="auto"/>
            <w:right w:val="none" w:sz="0" w:space="0" w:color="auto"/>
          </w:divBdr>
          <w:divsChild>
            <w:div w:id="97885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631304">
      <w:bodyDiv w:val="1"/>
      <w:marLeft w:val="0"/>
      <w:marRight w:val="0"/>
      <w:marTop w:val="0"/>
      <w:marBottom w:val="0"/>
      <w:divBdr>
        <w:top w:val="none" w:sz="0" w:space="0" w:color="auto"/>
        <w:left w:val="none" w:sz="0" w:space="0" w:color="auto"/>
        <w:bottom w:val="none" w:sz="0" w:space="0" w:color="auto"/>
        <w:right w:val="none" w:sz="0" w:space="0" w:color="auto"/>
      </w:divBdr>
    </w:div>
    <w:div w:id="2109617645">
      <w:bodyDiv w:val="1"/>
      <w:marLeft w:val="0"/>
      <w:marRight w:val="0"/>
      <w:marTop w:val="0"/>
      <w:marBottom w:val="0"/>
      <w:divBdr>
        <w:top w:val="none" w:sz="0" w:space="0" w:color="auto"/>
        <w:left w:val="none" w:sz="0" w:space="0" w:color="auto"/>
        <w:bottom w:val="none" w:sz="0" w:space="0" w:color="auto"/>
        <w:right w:val="none" w:sz="0" w:space="0" w:color="auto"/>
      </w:divBdr>
      <w:divsChild>
        <w:div w:id="1364600261">
          <w:marLeft w:val="0"/>
          <w:marRight w:val="0"/>
          <w:marTop w:val="0"/>
          <w:marBottom w:val="0"/>
          <w:divBdr>
            <w:top w:val="none" w:sz="0" w:space="0" w:color="auto"/>
            <w:left w:val="none" w:sz="0" w:space="0" w:color="auto"/>
            <w:bottom w:val="none" w:sz="0" w:space="0" w:color="auto"/>
            <w:right w:val="none" w:sz="0" w:space="0" w:color="auto"/>
          </w:divBdr>
          <w:divsChild>
            <w:div w:id="1018699730">
              <w:marLeft w:val="0"/>
              <w:marRight w:val="0"/>
              <w:marTop w:val="0"/>
              <w:marBottom w:val="0"/>
              <w:divBdr>
                <w:top w:val="none" w:sz="0" w:space="0" w:color="auto"/>
                <w:left w:val="none" w:sz="0" w:space="0" w:color="auto"/>
                <w:bottom w:val="none" w:sz="0" w:space="0" w:color="auto"/>
                <w:right w:val="none" w:sz="0" w:space="0" w:color="auto"/>
              </w:divBdr>
              <w:divsChild>
                <w:div w:id="2012635661">
                  <w:marLeft w:val="0"/>
                  <w:marRight w:val="0"/>
                  <w:marTop w:val="0"/>
                  <w:marBottom w:val="0"/>
                  <w:divBdr>
                    <w:top w:val="none" w:sz="0" w:space="0" w:color="auto"/>
                    <w:left w:val="none" w:sz="0" w:space="0" w:color="auto"/>
                    <w:bottom w:val="none" w:sz="0" w:space="0" w:color="auto"/>
                    <w:right w:val="none" w:sz="0" w:space="0" w:color="auto"/>
                  </w:divBdr>
                  <w:divsChild>
                    <w:div w:id="482698217">
                      <w:marLeft w:val="0"/>
                      <w:marRight w:val="0"/>
                      <w:marTop w:val="0"/>
                      <w:marBottom w:val="0"/>
                      <w:divBdr>
                        <w:top w:val="none" w:sz="0" w:space="0" w:color="auto"/>
                        <w:left w:val="none" w:sz="0" w:space="0" w:color="auto"/>
                        <w:bottom w:val="none" w:sz="0" w:space="0" w:color="auto"/>
                        <w:right w:val="none" w:sz="0" w:space="0" w:color="auto"/>
                      </w:divBdr>
                    </w:div>
                    <w:div w:id="523594690">
                      <w:marLeft w:val="0"/>
                      <w:marRight w:val="0"/>
                      <w:marTop w:val="0"/>
                      <w:marBottom w:val="0"/>
                      <w:divBdr>
                        <w:top w:val="none" w:sz="0" w:space="0" w:color="auto"/>
                        <w:left w:val="none" w:sz="0" w:space="0" w:color="auto"/>
                        <w:bottom w:val="none" w:sz="0" w:space="0" w:color="auto"/>
                        <w:right w:val="none" w:sz="0" w:space="0" w:color="auto"/>
                      </w:divBdr>
                      <w:divsChild>
                        <w:div w:id="6726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5"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cockburn@qut.edu.au" TargetMode="External"/><Relationship Id="rId9" Type="http://schemas.openxmlformats.org/officeDocument/2006/relationships/footer" Target="footer1.xml"/><Relationship Id="rId10" Type="http://schemas.openxmlformats.org/officeDocument/2006/relationships/fontTable" Target="fontTable.xml"/></Relationships>
</file>

<file path=word/_rels/footnotes.xml.rels><?xml version="1.0" encoding="UTF-8" standalone="yes"?>
<Relationships xmlns="http://schemas.openxmlformats.org/package/2006/relationships"><Relationship Id="rId11" Type="http://schemas.openxmlformats.org/officeDocument/2006/relationships/hyperlink" Target="https://www.nature.com/news/leukaemia-success-heralds-wave-of-gene-editing-therapies-1.18737" TargetMode="External"/><Relationship Id="rId12" Type="http://schemas.openxmlformats.org/officeDocument/2006/relationships/hyperlink" Target="http://www.bbc.com/news/magazine-37311038" TargetMode="External"/><Relationship Id="rId13" Type="http://schemas.openxmlformats.org/officeDocument/2006/relationships/hyperlink" Target="https://www.gosh.nhs.uk/news/latest-press-releases/2015-press-release-archive/world-first-use-gene-edited-immune-cells-treat-incurable-leukaemia" TargetMode="External"/><Relationship Id="rId14" Type="http://schemas.openxmlformats.org/officeDocument/2006/relationships/hyperlink" Target="https://doi.org/10.1093/medlaw/fwx053" TargetMode="External"/><Relationship Id="rId1" Type="http://schemas.openxmlformats.org/officeDocument/2006/relationships/hyperlink" Target="http://www.heartofengland.nhs.uk/wp-content/uploads/Surgical-Outcomes-and-Practice-FINAL.pdf" TargetMode="External"/><Relationship Id="rId2" Type="http://schemas.openxmlformats.org/officeDocument/2006/relationships/hyperlink" Target="https://www.judiciary.uk/wp-content/uploads/2017/05/r-v-paterson-sentencing-remarks-mr-justice-jeremy-baker-20170531.pdf" TargetMode="External"/><Relationship Id="rId3" Type="http://schemas.openxmlformats.org/officeDocument/2006/relationships/hyperlink" Target="https://www.theguardian.com/society/2017/apr/28/cancer-surgeon-convicted-of-performing-needless-breast-surgery" TargetMode="External"/><Relationship Id="rId4" Type="http://schemas.openxmlformats.org/officeDocument/2006/relationships/hyperlink" Target="https://www.gmc-uk.org/ethical-guidance/ethical-guidance-for-doctors/financial-and-commercial-arrangements-and-conflicts-of-interest/financial-and-commercial-arrangements-and-conflicts-of-interest" TargetMode="External"/><Relationship Id="rId5" Type="http://schemas.openxmlformats.org/officeDocument/2006/relationships/hyperlink" Target="https://www.ncbi.nlm.nih.gov/pubmed/?term=Hajjaj%20F%5BAuthor%5D&amp;cauthor=true&amp;cauthor_uid=20436026" TargetMode="External"/><Relationship Id="rId6" Type="http://schemas.openxmlformats.org/officeDocument/2006/relationships/hyperlink" Target="https://www.gmc-uk.org/ethical-guidance/ethical-guidance-for-doctors/good-medical-practice" TargetMode="External"/><Relationship Id="rId7" Type="http://schemas.openxmlformats.org/officeDocument/2006/relationships/hyperlink" Target="https://www.nhmrc.gov.au/guidelines-publications/e57" TargetMode="External"/><Relationship Id="rId8" Type="http://schemas.openxmlformats.org/officeDocument/2006/relationships/hyperlink" Target="https://www.nhmrc.gov.au/guidelines-publications/e58" TargetMode="External"/><Relationship Id="rId9" Type="http://schemas.openxmlformats.org/officeDocument/2006/relationships/hyperlink" Target="https://www.judiciary.gov.uk/wp-content/uploads/2017/07/gosh-v-gard-24072017.pdf" TargetMode="External"/><Relationship Id="rId10" Type="http://schemas.openxmlformats.org/officeDocument/2006/relationships/hyperlink" Target="https://www.telegraph.co.uk/news/science/11840216/Once-we-start-editing-our-genes-where-do-we-sto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808649E-4076-C248-86D5-23A1911B0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6808</Words>
  <Characters>38809</Characters>
  <Application>Microsoft Macintosh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QUT</Company>
  <LinksUpToDate>false</LinksUpToDate>
  <CharactersWithSpaces>45526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Michael Fay</cp:lastModifiedBy>
  <cp:revision>3</cp:revision>
  <cp:lastPrinted>2018-09-10T05:16:00Z</cp:lastPrinted>
  <dcterms:created xsi:type="dcterms:W3CDTF">2018-10-12T16:20:00Z</dcterms:created>
  <dcterms:modified xsi:type="dcterms:W3CDTF">2018-10-12T16:22:00Z</dcterms:modified>
</cp:coreProperties>
</file>