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A381" w14:textId="7B0185FD" w:rsidR="00AE6743" w:rsidRPr="006E19C7" w:rsidRDefault="00776508"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Temporal trends and i</w:t>
      </w:r>
      <w:r w:rsidR="00002883" w:rsidRPr="006E19C7">
        <w:rPr>
          <w:rFonts w:ascii="Times New Roman" w:hAnsi="Times New Roman" w:cs="Times New Roman"/>
          <w:b/>
          <w:sz w:val="24"/>
          <w:szCs w:val="24"/>
        </w:rPr>
        <w:t xml:space="preserve">nequalities in </w:t>
      </w:r>
      <w:r w:rsidR="00657074" w:rsidRPr="006E19C7">
        <w:rPr>
          <w:rFonts w:ascii="Times New Roman" w:hAnsi="Times New Roman" w:cs="Times New Roman"/>
          <w:b/>
          <w:sz w:val="24"/>
          <w:szCs w:val="24"/>
        </w:rPr>
        <w:t>coronary angiography</w:t>
      </w:r>
      <w:r w:rsidR="00002883" w:rsidRPr="006E19C7">
        <w:rPr>
          <w:rFonts w:ascii="Times New Roman" w:hAnsi="Times New Roman" w:cs="Times New Roman"/>
          <w:b/>
          <w:sz w:val="24"/>
          <w:szCs w:val="24"/>
        </w:rPr>
        <w:t xml:space="preserve"> utilization</w:t>
      </w:r>
      <w:r w:rsidR="00657074" w:rsidRPr="006E19C7">
        <w:rPr>
          <w:rFonts w:ascii="Times New Roman" w:hAnsi="Times New Roman" w:cs="Times New Roman"/>
          <w:b/>
          <w:sz w:val="24"/>
          <w:szCs w:val="24"/>
        </w:rPr>
        <w:t xml:space="preserve"> in </w:t>
      </w:r>
      <w:r w:rsidR="00AF0820" w:rsidRPr="006E19C7">
        <w:rPr>
          <w:rFonts w:ascii="Times New Roman" w:hAnsi="Times New Roman" w:cs="Times New Roman"/>
          <w:b/>
          <w:sz w:val="24"/>
          <w:szCs w:val="24"/>
        </w:rPr>
        <w:t xml:space="preserve">the </w:t>
      </w:r>
      <w:r w:rsidR="00657074" w:rsidRPr="006E19C7">
        <w:rPr>
          <w:rFonts w:ascii="Times New Roman" w:hAnsi="Times New Roman" w:cs="Times New Roman"/>
          <w:b/>
          <w:sz w:val="24"/>
          <w:szCs w:val="24"/>
        </w:rPr>
        <w:t>management of non-ST-Elevation ac</w:t>
      </w:r>
      <w:r w:rsidR="00C103FC" w:rsidRPr="006E19C7">
        <w:rPr>
          <w:rFonts w:ascii="Times New Roman" w:hAnsi="Times New Roman" w:cs="Times New Roman"/>
          <w:b/>
          <w:sz w:val="24"/>
          <w:szCs w:val="24"/>
        </w:rPr>
        <w:t xml:space="preserve">ute coronary syndromes </w:t>
      </w:r>
      <w:r w:rsidR="00684228" w:rsidRPr="006E19C7">
        <w:rPr>
          <w:rFonts w:ascii="Times New Roman" w:hAnsi="Times New Roman" w:cs="Times New Roman"/>
          <w:b/>
          <w:sz w:val="24"/>
          <w:szCs w:val="24"/>
        </w:rPr>
        <w:t>in the U.S.</w:t>
      </w:r>
    </w:p>
    <w:p w14:paraId="00D4EE87" w14:textId="012784D4" w:rsidR="00161106" w:rsidRPr="006E19C7" w:rsidRDefault="00954CCA"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b/>
          <w:sz w:val="24"/>
          <w:szCs w:val="24"/>
        </w:rPr>
        <w:t xml:space="preserve">Short running title: </w:t>
      </w:r>
      <w:r w:rsidRPr="006E19C7">
        <w:rPr>
          <w:rFonts w:ascii="Times New Roman" w:hAnsi="Times New Roman" w:cs="Times New Roman"/>
          <w:sz w:val="24"/>
          <w:szCs w:val="24"/>
        </w:rPr>
        <w:t>Use of coronary angiography in NSTEACS</w:t>
      </w:r>
    </w:p>
    <w:p w14:paraId="4AB6960D" w14:textId="14E03FDD" w:rsidR="002F6384" w:rsidRPr="006E19C7" w:rsidRDefault="00891344" w:rsidP="00A35E42">
      <w:pPr>
        <w:snapToGrid w:val="0"/>
        <w:spacing w:after="0" w:line="480" w:lineRule="auto"/>
        <w:jc w:val="both"/>
        <w:rPr>
          <w:rFonts w:ascii="Times New Roman" w:hAnsi="Times New Roman" w:cs="Times New Roman"/>
          <w:sz w:val="24"/>
          <w:szCs w:val="24"/>
          <w:vertAlign w:val="superscript"/>
        </w:rPr>
      </w:pPr>
      <w:r w:rsidRPr="006E19C7">
        <w:rPr>
          <w:rFonts w:ascii="Times New Roman" w:hAnsi="Times New Roman" w:cs="Times New Roman"/>
          <w:sz w:val="24"/>
          <w:szCs w:val="24"/>
        </w:rPr>
        <w:t>Muhammad Rashid</w:t>
      </w:r>
      <w:r w:rsidR="00627A72" w:rsidRPr="006E19C7">
        <w:rPr>
          <w:rFonts w:ascii="Times New Roman" w:hAnsi="Times New Roman" w:cs="Times New Roman"/>
          <w:sz w:val="24"/>
          <w:szCs w:val="24"/>
        </w:rPr>
        <w:t xml:space="preserve"> </w:t>
      </w:r>
      <w:proofErr w:type="spellStart"/>
      <w:proofErr w:type="gramStart"/>
      <w:r w:rsidR="00627A72" w:rsidRPr="006E19C7">
        <w:rPr>
          <w:rFonts w:ascii="Times New Roman" w:hAnsi="Times New Roman" w:cs="Times New Roman"/>
          <w:sz w:val="24"/>
          <w:szCs w:val="24"/>
        </w:rPr>
        <w:t>MBBS</w:t>
      </w:r>
      <w:r w:rsidR="00443B03" w:rsidRPr="006E19C7">
        <w:rPr>
          <w:rFonts w:ascii="Times New Roman" w:hAnsi="Times New Roman" w:cs="Times New Roman"/>
          <w:sz w:val="24"/>
          <w:szCs w:val="24"/>
          <w:vertAlign w:val="superscript"/>
        </w:rPr>
        <w:t>a,b</w:t>
      </w:r>
      <w:proofErr w:type="spellEnd"/>
      <w:proofErr w:type="gramEnd"/>
      <w:r w:rsidRPr="006E19C7">
        <w:rPr>
          <w:rFonts w:ascii="Times New Roman" w:hAnsi="Times New Roman" w:cs="Times New Roman"/>
          <w:sz w:val="24"/>
          <w:szCs w:val="24"/>
        </w:rPr>
        <w:t xml:space="preserve">, </w:t>
      </w:r>
      <w:r w:rsidR="00161106" w:rsidRPr="006E19C7">
        <w:rPr>
          <w:rFonts w:ascii="Times New Roman" w:hAnsi="Times New Roman" w:cs="Times New Roman"/>
          <w:sz w:val="24"/>
          <w:szCs w:val="24"/>
        </w:rPr>
        <w:t xml:space="preserve">David </w:t>
      </w:r>
      <w:r w:rsidR="00E113F1" w:rsidRPr="006E19C7">
        <w:rPr>
          <w:rFonts w:ascii="Times New Roman" w:hAnsi="Times New Roman" w:cs="Times New Roman"/>
          <w:sz w:val="24"/>
          <w:szCs w:val="24"/>
        </w:rPr>
        <w:t xml:space="preserve">L. </w:t>
      </w:r>
      <w:proofErr w:type="spellStart"/>
      <w:r w:rsidR="00161106" w:rsidRPr="006E19C7">
        <w:rPr>
          <w:rFonts w:ascii="Times New Roman" w:hAnsi="Times New Roman" w:cs="Times New Roman"/>
          <w:sz w:val="24"/>
          <w:szCs w:val="24"/>
        </w:rPr>
        <w:t>Fischman</w:t>
      </w:r>
      <w:proofErr w:type="spellEnd"/>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c</w:t>
      </w:r>
      <w:proofErr w:type="spellEnd"/>
      <w:r w:rsidR="00161106" w:rsidRPr="006E19C7">
        <w:rPr>
          <w:rFonts w:ascii="Times New Roman" w:hAnsi="Times New Roman" w:cs="Times New Roman"/>
          <w:sz w:val="24"/>
          <w:szCs w:val="24"/>
        </w:rPr>
        <w:t xml:space="preserve">, </w:t>
      </w:r>
      <w:r w:rsidR="00F4048C" w:rsidRPr="006E19C7">
        <w:rPr>
          <w:rFonts w:ascii="Times New Roman" w:hAnsi="Times New Roman" w:cs="Times New Roman"/>
          <w:sz w:val="24"/>
          <w:szCs w:val="24"/>
        </w:rPr>
        <w:t>Martha Gulati</w:t>
      </w:r>
      <w:r w:rsidR="00834B93" w:rsidRPr="006E19C7">
        <w:rPr>
          <w:rFonts w:ascii="Times New Roman" w:hAnsi="Times New Roman" w:cs="Times New Roman"/>
          <w:sz w:val="24"/>
          <w:szCs w:val="24"/>
        </w:rPr>
        <w:t xml:space="preserve"> </w:t>
      </w:r>
      <w:proofErr w:type="spellStart"/>
      <w:r w:rsidR="00834B93"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d</w:t>
      </w:r>
      <w:proofErr w:type="spellEnd"/>
      <w:r w:rsidR="00834B93" w:rsidRPr="006E19C7">
        <w:rPr>
          <w:rFonts w:ascii="Times New Roman" w:hAnsi="Times New Roman" w:cs="Times New Roman"/>
          <w:sz w:val="24"/>
          <w:szCs w:val="24"/>
        </w:rPr>
        <w:t xml:space="preserve"> </w:t>
      </w:r>
      <w:r w:rsidR="00161106" w:rsidRPr="006E19C7">
        <w:rPr>
          <w:rFonts w:ascii="Times New Roman" w:hAnsi="Times New Roman" w:cs="Times New Roman"/>
          <w:sz w:val="24"/>
          <w:szCs w:val="24"/>
        </w:rPr>
        <w:t xml:space="preserve">Khalid </w:t>
      </w:r>
      <w:proofErr w:type="spellStart"/>
      <w:r w:rsidR="00161106" w:rsidRPr="006E19C7">
        <w:rPr>
          <w:rFonts w:ascii="Times New Roman" w:hAnsi="Times New Roman" w:cs="Times New Roman"/>
          <w:sz w:val="24"/>
          <w:szCs w:val="24"/>
        </w:rPr>
        <w:t>Tamman</w:t>
      </w:r>
      <w:proofErr w:type="spellEnd"/>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e</w:t>
      </w:r>
      <w:proofErr w:type="spellEnd"/>
      <w:r w:rsidR="00161106" w:rsidRPr="006E19C7">
        <w:rPr>
          <w:rFonts w:ascii="Times New Roman" w:hAnsi="Times New Roman" w:cs="Times New Roman"/>
          <w:sz w:val="24"/>
          <w:szCs w:val="24"/>
        </w:rPr>
        <w:t>, Jessica Potts</w:t>
      </w:r>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MSc</w:t>
      </w:r>
      <w:r w:rsidR="00443B03" w:rsidRPr="006E19C7">
        <w:rPr>
          <w:rFonts w:ascii="Times New Roman" w:hAnsi="Times New Roman" w:cs="Times New Roman"/>
          <w:sz w:val="24"/>
          <w:szCs w:val="24"/>
          <w:vertAlign w:val="superscript"/>
        </w:rPr>
        <w:t>a</w:t>
      </w:r>
      <w:proofErr w:type="spellEnd"/>
      <w:r w:rsidR="00161106"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Chun </w:t>
      </w:r>
      <w:proofErr w:type="spellStart"/>
      <w:r w:rsidRPr="006E19C7">
        <w:rPr>
          <w:rFonts w:ascii="Times New Roman" w:hAnsi="Times New Roman" w:cs="Times New Roman"/>
          <w:sz w:val="24"/>
          <w:szCs w:val="24"/>
        </w:rPr>
        <w:t>Shing</w:t>
      </w:r>
      <w:proofErr w:type="spellEnd"/>
      <w:r w:rsidRPr="006E19C7">
        <w:rPr>
          <w:rFonts w:ascii="Times New Roman" w:hAnsi="Times New Roman" w:cs="Times New Roman"/>
          <w:sz w:val="24"/>
          <w:szCs w:val="24"/>
        </w:rPr>
        <w:t xml:space="preserve"> Kwok</w:t>
      </w:r>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MBBS</w:t>
      </w:r>
      <w:r w:rsidR="00443B03" w:rsidRPr="006E19C7">
        <w:rPr>
          <w:rFonts w:ascii="Times New Roman" w:hAnsi="Times New Roman" w:cs="Times New Roman"/>
          <w:sz w:val="24"/>
          <w:szCs w:val="24"/>
          <w:vertAlign w:val="superscript"/>
        </w:rPr>
        <w:t>a,b</w:t>
      </w:r>
      <w:proofErr w:type="spellEnd"/>
      <w:r w:rsidRPr="006E19C7">
        <w:rPr>
          <w:rFonts w:ascii="Times New Roman" w:hAnsi="Times New Roman" w:cs="Times New Roman"/>
          <w:sz w:val="24"/>
          <w:szCs w:val="24"/>
        </w:rPr>
        <w:t xml:space="preserve">, </w:t>
      </w:r>
      <w:r w:rsidR="00E278BC" w:rsidRPr="006E19C7">
        <w:rPr>
          <w:rFonts w:ascii="Times New Roman" w:hAnsi="Times New Roman" w:cs="Times New Roman"/>
          <w:sz w:val="24"/>
          <w:szCs w:val="24"/>
        </w:rPr>
        <w:t>Joie Ensor</w:t>
      </w:r>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PhD</w:t>
      </w:r>
      <w:r w:rsidR="00443B03" w:rsidRPr="006E19C7">
        <w:rPr>
          <w:rFonts w:ascii="Times New Roman" w:hAnsi="Times New Roman" w:cs="Times New Roman"/>
          <w:sz w:val="24"/>
          <w:szCs w:val="24"/>
          <w:vertAlign w:val="superscript"/>
        </w:rPr>
        <w:t>a</w:t>
      </w:r>
      <w:proofErr w:type="spellEnd"/>
      <w:r w:rsidR="00E278BC" w:rsidRPr="006E19C7">
        <w:rPr>
          <w:rFonts w:ascii="Times New Roman" w:hAnsi="Times New Roman" w:cs="Times New Roman"/>
          <w:sz w:val="24"/>
          <w:szCs w:val="24"/>
        </w:rPr>
        <w:t xml:space="preserve">, Ahmad </w:t>
      </w:r>
      <w:proofErr w:type="spellStart"/>
      <w:r w:rsidR="00E278BC" w:rsidRPr="006E19C7">
        <w:rPr>
          <w:rFonts w:ascii="Times New Roman" w:hAnsi="Times New Roman" w:cs="Times New Roman"/>
          <w:sz w:val="24"/>
          <w:szCs w:val="24"/>
        </w:rPr>
        <w:t>Shoaib</w:t>
      </w:r>
      <w:proofErr w:type="spellEnd"/>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a,b</w:t>
      </w:r>
      <w:proofErr w:type="spellEnd"/>
      <w:r w:rsidR="00E278BC" w:rsidRPr="006E19C7">
        <w:rPr>
          <w:rFonts w:ascii="Times New Roman" w:hAnsi="Times New Roman" w:cs="Times New Roman"/>
          <w:sz w:val="24"/>
          <w:szCs w:val="24"/>
        </w:rPr>
        <w:t xml:space="preserve">, </w:t>
      </w:r>
      <w:proofErr w:type="spellStart"/>
      <w:r w:rsidR="00E278BC" w:rsidRPr="006E19C7">
        <w:rPr>
          <w:rFonts w:ascii="Times New Roman" w:hAnsi="Times New Roman" w:cs="Times New Roman"/>
          <w:sz w:val="24"/>
          <w:szCs w:val="24"/>
        </w:rPr>
        <w:t>Hossam</w:t>
      </w:r>
      <w:proofErr w:type="spellEnd"/>
      <w:r w:rsidR="00E278BC" w:rsidRPr="006E19C7">
        <w:rPr>
          <w:rFonts w:ascii="Times New Roman" w:hAnsi="Times New Roman" w:cs="Times New Roman"/>
          <w:sz w:val="24"/>
          <w:szCs w:val="24"/>
        </w:rPr>
        <w:t xml:space="preserve"> Mansour</w:t>
      </w:r>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f</w:t>
      </w:r>
      <w:proofErr w:type="spellEnd"/>
      <w:r w:rsidR="00E278BC" w:rsidRPr="006E19C7">
        <w:rPr>
          <w:rFonts w:ascii="Times New Roman" w:hAnsi="Times New Roman" w:cs="Times New Roman"/>
          <w:sz w:val="24"/>
          <w:szCs w:val="24"/>
        </w:rPr>
        <w:t xml:space="preserve">, </w:t>
      </w:r>
      <w:proofErr w:type="spellStart"/>
      <w:r w:rsidR="00E278BC" w:rsidRPr="006E19C7">
        <w:rPr>
          <w:rFonts w:ascii="Times New Roman" w:hAnsi="Times New Roman" w:cs="Times New Roman"/>
          <w:sz w:val="24"/>
          <w:szCs w:val="24"/>
        </w:rPr>
        <w:t>Azfar</w:t>
      </w:r>
      <w:proofErr w:type="spellEnd"/>
      <w:r w:rsidR="00E278BC" w:rsidRPr="006E19C7">
        <w:rPr>
          <w:rFonts w:ascii="Times New Roman" w:hAnsi="Times New Roman" w:cs="Times New Roman"/>
          <w:sz w:val="24"/>
          <w:szCs w:val="24"/>
        </w:rPr>
        <w:t xml:space="preserve"> Zaman</w:t>
      </w:r>
      <w:r w:rsidR="00627A72" w:rsidRPr="006E19C7">
        <w:rPr>
          <w:rFonts w:ascii="Times New Roman" w:hAnsi="Times New Roman" w:cs="Times New Roman"/>
          <w:sz w:val="24"/>
          <w:szCs w:val="24"/>
        </w:rPr>
        <w:t xml:space="preserve"> </w:t>
      </w:r>
      <w:proofErr w:type="spellStart"/>
      <w:r w:rsidR="00627A72" w:rsidRPr="006E19C7">
        <w:rPr>
          <w:rFonts w:ascii="Times New Roman" w:hAnsi="Times New Roman" w:cs="Times New Roman"/>
          <w:sz w:val="24"/>
          <w:szCs w:val="24"/>
        </w:rPr>
        <w:t>PhD</w:t>
      </w:r>
      <w:r w:rsidR="00443B03" w:rsidRPr="006E19C7">
        <w:rPr>
          <w:rFonts w:ascii="Times New Roman" w:hAnsi="Times New Roman" w:cs="Times New Roman"/>
          <w:sz w:val="24"/>
          <w:szCs w:val="24"/>
          <w:vertAlign w:val="superscript"/>
        </w:rPr>
        <w:t>g</w:t>
      </w:r>
      <w:proofErr w:type="spellEnd"/>
      <w:r w:rsidR="00E278BC" w:rsidRPr="006E19C7">
        <w:rPr>
          <w:rFonts w:ascii="Times New Roman" w:hAnsi="Times New Roman" w:cs="Times New Roman"/>
          <w:sz w:val="24"/>
          <w:szCs w:val="24"/>
        </w:rPr>
        <w:t>,</w:t>
      </w:r>
      <w:r w:rsidR="00BB70E4" w:rsidRPr="006E19C7">
        <w:rPr>
          <w:rFonts w:ascii="Times New Roman" w:hAnsi="Times New Roman" w:cs="Times New Roman"/>
          <w:sz w:val="24"/>
          <w:szCs w:val="24"/>
        </w:rPr>
        <w:t xml:space="preserve"> </w:t>
      </w:r>
      <w:r w:rsidR="00F4048C" w:rsidRPr="006E19C7">
        <w:rPr>
          <w:rFonts w:ascii="Times New Roman" w:hAnsi="Times New Roman" w:cs="Times New Roman"/>
          <w:sz w:val="24"/>
          <w:szCs w:val="24"/>
        </w:rPr>
        <w:t xml:space="preserve">Michael </w:t>
      </w:r>
      <w:r w:rsidR="00E113F1" w:rsidRPr="006E19C7">
        <w:rPr>
          <w:rFonts w:ascii="Times New Roman" w:hAnsi="Times New Roman" w:cs="Times New Roman"/>
          <w:sz w:val="24"/>
          <w:szCs w:val="24"/>
        </w:rPr>
        <w:t xml:space="preserve">P. </w:t>
      </w:r>
      <w:r w:rsidR="00F4048C" w:rsidRPr="006E19C7">
        <w:rPr>
          <w:rFonts w:ascii="Times New Roman" w:hAnsi="Times New Roman" w:cs="Times New Roman"/>
          <w:sz w:val="24"/>
          <w:szCs w:val="24"/>
        </w:rPr>
        <w:t xml:space="preserve">Savage </w:t>
      </w:r>
      <w:proofErr w:type="spellStart"/>
      <w:r w:rsidR="00E113F1" w:rsidRPr="006E19C7">
        <w:rPr>
          <w:rFonts w:ascii="Times New Roman" w:hAnsi="Times New Roman" w:cs="Times New Roman"/>
          <w:sz w:val="24"/>
          <w:szCs w:val="24"/>
        </w:rPr>
        <w:t>MD</w:t>
      </w:r>
      <w:r w:rsidR="00443B03" w:rsidRPr="006E19C7">
        <w:rPr>
          <w:rFonts w:ascii="Times New Roman" w:hAnsi="Times New Roman" w:cs="Times New Roman"/>
          <w:sz w:val="24"/>
          <w:szCs w:val="24"/>
          <w:vertAlign w:val="superscript"/>
        </w:rPr>
        <w:t>c</w:t>
      </w:r>
      <w:proofErr w:type="spellEnd"/>
      <w:r w:rsidR="00F4048C" w:rsidRPr="006E19C7">
        <w:rPr>
          <w:rFonts w:ascii="Times New Roman" w:hAnsi="Times New Roman" w:cs="Times New Roman"/>
          <w:sz w:val="24"/>
          <w:szCs w:val="24"/>
        </w:rPr>
        <w:t xml:space="preserve">, </w:t>
      </w:r>
      <w:r w:rsidR="00E278BC" w:rsidRPr="006E19C7">
        <w:rPr>
          <w:rFonts w:ascii="Times New Roman" w:hAnsi="Times New Roman" w:cs="Times New Roman"/>
          <w:sz w:val="24"/>
          <w:szCs w:val="24"/>
        </w:rPr>
        <w:t xml:space="preserve">Mamas </w:t>
      </w:r>
      <w:proofErr w:type="spellStart"/>
      <w:r w:rsidR="00E113F1" w:rsidRPr="006E19C7">
        <w:rPr>
          <w:rFonts w:ascii="Times New Roman" w:hAnsi="Times New Roman" w:cs="Times New Roman"/>
          <w:sz w:val="24"/>
          <w:szCs w:val="24"/>
        </w:rPr>
        <w:t>A.</w:t>
      </w:r>
      <w:r w:rsidR="00E278BC" w:rsidRPr="006E19C7">
        <w:rPr>
          <w:rFonts w:ascii="Times New Roman" w:hAnsi="Times New Roman" w:cs="Times New Roman"/>
          <w:sz w:val="24"/>
          <w:szCs w:val="24"/>
        </w:rPr>
        <w:t>Mamas</w:t>
      </w:r>
      <w:r w:rsidR="00443B03" w:rsidRPr="006E19C7">
        <w:rPr>
          <w:rFonts w:ascii="Times New Roman" w:hAnsi="Times New Roman" w:cs="Times New Roman"/>
          <w:sz w:val="24"/>
          <w:szCs w:val="24"/>
          <w:vertAlign w:val="superscript"/>
        </w:rPr>
        <w:t>a,b</w:t>
      </w:r>
      <w:proofErr w:type="spellEnd"/>
    </w:p>
    <w:p w14:paraId="347A6603" w14:textId="018E290D" w:rsidR="00B73C2F" w:rsidRPr="006E19C7" w:rsidRDefault="00B73C2F" w:rsidP="00A35E42">
      <w:pPr>
        <w:pStyle w:val="ListParagraph"/>
        <w:numPr>
          <w:ilvl w:val="0"/>
          <w:numId w:val="5"/>
        </w:numPr>
        <w:snapToGrid w:val="0"/>
        <w:spacing w:after="0" w:line="480" w:lineRule="auto"/>
        <w:contextualSpacing w:val="0"/>
        <w:jc w:val="both"/>
        <w:rPr>
          <w:rFonts w:ascii="Times New Roman" w:hAnsi="Times New Roman" w:cs="Times New Roman"/>
          <w:sz w:val="24"/>
          <w:szCs w:val="24"/>
          <w:vertAlign w:val="superscript"/>
        </w:rPr>
      </w:pPr>
      <w:proofErr w:type="spellStart"/>
      <w:r w:rsidRPr="006E19C7">
        <w:rPr>
          <w:rFonts w:ascii="Times New Roman" w:hAnsi="Times New Roman" w:cs="Times New Roman"/>
          <w:color w:val="000000"/>
          <w:sz w:val="24"/>
          <w:szCs w:val="24"/>
          <w:shd w:val="clear" w:color="auto" w:fill="FFFFFF"/>
        </w:rPr>
        <w:t>Keele</w:t>
      </w:r>
      <w:proofErr w:type="spellEnd"/>
      <w:r w:rsidRPr="006E19C7">
        <w:rPr>
          <w:rFonts w:ascii="Times New Roman" w:hAnsi="Times New Roman" w:cs="Times New Roman"/>
          <w:color w:val="000000"/>
          <w:sz w:val="24"/>
          <w:szCs w:val="24"/>
          <w:shd w:val="clear" w:color="auto" w:fill="FFFFFF"/>
        </w:rPr>
        <w:t xml:space="preserve"> Cardiovascular Research Group, Centre for Prognosis Research, Institutes of Applied Clinical Science and Primary Care and Health Sciences, </w:t>
      </w:r>
      <w:proofErr w:type="spellStart"/>
      <w:r w:rsidRPr="006E19C7">
        <w:rPr>
          <w:rFonts w:ascii="Times New Roman" w:hAnsi="Times New Roman" w:cs="Times New Roman"/>
          <w:color w:val="000000"/>
          <w:sz w:val="24"/>
          <w:szCs w:val="24"/>
          <w:shd w:val="clear" w:color="auto" w:fill="FFFFFF"/>
        </w:rPr>
        <w:t>Keele</w:t>
      </w:r>
      <w:proofErr w:type="spellEnd"/>
      <w:r w:rsidRPr="006E19C7">
        <w:rPr>
          <w:rFonts w:ascii="Times New Roman" w:hAnsi="Times New Roman" w:cs="Times New Roman"/>
          <w:color w:val="000000"/>
          <w:sz w:val="24"/>
          <w:szCs w:val="24"/>
          <w:shd w:val="clear" w:color="auto" w:fill="FFFFFF"/>
        </w:rPr>
        <w:t xml:space="preserve"> University, Stoke-on-Trent, UK</w:t>
      </w:r>
    </w:p>
    <w:p w14:paraId="618639D5" w14:textId="20423F46" w:rsidR="00B73C2F" w:rsidRPr="006E19C7" w:rsidRDefault="00B73C2F" w:rsidP="00A35E42">
      <w:pPr>
        <w:pStyle w:val="ListParagraph"/>
        <w:numPr>
          <w:ilvl w:val="0"/>
          <w:numId w:val="5"/>
        </w:numPr>
        <w:snapToGrid w:val="0"/>
        <w:spacing w:after="0" w:line="480" w:lineRule="auto"/>
        <w:ind w:left="641" w:hanging="357"/>
        <w:contextualSpacing w:val="0"/>
        <w:jc w:val="both"/>
        <w:rPr>
          <w:rFonts w:ascii="Times New Roman" w:hAnsi="Times New Roman" w:cs="Times New Roman"/>
          <w:sz w:val="24"/>
          <w:szCs w:val="24"/>
          <w:vertAlign w:val="superscript"/>
        </w:rPr>
      </w:pPr>
      <w:r w:rsidRPr="006E19C7">
        <w:rPr>
          <w:rFonts w:ascii="Times New Roman" w:hAnsi="Times New Roman" w:cs="Times New Roman"/>
          <w:color w:val="000000"/>
          <w:sz w:val="24"/>
          <w:szCs w:val="24"/>
          <w:shd w:val="clear" w:color="auto" w:fill="FFFFFF"/>
        </w:rPr>
        <w:t>Department of Cardiology, Royal Stoke Hospital, University Hospital North Midlands, Stoke-on-Trent, UK</w:t>
      </w:r>
    </w:p>
    <w:p w14:paraId="08A219C8" w14:textId="45C995D7" w:rsidR="00B73C2F" w:rsidRPr="006E19C7" w:rsidRDefault="00B73C2F" w:rsidP="00A35E42">
      <w:pPr>
        <w:pStyle w:val="ListParagraph"/>
        <w:numPr>
          <w:ilvl w:val="0"/>
          <w:numId w:val="5"/>
        </w:numPr>
        <w:snapToGrid w:val="0"/>
        <w:spacing w:after="0" w:line="480" w:lineRule="auto"/>
        <w:ind w:left="641" w:hanging="357"/>
        <w:contextualSpacing w:val="0"/>
        <w:jc w:val="both"/>
        <w:rPr>
          <w:rFonts w:ascii="Times New Roman" w:hAnsi="Times New Roman" w:cs="Times New Roman"/>
          <w:sz w:val="24"/>
          <w:szCs w:val="24"/>
          <w:vertAlign w:val="superscript"/>
        </w:rPr>
      </w:pPr>
      <w:r w:rsidRPr="006E19C7">
        <w:rPr>
          <w:rFonts w:ascii="Times New Roman" w:hAnsi="Times New Roman" w:cs="Times New Roman"/>
          <w:color w:val="000000"/>
          <w:sz w:val="24"/>
          <w:szCs w:val="24"/>
          <w:shd w:val="clear" w:color="auto" w:fill="FFFFFF"/>
        </w:rPr>
        <w:t>Department of Medicine (Cardiology), Thomas Jefferson University Hospital, Philadelphia, Pennsylvania, United States</w:t>
      </w:r>
    </w:p>
    <w:p w14:paraId="41BDBFF7" w14:textId="4B9E9115" w:rsidR="00834B93" w:rsidRPr="006E19C7" w:rsidRDefault="00834B93" w:rsidP="00A35E42">
      <w:pPr>
        <w:pStyle w:val="ListParagraph"/>
        <w:numPr>
          <w:ilvl w:val="0"/>
          <w:numId w:val="5"/>
        </w:numPr>
        <w:snapToGrid w:val="0"/>
        <w:spacing w:after="0" w:line="480" w:lineRule="auto"/>
        <w:ind w:left="641" w:hanging="357"/>
        <w:contextualSpacing w:val="0"/>
        <w:rPr>
          <w:rFonts w:ascii="Times New Roman" w:eastAsia="Times New Roman" w:hAnsi="Times New Roman" w:cs="Times New Roman"/>
          <w:sz w:val="24"/>
          <w:szCs w:val="24"/>
          <w:lang w:eastAsia="en-GB"/>
        </w:rPr>
      </w:pPr>
      <w:r w:rsidRPr="006E19C7">
        <w:rPr>
          <w:rFonts w:ascii="Times New Roman" w:eastAsia="Times New Roman" w:hAnsi="Times New Roman" w:cs="Times New Roman"/>
          <w:sz w:val="24"/>
          <w:szCs w:val="24"/>
          <w:lang w:eastAsia="en-GB"/>
        </w:rPr>
        <w:t>Division of Cardiology, University of Arizona, Phoenix, AZ</w:t>
      </w:r>
    </w:p>
    <w:p w14:paraId="36F16708" w14:textId="497F3B72" w:rsidR="00B73C2F" w:rsidRPr="006E19C7" w:rsidRDefault="00B73C2F" w:rsidP="00A35E42">
      <w:pPr>
        <w:pStyle w:val="ListParagraph"/>
        <w:numPr>
          <w:ilvl w:val="0"/>
          <w:numId w:val="5"/>
        </w:numPr>
        <w:snapToGrid w:val="0"/>
        <w:spacing w:after="0" w:line="480" w:lineRule="auto"/>
        <w:ind w:left="641" w:hanging="357"/>
        <w:contextualSpacing w:val="0"/>
        <w:jc w:val="both"/>
        <w:rPr>
          <w:rFonts w:ascii="Times New Roman" w:hAnsi="Times New Roman" w:cs="Times New Roman"/>
          <w:sz w:val="24"/>
          <w:szCs w:val="24"/>
        </w:rPr>
      </w:pPr>
      <w:r w:rsidRPr="006E19C7">
        <w:rPr>
          <w:rFonts w:ascii="Times New Roman" w:hAnsi="Times New Roman" w:cs="Times New Roman"/>
          <w:sz w:val="24"/>
          <w:szCs w:val="24"/>
        </w:rPr>
        <w:t xml:space="preserve">Department of Cardiology, </w:t>
      </w:r>
      <w:r w:rsidR="00874F92" w:rsidRPr="006E19C7">
        <w:rPr>
          <w:rFonts w:ascii="Times New Roman" w:hAnsi="Times New Roman" w:cs="Times New Roman"/>
          <w:sz w:val="24"/>
          <w:szCs w:val="24"/>
        </w:rPr>
        <w:t>International</w:t>
      </w:r>
      <w:r w:rsidRPr="006E19C7">
        <w:rPr>
          <w:rFonts w:ascii="Times New Roman" w:hAnsi="Times New Roman" w:cs="Times New Roman"/>
          <w:sz w:val="24"/>
          <w:szCs w:val="24"/>
        </w:rPr>
        <w:t xml:space="preserve"> medical </w:t>
      </w:r>
      <w:r w:rsidRPr="006E19C7">
        <w:rPr>
          <w:rFonts w:ascii="Times New Roman" w:hAnsi="Times New Roman" w:cs="Times New Roman"/>
          <w:noProof/>
          <w:sz w:val="24"/>
          <w:szCs w:val="24"/>
        </w:rPr>
        <w:t>centre</w:t>
      </w:r>
      <w:r w:rsidRPr="006E19C7">
        <w:rPr>
          <w:rFonts w:ascii="Times New Roman" w:hAnsi="Times New Roman" w:cs="Times New Roman"/>
          <w:sz w:val="24"/>
          <w:szCs w:val="24"/>
        </w:rPr>
        <w:t>, Jeddah, Saudi Arabia</w:t>
      </w:r>
    </w:p>
    <w:p w14:paraId="139EDC5B" w14:textId="1AA3996D" w:rsidR="00874F92" w:rsidRPr="006E19C7" w:rsidRDefault="00874F92" w:rsidP="00A35E42">
      <w:pPr>
        <w:pStyle w:val="ListParagraph"/>
        <w:numPr>
          <w:ilvl w:val="0"/>
          <w:numId w:val="5"/>
        </w:numPr>
        <w:snapToGrid w:val="0"/>
        <w:spacing w:after="0" w:line="480" w:lineRule="auto"/>
        <w:ind w:left="641" w:hanging="357"/>
        <w:contextualSpacing w:val="0"/>
        <w:jc w:val="both"/>
        <w:rPr>
          <w:rFonts w:ascii="Times New Roman" w:hAnsi="Times New Roman" w:cs="Times New Roman"/>
          <w:sz w:val="24"/>
          <w:szCs w:val="24"/>
        </w:rPr>
      </w:pPr>
      <w:r w:rsidRPr="006E19C7">
        <w:rPr>
          <w:rFonts w:ascii="Times New Roman" w:hAnsi="Times New Roman" w:cs="Times New Roman"/>
          <w:sz w:val="24"/>
          <w:szCs w:val="24"/>
        </w:rPr>
        <w:t xml:space="preserve">Department of Cardiology, Aswan </w:t>
      </w:r>
      <w:r w:rsidR="002F639A" w:rsidRPr="006E19C7">
        <w:rPr>
          <w:rFonts w:ascii="Times New Roman" w:hAnsi="Times New Roman" w:cs="Times New Roman"/>
          <w:noProof/>
          <w:sz w:val="24"/>
          <w:szCs w:val="24"/>
        </w:rPr>
        <w:t>U</w:t>
      </w:r>
      <w:r w:rsidRPr="006E19C7">
        <w:rPr>
          <w:rFonts w:ascii="Times New Roman" w:hAnsi="Times New Roman" w:cs="Times New Roman"/>
          <w:noProof/>
          <w:sz w:val="24"/>
          <w:szCs w:val="24"/>
        </w:rPr>
        <w:t>niversity</w:t>
      </w:r>
      <w:r w:rsidRPr="006E19C7">
        <w:rPr>
          <w:rFonts w:ascii="Times New Roman" w:hAnsi="Times New Roman" w:cs="Times New Roman"/>
          <w:sz w:val="24"/>
          <w:szCs w:val="24"/>
        </w:rPr>
        <w:t>, Aswan, Egypt</w:t>
      </w:r>
    </w:p>
    <w:p w14:paraId="254AEB6A" w14:textId="0A02F48D" w:rsidR="002F6384" w:rsidRPr="006E19C7" w:rsidRDefault="00B73C2F" w:rsidP="00A35E42">
      <w:pPr>
        <w:pStyle w:val="ListParagraph"/>
        <w:numPr>
          <w:ilvl w:val="0"/>
          <w:numId w:val="5"/>
        </w:numPr>
        <w:snapToGrid w:val="0"/>
        <w:spacing w:after="0" w:line="480" w:lineRule="auto"/>
        <w:contextualSpacing w:val="0"/>
        <w:jc w:val="both"/>
        <w:rPr>
          <w:rFonts w:ascii="Times New Roman" w:hAnsi="Times New Roman" w:cs="Times New Roman"/>
          <w:sz w:val="24"/>
          <w:szCs w:val="24"/>
          <w:vertAlign w:val="superscript"/>
        </w:rPr>
      </w:pPr>
      <w:r w:rsidRPr="006E19C7">
        <w:rPr>
          <w:rFonts w:ascii="Times New Roman" w:hAnsi="Times New Roman" w:cs="Times New Roman"/>
          <w:color w:val="000000"/>
          <w:sz w:val="24"/>
          <w:szCs w:val="24"/>
          <w:shd w:val="clear" w:color="auto" w:fill="FFFFFF"/>
        </w:rPr>
        <w:t xml:space="preserve">Department of Cardiology, Freeman Hospital </w:t>
      </w:r>
      <w:r w:rsidRPr="006E19C7">
        <w:rPr>
          <w:rFonts w:ascii="Times New Roman" w:hAnsi="Times New Roman" w:cs="Times New Roman"/>
          <w:noProof/>
          <w:color w:val="000000"/>
          <w:sz w:val="24"/>
          <w:szCs w:val="24"/>
          <w:shd w:val="clear" w:color="auto" w:fill="FFFFFF"/>
        </w:rPr>
        <w:t>and</w:t>
      </w:r>
      <w:r w:rsidRPr="006E19C7">
        <w:rPr>
          <w:rFonts w:ascii="Times New Roman" w:hAnsi="Times New Roman" w:cs="Times New Roman"/>
          <w:color w:val="000000"/>
          <w:sz w:val="24"/>
          <w:szCs w:val="24"/>
          <w:shd w:val="clear" w:color="auto" w:fill="FFFFFF"/>
        </w:rPr>
        <w:t xml:space="preserve"> Institute of Cellular Medicine, Newcastle University, Newcastle-upon-Tyne, UK.</w:t>
      </w:r>
    </w:p>
    <w:p w14:paraId="15FC103D" w14:textId="5B653841" w:rsidR="00C103FC" w:rsidRPr="006E19C7" w:rsidRDefault="009E7883"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Corresponding Author</w:t>
      </w:r>
    </w:p>
    <w:p w14:paraId="10FAABE8" w14:textId="7428A00A" w:rsidR="009E7883" w:rsidRPr="006E19C7" w:rsidRDefault="00920C68" w:rsidP="00A35E42">
      <w:pPr>
        <w:snapToGrid w:val="0"/>
        <w:spacing w:after="0" w:line="480" w:lineRule="auto"/>
        <w:jc w:val="both"/>
        <w:rPr>
          <w:rFonts w:ascii="Times New Roman" w:hAnsi="Times New Roman"/>
          <w:color w:val="000000"/>
          <w:sz w:val="24"/>
          <w:szCs w:val="24"/>
          <w:shd w:val="clear" w:color="auto" w:fill="FFFFFF"/>
        </w:rPr>
      </w:pPr>
      <w:r w:rsidRPr="006E19C7">
        <w:rPr>
          <w:rFonts w:ascii="Times New Roman" w:hAnsi="Times New Roman"/>
          <w:color w:val="000000"/>
          <w:sz w:val="24"/>
          <w:szCs w:val="24"/>
          <w:shd w:val="clear" w:color="auto" w:fill="FFFFFF"/>
        </w:rPr>
        <w:t>Dr Muhammad Rashid</w:t>
      </w:r>
    </w:p>
    <w:p w14:paraId="02ED4D76" w14:textId="3B9A4C50" w:rsidR="009E7883" w:rsidRPr="006E19C7" w:rsidRDefault="009E7883" w:rsidP="00A35E42">
      <w:pPr>
        <w:snapToGrid w:val="0"/>
        <w:spacing w:after="0" w:line="480" w:lineRule="auto"/>
        <w:jc w:val="both"/>
        <w:rPr>
          <w:rFonts w:ascii="Times New Roman" w:hAnsi="Times New Roman"/>
          <w:sz w:val="24"/>
          <w:szCs w:val="24"/>
        </w:rPr>
      </w:pPr>
      <w:proofErr w:type="spellStart"/>
      <w:r w:rsidRPr="006E19C7">
        <w:rPr>
          <w:rFonts w:ascii="Times New Roman" w:hAnsi="Times New Roman"/>
          <w:sz w:val="24"/>
          <w:szCs w:val="24"/>
        </w:rPr>
        <w:t>Keele</w:t>
      </w:r>
      <w:proofErr w:type="spellEnd"/>
      <w:r w:rsidRPr="006E19C7">
        <w:rPr>
          <w:rFonts w:ascii="Times New Roman" w:hAnsi="Times New Roman"/>
          <w:sz w:val="24"/>
          <w:szCs w:val="24"/>
        </w:rPr>
        <w:t xml:space="preserve"> Cardiovascular Research Group, </w:t>
      </w:r>
      <w:proofErr w:type="spellStart"/>
      <w:r w:rsidRPr="006E19C7">
        <w:rPr>
          <w:rFonts w:ascii="Times New Roman" w:hAnsi="Times New Roman"/>
          <w:sz w:val="24"/>
          <w:szCs w:val="24"/>
        </w:rPr>
        <w:t>Keele</w:t>
      </w:r>
      <w:proofErr w:type="spellEnd"/>
      <w:r w:rsidRPr="006E19C7">
        <w:rPr>
          <w:rFonts w:ascii="Times New Roman" w:hAnsi="Times New Roman"/>
          <w:sz w:val="24"/>
          <w:szCs w:val="24"/>
        </w:rPr>
        <w:t xml:space="preserve"> University, </w:t>
      </w:r>
    </w:p>
    <w:p w14:paraId="64C153D9" w14:textId="40B2B2D2" w:rsidR="009E7883" w:rsidRPr="006E19C7" w:rsidRDefault="009E7883" w:rsidP="00A35E42">
      <w:pPr>
        <w:snapToGrid w:val="0"/>
        <w:spacing w:after="0" w:line="480" w:lineRule="auto"/>
        <w:jc w:val="both"/>
        <w:rPr>
          <w:rFonts w:ascii="Times New Roman" w:hAnsi="Times New Roman"/>
          <w:sz w:val="24"/>
          <w:szCs w:val="24"/>
        </w:rPr>
      </w:pPr>
      <w:r w:rsidRPr="006E19C7">
        <w:rPr>
          <w:rFonts w:ascii="Times New Roman" w:hAnsi="Times New Roman"/>
          <w:sz w:val="24"/>
          <w:szCs w:val="24"/>
        </w:rPr>
        <w:t xml:space="preserve">Stoke-on-Trent, </w:t>
      </w:r>
      <w:r w:rsidR="00AD0E22" w:rsidRPr="006E19C7">
        <w:rPr>
          <w:rFonts w:ascii="Times New Roman" w:hAnsi="Times New Roman"/>
          <w:sz w:val="24"/>
          <w:szCs w:val="24"/>
        </w:rPr>
        <w:t xml:space="preserve">ST5 5BG, </w:t>
      </w:r>
      <w:r w:rsidRPr="006E19C7">
        <w:rPr>
          <w:rFonts w:ascii="Times New Roman" w:hAnsi="Times New Roman"/>
          <w:sz w:val="24"/>
          <w:szCs w:val="24"/>
        </w:rPr>
        <w:t>UK</w:t>
      </w:r>
    </w:p>
    <w:p w14:paraId="52A092EB" w14:textId="77777777" w:rsidR="00AD0E22" w:rsidRPr="006E19C7" w:rsidRDefault="00AD0E22" w:rsidP="00A35E42">
      <w:pPr>
        <w:snapToGrid w:val="0"/>
        <w:spacing w:after="0" w:line="480" w:lineRule="auto"/>
        <w:jc w:val="both"/>
        <w:rPr>
          <w:rFonts w:ascii="Times New Roman" w:hAnsi="Times New Roman"/>
          <w:sz w:val="24"/>
          <w:szCs w:val="24"/>
        </w:rPr>
      </w:pPr>
      <w:r w:rsidRPr="006E19C7">
        <w:rPr>
          <w:rFonts w:ascii="Times New Roman" w:hAnsi="Times New Roman"/>
          <w:sz w:val="24"/>
          <w:szCs w:val="24"/>
        </w:rPr>
        <w:t>Tel.: +44 (0)1612 768666</w:t>
      </w:r>
    </w:p>
    <w:p w14:paraId="4DFD5D3F" w14:textId="75312014" w:rsidR="00AD0E22" w:rsidRPr="006E19C7" w:rsidRDefault="00AD0E22" w:rsidP="00A35E42">
      <w:pPr>
        <w:snapToGrid w:val="0"/>
        <w:spacing w:after="0" w:line="480" w:lineRule="auto"/>
        <w:jc w:val="both"/>
        <w:rPr>
          <w:rFonts w:ascii="Times New Roman" w:hAnsi="Times New Roman"/>
          <w:sz w:val="24"/>
          <w:szCs w:val="24"/>
        </w:rPr>
      </w:pPr>
      <w:r w:rsidRPr="006E19C7">
        <w:rPr>
          <w:rFonts w:ascii="Times New Roman" w:hAnsi="Times New Roman"/>
          <w:sz w:val="24"/>
          <w:szCs w:val="24"/>
        </w:rPr>
        <w:t>Fax: +44 (0)1782 674467</w:t>
      </w:r>
    </w:p>
    <w:p w14:paraId="46361906" w14:textId="5C164614" w:rsidR="002F6384" w:rsidRPr="006E19C7" w:rsidRDefault="009E7883" w:rsidP="00A35E42">
      <w:pPr>
        <w:snapToGrid w:val="0"/>
        <w:spacing w:after="0" w:line="480" w:lineRule="auto"/>
        <w:jc w:val="both"/>
        <w:rPr>
          <w:rFonts w:ascii="Times New Roman" w:hAnsi="Times New Roman"/>
          <w:sz w:val="24"/>
          <w:szCs w:val="24"/>
        </w:rPr>
      </w:pPr>
      <w:r w:rsidRPr="006E19C7">
        <w:rPr>
          <w:rFonts w:ascii="Times New Roman" w:hAnsi="Times New Roman"/>
          <w:sz w:val="24"/>
          <w:szCs w:val="24"/>
        </w:rPr>
        <w:t xml:space="preserve">E-mail: </w:t>
      </w:r>
      <w:r w:rsidR="00920C68" w:rsidRPr="006E19C7">
        <w:rPr>
          <w:rFonts w:ascii="Times New Roman" w:hAnsi="Times New Roman"/>
          <w:sz w:val="24"/>
          <w:szCs w:val="24"/>
        </w:rPr>
        <w:t>doctorrashid7@gmail.com</w:t>
      </w:r>
    </w:p>
    <w:p w14:paraId="7F00F87B" w14:textId="1F083FCE" w:rsidR="00606FC3" w:rsidRPr="006E19C7" w:rsidRDefault="00606FC3"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lastRenderedPageBreak/>
        <w:t xml:space="preserve">Abstract: </w:t>
      </w:r>
    </w:p>
    <w:p w14:paraId="392D6D26" w14:textId="5567E060" w:rsidR="003C42E7" w:rsidRPr="006E19C7" w:rsidRDefault="003C42E7"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 xml:space="preserve">Coronary angiography (CA) is the basis of an </w:t>
      </w:r>
      <w:r w:rsidRPr="006E19C7">
        <w:rPr>
          <w:rFonts w:ascii="Times New Roman" w:hAnsi="Times New Roman" w:cs="Times New Roman"/>
          <w:noProof/>
          <w:sz w:val="24"/>
          <w:szCs w:val="24"/>
        </w:rPr>
        <w:t>invasive management strategy in non-ST elevation acute coronary syndromes (NSTEACS)</w:t>
      </w:r>
      <w:r w:rsidRPr="006E19C7">
        <w:rPr>
          <w:rFonts w:ascii="Times New Roman" w:hAnsi="Times New Roman" w:cs="Times New Roman"/>
          <w:sz w:val="24"/>
          <w:szCs w:val="24"/>
        </w:rPr>
        <w:t>. There are limited</w:t>
      </w:r>
      <w:r w:rsidR="00DC431A" w:rsidRPr="006E19C7">
        <w:rPr>
          <w:rFonts w:ascii="Times New Roman" w:hAnsi="Times New Roman" w:cs="Times New Roman"/>
          <w:sz w:val="24"/>
          <w:szCs w:val="24"/>
        </w:rPr>
        <w:t xml:space="preserve"> contemporary</w:t>
      </w:r>
      <w:r w:rsidRPr="006E19C7">
        <w:rPr>
          <w:rFonts w:ascii="Times New Roman" w:hAnsi="Times New Roman" w:cs="Times New Roman"/>
          <w:sz w:val="24"/>
          <w:szCs w:val="24"/>
        </w:rPr>
        <w:t xml:space="preserve"> data on national temporal trends in </w:t>
      </w:r>
      <w:r w:rsidRPr="006E19C7">
        <w:rPr>
          <w:rFonts w:ascii="Times New Roman" w:hAnsi="Times New Roman" w:cs="Times New Roman"/>
          <w:noProof/>
          <w:sz w:val="24"/>
          <w:szCs w:val="24"/>
        </w:rPr>
        <w:t>utilization</w:t>
      </w:r>
      <w:r w:rsidRPr="006E19C7">
        <w:rPr>
          <w:rFonts w:ascii="Times New Roman" w:hAnsi="Times New Roman" w:cs="Times New Roman"/>
          <w:sz w:val="24"/>
          <w:szCs w:val="24"/>
        </w:rPr>
        <w:t xml:space="preserve"> of CA in</w:t>
      </w:r>
      <w:r w:rsidR="00DC431A" w:rsidRPr="006E19C7">
        <w:rPr>
          <w:rFonts w:ascii="Times New Roman" w:hAnsi="Times New Roman" w:cs="Times New Roman"/>
          <w:sz w:val="24"/>
          <w:szCs w:val="24"/>
        </w:rPr>
        <w:t xml:space="preserve"> different patient subgroups</w:t>
      </w:r>
      <w:r w:rsidRPr="006E19C7">
        <w:rPr>
          <w:rFonts w:ascii="Times New Roman" w:hAnsi="Times New Roman" w:cs="Times New Roman"/>
          <w:sz w:val="24"/>
          <w:szCs w:val="24"/>
        </w:rPr>
        <w:t>. We sought to investigate temporal trends</w:t>
      </w:r>
      <w:r w:rsidR="00FC2AD9" w:rsidRPr="006E19C7">
        <w:rPr>
          <w:rFonts w:ascii="Times New Roman" w:hAnsi="Times New Roman" w:cs="Times New Roman"/>
          <w:sz w:val="24"/>
          <w:szCs w:val="24"/>
        </w:rPr>
        <w:t>, predictors</w:t>
      </w:r>
      <w:r w:rsidR="00CD1F63" w:rsidRPr="006E19C7">
        <w:rPr>
          <w:rFonts w:ascii="Times New Roman" w:hAnsi="Times New Roman" w:cs="Times New Roman"/>
          <w:sz w:val="24"/>
          <w:szCs w:val="24"/>
        </w:rPr>
        <w:t xml:space="preserve"> and</w:t>
      </w:r>
      <w:r w:rsidRPr="006E19C7">
        <w:rPr>
          <w:rFonts w:ascii="Times New Roman" w:hAnsi="Times New Roman" w:cs="Times New Roman"/>
          <w:sz w:val="24"/>
          <w:szCs w:val="24"/>
        </w:rPr>
        <w:t xml:space="preserve"> </w:t>
      </w:r>
      <w:r w:rsidR="00FC2AD9" w:rsidRPr="006E19C7">
        <w:rPr>
          <w:rFonts w:ascii="Times New Roman" w:hAnsi="Times New Roman" w:cs="Times New Roman"/>
          <w:noProof/>
          <w:sz w:val="24"/>
          <w:szCs w:val="24"/>
        </w:rPr>
        <w:t>clinical</w:t>
      </w:r>
      <w:r w:rsidR="00FC2AD9" w:rsidRPr="006E19C7">
        <w:rPr>
          <w:rFonts w:ascii="Times New Roman" w:hAnsi="Times New Roman" w:cs="Times New Roman"/>
          <w:sz w:val="24"/>
          <w:szCs w:val="24"/>
        </w:rPr>
        <w:t xml:space="preserve"> outcomes associated with the use of </w:t>
      </w:r>
      <w:r w:rsidRPr="006E19C7">
        <w:rPr>
          <w:rFonts w:ascii="Times New Roman" w:hAnsi="Times New Roman" w:cs="Times New Roman"/>
          <w:sz w:val="24"/>
          <w:szCs w:val="24"/>
        </w:rPr>
        <w:t>CA</w:t>
      </w:r>
      <w:r w:rsidR="00E0796E" w:rsidRPr="006E19C7">
        <w:rPr>
          <w:rFonts w:ascii="Times New Roman" w:hAnsi="Times New Roman" w:cs="Times New Roman"/>
          <w:sz w:val="24"/>
          <w:szCs w:val="24"/>
        </w:rPr>
        <w:t xml:space="preserve"> </w:t>
      </w:r>
      <w:r w:rsidR="00DC431A" w:rsidRPr="006E19C7">
        <w:rPr>
          <w:rFonts w:ascii="Times New Roman" w:hAnsi="Times New Roman" w:cs="Times New Roman"/>
          <w:sz w:val="24"/>
          <w:szCs w:val="24"/>
        </w:rPr>
        <w:t>in the US</w:t>
      </w:r>
      <w:r w:rsidRPr="006E19C7">
        <w:rPr>
          <w:rFonts w:ascii="Times New Roman" w:hAnsi="Times New Roman" w:cs="Times New Roman"/>
          <w:sz w:val="24"/>
          <w:szCs w:val="24"/>
        </w:rPr>
        <w:t xml:space="preserve">. </w:t>
      </w:r>
    </w:p>
    <w:p w14:paraId="7200E71D" w14:textId="77777777" w:rsidR="003C42E7" w:rsidRPr="006E19C7" w:rsidRDefault="003C42E7"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 xml:space="preserve">Using the Nationwide Inpatient Sample (NIS) from 2004-2014, we identified all inpatient admissions, age ≥18, with a primary diagnosis of NSTEACS. Descriptive statistics and </w:t>
      </w:r>
      <w:r w:rsidRPr="006E19C7">
        <w:rPr>
          <w:rFonts w:ascii="Times New Roman" w:hAnsi="Times New Roman" w:cs="Times New Roman"/>
          <w:noProof/>
          <w:sz w:val="24"/>
          <w:szCs w:val="24"/>
        </w:rPr>
        <w:t>multivariable</w:t>
      </w:r>
      <w:r w:rsidRPr="006E19C7">
        <w:rPr>
          <w:rFonts w:ascii="Times New Roman" w:hAnsi="Times New Roman" w:cs="Times New Roman"/>
          <w:sz w:val="24"/>
          <w:szCs w:val="24"/>
        </w:rPr>
        <w:t xml:space="preserve"> logistic regression models were used to investigate temporal trends, predictors and </w:t>
      </w:r>
      <w:r w:rsidRPr="006E19C7">
        <w:rPr>
          <w:rFonts w:ascii="Times New Roman" w:hAnsi="Times New Roman" w:cs="Times New Roman"/>
          <w:noProof/>
          <w:sz w:val="24"/>
          <w:szCs w:val="24"/>
        </w:rPr>
        <w:t>clinical</w:t>
      </w:r>
      <w:r w:rsidRPr="006E19C7">
        <w:rPr>
          <w:rFonts w:ascii="Times New Roman" w:hAnsi="Times New Roman" w:cs="Times New Roman"/>
          <w:sz w:val="24"/>
          <w:szCs w:val="24"/>
        </w:rPr>
        <w:t xml:space="preserve"> outcomes associated with CA. </w:t>
      </w:r>
    </w:p>
    <w:p w14:paraId="0548AF24" w14:textId="6E86B217" w:rsidR="003C42E7" w:rsidRPr="006E19C7" w:rsidRDefault="003C42E7"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From a total of 4,380,827</w:t>
      </w:r>
      <w:r w:rsidR="00C322E8" w:rsidRPr="006E19C7">
        <w:rPr>
          <w:rFonts w:ascii="Times New Roman" w:hAnsi="Times New Roman" w:cs="Times New Roman"/>
          <w:sz w:val="24"/>
          <w:szCs w:val="24"/>
        </w:rPr>
        <w:t xml:space="preserve"> patients</w:t>
      </w:r>
      <w:r w:rsidRPr="006E19C7">
        <w:rPr>
          <w:rFonts w:ascii="Times New Roman" w:hAnsi="Times New Roman" w:cs="Times New Roman"/>
          <w:sz w:val="24"/>
          <w:szCs w:val="24"/>
        </w:rPr>
        <w:t>, 57.5% received CA during the stud</w:t>
      </w:r>
      <w:r w:rsidR="00C322E8" w:rsidRPr="006E19C7">
        <w:rPr>
          <w:rFonts w:ascii="Times New Roman" w:hAnsi="Times New Roman" w:cs="Times New Roman"/>
          <w:sz w:val="24"/>
          <w:szCs w:val="24"/>
        </w:rPr>
        <w:t xml:space="preserve">y period and </w:t>
      </w:r>
      <w:r w:rsidRPr="006E19C7">
        <w:rPr>
          <w:rFonts w:ascii="Times New Roman" w:hAnsi="Times New Roman" w:cs="Times New Roman"/>
          <w:sz w:val="24"/>
          <w:szCs w:val="24"/>
        </w:rPr>
        <w:t>were more</w:t>
      </w:r>
      <w:r w:rsidR="00FC2AD9" w:rsidRPr="006E19C7">
        <w:rPr>
          <w:rFonts w:ascii="Times New Roman" w:hAnsi="Times New Roman" w:cs="Times New Roman"/>
          <w:sz w:val="24"/>
          <w:szCs w:val="24"/>
        </w:rPr>
        <w:t xml:space="preserve"> likely to be male</w:t>
      </w:r>
      <w:r w:rsidRPr="006E19C7">
        <w:rPr>
          <w:rFonts w:ascii="Times New Roman" w:hAnsi="Times New Roman" w:cs="Times New Roman"/>
          <w:sz w:val="24"/>
          <w:szCs w:val="24"/>
        </w:rPr>
        <w:t>, you</w:t>
      </w:r>
      <w:r w:rsidR="00E0796E" w:rsidRPr="006E19C7">
        <w:rPr>
          <w:rFonts w:ascii="Times New Roman" w:hAnsi="Times New Roman" w:cs="Times New Roman"/>
          <w:sz w:val="24"/>
          <w:szCs w:val="24"/>
        </w:rPr>
        <w:t>nger</w:t>
      </w:r>
      <w:r w:rsidRPr="006E19C7">
        <w:rPr>
          <w:rFonts w:ascii="Times New Roman" w:hAnsi="Times New Roman" w:cs="Times New Roman"/>
          <w:sz w:val="24"/>
          <w:szCs w:val="24"/>
        </w:rPr>
        <w:t xml:space="preserve"> and less comorbid as defined per </w:t>
      </w:r>
      <w:r w:rsidRPr="006E19C7">
        <w:rPr>
          <w:rFonts w:ascii="Times New Roman" w:hAnsi="Times New Roman" w:cs="Times New Roman"/>
          <w:noProof/>
          <w:sz w:val="24"/>
          <w:szCs w:val="24"/>
        </w:rPr>
        <w:t>Charlson</w:t>
      </w:r>
      <w:r w:rsidR="00F67F93" w:rsidRPr="006E19C7">
        <w:rPr>
          <w:rFonts w:ascii="Times New Roman" w:hAnsi="Times New Roman" w:cs="Times New Roman"/>
          <w:sz w:val="24"/>
          <w:szCs w:val="24"/>
        </w:rPr>
        <w:t xml:space="preserve"> comorbidity index</w:t>
      </w:r>
      <w:r w:rsidRPr="006E19C7">
        <w:rPr>
          <w:rFonts w:ascii="Times New Roman" w:hAnsi="Times New Roman" w:cs="Times New Roman"/>
          <w:sz w:val="24"/>
          <w:szCs w:val="24"/>
        </w:rPr>
        <w:t xml:space="preserve">. The proportion of patients receiving CA increased from 48.5% to 68.5%, </w:t>
      </w:r>
      <w:r w:rsidRPr="006E19C7">
        <w:rPr>
          <w:rFonts w:ascii="Times New Roman" w:hAnsi="Times New Roman" w:cs="Times New Roman"/>
          <w:noProof/>
          <w:sz w:val="24"/>
          <w:szCs w:val="24"/>
        </w:rPr>
        <w:t>however,</w:t>
      </w:r>
      <w:r w:rsidR="00FC2AD9" w:rsidRPr="006E19C7">
        <w:rPr>
          <w:rFonts w:ascii="Times New Roman" w:hAnsi="Times New Roman" w:cs="Times New Roman"/>
          <w:noProof/>
          <w:sz w:val="24"/>
          <w:szCs w:val="24"/>
        </w:rPr>
        <w:t xml:space="preserve"> </w:t>
      </w:r>
      <w:r w:rsidRPr="006E19C7">
        <w:rPr>
          <w:rFonts w:ascii="Times New Roman" w:hAnsi="Times New Roman" w:cs="Times New Roman"/>
          <w:noProof/>
          <w:sz w:val="24"/>
          <w:szCs w:val="24"/>
        </w:rPr>
        <w:t>higher proportional increase was observed in males (53.9% to 69.4% P</w:t>
      </w:r>
      <w:r w:rsidRPr="006E19C7">
        <w:rPr>
          <w:rFonts w:ascii="Times New Roman" w:hAnsi="Times New Roman" w:cs="Times New Roman"/>
          <w:noProof/>
          <w:sz w:val="24"/>
          <w:szCs w:val="24"/>
          <w:vertAlign w:val="subscript"/>
        </w:rPr>
        <w:t>trend</w:t>
      </w:r>
      <w:r w:rsidRPr="006E19C7">
        <w:rPr>
          <w:rFonts w:ascii="Times New Roman" w:hAnsi="Times New Roman" w:cs="Times New Roman"/>
          <w:noProof/>
          <w:sz w:val="24"/>
          <w:szCs w:val="24"/>
        </w:rPr>
        <w:t>&lt;0.001) and those age≤60 years (59.0% to 77.9% P</w:t>
      </w:r>
      <w:r w:rsidRPr="006E19C7">
        <w:rPr>
          <w:rFonts w:ascii="Times New Roman" w:hAnsi="Times New Roman" w:cs="Times New Roman"/>
          <w:noProof/>
          <w:sz w:val="24"/>
          <w:szCs w:val="24"/>
          <w:vertAlign w:val="subscript"/>
        </w:rPr>
        <w:t>trend</w:t>
      </w:r>
      <w:r w:rsidRPr="006E19C7">
        <w:rPr>
          <w:rFonts w:ascii="Times New Roman" w:hAnsi="Times New Roman" w:cs="Times New Roman"/>
          <w:noProof/>
          <w:sz w:val="24"/>
          <w:szCs w:val="24"/>
        </w:rPr>
        <w:t>&lt;0.001). Prior history of CABG (</w:t>
      </w:r>
      <w:r w:rsidR="00FC2AD9" w:rsidRPr="006E19C7">
        <w:rPr>
          <w:rFonts w:ascii="Times New Roman" w:hAnsi="Times New Roman" w:cs="Times New Roman"/>
          <w:sz w:val="24"/>
          <w:szCs w:val="24"/>
        </w:rPr>
        <w:t>OR 0.33 95%CI 0.35-0.36), p</w:t>
      </w:r>
      <w:r w:rsidRPr="006E19C7">
        <w:rPr>
          <w:rFonts w:ascii="Times New Roman" w:hAnsi="Times New Roman" w:cs="Times New Roman"/>
          <w:sz w:val="24"/>
          <w:szCs w:val="24"/>
        </w:rPr>
        <w:t>revious PCI (OR 0.84 95%CI 0.83-0.86) and previous A</w:t>
      </w:r>
      <w:r w:rsidR="00FC2AD9" w:rsidRPr="006E19C7">
        <w:rPr>
          <w:rFonts w:ascii="Times New Roman" w:hAnsi="Times New Roman" w:cs="Times New Roman"/>
          <w:sz w:val="24"/>
          <w:szCs w:val="24"/>
        </w:rPr>
        <w:t xml:space="preserve">MI (OR 0.65 95%CI 0.64-0.67) were </w:t>
      </w:r>
      <w:r w:rsidRPr="006E19C7">
        <w:rPr>
          <w:rFonts w:ascii="Times New Roman" w:hAnsi="Times New Roman" w:cs="Times New Roman"/>
          <w:sz w:val="24"/>
          <w:szCs w:val="24"/>
        </w:rPr>
        <w:t>inverse</w:t>
      </w:r>
      <w:r w:rsidR="00FC2AD9" w:rsidRPr="006E19C7">
        <w:rPr>
          <w:rFonts w:ascii="Times New Roman" w:hAnsi="Times New Roman" w:cs="Times New Roman"/>
          <w:sz w:val="24"/>
          <w:szCs w:val="24"/>
        </w:rPr>
        <w:t>ly related</w:t>
      </w:r>
      <w:r w:rsidRPr="006E19C7">
        <w:rPr>
          <w:rFonts w:ascii="Times New Roman" w:hAnsi="Times New Roman" w:cs="Times New Roman"/>
          <w:sz w:val="24"/>
          <w:szCs w:val="24"/>
        </w:rPr>
        <w:t xml:space="preserve"> with receipt of CA. Receipt of CA was strongly associated with decreased odds of in-hospital mortality (OR 0.38 95%CI 0.36-0.40). </w:t>
      </w:r>
    </w:p>
    <w:p w14:paraId="01554F14" w14:textId="58D14777" w:rsidR="003C42E7" w:rsidRPr="006E19C7" w:rsidRDefault="003C42E7"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 xml:space="preserve">In this national analysis, we observed a temporal increase in </w:t>
      </w:r>
      <w:r w:rsidRPr="006E19C7">
        <w:rPr>
          <w:rFonts w:ascii="Times New Roman" w:hAnsi="Times New Roman" w:cs="Times New Roman"/>
          <w:noProof/>
          <w:sz w:val="24"/>
          <w:szCs w:val="24"/>
        </w:rPr>
        <w:t>utilization</w:t>
      </w:r>
      <w:r w:rsidRPr="006E19C7">
        <w:rPr>
          <w:rFonts w:ascii="Times New Roman" w:hAnsi="Times New Roman" w:cs="Times New Roman"/>
          <w:sz w:val="24"/>
          <w:szCs w:val="24"/>
        </w:rPr>
        <w:t xml:space="preserve"> of CA albeit slow</w:t>
      </w:r>
      <w:r w:rsidR="00E0796E" w:rsidRPr="006E19C7">
        <w:rPr>
          <w:rFonts w:ascii="Times New Roman" w:hAnsi="Times New Roman" w:cs="Times New Roman"/>
          <w:sz w:val="24"/>
          <w:szCs w:val="24"/>
        </w:rPr>
        <w:t>er adoption was noted in older</w:t>
      </w:r>
      <w:r w:rsidRPr="006E19C7">
        <w:rPr>
          <w:rFonts w:ascii="Times New Roman" w:hAnsi="Times New Roman" w:cs="Times New Roman"/>
          <w:sz w:val="24"/>
          <w:szCs w:val="24"/>
        </w:rPr>
        <w:t xml:space="preserve">, women and more </w:t>
      </w:r>
      <w:r w:rsidRPr="006E19C7">
        <w:rPr>
          <w:rFonts w:ascii="Times New Roman" w:hAnsi="Times New Roman" w:cs="Times New Roman"/>
          <w:noProof/>
          <w:sz w:val="24"/>
          <w:szCs w:val="24"/>
        </w:rPr>
        <w:t>comorbid patients. The risk-treatment paradox wherein patients who</w:t>
      </w:r>
      <w:r w:rsidRPr="006E19C7">
        <w:rPr>
          <w:rFonts w:ascii="Times New Roman" w:hAnsi="Times New Roman" w:cs="Times New Roman"/>
          <w:sz w:val="24"/>
          <w:szCs w:val="24"/>
        </w:rPr>
        <w:t xml:space="preserve"> are most likely to benefit were less likely to receive CA persists even in contemporary practice. </w:t>
      </w:r>
    </w:p>
    <w:p w14:paraId="27081549" w14:textId="529722E3" w:rsidR="00C96322" w:rsidRPr="006E19C7" w:rsidRDefault="00C96322" w:rsidP="00A35E42">
      <w:pPr>
        <w:snapToGrid w:val="0"/>
        <w:spacing w:after="0" w:line="480" w:lineRule="auto"/>
        <w:jc w:val="both"/>
        <w:rPr>
          <w:rFonts w:ascii="Times New Roman" w:hAnsi="Times New Roman" w:cs="Times New Roman"/>
          <w:sz w:val="24"/>
          <w:szCs w:val="24"/>
        </w:rPr>
      </w:pPr>
    </w:p>
    <w:p w14:paraId="5E1B58F4" w14:textId="77777777" w:rsidR="00A027B5" w:rsidRPr="006E19C7" w:rsidRDefault="00A027B5" w:rsidP="00A35E42">
      <w:pPr>
        <w:snapToGrid w:val="0"/>
        <w:spacing w:after="0" w:line="480" w:lineRule="auto"/>
        <w:jc w:val="both"/>
        <w:rPr>
          <w:rFonts w:ascii="Times New Roman" w:hAnsi="Times New Roman" w:cs="Times New Roman"/>
          <w:b/>
          <w:sz w:val="24"/>
          <w:szCs w:val="24"/>
        </w:rPr>
      </w:pPr>
    </w:p>
    <w:p w14:paraId="0F86601B" w14:textId="77777777" w:rsidR="00A027B5" w:rsidRPr="006E19C7" w:rsidRDefault="00A027B5" w:rsidP="00A35E42">
      <w:pPr>
        <w:snapToGrid w:val="0"/>
        <w:spacing w:after="0" w:line="480" w:lineRule="auto"/>
        <w:jc w:val="both"/>
        <w:rPr>
          <w:rFonts w:ascii="Times New Roman" w:hAnsi="Times New Roman" w:cs="Times New Roman"/>
          <w:b/>
          <w:sz w:val="24"/>
          <w:szCs w:val="24"/>
        </w:rPr>
      </w:pPr>
    </w:p>
    <w:p w14:paraId="5AB7E4DD" w14:textId="5A3071B0" w:rsidR="00ED7941" w:rsidRPr="006E19C7" w:rsidRDefault="00ED7941"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b/>
          <w:sz w:val="24"/>
          <w:szCs w:val="24"/>
        </w:rPr>
        <w:lastRenderedPageBreak/>
        <w:t xml:space="preserve">Word count: </w:t>
      </w:r>
      <w:r w:rsidR="006A0E6C" w:rsidRPr="006E19C7">
        <w:rPr>
          <w:rFonts w:ascii="Times New Roman" w:hAnsi="Times New Roman" w:cs="Times New Roman"/>
          <w:sz w:val="24"/>
          <w:szCs w:val="24"/>
        </w:rPr>
        <w:t>30</w:t>
      </w:r>
      <w:r w:rsidRPr="006E19C7">
        <w:rPr>
          <w:rFonts w:ascii="Times New Roman" w:hAnsi="Times New Roman" w:cs="Times New Roman"/>
          <w:sz w:val="24"/>
          <w:szCs w:val="24"/>
        </w:rPr>
        <w:t>70</w:t>
      </w:r>
    </w:p>
    <w:p w14:paraId="57B9EB59" w14:textId="2789F32F" w:rsidR="00A30A2D" w:rsidRPr="006E19C7" w:rsidRDefault="00A30A2D"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b/>
          <w:sz w:val="24"/>
          <w:szCs w:val="24"/>
        </w:rPr>
        <w:t xml:space="preserve">Keywords: </w:t>
      </w:r>
      <w:r w:rsidRPr="006E19C7">
        <w:rPr>
          <w:rFonts w:ascii="Times New Roman" w:hAnsi="Times New Roman" w:cs="Times New Roman"/>
          <w:sz w:val="24"/>
          <w:szCs w:val="24"/>
        </w:rPr>
        <w:t xml:space="preserve"> Coronary angiography, Non-ST-Elevation acute coronary syndrome, inequalities, mortality</w:t>
      </w:r>
    </w:p>
    <w:p w14:paraId="5F0F81BD" w14:textId="64095987" w:rsidR="00C96322" w:rsidRPr="006E19C7" w:rsidRDefault="00C96322" w:rsidP="00A35E42">
      <w:pPr>
        <w:snapToGrid w:val="0"/>
        <w:spacing w:after="0" w:line="480" w:lineRule="auto"/>
        <w:jc w:val="both"/>
        <w:rPr>
          <w:rFonts w:ascii="Times New Roman" w:hAnsi="Times New Roman" w:cs="Times New Roman"/>
          <w:sz w:val="24"/>
          <w:szCs w:val="24"/>
        </w:rPr>
      </w:pPr>
    </w:p>
    <w:p w14:paraId="79DF1B34" w14:textId="51952B05" w:rsidR="00BF1BE2" w:rsidRPr="006E19C7" w:rsidRDefault="00BF1BE2" w:rsidP="00A35E42">
      <w:pPr>
        <w:snapToGrid w:val="0"/>
        <w:spacing w:after="0" w:line="480" w:lineRule="auto"/>
        <w:jc w:val="both"/>
        <w:rPr>
          <w:rFonts w:ascii="Times New Roman" w:hAnsi="Times New Roman" w:cs="Times New Roman"/>
          <w:b/>
          <w:sz w:val="24"/>
          <w:szCs w:val="24"/>
        </w:rPr>
      </w:pPr>
    </w:p>
    <w:p w14:paraId="62A04085" w14:textId="38D82920" w:rsidR="00443B03" w:rsidRPr="006E19C7" w:rsidRDefault="00443B03" w:rsidP="00A35E42">
      <w:pPr>
        <w:snapToGrid w:val="0"/>
        <w:spacing w:after="0" w:line="480" w:lineRule="auto"/>
        <w:jc w:val="both"/>
        <w:rPr>
          <w:rFonts w:ascii="Times New Roman" w:hAnsi="Times New Roman" w:cs="Times New Roman"/>
          <w:b/>
          <w:sz w:val="24"/>
          <w:szCs w:val="24"/>
        </w:rPr>
      </w:pPr>
    </w:p>
    <w:p w14:paraId="57AE7F4C" w14:textId="296E7932" w:rsidR="00443B03" w:rsidRPr="006E19C7" w:rsidRDefault="00443B03" w:rsidP="00A35E42">
      <w:pPr>
        <w:snapToGrid w:val="0"/>
        <w:spacing w:after="0" w:line="480" w:lineRule="auto"/>
        <w:jc w:val="both"/>
        <w:rPr>
          <w:rFonts w:ascii="Times New Roman" w:hAnsi="Times New Roman" w:cs="Times New Roman"/>
          <w:b/>
          <w:sz w:val="24"/>
          <w:szCs w:val="24"/>
        </w:rPr>
      </w:pPr>
    </w:p>
    <w:p w14:paraId="0E2C4EBB" w14:textId="54D50E0F" w:rsidR="00B21F43" w:rsidRPr="006E19C7" w:rsidRDefault="00B21F43" w:rsidP="00A35E42">
      <w:pPr>
        <w:snapToGrid w:val="0"/>
        <w:spacing w:after="0" w:line="480" w:lineRule="auto"/>
        <w:jc w:val="both"/>
        <w:rPr>
          <w:rFonts w:ascii="Times New Roman" w:hAnsi="Times New Roman" w:cs="Times New Roman"/>
          <w:b/>
          <w:sz w:val="24"/>
          <w:szCs w:val="24"/>
        </w:rPr>
      </w:pPr>
    </w:p>
    <w:p w14:paraId="0C894326" w14:textId="08E1B949" w:rsidR="00B21F43" w:rsidRPr="006E19C7" w:rsidRDefault="00B21F43" w:rsidP="00A35E42">
      <w:pPr>
        <w:snapToGrid w:val="0"/>
        <w:spacing w:after="0" w:line="480" w:lineRule="auto"/>
        <w:jc w:val="both"/>
        <w:rPr>
          <w:rFonts w:ascii="Times New Roman" w:hAnsi="Times New Roman" w:cs="Times New Roman"/>
          <w:b/>
          <w:sz w:val="24"/>
          <w:szCs w:val="24"/>
        </w:rPr>
      </w:pPr>
    </w:p>
    <w:p w14:paraId="568DED00" w14:textId="1DC9FDC8" w:rsidR="00B21F43" w:rsidRPr="006E19C7" w:rsidRDefault="00B21F43" w:rsidP="00A35E42">
      <w:pPr>
        <w:snapToGrid w:val="0"/>
        <w:spacing w:after="0" w:line="480" w:lineRule="auto"/>
        <w:jc w:val="both"/>
        <w:rPr>
          <w:rFonts w:ascii="Times New Roman" w:hAnsi="Times New Roman" w:cs="Times New Roman"/>
          <w:b/>
          <w:sz w:val="24"/>
          <w:szCs w:val="24"/>
        </w:rPr>
      </w:pPr>
    </w:p>
    <w:p w14:paraId="6919A0E5" w14:textId="173E56B9" w:rsidR="00B21F43" w:rsidRPr="006E19C7" w:rsidRDefault="00B21F43" w:rsidP="00A35E42">
      <w:pPr>
        <w:snapToGrid w:val="0"/>
        <w:spacing w:after="0" w:line="480" w:lineRule="auto"/>
        <w:jc w:val="both"/>
        <w:rPr>
          <w:rFonts w:ascii="Times New Roman" w:hAnsi="Times New Roman" w:cs="Times New Roman"/>
          <w:b/>
          <w:sz w:val="24"/>
          <w:szCs w:val="24"/>
        </w:rPr>
      </w:pPr>
    </w:p>
    <w:p w14:paraId="4D91AF67" w14:textId="6902E519" w:rsidR="00B21F43" w:rsidRPr="006E19C7" w:rsidRDefault="00B21F43" w:rsidP="00A35E42">
      <w:pPr>
        <w:snapToGrid w:val="0"/>
        <w:spacing w:after="0" w:line="480" w:lineRule="auto"/>
        <w:jc w:val="both"/>
        <w:rPr>
          <w:rFonts w:ascii="Times New Roman" w:hAnsi="Times New Roman" w:cs="Times New Roman"/>
          <w:b/>
          <w:sz w:val="24"/>
          <w:szCs w:val="24"/>
        </w:rPr>
      </w:pPr>
    </w:p>
    <w:p w14:paraId="2F1BD264" w14:textId="596305CB" w:rsidR="00B21F43" w:rsidRPr="006E19C7" w:rsidRDefault="00B21F43" w:rsidP="00A35E42">
      <w:pPr>
        <w:snapToGrid w:val="0"/>
        <w:spacing w:after="0" w:line="480" w:lineRule="auto"/>
        <w:jc w:val="both"/>
        <w:rPr>
          <w:rFonts w:ascii="Times New Roman" w:hAnsi="Times New Roman" w:cs="Times New Roman"/>
          <w:b/>
          <w:sz w:val="24"/>
          <w:szCs w:val="24"/>
        </w:rPr>
      </w:pPr>
    </w:p>
    <w:p w14:paraId="46E210D1" w14:textId="69ABF41F" w:rsidR="00B21F43" w:rsidRPr="006E19C7" w:rsidRDefault="00B21F43" w:rsidP="00A35E42">
      <w:pPr>
        <w:snapToGrid w:val="0"/>
        <w:spacing w:after="0" w:line="480" w:lineRule="auto"/>
        <w:jc w:val="both"/>
        <w:rPr>
          <w:rFonts w:ascii="Times New Roman" w:hAnsi="Times New Roman" w:cs="Times New Roman"/>
          <w:b/>
          <w:sz w:val="24"/>
          <w:szCs w:val="24"/>
        </w:rPr>
      </w:pPr>
    </w:p>
    <w:p w14:paraId="04C12D12" w14:textId="01EABCEC" w:rsidR="00B21F43" w:rsidRPr="006E19C7" w:rsidRDefault="00B21F43" w:rsidP="00A35E42">
      <w:pPr>
        <w:snapToGrid w:val="0"/>
        <w:spacing w:after="0" w:line="480" w:lineRule="auto"/>
        <w:jc w:val="both"/>
        <w:rPr>
          <w:rFonts w:ascii="Times New Roman" w:hAnsi="Times New Roman" w:cs="Times New Roman"/>
          <w:b/>
          <w:sz w:val="24"/>
          <w:szCs w:val="24"/>
        </w:rPr>
      </w:pPr>
    </w:p>
    <w:p w14:paraId="255E51BF" w14:textId="2E72E614" w:rsidR="00B21F43" w:rsidRPr="006E19C7" w:rsidRDefault="00B21F43" w:rsidP="00A35E42">
      <w:pPr>
        <w:snapToGrid w:val="0"/>
        <w:spacing w:after="0" w:line="480" w:lineRule="auto"/>
        <w:jc w:val="both"/>
        <w:rPr>
          <w:rFonts w:ascii="Times New Roman" w:hAnsi="Times New Roman" w:cs="Times New Roman"/>
          <w:b/>
          <w:sz w:val="24"/>
          <w:szCs w:val="24"/>
        </w:rPr>
      </w:pPr>
    </w:p>
    <w:p w14:paraId="08F16802" w14:textId="302FC6EE" w:rsidR="00B21F43" w:rsidRPr="006E19C7" w:rsidRDefault="00B21F43" w:rsidP="00A35E42">
      <w:pPr>
        <w:snapToGrid w:val="0"/>
        <w:spacing w:after="0" w:line="480" w:lineRule="auto"/>
        <w:jc w:val="both"/>
        <w:rPr>
          <w:rFonts w:ascii="Times New Roman" w:hAnsi="Times New Roman" w:cs="Times New Roman"/>
          <w:b/>
          <w:sz w:val="24"/>
          <w:szCs w:val="24"/>
        </w:rPr>
      </w:pPr>
    </w:p>
    <w:p w14:paraId="33EF66C3" w14:textId="02461991" w:rsidR="00B21F43" w:rsidRPr="006E19C7" w:rsidRDefault="00B21F43" w:rsidP="00A35E42">
      <w:pPr>
        <w:snapToGrid w:val="0"/>
        <w:spacing w:after="0" w:line="480" w:lineRule="auto"/>
        <w:jc w:val="both"/>
        <w:rPr>
          <w:rFonts w:ascii="Times New Roman" w:hAnsi="Times New Roman" w:cs="Times New Roman"/>
          <w:b/>
          <w:sz w:val="24"/>
          <w:szCs w:val="24"/>
        </w:rPr>
      </w:pPr>
    </w:p>
    <w:p w14:paraId="564F712B" w14:textId="40B55FE1" w:rsidR="00B21F43" w:rsidRPr="006E19C7" w:rsidRDefault="00B21F43" w:rsidP="00A35E42">
      <w:pPr>
        <w:snapToGrid w:val="0"/>
        <w:spacing w:after="0" w:line="480" w:lineRule="auto"/>
        <w:jc w:val="both"/>
        <w:rPr>
          <w:rFonts w:ascii="Times New Roman" w:hAnsi="Times New Roman" w:cs="Times New Roman"/>
          <w:b/>
          <w:sz w:val="24"/>
          <w:szCs w:val="24"/>
        </w:rPr>
      </w:pPr>
    </w:p>
    <w:p w14:paraId="092C22BE" w14:textId="7D3D8AFE" w:rsidR="00B21F43" w:rsidRPr="006E19C7" w:rsidRDefault="00B21F43" w:rsidP="00A35E42">
      <w:pPr>
        <w:snapToGrid w:val="0"/>
        <w:spacing w:after="0" w:line="480" w:lineRule="auto"/>
        <w:jc w:val="both"/>
        <w:rPr>
          <w:rFonts w:ascii="Times New Roman" w:hAnsi="Times New Roman" w:cs="Times New Roman"/>
          <w:b/>
          <w:sz w:val="24"/>
          <w:szCs w:val="24"/>
        </w:rPr>
      </w:pPr>
    </w:p>
    <w:p w14:paraId="3D0A266A" w14:textId="497078F7" w:rsidR="00B21F43" w:rsidRPr="006E19C7" w:rsidRDefault="00B21F43" w:rsidP="00A35E42">
      <w:pPr>
        <w:snapToGrid w:val="0"/>
        <w:spacing w:after="0" w:line="480" w:lineRule="auto"/>
        <w:jc w:val="both"/>
        <w:rPr>
          <w:rFonts w:ascii="Times New Roman" w:hAnsi="Times New Roman" w:cs="Times New Roman"/>
          <w:b/>
          <w:sz w:val="24"/>
          <w:szCs w:val="24"/>
        </w:rPr>
      </w:pPr>
    </w:p>
    <w:p w14:paraId="67A7C85F" w14:textId="2ABEC2A0" w:rsidR="00B21F43" w:rsidRPr="006E19C7" w:rsidRDefault="00B21F43" w:rsidP="00A35E42">
      <w:pPr>
        <w:snapToGrid w:val="0"/>
        <w:spacing w:after="0" w:line="480" w:lineRule="auto"/>
        <w:jc w:val="both"/>
        <w:rPr>
          <w:rFonts w:ascii="Times New Roman" w:hAnsi="Times New Roman" w:cs="Times New Roman"/>
          <w:b/>
          <w:sz w:val="24"/>
          <w:szCs w:val="24"/>
        </w:rPr>
      </w:pPr>
    </w:p>
    <w:p w14:paraId="28EAF915" w14:textId="4A069717" w:rsidR="00C103FC" w:rsidRPr="006E19C7" w:rsidRDefault="00C103FC"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 xml:space="preserve">Introduction: </w:t>
      </w:r>
    </w:p>
    <w:p w14:paraId="0413A772" w14:textId="6090BB92" w:rsidR="00535E12" w:rsidRPr="006E19C7" w:rsidRDefault="00654D99"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Non-ST-Elevation acute coronary syndromes </w:t>
      </w:r>
      <w:r w:rsidR="001A0947" w:rsidRPr="006E19C7">
        <w:rPr>
          <w:rFonts w:ascii="Times New Roman" w:hAnsi="Times New Roman" w:cs="Times New Roman"/>
          <w:sz w:val="24"/>
          <w:szCs w:val="24"/>
        </w:rPr>
        <w:t xml:space="preserve">(NSTEACS) </w:t>
      </w:r>
      <w:r w:rsidR="00CA40FC" w:rsidRPr="006E19C7">
        <w:rPr>
          <w:rFonts w:ascii="Times New Roman" w:hAnsi="Times New Roman" w:cs="Times New Roman"/>
          <w:sz w:val="24"/>
          <w:szCs w:val="24"/>
        </w:rPr>
        <w:t>are</w:t>
      </w:r>
      <w:r w:rsidRPr="006E19C7">
        <w:rPr>
          <w:rFonts w:ascii="Times New Roman" w:hAnsi="Times New Roman" w:cs="Times New Roman"/>
          <w:sz w:val="24"/>
          <w:szCs w:val="24"/>
        </w:rPr>
        <w:t xml:space="preserve"> estimated to account for almost </w:t>
      </w:r>
      <w:r w:rsidRPr="006E19C7">
        <w:rPr>
          <w:rFonts w:ascii="Times New Roman" w:hAnsi="Times New Roman" w:cs="Times New Roman"/>
          <w:noProof/>
          <w:sz w:val="24"/>
          <w:szCs w:val="24"/>
        </w:rPr>
        <w:t>two</w:t>
      </w:r>
      <w:r w:rsidR="0044413F" w:rsidRPr="006E19C7">
        <w:rPr>
          <w:rFonts w:ascii="Times New Roman" w:hAnsi="Times New Roman" w:cs="Times New Roman"/>
          <w:noProof/>
          <w:sz w:val="24"/>
          <w:szCs w:val="24"/>
        </w:rPr>
        <w:t>-</w:t>
      </w:r>
      <w:r w:rsidRPr="006E19C7">
        <w:rPr>
          <w:rFonts w:ascii="Times New Roman" w:hAnsi="Times New Roman" w:cs="Times New Roman"/>
          <w:noProof/>
          <w:sz w:val="24"/>
          <w:szCs w:val="24"/>
        </w:rPr>
        <w:t>thirds</w:t>
      </w:r>
      <w:r w:rsidRPr="006E19C7">
        <w:rPr>
          <w:rFonts w:ascii="Times New Roman" w:hAnsi="Times New Roman" w:cs="Times New Roman"/>
          <w:sz w:val="24"/>
          <w:szCs w:val="24"/>
        </w:rPr>
        <w:t xml:space="preserve"> of total hospital admissions for</w:t>
      </w:r>
      <w:r w:rsidR="0044413F" w:rsidRPr="006E19C7">
        <w:rPr>
          <w:rFonts w:ascii="Times New Roman" w:hAnsi="Times New Roman" w:cs="Times New Roman"/>
          <w:sz w:val="24"/>
          <w:szCs w:val="24"/>
        </w:rPr>
        <w:t xml:space="preserve"> an</w:t>
      </w:r>
      <w:r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acute</w:t>
      </w:r>
      <w:r w:rsidRPr="006E19C7">
        <w:rPr>
          <w:rFonts w:ascii="Times New Roman" w:hAnsi="Times New Roman" w:cs="Times New Roman"/>
          <w:sz w:val="24"/>
          <w:szCs w:val="24"/>
        </w:rPr>
        <w:t xml:space="preserve"> </w:t>
      </w:r>
      <w:r w:rsidR="00E02532" w:rsidRPr="006E19C7">
        <w:rPr>
          <w:rFonts w:ascii="Times New Roman" w:hAnsi="Times New Roman" w:cs="Times New Roman"/>
          <w:sz w:val="24"/>
          <w:szCs w:val="24"/>
        </w:rPr>
        <w:t>coronary syndrome</w:t>
      </w:r>
      <w:r w:rsidRPr="006E19C7">
        <w:rPr>
          <w:rFonts w:ascii="Times New Roman" w:hAnsi="Times New Roman" w:cs="Times New Roman"/>
          <w:sz w:val="24"/>
          <w:szCs w:val="24"/>
        </w:rPr>
        <w:t xml:space="preserve"> in</w:t>
      </w:r>
      <w:r w:rsidR="0044413F" w:rsidRPr="006E19C7">
        <w:rPr>
          <w:rFonts w:ascii="Times New Roman" w:hAnsi="Times New Roman" w:cs="Times New Roman"/>
          <w:sz w:val="24"/>
          <w:szCs w:val="24"/>
        </w:rPr>
        <w:t xml:space="preserve"> the</w:t>
      </w:r>
      <w:r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United</w:t>
      </w:r>
      <w:r w:rsidRPr="006E19C7">
        <w:rPr>
          <w:rFonts w:ascii="Times New Roman" w:hAnsi="Times New Roman" w:cs="Times New Roman"/>
          <w:sz w:val="24"/>
          <w:szCs w:val="24"/>
        </w:rPr>
        <w:t xml:space="preserve"> </w:t>
      </w:r>
      <w:r w:rsidRPr="006E19C7">
        <w:rPr>
          <w:rFonts w:ascii="Times New Roman" w:hAnsi="Times New Roman" w:cs="Times New Roman"/>
          <w:sz w:val="24"/>
          <w:szCs w:val="24"/>
        </w:rPr>
        <w:lastRenderedPageBreak/>
        <w:t xml:space="preserve">States and </w:t>
      </w:r>
      <w:r w:rsidR="00F4732E" w:rsidRPr="006E19C7">
        <w:rPr>
          <w:rFonts w:ascii="Times New Roman" w:hAnsi="Times New Roman" w:cs="Times New Roman"/>
          <w:sz w:val="24"/>
          <w:szCs w:val="24"/>
        </w:rPr>
        <w:t>Europe</w:t>
      </w:r>
      <w:r w:rsidR="00A01808"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RW.CITE{{503 Rogers,W.J. 2008; 470 Yeh,RobertW. 2010; 506 Jennings,S.M. 2012; 493 DeLuca,L. 2014}}</w:instrText>
      </w:r>
      <w:r w:rsidR="00A01808"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1-4</w:t>
      </w:r>
      <w:r w:rsidR="00A01808" w:rsidRPr="006E19C7">
        <w:rPr>
          <w:rFonts w:ascii="Times New Roman" w:hAnsi="Times New Roman" w:cs="Times New Roman"/>
          <w:sz w:val="24"/>
          <w:szCs w:val="24"/>
        </w:rPr>
        <w:fldChar w:fldCharType="end"/>
      </w:r>
      <w:r w:rsidR="002F28CA" w:rsidRPr="006E19C7">
        <w:rPr>
          <w:rFonts w:ascii="Times New Roman" w:hAnsi="Times New Roman" w:cs="Times New Roman"/>
          <w:sz w:val="24"/>
          <w:szCs w:val="24"/>
        </w:rPr>
        <w:t xml:space="preserve">. </w:t>
      </w:r>
      <w:r w:rsidR="00715C07" w:rsidRPr="006E19C7">
        <w:rPr>
          <w:rFonts w:ascii="Times New Roman" w:hAnsi="Times New Roman" w:cs="Times New Roman"/>
          <w:sz w:val="24"/>
          <w:szCs w:val="24"/>
        </w:rPr>
        <w:t>Despite</w:t>
      </w:r>
      <w:r w:rsidR="007E3A0E" w:rsidRPr="006E19C7">
        <w:rPr>
          <w:rFonts w:ascii="Times New Roman" w:hAnsi="Times New Roman" w:cs="Times New Roman"/>
          <w:sz w:val="24"/>
          <w:szCs w:val="24"/>
        </w:rPr>
        <w:t xml:space="preserve"> the</w:t>
      </w:r>
      <w:r w:rsidR="00715C07" w:rsidRPr="006E19C7">
        <w:rPr>
          <w:rFonts w:ascii="Times New Roman" w:hAnsi="Times New Roman" w:cs="Times New Roman"/>
          <w:sz w:val="24"/>
          <w:szCs w:val="24"/>
        </w:rPr>
        <w:t xml:space="preserve"> </w:t>
      </w:r>
      <w:r w:rsidR="00715C07" w:rsidRPr="006E19C7">
        <w:rPr>
          <w:rFonts w:ascii="Times New Roman" w:hAnsi="Times New Roman" w:cs="Times New Roman"/>
          <w:noProof/>
          <w:sz w:val="24"/>
          <w:szCs w:val="24"/>
        </w:rPr>
        <w:t>use</w:t>
      </w:r>
      <w:r w:rsidR="00715C07" w:rsidRPr="006E19C7">
        <w:rPr>
          <w:rFonts w:ascii="Times New Roman" w:hAnsi="Times New Roman" w:cs="Times New Roman"/>
          <w:sz w:val="24"/>
          <w:szCs w:val="24"/>
        </w:rPr>
        <w:t xml:space="preserve"> of </w:t>
      </w:r>
      <w:r w:rsidR="00475D33" w:rsidRPr="006E19C7">
        <w:rPr>
          <w:rFonts w:ascii="Times New Roman" w:hAnsi="Times New Roman" w:cs="Times New Roman"/>
          <w:noProof/>
          <w:sz w:val="24"/>
          <w:szCs w:val="24"/>
        </w:rPr>
        <w:t>phar</w:t>
      </w:r>
      <w:r w:rsidR="00715C07" w:rsidRPr="006E19C7">
        <w:rPr>
          <w:rFonts w:ascii="Times New Roman" w:hAnsi="Times New Roman" w:cs="Times New Roman"/>
          <w:noProof/>
          <w:sz w:val="24"/>
          <w:szCs w:val="24"/>
        </w:rPr>
        <w:t>m</w:t>
      </w:r>
      <w:r w:rsidR="00475D33" w:rsidRPr="006E19C7">
        <w:rPr>
          <w:rFonts w:ascii="Times New Roman" w:hAnsi="Times New Roman" w:cs="Times New Roman"/>
          <w:noProof/>
          <w:sz w:val="24"/>
          <w:szCs w:val="24"/>
        </w:rPr>
        <w:t>a</w:t>
      </w:r>
      <w:r w:rsidR="00715C07" w:rsidRPr="006E19C7">
        <w:rPr>
          <w:rFonts w:ascii="Times New Roman" w:hAnsi="Times New Roman" w:cs="Times New Roman"/>
          <w:noProof/>
          <w:sz w:val="24"/>
          <w:szCs w:val="24"/>
        </w:rPr>
        <w:t>coinvasive</w:t>
      </w:r>
      <w:r w:rsidR="00715C07" w:rsidRPr="006E19C7">
        <w:rPr>
          <w:rFonts w:ascii="Times New Roman" w:hAnsi="Times New Roman" w:cs="Times New Roman"/>
          <w:sz w:val="24"/>
          <w:szCs w:val="24"/>
        </w:rPr>
        <w:t xml:space="preserve"> strategies, NSTEACS remains the most vulnerable </w:t>
      </w:r>
      <w:r w:rsidR="00715C07" w:rsidRPr="006E19C7">
        <w:rPr>
          <w:rFonts w:ascii="Times New Roman" w:hAnsi="Times New Roman" w:cs="Times New Roman"/>
          <w:noProof/>
          <w:sz w:val="24"/>
          <w:szCs w:val="24"/>
        </w:rPr>
        <w:t>acu</w:t>
      </w:r>
      <w:r w:rsidR="007E3A0E" w:rsidRPr="006E19C7">
        <w:rPr>
          <w:rFonts w:ascii="Times New Roman" w:hAnsi="Times New Roman" w:cs="Times New Roman"/>
          <w:noProof/>
          <w:sz w:val="24"/>
          <w:szCs w:val="24"/>
        </w:rPr>
        <w:t>te</w:t>
      </w:r>
      <w:r w:rsidR="007E3A0E" w:rsidRPr="006E19C7">
        <w:rPr>
          <w:rFonts w:ascii="Times New Roman" w:hAnsi="Times New Roman" w:cs="Times New Roman"/>
          <w:sz w:val="24"/>
          <w:szCs w:val="24"/>
        </w:rPr>
        <w:t xml:space="preserve"> coronary syndrome </w:t>
      </w:r>
      <w:r w:rsidR="00475D33" w:rsidRPr="006E19C7">
        <w:rPr>
          <w:rFonts w:ascii="Times New Roman" w:hAnsi="Times New Roman" w:cs="Times New Roman"/>
          <w:sz w:val="24"/>
          <w:szCs w:val="24"/>
        </w:rPr>
        <w:t xml:space="preserve">phenotype </w:t>
      </w:r>
      <w:r w:rsidR="007E3A0E" w:rsidRPr="006E19C7">
        <w:rPr>
          <w:rFonts w:ascii="Times New Roman" w:hAnsi="Times New Roman" w:cs="Times New Roman"/>
          <w:sz w:val="24"/>
          <w:szCs w:val="24"/>
        </w:rPr>
        <w:t>with high</w:t>
      </w:r>
      <w:r w:rsidR="00715C07" w:rsidRPr="006E19C7">
        <w:rPr>
          <w:rFonts w:ascii="Times New Roman" w:hAnsi="Times New Roman" w:cs="Times New Roman"/>
          <w:sz w:val="24"/>
          <w:szCs w:val="24"/>
        </w:rPr>
        <w:t xml:space="preserve"> mortality and morbidity</w:t>
      </w:r>
      <w:r w:rsidR="00715C07"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RW.CITE{{509 Chan,M.Y. 2009; 504 McManus,D.D. 2011; 508 Puymirat,E. 2017; 523 Fath-Ordoubadi,F. 2014}}</w:instrText>
      </w:r>
      <w:r w:rsidR="00715C07"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5-8</w:t>
      </w:r>
      <w:r w:rsidR="00715C07" w:rsidRPr="006E19C7">
        <w:rPr>
          <w:rFonts w:ascii="Times New Roman" w:hAnsi="Times New Roman" w:cs="Times New Roman"/>
          <w:sz w:val="24"/>
          <w:szCs w:val="24"/>
        </w:rPr>
        <w:fldChar w:fldCharType="end"/>
      </w:r>
      <w:r w:rsidR="00715C07" w:rsidRPr="006E19C7">
        <w:rPr>
          <w:rFonts w:ascii="Times New Roman" w:hAnsi="Times New Roman" w:cs="Times New Roman"/>
          <w:sz w:val="24"/>
          <w:szCs w:val="24"/>
        </w:rPr>
        <w:t>.</w:t>
      </w:r>
      <w:r w:rsidR="00F13603" w:rsidRPr="006E19C7">
        <w:rPr>
          <w:rFonts w:ascii="Times New Roman" w:hAnsi="Times New Roman" w:cs="Times New Roman"/>
          <w:sz w:val="24"/>
          <w:szCs w:val="24"/>
        </w:rPr>
        <w:t xml:space="preserve">  </w:t>
      </w:r>
      <w:r w:rsidR="00B956C6" w:rsidRPr="006E19C7">
        <w:rPr>
          <w:rFonts w:ascii="Times New Roman" w:hAnsi="Times New Roman" w:cs="Times New Roman"/>
          <w:sz w:val="24"/>
          <w:szCs w:val="24"/>
        </w:rPr>
        <w:t xml:space="preserve">Guidelines </w:t>
      </w:r>
      <w:r w:rsidR="00B956C6" w:rsidRPr="006E19C7">
        <w:rPr>
          <w:rFonts w:ascii="Times New Roman" w:hAnsi="Times New Roman" w:cs="Times New Roman"/>
          <w:noProof/>
          <w:sz w:val="24"/>
          <w:szCs w:val="24"/>
        </w:rPr>
        <w:t>f</w:t>
      </w:r>
      <w:r w:rsidR="00517DD6" w:rsidRPr="006E19C7">
        <w:rPr>
          <w:rFonts w:ascii="Times New Roman" w:hAnsi="Times New Roman" w:cs="Times New Roman"/>
          <w:noProof/>
          <w:sz w:val="24"/>
          <w:szCs w:val="24"/>
        </w:rPr>
        <w:t>rom</w:t>
      </w:r>
      <w:r w:rsidR="00B956C6" w:rsidRPr="006E19C7">
        <w:rPr>
          <w:rFonts w:ascii="Times New Roman" w:hAnsi="Times New Roman" w:cs="Times New Roman"/>
          <w:sz w:val="24"/>
          <w:szCs w:val="24"/>
        </w:rPr>
        <w:t xml:space="preserve"> national bodies</w:t>
      </w:r>
      <w:r w:rsidR="00517DD6" w:rsidRPr="006E19C7">
        <w:rPr>
          <w:rFonts w:ascii="Times New Roman" w:hAnsi="Times New Roman" w:cs="Times New Roman"/>
          <w:sz w:val="24"/>
          <w:szCs w:val="24"/>
        </w:rPr>
        <w:t xml:space="preserve"> emphasize the</w:t>
      </w:r>
      <w:r w:rsidR="00F82D6A" w:rsidRPr="006E19C7">
        <w:rPr>
          <w:rFonts w:ascii="Times New Roman" w:hAnsi="Times New Roman" w:cs="Times New Roman"/>
          <w:sz w:val="24"/>
          <w:szCs w:val="24"/>
        </w:rPr>
        <w:t xml:space="preserve"> </w:t>
      </w:r>
      <w:r w:rsidR="00F82D6A" w:rsidRPr="006E19C7">
        <w:rPr>
          <w:rFonts w:ascii="Times New Roman" w:hAnsi="Times New Roman" w:cs="Times New Roman"/>
          <w:noProof/>
          <w:sz w:val="24"/>
          <w:szCs w:val="24"/>
        </w:rPr>
        <w:t>use</w:t>
      </w:r>
      <w:r w:rsidR="00F82D6A" w:rsidRPr="006E19C7">
        <w:rPr>
          <w:rFonts w:ascii="Times New Roman" w:hAnsi="Times New Roman" w:cs="Times New Roman"/>
          <w:sz w:val="24"/>
          <w:szCs w:val="24"/>
        </w:rPr>
        <w:t xml:space="preserve"> of </w:t>
      </w:r>
      <w:r w:rsidR="00F13603" w:rsidRPr="006E19C7">
        <w:rPr>
          <w:rFonts w:ascii="Times New Roman" w:hAnsi="Times New Roman" w:cs="Times New Roman"/>
          <w:sz w:val="24"/>
          <w:szCs w:val="24"/>
        </w:rPr>
        <w:t>coronary angiography (</w:t>
      </w:r>
      <w:r w:rsidR="00F82D6A" w:rsidRPr="006E19C7">
        <w:rPr>
          <w:rFonts w:ascii="Times New Roman" w:hAnsi="Times New Roman" w:cs="Times New Roman"/>
          <w:sz w:val="24"/>
          <w:szCs w:val="24"/>
        </w:rPr>
        <w:t>CA</w:t>
      </w:r>
      <w:r w:rsidR="00F13603" w:rsidRPr="006E19C7">
        <w:rPr>
          <w:rFonts w:ascii="Times New Roman" w:hAnsi="Times New Roman" w:cs="Times New Roman"/>
          <w:sz w:val="24"/>
          <w:szCs w:val="24"/>
        </w:rPr>
        <w:t>)</w:t>
      </w:r>
      <w:r w:rsidR="00B956C6" w:rsidRPr="006E19C7">
        <w:rPr>
          <w:rFonts w:ascii="Times New Roman" w:hAnsi="Times New Roman" w:cs="Times New Roman"/>
          <w:sz w:val="24"/>
          <w:szCs w:val="24"/>
        </w:rPr>
        <w:t xml:space="preserve"> in patients presenting with NSTEACS particularly in unstable or </w:t>
      </w:r>
      <w:r w:rsidR="00B956C6" w:rsidRPr="006E19C7">
        <w:rPr>
          <w:rFonts w:ascii="Times New Roman" w:hAnsi="Times New Roman" w:cs="Times New Roman"/>
          <w:noProof/>
          <w:sz w:val="24"/>
          <w:szCs w:val="24"/>
        </w:rPr>
        <w:t>high</w:t>
      </w:r>
      <w:r w:rsidR="0044413F" w:rsidRPr="006E19C7">
        <w:rPr>
          <w:rFonts w:ascii="Times New Roman" w:hAnsi="Times New Roman" w:cs="Times New Roman"/>
          <w:noProof/>
          <w:sz w:val="24"/>
          <w:szCs w:val="24"/>
        </w:rPr>
        <w:t>-</w:t>
      </w:r>
      <w:r w:rsidR="00B956C6" w:rsidRPr="006E19C7">
        <w:rPr>
          <w:rFonts w:ascii="Times New Roman" w:hAnsi="Times New Roman" w:cs="Times New Roman"/>
          <w:noProof/>
          <w:sz w:val="24"/>
          <w:szCs w:val="24"/>
        </w:rPr>
        <w:t>risk</w:t>
      </w:r>
      <w:r w:rsidR="00B956C6" w:rsidRPr="006E19C7">
        <w:rPr>
          <w:rFonts w:ascii="Times New Roman" w:hAnsi="Times New Roman" w:cs="Times New Roman"/>
          <w:sz w:val="24"/>
          <w:szCs w:val="24"/>
        </w:rPr>
        <w:t xml:space="preserve"> patients</w:t>
      </w:r>
      <w:r w:rsidR="00FC4CF4"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RW.CITE{{513 Anderson,J.L. 2013; 31 Roffi,M. 2016}}</w:instrText>
      </w:r>
      <w:r w:rsidR="00FC4CF4"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9, 10</w:t>
      </w:r>
      <w:r w:rsidR="00FC4CF4" w:rsidRPr="006E19C7">
        <w:rPr>
          <w:rFonts w:ascii="Times New Roman" w:hAnsi="Times New Roman" w:cs="Times New Roman"/>
          <w:sz w:val="24"/>
          <w:szCs w:val="24"/>
        </w:rPr>
        <w:fldChar w:fldCharType="end"/>
      </w:r>
      <w:r w:rsidR="00535E12" w:rsidRPr="006E19C7">
        <w:rPr>
          <w:rFonts w:ascii="Times New Roman" w:hAnsi="Times New Roman" w:cs="Times New Roman"/>
          <w:sz w:val="24"/>
          <w:szCs w:val="24"/>
        </w:rPr>
        <w:t xml:space="preserve"> with</w:t>
      </w:r>
      <w:r w:rsidR="00517DD6" w:rsidRPr="006E19C7">
        <w:rPr>
          <w:rFonts w:ascii="Times New Roman" w:hAnsi="Times New Roman" w:cs="Times New Roman"/>
          <w:sz w:val="24"/>
          <w:szCs w:val="24"/>
        </w:rPr>
        <w:t xml:space="preserve"> d</w:t>
      </w:r>
      <w:r w:rsidR="008C59B0" w:rsidRPr="006E19C7">
        <w:rPr>
          <w:rFonts w:ascii="Times New Roman" w:hAnsi="Times New Roman" w:cs="Times New Roman"/>
          <w:sz w:val="24"/>
          <w:szCs w:val="24"/>
        </w:rPr>
        <w:t xml:space="preserve">ata from observational and </w:t>
      </w:r>
      <w:r w:rsidR="008C59B0" w:rsidRPr="006E19C7">
        <w:rPr>
          <w:rFonts w:ascii="Times New Roman" w:hAnsi="Times New Roman" w:cs="Times New Roman"/>
          <w:noProof/>
          <w:sz w:val="24"/>
          <w:szCs w:val="24"/>
        </w:rPr>
        <w:t>ran</w:t>
      </w:r>
      <w:r w:rsidR="00F82D6A" w:rsidRPr="006E19C7">
        <w:rPr>
          <w:rFonts w:ascii="Times New Roman" w:hAnsi="Times New Roman" w:cs="Times New Roman"/>
          <w:noProof/>
          <w:sz w:val="24"/>
          <w:szCs w:val="24"/>
        </w:rPr>
        <w:t>domi</w:t>
      </w:r>
      <w:r w:rsidR="0044413F" w:rsidRPr="006E19C7">
        <w:rPr>
          <w:rFonts w:ascii="Times New Roman" w:hAnsi="Times New Roman" w:cs="Times New Roman"/>
          <w:noProof/>
          <w:sz w:val="24"/>
          <w:szCs w:val="24"/>
        </w:rPr>
        <w:t>z</w:t>
      </w:r>
      <w:r w:rsidR="00F82D6A" w:rsidRPr="006E19C7">
        <w:rPr>
          <w:rFonts w:ascii="Times New Roman" w:hAnsi="Times New Roman" w:cs="Times New Roman"/>
          <w:noProof/>
          <w:sz w:val="24"/>
          <w:szCs w:val="24"/>
        </w:rPr>
        <w:t>ed</w:t>
      </w:r>
      <w:r w:rsidR="00F82D6A" w:rsidRPr="006E19C7">
        <w:rPr>
          <w:rFonts w:ascii="Times New Roman" w:hAnsi="Times New Roman" w:cs="Times New Roman"/>
          <w:sz w:val="24"/>
          <w:szCs w:val="24"/>
        </w:rPr>
        <w:t xml:space="preserve"> control trials </w:t>
      </w:r>
      <w:r w:rsidR="00711094" w:rsidRPr="006E19C7">
        <w:rPr>
          <w:rFonts w:ascii="Times New Roman" w:hAnsi="Times New Roman" w:cs="Times New Roman"/>
          <w:sz w:val="24"/>
          <w:szCs w:val="24"/>
        </w:rPr>
        <w:t>demonstrating</w:t>
      </w:r>
      <w:r w:rsidR="009E2025" w:rsidRPr="006E19C7">
        <w:rPr>
          <w:rFonts w:ascii="Times New Roman" w:hAnsi="Times New Roman" w:cs="Times New Roman"/>
          <w:sz w:val="24"/>
          <w:szCs w:val="24"/>
        </w:rPr>
        <w:t xml:space="preserve"> improved outcomes in patients receiving early invasive CA</w:t>
      </w:r>
      <w:r w:rsidR="00FC4CF4"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RW.CITE{{22 Mehta,S.R. 2009; 15 Milosevic,A. 2016}}</w:instrText>
      </w:r>
      <w:r w:rsidR="00FC4CF4"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11, 12</w:t>
      </w:r>
      <w:r w:rsidR="00FC4CF4" w:rsidRPr="006E19C7">
        <w:rPr>
          <w:rFonts w:ascii="Times New Roman" w:hAnsi="Times New Roman" w:cs="Times New Roman"/>
          <w:sz w:val="24"/>
          <w:szCs w:val="24"/>
        </w:rPr>
        <w:fldChar w:fldCharType="end"/>
      </w:r>
      <w:r w:rsidR="00327DD9" w:rsidRPr="006E19C7">
        <w:rPr>
          <w:rFonts w:ascii="Times New Roman" w:hAnsi="Times New Roman" w:cs="Times New Roman"/>
          <w:sz w:val="24"/>
          <w:szCs w:val="24"/>
        </w:rPr>
        <w:t xml:space="preserve">. </w:t>
      </w:r>
    </w:p>
    <w:p w14:paraId="30B655CB" w14:textId="59B59BB7" w:rsidR="007656B0" w:rsidRPr="006E19C7" w:rsidRDefault="00EC7EFD"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Despite the established benefit of </w:t>
      </w:r>
      <w:r w:rsidR="00554996" w:rsidRPr="006E19C7">
        <w:rPr>
          <w:rFonts w:ascii="Times New Roman" w:hAnsi="Times New Roman" w:cs="Times New Roman"/>
          <w:sz w:val="24"/>
          <w:szCs w:val="24"/>
        </w:rPr>
        <w:t xml:space="preserve">an </w:t>
      </w:r>
      <w:r w:rsidRPr="006E19C7">
        <w:rPr>
          <w:rFonts w:ascii="Times New Roman" w:hAnsi="Times New Roman" w:cs="Times New Roman"/>
          <w:sz w:val="24"/>
          <w:szCs w:val="24"/>
        </w:rPr>
        <w:t xml:space="preserve">early invasive strategy in </w:t>
      </w:r>
      <w:r w:rsidR="00FA64C6" w:rsidRPr="006E19C7">
        <w:rPr>
          <w:rFonts w:ascii="Times New Roman" w:hAnsi="Times New Roman" w:cs="Times New Roman"/>
          <w:sz w:val="24"/>
          <w:szCs w:val="24"/>
        </w:rPr>
        <w:t>patients with NSTEACS</w:t>
      </w:r>
      <w:r w:rsidRPr="006E19C7">
        <w:rPr>
          <w:rFonts w:ascii="Times New Roman" w:hAnsi="Times New Roman" w:cs="Times New Roman"/>
          <w:sz w:val="24"/>
          <w:szCs w:val="24"/>
        </w:rPr>
        <w:t xml:space="preserve">, significant variations in </w:t>
      </w:r>
      <w:r w:rsidR="00554996" w:rsidRPr="006E19C7">
        <w:rPr>
          <w:rFonts w:ascii="Times New Roman" w:hAnsi="Times New Roman" w:cs="Times New Roman"/>
          <w:sz w:val="24"/>
          <w:szCs w:val="24"/>
        </w:rPr>
        <w:t xml:space="preserve">the </w:t>
      </w:r>
      <w:r w:rsidRPr="006E19C7">
        <w:rPr>
          <w:rFonts w:ascii="Times New Roman" w:hAnsi="Times New Roman" w:cs="Times New Roman"/>
          <w:sz w:val="24"/>
          <w:szCs w:val="24"/>
        </w:rPr>
        <w:t>utilization of CA both at regional and national level</w:t>
      </w:r>
      <w:r w:rsidR="00F13603" w:rsidRPr="006E19C7">
        <w:rPr>
          <w:rFonts w:ascii="Times New Roman" w:hAnsi="Times New Roman" w:cs="Times New Roman"/>
          <w:sz w:val="24"/>
          <w:szCs w:val="24"/>
        </w:rPr>
        <w:t>s</w:t>
      </w:r>
      <w:r w:rsidR="00DE6B20" w:rsidRPr="006E19C7">
        <w:rPr>
          <w:rFonts w:ascii="Times New Roman" w:hAnsi="Times New Roman" w:cs="Times New Roman"/>
          <w:sz w:val="24"/>
          <w:szCs w:val="24"/>
        </w:rPr>
        <w:t xml:space="preserve"> remain</w:t>
      </w:r>
      <w:r w:rsidRPr="006E19C7">
        <w:rPr>
          <w:rFonts w:ascii="Times New Roman" w:hAnsi="Times New Roman" w:cs="Times New Roman"/>
          <w:sz w:val="24"/>
          <w:szCs w:val="24"/>
        </w:rPr>
        <w:t xml:space="preserve">. </w:t>
      </w:r>
      <w:r w:rsidR="00327DD9" w:rsidRPr="006E19C7">
        <w:rPr>
          <w:rFonts w:ascii="Times New Roman" w:hAnsi="Times New Roman" w:cs="Times New Roman"/>
          <w:sz w:val="24"/>
          <w:szCs w:val="24"/>
        </w:rPr>
        <w:t xml:space="preserve">The </w:t>
      </w:r>
      <w:r w:rsidR="00320D81" w:rsidRPr="006E19C7">
        <w:rPr>
          <w:rFonts w:ascii="Times New Roman" w:hAnsi="Times New Roman" w:cs="Times New Roman"/>
          <w:sz w:val="24"/>
          <w:szCs w:val="24"/>
        </w:rPr>
        <w:t xml:space="preserve">decision to undertake </w:t>
      </w:r>
      <w:r w:rsidR="00DE6B20" w:rsidRPr="006E19C7">
        <w:rPr>
          <w:rFonts w:ascii="Times New Roman" w:hAnsi="Times New Roman" w:cs="Times New Roman"/>
          <w:sz w:val="24"/>
          <w:szCs w:val="24"/>
        </w:rPr>
        <w:t xml:space="preserve">an </w:t>
      </w:r>
      <w:r w:rsidR="00320D81" w:rsidRPr="006E19C7">
        <w:rPr>
          <w:rFonts w:ascii="Times New Roman" w:hAnsi="Times New Roman" w:cs="Times New Roman"/>
          <w:sz w:val="24"/>
          <w:szCs w:val="24"/>
        </w:rPr>
        <w:t>invasive approach</w:t>
      </w:r>
      <w:r w:rsidR="00327DD9" w:rsidRPr="006E19C7">
        <w:rPr>
          <w:rFonts w:ascii="Times New Roman" w:hAnsi="Times New Roman" w:cs="Times New Roman"/>
          <w:sz w:val="24"/>
          <w:szCs w:val="24"/>
        </w:rPr>
        <w:t xml:space="preserve"> in the form of CA followed by </w:t>
      </w:r>
      <w:r w:rsidR="00327DD9" w:rsidRPr="006E19C7">
        <w:rPr>
          <w:rFonts w:ascii="Times New Roman" w:hAnsi="Times New Roman" w:cs="Times New Roman"/>
          <w:noProof/>
          <w:sz w:val="24"/>
          <w:szCs w:val="24"/>
        </w:rPr>
        <w:t>revasculari</w:t>
      </w:r>
      <w:r w:rsidR="00902085" w:rsidRPr="006E19C7">
        <w:rPr>
          <w:rFonts w:ascii="Times New Roman" w:hAnsi="Times New Roman" w:cs="Times New Roman"/>
          <w:noProof/>
          <w:sz w:val="24"/>
          <w:szCs w:val="24"/>
        </w:rPr>
        <w:t>z</w:t>
      </w:r>
      <w:r w:rsidR="00327DD9" w:rsidRPr="006E19C7">
        <w:rPr>
          <w:rFonts w:ascii="Times New Roman" w:hAnsi="Times New Roman" w:cs="Times New Roman"/>
          <w:noProof/>
          <w:sz w:val="24"/>
          <w:szCs w:val="24"/>
        </w:rPr>
        <w:t>ation</w:t>
      </w:r>
      <w:r w:rsidRPr="006E19C7">
        <w:rPr>
          <w:rFonts w:ascii="Times New Roman" w:hAnsi="Times New Roman" w:cs="Times New Roman"/>
          <w:sz w:val="24"/>
          <w:szCs w:val="24"/>
        </w:rPr>
        <w:t xml:space="preserve"> </w:t>
      </w:r>
      <w:r w:rsidR="00320D81" w:rsidRPr="006E19C7">
        <w:rPr>
          <w:rFonts w:ascii="Times New Roman" w:hAnsi="Times New Roman" w:cs="Times New Roman"/>
          <w:sz w:val="24"/>
          <w:szCs w:val="24"/>
        </w:rPr>
        <w:t xml:space="preserve">requires careful consideration of </w:t>
      </w:r>
      <w:r w:rsidR="00F13603" w:rsidRPr="006E19C7">
        <w:rPr>
          <w:rFonts w:ascii="Times New Roman" w:hAnsi="Times New Roman" w:cs="Times New Roman"/>
          <w:sz w:val="24"/>
          <w:szCs w:val="24"/>
        </w:rPr>
        <w:t xml:space="preserve">the </w:t>
      </w:r>
      <w:r w:rsidR="00320D81" w:rsidRPr="006E19C7">
        <w:rPr>
          <w:rFonts w:ascii="Times New Roman" w:hAnsi="Times New Roman" w:cs="Times New Roman"/>
          <w:sz w:val="24"/>
          <w:szCs w:val="24"/>
        </w:rPr>
        <w:t>patient’s baseline risk pro</w:t>
      </w:r>
      <w:r w:rsidR="00A64538" w:rsidRPr="006E19C7">
        <w:rPr>
          <w:rFonts w:ascii="Times New Roman" w:hAnsi="Times New Roman" w:cs="Times New Roman"/>
          <w:sz w:val="24"/>
          <w:szCs w:val="24"/>
        </w:rPr>
        <w:t>file and coexisting</w:t>
      </w:r>
      <w:r w:rsidR="00D70707" w:rsidRPr="006E19C7">
        <w:rPr>
          <w:rFonts w:ascii="Times New Roman" w:hAnsi="Times New Roman" w:cs="Times New Roman"/>
          <w:sz w:val="24"/>
          <w:szCs w:val="24"/>
        </w:rPr>
        <w:t xml:space="preserve"> comorbidities</w:t>
      </w:r>
      <w:r w:rsidR="00954CCA"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RW.CITE{{31 Roffi,M. 2016; 34 Amsterdam,E.A. 2014}}</w:instrText>
      </w:r>
      <w:r w:rsidR="00954CCA"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10, 13</w:t>
      </w:r>
      <w:r w:rsidR="00954CCA" w:rsidRPr="006E19C7">
        <w:rPr>
          <w:rFonts w:ascii="Times New Roman" w:hAnsi="Times New Roman" w:cs="Times New Roman"/>
          <w:sz w:val="24"/>
          <w:szCs w:val="24"/>
        </w:rPr>
        <w:fldChar w:fldCharType="end"/>
      </w:r>
      <w:r w:rsidR="00320D81" w:rsidRPr="006E19C7">
        <w:rPr>
          <w:rFonts w:ascii="Times New Roman" w:hAnsi="Times New Roman" w:cs="Times New Roman"/>
          <w:sz w:val="24"/>
          <w:szCs w:val="24"/>
        </w:rPr>
        <w:t xml:space="preserve">. </w:t>
      </w:r>
      <w:r w:rsidR="00DB265E" w:rsidRPr="006E19C7">
        <w:rPr>
          <w:rFonts w:ascii="Times New Roman" w:hAnsi="Times New Roman" w:cs="Times New Roman"/>
          <w:sz w:val="24"/>
          <w:szCs w:val="24"/>
        </w:rPr>
        <w:t xml:space="preserve">However, there is </w:t>
      </w:r>
      <w:r w:rsidR="00DE6B20" w:rsidRPr="006E19C7">
        <w:rPr>
          <w:rFonts w:ascii="Times New Roman" w:hAnsi="Times New Roman" w:cs="Times New Roman"/>
          <w:sz w:val="24"/>
          <w:szCs w:val="24"/>
        </w:rPr>
        <w:t>li</w:t>
      </w:r>
      <w:r w:rsidR="00256F8D" w:rsidRPr="006E19C7">
        <w:rPr>
          <w:rFonts w:ascii="Times New Roman" w:hAnsi="Times New Roman" w:cs="Times New Roman"/>
          <w:sz w:val="24"/>
          <w:szCs w:val="24"/>
        </w:rPr>
        <w:t>mited</w:t>
      </w:r>
      <w:r w:rsidR="00DE6B20" w:rsidRPr="006E19C7">
        <w:rPr>
          <w:rFonts w:ascii="Times New Roman" w:hAnsi="Times New Roman" w:cs="Times New Roman"/>
          <w:sz w:val="24"/>
          <w:szCs w:val="24"/>
        </w:rPr>
        <w:t xml:space="preserve"> data</w:t>
      </w:r>
      <w:r w:rsidR="00DB265E" w:rsidRPr="006E19C7">
        <w:rPr>
          <w:rFonts w:ascii="Times New Roman" w:hAnsi="Times New Roman" w:cs="Times New Roman"/>
          <w:sz w:val="24"/>
          <w:szCs w:val="24"/>
        </w:rPr>
        <w:t xml:space="preserve"> </w:t>
      </w:r>
      <w:r w:rsidR="00DE6B20" w:rsidRPr="006E19C7">
        <w:rPr>
          <w:rFonts w:ascii="Times New Roman" w:hAnsi="Times New Roman" w:cs="Times New Roman"/>
          <w:sz w:val="24"/>
          <w:szCs w:val="24"/>
        </w:rPr>
        <w:t xml:space="preserve">from </w:t>
      </w:r>
      <w:r w:rsidR="00DB265E" w:rsidRPr="006E19C7">
        <w:rPr>
          <w:rFonts w:ascii="Times New Roman" w:hAnsi="Times New Roman" w:cs="Times New Roman"/>
          <w:sz w:val="24"/>
          <w:szCs w:val="24"/>
        </w:rPr>
        <w:t xml:space="preserve">contemporary </w:t>
      </w:r>
      <w:r w:rsidR="0074334F" w:rsidRPr="006E19C7">
        <w:rPr>
          <w:rFonts w:ascii="Times New Roman" w:hAnsi="Times New Roman" w:cs="Times New Roman"/>
          <w:sz w:val="24"/>
          <w:szCs w:val="24"/>
        </w:rPr>
        <w:t xml:space="preserve">national </w:t>
      </w:r>
      <w:r w:rsidR="007717BF" w:rsidRPr="006E19C7">
        <w:rPr>
          <w:rFonts w:ascii="Times New Roman" w:hAnsi="Times New Roman" w:cs="Times New Roman"/>
          <w:sz w:val="24"/>
          <w:szCs w:val="24"/>
        </w:rPr>
        <w:t>population</w:t>
      </w:r>
      <w:r w:rsidR="00FA64C6" w:rsidRPr="006E19C7">
        <w:rPr>
          <w:rFonts w:ascii="Times New Roman" w:hAnsi="Times New Roman" w:cs="Times New Roman"/>
          <w:sz w:val="24"/>
          <w:szCs w:val="24"/>
        </w:rPr>
        <w:t xml:space="preserve">s </w:t>
      </w:r>
      <w:r w:rsidR="00F13603" w:rsidRPr="006E19C7">
        <w:rPr>
          <w:rFonts w:ascii="Times New Roman" w:hAnsi="Times New Roman" w:cs="Times New Roman"/>
          <w:sz w:val="24"/>
          <w:szCs w:val="24"/>
        </w:rPr>
        <w:t xml:space="preserve">on </w:t>
      </w:r>
      <w:r w:rsidR="0074334F" w:rsidRPr="006E19C7">
        <w:rPr>
          <w:rFonts w:ascii="Times New Roman" w:hAnsi="Times New Roman" w:cs="Times New Roman"/>
          <w:sz w:val="24"/>
          <w:szCs w:val="24"/>
        </w:rPr>
        <w:t>how patient’</w:t>
      </w:r>
      <w:r w:rsidR="00256F8D" w:rsidRPr="006E19C7">
        <w:rPr>
          <w:rFonts w:ascii="Times New Roman" w:hAnsi="Times New Roman" w:cs="Times New Roman"/>
          <w:sz w:val="24"/>
          <w:szCs w:val="24"/>
        </w:rPr>
        <w:t>s baseline risk profile and coexisting comorbidities have changed over time</w:t>
      </w:r>
      <w:r w:rsidR="0074334F" w:rsidRPr="006E19C7">
        <w:rPr>
          <w:rFonts w:ascii="Times New Roman" w:hAnsi="Times New Roman" w:cs="Times New Roman"/>
          <w:sz w:val="24"/>
          <w:szCs w:val="24"/>
        </w:rPr>
        <w:t xml:space="preserve">, and </w:t>
      </w:r>
      <w:r w:rsidR="00FC2C5F" w:rsidRPr="006E19C7">
        <w:rPr>
          <w:rFonts w:ascii="Times New Roman" w:hAnsi="Times New Roman" w:cs="Times New Roman"/>
          <w:sz w:val="24"/>
          <w:szCs w:val="24"/>
        </w:rPr>
        <w:t xml:space="preserve">in particular how these </w:t>
      </w:r>
      <w:r w:rsidR="00874F92" w:rsidRPr="006E19C7">
        <w:rPr>
          <w:rFonts w:ascii="Times New Roman" w:hAnsi="Times New Roman" w:cs="Times New Roman"/>
          <w:sz w:val="24"/>
          <w:szCs w:val="24"/>
        </w:rPr>
        <w:t>may have influenced CA practice in</w:t>
      </w:r>
      <w:r w:rsidR="007E3A0E" w:rsidRPr="006E19C7">
        <w:rPr>
          <w:rFonts w:ascii="Times New Roman" w:hAnsi="Times New Roman" w:cs="Times New Roman"/>
          <w:sz w:val="24"/>
          <w:szCs w:val="24"/>
        </w:rPr>
        <w:t xml:space="preserve"> the</w:t>
      </w:r>
      <w:r w:rsidR="00874F92" w:rsidRPr="006E19C7">
        <w:rPr>
          <w:rFonts w:ascii="Times New Roman" w:hAnsi="Times New Roman" w:cs="Times New Roman"/>
          <w:sz w:val="24"/>
          <w:szCs w:val="24"/>
        </w:rPr>
        <w:t xml:space="preserve"> </w:t>
      </w:r>
      <w:r w:rsidR="00874F92" w:rsidRPr="006E19C7">
        <w:rPr>
          <w:rFonts w:ascii="Times New Roman" w:hAnsi="Times New Roman" w:cs="Times New Roman"/>
          <w:noProof/>
          <w:sz w:val="24"/>
          <w:szCs w:val="24"/>
        </w:rPr>
        <w:t>real world</w:t>
      </w:r>
      <w:r w:rsidR="00874F92" w:rsidRPr="006E19C7">
        <w:rPr>
          <w:rFonts w:ascii="Times New Roman" w:hAnsi="Times New Roman" w:cs="Times New Roman"/>
          <w:sz w:val="24"/>
          <w:szCs w:val="24"/>
        </w:rPr>
        <w:t xml:space="preserve"> setting.</w:t>
      </w:r>
      <w:r w:rsidR="00FC2C5F" w:rsidRPr="006E19C7">
        <w:rPr>
          <w:rFonts w:ascii="Times New Roman" w:hAnsi="Times New Roman" w:cs="Times New Roman"/>
          <w:sz w:val="24"/>
          <w:szCs w:val="24"/>
        </w:rPr>
        <w:t xml:space="preserve"> </w:t>
      </w:r>
    </w:p>
    <w:p w14:paraId="269EC260" w14:textId="60CECB2D" w:rsidR="007656B0" w:rsidRPr="006E19C7" w:rsidRDefault="00710F3C"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In this </w:t>
      </w:r>
      <w:r w:rsidRPr="006E19C7">
        <w:rPr>
          <w:rFonts w:ascii="Times New Roman" w:hAnsi="Times New Roman" w:cs="Times New Roman"/>
          <w:noProof/>
          <w:sz w:val="24"/>
          <w:szCs w:val="24"/>
        </w:rPr>
        <w:t>study</w:t>
      </w:r>
      <w:r w:rsidR="00783F7E" w:rsidRPr="006E19C7">
        <w:rPr>
          <w:rFonts w:ascii="Times New Roman" w:hAnsi="Times New Roman" w:cs="Times New Roman"/>
          <w:noProof/>
          <w:sz w:val="24"/>
          <w:szCs w:val="24"/>
        </w:rPr>
        <w:t>,</w:t>
      </w:r>
      <w:r w:rsidRPr="006E19C7">
        <w:rPr>
          <w:rFonts w:ascii="Times New Roman" w:hAnsi="Times New Roman" w:cs="Times New Roman"/>
          <w:sz w:val="24"/>
          <w:szCs w:val="24"/>
        </w:rPr>
        <w:t xml:space="preserve"> we used </w:t>
      </w:r>
      <w:r w:rsidR="00EE5AD1" w:rsidRPr="006E19C7">
        <w:rPr>
          <w:rFonts w:ascii="Times New Roman" w:hAnsi="Times New Roman" w:cs="Times New Roman"/>
          <w:sz w:val="24"/>
          <w:szCs w:val="24"/>
        </w:rPr>
        <w:t xml:space="preserve">the </w:t>
      </w:r>
      <w:r w:rsidRPr="006E19C7">
        <w:rPr>
          <w:rFonts w:ascii="Times New Roman" w:hAnsi="Times New Roman" w:cs="Times New Roman"/>
          <w:sz w:val="24"/>
          <w:szCs w:val="24"/>
        </w:rPr>
        <w:t>National Inpatient Sample (NI</w:t>
      </w:r>
      <w:r w:rsidR="00D70707" w:rsidRPr="006E19C7">
        <w:rPr>
          <w:rFonts w:ascii="Times New Roman" w:hAnsi="Times New Roman" w:cs="Times New Roman"/>
          <w:sz w:val="24"/>
          <w:szCs w:val="24"/>
        </w:rPr>
        <w:t xml:space="preserve">S) database to </w:t>
      </w:r>
      <w:r w:rsidR="00711094" w:rsidRPr="006E19C7">
        <w:rPr>
          <w:rFonts w:ascii="Times New Roman" w:hAnsi="Times New Roman" w:cs="Times New Roman"/>
          <w:sz w:val="24"/>
          <w:szCs w:val="24"/>
        </w:rPr>
        <w:t>explore</w:t>
      </w:r>
      <w:r w:rsidR="00D70707" w:rsidRPr="006E19C7">
        <w:rPr>
          <w:rFonts w:ascii="Times New Roman" w:hAnsi="Times New Roman" w:cs="Times New Roman"/>
          <w:sz w:val="24"/>
          <w:szCs w:val="24"/>
        </w:rPr>
        <w:t xml:space="preserve"> the </w:t>
      </w:r>
      <w:r w:rsidR="006B460F" w:rsidRPr="006E19C7">
        <w:rPr>
          <w:rFonts w:ascii="Times New Roman" w:hAnsi="Times New Roman" w:cs="Times New Roman"/>
          <w:sz w:val="24"/>
          <w:szCs w:val="24"/>
        </w:rPr>
        <w:t>secular</w:t>
      </w:r>
      <w:r w:rsidR="000E07D3" w:rsidRPr="006E19C7">
        <w:rPr>
          <w:rFonts w:ascii="Times New Roman" w:hAnsi="Times New Roman" w:cs="Times New Roman"/>
          <w:sz w:val="24"/>
          <w:szCs w:val="24"/>
        </w:rPr>
        <w:t xml:space="preserve"> </w:t>
      </w:r>
      <w:r w:rsidR="007656B0" w:rsidRPr="006E19C7">
        <w:rPr>
          <w:rFonts w:ascii="Times New Roman" w:hAnsi="Times New Roman" w:cs="Times New Roman"/>
          <w:sz w:val="24"/>
          <w:szCs w:val="24"/>
        </w:rPr>
        <w:t>trends in</w:t>
      </w:r>
      <w:r w:rsidRPr="006E19C7">
        <w:rPr>
          <w:rFonts w:ascii="Times New Roman" w:hAnsi="Times New Roman" w:cs="Times New Roman"/>
          <w:sz w:val="24"/>
          <w:szCs w:val="24"/>
        </w:rPr>
        <w:t xml:space="preserve"> </w:t>
      </w:r>
      <w:r w:rsidR="006B460F" w:rsidRPr="006E19C7">
        <w:rPr>
          <w:rFonts w:ascii="Times New Roman" w:hAnsi="Times New Roman" w:cs="Times New Roman"/>
          <w:sz w:val="24"/>
          <w:szCs w:val="24"/>
        </w:rPr>
        <w:t xml:space="preserve">utilization </w:t>
      </w:r>
      <w:r w:rsidR="007656B0" w:rsidRPr="006E19C7">
        <w:rPr>
          <w:rFonts w:ascii="Times New Roman" w:hAnsi="Times New Roman" w:cs="Times New Roman"/>
          <w:sz w:val="24"/>
          <w:szCs w:val="24"/>
        </w:rPr>
        <w:t>of CA in</w:t>
      </w:r>
      <w:r w:rsidR="00A64538" w:rsidRPr="006E19C7">
        <w:rPr>
          <w:rFonts w:ascii="Times New Roman" w:hAnsi="Times New Roman" w:cs="Times New Roman"/>
          <w:sz w:val="24"/>
          <w:szCs w:val="24"/>
        </w:rPr>
        <w:t xml:space="preserve"> NSTEACS</w:t>
      </w:r>
      <w:r w:rsidR="006B460F" w:rsidRPr="006E19C7">
        <w:rPr>
          <w:rFonts w:ascii="Times New Roman" w:hAnsi="Times New Roman" w:cs="Times New Roman"/>
          <w:sz w:val="24"/>
          <w:szCs w:val="24"/>
        </w:rPr>
        <w:t xml:space="preserve"> patients. We investigate</w:t>
      </w:r>
      <w:r w:rsidR="00711094" w:rsidRPr="006E19C7">
        <w:rPr>
          <w:rFonts w:ascii="Times New Roman" w:hAnsi="Times New Roman" w:cs="Times New Roman"/>
          <w:sz w:val="24"/>
          <w:szCs w:val="24"/>
        </w:rPr>
        <w:t>d</w:t>
      </w:r>
      <w:r w:rsidR="006B460F" w:rsidRPr="006E19C7">
        <w:rPr>
          <w:rFonts w:ascii="Times New Roman" w:hAnsi="Times New Roman" w:cs="Times New Roman"/>
          <w:sz w:val="24"/>
          <w:szCs w:val="24"/>
        </w:rPr>
        <w:t xml:space="preserve"> if the receipt of CA </w:t>
      </w:r>
      <w:r w:rsidR="00F13603" w:rsidRPr="006E19C7">
        <w:rPr>
          <w:rFonts w:ascii="Times New Roman" w:hAnsi="Times New Roman" w:cs="Times New Roman"/>
          <w:sz w:val="24"/>
          <w:szCs w:val="24"/>
        </w:rPr>
        <w:t xml:space="preserve">in contemporary practice </w:t>
      </w:r>
      <w:r w:rsidR="00433F09" w:rsidRPr="006E19C7">
        <w:rPr>
          <w:rFonts w:ascii="Times New Roman" w:hAnsi="Times New Roman" w:cs="Times New Roman"/>
          <w:sz w:val="24"/>
          <w:szCs w:val="24"/>
        </w:rPr>
        <w:t xml:space="preserve">differs </w:t>
      </w:r>
      <w:r w:rsidR="006B460F" w:rsidRPr="006E19C7">
        <w:rPr>
          <w:rFonts w:ascii="Times New Roman" w:hAnsi="Times New Roman" w:cs="Times New Roman"/>
          <w:sz w:val="24"/>
          <w:szCs w:val="24"/>
        </w:rPr>
        <w:t xml:space="preserve">in patients </w:t>
      </w:r>
      <w:r w:rsidR="007656B0" w:rsidRPr="006E19C7">
        <w:rPr>
          <w:rFonts w:ascii="Times New Roman" w:hAnsi="Times New Roman" w:cs="Times New Roman"/>
          <w:sz w:val="24"/>
          <w:szCs w:val="24"/>
        </w:rPr>
        <w:t xml:space="preserve">stratified according to age, </w:t>
      </w:r>
      <w:r w:rsidR="004A686E" w:rsidRPr="006E19C7">
        <w:rPr>
          <w:rFonts w:ascii="Times New Roman" w:hAnsi="Times New Roman" w:cs="Times New Roman"/>
          <w:sz w:val="24"/>
          <w:szCs w:val="24"/>
        </w:rPr>
        <w:t>sex</w:t>
      </w:r>
      <w:r w:rsidR="007656B0" w:rsidRPr="006E19C7">
        <w:rPr>
          <w:rFonts w:ascii="Times New Roman" w:hAnsi="Times New Roman" w:cs="Times New Roman"/>
          <w:sz w:val="24"/>
          <w:szCs w:val="24"/>
        </w:rPr>
        <w:t xml:space="preserve">, ethnicity, </w:t>
      </w:r>
      <w:r w:rsidR="00AF0820" w:rsidRPr="006E19C7">
        <w:rPr>
          <w:rFonts w:ascii="Times New Roman" w:hAnsi="Times New Roman" w:cs="Times New Roman"/>
          <w:sz w:val="24"/>
          <w:szCs w:val="24"/>
        </w:rPr>
        <w:t>and comorbidity</w:t>
      </w:r>
      <w:r w:rsidR="007656B0" w:rsidRPr="006E19C7">
        <w:rPr>
          <w:rFonts w:ascii="Times New Roman" w:hAnsi="Times New Roman" w:cs="Times New Roman"/>
          <w:sz w:val="24"/>
          <w:szCs w:val="24"/>
        </w:rPr>
        <w:t xml:space="preserve"> burden and hospital characteristics</w:t>
      </w:r>
      <w:r w:rsidRPr="006E19C7">
        <w:rPr>
          <w:rFonts w:ascii="Times New Roman" w:hAnsi="Times New Roman" w:cs="Times New Roman"/>
          <w:sz w:val="24"/>
          <w:szCs w:val="24"/>
        </w:rPr>
        <w:t xml:space="preserve">. We also </w:t>
      </w:r>
      <w:r w:rsidR="00364640" w:rsidRPr="006E19C7">
        <w:rPr>
          <w:rFonts w:ascii="Times New Roman" w:hAnsi="Times New Roman" w:cs="Times New Roman"/>
          <w:sz w:val="24"/>
          <w:szCs w:val="24"/>
        </w:rPr>
        <w:t>examined predictors</w:t>
      </w:r>
      <w:r w:rsidR="00EC7EFD" w:rsidRPr="006E19C7">
        <w:rPr>
          <w:rFonts w:ascii="Times New Roman" w:hAnsi="Times New Roman" w:cs="Times New Roman"/>
          <w:sz w:val="24"/>
          <w:szCs w:val="24"/>
        </w:rPr>
        <w:t xml:space="preserve"> </w:t>
      </w:r>
      <w:r w:rsidR="00364640" w:rsidRPr="006E19C7">
        <w:rPr>
          <w:rFonts w:ascii="Times New Roman" w:hAnsi="Times New Roman" w:cs="Times New Roman"/>
          <w:sz w:val="24"/>
          <w:szCs w:val="24"/>
        </w:rPr>
        <w:t>of CA</w:t>
      </w:r>
      <w:r w:rsidR="00EC7EFD" w:rsidRPr="006E19C7">
        <w:rPr>
          <w:rFonts w:ascii="Times New Roman" w:hAnsi="Times New Roman" w:cs="Times New Roman"/>
          <w:sz w:val="24"/>
          <w:szCs w:val="24"/>
        </w:rPr>
        <w:t xml:space="preserve"> and </w:t>
      </w:r>
      <w:r w:rsidR="00803926" w:rsidRPr="006E19C7">
        <w:rPr>
          <w:rFonts w:ascii="Times New Roman" w:hAnsi="Times New Roman" w:cs="Times New Roman"/>
          <w:sz w:val="24"/>
          <w:szCs w:val="24"/>
        </w:rPr>
        <w:t xml:space="preserve">the </w:t>
      </w:r>
      <w:r w:rsidRPr="006E19C7">
        <w:rPr>
          <w:rFonts w:ascii="Times New Roman" w:hAnsi="Times New Roman" w:cs="Times New Roman"/>
          <w:sz w:val="24"/>
          <w:szCs w:val="24"/>
        </w:rPr>
        <w:t xml:space="preserve">association between use of </w:t>
      </w:r>
      <w:r w:rsidR="007656B0" w:rsidRPr="006E19C7">
        <w:rPr>
          <w:rFonts w:ascii="Times New Roman" w:hAnsi="Times New Roman" w:cs="Times New Roman"/>
          <w:sz w:val="24"/>
          <w:szCs w:val="24"/>
        </w:rPr>
        <w:t xml:space="preserve">CA </w:t>
      </w:r>
      <w:r w:rsidR="00AF0820" w:rsidRPr="006E19C7">
        <w:rPr>
          <w:rFonts w:ascii="Times New Roman" w:hAnsi="Times New Roman" w:cs="Times New Roman"/>
          <w:sz w:val="24"/>
          <w:szCs w:val="24"/>
        </w:rPr>
        <w:t>and clinical</w:t>
      </w:r>
      <w:r w:rsidRPr="006E19C7">
        <w:rPr>
          <w:rFonts w:ascii="Times New Roman" w:hAnsi="Times New Roman" w:cs="Times New Roman"/>
          <w:sz w:val="24"/>
          <w:szCs w:val="24"/>
        </w:rPr>
        <w:t xml:space="preserve"> outcomes. </w:t>
      </w:r>
    </w:p>
    <w:p w14:paraId="176ED7EA" w14:textId="77777777" w:rsidR="00902615" w:rsidRPr="006E19C7" w:rsidRDefault="00902615" w:rsidP="00A35E42">
      <w:pPr>
        <w:snapToGrid w:val="0"/>
        <w:spacing w:after="0" w:line="480" w:lineRule="auto"/>
        <w:jc w:val="both"/>
        <w:rPr>
          <w:rFonts w:ascii="Times New Roman" w:hAnsi="Times New Roman" w:cs="Times New Roman"/>
          <w:sz w:val="24"/>
          <w:szCs w:val="24"/>
        </w:rPr>
      </w:pPr>
    </w:p>
    <w:p w14:paraId="3393A28F" w14:textId="77777777" w:rsidR="00D52A49" w:rsidRPr="006E19C7" w:rsidRDefault="00634AAE"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 xml:space="preserve">Methods: </w:t>
      </w:r>
    </w:p>
    <w:p w14:paraId="41D01EF1" w14:textId="77777777" w:rsidR="00634AAE" w:rsidRPr="006E19C7" w:rsidRDefault="00634AAE"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Study settings:</w:t>
      </w:r>
    </w:p>
    <w:p w14:paraId="3FBBC465" w14:textId="321DC278" w:rsidR="002F6384" w:rsidRPr="006E19C7" w:rsidRDefault="00634AAE" w:rsidP="009644EA">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NIS is the largest </w:t>
      </w:r>
      <w:r w:rsidR="00400969" w:rsidRPr="006E19C7">
        <w:rPr>
          <w:rFonts w:ascii="Times New Roman" w:hAnsi="Times New Roman" w:cs="Times New Roman"/>
          <w:sz w:val="24"/>
          <w:szCs w:val="24"/>
        </w:rPr>
        <w:t xml:space="preserve">publically available </w:t>
      </w:r>
      <w:r w:rsidRPr="006E19C7">
        <w:rPr>
          <w:rFonts w:ascii="Times New Roman" w:hAnsi="Times New Roman" w:cs="Times New Roman"/>
          <w:sz w:val="24"/>
          <w:szCs w:val="24"/>
        </w:rPr>
        <w:t xml:space="preserve">all-payer inpatient </w:t>
      </w:r>
      <w:r w:rsidRPr="006E19C7">
        <w:rPr>
          <w:rFonts w:ascii="Times New Roman" w:hAnsi="Times New Roman" w:cs="Times New Roman"/>
          <w:noProof/>
          <w:sz w:val="24"/>
          <w:szCs w:val="24"/>
        </w:rPr>
        <w:t>healthcare</w:t>
      </w:r>
      <w:r w:rsidRPr="006E19C7">
        <w:rPr>
          <w:rFonts w:ascii="Times New Roman" w:hAnsi="Times New Roman" w:cs="Times New Roman"/>
          <w:sz w:val="24"/>
          <w:szCs w:val="24"/>
        </w:rPr>
        <w:t xml:space="preserve"> database, developed by Healthcare Cost and Utilization Project (HCUP</w:t>
      </w:r>
      <w:r w:rsidR="00AF0820" w:rsidRPr="006E19C7">
        <w:rPr>
          <w:rFonts w:ascii="Times New Roman" w:hAnsi="Times New Roman" w:cs="Times New Roman"/>
          <w:sz w:val="24"/>
          <w:szCs w:val="24"/>
        </w:rPr>
        <w:t>)</w:t>
      </w:r>
      <w:r w:rsidR="00DB2CFF"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RW.CITE{{551 [NoInformation] 2018}}</w:instrText>
      </w:r>
      <w:r w:rsidR="00DB2CFF" w:rsidRPr="006E19C7">
        <w:rPr>
          <w:rFonts w:ascii="Times New Roman" w:hAnsi="Times New Roman" w:cs="Times New Roman"/>
          <w:sz w:val="24"/>
          <w:szCs w:val="24"/>
        </w:rPr>
        <w:fldChar w:fldCharType="separate"/>
      </w:r>
      <w:r w:rsidR="00EC1CDB" w:rsidRPr="006E19C7">
        <w:rPr>
          <w:rFonts w:ascii="Times New Roman" w:hAnsi="Times New Roman" w:cs="Times New Roman"/>
          <w:bCs/>
          <w:sz w:val="24"/>
          <w:szCs w:val="24"/>
          <w:vertAlign w:val="superscript"/>
          <w:lang w:val="en-US"/>
        </w:rPr>
        <w:t>14</w:t>
      </w:r>
      <w:r w:rsidR="00DB2CFF" w:rsidRPr="006E19C7">
        <w:rPr>
          <w:rFonts w:ascii="Times New Roman" w:hAnsi="Times New Roman" w:cs="Times New Roman"/>
          <w:sz w:val="24"/>
          <w:szCs w:val="24"/>
        </w:rPr>
        <w:fldChar w:fldCharType="end"/>
      </w:r>
      <w:r w:rsidR="00AF0820" w:rsidRPr="006E19C7">
        <w:rPr>
          <w:rFonts w:ascii="Times New Roman" w:hAnsi="Times New Roman" w:cs="Times New Roman"/>
          <w:sz w:val="24"/>
          <w:szCs w:val="24"/>
        </w:rPr>
        <w:t>, which</w:t>
      </w:r>
      <w:r w:rsidRPr="006E19C7">
        <w:rPr>
          <w:rFonts w:ascii="Times New Roman" w:hAnsi="Times New Roman" w:cs="Times New Roman"/>
          <w:sz w:val="24"/>
          <w:szCs w:val="24"/>
        </w:rPr>
        <w:t xml:space="preserve"> is sponsored by the Agency for Healthcare Research and Quality (AHRQ).</w:t>
      </w:r>
      <w:r w:rsidR="00C40F31" w:rsidRPr="006E19C7">
        <w:rPr>
          <w:rFonts w:ascii="Times New Roman" w:hAnsi="Times New Roman" w:cs="Times New Roman"/>
          <w:sz w:val="24"/>
          <w:szCs w:val="24"/>
        </w:rPr>
        <w:t xml:space="preserve"> NIS collects</w:t>
      </w:r>
      <w:r w:rsidR="007B664F" w:rsidRPr="006E19C7">
        <w:rPr>
          <w:rFonts w:ascii="Times New Roman" w:hAnsi="Times New Roman" w:cs="Times New Roman"/>
          <w:sz w:val="24"/>
          <w:szCs w:val="24"/>
        </w:rPr>
        <w:t xml:space="preserve"> discharge level data from approximately 1000</w:t>
      </w:r>
      <w:r w:rsidR="00C40F31" w:rsidRPr="006E19C7">
        <w:rPr>
          <w:rFonts w:ascii="Times New Roman" w:hAnsi="Times New Roman" w:cs="Times New Roman"/>
          <w:sz w:val="24"/>
          <w:szCs w:val="24"/>
        </w:rPr>
        <w:t xml:space="preserve"> hospitals</w:t>
      </w:r>
      <w:r w:rsidR="00824754" w:rsidRPr="006E19C7">
        <w:rPr>
          <w:rFonts w:ascii="Times New Roman" w:hAnsi="Times New Roman" w:cs="Times New Roman"/>
          <w:sz w:val="24"/>
          <w:szCs w:val="24"/>
        </w:rPr>
        <w:t xml:space="preserve">, </w:t>
      </w:r>
      <w:r w:rsidR="00AF0820" w:rsidRPr="006E19C7">
        <w:rPr>
          <w:rFonts w:ascii="Times New Roman" w:hAnsi="Times New Roman" w:cs="Times New Roman"/>
          <w:sz w:val="24"/>
          <w:szCs w:val="24"/>
        </w:rPr>
        <w:t>including 20</w:t>
      </w:r>
      <w:r w:rsidR="000F3A51" w:rsidRPr="006E19C7">
        <w:rPr>
          <w:rFonts w:ascii="Times New Roman" w:hAnsi="Times New Roman" w:cs="Times New Roman"/>
          <w:sz w:val="24"/>
          <w:szCs w:val="24"/>
        </w:rPr>
        <w:t>% of all community hospital in</w:t>
      </w:r>
      <w:r w:rsidR="00783F7E" w:rsidRPr="006E19C7">
        <w:rPr>
          <w:rFonts w:ascii="Times New Roman" w:hAnsi="Times New Roman" w:cs="Times New Roman"/>
          <w:sz w:val="24"/>
          <w:szCs w:val="24"/>
        </w:rPr>
        <w:t xml:space="preserve"> the</w:t>
      </w:r>
      <w:r w:rsidR="000F3A51" w:rsidRPr="006E19C7">
        <w:rPr>
          <w:rFonts w:ascii="Times New Roman" w:hAnsi="Times New Roman" w:cs="Times New Roman"/>
          <w:sz w:val="24"/>
          <w:szCs w:val="24"/>
        </w:rPr>
        <w:t xml:space="preserve"> </w:t>
      </w:r>
      <w:r w:rsidR="000F3A51" w:rsidRPr="006E19C7">
        <w:rPr>
          <w:rFonts w:ascii="Times New Roman" w:hAnsi="Times New Roman" w:cs="Times New Roman"/>
          <w:noProof/>
          <w:sz w:val="24"/>
          <w:szCs w:val="24"/>
        </w:rPr>
        <w:t>US</w:t>
      </w:r>
      <w:r w:rsidR="00B4584D" w:rsidRPr="006E19C7">
        <w:rPr>
          <w:rFonts w:ascii="Times New Roman" w:hAnsi="Times New Roman" w:cs="Times New Roman"/>
          <w:noProof/>
          <w:sz w:val="24"/>
          <w:szCs w:val="24"/>
        </w:rPr>
        <w:t>,</w:t>
      </w:r>
      <w:r w:rsidR="00C40F31" w:rsidRPr="006E19C7">
        <w:rPr>
          <w:rFonts w:ascii="Times New Roman" w:hAnsi="Times New Roman" w:cs="Times New Roman"/>
          <w:sz w:val="24"/>
          <w:szCs w:val="24"/>
        </w:rPr>
        <w:t xml:space="preserve"> with over 7</w:t>
      </w:r>
      <w:r w:rsidR="00400969" w:rsidRPr="006E19C7">
        <w:rPr>
          <w:rFonts w:ascii="Times New Roman" w:hAnsi="Times New Roman" w:cs="Times New Roman"/>
          <w:sz w:val="24"/>
          <w:szCs w:val="24"/>
        </w:rPr>
        <w:t xml:space="preserve"> </w:t>
      </w:r>
      <w:r w:rsidR="00400969" w:rsidRPr="006E19C7">
        <w:rPr>
          <w:rFonts w:ascii="Times New Roman" w:hAnsi="Times New Roman" w:cs="Times New Roman"/>
          <w:sz w:val="24"/>
          <w:szCs w:val="24"/>
        </w:rPr>
        <w:lastRenderedPageBreak/>
        <w:t>m</w:t>
      </w:r>
      <w:r w:rsidR="00C40F31" w:rsidRPr="006E19C7">
        <w:rPr>
          <w:rFonts w:ascii="Times New Roman" w:hAnsi="Times New Roman" w:cs="Times New Roman"/>
          <w:sz w:val="24"/>
          <w:szCs w:val="24"/>
        </w:rPr>
        <w:t xml:space="preserve">illion hospital </w:t>
      </w:r>
      <w:r w:rsidR="00B4584D" w:rsidRPr="006E19C7">
        <w:rPr>
          <w:rFonts w:ascii="Times New Roman" w:hAnsi="Times New Roman" w:cs="Times New Roman"/>
          <w:sz w:val="24"/>
          <w:szCs w:val="24"/>
        </w:rPr>
        <w:t xml:space="preserve">admissions </w:t>
      </w:r>
      <w:r w:rsidR="00C40F31" w:rsidRPr="006E19C7">
        <w:rPr>
          <w:rFonts w:ascii="Times New Roman" w:hAnsi="Times New Roman" w:cs="Times New Roman"/>
          <w:sz w:val="24"/>
          <w:szCs w:val="24"/>
        </w:rPr>
        <w:t>added each year</w:t>
      </w:r>
      <w:r w:rsidR="00400969" w:rsidRPr="006E19C7">
        <w:rPr>
          <w:rFonts w:ascii="Times New Roman" w:hAnsi="Times New Roman" w:cs="Times New Roman"/>
          <w:sz w:val="24"/>
          <w:szCs w:val="24"/>
        </w:rPr>
        <w:t xml:space="preserve">. </w:t>
      </w:r>
      <w:r w:rsidR="00824754" w:rsidRPr="006E19C7">
        <w:rPr>
          <w:rFonts w:ascii="Times New Roman" w:hAnsi="Times New Roman" w:cs="Times New Roman"/>
          <w:sz w:val="24"/>
          <w:szCs w:val="24"/>
        </w:rPr>
        <w:t xml:space="preserve">Discharge weights are used to determine national estimated and weighted data contains over 35 million hospital records truly representative of a large national sample. </w:t>
      </w:r>
      <w:r w:rsidR="00C15222" w:rsidRPr="006E19C7">
        <w:rPr>
          <w:rFonts w:ascii="Times New Roman" w:hAnsi="Times New Roman" w:cs="Times New Roman"/>
          <w:sz w:val="24"/>
          <w:szCs w:val="24"/>
        </w:rPr>
        <w:t>NIS is a publically available database wi</w:t>
      </w:r>
      <w:r w:rsidR="007656B0" w:rsidRPr="006E19C7">
        <w:rPr>
          <w:rFonts w:ascii="Times New Roman" w:hAnsi="Times New Roman" w:cs="Times New Roman"/>
          <w:sz w:val="24"/>
          <w:szCs w:val="24"/>
        </w:rPr>
        <w:t xml:space="preserve">th no identifiable patient </w:t>
      </w:r>
      <w:r w:rsidR="007539C8" w:rsidRPr="006E19C7">
        <w:rPr>
          <w:rFonts w:ascii="Times New Roman" w:hAnsi="Times New Roman" w:cs="Times New Roman"/>
          <w:sz w:val="24"/>
          <w:szCs w:val="24"/>
        </w:rPr>
        <w:t>information;</w:t>
      </w:r>
      <w:r w:rsidR="007656B0" w:rsidRPr="006E19C7">
        <w:rPr>
          <w:rFonts w:ascii="Times New Roman" w:hAnsi="Times New Roman" w:cs="Times New Roman"/>
          <w:sz w:val="24"/>
          <w:szCs w:val="24"/>
        </w:rPr>
        <w:t xml:space="preserve"> </w:t>
      </w:r>
      <w:r w:rsidR="007539C8" w:rsidRPr="006E19C7">
        <w:rPr>
          <w:rFonts w:ascii="Times New Roman" w:hAnsi="Times New Roman" w:cs="Times New Roman"/>
          <w:sz w:val="24"/>
          <w:szCs w:val="24"/>
        </w:rPr>
        <w:t>therefore,</w:t>
      </w:r>
      <w:r w:rsidR="007656B0" w:rsidRPr="006E19C7">
        <w:rPr>
          <w:rFonts w:ascii="Times New Roman" w:hAnsi="Times New Roman" w:cs="Times New Roman"/>
          <w:sz w:val="24"/>
          <w:szCs w:val="24"/>
        </w:rPr>
        <w:t xml:space="preserve"> ethical approval was not sought for this study</w:t>
      </w:r>
      <w:r w:rsidR="00340C7F" w:rsidRPr="006E19C7">
        <w:rPr>
          <w:rFonts w:ascii="Times New Roman" w:hAnsi="Times New Roman" w:cs="Times New Roman"/>
          <w:sz w:val="24"/>
          <w:szCs w:val="24"/>
        </w:rPr>
        <w:t>.</w:t>
      </w:r>
    </w:p>
    <w:p w14:paraId="41366FDD" w14:textId="77777777" w:rsidR="009255D3" w:rsidRPr="006E19C7" w:rsidRDefault="009255D3" w:rsidP="00A35E42">
      <w:pPr>
        <w:snapToGrid w:val="0"/>
        <w:spacing w:after="0" w:line="480" w:lineRule="auto"/>
        <w:jc w:val="both"/>
        <w:rPr>
          <w:rFonts w:ascii="Times New Roman" w:hAnsi="Times New Roman" w:cs="Times New Roman"/>
          <w:i/>
          <w:sz w:val="24"/>
          <w:szCs w:val="24"/>
        </w:rPr>
      </w:pPr>
    </w:p>
    <w:p w14:paraId="74737EA1" w14:textId="77777777" w:rsidR="00EA0F77" w:rsidRPr="006E19C7" w:rsidRDefault="00EA0F77"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 xml:space="preserve">Study design: </w:t>
      </w:r>
    </w:p>
    <w:p w14:paraId="0DCDCCD8" w14:textId="756A0B88" w:rsidR="003E1427" w:rsidRPr="006E19C7" w:rsidRDefault="00EA0F77"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This is a retrospective </w:t>
      </w:r>
      <w:r w:rsidR="00400969" w:rsidRPr="006E19C7">
        <w:rPr>
          <w:rFonts w:ascii="Times New Roman" w:hAnsi="Times New Roman" w:cs="Times New Roman"/>
          <w:sz w:val="24"/>
          <w:szCs w:val="24"/>
        </w:rPr>
        <w:t>analysis</w:t>
      </w:r>
      <w:r w:rsidRPr="006E19C7">
        <w:rPr>
          <w:rFonts w:ascii="Times New Roman" w:hAnsi="Times New Roman" w:cs="Times New Roman"/>
          <w:sz w:val="24"/>
          <w:szCs w:val="24"/>
        </w:rPr>
        <w:t xml:space="preserve"> of all records in NIS </w:t>
      </w:r>
      <w:r w:rsidR="001111C3" w:rsidRPr="006E19C7">
        <w:rPr>
          <w:rFonts w:ascii="Times New Roman" w:hAnsi="Times New Roman" w:cs="Times New Roman"/>
          <w:sz w:val="24"/>
          <w:szCs w:val="24"/>
        </w:rPr>
        <w:t>dataset of patients</w:t>
      </w:r>
      <w:r w:rsidRPr="006E19C7">
        <w:rPr>
          <w:rFonts w:ascii="Times New Roman" w:hAnsi="Times New Roman" w:cs="Times New Roman"/>
          <w:sz w:val="24"/>
          <w:szCs w:val="24"/>
        </w:rPr>
        <w:t xml:space="preserve"> admitted with a primary diagnosis of NSTEACS from 2004 to 2014.</w:t>
      </w:r>
      <w:r w:rsidR="00824754"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We used International Classification of Diseases, Ninth Revision, Clinical Modification (ICD-9-CM) </w:t>
      </w:r>
      <w:r w:rsidR="007B664F" w:rsidRPr="006E19C7">
        <w:rPr>
          <w:rFonts w:ascii="Times New Roman" w:hAnsi="Times New Roman" w:cs="Times New Roman"/>
          <w:sz w:val="24"/>
          <w:szCs w:val="24"/>
        </w:rPr>
        <w:t>code of 411</w:t>
      </w:r>
      <w:r w:rsidR="004D4265" w:rsidRPr="006E19C7">
        <w:rPr>
          <w:rFonts w:ascii="Times New Roman" w:hAnsi="Times New Roman" w:cs="Times New Roman"/>
          <w:sz w:val="24"/>
          <w:szCs w:val="24"/>
        </w:rPr>
        <w:t>.</w:t>
      </w:r>
      <w:r w:rsidR="007B664F" w:rsidRPr="006E19C7">
        <w:rPr>
          <w:rFonts w:ascii="Times New Roman" w:hAnsi="Times New Roman" w:cs="Times New Roman"/>
          <w:sz w:val="24"/>
          <w:szCs w:val="24"/>
        </w:rPr>
        <w:t>1 and 410</w:t>
      </w:r>
      <w:r w:rsidR="004D4265" w:rsidRPr="006E19C7">
        <w:rPr>
          <w:rFonts w:ascii="Times New Roman" w:hAnsi="Times New Roman" w:cs="Times New Roman"/>
          <w:sz w:val="24"/>
          <w:szCs w:val="24"/>
        </w:rPr>
        <w:t>.</w:t>
      </w:r>
      <w:r w:rsidR="007B664F" w:rsidRPr="006E19C7">
        <w:rPr>
          <w:rFonts w:ascii="Times New Roman" w:hAnsi="Times New Roman" w:cs="Times New Roman"/>
          <w:sz w:val="24"/>
          <w:szCs w:val="24"/>
        </w:rPr>
        <w:t xml:space="preserve">7 to </w:t>
      </w:r>
      <w:r w:rsidR="00400969" w:rsidRPr="006E19C7">
        <w:rPr>
          <w:rFonts w:ascii="Times New Roman" w:hAnsi="Times New Roman" w:cs="Times New Roman"/>
          <w:sz w:val="24"/>
          <w:szCs w:val="24"/>
        </w:rPr>
        <w:t>identify</w:t>
      </w:r>
      <w:r w:rsidR="007B664F" w:rsidRPr="006E19C7">
        <w:rPr>
          <w:rFonts w:ascii="Times New Roman" w:hAnsi="Times New Roman" w:cs="Times New Roman"/>
          <w:sz w:val="24"/>
          <w:szCs w:val="24"/>
        </w:rPr>
        <w:t xml:space="preserve"> all admissions with</w:t>
      </w:r>
      <w:r w:rsidR="00783F7E" w:rsidRPr="006E19C7">
        <w:rPr>
          <w:rFonts w:ascii="Times New Roman" w:hAnsi="Times New Roman" w:cs="Times New Roman"/>
          <w:sz w:val="24"/>
          <w:szCs w:val="24"/>
        </w:rPr>
        <w:t xml:space="preserve"> a</w:t>
      </w:r>
      <w:r w:rsidR="007B664F" w:rsidRPr="006E19C7">
        <w:rPr>
          <w:rFonts w:ascii="Times New Roman" w:hAnsi="Times New Roman" w:cs="Times New Roman"/>
          <w:sz w:val="24"/>
          <w:szCs w:val="24"/>
        </w:rPr>
        <w:t xml:space="preserve"> </w:t>
      </w:r>
      <w:r w:rsidR="00C15222" w:rsidRPr="006E19C7">
        <w:rPr>
          <w:rFonts w:ascii="Times New Roman" w:hAnsi="Times New Roman" w:cs="Times New Roman"/>
          <w:noProof/>
          <w:sz w:val="24"/>
          <w:szCs w:val="24"/>
        </w:rPr>
        <w:t>primary</w:t>
      </w:r>
      <w:r w:rsidR="00C15222" w:rsidRPr="006E19C7">
        <w:rPr>
          <w:rFonts w:ascii="Times New Roman" w:hAnsi="Times New Roman" w:cs="Times New Roman"/>
          <w:sz w:val="24"/>
          <w:szCs w:val="24"/>
        </w:rPr>
        <w:t xml:space="preserve"> diagnosis</w:t>
      </w:r>
      <w:r w:rsidR="00FE760B" w:rsidRPr="006E19C7">
        <w:rPr>
          <w:rFonts w:ascii="Times New Roman" w:hAnsi="Times New Roman" w:cs="Times New Roman"/>
          <w:sz w:val="24"/>
          <w:szCs w:val="24"/>
        </w:rPr>
        <w:t xml:space="preserve"> of NSTEACS</w:t>
      </w:r>
      <w:r w:rsidR="00B4584D" w:rsidRPr="006E19C7">
        <w:rPr>
          <w:rFonts w:ascii="Times New Roman" w:hAnsi="Times New Roman" w:cs="Times New Roman"/>
          <w:sz w:val="24"/>
          <w:szCs w:val="24"/>
        </w:rPr>
        <w:t>,</w:t>
      </w:r>
      <w:r w:rsidR="00FE760B" w:rsidRPr="006E19C7">
        <w:rPr>
          <w:rFonts w:ascii="Times New Roman" w:hAnsi="Times New Roman" w:cs="Times New Roman"/>
          <w:sz w:val="24"/>
          <w:szCs w:val="24"/>
        </w:rPr>
        <w:t xml:space="preserve"> age &gt;18 years</w:t>
      </w:r>
      <w:r w:rsidR="00C15222" w:rsidRPr="006E19C7">
        <w:rPr>
          <w:rFonts w:ascii="Times New Roman" w:hAnsi="Times New Roman" w:cs="Times New Roman"/>
          <w:sz w:val="24"/>
          <w:szCs w:val="24"/>
        </w:rPr>
        <w:t xml:space="preserve">. </w:t>
      </w:r>
      <w:r w:rsidR="0060039D" w:rsidRPr="006E19C7">
        <w:rPr>
          <w:rFonts w:ascii="Times New Roman" w:hAnsi="Times New Roman" w:cs="Times New Roman"/>
          <w:sz w:val="24"/>
          <w:szCs w:val="24"/>
        </w:rPr>
        <w:t xml:space="preserve">Further restrictions were applied to exclude records with missing data on age, </w:t>
      </w:r>
      <w:r w:rsidR="004A686E" w:rsidRPr="006E19C7">
        <w:rPr>
          <w:rFonts w:ascii="Times New Roman" w:hAnsi="Times New Roman" w:cs="Times New Roman"/>
          <w:sz w:val="24"/>
          <w:szCs w:val="24"/>
        </w:rPr>
        <w:t>sex</w:t>
      </w:r>
      <w:r w:rsidR="0060039D" w:rsidRPr="006E19C7">
        <w:rPr>
          <w:rFonts w:ascii="Times New Roman" w:hAnsi="Times New Roman" w:cs="Times New Roman"/>
          <w:sz w:val="24"/>
          <w:szCs w:val="24"/>
        </w:rPr>
        <w:t xml:space="preserve">, length of stay, median zip code income, </w:t>
      </w:r>
      <w:r w:rsidR="0060039D" w:rsidRPr="006E19C7">
        <w:rPr>
          <w:rFonts w:ascii="Times New Roman" w:hAnsi="Times New Roman" w:cs="Times New Roman"/>
          <w:noProof/>
          <w:sz w:val="24"/>
          <w:szCs w:val="24"/>
        </w:rPr>
        <w:t>in</w:t>
      </w:r>
      <w:r w:rsidR="00783F7E" w:rsidRPr="006E19C7">
        <w:rPr>
          <w:rFonts w:ascii="Times New Roman" w:hAnsi="Times New Roman" w:cs="Times New Roman"/>
          <w:noProof/>
          <w:sz w:val="24"/>
          <w:szCs w:val="24"/>
        </w:rPr>
        <w:t>-</w:t>
      </w:r>
      <w:r w:rsidR="0060039D" w:rsidRPr="006E19C7">
        <w:rPr>
          <w:rFonts w:ascii="Times New Roman" w:hAnsi="Times New Roman" w:cs="Times New Roman"/>
          <w:noProof/>
          <w:sz w:val="24"/>
          <w:szCs w:val="24"/>
        </w:rPr>
        <w:t>hospital</w:t>
      </w:r>
      <w:r w:rsidR="0060039D" w:rsidRPr="006E19C7">
        <w:rPr>
          <w:rFonts w:ascii="Times New Roman" w:hAnsi="Times New Roman" w:cs="Times New Roman"/>
          <w:sz w:val="24"/>
          <w:szCs w:val="24"/>
        </w:rPr>
        <w:t xml:space="preserve"> mortality</w:t>
      </w:r>
      <w:r w:rsidR="00FE760B" w:rsidRPr="006E19C7">
        <w:rPr>
          <w:rFonts w:ascii="Times New Roman" w:hAnsi="Times New Roman" w:cs="Times New Roman"/>
          <w:sz w:val="24"/>
          <w:szCs w:val="24"/>
        </w:rPr>
        <w:t>, primary expected payer</w:t>
      </w:r>
      <w:r w:rsidR="0060039D" w:rsidRPr="006E19C7">
        <w:rPr>
          <w:rFonts w:ascii="Times New Roman" w:hAnsi="Times New Roman" w:cs="Times New Roman"/>
          <w:sz w:val="24"/>
          <w:szCs w:val="24"/>
        </w:rPr>
        <w:t xml:space="preserve"> and total charges. </w:t>
      </w:r>
      <w:r w:rsidR="00B4584D" w:rsidRPr="006E19C7">
        <w:rPr>
          <w:rFonts w:ascii="Times New Roman" w:hAnsi="Times New Roman" w:cs="Times New Roman"/>
          <w:sz w:val="24"/>
          <w:szCs w:val="24"/>
        </w:rPr>
        <w:t>This analysis</w:t>
      </w:r>
      <w:r w:rsidR="0060039D" w:rsidRPr="006E19C7">
        <w:rPr>
          <w:rFonts w:ascii="Times New Roman" w:hAnsi="Times New Roman" w:cs="Times New Roman"/>
          <w:sz w:val="24"/>
          <w:szCs w:val="24"/>
        </w:rPr>
        <w:t xml:space="preserve"> included </w:t>
      </w:r>
      <w:r w:rsidR="00B4584D" w:rsidRPr="006E19C7">
        <w:rPr>
          <w:rFonts w:ascii="Times New Roman" w:hAnsi="Times New Roman" w:cs="Times New Roman"/>
          <w:sz w:val="24"/>
          <w:szCs w:val="24"/>
        </w:rPr>
        <w:t xml:space="preserve">only </w:t>
      </w:r>
      <w:r w:rsidR="0060039D" w:rsidRPr="006E19C7">
        <w:rPr>
          <w:rFonts w:ascii="Times New Roman" w:hAnsi="Times New Roman" w:cs="Times New Roman"/>
          <w:sz w:val="24"/>
          <w:szCs w:val="24"/>
        </w:rPr>
        <w:t>emergency or urgent admissions excluding the elective admissions</w:t>
      </w:r>
      <w:r w:rsidR="00D90A64" w:rsidRPr="006E19C7">
        <w:rPr>
          <w:rFonts w:ascii="Times New Roman" w:hAnsi="Times New Roman" w:cs="Times New Roman"/>
          <w:sz w:val="24"/>
          <w:szCs w:val="24"/>
        </w:rPr>
        <w:t xml:space="preserve"> as they may not represent true diagnoses of NSTEACS</w:t>
      </w:r>
      <w:r w:rsidR="0060039D" w:rsidRPr="006E19C7">
        <w:rPr>
          <w:rFonts w:ascii="Times New Roman" w:hAnsi="Times New Roman" w:cs="Times New Roman"/>
          <w:sz w:val="24"/>
          <w:szCs w:val="24"/>
        </w:rPr>
        <w:t xml:space="preserve">. </w:t>
      </w:r>
      <w:r w:rsidR="007656B0" w:rsidRPr="006E19C7">
        <w:rPr>
          <w:rFonts w:ascii="Times New Roman" w:hAnsi="Times New Roman" w:cs="Times New Roman"/>
          <w:sz w:val="24"/>
          <w:szCs w:val="24"/>
        </w:rPr>
        <w:t xml:space="preserve">CA </w:t>
      </w:r>
      <w:r w:rsidR="003E1427" w:rsidRPr="006E19C7">
        <w:rPr>
          <w:rFonts w:ascii="Times New Roman" w:hAnsi="Times New Roman" w:cs="Times New Roman"/>
          <w:sz w:val="24"/>
          <w:szCs w:val="24"/>
        </w:rPr>
        <w:t xml:space="preserve">was defined </w:t>
      </w:r>
      <w:r w:rsidR="00824754" w:rsidRPr="006E19C7">
        <w:rPr>
          <w:rFonts w:ascii="Times New Roman" w:hAnsi="Times New Roman" w:cs="Times New Roman"/>
          <w:sz w:val="24"/>
          <w:szCs w:val="24"/>
        </w:rPr>
        <w:t>as ICD-9-CM procedure codes 88</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53, 88</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54, 88</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55, 88</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56 37</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22 and 37</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 xml:space="preserve">23, </w:t>
      </w:r>
      <w:r w:rsidR="003E1427" w:rsidRPr="006E19C7">
        <w:rPr>
          <w:rFonts w:ascii="Times New Roman" w:hAnsi="Times New Roman" w:cs="Times New Roman"/>
          <w:sz w:val="24"/>
          <w:szCs w:val="24"/>
        </w:rPr>
        <w:t>with or with</w:t>
      </w:r>
      <w:r w:rsidR="00CD1F63" w:rsidRPr="006E19C7">
        <w:rPr>
          <w:rFonts w:ascii="Times New Roman" w:hAnsi="Times New Roman" w:cs="Times New Roman"/>
          <w:sz w:val="24"/>
          <w:szCs w:val="24"/>
        </w:rPr>
        <w:t>out</w:t>
      </w:r>
      <w:r w:rsidR="003E1427" w:rsidRPr="006E19C7">
        <w:rPr>
          <w:rFonts w:ascii="Times New Roman" w:hAnsi="Times New Roman" w:cs="Times New Roman"/>
          <w:sz w:val="24"/>
          <w:szCs w:val="24"/>
        </w:rPr>
        <w:t xml:space="preserve"> percutaneous coronary intervention</w:t>
      </w:r>
      <w:r w:rsidR="00CF23EA" w:rsidRPr="006E19C7">
        <w:rPr>
          <w:rFonts w:ascii="Times New Roman" w:hAnsi="Times New Roman" w:cs="Times New Roman"/>
          <w:sz w:val="24"/>
          <w:szCs w:val="24"/>
        </w:rPr>
        <w:t xml:space="preserve"> (PCI)</w:t>
      </w:r>
      <w:r w:rsidR="003E1427" w:rsidRPr="006E19C7">
        <w:rPr>
          <w:rFonts w:ascii="Times New Roman" w:hAnsi="Times New Roman" w:cs="Times New Roman"/>
          <w:sz w:val="24"/>
          <w:szCs w:val="24"/>
        </w:rPr>
        <w:t xml:space="preserve"> (ICD-9-CM procedure codes </w:t>
      </w:r>
      <w:r w:rsidR="00824754" w:rsidRPr="006E19C7">
        <w:rPr>
          <w:rFonts w:ascii="Times New Roman" w:hAnsi="Times New Roman" w:cs="Times New Roman"/>
          <w:sz w:val="24"/>
          <w:szCs w:val="24"/>
        </w:rPr>
        <w:t>00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66, 360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1, 360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2, 360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5, 360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6 and 360</w:t>
      </w:r>
      <w:r w:rsidR="004D4265" w:rsidRPr="006E19C7">
        <w:rPr>
          <w:rFonts w:ascii="Times New Roman" w:hAnsi="Times New Roman" w:cs="Times New Roman"/>
          <w:sz w:val="24"/>
          <w:szCs w:val="24"/>
        </w:rPr>
        <w:t>.</w:t>
      </w:r>
      <w:r w:rsidR="00824754" w:rsidRPr="006E19C7">
        <w:rPr>
          <w:rFonts w:ascii="Times New Roman" w:hAnsi="Times New Roman" w:cs="Times New Roman"/>
          <w:sz w:val="24"/>
          <w:szCs w:val="24"/>
        </w:rPr>
        <w:t>7.</w:t>
      </w:r>
    </w:p>
    <w:p w14:paraId="2B3832BE" w14:textId="3DDBC314" w:rsidR="00FE115B" w:rsidRPr="006E19C7" w:rsidRDefault="00D90A64"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We collected</w:t>
      </w:r>
      <w:r w:rsidR="00BC6ADC"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data regarding </w:t>
      </w:r>
      <w:r w:rsidR="001111C3" w:rsidRPr="006E19C7">
        <w:rPr>
          <w:rFonts w:ascii="Times New Roman" w:hAnsi="Times New Roman" w:cs="Times New Roman"/>
          <w:sz w:val="24"/>
          <w:szCs w:val="24"/>
        </w:rPr>
        <w:t>patient</w:t>
      </w:r>
      <w:r w:rsidR="00BC6ADC" w:rsidRPr="006E19C7">
        <w:rPr>
          <w:rFonts w:ascii="Times New Roman" w:hAnsi="Times New Roman" w:cs="Times New Roman"/>
          <w:sz w:val="24"/>
          <w:szCs w:val="24"/>
        </w:rPr>
        <w:t xml:space="preserve"> baseline demographics </w:t>
      </w:r>
      <w:r w:rsidR="00B4584D" w:rsidRPr="006E19C7">
        <w:rPr>
          <w:rFonts w:ascii="Times New Roman" w:hAnsi="Times New Roman" w:cs="Times New Roman"/>
          <w:sz w:val="24"/>
          <w:szCs w:val="24"/>
        </w:rPr>
        <w:t>including</w:t>
      </w:r>
      <w:r w:rsidR="00BC6ADC" w:rsidRPr="006E19C7">
        <w:rPr>
          <w:rFonts w:ascii="Times New Roman" w:hAnsi="Times New Roman" w:cs="Times New Roman"/>
          <w:sz w:val="24"/>
          <w:szCs w:val="24"/>
        </w:rPr>
        <w:t xml:space="preserve"> age, </w:t>
      </w:r>
      <w:r w:rsidR="004A686E" w:rsidRPr="006E19C7">
        <w:rPr>
          <w:rFonts w:ascii="Times New Roman" w:hAnsi="Times New Roman" w:cs="Times New Roman"/>
          <w:sz w:val="24"/>
          <w:szCs w:val="24"/>
        </w:rPr>
        <w:t>sex</w:t>
      </w:r>
      <w:r w:rsidR="00BC6ADC" w:rsidRPr="006E19C7">
        <w:rPr>
          <w:rFonts w:ascii="Times New Roman" w:hAnsi="Times New Roman" w:cs="Times New Roman"/>
          <w:sz w:val="24"/>
          <w:szCs w:val="24"/>
        </w:rPr>
        <w:t>, race, primary expected pa</w:t>
      </w:r>
      <w:r w:rsidR="00D3079F" w:rsidRPr="006E19C7">
        <w:rPr>
          <w:rFonts w:ascii="Times New Roman" w:hAnsi="Times New Roman" w:cs="Times New Roman"/>
          <w:sz w:val="24"/>
          <w:szCs w:val="24"/>
        </w:rPr>
        <w:t xml:space="preserve">yer, admission day of the week and </w:t>
      </w:r>
      <w:r w:rsidR="00CF23EA" w:rsidRPr="006E19C7">
        <w:rPr>
          <w:rFonts w:ascii="Times New Roman" w:hAnsi="Times New Roman" w:cs="Times New Roman"/>
          <w:sz w:val="24"/>
          <w:szCs w:val="24"/>
        </w:rPr>
        <w:t xml:space="preserve">cardiovascular risk factors (known coronary artery disease (CAD), family history of </w:t>
      </w:r>
      <w:r w:rsidR="00CD1F63" w:rsidRPr="006E19C7">
        <w:rPr>
          <w:rFonts w:ascii="Times New Roman" w:hAnsi="Times New Roman" w:cs="Times New Roman"/>
          <w:sz w:val="24"/>
          <w:szCs w:val="24"/>
        </w:rPr>
        <w:t xml:space="preserve">premature </w:t>
      </w:r>
      <w:r w:rsidR="00CF23EA" w:rsidRPr="006E19C7">
        <w:rPr>
          <w:rFonts w:ascii="Times New Roman" w:hAnsi="Times New Roman" w:cs="Times New Roman"/>
          <w:sz w:val="24"/>
          <w:szCs w:val="24"/>
        </w:rPr>
        <w:t xml:space="preserve">CAD, smoking, dyslipidaemias, previous myocardial infarction (MI), history of coronary artery bypass graft (CABG), previous </w:t>
      </w:r>
      <w:r w:rsidR="007656B0" w:rsidRPr="006E19C7">
        <w:rPr>
          <w:rFonts w:ascii="Times New Roman" w:hAnsi="Times New Roman" w:cs="Times New Roman"/>
          <w:sz w:val="24"/>
          <w:szCs w:val="24"/>
        </w:rPr>
        <w:t>percutaneous coronary intervention (</w:t>
      </w:r>
      <w:r w:rsidR="00CF23EA" w:rsidRPr="006E19C7">
        <w:rPr>
          <w:rFonts w:ascii="Times New Roman" w:hAnsi="Times New Roman" w:cs="Times New Roman"/>
          <w:sz w:val="24"/>
          <w:szCs w:val="24"/>
        </w:rPr>
        <w:t>PCI</w:t>
      </w:r>
      <w:r w:rsidR="007656B0" w:rsidRPr="006E19C7">
        <w:rPr>
          <w:rFonts w:ascii="Times New Roman" w:hAnsi="Times New Roman" w:cs="Times New Roman"/>
          <w:sz w:val="24"/>
          <w:szCs w:val="24"/>
        </w:rPr>
        <w:t>)</w:t>
      </w:r>
      <w:r w:rsidR="00CF23EA" w:rsidRPr="006E19C7">
        <w:rPr>
          <w:rFonts w:ascii="Times New Roman" w:hAnsi="Times New Roman" w:cs="Times New Roman"/>
          <w:sz w:val="24"/>
          <w:szCs w:val="24"/>
        </w:rPr>
        <w:t>, previous stroke or transient ischemic attack</w:t>
      </w:r>
      <w:r w:rsidR="007656B0" w:rsidRPr="006E19C7">
        <w:rPr>
          <w:rFonts w:ascii="Times New Roman" w:hAnsi="Times New Roman" w:cs="Times New Roman"/>
          <w:sz w:val="24"/>
          <w:szCs w:val="24"/>
        </w:rPr>
        <w:t>)</w:t>
      </w:r>
      <w:r w:rsidR="00CD1F63" w:rsidRPr="006E19C7">
        <w:rPr>
          <w:rFonts w:ascii="Times New Roman" w:hAnsi="Times New Roman" w:cs="Times New Roman"/>
          <w:sz w:val="24"/>
          <w:szCs w:val="24"/>
        </w:rPr>
        <w:t xml:space="preserve"> and chronic hypertension</w:t>
      </w:r>
      <w:r w:rsidR="00CF23EA" w:rsidRPr="006E19C7">
        <w:rPr>
          <w:rFonts w:ascii="Times New Roman" w:hAnsi="Times New Roman" w:cs="Times New Roman"/>
          <w:sz w:val="24"/>
          <w:szCs w:val="24"/>
        </w:rPr>
        <w:t>.</w:t>
      </w:r>
      <w:r w:rsidR="00D3079F" w:rsidRPr="006E19C7">
        <w:rPr>
          <w:rFonts w:ascii="Times New Roman" w:hAnsi="Times New Roman" w:cs="Times New Roman"/>
          <w:sz w:val="24"/>
          <w:szCs w:val="24"/>
        </w:rPr>
        <w:t xml:space="preserve"> The ICD-9-CM codes</w:t>
      </w:r>
      <w:r w:rsidR="00944CB6" w:rsidRPr="006E19C7">
        <w:rPr>
          <w:rFonts w:ascii="Times New Roman" w:hAnsi="Times New Roman" w:cs="Times New Roman"/>
          <w:sz w:val="24"/>
          <w:szCs w:val="24"/>
        </w:rPr>
        <w:t xml:space="preserve"> or clinical classification software codes used to identify any additional comorbidities </w:t>
      </w:r>
      <w:r w:rsidR="00D3079F" w:rsidRPr="006E19C7">
        <w:rPr>
          <w:rFonts w:ascii="Times New Roman" w:hAnsi="Times New Roman" w:cs="Times New Roman"/>
          <w:sz w:val="24"/>
          <w:szCs w:val="24"/>
        </w:rPr>
        <w:t xml:space="preserve">are provided in </w:t>
      </w:r>
      <w:r w:rsidR="00E44B34" w:rsidRPr="006E19C7">
        <w:rPr>
          <w:rFonts w:ascii="Times New Roman" w:hAnsi="Times New Roman" w:cs="Times New Roman"/>
          <w:sz w:val="24"/>
          <w:szCs w:val="24"/>
        </w:rPr>
        <w:t xml:space="preserve">supplementary </w:t>
      </w:r>
      <w:r w:rsidR="00334F61" w:rsidRPr="006E19C7">
        <w:rPr>
          <w:rFonts w:ascii="Times New Roman" w:hAnsi="Times New Roman" w:cs="Times New Roman"/>
          <w:sz w:val="24"/>
          <w:szCs w:val="24"/>
        </w:rPr>
        <w:t>T</w:t>
      </w:r>
      <w:r w:rsidR="00D3079F" w:rsidRPr="006E19C7">
        <w:rPr>
          <w:rFonts w:ascii="Times New Roman" w:hAnsi="Times New Roman" w:cs="Times New Roman"/>
          <w:sz w:val="24"/>
          <w:szCs w:val="24"/>
        </w:rPr>
        <w:t>able 1.</w:t>
      </w:r>
      <w:r w:rsidR="00CF23EA" w:rsidRPr="006E19C7">
        <w:rPr>
          <w:rFonts w:ascii="Times New Roman" w:hAnsi="Times New Roman" w:cs="Times New Roman"/>
          <w:sz w:val="24"/>
          <w:szCs w:val="24"/>
        </w:rPr>
        <w:t xml:space="preserve"> </w:t>
      </w:r>
      <w:r w:rsidR="00E92950" w:rsidRPr="006E19C7">
        <w:rPr>
          <w:rFonts w:ascii="Times New Roman" w:hAnsi="Times New Roman" w:cs="Times New Roman"/>
          <w:sz w:val="24"/>
          <w:szCs w:val="24"/>
        </w:rPr>
        <w:t xml:space="preserve">Patient co-morbidity status was determined using information from </w:t>
      </w:r>
      <w:r w:rsidR="004D4265" w:rsidRPr="006E19C7">
        <w:rPr>
          <w:rFonts w:ascii="Times New Roman" w:hAnsi="Times New Roman" w:cs="Times New Roman"/>
          <w:sz w:val="24"/>
          <w:szCs w:val="24"/>
        </w:rPr>
        <w:t>29</w:t>
      </w:r>
      <w:r w:rsidR="00E92950" w:rsidRPr="006E19C7">
        <w:rPr>
          <w:rFonts w:ascii="Times New Roman" w:hAnsi="Times New Roman" w:cs="Times New Roman"/>
          <w:sz w:val="24"/>
          <w:szCs w:val="24"/>
        </w:rPr>
        <w:t xml:space="preserve"> </w:t>
      </w:r>
      <w:proofErr w:type="spellStart"/>
      <w:r w:rsidR="00E92950" w:rsidRPr="006E19C7">
        <w:rPr>
          <w:rFonts w:ascii="Times New Roman" w:hAnsi="Times New Roman" w:cs="Times New Roman"/>
          <w:sz w:val="24"/>
          <w:szCs w:val="24"/>
        </w:rPr>
        <w:t>Elixhauser</w:t>
      </w:r>
      <w:proofErr w:type="spellEnd"/>
      <w:r w:rsidR="00E92950" w:rsidRPr="006E19C7">
        <w:rPr>
          <w:rFonts w:ascii="Times New Roman" w:hAnsi="Times New Roman" w:cs="Times New Roman"/>
          <w:sz w:val="24"/>
          <w:szCs w:val="24"/>
        </w:rPr>
        <w:t xml:space="preserve"> comorbidities as defined by AHRQ. </w:t>
      </w:r>
      <w:proofErr w:type="spellStart"/>
      <w:r w:rsidR="00E92950" w:rsidRPr="006E19C7">
        <w:rPr>
          <w:rFonts w:ascii="Times New Roman" w:hAnsi="Times New Roman" w:cs="Times New Roman"/>
          <w:sz w:val="24"/>
          <w:szCs w:val="24"/>
        </w:rPr>
        <w:t>Deyo</w:t>
      </w:r>
      <w:proofErr w:type="spellEnd"/>
      <w:r w:rsidR="00E92950" w:rsidRPr="006E19C7">
        <w:rPr>
          <w:rFonts w:ascii="Times New Roman" w:hAnsi="Times New Roman" w:cs="Times New Roman"/>
          <w:sz w:val="24"/>
          <w:szCs w:val="24"/>
        </w:rPr>
        <w:t xml:space="preserve"> modification of </w:t>
      </w:r>
      <w:proofErr w:type="spellStart"/>
      <w:r w:rsidR="00E92950" w:rsidRPr="006E19C7">
        <w:rPr>
          <w:rFonts w:ascii="Times New Roman" w:hAnsi="Times New Roman" w:cs="Times New Roman"/>
          <w:sz w:val="24"/>
          <w:szCs w:val="24"/>
        </w:rPr>
        <w:t>Charlson</w:t>
      </w:r>
      <w:proofErr w:type="spellEnd"/>
      <w:r w:rsidR="00E92950" w:rsidRPr="006E19C7">
        <w:rPr>
          <w:rFonts w:ascii="Times New Roman" w:hAnsi="Times New Roman" w:cs="Times New Roman"/>
          <w:sz w:val="24"/>
          <w:szCs w:val="24"/>
        </w:rPr>
        <w:t xml:space="preserve"> </w:t>
      </w:r>
      <w:r w:rsidR="00783F7E" w:rsidRPr="006E19C7">
        <w:rPr>
          <w:rFonts w:ascii="Times New Roman" w:hAnsi="Times New Roman" w:cs="Times New Roman"/>
          <w:noProof/>
          <w:sz w:val="24"/>
          <w:szCs w:val="24"/>
        </w:rPr>
        <w:t>C</w:t>
      </w:r>
      <w:r w:rsidR="00E92950" w:rsidRPr="006E19C7">
        <w:rPr>
          <w:rFonts w:ascii="Times New Roman" w:hAnsi="Times New Roman" w:cs="Times New Roman"/>
          <w:noProof/>
          <w:sz w:val="24"/>
          <w:szCs w:val="24"/>
        </w:rPr>
        <w:t>o-morbidity</w:t>
      </w:r>
      <w:r w:rsidR="00E92950" w:rsidRPr="006E19C7">
        <w:rPr>
          <w:rFonts w:ascii="Times New Roman" w:hAnsi="Times New Roman" w:cs="Times New Roman"/>
          <w:sz w:val="24"/>
          <w:szCs w:val="24"/>
        </w:rPr>
        <w:t xml:space="preserve"> Index (CCI) was derived </w:t>
      </w:r>
      <w:r w:rsidR="00E92950" w:rsidRPr="006E19C7">
        <w:rPr>
          <w:rFonts w:ascii="Times New Roman" w:hAnsi="Times New Roman" w:cs="Times New Roman"/>
          <w:sz w:val="24"/>
          <w:szCs w:val="24"/>
        </w:rPr>
        <w:lastRenderedPageBreak/>
        <w:t xml:space="preserve">using a </w:t>
      </w:r>
      <w:r w:rsidR="006856A6" w:rsidRPr="006E19C7">
        <w:rPr>
          <w:rFonts w:ascii="Times New Roman" w:hAnsi="Times New Roman" w:cs="Times New Roman"/>
          <w:sz w:val="24"/>
          <w:szCs w:val="24"/>
        </w:rPr>
        <w:t>point-based</w:t>
      </w:r>
      <w:r w:rsidR="00E92950" w:rsidRPr="006E19C7">
        <w:rPr>
          <w:rFonts w:ascii="Times New Roman" w:hAnsi="Times New Roman" w:cs="Times New Roman"/>
          <w:sz w:val="24"/>
          <w:szCs w:val="24"/>
        </w:rPr>
        <w:t xml:space="preserve"> system with scores ranging </w:t>
      </w:r>
      <w:r w:rsidR="008E1D64" w:rsidRPr="006E19C7">
        <w:rPr>
          <w:rFonts w:ascii="Times New Roman" w:hAnsi="Times New Roman" w:cs="Times New Roman"/>
          <w:sz w:val="24"/>
          <w:szCs w:val="24"/>
        </w:rPr>
        <w:t xml:space="preserve">from 1 to 6, with each </w:t>
      </w:r>
      <w:r w:rsidR="00E92950" w:rsidRPr="006E19C7">
        <w:rPr>
          <w:rFonts w:ascii="Times New Roman" w:hAnsi="Times New Roman" w:cs="Times New Roman"/>
          <w:sz w:val="24"/>
          <w:szCs w:val="24"/>
        </w:rPr>
        <w:t>value</w:t>
      </w:r>
      <w:r w:rsidR="008E1D64" w:rsidRPr="006E19C7">
        <w:rPr>
          <w:rFonts w:ascii="Times New Roman" w:hAnsi="Times New Roman" w:cs="Times New Roman"/>
          <w:sz w:val="24"/>
          <w:szCs w:val="24"/>
        </w:rPr>
        <w:t xml:space="preserve"> weighted</w:t>
      </w:r>
      <w:r w:rsidR="00E92950" w:rsidRPr="006E19C7">
        <w:rPr>
          <w:rFonts w:ascii="Times New Roman" w:hAnsi="Times New Roman" w:cs="Times New Roman"/>
          <w:sz w:val="24"/>
          <w:szCs w:val="24"/>
        </w:rPr>
        <w:t xml:space="preserve"> depending on the prognostic impact of the comorbidity</w:t>
      </w:r>
      <w:r w:rsidR="00FF02D4"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RW.CITE{{479 Deyo,R.A. 1992}}</w:instrText>
      </w:r>
      <w:r w:rsidR="00FF02D4"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15</w:t>
      </w:r>
      <w:r w:rsidR="00FF02D4" w:rsidRPr="006E19C7">
        <w:rPr>
          <w:rFonts w:ascii="Times New Roman" w:hAnsi="Times New Roman" w:cs="Times New Roman"/>
          <w:sz w:val="24"/>
          <w:szCs w:val="24"/>
        </w:rPr>
        <w:fldChar w:fldCharType="end"/>
      </w:r>
      <w:r w:rsidR="00E92950" w:rsidRPr="006E19C7">
        <w:rPr>
          <w:rFonts w:ascii="Times New Roman" w:hAnsi="Times New Roman" w:cs="Times New Roman"/>
          <w:sz w:val="24"/>
          <w:szCs w:val="24"/>
        </w:rPr>
        <w:t xml:space="preserve">. </w:t>
      </w:r>
      <w:r w:rsidR="008E1D64" w:rsidRPr="006E19C7">
        <w:rPr>
          <w:rFonts w:ascii="Times New Roman" w:hAnsi="Times New Roman" w:cs="Times New Roman"/>
          <w:sz w:val="24"/>
          <w:szCs w:val="24"/>
        </w:rPr>
        <w:t xml:space="preserve">These scores were then summated to classify overall comorbidity burden </w:t>
      </w:r>
      <w:r w:rsidR="00E92950" w:rsidRPr="006E19C7">
        <w:rPr>
          <w:rFonts w:ascii="Times New Roman" w:hAnsi="Times New Roman" w:cs="Times New Roman"/>
          <w:sz w:val="24"/>
          <w:szCs w:val="24"/>
        </w:rPr>
        <w:t>into mild, moderate and severe</w:t>
      </w:r>
      <w:r w:rsidR="008E1D64" w:rsidRPr="006E19C7">
        <w:rPr>
          <w:rFonts w:ascii="Times New Roman" w:hAnsi="Times New Roman" w:cs="Times New Roman"/>
          <w:sz w:val="24"/>
          <w:szCs w:val="24"/>
        </w:rPr>
        <w:t xml:space="preserve"> categories</w:t>
      </w:r>
      <w:r w:rsidR="00E92950" w:rsidRPr="006E19C7">
        <w:rPr>
          <w:rFonts w:ascii="Times New Roman" w:hAnsi="Times New Roman" w:cs="Times New Roman"/>
          <w:sz w:val="24"/>
          <w:szCs w:val="24"/>
        </w:rPr>
        <w:t xml:space="preserve"> with CCI score </w:t>
      </w:r>
      <w:r w:rsidR="00FE760B" w:rsidRPr="006E19C7">
        <w:rPr>
          <w:rFonts w:ascii="Times New Roman" w:hAnsi="Times New Roman" w:cs="Times New Roman"/>
          <w:sz w:val="24"/>
          <w:szCs w:val="24"/>
        </w:rPr>
        <w:t>of 0,1,2 and</w:t>
      </w:r>
      <w:r w:rsidR="00E92950" w:rsidRPr="006E19C7">
        <w:rPr>
          <w:rFonts w:ascii="Times New Roman" w:hAnsi="Times New Roman" w:cs="Times New Roman"/>
          <w:sz w:val="24"/>
          <w:szCs w:val="24"/>
        </w:rPr>
        <w:t xml:space="preserve"> 3 or more respectively</w:t>
      </w:r>
      <w:r w:rsidR="006611D7" w:rsidRPr="006E19C7">
        <w:rPr>
          <w:rFonts w:ascii="Times New Roman" w:hAnsi="Times New Roman" w:cs="Times New Roman"/>
          <w:sz w:val="24"/>
          <w:szCs w:val="24"/>
        </w:rPr>
        <w:t xml:space="preserve"> (</w:t>
      </w:r>
      <w:r w:rsidR="00E44B34" w:rsidRPr="006E19C7">
        <w:rPr>
          <w:rFonts w:ascii="Times New Roman" w:hAnsi="Times New Roman" w:cs="Times New Roman"/>
          <w:sz w:val="24"/>
          <w:szCs w:val="24"/>
        </w:rPr>
        <w:t>supplementary</w:t>
      </w:r>
      <w:r w:rsidR="00334F61" w:rsidRPr="006E19C7">
        <w:rPr>
          <w:rFonts w:ascii="Times New Roman" w:hAnsi="Times New Roman" w:cs="Times New Roman"/>
          <w:sz w:val="24"/>
          <w:szCs w:val="24"/>
        </w:rPr>
        <w:t xml:space="preserve"> T</w:t>
      </w:r>
      <w:r w:rsidR="006611D7" w:rsidRPr="006E19C7">
        <w:rPr>
          <w:rFonts w:ascii="Times New Roman" w:hAnsi="Times New Roman" w:cs="Times New Roman"/>
          <w:sz w:val="24"/>
          <w:szCs w:val="24"/>
        </w:rPr>
        <w:t>able 2</w:t>
      </w:r>
      <w:r w:rsidR="00FB7859" w:rsidRPr="006E19C7">
        <w:rPr>
          <w:rFonts w:ascii="Times New Roman" w:hAnsi="Times New Roman" w:cs="Times New Roman"/>
          <w:sz w:val="24"/>
          <w:szCs w:val="24"/>
        </w:rPr>
        <w:t>)</w:t>
      </w:r>
      <w:r w:rsidR="00E92950" w:rsidRPr="006E19C7">
        <w:rPr>
          <w:rFonts w:ascii="Times New Roman" w:hAnsi="Times New Roman" w:cs="Times New Roman"/>
          <w:sz w:val="24"/>
          <w:szCs w:val="24"/>
        </w:rPr>
        <w:t xml:space="preserve">. </w:t>
      </w:r>
      <w:r w:rsidR="00FE115B" w:rsidRPr="006E19C7">
        <w:rPr>
          <w:rFonts w:ascii="Times New Roman" w:hAnsi="Times New Roman" w:cs="Times New Roman"/>
          <w:sz w:val="24"/>
          <w:szCs w:val="24"/>
        </w:rPr>
        <w:t>Finally, we collected information regarding the hospital characteristics including bed size, location, region and teaching status.</w:t>
      </w:r>
      <w:r w:rsidR="00A86D08" w:rsidRPr="006E19C7">
        <w:rPr>
          <w:rFonts w:ascii="Times New Roman" w:hAnsi="Times New Roman" w:cs="Times New Roman"/>
          <w:sz w:val="24"/>
          <w:szCs w:val="24"/>
        </w:rPr>
        <w:t xml:space="preserve"> The hospital bed size within NIS are defined using different regions of US and ranges from 1-249 beds for a small hospital, 25-449 for a medium hospital and 50+ to 450+ for a large size hospital. </w:t>
      </w:r>
    </w:p>
    <w:p w14:paraId="25FF6650" w14:textId="32250265" w:rsidR="00BD25B0" w:rsidRPr="006E19C7" w:rsidRDefault="00B4584D"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noProof/>
          <w:sz w:val="24"/>
          <w:szCs w:val="24"/>
        </w:rPr>
        <w:t>O</w:t>
      </w:r>
      <w:r w:rsidR="00FE115B" w:rsidRPr="006E19C7">
        <w:rPr>
          <w:rFonts w:ascii="Times New Roman" w:hAnsi="Times New Roman" w:cs="Times New Roman"/>
          <w:noProof/>
          <w:sz w:val="24"/>
          <w:szCs w:val="24"/>
        </w:rPr>
        <w:t>utcome</w:t>
      </w:r>
      <w:r w:rsidR="00FE115B" w:rsidRPr="006E19C7">
        <w:rPr>
          <w:rFonts w:ascii="Times New Roman" w:hAnsi="Times New Roman" w:cs="Times New Roman"/>
          <w:sz w:val="24"/>
          <w:szCs w:val="24"/>
        </w:rPr>
        <w:t xml:space="preserve"> of </w:t>
      </w:r>
      <w:r w:rsidR="001111C3" w:rsidRPr="006E19C7">
        <w:rPr>
          <w:rFonts w:ascii="Times New Roman" w:hAnsi="Times New Roman" w:cs="Times New Roman"/>
          <w:sz w:val="24"/>
          <w:szCs w:val="24"/>
        </w:rPr>
        <w:t>measures</w:t>
      </w:r>
      <w:r w:rsidR="00FE115B" w:rsidRPr="006E19C7">
        <w:rPr>
          <w:rFonts w:ascii="Times New Roman" w:hAnsi="Times New Roman" w:cs="Times New Roman"/>
          <w:sz w:val="24"/>
          <w:szCs w:val="24"/>
        </w:rPr>
        <w:t xml:space="preserve"> </w:t>
      </w:r>
      <w:r w:rsidR="00FE115B" w:rsidRPr="006E19C7">
        <w:rPr>
          <w:rFonts w:ascii="Times New Roman" w:hAnsi="Times New Roman" w:cs="Times New Roman"/>
          <w:noProof/>
          <w:sz w:val="24"/>
          <w:szCs w:val="24"/>
        </w:rPr>
        <w:t>were</w:t>
      </w:r>
      <w:r w:rsidR="00FE115B" w:rsidRPr="006E19C7">
        <w:rPr>
          <w:rFonts w:ascii="Times New Roman" w:hAnsi="Times New Roman" w:cs="Times New Roman"/>
          <w:sz w:val="24"/>
          <w:szCs w:val="24"/>
        </w:rPr>
        <w:t xml:space="preserve"> in-hospital </w:t>
      </w:r>
      <w:r w:rsidRPr="006E19C7">
        <w:rPr>
          <w:rFonts w:ascii="Times New Roman" w:hAnsi="Times New Roman" w:cs="Times New Roman"/>
          <w:noProof/>
          <w:sz w:val="24"/>
          <w:szCs w:val="24"/>
        </w:rPr>
        <w:t>all</w:t>
      </w:r>
      <w:r w:rsidR="002F639A" w:rsidRPr="006E19C7">
        <w:rPr>
          <w:rFonts w:ascii="Times New Roman" w:hAnsi="Times New Roman" w:cs="Times New Roman"/>
          <w:noProof/>
          <w:sz w:val="24"/>
          <w:szCs w:val="24"/>
        </w:rPr>
        <w:t>-</w:t>
      </w:r>
      <w:r w:rsidRPr="006E19C7">
        <w:rPr>
          <w:rFonts w:ascii="Times New Roman" w:hAnsi="Times New Roman" w:cs="Times New Roman"/>
          <w:noProof/>
          <w:sz w:val="24"/>
          <w:szCs w:val="24"/>
        </w:rPr>
        <w:t>cause</w:t>
      </w:r>
      <w:r w:rsidRPr="006E19C7">
        <w:rPr>
          <w:rFonts w:ascii="Times New Roman" w:hAnsi="Times New Roman" w:cs="Times New Roman"/>
          <w:sz w:val="24"/>
          <w:szCs w:val="24"/>
        </w:rPr>
        <w:t xml:space="preserve"> </w:t>
      </w:r>
      <w:r w:rsidR="00FE115B" w:rsidRPr="006E19C7">
        <w:rPr>
          <w:rFonts w:ascii="Times New Roman" w:hAnsi="Times New Roman" w:cs="Times New Roman"/>
          <w:sz w:val="24"/>
          <w:szCs w:val="24"/>
        </w:rPr>
        <w:t xml:space="preserve">mortality, </w:t>
      </w:r>
      <w:r w:rsidRPr="006E19C7">
        <w:rPr>
          <w:rFonts w:ascii="Times New Roman" w:hAnsi="Times New Roman" w:cs="Times New Roman"/>
          <w:sz w:val="24"/>
          <w:szCs w:val="24"/>
        </w:rPr>
        <w:t xml:space="preserve">adverse cardiac complications, </w:t>
      </w:r>
      <w:r w:rsidR="00FE115B" w:rsidRPr="006E19C7">
        <w:rPr>
          <w:rFonts w:ascii="Times New Roman" w:hAnsi="Times New Roman" w:cs="Times New Roman"/>
          <w:sz w:val="24"/>
          <w:szCs w:val="24"/>
        </w:rPr>
        <w:t xml:space="preserve">major bleeding, </w:t>
      </w:r>
      <w:r w:rsidRPr="006E19C7">
        <w:rPr>
          <w:rFonts w:ascii="Times New Roman" w:hAnsi="Times New Roman" w:cs="Times New Roman"/>
          <w:sz w:val="24"/>
          <w:szCs w:val="24"/>
        </w:rPr>
        <w:t xml:space="preserve">and </w:t>
      </w:r>
      <w:r w:rsidR="00FE115B" w:rsidRPr="006E19C7">
        <w:rPr>
          <w:rFonts w:ascii="Times New Roman" w:hAnsi="Times New Roman" w:cs="Times New Roman"/>
          <w:sz w:val="24"/>
          <w:szCs w:val="24"/>
        </w:rPr>
        <w:t xml:space="preserve">vascular complications. </w:t>
      </w:r>
      <w:r w:rsidRPr="006E19C7">
        <w:rPr>
          <w:rFonts w:ascii="Times New Roman" w:hAnsi="Times New Roman" w:cs="Times New Roman"/>
          <w:sz w:val="24"/>
          <w:szCs w:val="24"/>
        </w:rPr>
        <w:t xml:space="preserve">Adverse </w:t>
      </w:r>
      <w:r w:rsidRPr="006E19C7">
        <w:rPr>
          <w:rFonts w:ascii="Times New Roman" w:hAnsi="Times New Roman" w:cs="Times New Roman"/>
          <w:noProof/>
          <w:sz w:val="24"/>
          <w:szCs w:val="24"/>
        </w:rPr>
        <w:t>cardiac</w:t>
      </w:r>
      <w:r w:rsidRPr="006E19C7">
        <w:rPr>
          <w:rFonts w:ascii="Times New Roman" w:hAnsi="Times New Roman" w:cs="Times New Roman"/>
          <w:sz w:val="24"/>
          <w:szCs w:val="24"/>
        </w:rPr>
        <w:t xml:space="preserve"> complications were a composite of cardiac tamponade, </w:t>
      </w:r>
      <w:proofErr w:type="spellStart"/>
      <w:r w:rsidRPr="006E19C7">
        <w:rPr>
          <w:rFonts w:ascii="Times New Roman" w:hAnsi="Times New Roman" w:cs="Times New Roman"/>
          <w:sz w:val="24"/>
          <w:szCs w:val="24"/>
        </w:rPr>
        <w:t>pericardiocentesis</w:t>
      </w:r>
      <w:proofErr w:type="spellEnd"/>
      <w:r w:rsidRPr="006E19C7">
        <w:rPr>
          <w:rFonts w:ascii="Times New Roman" w:hAnsi="Times New Roman" w:cs="Times New Roman"/>
          <w:sz w:val="24"/>
          <w:szCs w:val="24"/>
        </w:rPr>
        <w:t xml:space="preserve">, iatrogenic cardiac complication requiring emergency coronary artery bypass graft (CABG) surgery and </w:t>
      </w:r>
      <w:proofErr w:type="spellStart"/>
      <w:r w:rsidRPr="006E19C7">
        <w:rPr>
          <w:rFonts w:ascii="Times New Roman" w:hAnsi="Times New Roman" w:cs="Times New Roman"/>
          <w:sz w:val="24"/>
          <w:szCs w:val="24"/>
        </w:rPr>
        <w:t>hemopericardium</w:t>
      </w:r>
      <w:proofErr w:type="spellEnd"/>
      <w:r w:rsidRPr="006E19C7">
        <w:rPr>
          <w:rFonts w:ascii="Times New Roman" w:hAnsi="Times New Roman" w:cs="Times New Roman"/>
          <w:sz w:val="24"/>
          <w:szCs w:val="24"/>
        </w:rPr>
        <w:t xml:space="preserve">. </w:t>
      </w:r>
      <w:r w:rsidR="00FE115B" w:rsidRPr="006E19C7">
        <w:rPr>
          <w:rFonts w:ascii="Times New Roman" w:hAnsi="Times New Roman" w:cs="Times New Roman"/>
          <w:sz w:val="24"/>
          <w:szCs w:val="24"/>
        </w:rPr>
        <w:t xml:space="preserve">Major bleeding was a composite of gastrointestinal, retroperitoneal, intracranial or unspecified </w:t>
      </w:r>
      <w:r w:rsidR="00FE115B" w:rsidRPr="006E19C7">
        <w:rPr>
          <w:rFonts w:ascii="Times New Roman" w:hAnsi="Times New Roman" w:cs="Times New Roman"/>
          <w:noProof/>
          <w:sz w:val="24"/>
          <w:szCs w:val="24"/>
        </w:rPr>
        <w:t>h</w:t>
      </w:r>
      <w:r w:rsidR="007C102D" w:rsidRPr="006E19C7">
        <w:rPr>
          <w:rFonts w:ascii="Times New Roman" w:hAnsi="Times New Roman" w:cs="Times New Roman"/>
          <w:noProof/>
          <w:sz w:val="24"/>
          <w:szCs w:val="24"/>
        </w:rPr>
        <w:t>a</w:t>
      </w:r>
      <w:r w:rsidR="00FE115B" w:rsidRPr="006E19C7">
        <w:rPr>
          <w:rFonts w:ascii="Times New Roman" w:hAnsi="Times New Roman" w:cs="Times New Roman"/>
          <w:noProof/>
          <w:sz w:val="24"/>
          <w:szCs w:val="24"/>
        </w:rPr>
        <w:t>emorrhage</w:t>
      </w:r>
      <w:r w:rsidR="00FE115B" w:rsidRPr="006E19C7">
        <w:rPr>
          <w:rFonts w:ascii="Times New Roman" w:hAnsi="Times New Roman" w:cs="Times New Roman"/>
          <w:sz w:val="24"/>
          <w:szCs w:val="24"/>
        </w:rPr>
        <w:t xml:space="preserve">, and </w:t>
      </w:r>
      <w:r w:rsidRPr="006E19C7">
        <w:rPr>
          <w:rFonts w:ascii="Times New Roman" w:hAnsi="Times New Roman" w:cs="Times New Roman"/>
          <w:sz w:val="24"/>
          <w:szCs w:val="24"/>
        </w:rPr>
        <w:t xml:space="preserve">requirement </w:t>
      </w:r>
      <w:r w:rsidR="009255D3" w:rsidRPr="006E19C7">
        <w:rPr>
          <w:rFonts w:ascii="Times New Roman" w:hAnsi="Times New Roman" w:cs="Times New Roman"/>
          <w:sz w:val="24"/>
          <w:szCs w:val="24"/>
        </w:rPr>
        <w:t>of blood</w:t>
      </w:r>
      <w:r w:rsidR="00FE115B" w:rsidRPr="006E19C7">
        <w:rPr>
          <w:rFonts w:ascii="Times New Roman" w:hAnsi="Times New Roman" w:cs="Times New Roman"/>
          <w:sz w:val="24"/>
          <w:szCs w:val="24"/>
        </w:rPr>
        <w:t xml:space="preserve"> transfusion</w:t>
      </w:r>
      <w:r w:rsidR="009E5EDD" w:rsidRPr="006E19C7">
        <w:rPr>
          <w:rFonts w:ascii="Times New Roman" w:hAnsi="Times New Roman" w:cs="Times New Roman"/>
          <w:sz w:val="24"/>
          <w:szCs w:val="24"/>
        </w:rPr>
        <w:t xml:space="preserve">. </w:t>
      </w:r>
      <w:r w:rsidR="00937D67" w:rsidRPr="006E19C7">
        <w:rPr>
          <w:rFonts w:ascii="Times New Roman" w:hAnsi="Times New Roman" w:cs="Times New Roman"/>
          <w:noProof/>
          <w:sz w:val="24"/>
          <w:szCs w:val="24"/>
        </w:rPr>
        <w:t>V</w:t>
      </w:r>
      <w:r w:rsidR="009E5EDD" w:rsidRPr="006E19C7">
        <w:rPr>
          <w:rFonts w:ascii="Times New Roman" w:hAnsi="Times New Roman" w:cs="Times New Roman"/>
          <w:noProof/>
          <w:sz w:val="24"/>
          <w:szCs w:val="24"/>
        </w:rPr>
        <w:t>ascular</w:t>
      </w:r>
      <w:r w:rsidR="009E5EDD" w:rsidRPr="006E19C7">
        <w:rPr>
          <w:rFonts w:ascii="Times New Roman" w:hAnsi="Times New Roman" w:cs="Times New Roman"/>
          <w:sz w:val="24"/>
          <w:szCs w:val="24"/>
        </w:rPr>
        <w:t xml:space="preserve"> complication</w:t>
      </w:r>
      <w:r w:rsidR="00937D67" w:rsidRPr="006E19C7">
        <w:rPr>
          <w:rFonts w:ascii="Times New Roman" w:hAnsi="Times New Roman" w:cs="Times New Roman"/>
          <w:sz w:val="24"/>
          <w:szCs w:val="24"/>
        </w:rPr>
        <w:t>s</w:t>
      </w:r>
      <w:r w:rsidR="009E5EDD" w:rsidRPr="006E19C7">
        <w:rPr>
          <w:rFonts w:ascii="Times New Roman" w:hAnsi="Times New Roman" w:cs="Times New Roman"/>
          <w:sz w:val="24"/>
          <w:szCs w:val="24"/>
        </w:rPr>
        <w:t xml:space="preserve"> </w:t>
      </w:r>
      <w:r w:rsidR="00937D67" w:rsidRPr="006E19C7">
        <w:rPr>
          <w:rFonts w:ascii="Times New Roman" w:hAnsi="Times New Roman" w:cs="Times New Roman"/>
          <w:sz w:val="24"/>
          <w:szCs w:val="24"/>
        </w:rPr>
        <w:t xml:space="preserve">were </w:t>
      </w:r>
      <w:r w:rsidR="009E5EDD" w:rsidRPr="006E19C7">
        <w:rPr>
          <w:rFonts w:ascii="Times New Roman" w:hAnsi="Times New Roman" w:cs="Times New Roman"/>
          <w:sz w:val="24"/>
          <w:szCs w:val="24"/>
        </w:rPr>
        <w:t xml:space="preserve">defined as </w:t>
      </w:r>
      <w:r w:rsidR="006856A6" w:rsidRPr="006E19C7">
        <w:rPr>
          <w:rFonts w:ascii="Times New Roman" w:hAnsi="Times New Roman" w:cs="Times New Roman"/>
          <w:noProof/>
          <w:sz w:val="24"/>
          <w:szCs w:val="24"/>
        </w:rPr>
        <w:t>procedure</w:t>
      </w:r>
      <w:r w:rsidR="000A5A1C" w:rsidRPr="006E19C7">
        <w:rPr>
          <w:rFonts w:ascii="Times New Roman" w:hAnsi="Times New Roman" w:cs="Times New Roman"/>
          <w:noProof/>
          <w:sz w:val="24"/>
          <w:szCs w:val="24"/>
        </w:rPr>
        <w:t>-</w:t>
      </w:r>
      <w:r w:rsidR="006856A6" w:rsidRPr="006E19C7">
        <w:rPr>
          <w:rFonts w:ascii="Times New Roman" w:hAnsi="Times New Roman" w:cs="Times New Roman"/>
          <w:noProof/>
          <w:sz w:val="24"/>
          <w:szCs w:val="24"/>
        </w:rPr>
        <w:t>related</w:t>
      </w:r>
      <w:r w:rsidR="009255D3" w:rsidRPr="006E19C7">
        <w:rPr>
          <w:rFonts w:ascii="Times New Roman" w:hAnsi="Times New Roman" w:cs="Times New Roman"/>
          <w:sz w:val="24"/>
          <w:szCs w:val="24"/>
        </w:rPr>
        <w:t xml:space="preserve"> vascular injury.</w:t>
      </w:r>
      <w:r w:rsidR="009E5EDD" w:rsidRPr="006E19C7">
        <w:rPr>
          <w:rFonts w:ascii="Times New Roman" w:hAnsi="Times New Roman" w:cs="Times New Roman"/>
          <w:sz w:val="24"/>
          <w:szCs w:val="24"/>
        </w:rPr>
        <w:t xml:space="preserve"> All complications were </w:t>
      </w:r>
      <w:r w:rsidR="00D151A7" w:rsidRPr="006E19C7">
        <w:rPr>
          <w:rFonts w:ascii="Times New Roman" w:hAnsi="Times New Roman" w:cs="Times New Roman"/>
          <w:sz w:val="24"/>
          <w:szCs w:val="24"/>
        </w:rPr>
        <w:t>identified</w:t>
      </w:r>
      <w:r w:rsidR="009E5EDD" w:rsidRPr="006E19C7">
        <w:rPr>
          <w:rFonts w:ascii="Times New Roman" w:hAnsi="Times New Roman" w:cs="Times New Roman"/>
          <w:sz w:val="24"/>
          <w:szCs w:val="24"/>
        </w:rPr>
        <w:t xml:space="preserve"> using ICD-9-CM codes in any of the secondary diagnosis fields within the NIS database (</w:t>
      </w:r>
      <w:r w:rsidR="00E44B34" w:rsidRPr="006E19C7">
        <w:rPr>
          <w:rFonts w:ascii="Times New Roman" w:hAnsi="Times New Roman" w:cs="Times New Roman"/>
          <w:sz w:val="24"/>
          <w:szCs w:val="24"/>
        </w:rPr>
        <w:t>supplementary</w:t>
      </w:r>
      <w:r w:rsidR="00334F61" w:rsidRPr="006E19C7">
        <w:rPr>
          <w:rFonts w:ascii="Times New Roman" w:hAnsi="Times New Roman" w:cs="Times New Roman"/>
          <w:sz w:val="24"/>
          <w:szCs w:val="24"/>
        </w:rPr>
        <w:t xml:space="preserve"> </w:t>
      </w:r>
      <w:r w:rsidR="002F639A" w:rsidRPr="006E19C7">
        <w:rPr>
          <w:rFonts w:ascii="Times New Roman" w:hAnsi="Times New Roman" w:cs="Times New Roman"/>
          <w:noProof/>
          <w:sz w:val="24"/>
          <w:szCs w:val="24"/>
        </w:rPr>
        <w:t>T</w:t>
      </w:r>
      <w:r w:rsidR="009E5EDD" w:rsidRPr="006E19C7">
        <w:rPr>
          <w:rFonts w:ascii="Times New Roman" w:hAnsi="Times New Roman" w:cs="Times New Roman"/>
          <w:noProof/>
          <w:sz w:val="24"/>
          <w:szCs w:val="24"/>
        </w:rPr>
        <w:t>able</w:t>
      </w:r>
      <w:r w:rsidR="006611D7" w:rsidRPr="006E19C7">
        <w:rPr>
          <w:rFonts w:ascii="Times New Roman" w:hAnsi="Times New Roman" w:cs="Times New Roman"/>
          <w:sz w:val="24"/>
          <w:szCs w:val="24"/>
        </w:rPr>
        <w:t xml:space="preserve"> 3</w:t>
      </w:r>
      <w:r w:rsidR="009E5EDD" w:rsidRPr="006E19C7">
        <w:rPr>
          <w:rFonts w:ascii="Times New Roman" w:hAnsi="Times New Roman" w:cs="Times New Roman"/>
          <w:sz w:val="24"/>
          <w:szCs w:val="24"/>
        </w:rPr>
        <w:t xml:space="preserve">). </w:t>
      </w:r>
    </w:p>
    <w:p w14:paraId="60828378" w14:textId="77777777" w:rsidR="00B42EAD" w:rsidRPr="006E19C7" w:rsidRDefault="00B42EAD" w:rsidP="00A35E42">
      <w:pPr>
        <w:snapToGrid w:val="0"/>
        <w:spacing w:after="0" w:line="480" w:lineRule="auto"/>
        <w:jc w:val="both"/>
        <w:rPr>
          <w:rFonts w:ascii="Times New Roman" w:hAnsi="Times New Roman" w:cs="Times New Roman"/>
          <w:i/>
          <w:sz w:val="24"/>
          <w:szCs w:val="24"/>
        </w:rPr>
      </w:pPr>
    </w:p>
    <w:p w14:paraId="5204C2E2" w14:textId="77777777" w:rsidR="009E5EDD" w:rsidRPr="006E19C7" w:rsidRDefault="009E5EDD"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Statistical analysis</w:t>
      </w:r>
    </w:p>
    <w:p w14:paraId="1F526FF3" w14:textId="182D0B02" w:rsidR="004B0E29" w:rsidRPr="006E19C7" w:rsidRDefault="00D1282A" w:rsidP="009644EA">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All statis</w:t>
      </w:r>
      <w:r w:rsidR="004D4265" w:rsidRPr="006E19C7">
        <w:rPr>
          <w:rFonts w:ascii="Times New Roman" w:hAnsi="Times New Roman" w:cs="Times New Roman"/>
          <w:sz w:val="24"/>
          <w:szCs w:val="24"/>
        </w:rPr>
        <w:t>tical analyses were conducted using</w:t>
      </w:r>
      <w:r w:rsidRPr="006E19C7">
        <w:rPr>
          <w:rFonts w:ascii="Times New Roman" w:hAnsi="Times New Roman" w:cs="Times New Roman"/>
          <w:sz w:val="24"/>
          <w:szCs w:val="24"/>
        </w:rPr>
        <w:t xml:space="preserve"> Stat 14.0 (College Station, Texas, USA). </w:t>
      </w:r>
      <w:r w:rsidR="009E5EDD" w:rsidRPr="006E19C7">
        <w:rPr>
          <w:rFonts w:ascii="Times New Roman" w:hAnsi="Times New Roman" w:cs="Times New Roman"/>
          <w:sz w:val="24"/>
          <w:szCs w:val="24"/>
        </w:rPr>
        <w:t xml:space="preserve">We employed descriptive statistics to </w:t>
      </w:r>
      <w:r w:rsidRPr="006E19C7">
        <w:rPr>
          <w:rFonts w:ascii="Times New Roman" w:hAnsi="Times New Roman" w:cs="Times New Roman"/>
          <w:sz w:val="24"/>
          <w:szCs w:val="24"/>
        </w:rPr>
        <w:t xml:space="preserve">compare </w:t>
      </w:r>
      <w:r w:rsidR="009E5EDD" w:rsidRPr="006E19C7">
        <w:rPr>
          <w:rFonts w:ascii="Times New Roman" w:hAnsi="Times New Roman" w:cs="Times New Roman"/>
          <w:sz w:val="24"/>
          <w:szCs w:val="24"/>
        </w:rPr>
        <w:t>differences in baseline demographics, hospital characteristic and crude outcome rates</w:t>
      </w:r>
      <w:r w:rsidRPr="006E19C7">
        <w:rPr>
          <w:rFonts w:ascii="Times New Roman" w:hAnsi="Times New Roman" w:cs="Times New Roman"/>
          <w:sz w:val="24"/>
          <w:szCs w:val="24"/>
        </w:rPr>
        <w:t xml:space="preserve"> of patients who received CA compared to those managed medically</w:t>
      </w:r>
      <w:r w:rsidR="009E5EDD" w:rsidRPr="006E19C7">
        <w:rPr>
          <w:rFonts w:ascii="Times New Roman" w:hAnsi="Times New Roman" w:cs="Times New Roman"/>
          <w:sz w:val="24"/>
          <w:szCs w:val="24"/>
        </w:rPr>
        <w:t xml:space="preserve">. Continuous variables are reported as median and interquartile ranges to account for skewness of data. Categorical </w:t>
      </w:r>
      <w:r w:rsidR="00C21F3E" w:rsidRPr="006E19C7">
        <w:rPr>
          <w:rFonts w:ascii="Times New Roman" w:hAnsi="Times New Roman" w:cs="Times New Roman"/>
          <w:sz w:val="24"/>
          <w:szCs w:val="24"/>
        </w:rPr>
        <w:t>variables are</w:t>
      </w:r>
      <w:r w:rsidR="009E5EDD" w:rsidRPr="006E19C7">
        <w:rPr>
          <w:rFonts w:ascii="Times New Roman" w:hAnsi="Times New Roman" w:cs="Times New Roman"/>
          <w:sz w:val="24"/>
          <w:szCs w:val="24"/>
        </w:rPr>
        <w:t xml:space="preserve"> presented as number and percentage.</w:t>
      </w:r>
      <w:r w:rsidR="00FE760B" w:rsidRPr="006E19C7">
        <w:rPr>
          <w:rFonts w:ascii="Times New Roman" w:hAnsi="Times New Roman" w:cs="Times New Roman"/>
          <w:sz w:val="24"/>
          <w:szCs w:val="24"/>
        </w:rPr>
        <w:t xml:space="preserve"> </w:t>
      </w:r>
      <w:r w:rsidR="00FE760B" w:rsidRPr="006E19C7">
        <w:rPr>
          <w:rFonts w:ascii="Times New Roman" w:hAnsi="Times New Roman" w:cs="Times New Roman"/>
          <w:noProof/>
          <w:sz w:val="24"/>
          <w:szCs w:val="24"/>
        </w:rPr>
        <w:t>Chi</w:t>
      </w:r>
      <w:r w:rsidR="007C102D" w:rsidRPr="006E19C7">
        <w:rPr>
          <w:rFonts w:ascii="Times New Roman" w:hAnsi="Times New Roman" w:cs="Times New Roman"/>
          <w:noProof/>
          <w:sz w:val="24"/>
          <w:szCs w:val="24"/>
        </w:rPr>
        <w:t>-</w:t>
      </w:r>
      <w:r w:rsidR="00FE760B" w:rsidRPr="006E19C7">
        <w:rPr>
          <w:rFonts w:ascii="Times New Roman" w:hAnsi="Times New Roman" w:cs="Times New Roman"/>
          <w:noProof/>
          <w:sz w:val="24"/>
          <w:szCs w:val="24"/>
        </w:rPr>
        <w:t>square</w:t>
      </w:r>
      <w:r w:rsidR="00FE760B" w:rsidRPr="006E19C7">
        <w:rPr>
          <w:rFonts w:ascii="Times New Roman" w:hAnsi="Times New Roman" w:cs="Times New Roman"/>
          <w:sz w:val="24"/>
          <w:szCs w:val="24"/>
        </w:rPr>
        <w:t xml:space="preserve"> and t-test</w:t>
      </w:r>
      <w:r w:rsidR="004D4265" w:rsidRPr="006E19C7">
        <w:rPr>
          <w:rFonts w:ascii="Times New Roman" w:hAnsi="Times New Roman" w:cs="Times New Roman"/>
          <w:sz w:val="24"/>
          <w:szCs w:val="24"/>
        </w:rPr>
        <w:t>s</w:t>
      </w:r>
      <w:r w:rsidR="00FE760B" w:rsidRPr="006E19C7">
        <w:rPr>
          <w:rFonts w:ascii="Times New Roman" w:hAnsi="Times New Roman" w:cs="Times New Roman"/>
          <w:sz w:val="24"/>
          <w:szCs w:val="24"/>
        </w:rPr>
        <w:t xml:space="preserve"> were used to determine statistical difference between</w:t>
      </w:r>
      <w:r w:rsidR="004D4265" w:rsidRPr="006E19C7">
        <w:rPr>
          <w:rFonts w:ascii="Times New Roman" w:hAnsi="Times New Roman" w:cs="Times New Roman"/>
          <w:sz w:val="24"/>
          <w:szCs w:val="24"/>
        </w:rPr>
        <w:t xml:space="preserve"> patients who received CA compared to those who were managed medically for</w:t>
      </w:r>
      <w:r w:rsidR="00FE760B" w:rsidRPr="006E19C7">
        <w:rPr>
          <w:rFonts w:ascii="Times New Roman" w:hAnsi="Times New Roman" w:cs="Times New Roman"/>
          <w:sz w:val="24"/>
          <w:szCs w:val="24"/>
        </w:rPr>
        <w:t xml:space="preserve"> categorical or continuous </w:t>
      </w:r>
      <w:r w:rsidR="00FE760B" w:rsidRPr="006E19C7">
        <w:rPr>
          <w:rFonts w:ascii="Times New Roman" w:hAnsi="Times New Roman" w:cs="Times New Roman"/>
          <w:sz w:val="24"/>
          <w:szCs w:val="24"/>
        </w:rPr>
        <w:lastRenderedPageBreak/>
        <w:t>variables respectively</w:t>
      </w:r>
      <w:r w:rsidR="004D4265" w:rsidRPr="006E19C7">
        <w:rPr>
          <w:rFonts w:ascii="Times New Roman" w:hAnsi="Times New Roman" w:cs="Times New Roman"/>
          <w:sz w:val="24"/>
          <w:szCs w:val="24"/>
        </w:rPr>
        <w:t>, while the</w:t>
      </w:r>
      <w:r w:rsidR="00FE760B" w:rsidRPr="006E19C7">
        <w:rPr>
          <w:rFonts w:ascii="Times New Roman" w:hAnsi="Times New Roman" w:cs="Times New Roman"/>
          <w:sz w:val="24"/>
          <w:szCs w:val="24"/>
        </w:rPr>
        <w:t xml:space="preserve"> </w:t>
      </w:r>
      <w:r w:rsidR="004D4265" w:rsidRPr="006E19C7">
        <w:rPr>
          <w:rFonts w:ascii="Times New Roman" w:hAnsi="Times New Roman" w:cs="Times New Roman"/>
          <w:sz w:val="24"/>
          <w:szCs w:val="24"/>
        </w:rPr>
        <w:t>“</w:t>
      </w:r>
      <w:proofErr w:type="spellStart"/>
      <w:r w:rsidR="00FE760B" w:rsidRPr="006E19C7">
        <w:rPr>
          <w:rFonts w:ascii="Times New Roman" w:hAnsi="Times New Roman" w:cs="Times New Roman"/>
          <w:noProof/>
          <w:sz w:val="24"/>
          <w:szCs w:val="24"/>
        </w:rPr>
        <w:t>nptrend</w:t>
      </w:r>
      <w:proofErr w:type="spellEnd"/>
      <w:r w:rsidR="004D4265" w:rsidRPr="006E19C7">
        <w:rPr>
          <w:rFonts w:ascii="Times New Roman" w:hAnsi="Times New Roman" w:cs="Times New Roman"/>
          <w:noProof/>
          <w:sz w:val="24"/>
          <w:szCs w:val="24"/>
        </w:rPr>
        <w:t>”</w:t>
      </w:r>
      <w:r w:rsidR="00FE760B" w:rsidRPr="006E19C7">
        <w:rPr>
          <w:rFonts w:ascii="Times New Roman" w:hAnsi="Times New Roman" w:cs="Times New Roman"/>
          <w:sz w:val="24"/>
          <w:szCs w:val="24"/>
        </w:rPr>
        <w:t xml:space="preserve"> packag</w:t>
      </w:r>
      <w:r w:rsidR="004A5DE9" w:rsidRPr="006E19C7">
        <w:rPr>
          <w:rFonts w:ascii="Times New Roman" w:hAnsi="Times New Roman" w:cs="Times New Roman"/>
          <w:sz w:val="24"/>
          <w:szCs w:val="24"/>
        </w:rPr>
        <w:t>e was used for trend across ordered groups.</w:t>
      </w:r>
      <w:r w:rsidR="00FE760B" w:rsidRPr="006E19C7">
        <w:rPr>
          <w:rFonts w:ascii="Times New Roman" w:hAnsi="Times New Roman" w:cs="Times New Roman"/>
          <w:sz w:val="24"/>
          <w:szCs w:val="24"/>
        </w:rPr>
        <w:t xml:space="preserve"> </w:t>
      </w:r>
      <w:proofErr w:type="spellStart"/>
      <w:r w:rsidR="004D4265" w:rsidRPr="006E19C7">
        <w:rPr>
          <w:rFonts w:ascii="Times New Roman" w:hAnsi="Times New Roman" w:cs="Times New Roman"/>
          <w:sz w:val="24"/>
          <w:szCs w:val="24"/>
        </w:rPr>
        <w:t>Univariable</w:t>
      </w:r>
      <w:proofErr w:type="spellEnd"/>
      <w:r w:rsidR="004D4265" w:rsidRPr="006E19C7">
        <w:rPr>
          <w:rFonts w:ascii="Times New Roman" w:hAnsi="Times New Roman" w:cs="Times New Roman"/>
          <w:sz w:val="24"/>
          <w:szCs w:val="24"/>
        </w:rPr>
        <w:t xml:space="preserve"> and multivariable</w:t>
      </w:r>
      <w:r w:rsidR="00C21F3E" w:rsidRPr="006E19C7">
        <w:rPr>
          <w:rFonts w:ascii="Times New Roman" w:hAnsi="Times New Roman" w:cs="Times New Roman"/>
          <w:sz w:val="24"/>
          <w:szCs w:val="24"/>
        </w:rPr>
        <w:t xml:space="preserve"> analyses were undertaken to determine the association between use of </w:t>
      </w:r>
      <w:r w:rsidR="007656B0" w:rsidRPr="006E19C7">
        <w:rPr>
          <w:rFonts w:ascii="Times New Roman" w:hAnsi="Times New Roman" w:cs="Times New Roman"/>
          <w:sz w:val="24"/>
          <w:szCs w:val="24"/>
        </w:rPr>
        <w:t>CA</w:t>
      </w:r>
      <w:r w:rsidR="002C65CF" w:rsidRPr="006E19C7">
        <w:rPr>
          <w:rFonts w:ascii="Times New Roman" w:hAnsi="Times New Roman" w:cs="Times New Roman"/>
          <w:sz w:val="24"/>
          <w:szCs w:val="24"/>
        </w:rPr>
        <w:t xml:space="preserve"> </w:t>
      </w:r>
      <w:r w:rsidR="00C21F3E" w:rsidRPr="006E19C7">
        <w:rPr>
          <w:rFonts w:ascii="Times New Roman" w:hAnsi="Times New Roman" w:cs="Times New Roman"/>
          <w:sz w:val="24"/>
          <w:szCs w:val="24"/>
        </w:rPr>
        <w:t xml:space="preserve">and outcomes of interest. Logistic regression models were fitted using maximum likelihood estimation </w:t>
      </w:r>
      <w:r w:rsidR="000210AD" w:rsidRPr="006E19C7">
        <w:rPr>
          <w:rFonts w:ascii="Times New Roman" w:hAnsi="Times New Roman" w:cs="Times New Roman"/>
          <w:sz w:val="24"/>
          <w:szCs w:val="24"/>
        </w:rPr>
        <w:t xml:space="preserve">and </w:t>
      </w:r>
      <w:r w:rsidR="00A265B4" w:rsidRPr="006E19C7">
        <w:rPr>
          <w:rFonts w:ascii="Times New Roman" w:hAnsi="Times New Roman" w:cs="Times New Roman"/>
          <w:sz w:val="24"/>
          <w:szCs w:val="24"/>
        </w:rPr>
        <w:t xml:space="preserve">were adjusted for all potential and measured confounders including age, sex, year of procedure, 29 </w:t>
      </w:r>
      <w:proofErr w:type="spellStart"/>
      <w:r w:rsidR="00A265B4" w:rsidRPr="006E19C7">
        <w:rPr>
          <w:rFonts w:ascii="Times New Roman" w:hAnsi="Times New Roman" w:cs="Times New Roman"/>
          <w:sz w:val="24"/>
          <w:szCs w:val="24"/>
        </w:rPr>
        <w:t>Elixhasuer</w:t>
      </w:r>
      <w:proofErr w:type="spellEnd"/>
      <w:r w:rsidR="00A265B4" w:rsidRPr="006E19C7">
        <w:rPr>
          <w:rFonts w:ascii="Times New Roman" w:hAnsi="Times New Roman" w:cs="Times New Roman"/>
          <w:sz w:val="24"/>
          <w:szCs w:val="24"/>
        </w:rPr>
        <w:t xml:space="preserve"> comorbidities, ethnicity, median income, weekend/weekday admission, </w:t>
      </w:r>
      <w:r w:rsidR="00306FC1" w:rsidRPr="006E19C7">
        <w:rPr>
          <w:rFonts w:ascii="Times New Roman" w:hAnsi="Times New Roman" w:cs="Times New Roman"/>
          <w:sz w:val="24"/>
          <w:szCs w:val="24"/>
        </w:rPr>
        <w:t>cardiovascular risk factor</w:t>
      </w:r>
      <w:r w:rsidR="002C65CF" w:rsidRPr="006E19C7">
        <w:rPr>
          <w:rFonts w:ascii="Times New Roman" w:hAnsi="Times New Roman" w:cs="Times New Roman"/>
          <w:sz w:val="24"/>
          <w:szCs w:val="24"/>
        </w:rPr>
        <w:t>s</w:t>
      </w:r>
      <w:r w:rsidR="00306FC1" w:rsidRPr="006E19C7">
        <w:rPr>
          <w:rFonts w:ascii="Times New Roman" w:hAnsi="Times New Roman" w:cs="Times New Roman"/>
          <w:sz w:val="24"/>
          <w:szCs w:val="24"/>
        </w:rPr>
        <w:t xml:space="preserve"> and </w:t>
      </w:r>
      <w:r w:rsidR="00A265B4" w:rsidRPr="006E19C7">
        <w:rPr>
          <w:rFonts w:ascii="Times New Roman" w:hAnsi="Times New Roman" w:cs="Times New Roman"/>
          <w:sz w:val="24"/>
          <w:szCs w:val="24"/>
        </w:rPr>
        <w:t>hospital characteristics.</w:t>
      </w:r>
      <w:r w:rsidR="004B0E29" w:rsidRPr="006E19C7">
        <w:rPr>
          <w:rFonts w:ascii="Times New Roman" w:hAnsi="Times New Roman" w:cs="Times New Roman"/>
          <w:sz w:val="24"/>
          <w:szCs w:val="24"/>
        </w:rPr>
        <w:t xml:space="preserve"> In order to better control for any differences in the baseline characteristics of the patients in the two groups, we also undertook a sensitivity analysis using propensity score matching</w:t>
      </w:r>
      <w:r w:rsidR="0070153E" w:rsidRPr="006E19C7">
        <w:rPr>
          <w:rFonts w:ascii="Times New Roman" w:hAnsi="Times New Roman" w:cs="Times New Roman"/>
          <w:sz w:val="24"/>
          <w:szCs w:val="24"/>
        </w:rPr>
        <w:t>.  We</w:t>
      </w:r>
      <w:r w:rsidR="004B0E29" w:rsidRPr="006E19C7">
        <w:rPr>
          <w:rFonts w:ascii="Times New Roman" w:hAnsi="Times New Roman" w:cs="Times New Roman"/>
          <w:sz w:val="24"/>
          <w:szCs w:val="24"/>
        </w:rPr>
        <w:t xml:space="preserve"> estimate</w:t>
      </w:r>
      <w:r w:rsidR="0070153E" w:rsidRPr="006E19C7">
        <w:rPr>
          <w:rFonts w:ascii="Times New Roman" w:hAnsi="Times New Roman" w:cs="Times New Roman"/>
          <w:sz w:val="24"/>
          <w:szCs w:val="24"/>
        </w:rPr>
        <w:t>d</w:t>
      </w:r>
      <w:r w:rsidR="004B0E29" w:rsidRPr="006E19C7">
        <w:rPr>
          <w:rFonts w:ascii="Times New Roman" w:hAnsi="Times New Roman" w:cs="Times New Roman"/>
          <w:sz w:val="24"/>
          <w:szCs w:val="24"/>
        </w:rPr>
        <w:t xml:space="preserve"> the average treatment effects using</w:t>
      </w:r>
      <w:r w:rsidR="0070153E" w:rsidRPr="006E19C7">
        <w:rPr>
          <w:rFonts w:ascii="Times New Roman" w:hAnsi="Times New Roman" w:cs="Times New Roman"/>
          <w:sz w:val="24"/>
          <w:szCs w:val="24"/>
        </w:rPr>
        <w:t xml:space="preserve"> the “</w:t>
      </w:r>
      <w:proofErr w:type="spellStart"/>
      <w:r w:rsidR="0070153E" w:rsidRPr="006E19C7">
        <w:rPr>
          <w:rFonts w:ascii="Times New Roman" w:hAnsi="Times New Roman" w:cs="Times New Roman"/>
          <w:sz w:val="24"/>
          <w:szCs w:val="24"/>
        </w:rPr>
        <w:t>teffects</w:t>
      </w:r>
      <w:proofErr w:type="spellEnd"/>
      <w:r w:rsidR="0070153E" w:rsidRPr="006E19C7">
        <w:rPr>
          <w:rFonts w:ascii="Times New Roman" w:hAnsi="Times New Roman" w:cs="Times New Roman"/>
          <w:sz w:val="24"/>
          <w:szCs w:val="24"/>
        </w:rPr>
        <w:t>” package and included all the</w:t>
      </w:r>
      <w:r w:rsidR="004B0E29" w:rsidRPr="006E19C7">
        <w:rPr>
          <w:rFonts w:ascii="Times New Roman" w:hAnsi="Times New Roman" w:cs="Times New Roman"/>
          <w:sz w:val="24"/>
          <w:szCs w:val="24"/>
        </w:rPr>
        <w:t xml:space="preserve"> variables as described in the multivariable logistic regression models. </w:t>
      </w:r>
    </w:p>
    <w:p w14:paraId="17F204AB" w14:textId="130C0B6B" w:rsidR="00C263C4" w:rsidRPr="006E19C7" w:rsidRDefault="009644EA"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 xml:space="preserve">Results: </w:t>
      </w:r>
    </w:p>
    <w:p w14:paraId="6828F00E" w14:textId="77777777" w:rsidR="008635CA" w:rsidRPr="006E19C7" w:rsidRDefault="008635CA"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Patients and hospital characteristics</w:t>
      </w:r>
    </w:p>
    <w:p w14:paraId="51DFA8EA" w14:textId="0170CB81" w:rsidR="008A562A" w:rsidRPr="006E19C7" w:rsidRDefault="00C263C4"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A total of </w:t>
      </w:r>
      <w:r w:rsidR="000210AD" w:rsidRPr="006E19C7">
        <w:rPr>
          <w:rFonts w:ascii="Times New Roman" w:hAnsi="Times New Roman" w:cs="Times New Roman"/>
          <w:sz w:val="24"/>
          <w:szCs w:val="24"/>
        </w:rPr>
        <w:t xml:space="preserve">4,380,827 patients were admitted with a diagnosis of NSTEACS between 2004 and 2014 of which 2,518,704 (57.5%) </w:t>
      </w:r>
      <w:r w:rsidR="00B4584D" w:rsidRPr="006E19C7">
        <w:rPr>
          <w:rFonts w:ascii="Times New Roman" w:hAnsi="Times New Roman" w:cs="Times New Roman"/>
          <w:sz w:val="24"/>
          <w:szCs w:val="24"/>
        </w:rPr>
        <w:t xml:space="preserve">underwent </w:t>
      </w:r>
      <w:r w:rsidR="00033D28" w:rsidRPr="006E19C7">
        <w:rPr>
          <w:rFonts w:ascii="Times New Roman" w:hAnsi="Times New Roman" w:cs="Times New Roman"/>
          <w:sz w:val="24"/>
          <w:szCs w:val="24"/>
        </w:rPr>
        <w:t>a</w:t>
      </w:r>
      <w:r w:rsidR="001111C3" w:rsidRPr="006E19C7">
        <w:rPr>
          <w:rFonts w:ascii="Times New Roman" w:hAnsi="Times New Roman" w:cs="Times New Roman"/>
          <w:sz w:val="24"/>
          <w:szCs w:val="24"/>
        </w:rPr>
        <w:t>n in-patient CA</w:t>
      </w:r>
      <w:r w:rsidR="00033D28" w:rsidRPr="006E19C7">
        <w:rPr>
          <w:rFonts w:ascii="Times New Roman" w:hAnsi="Times New Roman" w:cs="Times New Roman"/>
          <w:sz w:val="24"/>
          <w:szCs w:val="24"/>
        </w:rPr>
        <w:t xml:space="preserve"> </w:t>
      </w:r>
      <w:r w:rsidR="002016E4" w:rsidRPr="006E19C7">
        <w:rPr>
          <w:rFonts w:ascii="Times New Roman" w:hAnsi="Times New Roman" w:cs="Times New Roman"/>
          <w:sz w:val="24"/>
          <w:szCs w:val="24"/>
        </w:rPr>
        <w:t>(</w:t>
      </w:r>
      <w:r w:rsidR="00F87B02" w:rsidRPr="006E19C7">
        <w:rPr>
          <w:rFonts w:ascii="Times New Roman" w:hAnsi="Times New Roman" w:cs="Times New Roman"/>
          <w:b/>
          <w:sz w:val="24"/>
          <w:szCs w:val="24"/>
        </w:rPr>
        <w:t>F</w:t>
      </w:r>
      <w:r w:rsidR="002016E4" w:rsidRPr="006E19C7">
        <w:rPr>
          <w:rFonts w:ascii="Times New Roman" w:hAnsi="Times New Roman" w:cs="Times New Roman"/>
          <w:b/>
          <w:sz w:val="24"/>
          <w:szCs w:val="24"/>
        </w:rPr>
        <w:t>igure 1</w:t>
      </w:r>
      <w:r w:rsidR="002016E4" w:rsidRPr="006E19C7">
        <w:rPr>
          <w:rFonts w:ascii="Times New Roman" w:hAnsi="Times New Roman" w:cs="Times New Roman"/>
          <w:sz w:val="24"/>
          <w:szCs w:val="24"/>
        </w:rPr>
        <w:t>)</w:t>
      </w:r>
      <w:r w:rsidR="000210AD" w:rsidRPr="006E19C7">
        <w:rPr>
          <w:rFonts w:ascii="Times New Roman" w:hAnsi="Times New Roman" w:cs="Times New Roman"/>
          <w:sz w:val="24"/>
          <w:szCs w:val="24"/>
        </w:rPr>
        <w:t xml:space="preserve">. </w:t>
      </w:r>
      <w:r w:rsidR="004D4265" w:rsidRPr="006E19C7">
        <w:rPr>
          <w:rFonts w:ascii="Times New Roman" w:hAnsi="Times New Roman" w:cs="Times New Roman"/>
          <w:noProof/>
          <w:sz w:val="24"/>
          <w:szCs w:val="24"/>
        </w:rPr>
        <w:t>D</w:t>
      </w:r>
      <w:r w:rsidR="002016E4" w:rsidRPr="006E19C7">
        <w:rPr>
          <w:rFonts w:ascii="Times New Roman" w:hAnsi="Times New Roman" w:cs="Times New Roman"/>
          <w:noProof/>
          <w:sz w:val="24"/>
          <w:szCs w:val="24"/>
        </w:rPr>
        <w:t>ifference</w:t>
      </w:r>
      <w:r w:rsidR="0003713D" w:rsidRPr="006E19C7">
        <w:rPr>
          <w:rFonts w:ascii="Times New Roman" w:hAnsi="Times New Roman" w:cs="Times New Roman"/>
          <w:noProof/>
          <w:sz w:val="24"/>
          <w:szCs w:val="24"/>
        </w:rPr>
        <w:t>s</w:t>
      </w:r>
      <w:r w:rsidR="004D4265" w:rsidRPr="006E19C7">
        <w:rPr>
          <w:rFonts w:ascii="Times New Roman" w:hAnsi="Times New Roman" w:cs="Times New Roman"/>
          <w:sz w:val="24"/>
          <w:szCs w:val="24"/>
        </w:rPr>
        <w:t xml:space="preserve"> in baseline characteristics</w:t>
      </w:r>
      <w:r w:rsidR="002016E4" w:rsidRPr="006E19C7">
        <w:rPr>
          <w:rFonts w:ascii="Times New Roman" w:hAnsi="Times New Roman" w:cs="Times New Roman"/>
          <w:sz w:val="24"/>
          <w:szCs w:val="24"/>
        </w:rPr>
        <w:t xml:space="preserve"> between patients receiving </w:t>
      </w:r>
      <w:r w:rsidR="00B4584D" w:rsidRPr="006E19C7">
        <w:rPr>
          <w:rFonts w:ascii="Times New Roman" w:hAnsi="Times New Roman" w:cs="Times New Roman"/>
          <w:sz w:val="24"/>
          <w:szCs w:val="24"/>
        </w:rPr>
        <w:t xml:space="preserve">CA </w:t>
      </w:r>
      <w:r w:rsidR="002C65CF" w:rsidRPr="006E19C7">
        <w:rPr>
          <w:rFonts w:ascii="Times New Roman" w:hAnsi="Times New Roman" w:cs="Times New Roman"/>
          <w:sz w:val="24"/>
          <w:szCs w:val="24"/>
        </w:rPr>
        <w:t>compared to those</w:t>
      </w:r>
      <w:r w:rsidR="002016E4" w:rsidRPr="006E19C7">
        <w:rPr>
          <w:rFonts w:ascii="Times New Roman" w:hAnsi="Times New Roman" w:cs="Times New Roman"/>
          <w:sz w:val="24"/>
          <w:szCs w:val="24"/>
        </w:rPr>
        <w:t xml:space="preserve"> managed</w:t>
      </w:r>
      <w:r w:rsidR="002C65CF" w:rsidRPr="006E19C7">
        <w:rPr>
          <w:rFonts w:ascii="Times New Roman" w:hAnsi="Times New Roman" w:cs="Times New Roman"/>
          <w:sz w:val="24"/>
          <w:szCs w:val="24"/>
        </w:rPr>
        <w:t xml:space="preserve"> medically</w:t>
      </w:r>
      <w:r w:rsidR="00F87B02" w:rsidRPr="006E19C7">
        <w:rPr>
          <w:rFonts w:ascii="Times New Roman" w:hAnsi="Times New Roman" w:cs="Times New Roman"/>
          <w:sz w:val="24"/>
          <w:szCs w:val="24"/>
        </w:rPr>
        <w:t xml:space="preserve"> </w:t>
      </w:r>
      <w:r w:rsidR="00F87B02" w:rsidRPr="006E19C7">
        <w:rPr>
          <w:rFonts w:ascii="Times New Roman" w:hAnsi="Times New Roman" w:cs="Times New Roman"/>
          <w:noProof/>
          <w:sz w:val="24"/>
          <w:szCs w:val="24"/>
        </w:rPr>
        <w:t>are</w:t>
      </w:r>
      <w:r w:rsidR="00F87B02" w:rsidRPr="006E19C7">
        <w:rPr>
          <w:rFonts w:ascii="Times New Roman" w:hAnsi="Times New Roman" w:cs="Times New Roman"/>
          <w:sz w:val="24"/>
          <w:szCs w:val="24"/>
        </w:rPr>
        <w:t xml:space="preserve"> presented in </w:t>
      </w:r>
      <w:r w:rsidR="00F87B02" w:rsidRPr="006E19C7">
        <w:rPr>
          <w:rFonts w:ascii="Times New Roman" w:hAnsi="Times New Roman" w:cs="Times New Roman"/>
          <w:b/>
          <w:sz w:val="24"/>
          <w:szCs w:val="24"/>
        </w:rPr>
        <w:t>T</w:t>
      </w:r>
      <w:r w:rsidR="002016E4" w:rsidRPr="006E19C7">
        <w:rPr>
          <w:rFonts w:ascii="Times New Roman" w:hAnsi="Times New Roman" w:cs="Times New Roman"/>
          <w:b/>
          <w:sz w:val="24"/>
          <w:szCs w:val="24"/>
        </w:rPr>
        <w:t>able 1</w:t>
      </w:r>
      <w:r w:rsidR="002016E4" w:rsidRPr="006E19C7">
        <w:rPr>
          <w:rFonts w:ascii="Times New Roman" w:hAnsi="Times New Roman" w:cs="Times New Roman"/>
          <w:sz w:val="24"/>
          <w:szCs w:val="24"/>
        </w:rPr>
        <w:t>. Patients re</w:t>
      </w:r>
      <w:r w:rsidR="0088574D" w:rsidRPr="006E19C7">
        <w:rPr>
          <w:rFonts w:ascii="Times New Roman" w:hAnsi="Times New Roman" w:cs="Times New Roman"/>
          <w:sz w:val="24"/>
          <w:szCs w:val="24"/>
        </w:rPr>
        <w:t xml:space="preserve">ceiving </w:t>
      </w:r>
      <w:r w:rsidR="0099128B" w:rsidRPr="006E19C7">
        <w:rPr>
          <w:rFonts w:ascii="Times New Roman" w:hAnsi="Times New Roman" w:cs="Times New Roman"/>
          <w:sz w:val="24"/>
          <w:szCs w:val="24"/>
        </w:rPr>
        <w:t xml:space="preserve">a </w:t>
      </w:r>
      <w:r w:rsidR="00B4584D" w:rsidRPr="006E19C7">
        <w:rPr>
          <w:rFonts w:ascii="Times New Roman" w:hAnsi="Times New Roman" w:cs="Times New Roman"/>
          <w:sz w:val="24"/>
          <w:szCs w:val="24"/>
        </w:rPr>
        <w:t>CA</w:t>
      </w:r>
      <w:r w:rsidR="0088574D" w:rsidRPr="006E19C7">
        <w:rPr>
          <w:rFonts w:ascii="Times New Roman" w:hAnsi="Times New Roman" w:cs="Times New Roman"/>
          <w:sz w:val="24"/>
          <w:szCs w:val="24"/>
        </w:rPr>
        <w:t xml:space="preserve"> were</w:t>
      </w:r>
      <w:r w:rsidR="002016E4" w:rsidRPr="006E19C7">
        <w:rPr>
          <w:rFonts w:ascii="Times New Roman" w:hAnsi="Times New Roman" w:cs="Times New Roman"/>
          <w:sz w:val="24"/>
          <w:szCs w:val="24"/>
        </w:rPr>
        <w:t xml:space="preserve"> </w:t>
      </w:r>
      <w:r w:rsidR="0088574D" w:rsidRPr="006E19C7">
        <w:rPr>
          <w:rFonts w:ascii="Times New Roman" w:hAnsi="Times New Roman" w:cs="Times New Roman"/>
          <w:sz w:val="24"/>
          <w:szCs w:val="24"/>
        </w:rPr>
        <w:t>younger (</w:t>
      </w:r>
      <w:r w:rsidR="002016E4" w:rsidRPr="006E19C7">
        <w:rPr>
          <w:rFonts w:ascii="Times New Roman" w:hAnsi="Times New Roman" w:cs="Times New Roman"/>
          <w:sz w:val="24"/>
          <w:szCs w:val="24"/>
        </w:rPr>
        <w:t>median age 65 vs 72 years</w:t>
      </w:r>
      <w:r w:rsidR="002C65CF" w:rsidRPr="006E19C7">
        <w:rPr>
          <w:rFonts w:ascii="Times New Roman" w:hAnsi="Times New Roman" w:cs="Times New Roman"/>
          <w:sz w:val="24"/>
          <w:szCs w:val="24"/>
        </w:rPr>
        <w:t>, p&lt;0.001</w:t>
      </w:r>
      <w:r w:rsidR="002016E4" w:rsidRPr="006E19C7">
        <w:rPr>
          <w:rFonts w:ascii="Times New Roman" w:hAnsi="Times New Roman" w:cs="Times New Roman"/>
          <w:sz w:val="24"/>
          <w:szCs w:val="24"/>
        </w:rPr>
        <w:t>), had worse cardiovascular profile such as history of smoking</w:t>
      </w:r>
      <w:r w:rsidR="0088574D" w:rsidRPr="006E19C7">
        <w:rPr>
          <w:rFonts w:ascii="Times New Roman" w:hAnsi="Times New Roman" w:cs="Times New Roman"/>
          <w:sz w:val="24"/>
          <w:szCs w:val="24"/>
        </w:rPr>
        <w:t xml:space="preserve"> (37.9% vs</w:t>
      </w:r>
      <w:r w:rsidR="002C65CF" w:rsidRPr="006E19C7">
        <w:rPr>
          <w:rFonts w:ascii="Times New Roman" w:hAnsi="Times New Roman" w:cs="Times New Roman"/>
          <w:sz w:val="24"/>
          <w:szCs w:val="24"/>
        </w:rPr>
        <w:t xml:space="preserve"> </w:t>
      </w:r>
      <w:r w:rsidR="0088574D" w:rsidRPr="006E19C7">
        <w:rPr>
          <w:rFonts w:ascii="Times New Roman" w:hAnsi="Times New Roman" w:cs="Times New Roman"/>
          <w:sz w:val="24"/>
          <w:szCs w:val="24"/>
        </w:rPr>
        <w:t>22.4%</w:t>
      </w:r>
      <w:r w:rsidR="002C65CF" w:rsidRPr="006E19C7">
        <w:rPr>
          <w:rFonts w:ascii="Times New Roman" w:hAnsi="Times New Roman" w:cs="Times New Roman"/>
          <w:sz w:val="24"/>
          <w:szCs w:val="24"/>
        </w:rPr>
        <w:t>, 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 dyslipidaemia</w:t>
      </w:r>
      <w:r w:rsidR="0088574D" w:rsidRPr="006E19C7">
        <w:rPr>
          <w:rFonts w:ascii="Times New Roman" w:hAnsi="Times New Roman" w:cs="Times New Roman"/>
          <w:sz w:val="24"/>
          <w:szCs w:val="24"/>
        </w:rPr>
        <w:t xml:space="preserve"> (56.4% vs 37.5%</w:t>
      </w:r>
      <w:r w:rsidR="002C65CF" w:rsidRPr="006E19C7">
        <w:rPr>
          <w:rFonts w:ascii="Times New Roman" w:hAnsi="Times New Roman" w:cs="Times New Roman"/>
          <w:sz w:val="24"/>
          <w:szCs w:val="24"/>
        </w:rPr>
        <w:t>, 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 previous history of PCI</w:t>
      </w:r>
      <w:r w:rsidR="0088574D" w:rsidRPr="006E19C7">
        <w:rPr>
          <w:rFonts w:ascii="Times New Roman" w:hAnsi="Times New Roman" w:cs="Times New Roman"/>
          <w:sz w:val="24"/>
          <w:szCs w:val="24"/>
        </w:rPr>
        <w:t xml:space="preserve"> (11.5% vs 7.7%</w:t>
      </w:r>
      <w:r w:rsidR="002C65CF" w:rsidRPr="006E19C7">
        <w:rPr>
          <w:rFonts w:ascii="Times New Roman" w:hAnsi="Times New Roman" w:cs="Times New Roman"/>
          <w:sz w:val="24"/>
          <w:szCs w:val="24"/>
        </w:rPr>
        <w:t>, p&lt;0.001)</w:t>
      </w:r>
      <w:r w:rsidR="002016E4" w:rsidRPr="006E19C7">
        <w:rPr>
          <w:rFonts w:ascii="Times New Roman" w:hAnsi="Times New Roman" w:cs="Times New Roman"/>
          <w:sz w:val="24"/>
          <w:szCs w:val="24"/>
        </w:rPr>
        <w:t xml:space="preserve"> and IHD</w:t>
      </w:r>
      <w:r w:rsidR="0088574D" w:rsidRPr="006E19C7">
        <w:rPr>
          <w:rFonts w:ascii="Times New Roman" w:hAnsi="Times New Roman" w:cs="Times New Roman"/>
          <w:sz w:val="24"/>
          <w:szCs w:val="24"/>
        </w:rPr>
        <w:t xml:space="preserve"> (81.7% vs 42.6%</w:t>
      </w:r>
      <w:r w:rsidR="002C65CF" w:rsidRPr="006E19C7">
        <w:rPr>
          <w:rFonts w:ascii="Times New Roman" w:hAnsi="Times New Roman" w:cs="Times New Roman"/>
          <w:sz w:val="24"/>
          <w:szCs w:val="24"/>
        </w:rPr>
        <w:t>, 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 xml:space="preserve">. Conversely, medically managed patients were more likely to be </w:t>
      </w:r>
      <w:r w:rsidR="004A686E" w:rsidRPr="006E19C7">
        <w:rPr>
          <w:rFonts w:ascii="Times New Roman" w:hAnsi="Times New Roman" w:cs="Times New Roman"/>
          <w:sz w:val="24"/>
          <w:szCs w:val="24"/>
        </w:rPr>
        <w:t>women</w:t>
      </w:r>
      <w:r w:rsidR="0088574D" w:rsidRPr="006E19C7">
        <w:rPr>
          <w:rFonts w:ascii="Times New Roman" w:hAnsi="Times New Roman" w:cs="Times New Roman"/>
          <w:sz w:val="24"/>
          <w:szCs w:val="24"/>
        </w:rPr>
        <w:t xml:space="preserve"> (51.3% vs 39.3%</w:t>
      </w:r>
      <w:r w:rsidR="002C65CF" w:rsidRPr="006E19C7">
        <w:rPr>
          <w:rFonts w:ascii="Times New Roman" w:hAnsi="Times New Roman" w:cs="Times New Roman"/>
          <w:sz w:val="24"/>
          <w:szCs w:val="24"/>
        </w:rPr>
        <w:t>, 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 xml:space="preserve">, had </w:t>
      </w:r>
      <w:r w:rsidR="0088574D" w:rsidRPr="006E19C7">
        <w:rPr>
          <w:rFonts w:ascii="Times New Roman" w:hAnsi="Times New Roman" w:cs="Times New Roman"/>
          <w:sz w:val="24"/>
          <w:szCs w:val="24"/>
        </w:rPr>
        <w:t>higher proportions</w:t>
      </w:r>
      <w:r w:rsidR="002016E4" w:rsidRPr="006E19C7">
        <w:rPr>
          <w:rFonts w:ascii="Times New Roman" w:hAnsi="Times New Roman" w:cs="Times New Roman"/>
          <w:sz w:val="24"/>
          <w:szCs w:val="24"/>
        </w:rPr>
        <w:t xml:space="preserve"> of co-existing comorbidities</w:t>
      </w:r>
      <w:r w:rsidR="0088574D" w:rsidRPr="006E19C7">
        <w:rPr>
          <w:rFonts w:ascii="Times New Roman" w:hAnsi="Times New Roman" w:cs="Times New Roman"/>
          <w:sz w:val="24"/>
          <w:szCs w:val="24"/>
        </w:rPr>
        <w:t xml:space="preserve"> (CCI </w:t>
      </w:r>
      <w:r w:rsidR="002C65CF" w:rsidRPr="006E19C7">
        <w:rPr>
          <w:rFonts w:ascii="Times New Roman" w:hAnsi="Times New Roman" w:cs="Times New Roman"/>
          <w:sz w:val="24"/>
          <w:szCs w:val="24"/>
        </w:rPr>
        <w:t>≥</w:t>
      </w:r>
      <w:r w:rsidR="0088574D" w:rsidRPr="006E19C7">
        <w:rPr>
          <w:rFonts w:ascii="Times New Roman" w:hAnsi="Times New Roman" w:cs="Times New Roman"/>
          <w:sz w:val="24"/>
          <w:szCs w:val="24"/>
        </w:rPr>
        <w:t>3 53.9% vs 46.1%</w:t>
      </w:r>
      <w:r w:rsidR="002C65CF" w:rsidRPr="006E19C7">
        <w:rPr>
          <w:rFonts w:ascii="Times New Roman" w:hAnsi="Times New Roman" w:cs="Times New Roman"/>
          <w:sz w:val="24"/>
          <w:szCs w:val="24"/>
        </w:rPr>
        <w:t>, 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 xml:space="preserve"> and were </w:t>
      </w:r>
      <w:r w:rsidR="008A562A" w:rsidRPr="006E19C7">
        <w:rPr>
          <w:rFonts w:ascii="Times New Roman" w:hAnsi="Times New Roman" w:cs="Times New Roman"/>
          <w:sz w:val="24"/>
          <w:szCs w:val="24"/>
        </w:rPr>
        <w:t xml:space="preserve">more </w:t>
      </w:r>
      <w:r w:rsidR="002016E4" w:rsidRPr="006E19C7">
        <w:rPr>
          <w:rFonts w:ascii="Times New Roman" w:hAnsi="Times New Roman" w:cs="Times New Roman"/>
          <w:sz w:val="24"/>
          <w:szCs w:val="24"/>
        </w:rPr>
        <w:t>likely to be admitted on weekend</w:t>
      </w:r>
      <w:r w:rsidR="001111C3" w:rsidRPr="006E19C7">
        <w:rPr>
          <w:rFonts w:ascii="Times New Roman" w:hAnsi="Times New Roman" w:cs="Times New Roman"/>
          <w:sz w:val="24"/>
          <w:szCs w:val="24"/>
        </w:rPr>
        <w:t xml:space="preserve"> days</w:t>
      </w:r>
      <w:r w:rsidR="0088574D" w:rsidRPr="006E19C7">
        <w:rPr>
          <w:rFonts w:ascii="Times New Roman" w:hAnsi="Times New Roman" w:cs="Times New Roman"/>
          <w:sz w:val="24"/>
          <w:szCs w:val="24"/>
        </w:rPr>
        <w:t xml:space="preserve"> (26.8% vs 25.0%</w:t>
      </w:r>
      <w:r w:rsidR="002C65CF" w:rsidRPr="006E19C7">
        <w:rPr>
          <w:rFonts w:ascii="Times New Roman" w:hAnsi="Times New Roman" w:cs="Times New Roman"/>
          <w:sz w:val="24"/>
          <w:szCs w:val="24"/>
        </w:rPr>
        <w:t>,</w:t>
      </w:r>
      <w:r w:rsidR="002C65CF" w:rsidRPr="006E19C7">
        <w:t xml:space="preserve"> </w:t>
      </w:r>
      <w:r w:rsidR="002C65CF" w:rsidRPr="006E19C7">
        <w:rPr>
          <w:rFonts w:ascii="Times New Roman" w:hAnsi="Times New Roman" w:cs="Times New Roman"/>
          <w:sz w:val="24"/>
          <w:szCs w:val="24"/>
        </w:rPr>
        <w:t>p&lt;0.001</w:t>
      </w:r>
      <w:r w:rsidR="0088574D" w:rsidRPr="006E19C7">
        <w:rPr>
          <w:rFonts w:ascii="Times New Roman" w:hAnsi="Times New Roman" w:cs="Times New Roman"/>
          <w:sz w:val="24"/>
          <w:szCs w:val="24"/>
        </w:rPr>
        <w:t>)</w:t>
      </w:r>
      <w:r w:rsidR="002016E4" w:rsidRPr="006E19C7">
        <w:rPr>
          <w:rFonts w:ascii="Times New Roman" w:hAnsi="Times New Roman" w:cs="Times New Roman"/>
          <w:sz w:val="24"/>
          <w:szCs w:val="24"/>
        </w:rPr>
        <w:t>.</w:t>
      </w:r>
    </w:p>
    <w:p w14:paraId="564DB384" w14:textId="484ABCE1" w:rsidR="008A562A" w:rsidRPr="006E19C7" w:rsidRDefault="008A562A" w:rsidP="009644EA">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M</w:t>
      </w:r>
      <w:r w:rsidR="00875E38" w:rsidRPr="006E19C7">
        <w:rPr>
          <w:rFonts w:ascii="Times New Roman" w:hAnsi="Times New Roman" w:cs="Times New Roman"/>
          <w:sz w:val="24"/>
          <w:szCs w:val="24"/>
        </w:rPr>
        <w:t xml:space="preserve">edically managed patients had higher </w:t>
      </w:r>
      <w:r w:rsidR="00891918" w:rsidRPr="006E19C7">
        <w:rPr>
          <w:rFonts w:ascii="Times New Roman" w:hAnsi="Times New Roman" w:cs="Times New Roman"/>
          <w:sz w:val="24"/>
          <w:szCs w:val="24"/>
        </w:rPr>
        <w:t>crude</w:t>
      </w:r>
      <w:r w:rsidR="00875E38" w:rsidRPr="006E19C7">
        <w:rPr>
          <w:rFonts w:ascii="Times New Roman" w:hAnsi="Times New Roman" w:cs="Times New Roman"/>
          <w:sz w:val="24"/>
          <w:szCs w:val="24"/>
        </w:rPr>
        <w:t xml:space="preserve"> in-hospital mortality (6.6% vs 1.9%</w:t>
      </w:r>
      <w:r w:rsidR="002C65CF" w:rsidRPr="006E19C7">
        <w:rPr>
          <w:rFonts w:ascii="Times New Roman" w:hAnsi="Times New Roman" w:cs="Times New Roman"/>
          <w:sz w:val="24"/>
          <w:szCs w:val="24"/>
        </w:rPr>
        <w:t>, p&lt;0.001</w:t>
      </w:r>
      <w:r w:rsidR="00F87B02" w:rsidRPr="006E19C7">
        <w:rPr>
          <w:rFonts w:ascii="Times New Roman" w:hAnsi="Times New Roman" w:cs="Times New Roman"/>
          <w:sz w:val="24"/>
          <w:szCs w:val="24"/>
        </w:rPr>
        <w:t>) and</w:t>
      </w:r>
      <w:r w:rsidR="00875E38" w:rsidRPr="006E19C7">
        <w:rPr>
          <w:rFonts w:ascii="Times New Roman" w:hAnsi="Times New Roman" w:cs="Times New Roman"/>
          <w:sz w:val="24"/>
          <w:szCs w:val="24"/>
        </w:rPr>
        <w:t xml:space="preserve"> bleeding complications (11.9% vs 10.7%</w:t>
      </w:r>
      <w:r w:rsidR="002C65CF" w:rsidRPr="006E19C7">
        <w:rPr>
          <w:rFonts w:ascii="Times New Roman" w:hAnsi="Times New Roman" w:cs="Times New Roman"/>
          <w:sz w:val="24"/>
          <w:szCs w:val="24"/>
        </w:rPr>
        <w:t>, p&lt;0.001</w:t>
      </w:r>
      <w:r w:rsidR="00F87B02" w:rsidRPr="006E19C7">
        <w:rPr>
          <w:rFonts w:ascii="Times New Roman" w:hAnsi="Times New Roman" w:cs="Times New Roman"/>
          <w:sz w:val="24"/>
          <w:szCs w:val="24"/>
        </w:rPr>
        <w:t>)</w:t>
      </w:r>
      <w:r w:rsidR="00875E38" w:rsidRPr="006E19C7">
        <w:rPr>
          <w:rFonts w:ascii="Times New Roman" w:hAnsi="Times New Roman" w:cs="Times New Roman"/>
          <w:sz w:val="24"/>
          <w:szCs w:val="24"/>
        </w:rPr>
        <w:t xml:space="preserve">. </w:t>
      </w:r>
      <w:r w:rsidR="000A5A1C" w:rsidRPr="006E19C7">
        <w:rPr>
          <w:rFonts w:ascii="Times New Roman" w:hAnsi="Times New Roman" w:cs="Times New Roman"/>
          <w:noProof/>
          <w:sz w:val="24"/>
          <w:szCs w:val="24"/>
        </w:rPr>
        <w:t>The m</w:t>
      </w:r>
      <w:r w:rsidR="00875E38" w:rsidRPr="006E19C7">
        <w:rPr>
          <w:rFonts w:ascii="Times New Roman" w:hAnsi="Times New Roman" w:cs="Times New Roman"/>
          <w:noProof/>
          <w:sz w:val="24"/>
          <w:szCs w:val="24"/>
        </w:rPr>
        <w:t>edian</w:t>
      </w:r>
      <w:r w:rsidR="00875E38" w:rsidRPr="006E19C7">
        <w:rPr>
          <w:rFonts w:ascii="Times New Roman" w:hAnsi="Times New Roman" w:cs="Times New Roman"/>
          <w:sz w:val="24"/>
          <w:szCs w:val="24"/>
        </w:rPr>
        <w:t xml:space="preserve"> length of sta</w:t>
      </w:r>
      <w:r w:rsidR="004D4265" w:rsidRPr="006E19C7">
        <w:rPr>
          <w:rFonts w:ascii="Times New Roman" w:hAnsi="Times New Roman" w:cs="Times New Roman"/>
          <w:sz w:val="24"/>
          <w:szCs w:val="24"/>
        </w:rPr>
        <w:t>y was similar in both groups (3[IQR 2-6] days)</w:t>
      </w:r>
      <w:r w:rsidR="0088574D" w:rsidRPr="006E19C7">
        <w:rPr>
          <w:rFonts w:ascii="Times New Roman" w:hAnsi="Times New Roman" w:cs="Times New Roman"/>
          <w:sz w:val="24"/>
          <w:szCs w:val="24"/>
        </w:rPr>
        <w:t xml:space="preserve"> </w:t>
      </w:r>
      <w:r w:rsidR="00875E38" w:rsidRPr="006E19C7">
        <w:rPr>
          <w:rFonts w:ascii="Times New Roman" w:hAnsi="Times New Roman" w:cs="Times New Roman"/>
          <w:sz w:val="24"/>
          <w:szCs w:val="24"/>
        </w:rPr>
        <w:t>whereas</w:t>
      </w:r>
      <w:r w:rsidR="00DD69F3" w:rsidRPr="006E19C7">
        <w:rPr>
          <w:rFonts w:ascii="Times New Roman" w:hAnsi="Times New Roman" w:cs="Times New Roman"/>
          <w:sz w:val="24"/>
          <w:szCs w:val="24"/>
        </w:rPr>
        <w:t xml:space="preserve"> receipt of CA was associated with greater </w:t>
      </w:r>
      <w:r w:rsidR="00D54FB4" w:rsidRPr="006E19C7">
        <w:rPr>
          <w:rFonts w:ascii="Times New Roman" w:hAnsi="Times New Roman" w:cs="Times New Roman"/>
          <w:sz w:val="24"/>
          <w:szCs w:val="24"/>
        </w:rPr>
        <w:lastRenderedPageBreak/>
        <w:t xml:space="preserve">hospital </w:t>
      </w:r>
      <w:r w:rsidR="00DD69F3" w:rsidRPr="006E19C7">
        <w:rPr>
          <w:rFonts w:ascii="Times New Roman" w:hAnsi="Times New Roman" w:cs="Times New Roman"/>
          <w:sz w:val="24"/>
          <w:szCs w:val="24"/>
        </w:rPr>
        <w:t>costs compared to medically managed patients.</w:t>
      </w:r>
      <w:r w:rsidR="002C65CF" w:rsidRPr="006E19C7">
        <w:rPr>
          <w:rFonts w:ascii="Times New Roman" w:hAnsi="Times New Roman" w:cs="Times New Roman"/>
          <w:sz w:val="24"/>
          <w:szCs w:val="24"/>
        </w:rPr>
        <w:t xml:space="preserve"> (Median total charge $</w:t>
      </w:r>
      <w:r w:rsidR="004D4265" w:rsidRPr="006E19C7">
        <w:rPr>
          <w:rFonts w:ascii="Times New Roman" w:hAnsi="Times New Roman" w:cs="Times New Roman"/>
          <w:sz w:val="24"/>
          <w:szCs w:val="24"/>
        </w:rPr>
        <w:t>51433[</w:t>
      </w:r>
      <w:r w:rsidR="00875E38" w:rsidRPr="006E19C7">
        <w:rPr>
          <w:rFonts w:ascii="Times New Roman" w:hAnsi="Times New Roman" w:cs="Times New Roman"/>
          <w:sz w:val="24"/>
          <w:szCs w:val="24"/>
        </w:rPr>
        <w:t xml:space="preserve">(IQR </w:t>
      </w:r>
      <w:r w:rsidR="002C65CF" w:rsidRPr="006E19C7">
        <w:rPr>
          <w:rFonts w:ascii="Times New Roman" w:hAnsi="Times New Roman" w:cs="Times New Roman"/>
          <w:sz w:val="24"/>
          <w:szCs w:val="24"/>
        </w:rPr>
        <w:t>$</w:t>
      </w:r>
      <w:r w:rsidR="00875E38" w:rsidRPr="006E19C7">
        <w:rPr>
          <w:rFonts w:ascii="Times New Roman" w:hAnsi="Times New Roman" w:cs="Times New Roman"/>
          <w:sz w:val="24"/>
          <w:szCs w:val="24"/>
        </w:rPr>
        <w:t>31694-</w:t>
      </w:r>
      <w:r w:rsidR="002C65CF" w:rsidRPr="006E19C7">
        <w:rPr>
          <w:rFonts w:ascii="Times New Roman" w:hAnsi="Times New Roman" w:cs="Times New Roman"/>
          <w:sz w:val="24"/>
          <w:szCs w:val="24"/>
        </w:rPr>
        <w:t>$</w:t>
      </w:r>
      <w:r w:rsidR="004D4265" w:rsidRPr="006E19C7">
        <w:rPr>
          <w:rFonts w:ascii="Times New Roman" w:hAnsi="Times New Roman" w:cs="Times New Roman"/>
          <w:sz w:val="24"/>
          <w:szCs w:val="24"/>
        </w:rPr>
        <w:t>85583]</w:t>
      </w:r>
      <w:r w:rsidR="00875E38" w:rsidRPr="006E19C7">
        <w:rPr>
          <w:rFonts w:ascii="Times New Roman" w:hAnsi="Times New Roman" w:cs="Times New Roman"/>
          <w:sz w:val="24"/>
          <w:szCs w:val="24"/>
        </w:rPr>
        <w:t xml:space="preserve"> vs </w:t>
      </w:r>
      <w:r w:rsidR="002C65CF" w:rsidRPr="006E19C7">
        <w:rPr>
          <w:rFonts w:ascii="Times New Roman" w:hAnsi="Times New Roman" w:cs="Times New Roman"/>
          <w:sz w:val="24"/>
          <w:szCs w:val="24"/>
        </w:rPr>
        <w:t>$</w:t>
      </w:r>
      <w:r w:rsidR="004D4265" w:rsidRPr="006E19C7">
        <w:rPr>
          <w:rFonts w:ascii="Times New Roman" w:hAnsi="Times New Roman" w:cs="Times New Roman"/>
          <w:sz w:val="24"/>
          <w:szCs w:val="24"/>
        </w:rPr>
        <w:t>18078[</w:t>
      </w:r>
      <w:r w:rsidR="00875E38" w:rsidRPr="006E19C7">
        <w:rPr>
          <w:rFonts w:ascii="Times New Roman" w:hAnsi="Times New Roman" w:cs="Times New Roman"/>
          <w:sz w:val="24"/>
          <w:szCs w:val="24"/>
        </w:rPr>
        <w:t xml:space="preserve">(IQR </w:t>
      </w:r>
      <w:r w:rsidR="002C65CF" w:rsidRPr="006E19C7">
        <w:rPr>
          <w:rFonts w:ascii="Times New Roman" w:hAnsi="Times New Roman" w:cs="Times New Roman"/>
          <w:sz w:val="24"/>
          <w:szCs w:val="24"/>
        </w:rPr>
        <w:t>$</w:t>
      </w:r>
      <w:r w:rsidR="00875E38" w:rsidRPr="006E19C7">
        <w:rPr>
          <w:rFonts w:ascii="Times New Roman" w:hAnsi="Times New Roman" w:cs="Times New Roman"/>
          <w:sz w:val="24"/>
          <w:szCs w:val="24"/>
        </w:rPr>
        <w:t>9841-</w:t>
      </w:r>
      <w:r w:rsidR="002C65CF" w:rsidRPr="006E19C7">
        <w:rPr>
          <w:rFonts w:ascii="Times New Roman" w:hAnsi="Times New Roman" w:cs="Times New Roman"/>
          <w:sz w:val="24"/>
          <w:szCs w:val="24"/>
        </w:rPr>
        <w:t>$</w:t>
      </w:r>
      <w:r w:rsidR="004D4265" w:rsidRPr="006E19C7">
        <w:rPr>
          <w:rFonts w:ascii="Times New Roman" w:hAnsi="Times New Roman" w:cs="Times New Roman"/>
          <w:sz w:val="24"/>
          <w:szCs w:val="24"/>
        </w:rPr>
        <w:t>34417]</w:t>
      </w:r>
      <w:r w:rsidR="00875E38" w:rsidRPr="006E19C7">
        <w:rPr>
          <w:rFonts w:ascii="Times New Roman" w:hAnsi="Times New Roman" w:cs="Times New Roman"/>
          <w:sz w:val="24"/>
          <w:szCs w:val="24"/>
        </w:rPr>
        <w:t xml:space="preserve">). </w:t>
      </w:r>
    </w:p>
    <w:p w14:paraId="3AA4DB56" w14:textId="77777777" w:rsidR="008635CA" w:rsidRPr="006E19C7" w:rsidRDefault="008635CA"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 xml:space="preserve">Temporal Trends: </w:t>
      </w:r>
    </w:p>
    <w:p w14:paraId="033F3261" w14:textId="39D5B030" w:rsidR="00704FF8" w:rsidRPr="006E19C7" w:rsidRDefault="00A65651"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Use of CA </w:t>
      </w:r>
      <w:r w:rsidR="001D7ACB" w:rsidRPr="006E19C7">
        <w:rPr>
          <w:rFonts w:ascii="Times New Roman" w:hAnsi="Times New Roman" w:cs="Times New Roman"/>
          <w:sz w:val="24"/>
          <w:szCs w:val="24"/>
        </w:rPr>
        <w:t>increased from 48.5% in 2004 to 65.1%</w:t>
      </w:r>
      <w:r w:rsidR="003E6EE8" w:rsidRPr="006E19C7">
        <w:rPr>
          <w:rFonts w:ascii="Times New Roman" w:hAnsi="Times New Roman" w:cs="Times New Roman"/>
          <w:sz w:val="24"/>
          <w:szCs w:val="24"/>
        </w:rPr>
        <w:t xml:space="preserve"> (</w:t>
      </w:r>
      <w:proofErr w:type="spellStart"/>
      <w:r w:rsidR="003E6EE8" w:rsidRPr="006E19C7">
        <w:rPr>
          <w:rFonts w:ascii="Times New Roman" w:hAnsi="Times New Roman" w:cs="Times New Roman"/>
          <w:sz w:val="24"/>
          <w:szCs w:val="24"/>
        </w:rPr>
        <w:t>P</w:t>
      </w:r>
      <w:r w:rsidR="003E6EE8" w:rsidRPr="006E19C7">
        <w:rPr>
          <w:rFonts w:ascii="Times New Roman" w:hAnsi="Times New Roman" w:cs="Times New Roman"/>
          <w:sz w:val="24"/>
          <w:szCs w:val="24"/>
          <w:vertAlign w:val="subscript"/>
        </w:rPr>
        <w:t>trend</w:t>
      </w:r>
      <w:proofErr w:type="spellEnd"/>
      <w:r w:rsidR="003E6EE8" w:rsidRPr="006E19C7">
        <w:rPr>
          <w:rFonts w:ascii="Times New Roman" w:hAnsi="Times New Roman" w:cs="Times New Roman"/>
          <w:sz w:val="24"/>
          <w:szCs w:val="24"/>
        </w:rPr>
        <w:t xml:space="preserve"> </w:t>
      </w:r>
      <w:r w:rsidR="00B16371" w:rsidRPr="006E19C7">
        <w:rPr>
          <w:rFonts w:ascii="Times New Roman" w:hAnsi="Times New Roman" w:cs="Times New Roman"/>
          <w:sz w:val="24"/>
          <w:szCs w:val="24"/>
        </w:rPr>
        <w:t>&lt;0.001)</w:t>
      </w:r>
      <w:r w:rsidR="001D7ACB" w:rsidRPr="006E19C7">
        <w:rPr>
          <w:rFonts w:ascii="Times New Roman" w:hAnsi="Times New Roman" w:cs="Times New Roman"/>
          <w:sz w:val="24"/>
          <w:szCs w:val="24"/>
        </w:rPr>
        <w:t xml:space="preserve"> in 2014 (</w:t>
      </w:r>
      <w:r w:rsidR="00F30974" w:rsidRPr="006E19C7">
        <w:rPr>
          <w:rFonts w:ascii="Times New Roman" w:hAnsi="Times New Roman" w:cs="Times New Roman"/>
          <w:b/>
          <w:sz w:val="24"/>
          <w:szCs w:val="24"/>
        </w:rPr>
        <w:t>Figur</w:t>
      </w:r>
      <w:r w:rsidR="006333BD" w:rsidRPr="006E19C7">
        <w:rPr>
          <w:rFonts w:ascii="Times New Roman" w:hAnsi="Times New Roman" w:cs="Times New Roman"/>
          <w:b/>
          <w:sz w:val="24"/>
          <w:szCs w:val="24"/>
        </w:rPr>
        <w:t>e 2</w:t>
      </w:r>
      <w:r w:rsidR="001D7ACB" w:rsidRPr="006E19C7">
        <w:rPr>
          <w:rFonts w:ascii="Times New Roman" w:hAnsi="Times New Roman" w:cs="Times New Roman"/>
          <w:sz w:val="24"/>
          <w:szCs w:val="24"/>
        </w:rPr>
        <w:t>)</w:t>
      </w:r>
      <w:r w:rsidR="00F30974" w:rsidRPr="006E19C7">
        <w:rPr>
          <w:rFonts w:ascii="Times New Roman" w:hAnsi="Times New Roman" w:cs="Times New Roman"/>
          <w:sz w:val="24"/>
          <w:szCs w:val="24"/>
        </w:rPr>
        <w:t xml:space="preserve"> which mirrored with increase in PCI activity in US and a concomitant steady decline in CABG procedures </w:t>
      </w:r>
      <w:r w:rsidR="006333BD" w:rsidRPr="006E19C7">
        <w:rPr>
          <w:rFonts w:ascii="Times New Roman" w:hAnsi="Times New Roman" w:cs="Times New Roman"/>
          <w:sz w:val="24"/>
          <w:szCs w:val="24"/>
        </w:rPr>
        <w:t>(decreased from 8.6% to 7.7%)</w:t>
      </w:r>
      <w:r w:rsidR="008635CA" w:rsidRPr="006E19C7">
        <w:rPr>
          <w:rFonts w:ascii="Times New Roman" w:hAnsi="Times New Roman" w:cs="Times New Roman"/>
          <w:b/>
          <w:sz w:val="24"/>
          <w:szCs w:val="24"/>
        </w:rPr>
        <w:t>.</w:t>
      </w:r>
      <w:r w:rsidR="008635CA" w:rsidRPr="006E19C7">
        <w:rPr>
          <w:rFonts w:ascii="Times New Roman" w:hAnsi="Times New Roman" w:cs="Times New Roman"/>
          <w:sz w:val="24"/>
          <w:szCs w:val="24"/>
        </w:rPr>
        <w:t xml:space="preserve"> </w:t>
      </w:r>
      <w:r w:rsidR="00D54FB4" w:rsidRPr="006E19C7">
        <w:rPr>
          <w:rFonts w:ascii="Times New Roman" w:hAnsi="Times New Roman" w:cs="Times New Roman"/>
          <w:sz w:val="24"/>
          <w:szCs w:val="24"/>
        </w:rPr>
        <w:t>T</w:t>
      </w:r>
      <w:r w:rsidR="000333AC" w:rsidRPr="006E19C7">
        <w:rPr>
          <w:rFonts w:ascii="Times New Roman" w:hAnsi="Times New Roman" w:cs="Times New Roman"/>
          <w:sz w:val="24"/>
          <w:szCs w:val="24"/>
        </w:rPr>
        <w:t>emporal</w:t>
      </w:r>
      <w:r w:rsidR="00A26F06" w:rsidRPr="006E19C7">
        <w:rPr>
          <w:rFonts w:ascii="Times New Roman" w:hAnsi="Times New Roman" w:cs="Times New Roman"/>
          <w:sz w:val="24"/>
          <w:szCs w:val="24"/>
        </w:rPr>
        <w:t xml:space="preserve"> changes in baseline demographics and hospital characteristics,</w:t>
      </w:r>
      <w:r w:rsidR="003D7939" w:rsidRPr="006E19C7">
        <w:rPr>
          <w:rFonts w:ascii="Times New Roman" w:hAnsi="Times New Roman" w:cs="Times New Roman"/>
          <w:sz w:val="24"/>
          <w:szCs w:val="24"/>
        </w:rPr>
        <w:t xml:space="preserve"> comorbidities and crude outcomes</w:t>
      </w:r>
      <w:r w:rsidR="000333AC" w:rsidRPr="006E19C7">
        <w:rPr>
          <w:rFonts w:ascii="Times New Roman" w:hAnsi="Times New Roman" w:cs="Times New Roman"/>
          <w:sz w:val="24"/>
          <w:szCs w:val="24"/>
        </w:rPr>
        <w:t xml:space="preserve"> in patients receiving CA and </w:t>
      </w:r>
      <w:r w:rsidR="00FC1A64" w:rsidRPr="006E19C7">
        <w:rPr>
          <w:rFonts w:ascii="Times New Roman" w:hAnsi="Times New Roman" w:cs="Times New Roman"/>
          <w:sz w:val="24"/>
          <w:szCs w:val="24"/>
        </w:rPr>
        <w:t xml:space="preserve">those who were </w:t>
      </w:r>
      <w:r w:rsidR="000333AC" w:rsidRPr="006E19C7">
        <w:rPr>
          <w:rFonts w:ascii="Times New Roman" w:hAnsi="Times New Roman" w:cs="Times New Roman"/>
          <w:sz w:val="24"/>
          <w:szCs w:val="24"/>
        </w:rPr>
        <w:t xml:space="preserve">medically managed </w:t>
      </w:r>
      <w:r w:rsidR="00353948" w:rsidRPr="006E19C7">
        <w:rPr>
          <w:rFonts w:ascii="Times New Roman" w:hAnsi="Times New Roman" w:cs="Times New Roman"/>
          <w:sz w:val="24"/>
          <w:szCs w:val="24"/>
        </w:rPr>
        <w:t xml:space="preserve">are presented in </w:t>
      </w:r>
      <w:r w:rsidR="00353948" w:rsidRPr="006E19C7">
        <w:rPr>
          <w:rFonts w:ascii="Times New Roman" w:hAnsi="Times New Roman" w:cs="Times New Roman"/>
          <w:b/>
          <w:sz w:val="24"/>
          <w:szCs w:val="24"/>
        </w:rPr>
        <w:t>Table 2</w:t>
      </w:r>
      <w:r w:rsidR="00D54FB4" w:rsidRPr="006E19C7">
        <w:rPr>
          <w:rFonts w:ascii="Times New Roman" w:hAnsi="Times New Roman" w:cs="Times New Roman"/>
          <w:sz w:val="24"/>
          <w:szCs w:val="24"/>
        </w:rPr>
        <w:t xml:space="preserve"> </w:t>
      </w:r>
      <w:r w:rsidR="00F30974" w:rsidRPr="006E19C7">
        <w:rPr>
          <w:rFonts w:ascii="Times New Roman" w:hAnsi="Times New Roman" w:cs="Times New Roman"/>
          <w:sz w:val="24"/>
          <w:szCs w:val="24"/>
        </w:rPr>
        <w:t xml:space="preserve">and </w:t>
      </w:r>
      <w:r w:rsidR="00B932EB" w:rsidRPr="006E19C7">
        <w:rPr>
          <w:rFonts w:ascii="Times New Roman" w:hAnsi="Times New Roman" w:cs="Times New Roman"/>
          <w:b/>
          <w:sz w:val="24"/>
          <w:szCs w:val="24"/>
        </w:rPr>
        <w:t>Table 3</w:t>
      </w:r>
      <w:r w:rsidR="00F30974" w:rsidRPr="006E19C7">
        <w:rPr>
          <w:rFonts w:ascii="Times New Roman" w:hAnsi="Times New Roman" w:cs="Times New Roman"/>
          <w:sz w:val="24"/>
          <w:szCs w:val="24"/>
        </w:rPr>
        <w:t xml:space="preserve"> respectively</w:t>
      </w:r>
      <w:r w:rsidR="000333AC" w:rsidRPr="006E19C7">
        <w:rPr>
          <w:rFonts w:ascii="Times New Roman" w:hAnsi="Times New Roman" w:cs="Times New Roman"/>
          <w:sz w:val="24"/>
          <w:szCs w:val="24"/>
        </w:rPr>
        <w:t>.</w:t>
      </w:r>
      <w:r w:rsidR="003D7939" w:rsidRPr="006E19C7">
        <w:rPr>
          <w:rFonts w:ascii="Times New Roman" w:hAnsi="Times New Roman" w:cs="Times New Roman"/>
          <w:sz w:val="24"/>
          <w:szCs w:val="24"/>
        </w:rPr>
        <w:t xml:space="preserve"> T</w:t>
      </w:r>
      <w:r w:rsidR="004A5DE9" w:rsidRPr="006E19C7">
        <w:rPr>
          <w:rFonts w:ascii="Times New Roman" w:hAnsi="Times New Roman" w:cs="Times New Roman"/>
          <w:sz w:val="24"/>
          <w:szCs w:val="24"/>
        </w:rPr>
        <w:t>he</w:t>
      </w:r>
      <w:r w:rsidR="00CD1F63" w:rsidRPr="006E19C7">
        <w:rPr>
          <w:rFonts w:ascii="Times New Roman" w:hAnsi="Times New Roman" w:cs="Times New Roman"/>
          <w:sz w:val="24"/>
          <w:szCs w:val="24"/>
        </w:rPr>
        <w:t>re was greater proportional increase in the</w:t>
      </w:r>
      <w:r w:rsidR="004A5DE9" w:rsidRPr="006E19C7">
        <w:rPr>
          <w:rFonts w:ascii="Times New Roman" w:hAnsi="Times New Roman" w:cs="Times New Roman"/>
          <w:sz w:val="24"/>
          <w:szCs w:val="24"/>
        </w:rPr>
        <w:t xml:space="preserve"> prevalence of </w:t>
      </w:r>
      <w:r w:rsidR="003D7939" w:rsidRPr="006E19C7">
        <w:rPr>
          <w:rFonts w:ascii="Times New Roman" w:hAnsi="Times New Roman" w:cs="Times New Roman"/>
          <w:sz w:val="24"/>
          <w:szCs w:val="24"/>
        </w:rPr>
        <w:t>risk factors</w:t>
      </w:r>
      <w:r w:rsidR="004A5DE9" w:rsidRPr="006E19C7">
        <w:rPr>
          <w:rFonts w:ascii="Times New Roman" w:hAnsi="Times New Roman" w:cs="Times New Roman"/>
          <w:sz w:val="24"/>
          <w:szCs w:val="24"/>
        </w:rPr>
        <w:t xml:space="preserve"> for coronary artery disease</w:t>
      </w:r>
      <w:r w:rsidR="003D7939" w:rsidRPr="006E19C7">
        <w:rPr>
          <w:rFonts w:ascii="Times New Roman" w:hAnsi="Times New Roman" w:cs="Times New Roman"/>
          <w:sz w:val="24"/>
          <w:szCs w:val="24"/>
        </w:rPr>
        <w:t xml:space="preserve"> </w:t>
      </w:r>
      <w:r w:rsidR="00D54FB4" w:rsidRPr="006E19C7">
        <w:rPr>
          <w:rFonts w:ascii="Times New Roman" w:hAnsi="Times New Roman" w:cs="Times New Roman"/>
          <w:noProof/>
          <w:sz w:val="24"/>
          <w:szCs w:val="24"/>
        </w:rPr>
        <w:t xml:space="preserve">including </w:t>
      </w:r>
      <w:r w:rsidR="003D7939" w:rsidRPr="006E19C7">
        <w:rPr>
          <w:rFonts w:ascii="Times New Roman" w:hAnsi="Times New Roman" w:cs="Times New Roman"/>
          <w:noProof/>
          <w:sz w:val="24"/>
          <w:szCs w:val="24"/>
        </w:rPr>
        <w:t>smoking</w:t>
      </w:r>
      <w:r w:rsidR="00CD1F63" w:rsidRPr="006E19C7">
        <w:rPr>
          <w:rFonts w:ascii="Times New Roman" w:hAnsi="Times New Roman" w:cs="Times New Roman"/>
          <w:noProof/>
          <w:sz w:val="24"/>
          <w:szCs w:val="24"/>
        </w:rPr>
        <w:t xml:space="preserve"> (27.8% to 46.7%, </w:t>
      </w:r>
      <w:proofErr w:type="spellStart"/>
      <w:r w:rsidR="00CD1F63" w:rsidRPr="006E19C7">
        <w:rPr>
          <w:rFonts w:ascii="Times New Roman" w:hAnsi="Times New Roman" w:cs="Times New Roman"/>
          <w:sz w:val="24"/>
          <w:szCs w:val="24"/>
        </w:rPr>
        <w:t>P</w:t>
      </w:r>
      <w:r w:rsidR="00CD1F63" w:rsidRPr="006E19C7">
        <w:rPr>
          <w:rFonts w:ascii="Times New Roman" w:hAnsi="Times New Roman" w:cs="Times New Roman"/>
          <w:sz w:val="24"/>
          <w:szCs w:val="24"/>
          <w:vertAlign w:val="subscript"/>
        </w:rPr>
        <w:t>trend</w:t>
      </w:r>
      <w:proofErr w:type="spellEnd"/>
      <w:r w:rsidR="00CD1F63" w:rsidRPr="006E19C7">
        <w:rPr>
          <w:rFonts w:ascii="Times New Roman" w:hAnsi="Times New Roman" w:cs="Times New Roman"/>
          <w:sz w:val="24"/>
          <w:szCs w:val="24"/>
        </w:rPr>
        <w:t xml:space="preserve"> &lt;0.001</w:t>
      </w:r>
      <w:r w:rsidR="00CD1F63" w:rsidRPr="006E19C7">
        <w:rPr>
          <w:rFonts w:ascii="Times New Roman" w:hAnsi="Times New Roman" w:cs="Times New Roman"/>
          <w:noProof/>
          <w:sz w:val="24"/>
          <w:szCs w:val="24"/>
        </w:rPr>
        <w:t>)</w:t>
      </w:r>
      <w:r w:rsidR="003D7939" w:rsidRPr="006E19C7">
        <w:rPr>
          <w:rFonts w:ascii="Times New Roman" w:hAnsi="Times New Roman" w:cs="Times New Roman"/>
          <w:sz w:val="24"/>
          <w:szCs w:val="24"/>
        </w:rPr>
        <w:t xml:space="preserve">, </w:t>
      </w:r>
      <w:r w:rsidR="003D7939" w:rsidRPr="006E19C7">
        <w:rPr>
          <w:rFonts w:ascii="Times New Roman" w:hAnsi="Times New Roman" w:cs="Times New Roman"/>
          <w:noProof/>
          <w:sz w:val="24"/>
          <w:szCs w:val="24"/>
        </w:rPr>
        <w:t>dyslipidemia</w:t>
      </w:r>
      <w:r w:rsidR="00CD1F63" w:rsidRPr="006E19C7">
        <w:rPr>
          <w:rFonts w:ascii="Times New Roman" w:hAnsi="Times New Roman" w:cs="Times New Roman"/>
          <w:noProof/>
          <w:sz w:val="24"/>
          <w:szCs w:val="24"/>
        </w:rPr>
        <w:t xml:space="preserve"> (46.7% to 61.8%,</w:t>
      </w:r>
      <w:r w:rsidR="00CD1F63" w:rsidRPr="006E19C7">
        <w:rPr>
          <w:rFonts w:ascii="Times New Roman" w:hAnsi="Times New Roman" w:cs="Times New Roman"/>
          <w:sz w:val="24"/>
          <w:szCs w:val="24"/>
        </w:rPr>
        <w:t xml:space="preserve"> </w:t>
      </w:r>
      <w:proofErr w:type="spellStart"/>
      <w:r w:rsidR="00CD1F63" w:rsidRPr="006E19C7">
        <w:rPr>
          <w:rFonts w:ascii="Times New Roman" w:hAnsi="Times New Roman" w:cs="Times New Roman"/>
          <w:sz w:val="24"/>
          <w:szCs w:val="24"/>
        </w:rPr>
        <w:t>P</w:t>
      </w:r>
      <w:r w:rsidR="00CD1F63" w:rsidRPr="006E19C7">
        <w:rPr>
          <w:rFonts w:ascii="Times New Roman" w:hAnsi="Times New Roman" w:cs="Times New Roman"/>
          <w:sz w:val="24"/>
          <w:szCs w:val="24"/>
          <w:vertAlign w:val="subscript"/>
        </w:rPr>
        <w:t>trend</w:t>
      </w:r>
      <w:proofErr w:type="spellEnd"/>
      <w:r w:rsidR="00CD1F63" w:rsidRPr="006E19C7">
        <w:rPr>
          <w:rFonts w:ascii="Times New Roman" w:hAnsi="Times New Roman" w:cs="Times New Roman"/>
          <w:sz w:val="24"/>
          <w:szCs w:val="24"/>
        </w:rPr>
        <w:t xml:space="preserve"> &lt;0.001</w:t>
      </w:r>
      <w:r w:rsidR="00CD1F63" w:rsidRPr="006E19C7">
        <w:rPr>
          <w:rFonts w:ascii="Times New Roman" w:hAnsi="Times New Roman" w:cs="Times New Roman"/>
          <w:noProof/>
          <w:sz w:val="24"/>
          <w:szCs w:val="24"/>
        </w:rPr>
        <w:t>)</w:t>
      </w:r>
      <w:r w:rsidR="003D7939" w:rsidRPr="006E19C7">
        <w:rPr>
          <w:rFonts w:ascii="Times New Roman" w:hAnsi="Times New Roman" w:cs="Times New Roman"/>
          <w:sz w:val="24"/>
          <w:szCs w:val="24"/>
        </w:rPr>
        <w:t>, previous A</w:t>
      </w:r>
      <w:r w:rsidR="00F577D9" w:rsidRPr="006E19C7">
        <w:rPr>
          <w:rFonts w:ascii="Times New Roman" w:hAnsi="Times New Roman" w:cs="Times New Roman"/>
          <w:sz w:val="24"/>
          <w:szCs w:val="24"/>
        </w:rPr>
        <w:t>MI</w:t>
      </w:r>
      <w:r w:rsidR="00CD1F63" w:rsidRPr="006E19C7">
        <w:rPr>
          <w:rFonts w:ascii="Times New Roman" w:hAnsi="Times New Roman" w:cs="Times New Roman"/>
          <w:sz w:val="24"/>
          <w:szCs w:val="24"/>
        </w:rPr>
        <w:t xml:space="preserve"> (7.8% to 11.4%, </w:t>
      </w:r>
      <w:proofErr w:type="spellStart"/>
      <w:r w:rsidR="00CD1F63" w:rsidRPr="006E19C7">
        <w:rPr>
          <w:rFonts w:ascii="Times New Roman" w:hAnsi="Times New Roman" w:cs="Times New Roman"/>
          <w:sz w:val="24"/>
          <w:szCs w:val="24"/>
        </w:rPr>
        <w:t>P</w:t>
      </w:r>
      <w:r w:rsidR="00CD1F63" w:rsidRPr="006E19C7">
        <w:rPr>
          <w:rFonts w:ascii="Times New Roman" w:hAnsi="Times New Roman" w:cs="Times New Roman"/>
          <w:sz w:val="24"/>
          <w:szCs w:val="24"/>
          <w:vertAlign w:val="subscript"/>
        </w:rPr>
        <w:t>trend</w:t>
      </w:r>
      <w:proofErr w:type="spellEnd"/>
      <w:r w:rsidR="00CD1F63" w:rsidRPr="006E19C7">
        <w:rPr>
          <w:rFonts w:ascii="Times New Roman" w:hAnsi="Times New Roman" w:cs="Times New Roman"/>
          <w:sz w:val="24"/>
          <w:szCs w:val="24"/>
        </w:rPr>
        <w:t xml:space="preserve"> &lt;0.001)</w:t>
      </w:r>
      <w:r w:rsidR="00F577D9" w:rsidRPr="006E19C7">
        <w:rPr>
          <w:rFonts w:ascii="Times New Roman" w:hAnsi="Times New Roman" w:cs="Times New Roman"/>
          <w:sz w:val="24"/>
          <w:szCs w:val="24"/>
        </w:rPr>
        <w:t>, hypertension</w:t>
      </w:r>
      <w:r w:rsidR="00CD1F63" w:rsidRPr="006E19C7">
        <w:rPr>
          <w:rFonts w:ascii="Times New Roman" w:hAnsi="Times New Roman" w:cs="Times New Roman"/>
          <w:sz w:val="24"/>
          <w:szCs w:val="24"/>
        </w:rPr>
        <w:t xml:space="preserve"> (62.0% to 77.2%, </w:t>
      </w:r>
      <w:proofErr w:type="spellStart"/>
      <w:r w:rsidR="00CD1F63" w:rsidRPr="006E19C7">
        <w:rPr>
          <w:rFonts w:ascii="Times New Roman" w:hAnsi="Times New Roman" w:cs="Times New Roman"/>
          <w:sz w:val="24"/>
          <w:szCs w:val="24"/>
        </w:rPr>
        <w:t>P</w:t>
      </w:r>
      <w:r w:rsidR="00CD1F63" w:rsidRPr="006E19C7">
        <w:rPr>
          <w:rFonts w:ascii="Times New Roman" w:hAnsi="Times New Roman" w:cs="Times New Roman"/>
          <w:sz w:val="24"/>
          <w:szCs w:val="24"/>
          <w:vertAlign w:val="subscript"/>
        </w:rPr>
        <w:t>trend</w:t>
      </w:r>
      <w:proofErr w:type="spellEnd"/>
      <w:r w:rsidR="00CD1F63" w:rsidRPr="006E19C7">
        <w:rPr>
          <w:rFonts w:ascii="Times New Roman" w:hAnsi="Times New Roman" w:cs="Times New Roman"/>
          <w:sz w:val="24"/>
          <w:szCs w:val="24"/>
        </w:rPr>
        <w:t xml:space="preserve"> &lt;0.001)</w:t>
      </w:r>
      <w:r w:rsidR="00F577D9" w:rsidRPr="006E19C7">
        <w:rPr>
          <w:rFonts w:ascii="Times New Roman" w:hAnsi="Times New Roman" w:cs="Times New Roman"/>
          <w:sz w:val="24"/>
          <w:szCs w:val="24"/>
        </w:rPr>
        <w:t xml:space="preserve">, </w:t>
      </w:r>
      <w:r w:rsidR="003D7939" w:rsidRPr="006E19C7">
        <w:rPr>
          <w:rFonts w:ascii="Times New Roman" w:hAnsi="Times New Roman" w:cs="Times New Roman"/>
          <w:sz w:val="24"/>
          <w:szCs w:val="24"/>
        </w:rPr>
        <w:t xml:space="preserve">and </w:t>
      </w:r>
      <w:r w:rsidR="000333AC" w:rsidRPr="006E19C7">
        <w:rPr>
          <w:rFonts w:ascii="Times New Roman" w:hAnsi="Times New Roman" w:cs="Times New Roman"/>
          <w:sz w:val="24"/>
          <w:szCs w:val="24"/>
        </w:rPr>
        <w:t>peripheral vascular</w:t>
      </w:r>
      <w:r w:rsidR="00CD1F63" w:rsidRPr="006E19C7">
        <w:rPr>
          <w:rFonts w:ascii="Times New Roman" w:hAnsi="Times New Roman" w:cs="Times New Roman"/>
          <w:sz w:val="24"/>
          <w:szCs w:val="24"/>
        </w:rPr>
        <w:t xml:space="preserve"> disease (9.7% to 13.1%, </w:t>
      </w:r>
      <w:proofErr w:type="spellStart"/>
      <w:r w:rsidR="00CD1F63" w:rsidRPr="006E19C7">
        <w:rPr>
          <w:rFonts w:ascii="Times New Roman" w:hAnsi="Times New Roman" w:cs="Times New Roman"/>
          <w:sz w:val="24"/>
          <w:szCs w:val="24"/>
        </w:rPr>
        <w:t>P</w:t>
      </w:r>
      <w:r w:rsidR="00CD1F63" w:rsidRPr="006E19C7">
        <w:rPr>
          <w:rFonts w:ascii="Times New Roman" w:hAnsi="Times New Roman" w:cs="Times New Roman"/>
          <w:sz w:val="24"/>
          <w:szCs w:val="24"/>
          <w:vertAlign w:val="subscript"/>
        </w:rPr>
        <w:t>trend</w:t>
      </w:r>
      <w:proofErr w:type="spellEnd"/>
      <w:r w:rsidR="00CD1F63" w:rsidRPr="006E19C7">
        <w:rPr>
          <w:rFonts w:ascii="Times New Roman" w:hAnsi="Times New Roman" w:cs="Times New Roman"/>
          <w:sz w:val="24"/>
          <w:szCs w:val="24"/>
        </w:rPr>
        <w:t xml:space="preserve"> &lt;0.001)</w:t>
      </w:r>
      <w:r w:rsidR="000333AC" w:rsidRPr="006E19C7">
        <w:rPr>
          <w:rFonts w:ascii="Times New Roman" w:hAnsi="Times New Roman" w:cs="Times New Roman"/>
          <w:sz w:val="24"/>
          <w:szCs w:val="24"/>
        </w:rPr>
        <w:t xml:space="preserve"> </w:t>
      </w:r>
      <w:r w:rsidR="00CD1F63" w:rsidRPr="006E19C7">
        <w:rPr>
          <w:rFonts w:ascii="Times New Roman" w:hAnsi="Times New Roman" w:cs="Times New Roman"/>
          <w:sz w:val="24"/>
          <w:szCs w:val="24"/>
        </w:rPr>
        <w:t>in the</w:t>
      </w:r>
      <w:r w:rsidR="009A6830" w:rsidRPr="006E19C7">
        <w:rPr>
          <w:rFonts w:ascii="Times New Roman" w:hAnsi="Times New Roman" w:cs="Times New Roman"/>
          <w:sz w:val="24"/>
          <w:szCs w:val="24"/>
        </w:rPr>
        <w:t xml:space="preserve"> CA</w:t>
      </w:r>
      <w:r w:rsidR="000333AC" w:rsidRPr="006E19C7">
        <w:rPr>
          <w:rFonts w:ascii="Times New Roman" w:hAnsi="Times New Roman" w:cs="Times New Roman"/>
          <w:sz w:val="24"/>
          <w:szCs w:val="24"/>
        </w:rPr>
        <w:t xml:space="preserve"> group. Patient</w:t>
      </w:r>
      <w:r w:rsidR="00FC1A64" w:rsidRPr="006E19C7">
        <w:rPr>
          <w:rFonts w:ascii="Times New Roman" w:hAnsi="Times New Roman" w:cs="Times New Roman"/>
          <w:sz w:val="24"/>
          <w:szCs w:val="24"/>
        </w:rPr>
        <w:t>s</w:t>
      </w:r>
      <w:r w:rsidR="000333AC" w:rsidRPr="006E19C7">
        <w:rPr>
          <w:rFonts w:ascii="Times New Roman" w:hAnsi="Times New Roman" w:cs="Times New Roman"/>
          <w:sz w:val="24"/>
          <w:szCs w:val="24"/>
        </w:rPr>
        <w:t xml:space="preserve"> receiving </w:t>
      </w:r>
      <w:r w:rsidR="009A6830" w:rsidRPr="006E19C7">
        <w:rPr>
          <w:rFonts w:ascii="Times New Roman" w:hAnsi="Times New Roman" w:cs="Times New Roman"/>
          <w:sz w:val="24"/>
          <w:szCs w:val="24"/>
        </w:rPr>
        <w:t>CA</w:t>
      </w:r>
      <w:r w:rsidR="000333AC" w:rsidRPr="006E19C7">
        <w:rPr>
          <w:rFonts w:ascii="Times New Roman" w:hAnsi="Times New Roman" w:cs="Times New Roman"/>
          <w:sz w:val="24"/>
          <w:szCs w:val="24"/>
        </w:rPr>
        <w:t xml:space="preserve"> were </w:t>
      </w:r>
      <w:r w:rsidR="001111C3" w:rsidRPr="006E19C7">
        <w:rPr>
          <w:rFonts w:ascii="Times New Roman" w:hAnsi="Times New Roman" w:cs="Times New Roman"/>
          <w:sz w:val="24"/>
          <w:szCs w:val="24"/>
        </w:rPr>
        <w:t>younger with</w:t>
      </w:r>
      <w:r w:rsidR="000333AC" w:rsidRPr="006E19C7">
        <w:rPr>
          <w:rFonts w:ascii="Times New Roman" w:hAnsi="Times New Roman" w:cs="Times New Roman"/>
          <w:sz w:val="24"/>
          <w:szCs w:val="24"/>
        </w:rPr>
        <w:t xml:space="preserve"> less comorbid </w:t>
      </w:r>
      <w:r w:rsidR="001111C3" w:rsidRPr="006E19C7">
        <w:rPr>
          <w:rFonts w:ascii="Times New Roman" w:hAnsi="Times New Roman" w:cs="Times New Roman"/>
          <w:sz w:val="24"/>
          <w:szCs w:val="24"/>
        </w:rPr>
        <w:t xml:space="preserve">conditions </w:t>
      </w:r>
      <w:r w:rsidR="000333AC" w:rsidRPr="006E19C7">
        <w:rPr>
          <w:rFonts w:ascii="Times New Roman" w:hAnsi="Times New Roman" w:cs="Times New Roman"/>
          <w:sz w:val="24"/>
          <w:szCs w:val="24"/>
        </w:rPr>
        <w:t xml:space="preserve">across all years compared to </w:t>
      </w:r>
      <w:r w:rsidR="00CD31FB" w:rsidRPr="006E19C7">
        <w:rPr>
          <w:rFonts w:ascii="Times New Roman" w:hAnsi="Times New Roman" w:cs="Times New Roman"/>
          <w:sz w:val="24"/>
          <w:szCs w:val="24"/>
        </w:rPr>
        <w:t>medically managed patients</w:t>
      </w:r>
      <w:r w:rsidR="003D7939" w:rsidRPr="006E19C7">
        <w:rPr>
          <w:rFonts w:ascii="Times New Roman" w:hAnsi="Times New Roman" w:cs="Times New Roman"/>
          <w:sz w:val="24"/>
          <w:szCs w:val="24"/>
        </w:rPr>
        <w:t xml:space="preserve">. </w:t>
      </w:r>
      <w:r w:rsidR="00704FF8" w:rsidRPr="006E19C7">
        <w:rPr>
          <w:rFonts w:ascii="Times New Roman" w:hAnsi="Times New Roman" w:cs="Times New Roman"/>
          <w:sz w:val="24"/>
          <w:szCs w:val="24"/>
        </w:rPr>
        <w:t xml:space="preserve">Conversely, in patients who were medically managed, a greater proportional increase in the non-cardiac comorbidities was observed. </w:t>
      </w:r>
      <w:r w:rsidR="00D54FB4" w:rsidRPr="006E19C7">
        <w:rPr>
          <w:rFonts w:ascii="Times New Roman" w:hAnsi="Times New Roman" w:cs="Times New Roman"/>
          <w:sz w:val="24"/>
          <w:szCs w:val="24"/>
        </w:rPr>
        <w:t>T</w:t>
      </w:r>
      <w:r w:rsidR="00704FF8" w:rsidRPr="006E19C7">
        <w:rPr>
          <w:rFonts w:ascii="Times New Roman" w:hAnsi="Times New Roman" w:cs="Times New Roman"/>
          <w:sz w:val="24"/>
          <w:szCs w:val="24"/>
        </w:rPr>
        <w:t xml:space="preserve">he </w:t>
      </w:r>
      <w:r w:rsidR="00704FF8" w:rsidRPr="006E19C7">
        <w:rPr>
          <w:rFonts w:ascii="Times New Roman" w:hAnsi="Times New Roman" w:cs="Times New Roman"/>
          <w:noProof/>
          <w:sz w:val="24"/>
          <w:szCs w:val="24"/>
        </w:rPr>
        <w:t>prevalence</w:t>
      </w:r>
      <w:r w:rsidR="00704FF8" w:rsidRPr="006E19C7">
        <w:rPr>
          <w:rFonts w:ascii="Times New Roman" w:hAnsi="Times New Roman" w:cs="Times New Roman"/>
          <w:sz w:val="24"/>
          <w:szCs w:val="24"/>
        </w:rPr>
        <w:t xml:space="preserve"> of renal failure increased from 10.8% to 34.0% and prevalence of dementia increased from 8.9% to 15.4% during the study period.</w:t>
      </w:r>
    </w:p>
    <w:p w14:paraId="628798E2" w14:textId="6D1B610B" w:rsidR="000456E7" w:rsidRPr="006E19C7" w:rsidRDefault="003D7939"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Cru</w:t>
      </w:r>
      <w:r w:rsidR="00CD31FB" w:rsidRPr="006E19C7">
        <w:rPr>
          <w:rFonts w:ascii="Times New Roman" w:hAnsi="Times New Roman" w:cs="Times New Roman"/>
          <w:sz w:val="24"/>
          <w:szCs w:val="24"/>
        </w:rPr>
        <w:t xml:space="preserve">de in-hospital mortality </w:t>
      </w:r>
      <w:r w:rsidR="00F577D9" w:rsidRPr="006E19C7">
        <w:rPr>
          <w:rFonts w:ascii="Times New Roman" w:hAnsi="Times New Roman" w:cs="Times New Roman"/>
          <w:sz w:val="24"/>
          <w:szCs w:val="24"/>
        </w:rPr>
        <w:t xml:space="preserve">for patients receiving CA </w:t>
      </w:r>
      <w:r w:rsidR="00CD31FB" w:rsidRPr="006E19C7">
        <w:rPr>
          <w:rFonts w:ascii="Times New Roman" w:hAnsi="Times New Roman" w:cs="Times New Roman"/>
          <w:sz w:val="24"/>
          <w:szCs w:val="24"/>
        </w:rPr>
        <w:t>decreased</w:t>
      </w:r>
      <w:r w:rsidRPr="006E19C7">
        <w:rPr>
          <w:rFonts w:ascii="Times New Roman" w:hAnsi="Times New Roman" w:cs="Times New Roman"/>
          <w:sz w:val="24"/>
          <w:szCs w:val="24"/>
        </w:rPr>
        <w:t xml:space="preserve"> from</w:t>
      </w:r>
      <w:r w:rsidR="00307FDD" w:rsidRPr="006E19C7">
        <w:rPr>
          <w:rFonts w:ascii="Times New Roman" w:hAnsi="Times New Roman" w:cs="Times New Roman"/>
          <w:sz w:val="24"/>
          <w:szCs w:val="24"/>
        </w:rPr>
        <w:t xml:space="preserve"> 2.2% in 2004 to 1.9%</w:t>
      </w:r>
      <w:r w:rsidR="003E6EE8" w:rsidRPr="006E19C7">
        <w:rPr>
          <w:rFonts w:ascii="Times New Roman" w:hAnsi="Times New Roman" w:cs="Times New Roman"/>
          <w:sz w:val="24"/>
          <w:szCs w:val="24"/>
        </w:rPr>
        <w:t xml:space="preserve"> (</w:t>
      </w:r>
      <w:proofErr w:type="spellStart"/>
      <w:r w:rsidR="003E6EE8" w:rsidRPr="006E19C7">
        <w:rPr>
          <w:rFonts w:ascii="Times New Roman" w:hAnsi="Times New Roman" w:cs="Times New Roman"/>
          <w:sz w:val="24"/>
          <w:szCs w:val="24"/>
        </w:rPr>
        <w:t>P</w:t>
      </w:r>
      <w:r w:rsidR="00B16371" w:rsidRPr="006E19C7">
        <w:rPr>
          <w:rFonts w:ascii="Times New Roman" w:hAnsi="Times New Roman" w:cs="Times New Roman"/>
          <w:sz w:val="24"/>
          <w:szCs w:val="24"/>
          <w:vertAlign w:val="subscript"/>
        </w:rPr>
        <w:t>trend</w:t>
      </w:r>
      <w:proofErr w:type="spellEnd"/>
      <w:r w:rsidR="00B16371" w:rsidRPr="006E19C7">
        <w:rPr>
          <w:rFonts w:ascii="Times New Roman" w:hAnsi="Times New Roman" w:cs="Times New Roman"/>
          <w:sz w:val="24"/>
          <w:szCs w:val="24"/>
        </w:rPr>
        <w:t xml:space="preserve"> &lt;0.001)</w:t>
      </w:r>
      <w:r w:rsidR="00307FDD" w:rsidRPr="006E19C7">
        <w:rPr>
          <w:rFonts w:ascii="Times New Roman" w:hAnsi="Times New Roman" w:cs="Times New Roman"/>
          <w:sz w:val="24"/>
          <w:szCs w:val="24"/>
        </w:rPr>
        <w:t xml:space="preserve"> in 2014</w:t>
      </w:r>
      <w:r w:rsidR="00D54FB4" w:rsidRPr="006E19C7">
        <w:rPr>
          <w:rFonts w:ascii="Times New Roman" w:hAnsi="Times New Roman" w:cs="Times New Roman"/>
          <w:sz w:val="24"/>
          <w:szCs w:val="24"/>
        </w:rPr>
        <w:t>;</w:t>
      </w:r>
      <w:r w:rsidR="00704FF8" w:rsidRPr="006E19C7">
        <w:rPr>
          <w:rFonts w:ascii="Times New Roman" w:hAnsi="Times New Roman" w:cs="Times New Roman"/>
          <w:sz w:val="24"/>
          <w:szCs w:val="24"/>
        </w:rPr>
        <w:t xml:space="preserve"> mortality rates remained fairly stable in the medically managed cohort (6.8% in 2004 to 6.7% in 2014; </w:t>
      </w:r>
      <w:proofErr w:type="spellStart"/>
      <w:r w:rsidR="0088692C" w:rsidRPr="006E19C7">
        <w:rPr>
          <w:rFonts w:ascii="Times New Roman" w:hAnsi="Times New Roman" w:cs="Times New Roman"/>
          <w:sz w:val="24"/>
          <w:szCs w:val="24"/>
        </w:rPr>
        <w:t>P</w:t>
      </w:r>
      <w:r w:rsidR="0088692C" w:rsidRPr="006E19C7">
        <w:rPr>
          <w:rFonts w:ascii="Times New Roman" w:hAnsi="Times New Roman" w:cs="Times New Roman"/>
          <w:sz w:val="24"/>
          <w:szCs w:val="24"/>
          <w:vertAlign w:val="subscript"/>
        </w:rPr>
        <w:t>trend</w:t>
      </w:r>
      <w:proofErr w:type="spellEnd"/>
      <w:r w:rsidR="0088692C" w:rsidRPr="006E19C7">
        <w:rPr>
          <w:rFonts w:ascii="Times New Roman" w:hAnsi="Times New Roman" w:cs="Times New Roman"/>
          <w:sz w:val="24"/>
          <w:szCs w:val="24"/>
        </w:rPr>
        <w:t>=0.83</w:t>
      </w:r>
      <w:r w:rsidR="00704FF8" w:rsidRPr="006E19C7">
        <w:rPr>
          <w:rFonts w:ascii="Times New Roman" w:hAnsi="Times New Roman" w:cs="Times New Roman"/>
          <w:sz w:val="24"/>
          <w:szCs w:val="24"/>
        </w:rPr>
        <w:t>)</w:t>
      </w:r>
    </w:p>
    <w:p w14:paraId="31C32975" w14:textId="724ED78A" w:rsidR="00F577D9" w:rsidRPr="006E19C7" w:rsidRDefault="00F66E64"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Temporal trends in comorbidity burden</w:t>
      </w:r>
      <w:r w:rsidR="0044413F" w:rsidRPr="006E19C7">
        <w:rPr>
          <w:rFonts w:ascii="Times New Roman" w:hAnsi="Times New Roman" w:cs="Times New Roman"/>
          <w:sz w:val="24"/>
          <w:szCs w:val="24"/>
        </w:rPr>
        <w:t xml:space="preserve"> of patients receiving </w:t>
      </w:r>
      <w:r w:rsidR="007656B0" w:rsidRPr="006E19C7">
        <w:rPr>
          <w:rFonts w:ascii="Times New Roman" w:hAnsi="Times New Roman" w:cs="Times New Roman"/>
          <w:sz w:val="24"/>
          <w:szCs w:val="24"/>
        </w:rPr>
        <w:t>CA</w:t>
      </w:r>
      <w:r w:rsidR="00A65651"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as defined per </w:t>
      </w:r>
      <w:r w:rsidR="000A5A1C" w:rsidRPr="006E19C7">
        <w:rPr>
          <w:rFonts w:ascii="Times New Roman" w:hAnsi="Times New Roman" w:cs="Times New Roman"/>
          <w:noProof/>
          <w:sz w:val="24"/>
          <w:szCs w:val="24"/>
        </w:rPr>
        <w:t>C</w:t>
      </w:r>
      <w:r w:rsidR="009D39A1" w:rsidRPr="006E19C7">
        <w:rPr>
          <w:rFonts w:ascii="Times New Roman" w:hAnsi="Times New Roman" w:cs="Times New Roman"/>
          <w:noProof/>
          <w:sz w:val="24"/>
          <w:szCs w:val="24"/>
        </w:rPr>
        <w:t>harlson</w:t>
      </w:r>
      <w:r w:rsidRPr="006E19C7">
        <w:rPr>
          <w:rFonts w:ascii="Times New Roman" w:hAnsi="Times New Roman" w:cs="Times New Roman"/>
          <w:sz w:val="24"/>
          <w:szCs w:val="24"/>
        </w:rPr>
        <w:t xml:space="preserve"> score are </w:t>
      </w:r>
      <w:r w:rsidR="00997454" w:rsidRPr="006E19C7">
        <w:rPr>
          <w:rFonts w:ascii="Times New Roman" w:hAnsi="Times New Roman" w:cs="Times New Roman"/>
          <w:sz w:val="24"/>
          <w:szCs w:val="24"/>
        </w:rPr>
        <w:t xml:space="preserve">shown </w:t>
      </w:r>
      <w:r w:rsidRPr="006E19C7">
        <w:rPr>
          <w:rFonts w:ascii="Times New Roman" w:hAnsi="Times New Roman" w:cs="Times New Roman"/>
          <w:sz w:val="24"/>
          <w:szCs w:val="24"/>
        </w:rPr>
        <w:t xml:space="preserve">in </w:t>
      </w:r>
      <w:r w:rsidRPr="006E19C7">
        <w:rPr>
          <w:rFonts w:ascii="Times New Roman" w:hAnsi="Times New Roman" w:cs="Times New Roman"/>
          <w:b/>
          <w:sz w:val="24"/>
          <w:szCs w:val="24"/>
        </w:rPr>
        <w:t xml:space="preserve">Figure </w:t>
      </w:r>
      <w:r w:rsidR="00F30974" w:rsidRPr="006E19C7">
        <w:rPr>
          <w:rFonts w:ascii="Times New Roman" w:hAnsi="Times New Roman" w:cs="Times New Roman"/>
          <w:b/>
          <w:sz w:val="24"/>
          <w:szCs w:val="24"/>
        </w:rPr>
        <w:t>3</w:t>
      </w:r>
      <w:r w:rsidR="00015568" w:rsidRPr="006E19C7">
        <w:rPr>
          <w:rFonts w:ascii="Times New Roman" w:hAnsi="Times New Roman" w:cs="Times New Roman"/>
          <w:b/>
          <w:sz w:val="24"/>
          <w:szCs w:val="24"/>
        </w:rPr>
        <w:t>.</w:t>
      </w:r>
      <w:r w:rsidR="00015568" w:rsidRPr="006E19C7">
        <w:rPr>
          <w:rFonts w:ascii="Times New Roman" w:hAnsi="Times New Roman" w:cs="Times New Roman"/>
          <w:sz w:val="24"/>
          <w:szCs w:val="24"/>
        </w:rPr>
        <w:t xml:space="preserve"> An</w:t>
      </w:r>
      <w:r w:rsidR="007816A1" w:rsidRPr="006E19C7">
        <w:rPr>
          <w:rFonts w:ascii="Times New Roman" w:hAnsi="Times New Roman" w:cs="Times New Roman"/>
          <w:sz w:val="24"/>
          <w:szCs w:val="24"/>
        </w:rPr>
        <w:t xml:space="preserve"> </w:t>
      </w:r>
      <w:r w:rsidR="009D39A1" w:rsidRPr="006E19C7">
        <w:rPr>
          <w:rFonts w:ascii="Times New Roman" w:hAnsi="Times New Roman" w:cs="Times New Roman"/>
          <w:sz w:val="24"/>
          <w:szCs w:val="24"/>
        </w:rPr>
        <w:t>increase</w:t>
      </w:r>
      <w:r w:rsidR="007816A1" w:rsidRPr="006E19C7">
        <w:rPr>
          <w:rFonts w:ascii="Times New Roman" w:hAnsi="Times New Roman" w:cs="Times New Roman"/>
          <w:sz w:val="24"/>
          <w:szCs w:val="24"/>
        </w:rPr>
        <w:t xml:space="preserve"> in</w:t>
      </w:r>
      <w:r w:rsidR="000A5A1C" w:rsidRPr="006E19C7">
        <w:rPr>
          <w:rFonts w:ascii="Times New Roman" w:hAnsi="Times New Roman" w:cs="Times New Roman"/>
          <w:sz w:val="24"/>
          <w:szCs w:val="24"/>
        </w:rPr>
        <w:t xml:space="preserve"> the</w:t>
      </w:r>
      <w:r w:rsidR="007816A1" w:rsidRPr="006E19C7">
        <w:rPr>
          <w:rFonts w:ascii="Times New Roman" w:hAnsi="Times New Roman" w:cs="Times New Roman"/>
          <w:sz w:val="24"/>
          <w:szCs w:val="24"/>
        </w:rPr>
        <w:t xml:space="preserve"> </w:t>
      </w:r>
      <w:r w:rsidR="007816A1" w:rsidRPr="006E19C7">
        <w:rPr>
          <w:rFonts w:ascii="Times New Roman" w:hAnsi="Times New Roman" w:cs="Times New Roman"/>
          <w:noProof/>
          <w:sz w:val="24"/>
          <w:szCs w:val="24"/>
        </w:rPr>
        <w:t>use</w:t>
      </w:r>
      <w:r w:rsidR="007816A1" w:rsidRPr="006E19C7">
        <w:rPr>
          <w:rFonts w:ascii="Times New Roman" w:hAnsi="Times New Roman" w:cs="Times New Roman"/>
          <w:sz w:val="24"/>
          <w:szCs w:val="24"/>
        </w:rPr>
        <w:t xml:space="preserve"> of </w:t>
      </w:r>
      <w:r w:rsidR="007656B0" w:rsidRPr="006E19C7">
        <w:rPr>
          <w:rFonts w:ascii="Times New Roman" w:hAnsi="Times New Roman" w:cs="Times New Roman"/>
          <w:sz w:val="24"/>
          <w:szCs w:val="24"/>
        </w:rPr>
        <w:t>CA</w:t>
      </w:r>
      <w:r w:rsidR="00A65651" w:rsidRPr="006E19C7">
        <w:rPr>
          <w:rFonts w:ascii="Times New Roman" w:hAnsi="Times New Roman" w:cs="Times New Roman"/>
          <w:sz w:val="24"/>
          <w:szCs w:val="24"/>
        </w:rPr>
        <w:t xml:space="preserve"> </w:t>
      </w:r>
      <w:r w:rsidR="009D39A1" w:rsidRPr="006E19C7">
        <w:rPr>
          <w:rFonts w:ascii="Times New Roman" w:hAnsi="Times New Roman" w:cs="Times New Roman"/>
          <w:sz w:val="24"/>
          <w:szCs w:val="24"/>
        </w:rPr>
        <w:t xml:space="preserve">was noted across all four categories of </w:t>
      </w:r>
      <w:r w:rsidR="000A5A1C" w:rsidRPr="006E19C7">
        <w:rPr>
          <w:rFonts w:ascii="Times New Roman" w:hAnsi="Times New Roman" w:cs="Times New Roman"/>
          <w:noProof/>
          <w:sz w:val="24"/>
          <w:szCs w:val="24"/>
        </w:rPr>
        <w:t>C</w:t>
      </w:r>
      <w:r w:rsidR="009D39A1" w:rsidRPr="006E19C7">
        <w:rPr>
          <w:rFonts w:ascii="Times New Roman" w:hAnsi="Times New Roman" w:cs="Times New Roman"/>
          <w:noProof/>
          <w:sz w:val="24"/>
          <w:szCs w:val="24"/>
        </w:rPr>
        <w:t>harlson</w:t>
      </w:r>
      <w:r w:rsidR="009D39A1" w:rsidRPr="006E19C7">
        <w:rPr>
          <w:rFonts w:ascii="Times New Roman" w:hAnsi="Times New Roman" w:cs="Times New Roman"/>
          <w:sz w:val="24"/>
          <w:szCs w:val="24"/>
        </w:rPr>
        <w:t xml:space="preserve"> score albeit with</w:t>
      </w:r>
      <w:r w:rsidR="000A5A1C" w:rsidRPr="006E19C7">
        <w:rPr>
          <w:rFonts w:ascii="Times New Roman" w:hAnsi="Times New Roman" w:cs="Times New Roman"/>
          <w:sz w:val="24"/>
          <w:szCs w:val="24"/>
        </w:rPr>
        <w:t xml:space="preserve"> the</w:t>
      </w:r>
      <w:r w:rsidR="009D39A1" w:rsidRPr="006E19C7">
        <w:rPr>
          <w:rFonts w:ascii="Times New Roman" w:hAnsi="Times New Roman" w:cs="Times New Roman"/>
          <w:sz w:val="24"/>
          <w:szCs w:val="24"/>
        </w:rPr>
        <w:t xml:space="preserve"> </w:t>
      </w:r>
      <w:r w:rsidR="009D39A1" w:rsidRPr="006E19C7">
        <w:rPr>
          <w:rFonts w:ascii="Times New Roman" w:hAnsi="Times New Roman" w:cs="Times New Roman"/>
          <w:noProof/>
          <w:sz w:val="24"/>
          <w:szCs w:val="24"/>
        </w:rPr>
        <w:t>lowest</w:t>
      </w:r>
      <w:r w:rsidR="009D39A1" w:rsidRPr="006E19C7">
        <w:rPr>
          <w:rFonts w:ascii="Times New Roman" w:hAnsi="Times New Roman" w:cs="Times New Roman"/>
          <w:sz w:val="24"/>
          <w:szCs w:val="24"/>
        </w:rPr>
        <w:t xml:space="preserve"> uptake in patients with highest comorbidity burden. From 2004 to 2014, the use of CA increased from 5</w:t>
      </w:r>
      <w:r w:rsidR="00A65651" w:rsidRPr="006E19C7">
        <w:rPr>
          <w:rFonts w:ascii="Times New Roman" w:hAnsi="Times New Roman" w:cs="Times New Roman"/>
          <w:sz w:val="24"/>
          <w:szCs w:val="24"/>
        </w:rPr>
        <w:t xml:space="preserve">5.9% to 75.6% in patients with </w:t>
      </w:r>
      <w:r w:rsidR="009D39A1" w:rsidRPr="006E19C7">
        <w:rPr>
          <w:rFonts w:ascii="Times New Roman" w:hAnsi="Times New Roman" w:cs="Times New Roman"/>
          <w:sz w:val="24"/>
          <w:szCs w:val="24"/>
        </w:rPr>
        <w:t xml:space="preserve">no comorbidity (CCI=0), from 48.7% to 66.4% in CCI=1, from 42.3% </w:t>
      </w:r>
      <w:r w:rsidR="00A65651" w:rsidRPr="006E19C7">
        <w:rPr>
          <w:rFonts w:ascii="Times New Roman" w:hAnsi="Times New Roman" w:cs="Times New Roman"/>
          <w:sz w:val="24"/>
          <w:szCs w:val="24"/>
        </w:rPr>
        <w:t xml:space="preserve">to 59.9% in CCI=2 and </w:t>
      </w:r>
      <w:r w:rsidR="00A65651" w:rsidRPr="006E19C7">
        <w:rPr>
          <w:rFonts w:ascii="Times New Roman" w:hAnsi="Times New Roman" w:cs="Times New Roman"/>
          <w:sz w:val="24"/>
          <w:szCs w:val="24"/>
        </w:rPr>
        <w:lastRenderedPageBreak/>
        <w:t xml:space="preserve">35.3% to </w:t>
      </w:r>
      <w:r w:rsidR="009D39A1" w:rsidRPr="006E19C7">
        <w:rPr>
          <w:rFonts w:ascii="Times New Roman" w:hAnsi="Times New Roman" w:cs="Times New Roman"/>
          <w:sz w:val="24"/>
          <w:szCs w:val="24"/>
        </w:rPr>
        <w:t>53.9%</w:t>
      </w:r>
      <w:r w:rsidR="00A65651" w:rsidRPr="006E19C7">
        <w:rPr>
          <w:rFonts w:ascii="Times New Roman" w:hAnsi="Times New Roman" w:cs="Times New Roman"/>
          <w:sz w:val="24"/>
          <w:szCs w:val="24"/>
        </w:rPr>
        <w:t xml:space="preserve"> in CCI≥3 category</w:t>
      </w:r>
      <w:r w:rsidR="009D39A1" w:rsidRPr="006E19C7">
        <w:rPr>
          <w:rFonts w:ascii="Times New Roman" w:hAnsi="Times New Roman" w:cs="Times New Roman"/>
          <w:sz w:val="24"/>
          <w:szCs w:val="24"/>
        </w:rPr>
        <w:t>. Similar disparities were observed in use of CA when patients were str</w:t>
      </w:r>
      <w:r w:rsidR="006333BD" w:rsidRPr="006E19C7">
        <w:rPr>
          <w:rFonts w:ascii="Times New Roman" w:hAnsi="Times New Roman" w:cs="Times New Roman"/>
          <w:sz w:val="24"/>
          <w:szCs w:val="24"/>
        </w:rPr>
        <w:t>atified according to age group</w:t>
      </w:r>
      <w:r w:rsidR="009D39A1" w:rsidRPr="006E19C7">
        <w:rPr>
          <w:rFonts w:ascii="Times New Roman" w:hAnsi="Times New Roman" w:cs="Times New Roman"/>
          <w:sz w:val="24"/>
          <w:szCs w:val="24"/>
        </w:rPr>
        <w:t xml:space="preserve">, ethnicity and </w:t>
      </w:r>
      <w:r w:rsidR="0054512D" w:rsidRPr="006E19C7">
        <w:rPr>
          <w:rFonts w:ascii="Times New Roman" w:hAnsi="Times New Roman" w:cs="Times New Roman"/>
          <w:sz w:val="24"/>
          <w:szCs w:val="24"/>
        </w:rPr>
        <w:t>hospital location/ teaching status</w:t>
      </w:r>
      <w:r w:rsidR="00B7066E" w:rsidRPr="006E19C7">
        <w:rPr>
          <w:rFonts w:ascii="Times New Roman" w:hAnsi="Times New Roman" w:cs="Times New Roman"/>
          <w:sz w:val="24"/>
          <w:szCs w:val="24"/>
        </w:rPr>
        <w:t xml:space="preserve"> (</w:t>
      </w:r>
      <w:r w:rsidR="00F30974" w:rsidRPr="006E19C7">
        <w:rPr>
          <w:rFonts w:ascii="Times New Roman" w:hAnsi="Times New Roman" w:cs="Times New Roman"/>
          <w:b/>
          <w:sz w:val="24"/>
          <w:szCs w:val="24"/>
        </w:rPr>
        <w:t>Figure</w:t>
      </w:r>
      <w:r w:rsidR="006333BD" w:rsidRPr="006E19C7">
        <w:rPr>
          <w:rFonts w:ascii="Times New Roman" w:hAnsi="Times New Roman" w:cs="Times New Roman"/>
          <w:b/>
          <w:sz w:val="24"/>
          <w:szCs w:val="24"/>
        </w:rPr>
        <w:t xml:space="preserve"> 4-6</w:t>
      </w:r>
      <w:r w:rsidR="00B7066E" w:rsidRPr="006E19C7">
        <w:rPr>
          <w:rFonts w:ascii="Times New Roman" w:hAnsi="Times New Roman" w:cs="Times New Roman"/>
          <w:sz w:val="24"/>
          <w:szCs w:val="24"/>
        </w:rPr>
        <w:t>)</w:t>
      </w:r>
      <w:r w:rsidR="00F77A02" w:rsidRPr="006E19C7">
        <w:rPr>
          <w:rFonts w:ascii="Times New Roman" w:hAnsi="Times New Roman" w:cs="Times New Roman"/>
          <w:sz w:val="24"/>
          <w:szCs w:val="24"/>
        </w:rPr>
        <w:t>.</w:t>
      </w:r>
      <w:r w:rsidR="00F77A02" w:rsidRPr="006E19C7">
        <w:rPr>
          <w:rFonts w:ascii="Times New Roman" w:hAnsi="Times New Roman" w:cs="Times New Roman"/>
          <w:b/>
          <w:sz w:val="24"/>
          <w:szCs w:val="24"/>
        </w:rPr>
        <w:t xml:space="preserve"> </w:t>
      </w:r>
      <w:r w:rsidR="00151893" w:rsidRPr="006E19C7">
        <w:rPr>
          <w:rFonts w:ascii="Times New Roman" w:hAnsi="Times New Roman" w:cs="Times New Roman"/>
          <w:b/>
          <w:sz w:val="24"/>
          <w:szCs w:val="24"/>
        </w:rPr>
        <w:t xml:space="preserve"> </w:t>
      </w:r>
      <w:r w:rsidR="00151893" w:rsidRPr="006E19C7">
        <w:rPr>
          <w:rFonts w:ascii="Times New Roman" w:hAnsi="Times New Roman" w:cs="Times New Roman"/>
          <w:sz w:val="24"/>
          <w:szCs w:val="24"/>
        </w:rPr>
        <w:t>P</w:t>
      </w:r>
      <w:r w:rsidR="00A26F06" w:rsidRPr="006E19C7">
        <w:rPr>
          <w:rFonts w:ascii="Times New Roman" w:hAnsi="Times New Roman" w:cs="Times New Roman"/>
          <w:sz w:val="24"/>
          <w:szCs w:val="24"/>
        </w:rPr>
        <w:t xml:space="preserve">atients </w:t>
      </w:r>
      <w:r w:rsidR="00A26F06" w:rsidRPr="006E19C7">
        <w:rPr>
          <w:rFonts w:ascii="Times New Roman" w:hAnsi="Times New Roman" w:cs="Times New Roman"/>
          <w:noProof/>
          <w:sz w:val="24"/>
          <w:szCs w:val="24"/>
        </w:rPr>
        <w:t>age</w:t>
      </w:r>
      <w:r w:rsidR="002F639A" w:rsidRPr="006E19C7">
        <w:rPr>
          <w:rFonts w:ascii="Times New Roman" w:hAnsi="Times New Roman" w:cs="Times New Roman"/>
          <w:noProof/>
          <w:sz w:val="24"/>
          <w:szCs w:val="24"/>
        </w:rPr>
        <w:t>d</w:t>
      </w:r>
      <w:r w:rsidR="00A26F06" w:rsidRPr="006E19C7">
        <w:rPr>
          <w:rFonts w:ascii="Times New Roman" w:hAnsi="Times New Roman" w:cs="Times New Roman"/>
          <w:sz w:val="24"/>
          <w:szCs w:val="24"/>
        </w:rPr>
        <w:t xml:space="preserve"> ≤60 years showed</w:t>
      </w:r>
      <w:r w:rsidR="000A5A1C" w:rsidRPr="006E19C7">
        <w:rPr>
          <w:rFonts w:ascii="Times New Roman" w:hAnsi="Times New Roman" w:cs="Times New Roman"/>
          <w:sz w:val="24"/>
          <w:szCs w:val="24"/>
        </w:rPr>
        <w:t xml:space="preserve"> a</w:t>
      </w:r>
      <w:r w:rsidR="00A26F06" w:rsidRPr="006E19C7">
        <w:rPr>
          <w:rFonts w:ascii="Times New Roman" w:hAnsi="Times New Roman" w:cs="Times New Roman"/>
          <w:sz w:val="24"/>
          <w:szCs w:val="24"/>
        </w:rPr>
        <w:t xml:space="preserve"> </w:t>
      </w:r>
      <w:r w:rsidR="00F77A02" w:rsidRPr="006E19C7">
        <w:rPr>
          <w:rFonts w:ascii="Times New Roman" w:hAnsi="Times New Roman" w:cs="Times New Roman"/>
          <w:noProof/>
          <w:sz w:val="24"/>
          <w:szCs w:val="24"/>
        </w:rPr>
        <w:t>higher</w:t>
      </w:r>
      <w:r w:rsidR="00A26F06" w:rsidRPr="006E19C7">
        <w:rPr>
          <w:rFonts w:ascii="Times New Roman" w:hAnsi="Times New Roman" w:cs="Times New Roman"/>
          <w:sz w:val="24"/>
          <w:szCs w:val="24"/>
        </w:rPr>
        <w:t xml:space="preserve"> proportional increase</w:t>
      </w:r>
      <w:r w:rsidR="004775B1" w:rsidRPr="006E19C7">
        <w:rPr>
          <w:rFonts w:ascii="Times New Roman" w:hAnsi="Times New Roman" w:cs="Times New Roman"/>
          <w:sz w:val="24"/>
          <w:szCs w:val="24"/>
        </w:rPr>
        <w:t xml:space="preserve"> in </w:t>
      </w:r>
      <w:r w:rsidR="004775B1" w:rsidRPr="006E19C7">
        <w:rPr>
          <w:rFonts w:ascii="Times New Roman" w:hAnsi="Times New Roman" w:cs="Times New Roman"/>
          <w:noProof/>
          <w:sz w:val="24"/>
          <w:szCs w:val="24"/>
        </w:rPr>
        <w:t>utili</w:t>
      </w:r>
      <w:r w:rsidR="00902085" w:rsidRPr="006E19C7">
        <w:rPr>
          <w:rFonts w:ascii="Times New Roman" w:hAnsi="Times New Roman" w:cs="Times New Roman"/>
          <w:noProof/>
          <w:sz w:val="24"/>
          <w:szCs w:val="24"/>
        </w:rPr>
        <w:t>z</w:t>
      </w:r>
      <w:r w:rsidR="004775B1" w:rsidRPr="006E19C7">
        <w:rPr>
          <w:rFonts w:ascii="Times New Roman" w:hAnsi="Times New Roman" w:cs="Times New Roman"/>
          <w:noProof/>
          <w:sz w:val="24"/>
          <w:szCs w:val="24"/>
        </w:rPr>
        <w:t>ation</w:t>
      </w:r>
      <w:r w:rsidR="004775B1" w:rsidRPr="006E19C7">
        <w:rPr>
          <w:rFonts w:ascii="Times New Roman" w:hAnsi="Times New Roman" w:cs="Times New Roman"/>
          <w:sz w:val="24"/>
          <w:szCs w:val="24"/>
        </w:rPr>
        <w:t xml:space="preserve"> of CA</w:t>
      </w:r>
      <w:r w:rsidR="00A65651" w:rsidRPr="006E19C7">
        <w:rPr>
          <w:rFonts w:ascii="Times New Roman" w:hAnsi="Times New Roman" w:cs="Times New Roman"/>
          <w:sz w:val="24"/>
          <w:szCs w:val="24"/>
        </w:rPr>
        <w:t xml:space="preserve"> (59.0% to 77.9%) compared</w:t>
      </w:r>
      <w:r w:rsidR="00F77A02" w:rsidRPr="006E19C7">
        <w:rPr>
          <w:rFonts w:ascii="Times New Roman" w:hAnsi="Times New Roman" w:cs="Times New Roman"/>
          <w:sz w:val="24"/>
          <w:szCs w:val="24"/>
        </w:rPr>
        <w:t xml:space="preserve"> to patients age</w:t>
      </w:r>
      <w:r w:rsidR="002F639A" w:rsidRPr="006E19C7">
        <w:rPr>
          <w:rFonts w:ascii="Times New Roman" w:hAnsi="Times New Roman" w:cs="Times New Roman"/>
          <w:sz w:val="24"/>
          <w:szCs w:val="24"/>
        </w:rPr>
        <w:t>d</w:t>
      </w:r>
      <w:r w:rsidR="00F77A02" w:rsidRPr="006E19C7">
        <w:rPr>
          <w:rFonts w:ascii="Times New Roman" w:hAnsi="Times New Roman" w:cs="Times New Roman"/>
          <w:sz w:val="24"/>
          <w:szCs w:val="24"/>
        </w:rPr>
        <w:t xml:space="preserve">≥81(27.2% to </w:t>
      </w:r>
      <w:r w:rsidR="00A65651" w:rsidRPr="006E19C7">
        <w:rPr>
          <w:rFonts w:ascii="Times New Roman" w:hAnsi="Times New Roman" w:cs="Times New Roman"/>
          <w:sz w:val="24"/>
          <w:szCs w:val="24"/>
        </w:rPr>
        <w:t>37.9%)</w:t>
      </w:r>
      <w:r w:rsidR="00C4721D" w:rsidRPr="006E19C7">
        <w:rPr>
          <w:rFonts w:ascii="Times New Roman" w:hAnsi="Times New Roman" w:cs="Times New Roman"/>
          <w:sz w:val="24"/>
          <w:szCs w:val="24"/>
        </w:rPr>
        <w:t>.</w:t>
      </w:r>
      <w:r w:rsidR="00A26F06" w:rsidRPr="006E19C7">
        <w:rPr>
          <w:rFonts w:ascii="Times New Roman" w:hAnsi="Times New Roman" w:cs="Times New Roman"/>
          <w:sz w:val="24"/>
          <w:szCs w:val="24"/>
        </w:rPr>
        <w:t xml:space="preserve"> </w:t>
      </w:r>
      <w:r w:rsidR="00DC4359" w:rsidRPr="006E19C7">
        <w:rPr>
          <w:rFonts w:ascii="Times New Roman" w:hAnsi="Times New Roman" w:cs="Times New Roman"/>
          <w:sz w:val="24"/>
          <w:szCs w:val="24"/>
        </w:rPr>
        <w:t xml:space="preserve">The adoption of CA was </w:t>
      </w:r>
      <w:r w:rsidR="00151893" w:rsidRPr="006E19C7">
        <w:rPr>
          <w:rFonts w:ascii="Times New Roman" w:hAnsi="Times New Roman" w:cs="Times New Roman"/>
          <w:sz w:val="24"/>
          <w:szCs w:val="24"/>
        </w:rPr>
        <w:t xml:space="preserve">lower </w:t>
      </w:r>
      <w:r w:rsidR="00DC4359" w:rsidRPr="006E19C7">
        <w:rPr>
          <w:rFonts w:ascii="Times New Roman" w:hAnsi="Times New Roman" w:cs="Times New Roman"/>
          <w:sz w:val="24"/>
          <w:szCs w:val="24"/>
        </w:rPr>
        <w:t xml:space="preserve">in African Americans (41.8% to 62.1%, </w:t>
      </w:r>
      <w:proofErr w:type="spellStart"/>
      <w:r w:rsidR="00DC4359" w:rsidRPr="006E19C7">
        <w:rPr>
          <w:rFonts w:ascii="Times New Roman" w:hAnsi="Times New Roman" w:cs="Times New Roman"/>
          <w:sz w:val="24"/>
          <w:szCs w:val="24"/>
        </w:rPr>
        <w:t>P</w:t>
      </w:r>
      <w:r w:rsidR="00DC4359" w:rsidRPr="006E19C7">
        <w:rPr>
          <w:rFonts w:ascii="Times New Roman" w:hAnsi="Times New Roman" w:cs="Times New Roman"/>
          <w:sz w:val="24"/>
          <w:szCs w:val="24"/>
          <w:vertAlign w:val="subscript"/>
        </w:rPr>
        <w:t>trend</w:t>
      </w:r>
      <w:proofErr w:type="spellEnd"/>
      <w:r w:rsidR="00DC4359" w:rsidRPr="006E19C7">
        <w:rPr>
          <w:rFonts w:ascii="Times New Roman" w:hAnsi="Times New Roman" w:cs="Times New Roman"/>
          <w:sz w:val="24"/>
          <w:szCs w:val="24"/>
        </w:rPr>
        <w:t xml:space="preserve">&lt;0.001) </w:t>
      </w:r>
      <w:r w:rsidR="00F77A02" w:rsidRPr="006E19C7">
        <w:rPr>
          <w:rFonts w:ascii="Times New Roman" w:hAnsi="Times New Roman" w:cs="Times New Roman"/>
          <w:sz w:val="24"/>
          <w:szCs w:val="24"/>
        </w:rPr>
        <w:t>a</w:t>
      </w:r>
      <w:r w:rsidR="00DC4359" w:rsidRPr="006E19C7">
        <w:rPr>
          <w:rFonts w:ascii="Times New Roman" w:hAnsi="Times New Roman" w:cs="Times New Roman"/>
          <w:sz w:val="24"/>
          <w:szCs w:val="24"/>
        </w:rPr>
        <w:t xml:space="preserve">nd Asians (41.2% to 63.5%, </w:t>
      </w:r>
      <w:proofErr w:type="spellStart"/>
      <w:r w:rsidR="00DC4359" w:rsidRPr="006E19C7">
        <w:rPr>
          <w:rFonts w:ascii="Times New Roman" w:hAnsi="Times New Roman" w:cs="Times New Roman"/>
          <w:sz w:val="24"/>
          <w:szCs w:val="24"/>
        </w:rPr>
        <w:t>P</w:t>
      </w:r>
      <w:r w:rsidR="00DC4359" w:rsidRPr="006E19C7">
        <w:rPr>
          <w:rFonts w:ascii="Times New Roman" w:hAnsi="Times New Roman" w:cs="Times New Roman"/>
          <w:sz w:val="24"/>
          <w:szCs w:val="24"/>
          <w:vertAlign w:val="subscript"/>
        </w:rPr>
        <w:t>trend</w:t>
      </w:r>
      <w:proofErr w:type="spellEnd"/>
      <w:r w:rsidR="00DC4359" w:rsidRPr="006E19C7">
        <w:rPr>
          <w:rFonts w:ascii="Times New Roman" w:hAnsi="Times New Roman" w:cs="Times New Roman"/>
          <w:sz w:val="24"/>
          <w:szCs w:val="24"/>
        </w:rPr>
        <w:t xml:space="preserve">&lt;0.001) </w:t>
      </w:r>
      <w:r w:rsidR="008213E4" w:rsidRPr="006E19C7">
        <w:rPr>
          <w:rFonts w:ascii="Times New Roman" w:hAnsi="Times New Roman" w:cs="Times New Roman"/>
          <w:sz w:val="24"/>
          <w:szCs w:val="24"/>
        </w:rPr>
        <w:t xml:space="preserve">compared </w:t>
      </w:r>
      <w:r w:rsidR="000A2A85" w:rsidRPr="006E19C7">
        <w:rPr>
          <w:rFonts w:ascii="Times New Roman" w:hAnsi="Times New Roman" w:cs="Times New Roman"/>
          <w:sz w:val="24"/>
          <w:szCs w:val="24"/>
        </w:rPr>
        <w:t xml:space="preserve">to </w:t>
      </w:r>
      <w:r w:rsidR="00DC4359" w:rsidRPr="006E19C7">
        <w:rPr>
          <w:rFonts w:ascii="Times New Roman" w:hAnsi="Times New Roman" w:cs="Times New Roman"/>
          <w:sz w:val="24"/>
          <w:szCs w:val="24"/>
        </w:rPr>
        <w:t>Whites</w:t>
      </w:r>
      <w:r w:rsidR="008213E4" w:rsidRPr="006E19C7">
        <w:rPr>
          <w:rFonts w:ascii="Times New Roman" w:hAnsi="Times New Roman" w:cs="Times New Roman"/>
          <w:sz w:val="24"/>
          <w:szCs w:val="24"/>
        </w:rPr>
        <w:t xml:space="preserve">. </w:t>
      </w:r>
      <w:r w:rsidR="0088692C" w:rsidRPr="006E19C7">
        <w:rPr>
          <w:rFonts w:ascii="Times New Roman" w:hAnsi="Times New Roman" w:cs="Times New Roman"/>
          <w:sz w:val="24"/>
          <w:szCs w:val="24"/>
        </w:rPr>
        <w:t>Institutional</w:t>
      </w:r>
      <w:r w:rsidR="00F577D9" w:rsidRPr="006E19C7">
        <w:rPr>
          <w:rFonts w:ascii="Times New Roman" w:hAnsi="Times New Roman" w:cs="Times New Roman"/>
          <w:sz w:val="24"/>
          <w:szCs w:val="24"/>
        </w:rPr>
        <w:t xml:space="preserve"> differen</w:t>
      </w:r>
      <w:r w:rsidR="00C4721D" w:rsidRPr="006E19C7">
        <w:rPr>
          <w:rFonts w:ascii="Times New Roman" w:hAnsi="Times New Roman" w:cs="Times New Roman"/>
          <w:sz w:val="24"/>
          <w:szCs w:val="24"/>
        </w:rPr>
        <w:t>ces in practice are depicted in</w:t>
      </w:r>
      <w:r w:rsidR="00B7066E" w:rsidRPr="006E19C7">
        <w:rPr>
          <w:rFonts w:ascii="Times New Roman" w:hAnsi="Times New Roman" w:cs="Times New Roman"/>
          <w:sz w:val="24"/>
          <w:szCs w:val="24"/>
        </w:rPr>
        <w:t>,</w:t>
      </w:r>
      <w:r w:rsidR="00F577D9" w:rsidRPr="006E19C7">
        <w:rPr>
          <w:rFonts w:ascii="Times New Roman" w:hAnsi="Times New Roman" w:cs="Times New Roman"/>
          <w:sz w:val="24"/>
          <w:szCs w:val="24"/>
        </w:rPr>
        <w:t xml:space="preserve"> </w:t>
      </w:r>
      <w:r w:rsidR="00B7066E" w:rsidRPr="006E19C7">
        <w:rPr>
          <w:rFonts w:ascii="Times New Roman" w:hAnsi="Times New Roman" w:cs="Times New Roman"/>
          <w:sz w:val="24"/>
          <w:szCs w:val="24"/>
        </w:rPr>
        <w:t>w</w:t>
      </w:r>
      <w:r w:rsidR="001111C3" w:rsidRPr="006E19C7">
        <w:rPr>
          <w:rFonts w:ascii="Times New Roman" w:hAnsi="Times New Roman" w:cs="Times New Roman"/>
          <w:sz w:val="24"/>
          <w:szCs w:val="24"/>
        </w:rPr>
        <w:t>hile there</w:t>
      </w:r>
      <w:r w:rsidR="005F13BE" w:rsidRPr="006E19C7">
        <w:rPr>
          <w:rFonts w:ascii="Times New Roman" w:hAnsi="Times New Roman" w:cs="Times New Roman"/>
          <w:sz w:val="24"/>
          <w:szCs w:val="24"/>
        </w:rPr>
        <w:t xml:space="preserve"> has been a steady increase in use of CA in teaching hospitals (65.1% to 69.8%, </w:t>
      </w:r>
      <w:proofErr w:type="spellStart"/>
      <w:r w:rsidR="005F13BE" w:rsidRPr="006E19C7">
        <w:rPr>
          <w:rFonts w:ascii="Times New Roman" w:hAnsi="Times New Roman" w:cs="Times New Roman"/>
          <w:sz w:val="24"/>
          <w:szCs w:val="24"/>
        </w:rPr>
        <w:t>P</w:t>
      </w:r>
      <w:r w:rsidR="005F13BE" w:rsidRPr="006E19C7">
        <w:rPr>
          <w:rFonts w:ascii="Times New Roman" w:hAnsi="Times New Roman" w:cs="Times New Roman"/>
          <w:sz w:val="24"/>
          <w:szCs w:val="24"/>
          <w:vertAlign w:val="subscript"/>
        </w:rPr>
        <w:t>trend</w:t>
      </w:r>
      <w:proofErr w:type="spellEnd"/>
      <w:r w:rsidR="005F13BE" w:rsidRPr="006E19C7">
        <w:rPr>
          <w:rFonts w:ascii="Times New Roman" w:hAnsi="Times New Roman" w:cs="Times New Roman"/>
          <w:sz w:val="24"/>
          <w:szCs w:val="24"/>
        </w:rPr>
        <w:t xml:space="preserve"> &lt;0.001), a greater increase </w:t>
      </w:r>
      <w:r w:rsidR="008213E4" w:rsidRPr="006E19C7">
        <w:rPr>
          <w:rFonts w:ascii="Times New Roman" w:hAnsi="Times New Roman" w:cs="Times New Roman"/>
          <w:sz w:val="24"/>
          <w:szCs w:val="24"/>
        </w:rPr>
        <w:t>was</w:t>
      </w:r>
      <w:r w:rsidR="005F13BE" w:rsidRPr="006E19C7">
        <w:rPr>
          <w:rFonts w:ascii="Times New Roman" w:hAnsi="Times New Roman" w:cs="Times New Roman"/>
          <w:sz w:val="24"/>
          <w:szCs w:val="24"/>
        </w:rPr>
        <w:t xml:space="preserve"> noted in patients admitted to u</w:t>
      </w:r>
      <w:r w:rsidR="008213E4" w:rsidRPr="006E19C7">
        <w:rPr>
          <w:rFonts w:ascii="Times New Roman" w:hAnsi="Times New Roman" w:cs="Times New Roman"/>
          <w:sz w:val="24"/>
          <w:szCs w:val="24"/>
        </w:rPr>
        <w:t>rban non-teaching</w:t>
      </w:r>
      <w:r w:rsidR="005F13BE" w:rsidRPr="006E19C7">
        <w:rPr>
          <w:rFonts w:ascii="Times New Roman" w:hAnsi="Times New Roman" w:cs="Times New Roman"/>
          <w:sz w:val="24"/>
          <w:szCs w:val="24"/>
        </w:rPr>
        <w:t xml:space="preserve"> (42.1% - 64.2%, </w:t>
      </w:r>
      <w:proofErr w:type="spellStart"/>
      <w:r w:rsidR="005F13BE" w:rsidRPr="006E19C7">
        <w:rPr>
          <w:rFonts w:ascii="Times New Roman" w:hAnsi="Times New Roman" w:cs="Times New Roman"/>
          <w:sz w:val="24"/>
          <w:szCs w:val="24"/>
        </w:rPr>
        <w:t>P</w:t>
      </w:r>
      <w:r w:rsidR="005F13BE" w:rsidRPr="006E19C7">
        <w:rPr>
          <w:rFonts w:ascii="Times New Roman" w:hAnsi="Times New Roman" w:cs="Times New Roman"/>
          <w:sz w:val="24"/>
          <w:szCs w:val="24"/>
          <w:vertAlign w:val="subscript"/>
        </w:rPr>
        <w:t>trend</w:t>
      </w:r>
      <w:proofErr w:type="spellEnd"/>
      <w:r w:rsidR="005F13BE" w:rsidRPr="006E19C7">
        <w:rPr>
          <w:rFonts w:ascii="Times New Roman" w:hAnsi="Times New Roman" w:cs="Times New Roman"/>
          <w:sz w:val="24"/>
          <w:szCs w:val="24"/>
        </w:rPr>
        <w:t xml:space="preserve"> &lt;0.001)</w:t>
      </w:r>
      <w:r w:rsidR="008213E4" w:rsidRPr="006E19C7">
        <w:rPr>
          <w:rFonts w:ascii="Times New Roman" w:hAnsi="Times New Roman" w:cs="Times New Roman"/>
          <w:sz w:val="24"/>
          <w:szCs w:val="24"/>
        </w:rPr>
        <w:t xml:space="preserve"> and rural hospitals</w:t>
      </w:r>
      <w:r w:rsidR="005F13BE" w:rsidRPr="006E19C7">
        <w:rPr>
          <w:rFonts w:ascii="Times New Roman" w:hAnsi="Times New Roman" w:cs="Times New Roman"/>
          <w:sz w:val="24"/>
          <w:szCs w:val="24"/>
        </w:rPr>
        <w:t xml:space="preserve"> (19.9% to 43.9%, </w:t>
      </w:r>
      <w:proofErr w:type="spellStart"/>
      <w:r w:rsidR="005F13BE" w:rsidRPr="006E19C7">
        <w:rPr>
          <w:rFonts w:ascii="Times New Roman" w:hAnsi="Times New Roman" w:cs="Times New Roman"/>
          <w:sz w:val="24"/>
          <w:szCs w:val="24"/>
        </w:rPr>
        <w:t>P</w:t>
      </w:r>
      <w:r w:rsidR="005F13BE" w:rsidRPr="006E19C7">
        <w:rPr>
          <w:rFonts w:ascii="Times New Roman" w:hAnsi="Times New Roman" w:cs="Times New Roman"/>
          <w:sz w:val="24"/>
          <w:szCs w:val="24"/>
          <w:vertAlign w:val="subscript"/>
        </w:rPr>
        <w:t>trend</w:t>
      </w:r>
      <w:proofErr w:type="spellEnd"/>
      <w:r w:rsidR="005F13BE" w:rsidRPr="006E19C7">
        <w:rPr>
          <w:rFonts w:ascii="Times New Roman" w:hAnsi="Times New Roman" w:cs="Times New Roman"/>
          <w:sz w:val="24"/>
          <w:szCs w:val="24"/>
        </w:rPr>
        <w:t xml:space="preserve"> &lt;0.001)</w:t>
      </w:r>
      <w:r w:rsidR="002556BF" w:rsidRPr="006E19C7">
        <w:rPr>
          <w:rFonts w:ascii="Times New Roman" w:hAnsi="Times New Roman" w:cs="Times New Roman"/>
          <w:sz w:val="24"/>
          <w:szCs w:val="24"/>
        </w:rPr>
        <w:t>.</w:t>
      </w:r>
      <w:r w:rsidR="006333BD" w:rsidRPr="006E19C7">
        <w:rPr>
          <w:rFonts w:ascii="Times New Roman" w:hAnsi="Times New Roman" w:cs="Times New Roman"/>
          <w:sz w:val="24"/>
          <w:szCs w:val="24"/>
        </w:rPr>
        <w:t xml:space="preserve"> Finally, women were less likely to receive CA compared to men (58.9% vs 69.4%, </w:t>
      </w:r>
      <w:proofErr w:type="spellStart"/>
      <w:r w:rsidR="006333BD" w:rsidRPr="006E19C7">
        <w:rPr>
          <w:rFonts w:ascii="Times New Roman" w:hAnsi="Times New Roman" w:cs="Times New Roman"/>
          <w:sz w:val="24"/>
          <w:szCs w:val="24"/>
        </w:rPr>
        <w:t>P</w:t>
      </w:r>
      <w:r w:rsidR="006333BD" w:rsidRPr="006E19C7">
        <w:rPr>
          <w:rFonts w:ascii="Times New Roman" w:hAnsi="Times New Roman" w:cs="Times New Roman"/>
          <w:sz w:val="24"/>
          <w:szCs w:val="24"/>
          <w:vertAlign w:val="subscript"/>
        </w:rPr>
        <w:t>trend</w:t>
      </w:r>
      <w:proofErr w:type="spellEnd"/>
      <w:r w:rsidR="006333BD" w:rsidRPr="006E19C7">
        <w:rPr>
          <w:rFonts w:ascii="Times New Roman" w:hAnsi="Times New Roman" w:cs="Times New Roman"/>
          <w:sz w:val="24"/>
          <w:szCs w:val="24"/>
        </w:rPr>
        <w:t xml:space="preserve"> &lt;0.001) (</w:t>
      </w:r>
      <w:r w:rsidR="006333BD" w:rsidRPr="006E19C7">
        <w:rPr>
          <w:rFonts w:ascii="Times New Roman" w:hAnsi="Times New Roman" w:cs="Times New Roman"/>
          <w:b/>
          <w:sz w:val="24"/>
          <w:szCs w:val="24"/>
        </w:rPr>
        <w:t>Supplementary Figure 1</w:t>
      </w:r>
      <w:r w:rsidR="006333BD" w:rsidRPr="006E19C7">
        <w:rPr>
          <w:rFonts w:ascii="Times New Roman" w:hAnsi="Times New Roman" w:cs="Times New Roman"/>
          <w:sz w:val="24"/>
          <w:szCs w:val="24"/>
        </w:rPr>
        <w:t>)</w:t>
      </w:r>
    </w:p>
    <w:p w14:paraId="5EE6D087" w14:textId="77777777" w:rsidR="002F639A" w:rsidRPr="006E19C7" w:rsidRDefault="002F639A" w:rsidP="00A35E42">
      <w:pPr>
        <w:snapToGrid w:val="0"/>
        <w:spacing w:after="0" w:line="480" w:lineRule="auto"/>
        <w:ind w:firstLine="720"/>
        <w:jc w:val="both"/>
        <w:rPr>
          <w:rFonts w:ascii="Times New Roman" w:hAnsi="Times New Roman" w:cs="Times New Roman"/>
          <w:sz w:val="24"/>
          <w:szCs w:val="24"/>
        </w:rPr>
      </w:pPr>
    </w:p>
    <w:p w14:paraId="7DBFD80F" w14:textId="3CC35280" w:rsidR="002F639A" w:rsidRPr="006E19C7" w:rsidRDefault="0086093F"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Clinical and Institution p</w:t>
      </w:r>
      <w:r w:rsidR="003977E2" w:rsidRPr="006E19C7">
        <w:rPr>
          <w:rFonts w:ascii="Times New Roman" w:hAnsi="Times New Roman" w:cs="Times New Roman"/>
          <w:i/>
          <w:sz w:val="24"/>
          <w:szCs w:val="24"/>
        </w:rPr>
        <w:t xml:space="preserve">redictors of </w:t>
      </w:r>
      <w:r w:rsidRPr="006E19C7">
        <w:rPr>
          <w:rFonts w:ascii="Times New Roman" w:hAnsi="Times New Roman" w:cs="Times New Roman"/>
          <w:i/>
          <w:sz w:val="24"/>
          <w:szCs w:val="24"/>
        </w:rPr>
        <w:t>Coronary Angiography</w:t>
      </w:r>
      <w:r w:rsidR="00A26F06" w:rsidRPr="006E19C7">
        <w:rPr>
          <w:rFonts w:ascii="Times New Roman" w:hAnsi="Times New Roman" w:cs="Times New Roman"/>
          <w:i/>
          <w:sz w:val="24"/>
          <w:szCs w:val="24"/>
        </w:rPr>
        <w:t xml:space="preserve">: </w:t>
      </w:r>
    </w:p>
    <w:p w14:paraId="57CFFFC6" w14:textId="07B103C8" w:rsidR="003E3E29" w:rsidRPr="006E19C7" w:rsidRDefault="003E3E29"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The </w:t>
      </w:r>
      <w:r w:rsidR="00292691" w:rsidRPr="006E19C7">
        <w:rPr>
          <w:rFonts w:ascii="Times New Roman" w:hAnsi="Times New Roman" w:cs="Times New Roman"/>
          <w:sz w:val="24"/>
          <w:szCs w:val="24"/>
        </w:rPr>
        <w:t xml:space="preserve">independent </w:t>
      </w:r>
      <w:r w:rsidRPr="006E19C7">
        <w:rPr>
          <w:rFonts w:ascii="Times New Roman" w:hAnsi="Times New Roman" w:cs="Times New Roman"/>
          <w:sz w:val="24"/>
          <w:szCs w:val="24"/>
        </w:rPr>
        <w:t xml:space="preserve">predictors </w:t>
      </w:r>
      <w:r w:rsidR="00292691" w:rsidRPr="006E19C7">
        <w:rPr>
          <w:rFonts w:ascii="Times New Roman" w:hAnsi="Times New Roman" w:cs="Times New Roman"/>
          <w:sz w:val="24"/>
          <w:szCs w:val="24"/>
        </w:rPr>
        <w:t xml:space="preserve">for use of </w:t>
      </w:r>
      <w:r w:rsidRPr="006E19C7">
        <w:rPr>
          <w:rFonts w:ascii="Times New Roman" w:hAnsi="Times New Roman" w:cs="Times New Roman"/>
          <w:sz w:val="24"/>
          <w:szCs w:val="24"/>
        </w:rPr>
        <w:t xml:space="preserve">CA </w:t>
      </w:r>
      <w:r w:rsidR="00292691" w:rsidRPr="006E19C7">
        <w:rPr>
          <w:rFonts w:ascii="Times New Roman" w:hAnsi="Times New Roman" w:cs="Times New Roman"/>
          <w:sz w:val="24"/>
          <w:szCs w:val="24"/>
        </w:rPr>
        <w:t xml:space="preserve">following adjustment for </w:t>
      </w:r>
      <w:r w:rsidR="00292691" w:rsidRPr="006E19C7">
        <w:rPr>
          <w:rFonts w:ascii="Times New Roman" w:hAnsi="Times New Roman" w:cs="Times New Roman"/>
          <w:noProof/>
          <w:sz w:val="24"/>
          <w:szCs w:val="24"/>
        </w:rPr>
        <w:t>differ</w:t>
      </w:r>
      <w:r w:rsidR="007C102D" w:rsidRPr="006E19C7">
        <w:rPr>
          <w:rFonts w:ascii="Times New Roman" w:hAnsi="Times New Roman" w:cs="Times New Roman"/>
          <w:noProof/>
          <w:sz w:val="24"/>
          <w:szCs w:val="24"/>
        </w:rPr>
        <w:t>e</w:t>
      </w:r>
      <w:r w:rsidR="00292691" w:rsidRPr="006E19C7">
        <w:rPr>
          <w:rFonts w:ascii="Times New Roman" w:hAnsi="Times New Roman" w:cs="Times New Roman"/>
          <w:noProof/>
          <w:sz w:val="24"/>
          <w:szCs w:val="24"/>
        </w:rPr>
        <w:t>nces</w:t>
      </w:r>
      <w:r w:rsidR="00292691" w:rsidRPr="006E19C7">
        <w:rPr>
          <w:rFonts w:ascii="Times New Roman" w:hAnsi="Times New Roman" w:cs="Times New Roman"/>
          <w:sz w:val="24"/>
          <w:szCs w:val="24"/>
        </w:rPr>
        <w:t xml:space="preserve"> in baseline covariates </w:t>
      </w:r>
      <w:r w:rsidRPr="006E19C7">
        <w:rPr>
          <w:rFonts w:ascii="Times New Roman" w:hAnsi="Times New Roman" w:cs="Times New Roman"/>
          <w:sz w:val="24"/>
          <w:szCs w:val="24"/>
        </w:rPr>
        <w:t xml:space="preserve">are shown in </w:t>
      </w:r>
      <w:r w:rsidR="001111C3" w:rsidRPr="006E19C7">
        <w:rPr>
          <w:rFonts w:ascii="Times New Roman" w:hAnsi="Times New Roman" w:cs="Times New Roman"/>
          <w:b/>
          <w:sz w:val="24"/>
          <w:szCs w:val="24"/>
        </w:rPr>
        <w:t>T</w:t>
      </w:r>
      <w:r w:rsidR="00B932EB" w:rsidRPr="006E19C7">
        <w:rPr>
          <w:rFonts w:ascii="Times New Roman" w:hAnsi="Times New Roman" w:cs="Times New Roman"/>
          <w:b/>
          <w:sz w:val="24"/>
          <w:szCs w:val="24"/>
        </w:rPr>
        <w:t>able 4</w:t>
      </w:r>
      <w:r w:rsidRPr="006E19C7">
        <w:rPr>
          <w:rFonts w:ascii="Times New Roman" w:hAnsi="Times New Roman" w:cs="Times New Roman"/>
          <w:sz w:val="24"/>
          <w:szCs w:val="24"/>
        </w:rPr>
        <w:t xml:space="preserve">. </w:t>
      </w:r>
      <w:r w:rsidR="00151893" w:rsidRPr="006E19C7">
        <w:rPr>
          <w:rFonts w:ascii="Times New Roman" w:hAnsi="Times New Roman" w:cs="Times New Roman"/>
          <w:sz w:val="24"/>
          <w:szCs w:val="24"/>
        </w:rPr>
        <w:t>P</w:t>
      </w:r>
      <w:r w:rsidR="005F13BE" w:rsidRPr="006E19C7">
        <w:rPr>
          <w:rFonts w:ascii="Times New Roman" w:hAnsi="Times New Roman" w:cs="Times New Roman"/>
          <w:sz w:val="24"/>
          <w:szCs w:val="24"/>
        </w:rPr>
        <w:t xml:space="preserve">atient characteristics known to be related </w:t>
      </w:r>
      <w:r w:rsidR="007C102D" w:rsidRPr="006E19C7">
        <w:rPr>
          <w:rFonts w:ascii="Times New Roman" w:hAnsi="Times New Roman" w:cs="Times New Roman"/>
          <w:noProof/>
          <w:sz w:val="24"/>
          <w:szCs w:val="24"/>
        </w:rPr>
        <w:t>to</w:t>
      </w:r>
      <w:r w:rsidR="005F13BE" w:rsidRPr="006E19C7">
        <w:rPr>
          <w:rFonts w:ascii="Times New Roman" w:hAnsi="Times New Roman" w:cs="Times New Roman"/>
          <w:sz w:val="24"/>
          <w:szCs w:val="24"/>
        </w:rPr>
        <w:t xml:space="preserve"> adverse outcomes in NSTEACS such as</w:t>
      </w:r>
      <w:r w:rsidRPr="006E19C7">
        <w:rPr>
          <w:rFonts w:ascii="Times New Roman" w:hAnsi="Times New Roman" w:cs="Times New Roman"/>
          <w:sz w:val="24"/>
          <w:szCs w:val="24"/>
        </w:rPr>
        <w:t xml:space="preserve"> increasing age (OR 0.96 95%CI 0.960-0.961), prior history of CABG (OR 0.35 95%CI 0.35-0.36), prior PCI (OR 0.84 95%CI 0.83-0.86), history of diabetes (OR 0.88 95%CI 0.87-0.89), diabetes with complications (OR 0.85 95%CI 0.83-0.87) and previous history of AMI (OR 0.65 95%CI 0.6</w:t>
      </w:r>
      <w:r w:rsidR="005F13BE" w:rsidRPr="006E19C7">
        <w:rPr>
          <w:rFonts w:ascii="Times New Roman" w:hAnsi="Times New Roman" w:cs="Times New Roman"/>
          <w:sz w:val="24"/>
          <w:szCs w:val="24"/>
        </w:rPr>
        <w:t>4-0.67) had a strong inverse relationship with receipt of CA</w:t>
      </w:r>
      <w:r w:rsidRPr="006E19C7">
        <w:rPr>
          <w:rFonts w:ascii="Times New Roman" w:hAnsi="Times New Roman" w:cs="Times New Roman"/>
          <w:sz w:val="24"/>
          <w:szCs w:val="24"/>
        </w:rPr>
        <w:t xml:space="preserve">. </w:t>
      </w:r>
      <w:r w:rsidR="00292691" w:rsidRPr="006E19C7">
        <w:rPr>
          <w:rFonts w:ascii="Times New Roman" w:hAnsi="Times New Roman" w:cs="Times New Roman"/>
          <w:sz w:val="24"/>
          <w:szCs w:val="24"/>
        </w:rPr>
        <w:t xml:space="preserve">The independent predictors of </w:t>
      </w:r>
      <w:r w:rsidR="00292691" w:rsidRPr="006E19C7">
        <w:rPr>
          <w:rFonts w:ascii="Times New Roman" w:hAnsi="Times New Roman" w:cs="Times New Roman"/>
          <w:noProof/>
          <w:sz w:val="24"/>
          <w:szCs w:val="24"/>
        </w:rPr>
        <w:t>CA</w:t>
      </w:r>
      <w:r w:rsidR="00292691" w:rsidRPr="006E19C7">
        <w:rPr>
          <w:rFonts w:ascii="Times New Roman" w:hAnsi="Times New Roman" w:cs="Times New Roman"/>
          <w:sz w:val="24"/>
          <w:szCs w:val="24"/>
        </w:rPr>
        <w:t xml:space="preserve"> use included the </w:t>
      </w:r>
      <w:r w:rsidR="00292691" w:rsidRPr="006E19C7">
        <w:rPr>
          <w:rFonts w:ascii="Times New Roman" w:hAnsi="Times New Roman" w:cs="Times New Roman"/>
          <w:noProof/>
          <w:sz w:val="24"/>
          <w:szCs w:val="24"/>
        </w:rPr>
        <w:t>history</w:t>
      </w:r>
      <w:r w:rsidR="00292691" w:rsidRPr="006E19C7">
        <w:rPr>
          <w:rFonts w:ascii="Times New Roman" w:hAnsi="Times New Roman" w:cs="Times New Roman"/>
          <w:sz w:val="24"/>
          <w:szCs w:val="24"/>
        </w:rPr>
        <w:t xml:space="preserve"> of smoking (OR 1.17 95%CI 1.16-1.19), </w:t>
      </w:r>
      <w:r w:rsidR="00292691" w:rsidRPr="006E19C7">
        <w:rPr>
          <w:rFonts w:ascii="Times New Roman" w:hAnsi="Times New Roman" w:cs="Times New Roman"/>
          <w:noProof/>
          <w:sz w:val="24"/>
          <w:szCs w:val="24"/>
        </w:rPr>
        <w:t>dyslipidemia</w:t>
      </w:r>
      <w:r w:rsidR="00292691" w:rsidRPr="006E19C7">
        <w:rPr>
          <w:rFonts w:ascii="Times New Roman" w:hAnsi="Times New Roman" w:cs="Times New Roman"/>
          <w:sz w:val="24"/>
          <w:szCs w:val="24"/>
        </w:rPr>
        <w:t xml:space="preserve"> (OR 1.39 95%CI 1.37-1.40), and history of IHD (OR 6.21 95%CI 6.13-6.29). </w:t>
      </w:r>
      <w:r w:rsidR="00151893" w:rsidRPr="006E19C7">
        <w:rPr>
          <w:rFonts w:ascii="Times New Roman" w:hAnsi="Times New Roman" w:cs="Times New Roman"/>
          <w:sz w:val="24"/>
          <w:szCs w:val="24"/>
        </w:rPr>
        <w:t>P</w:t>
      </w:r>
      <w:r w:rsidRPr="006E19C7">
        <w:rPr>
          <w:rFonts w:ascii="Times New Roman" w:hAnsi="Times New Roman" w:cs="Times New Roman"/>
          <w:sz w:val="24"/>
          <w:szCs w:val="24"/>
        </w:rPr>
        <w:t xml:space="preserve">atients treated at large bed or teaching hospital had approximately </w:t>
      </w:r>
      <w:r w:rsidR="00151893" w:rsidRPr="006E19C7">
        <w:rPr>
          <w:rFonts w:ascii="Times New Roman" w:hAnsi="Times New Roman" w:cs="Times New Roman"/>
          <w:sz w:val="24"/>
          <w:szCs w:val="24"/>
        </w:rPr>
        <w:t xml:space="preserve">a </w:t>
      </w:r>
      <w:r w:rsidRPr="006E19C7">
        <w:rPr>
          <w:rFonts w:ascii="Times New Roman" w:hAnsi="Times New Roman" w:cs="Times New Roman"/>
          <w:sz w:val="24"/>
          <w:szCs w:val="24"/>
        </w:rPr>
        <w:t xml:space="preserve">3 </w:t>
      </w:r>
      <w:r w:rsidR="00F30974" w:rsidRPr="006E19C7">
        <w:rPr>
          <w:rFonts w:ascii="Times New Roman" w:hAnsi="Times New Roman" w:cs="Times New Roman"/>
          <w:sz w:val="24"/>
          <w:szCs w:val="24"/>
        </w:rPr>
        <w:t>and 5</w:t>
      </w:r>
      <w:r w:rsidRPr="006E19C7">
        <w:rPr>
          <w:rFonts w:ascii="Times New Roman" w:hAnsi="Times New Roman" w:cs="Times New Roman"/>
          <w:noProof/>
          <w:sz w:val="24"/>
          <w:szCs w:val="24"/>
        </w:rPr>
        <w:t>-fold</w:t>
      </w:r>
      <w:r w:rsidRPr="006E19C7">
        <w:rPr>
          <w:rFonts w:ascii="Times New Roman" w:hAnsi="Times New Roman" w:cs="Times New Roman"/>
          <w:sz w:val="24"/>
          <w:szCs w:val="24"/>
        </w:rPr>
        <w:t xml:space="preserve"> increase </w:t>
      </w:r>
      <w:r w:rsidR="005F13BE" w:rsidRPr="006E19C7">
        <w:rPr>
          <w:rFonts w:ascii="Times New Roman" w:hAnsi="Times New Roman" w:cs="Times New Roman"/>
          <w:sz w:val="24"/>
          <w:szCs w:val="24"/>
        </w:rPr>
        <w:t xml:space="preserve">in </w:t>
      </w:r>
      <w:r w:rsidRPr="006E19C7">
        <w:rPr>
          <w:rFonts w:ascii="Times New Roman" w:hAnsi="Times New Roman" w:cs="Times New Roman"/>
          <w:sz w:val="24"/>
          <w:szCs w:val="24"/>
        </w:rPr>
        <w:t xml:space="preserve">odds of </w:t>
      </w:r>
      <w:r w:rsidR="00292691" w:rsidRPr="006E19C7">
        <w:rPr>
          <w:rFonts w:ascii="Times New Roman" w:hAnsi="Times New Roman" w:cs="Times New Roman"/>
          <w:sz w:val="24"/>
          <w:szCs w:val="24"/>
        </w:rPr>
        <w:t>receiving</w:t>
      </w:r>
      <w:r w:rsidRPr="006E19C7">
        <w:rPr>
          <w:rFonts w:ascii="Times New Roman" w:hAnsi="Times New Roman" w:cs="Times New Roman"/>
          <w:sz w:val="24"/>
          <w:szCs w:val="24"/>
        </w:rPr>
        <w:t xml:space="preserve"> CA (large hospital bed size (OR 3.05 95%CI 2.99-3.11) and urban hospital teaching status (OR 5.51 95%CI 5.39-5.62)) </w:t>
      </w:r>
      <w:r w:rsidR="0088692C" w:rsidRPr="006E19C7">
        <w:rPr>
          <w:rFonts w:ascii="Times New Roman" w:hAnsi="Times New Roman" w:cs="Times New Roman"/>
          <w:sz w:val="24"/>
          <w:szCs w:val="24"/>
        </w:rPr>
        <w:t xml:space="preserve">compared to small bed size hospital and rural non-teaching hospital respectively. </w:t>
      </w:r>
      <w:r w:rsidRPr="006E19C7">
        <w:rPr>
          <w:rFonts w:ascii="Times New Roman" w:hAnsi="Times New Roman" w:cs="Times New Roman"/>
          <w:sz w:val="24"/>
          <w:szCs w:val="24"/>
        </w:rPr>
        <w:t xml:space="preserve"> </w:t>
      </w:r>
    </w:p>
    <w:p w14:paraId="61F3A955" w14:textId="77777777" w:rsidR="00292691" w:rsidRPr="006E19C7" w:rsidRDefault="00292691" w:rsidP="00A35E42">
      <w:pPr>
        <w:snapToGrid w:val="0"/>
        <w:spacing w:after="0" w:line="480" w:lineRule="auto"/>
        <w:jc w:val="both"/>
        <w:rPr>
          <w:rFonts w:ascii="Times New Roman" w:hAnsi="Times New Roman" w:cs="Times New Roman"/>
          <w:i/>
          <w:sz w:val="24"/>
          <w:szCs w:val="24"/>
        </w:rPr>
      </w:pPr>
    </w:p>
    <w:p w14:paraId="2589A0A0" w14:textId="2BE3EC79" w:rsidR="00292691" w:rsidRPr="006E19C7" w:rsidRDefault="00292691" w:rsidP="00A35E42">
      <w:pPr>
        <w:snapToGrid w:val="0"/>
        <w:spacing w:after="0" w:line="480" w:lineRule="auto"/>
        <w:jc w:val="both"/>
        <w:rPr>
          <w:rFonts w:ascii="Times New Roman" w:hAnsi="Times New Roman" w:cs="Times New Roman"/>
          <w:i/>
          <w:sz w:val="24"/>
          <w:szCs w:val="24"/>
        </w:rPr>
      </w:pPr>
      <w:r w:rsidRPr="006E19C7">
        <w:rPr>
          <w:rFonts w:ascii="Times New Roman" w:hAnsi="Times New Roman" w:cs="Times New Roman"/>
          <w:i/>
          <w:sz w:val="24"/>
          <w:szCs w:val="24"/>
        </w:rPr>
        <w:t>Use of angiography and clinical outcomes</w:t>
      </w:r>
    </w:p>
    <w:p w14:paraId="606E34D3" w14:textId="67B5854D" w:rsidR="00CD1F63" w:rsidRPr="006E19C7" w:rsidRDefault="00307FDD" w:rsidP="00CD1F63">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Association between</w:t>
      </w:r>
      <w:r w:rsidR="000A5A1C" w:rsidRPr="006E19C7">
        <w:rPr>
          <w:rFonts w:ascii="Times New Roman" w:hAnsi="Times New Roman" w:cs="Times New Roman"/>
          <w:sz w:val="24"/>
          <w:szCs w:val="24"/>
        </w:rPr>
        <w:t xml:space="preserve"> the</w:t>
      </w:r>
      <w:r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use</w:t>
      </w:r>
      <w:r w:rsidRPr="006E19C7">
        <w:rPr>
          <w:rFonts w:ascii="Times New Roman" w:hAnsi="Times New Roman" w:cs="Times New Roman"/>
          <w:sz w:val="24"/>
          <w:szCs w:val="24"/>
        </w:rPr>
        <w:t xml:space="preserve"> of CA and in-hospital </w:t>
      </w:r>
      <w:r w:rsidR="00DC3D0C" w:rsidRPr="006E19C7">
        <w:rPr>
          <w:rFonts w:ascii="Times New Roman" w:hAnsi="Times New Roman" w:cs="Times New Roman"/>
          <w:sz w:val="24"/>
          <w:szCs w:val="24"/>
        </w:rPr>
        <w:t xml:space="preserve">outcomes are reported in </w:t>
      </w:r>
      <w:r w:rsidR="001111C3" w:rsidRPr="006E19C7">
        <w:rPr>
          <w:rFonts w:ascii="Times New Roman" w:hAnsi="Times New Roman" w:cs="Times New Roman"/>
          <w:b/>
          <w:sz w:val="24"/>
          <w:szCs w:val="24"/>
        </w:rPr>
        <w:t>T</w:t>
      </w:r>
      <w:r w:rsidR="00B932EB" w:rsidRPr="006E19C7">
        <w:rPr>
          <w:rFonts w:ascii="Times New Roman" w:hAnsi="Times New Roman" w:cs="Times New Roman"/>
          <w:b/>
          <w:sz w:val="24"/>
          <w:szCs w:val="24"/>
        </w:rPr>
        <w:t>able 5</w:t>
      </w:r>
      <w:r w:rsidR="00891918" w:rsidRPr="006E19C7">
        <w:rPr>
          <w:rFonts w:ascii="Times New Roman" w:hAnsi="Times New Roman" w:cs="Times New Roman"/>
          <w:sz w:val="24"/>
          <w:szCs w:val="24"/>
        </w:rPr>
        <w:t>. In our multivariable</w:t>
      </w:r>
      <w:r w:rsidRPr="006E19C7">
        <w:rPr>
          <w:rFonts w:ascii="Times New Roman" w:hAnsi="Times New Roman" w:cs="Times New Roman"/>
          <w:sz w:val="24"/>
          <w:szCs w:val="24"/>
        </w:rPr>
        <w:t xml:space="preserve"> analysis, CA was associated with </w:t>
      </w:r>
      <w:r w:rsidR="00E303BF" w:rsidRPr="006E19C7">
        <w:rPr>
          <w:rFonts w:ascii="Times New Roman" w:hAnsi="Times New Roman" w:cs="Times New Roman"/>
          <w:sz w:val="24"/>
          <w:szCs w:val="24"/>
        </w:rPr>
        <w:t xml:space="preserve">a </w:t>
      </w:r>
      <w:r w:rsidRPr="006E19C7">
        <w:rPr>
          <w:rFonts w:ascii="Times New Roman" w:hAnsi="Times New Roman" w:cs="Times New Roman"/>
          <w:sz w:val="24"/>
          <w:szCs w:val="24"/>
        </w:rPr>
        <w:t>significant</w:t>
      </w:r>
      <w:r w:rsidR="00E303BF" w:rsidRPr="006E19C7">
        <w:rPr>
          <w:rFonts w:ascii="Times New Roman" w:hAnsi="Times New Roman" w:cs="Times New Roman"/>
          <w:sz w:val="24"/>
          <w:szCs w:val="24"/>
        </w:rPr>
        <w:t>ly</w:t>
      </w:r>
      <w:r w:rsidRPr="006E19C7">
        <w:rPr>
          <w:rFonts w:ascii="Times New Roman" w:hAnsi="Times New Roman" w:cs="Times New Roman"/>
          <w:sz w:val="24"/>
          <w:szCs w:val="24"/>
        </w:rPr>
        <w:t xml:space="preserve"> </w:t>
      </w:r>
      <w:r w:rsidR="00E303BF" w:rsidRPr="006E19C7">
        <w:rPr>
          <w:rFonts w:ascii="Times New Roman" w:hAnsi="Times New Roman" w:cs="Times New Roman"/>
          <w:sz w:val="24"/>
          <w:szCs w:val="24"/>
        </w:rPr>
        <w:t>decreased</w:t>
      </w:r>
      <w:r w:rsidRPr="006E19C7">
        <w:rPr>
          <w:rFonts w:ascii="Times New Roman" w:hAnsi="Times New Roman" w:cs="Times New Roman"/>
          <w:sz w:val="24"/>
          <w:szCs w:val="24"/>
        </w:rPr>
        <w:t xml:space="preserve"> </w:t>
      </w:r>
      <w:r w:rsidR="00A65651" w:rsidRPr="006E19C7">
        <w:rPr>
          <w:rFonts w:ascii="Times New Roman" w:hAnsi="Times New Roman" w:cs="Times New Roman"/>
          <w:sz w:val="24"/>
          <w:szCs w:val="24"/>
        </w:rPr>
        <w:t xml:space="preserve">odds of </w:t>
      </w:r>
      <w:r w:rsidRPr="006E19C7">
        <w:rPr>
          <w:rFonts w:ascii="Times New Roman" w:hAnsi="Times New Roman" w:cs="Times New Roman"/>
          <w:sz w:val="24"/>
          <w:szCs w:val="24"/>
        </w:rPr>
        <w:t>in-hospital death (OR 0.38 95%CI 0.36-0.40)</w:t>
      </w:r>
      <w:r w:rsidR="004E3561" w:rsidRPr="006E19C7">
        <w:rPr>
          <w:rFonts w:ascii="Times New Roman" w:hAnsi="Times New Roman" w:cs="Times New Roman"/>
          <w:sz w:val="24"/>
          <w:szCs w:val="24"/>
        </w:rPr>
        <w:t xml:space="preserve"> and </w:t>
      </w:r>
      <w:r w:rsidRPr="006E19C7">
        <w:rPr>
          <w:rFonts w:ascii="Times New Roman" w:hAnsi="Times New Roman" w:cs="Times New Roman"/>
          <w:sz w:val="24"/>
          <w:szCs w:val="24"/>
        </w:rPr>
        <w:t>a significant increase in</w:t>
      </w:r>
      <w:r w:rsidR="000A5A1C" w:rsidRPr="006E19C7">
        <w:rPr>
          <w:rFonts w:ascii="Times New Roman" w:hAnsi="Times New Roman" w:cs="Times New Roman"/>
          <w:sz w:val="24"/>
          <w:szCs w:val="24"/>
        </w:rPr>
        <w:t xml:space="preserve"> the</w:t>
      </w:r>
      <w:r w:rsidRPr="006E19C7">
        <w:rPr>
          <w:rFonts w:ascii="Times New Roman" w:hAnsi="Times New Roman" w:cs="Times New Roman"/>
          <w:sz w:val="24"/>
          <w:szCs w:val="24"/>
        </w:rPr>
        <w:t xml:space="preserve"> </w:t>
      </w:r>
      <w:r w:rsidR="004E3561" w:rsidRPr="006E19C7">
        <w:rPr>
          <w:rFonts w:ascii="Times New Roman" w:hAnsi="Times New Roman" w:cs="Times New Roman"/>
          <w:noProof/>
          <w:sz w:val="24"/>
          <w:szCs w:val="24"/>
        </w:rPr>
        <w:t>odds</w:t>
      </w:r>
      <w:r w:rsidR="004E3561"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of </w:t>
      </w:r>
      <w:r w:rsidR="00FF3B05" w:rsidRPr="006E19C7">
        <w:rPr>
          <w:rFonts w:ascii="Times New Roman" w:hAnsi="Times New Roman" w:cs="Times New Roman"/>
          <w:sz w:val="24"/>
          <w:szCs w:val="24"/>
        </w:rPr>
        <w:t xml:space="preserve">cardiac complications (OR 4.77 95%CI 3.88-5.87), </w:t>
      </w:r>
      <w:r w:rsidRPr="006E19C7">
        <w:rPr>
          <w:rFonts w:ascii="Times New Roman" w:hAnsi="Times New Roman" w:cs="Times New Roman"/>
          <w:sz w:val="24"/>
          <w:szCs w:val="24"/>
        </w:rPr>
        <w:t xml:space="preserve">major bleeding (OR </w:t>
      </w:r>
      <w:r w:rsidR="00C91ED7" w:rsidRPr="006E19C7">
        <w:rPr>
          <w:rFonts w:ascii="Times New Roman" w:hAnsi="Times New Roman" w:cs="Times New Roman"/>
          <w:sz w:val="24"/>
          <w:szCs w:val="24"/>
        </w:rPr>
        <w:t>1.23 95%CI 1.16-1.31),</w:t>
      </w:r>
      <w:r w:rsidR="00FF3B05" w:rsidRPr="006E19C7">
        <w:rPr>
          <w:rFonts w:ascii="Times New Roman" w:hAnsi="Times New Roman" w:cs="Times New Roman"/>
          <w:sz w:val="24"/>
          <w:szCs w:val="24"/>
        </w:rPr>
        <w:t xml:space="preserve"> and</w:t>
      </w:r>
      <w:r w:rsidR="00C91ED7" w:rsidRPr="006E19C7">
        <w:rPr>
          <w:rFonts w:ascii="Times New Roman" w:hAnsi="Times New Roman" w:cs="Times New Roman"/>
          <w:sz w:val="24"/>
          <w:szCs w:val="24"/>
        </w:rPr>
        <w:t xml:space="preserve"> vascular </w:t>
      </w:r>
      <w:r w:rsidR="00FF3B05" w:rsidRPr="006E19C7">
        <w:rPr>
          <w:rFonts w:ascii="Times New Roman" w:hAnsi="Times New Roman" w:cs="Times New Roman"/>
          <w:sz w:val="24"/>
          <w:szCs w:val="24"/>
        </w:rPr>
        <w:t xml:space="preserve">complications </w:t>
      </w:r>
      <w:r w:rsidR="00C91ED7" w:rsidRPr="006E19C7">
        <w:rPr>
          <w:rFonts w:ascii="Times New Roman" w:hAnsi="Times New Roman" w:cs="Times New Roman"/>
          <w:sz w:val="24"/>
          <w:szCs w:val="24"/>
        </w:rPr>
        <w:t>(OR 3.96 95%CI 3.09-5.07)</w:t>
      </w:r>
      <w:r w:rsidR="00CD1F63" w:rsidRPr="006E19C7">
        <w:rPr>
          <w:rFonts w:ascii="Times New Roman" w:hAnsi="Times New Roman" w:cs="Times New Roman"/>
          <w:sz w:val="24"/>
          <w:szCs w:val="24"/>
        </w:rPr>
        <w:t xml:space="preserve"> after adjusting for age, sex, year of procedure, 29 </w:t>
      </w:r>
      <w:proofErr w:type="spellStart"/>
      <w:r w:rsidR="00CD1F63" w:rsidRPr="006E19C7">
        <w:rPr>
          <w:rFonts w:ascii="Times New Roman" w:hAnsi="Times New Roman" w:cs="Times New Roman"/>
          <w:sz w:val="24"/>
          <w:szCs w:val="24"/>
        </w:rPr>
        <w:t>Elixhasuer</w:t>
      </w:r>
      <w:proofErr w:type="spellEnd"/>
      <w:r w:rsidR="00CD1F63" w:rsidRPr="006E19C7">
        <w:rPr>
          <w:rFonts w:ascii="Times New Roman" w:hAnsi="Times New Roman" w:cs="Times New Roman"/>
          <w:sz w:val="24"/>
          <w:szCs w:val="24"/>
        </w:rPr>
        <w:t xml:space="preserve"> comorbidities, ethnicity, median income, weekend/weekday admission, cardiovascular risk factors and hospital characteristics.</w:t>
      </w:r>
      <w:r w:rsidR="00ED05EB" w:rsidRPr="006E19C7">
        <w:rPr>
          <w:rFonts w:ascii="Times New Roman" w:hAnsi="Times New Roman" w:cs="Times New Roman"/>
          <w:sz w:val="24"/>
          <w:szCs w:val="24"/>
        </w:rPr>
        <w:t xml:space="preserve"> </w:t>
      </w:r>
    </w:p>
    <w:p w14:paraId="449A7D10" w14:textId="39C38C9A" w:rsidR="00DC3D0C" w:rsidRPr="006E19C7" w:rsidRDefault="00DB352A" w:rsidP="00833669">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In the subgroup analysis of patients age </w:t>
      </w:r>
      <w:r w:rsidRPr="006E19C7">
        <w:rPr>
          <w:rFonts w:ascii="Cambria Math" w:hAnsi="Cambria Math" w:cs="Cambria Math"/>
          <w:sz w:val="24"/>
          <w:szCs w:val="24"/>
        </w:rPr>
        <w:t>≧</w:t>
      </w:r>
      <w:r w:rsidRPr="006E19C7">
        <w:rPr>
          <w:rFonts w:ascii="Times New Roman" w:hAnsi="Times New Roman" w:cs="Times New Roman"/>
          <w:sz w:val="24"/>
          <w:szCs w:val="24"/>
        </w:rPr>
        <w:t xml:space="preserve"> 65yrs and age &lt; 65yrs, White race and non-white race, large, medium, and small size hospital and CCI </w:t>
      </w:r>
      <w:r w:rsidRPr="006E19C7">
        <w:rPr>
          <w:rFonts w:ascii="Cambria Math" w:hAnsi="Cambria Math" w:cs="Cambria Math"/>
          <w:sz w:val="24"/>
          <w:szCs w:val="24"/>
        </w:rPr>
        <w:t>≧</w:t>
      </w:r>
      <w:r w:rsidRPr="006E19C7">
        <w:rPr>
          <w:rFonts w:ascii="Times New Roman" w:hAnsi="Times New Roman" w:cs="Times New Roman"/>
          <w:sz w:val="24"/>
          <w:szCs w:val="24"/>
        </w:rPr>
        <w:t xml:space="preserve"> 3 or &lt;3, receipt of CA was associated with lower odds of in-hospital mortality in patients age &lt;65, Whites, large hospitals and CCI &lt;3 compared to patients age </w:t>
      </w:r>
      <w:r w:rsidRPr="006E19C7">
        <w:rPr>
          <w:rFonts w:ascii="Cambria Math" w:hAnsi="Cambria Math" w:cs="Cambria Math"/>
          <w:sz w:val="24"/>
          <w:szCs w:val="24"/>
        </w:rPr>
        <w:t>≧</w:t>
      </w:r>
      <w:r w:rsidRPr="006E19C7">
        <w:rPr>
          <w:rFonts w:ascii="Times New Roman" w:hAnsi="Times New Roman" w:cs="Times New Roman"/>
          <w:sz w:val="24"/>
          <w:szCs w:val="24"/>
        </w:rPr>
        <w:t xml:space="preserve"> 65yrs, non-whites, small hospital and CCI </w:t>
      </w:r>
      <w:r w:rsidRPr="006E19C7">
        <w:rPr>
          <w:rFonts w:ascii="Cambria Math" w:hAnsi="Cambria Math" w:cs="Cambria Math"/>
          <w:sz w:val="24"/>
          <w:szCs w:val="24"/>
        </w:rPr>
        <w:t>≧</w:t>
      </w:r>
      <w:r w:rsidRPr="006E19C7">
        <w:rPr>
          <w:rFonts w:ascii="Times New Roman" w:hAnsi="Times New Roman" w:cs="Times New Roman"/>
          <w:sz w:val="24"/>
          <w:szCs w:val="24"/>
        </w:rPr>
        <w:t xml:space="preserve"> 3 respectively</w:t>
      </w:r>
      <w:r w:rsidR="006333BD" w:rsidRPr="006E19C7">
        <w:rPr>
          <w:rFonts w:ascii="Times New Roman" w:hAnsi="Times New Roman" w:cs="Times New Roman"/>
          <w:b/>
          <w:sz w:val="24"/>
          <w:szCs w:val="24"/>
        </w:rPr>
        <w:t xml:space="preserve"> </w:t>
      </w:r>
      <w:r w:rsidR="006333BD" w:rsidRPr="006E19C7">
        <w:rPr>
          <w:rFonts w:ascii="Times New Roman" w:hAnsi="Times New Roman" w:cs="Times New Roman"/>
          <w:sz w:val="24"/>
          <w:szCs w:val="24"/>
        </w:rPr>
        <w:t>(</w:t>
      </w:r>
      <w:r w:rsidR="006333BD" w:rsidRPr="006E19C7">
        <w:rPr>
          <w:rFonts w:ascii="Times New Roman" w:hAnsi="Times New Roman" w:cs="Times New Roman"/>
          <w:b/>
          <w:sz w:val="24"/>
          <w:szCs w:val="24"/>
        </w:rPr>
        <w:t>Supplementary Figure 2</w:t>
      </w:r>
      <w:r w:rsidR="006333BD" w:rsidRPr="006E19C7">
        <w:rPr>
          <w:rFonts w:ascii="Times New Roman" w:hAnsi="Times New Roman" w:cs="Times New Roman"/>
          <w:sz w:val="24"/>
          <w:szCs w:val="24"/>
        </w:rPr>
        <w:t>).</w:t>
      </w:r>
      <w:r w:rsidR="00833669" w:rsidRPr="006E19C7">
        <w:t xml:space="preserve"> </w:t>
      </w:r>
      <w:r w:rsidR="00833669" w:rsidRPr="006E19C7">
        <w:rPr>
          <w:rFonts w:ascii="Times New Roman" w:hAnsi="Times New Roman" w:cs="Times New Roman"/>
          <w:sz w:val="24"/>
          <w:szCs w:val="24"/>
        </w:rPr>
        <w:t>In the propensity matched analysis, use of CA remained significantly associated with reduced risk of in-hospital mortality and increased bleeding, vascular and cardiac complications</w:t>
      </w:r>
      <w:r w:rsidR="006333BD" w:rsidRPr="006E19C7">
        <w:rPr>
          <w:rFonts w:ascii="Times New Roman" w:hAnsi="Times New Roman" w:cs="Times New Roman"/>
          <w:sz w:val="24"/>
          <w:szCs w:val="24"/>
        </w:rPr>
        <w:t xml:space="preserve"> (</w:t>
      </w:r>
      <w:r w:rsidR="003F6F7F" w:rsidRPr="006E19C7">
        <w:rPr>
          <w:rFonts w:ascii="Times New Roman" w:hAnsi="Times New Roman" w:cs="Times New Roman"/>
          <w:b/>
          <w:sz w:val="24"/>
          <w:szCs w:val="24"/>
        </w:rPr>
        <w:t>Supplementary Table 4</w:t>
      </w:r>
      <w:r w:rsidR="003F6F7F" w:rsidRPr="006E19C7">
        <w:rPr>
          <w:rFonts w:ascii="Times New Roman" w:hAnsi="Times New Roman" w:cs="Times New Roman"/>
          <w:sz w:val="24"/>
          <w:szCs w:val="24"/>
        </w:rPr>
        <w:t>)</w:t>
      </w:r>
    </w:p>
    <w:p w14:paraId="2A3A1529" w14:textId="77777777" w:rsidR="00FC1A64" w:rsidRPr="006E19C7" w:rsidRDefault="00FC1A64" w:rsidP="00A35E42">
      <w:pPr>
        <w:snapToGrid w:val="0"/>
        <w:spacing w:after="0" w:line="480" w:lineRule="auto"/>
        <w:jc w:val="both"/>
        <w:rPr>
          <w:rFonts w:ascii="Times New Roman" w:hAnsi="Times New Roman" w:cs="Times New Roman"/>
          <w:b/>
          <w:sz w:val="24"/>
          <w:szCs w:val="24"/>
        </w:rPr>
      </w:pPr>
    </w:p>
    <w:p w14:paraId="2B0779BE" w14:textId="77777777" w:rsidR="00EC7EFD" w:rsidRPr="006E19C7" w:rsidRDefault="00EC7EFD"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 xml:space="preserve">Discussion: </w:t>
      </w:r>
    </w:p>
    <w:p w14:paraId="04E33380" w14:textId="23C1E285" w:rsidR="00565995" w:rsidRPr="006E19C7" w:rsidRDefault="00A23FE2"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Coronary angiography remains the gold standard for </w:t>
      </w:r>
      <w:r w:rsidR="003F744F" w:rsidRPr="006E19C7">
        <w:rPr>
          <w:rFonts w:ascii="Times New Roman" w:hAnsi="Times New Roman" w:cs="Times New Roman"/>
          <w:sz w:val="24"/>
          <w:szCs w:val="24"/>
        </w:rPr>
        <w:t xml:space="preserve">the </w:t>
      </w:r>
      <w:r w:rsidR="00151893" w:rsidRPr="006E19C7">
        <w:rPr>
          <w:rFonts w:ascii="Times New Roman" w:hAnsi="Times New Roman" w:cs="Times New Roman"/>
          <w:sz w:val="24"/>
          <w:szCs w:val="24"/>
        </w:rPr>
        <w:t xml:space="preserve">evaluation </w:t>
      </w:r>
      <w:r w:rsidR="00D57E48" w:rsidRPr="006E19C7">
        <w:rPr>
          <w:rFonts w:ascii="Times New Roman" w:hAnsi="Times New Roman" w:cs="Times New Roman"/>
          <w:sz w:val="24"/>
          <w:szCs w:val="24"/>
        </w:rPr>
        <w:t>of NSTEACS. In this analysis</w:t>
      </w:r>
      <w:r w:rsidRPr="006E19C7">
        <w:rPr>
          <w:rFonts w:ascii="Times New Roman" w:hAnsi="Times New Roman" w:cs="Times New Roman"/>
          <w:sz w:val="24"/>
          <w:szCs w:val="24"/>
        </w:rPr>
        <w:t xml:space="preserve"> of over 4.3 million patients admitted with</w:t>
      </w:r>
      <w:r w:rsidR="00902085" w:rsidRPr="006E19C7">
        <w:rPr>
          <w:rFonts w:ascii="Times New Roman" w:hAnsi="Times New Roman" w:cs="Times New Roman"/>
          <w:sz w:val="24"/>
          <w:szCs w:val="24"/>
        </w:rPr>
        <w:t xml:space="preserve"> a</w:t>
      </w:r>
      <w:r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diagnosis</w:t>
      </w:r>
      <w:r w:rsidRPr="006E19C7">
        <w:rPr>
          <w:rFonts w:ascii="Times New Roman" w:hAnsi="Times New Roman" w:cs="Times New Roman"/>
          <w:sz w:val="24"/>
          <w:szCs w:val="24"/>
        </w:rPr>
        <w:t xml:space="preserve"> of NSTEACS in</w:t>
      </w:r>
      <w:r w:rsidR="00902085" w:rsidRPr="006E19C7">
        <w:rPr>
          <w:rFonts w:ascii="Times New Roman" w:hAnsi="Times New Roman" w:cs="Times New Roman"/>
          <w:sz w:val="24"/>
          <w:szCs w:val="24"/>
        </w:rPr>
        <w:t xml:space="preserve"> the</w:t>
      </w:r>
      <w:r w:rsidRPr="006E19C7">
        <w:rPr>
          <w:rFonts w:ascii="Times New Roman" w:hAnsi="Times New Roman" w:cs="Times New Roman"/>
          <w:sz w:val="24"/>
          <w:szCs w:val="24"/>
        </w:rPr>
        <w:t xml:space="preserve"> </w:t>
      </w:r>
      <w:r w:rsidR="001111C3" w:rsidRPr="006E19C7">
        <w:rPr>
          <w:rFonts w:ascii="Times New Roman" w:hAnsi="Times New Roman" w:cs="Times New Roman"/>
          <w:noProof/>
          <w:sz w:val="24"/>
          <w:szCs w:val="24"/>
        </w:rPr>
        <w:t>US</w:t>
      </w:r>
      <w:r w:rsidRPr="006E19C7">
        <w:rPr>
          <w:rFonts w:ascii="Times New Roman" w:hAnsi="Times New Roman" w:cs="Times New Roman"/>
          <w:sz w:val="24"/>
          <w:szCs w:val="24"/>
        </w:rPr>
        <w:t>, we report a</w:t>
      </w:r>
      <w:r w:rsidR="003F744F" w:rsidRPr="006E19C7">
        <w:rPr>
          <w:rFonts w:ascii="Times New Roman" w:hAnsi="Times New Roman" w:cs="Times New Roman"/>
          <w:sz w:val="24"/>
          <w:szCs w:val="24"/>
        </w:rPr>
        <w:t>n</w:t>
      </w:r>
      <w:r w:rsidRPr="006E19C7">
        <w:rPr>
          <w:rFonts w:ascii="Times New Roman" w:hAnsi="Times New Roman" w:cs="Times New Roman"/>
          <w:sz w:val="24"/>
          <w:szCs w:val="24"/>
        </w:rPr>
        <w:t xml:space="preserve"> </w:t>
      </w:r>
      <w:r w:rsidR="00364640" w:rsidRPr="006E19C7">
        <w:rPr>
          <w:rFonts w:ascii="Times New Roman" w:hAnsi="Times New Roman" w:cs="Times New Roman"/>
          <w:sz w:val="24"/>
          <w:szCs w:val="24"/>
        </w:rPr>
        <w:t xml:space="preserve">increase in </w:t>
      </w:r>
      <w:r w:rsidR="003F744F" w:rsidRPr="006E19C7">
        <w:rPr>
          <w:rFonts w:ascii="Times New Roman" w:hAnsi="Times New Roman" w:cs="Times New Roman"/>
          <w:sz w:val="24"/>
          <w:szCs w:val="24"/>
        </w:rPr>
        <w:t xml:space="preserve">the </w:t>
      </w:r>
      <w:r w:rsidR="00364640" w:rsidRPr="006E19C7">
        <w:rPr>
          <w:rFonts w:ascii="Times New Roman" w:hAnsi="Times New Roman" w:cs="Times New Roman"/>
          <w:sz w:val="24"/>
          <w:szCs w:val="24"/>
        </w:rPr>
        <w:t xml:space="preserve">uptake of </w:t>
      </w:r>
      <w:r w:rsidR="007656B0" w:rsidRPr="006E19C7">
        <w:rPr>
          <w:rFonts w:ascii="Times New Roman" w:hAnsi="Times New Roman" w:cs="Times New Roman"/>
          <w:sz w:val="24"/>
          <w:szCs w:val="24"/>
        </w:rPr>
        <w:t>CA</w:t>
      </w:r>
      <w:r w:rsidR="00A65651" w:rsidRPr="006E19C7">
        <w:rPr>
          <w:rFonts w:ascii="Times New Roman" w:hAnsi="Times New Roman" w:cs="Times New Roman"/>
          <w:sz w:val="24"/>
          <w:szCs w:val="24"/>
        </w:rPr>
        <w:t xml:space="preserve"> over an 11</w:t>
      </w:r>
      <w:r w:rsidR="00E6728E" w:rsidRPr="006E19C7">
        <w:rPr>
          <w:rFonts w:ascii="Times New Roman" w:hAnsi="Times New Roman" w:cs="Times New Roman"/>
          <w:sz w:val="24"/>
          <w:szCs w:val="24"/>
        </w:rPr>
        <w:t>-year period</w:t>
      </w:r>
      <w:r w:rsidR="00364640" w:rsidRPr="006E19C7">
        <w:rPr>
          <w:rFonts w:ascii="Times New Roman" w:hAnsi="Times New Roman" w:cs="Times New Roman"/>
          <w:sz w:val="24"/>
          <w:szCs w:val="24"/>
        </w:rPr>
        <w:t>.</w:t>
      </w:r>
      <w:r w:rsidR="00AC3843" w:rsidRPr="006E19C7">
        <w:rPr>
          <w:rFonts w:ascii="Times New Roman" w:hAnsi="Times New Roman" w:cs="Times New Roman"/>
          <w:sz w:val="24"/>
          <w:szCs w:val="24"/>
        </w:rPr>
        <w:t xml:space="preserve"> Our </w:t>
      </w:r>
      <w:r w:rsidR="002E0D7B" w:rsidRPr="006E19C7">
        <w:rPr>
          <w:rFonts w:ascii="Times New Roman" w:hAnsi="Times New Roman" w:cs="Times New Roman"/>
          <w:sz w:val="24"/>
          <w:szCs w:val="24"/>
        </w:rPr>
        <w:t xml:space="preserve">results </w:t>
      </w:r>
      <w:r w:rsidR="006458BA" w:rsidRPr="006E19C7">
        <w:rPr>
          <w:rFonts w:ascii="Times New Roman" w:hAnsi="Times New Roman" w:cs="Times New Roman"/>
          <w:sz w:val="24"/>
          <w:szCs w:val="24"/>
        </w:rPr>
        <w:t xml:space="preserve">demonstrate a </w:t>
      </w:r>
      <w:r w:rsidR="00AD5A97" w:rsidRPr="006E19C7">
        <w:rPr>
          <w:rFonts w:ascii="Times New Roman" w:hAnsi="Times New Roman" w:cs="Times New Roman"/>
          <w:sz w:val="24"/>
          <w:szCs w:val="24"/>
        </w:rPr>
        <w:t>paradigm shift in the demographics</w:t>
      </w:r>
      <w:r w:rsidR="006458BA" w:rsidRPr="006E19C7">
        <w:rPr>
          <w:rFonts w:ascii="Times New Roman" w:hAnsi="Times New Roman" w:cs="Times New Roman"/>
          <w:sz w:val="24"/>
          <w:szCs w:val="24"/>
        </w:rPr>
        <w:t>, comorbidity and risk profile</w:t>
      </w:r>
      <w:r w:rsidR="00AD5A97" w:rsidRPr="006E19C7">
        <w:rPr>
          <w:rFonts w:ascii="Times New Roman" w:hAnsi="Times New Roman" w:cs="Times New Roman"/>
          <w:sz w:val="24"/>
          <w:szCs w:val="24"/>
        </w:rPr>
        <w:t xml:space="preserve"> of patient presenting with NSTEACS</w:t>
      </w:r>
      <w:r w:rsidR="000A1D44" w:rsidRPr="006E19C7">
        <w:rPr>
          <w:rFonts w:ascii="Times New Roman" w:hAnsi="Times New Roman" w:cs="Times New Roman"/>
          <w:sz w:val="24"/>
          <w:szCs w:val="24"/>
        </w:rPr>
        <w:t xml:space="preserve"> resulting in</w:t>
      </w:r>
      <w:r w:rsidR="007C102D" w:rsidRPr="006E19C7">
        <w:rPr>
          <w:rFonts w:ascii="Times New Roman" w:hAnsi="Times New Roman" w:cs="Times New Roman"/>
          <w:sz w:val="24"/>
          <w:szCs w:val="24"/>
        </w:rPr>
        <w:t xml:space="preserve"> the</w:t>
      </w:r>
      <w:r w:rsidR="000A1D44" w:rsidRPr="006E19C7">
        <w:rPr>
          <w:rFonts w:ascii="Times New Roman" w:hAnsi="Times New Roman" w:cs="Times New Roman"/>
          <w:sz w:val="24"/>
          <w:szCs w:val="24"/>
        </w:rPr>
        <w:t xml:space="preserve"> </w:t>
      </w:r>
      <w:r w:rsidR="000A1D44" w:rsidRPr="006E19C7">
        <w:rPr>
          <w:rFonts w:ascii="Times New Roman" w:hAnsi="Times New Roman" w:cs="Times New Roman"/>
          <w:noProof/>
          <w:sz w:val="24"/>
          <w:szCs w:val="24"/>
        </w:rPr>
        <w:t>use</w:t>
      </w:r>
      <w:r w:rsidR="000A1D44" w:rsidRPr="006E19C7">
        <w:rPr>
          <w:rFonts w:ascii="Times New Roman" w:hAnsi="Times New Roman" w:cs="Times New Roman"/>
          <w:sz w:val="24"/>
          <w:szCs w:val="24"/>
        </w:rPr>
        <w:t xml:space="preserve"> of CA in </w:t>
      </w:r>
      <w:r w:rsidR="003F744F" w:rsidRPr="006E19C7">
        <w:rPr>
          <w:rFonts w:ascii="Times New Roman" w:hAnsi="Times New Roman" w:cs="Times New Roman"/>
          <w:sz w:val="24"/>
          <w:szCs w:val="24"/>
        </w:rPr>
        <w:t xml:space="preserve">a </w:t>
      </w:r>
      <w:r w:rsidR="000A1D44" w:rsidRPr="006E19C7">
        <w:rPr>
          <w:rFonts w:ascii="Times New Roman" w:hAnsi="Times New Roman" w:cs="Times New Roman"/>
          <w:sz w:val="24"/>
          <w:szCs w:val="24"/>
        </w:rPr>
        <w:t>more complex</w:t>
      </w:r>
      <w:r w:rsidR="00826B98" w:rsidRPr="006E19C7">
        <w:rPr>
          <w:rFonts w:ascii="Times New Roman" w:hAnsi="Times New Roman" w:cs="Times New Roman"/>
          <w:sz w:val="24"/>
          <w:szCs w:val="24"/>
        </w:rPr>
        <w:t xml:space="preserve">, </w:t>
      </w:r>
      <w:r w:rsidR="003F744F" w:rsidRPr="006E19C7">
        <w:rPr>
          <w:rFonts w:ascii="Times New Roman" w:hAnsi="Times New Roman" w:cs="Times New Roman"/>
          <w:sz w:val="24"/>
          <w:szCs w:val="24"/>
        </w:rPr>
        <w:t xml:space="preserve">elderly </w:t>
      </w:r>
      <w:r w:rsidR="00826B98" w:rsidRPr="006E19C7">
        <w:rPr>
          <w:rFonts w:ascii="Times New Roman" w:hAnsi="Times New Roman" w:cs="Times New Roman"/>
          <w:sz w:val="24"/>
          <w:szCs w:val="24"/>
        </w:rPr>
        <w:t xml:space="preserve">and </w:t>
      </w:r>
      <w:proofErr w:type="spellStart"/>
      <w:r w:rsidR="00826B98" w:rsidRPr="006E19C7">
        <w:rPr>
          <w:rFonts w:ascii="Times New Roman" w:hAnsi="Times New Roman" w:cs="Times New Roman"/>
          <w:sz w:val="24"/>
          <w:szCs w:val="24"/>
        </w:rPr>
        <w:t>multimorbid</w:t>
      </w:r>
      <w:proofErr w:type="spellEnd"/>
      <w:r w:rsidR="00826B98" w:rsidRPr="006E19C7">
        <w:rPr>
          <w:rFonts w:ascii="Times New Roman" w:hAnsi="Times New Roman" w:cs="Times New Roman"/>
          <w:sz w:val="24"/>
          <w:szCs w:val="24"/>
        </w:rPr>
        <w:t xml:space="preserve"> cohort</w:t>
      </w:r>
      <w:r w:rsidR="00AD5A97" w:rsidRPr="006E19C7">
        <w:rPr>
          <w:rFonts w:ascii="Times New Roman" w:hAnsi="Times New Roman" w:cs="Times New Roman"/>
          <w:sz w:val="24"/>
          <w:szCs w:val="24"/>
        </w:rPr>
        <w:t>.</w:t>
      </w:r>
      <w:r w:rsidR="00435D25" w:rsidRPr="006E19C7">
        <w:rPr>
          <w:rFonts w:ascii="Times New Roman" w:hAnsi="Times New Roman" w:cs="Times New Roman"/>
          <w:sz w:val="24"/>
          <w:szCs w:val="24"/>
        </w:rPr>
        <w:t xml:space="preserve"> </w:t>
      </w:r>
      <w:r w:rsidR="000A1D44" w:rsidRPr="006E19C7">
        <w:rPr>
          <w:rFonts w:ascii="Times New Roman" w:hAnsi="Times New Roman" w:cs="Times New Roman"/>
          <w:sz w:val="24"/>
          <w:szCs w:val="24"/>
        </w:rPr>
        <w:t xml:space="preserve">Despite </w:t>
      </w:r>
      <w:r w:rsidR="0062513B" w:rsidRPr="006E19C7">
        <w:rPr>
          <w:rFonts w:ascii="Times New Roman" w:hAnsi="Times New Roman" w:cs="Times New Roman"/>
          <w:sz w:val="24"/>
          <w:szCs w:val="24"/>
        </w:rPr>
        <w:t xml:space="preserve">the increased adoption </w:t>
      </w:r>
      <w:r w:rsidR="000A1D44" w:rsidRPr="006E19C7">
        <w:rPr>
          <w:rFonts w:ascii="Times New Roman" w:hAnsi="Times New Roman" w:cs="Times New Roman"/>
          <w:sz w:val="24"/>
          <w:szCs w:val="24"/>
        </w:rPr>
        <w:t>of CA, there were significant disparities</w:t>
      </w:r>
      <w:r w:rsidR="008A7AFC" w:rsidRPr="006E19C7">
        <w:rPr>
          <w:rFonts w:ascii="Times New Roman" w:hAnsi="Times New Roman" w:cs="Times New Roman"/>
          <w:sz w:val="24"/>
          <w:szCs w:val="24"/>
        </w:rPr>
        <w:t xml:space="preserve"> </w:t>
      </w:r>
      <w:r w:rsidR="00826B98" w:rsidRPr="006E19C7">
        <w:rPr>
          <w:rFonts w:ascii="Times New Roman" w:hAnsi="Times New Roman" w:cs="Times New Roman"/>
          <w:sz w:val="24"/>
          <w:szCs w:val="24"/>
        </w:rPr>
        <w:t xml:space="preserve">at both </w:t>
      </w:r>
      <w:r w:rsidR="00151893" w:rsidRPr="006E19C7">
        <w:rPr>
          <w:rFonts w:ascii="Times New Roman" w:hAnsi="Times New Roman" w:cs="Times New Roman"/>
          <w:sz w:val="24"/>
          <w:szCs w:val="24"/>
        </w:rPr>
        <w:t xml:space="preserve">a </w:t>
      </w:r>
      <w:r w:rsidR="00826B98" w:rsidRPr="006E19C7">
        <w:rPr>
          <w:rFonts w:ascii="Times New Roman" w:hAnsi="Times New Roman" w:cs="Times New Roman"/>
          <w:sz w:val="24"/>
          <w:szCs w:val="24"/>
        </w:rPr>
        <w:t>patient and institutional</w:t>
      </w:r>
      <w:r w:rsidR="008A7AFC" w:rsidRPr="006E19C7">
        <w:rPr>
          <w:rFonts w:ascii="Times New Roman" w:hAnsi="Times New Roman" w:cs="Times New Roman"/>
          <w:sz w:val="24"/>
          <w:szCs w:val="24"/>
        </w:rPr>
        <w:t xml:space="preserve"> level</w:t>
      </w:r>
      <w:r w:rsidR="000A1D44" w:rsidRPr="006E19C7">
        <w:rPr>
          <w:rFonts w:ascii="Times New Roman" w:hAnsi="Times New Roman" w:cs="Times New Roman"/>
          <w:sz w:val="24"/>
          <w:szCs w:val="24"/>
        </w:rPr>
        <w:t xml:space="preserve"> in CA practices with particularly slower adoption in</w:t>
      </w:r>
      <w:r w:rsidR="00826B98" w:rsidRPr="006E19C7">
        <w:rPr>
          <w:rFonts w:ascii="Times New Roman" w:hAnsi="Times New Roman" w:cs="Times New Roman"/>
          <w:sz w:val="24"/>
          <w:szCs w:val="24"/>
        </w:rPr>
        <w:t xml:space="preserve"> use of CA in</w:t>
      </w:r>
      <w:r w:rsidR="000A1D44" w:rsidRPr="006E19C7">
        <w:rPr>
          <w:rFonts w:ascii="Times New Roman" w:hAnsi="Times New Roman" w:cs="Times New Roman"/>
          <w:sz w:val="24"/>
          <w:szCs w:val="24"/>
        </w:rPr>
        <w:t xml:space="preserve"> older, </w:t>
      </w:r>
      <w:r w:rsidR="004A686E" w:rsidRPr="006E19C7">
        <w:rPr>
          <w:rFonts w:ascii="Times New Roman" w:hAnsi="Times New Roman" w:cs="Times New Roman"/>
          <w:sz w:val="24"/>
          <w:szCs w:val="24"/>
        </w:rPr>
        <w:lastRenderedPageBreak/>
        <w:t>women</w:t>
      </w:r>
      <w:r w:rsidR="000A1D44" w:rsidRPr="006E19C7">
        <w:rPr>
          <w:rFonts w:ascii="Times New Roman" w:hAnsi="Times New Roman" w:cs="Times New Roman"/>
          <w:sz w:val="24"/>
          <w:szCs w:val="24"/>
        </w:rPr>
        <w:t>, higher comorbidity burden</w:t>
      </w:r>
      <w:r w:rsidR="008A7AFC" w:rsidRPr="006E19C7">
        <w:rPr>
          <w:rFonts w:ascii="Times New Roman" w:hAnsi="Times New Roman" w:cs="Times New Roman"/>
          <w:sz w:val="24"/>
          <w:szCs w:val="24"/>
        </w:rPr>
        <w:t>, African Americans</w:t>
      </w:r>
      <w:r w:rsidR="004138D5" w:rsidRPr="006E19C7">
        <w:rPr>
          <w:rFonts w:ascii="Times New Roman" w:hAnsi="Times New Roman" w:cs="Times New Roman"/>
          <w:sz w:val="24"/>
          <w:szCs w:val="24"/>
        </w:rPr>
        <w:t xml:space="preserve"> </w:t>
      </w:r>
      <w:r w:rsidR="001111C3" w:rsidRPr="006E19C7">
        <w:rPr>
          <w:rFonts w:ascii="Times New Roman" w:hAnsi="Times New Roman" w:cs="Times New Roman"/>
          <w:sz w:val="24"/>
          <w:szCs w:val="24"/>
        </w:rPr>
        <w:t>cohorts</w:t>
      </w:r>
      <w:r w:rsidR="008A7AFC" w:rsidRPr="006E19C7">
        <w:rPr>
          <w:rFonts w:ascii="Times New Roman" w:hAnsi="Times New Roman" w:cs="Times New Roman"/>
          <w:sz w:val="24"/>
          <w:szCs w:val="24"/>
        </w:rPr>
        <w:t xml:space="preserve"> and those admitted to rural or non-teaching</w:t>
      </w:r>
      <w:r w:rsidR="004138D5" w:rsidRPr="006E19C7">
        <w:rPr>
          <w:rFonts w:ascii="Times New Roman" w:hAnsi="Times New Roman" w:cs="Times New Roman"/>
          <w:sz w:val="24"/>
          <w:szCs w:val="24"/>
        </w:rPr>
        <w:t xml:space="preserve"> </w:t>
      </w:r>
      <w:r w:rsidR="008A7AFC" w:rsidRPr="006E19C7">
        <w:rPr>
          <w:rFonts w:ascii="Times New Roman" w:hAnsi="Times New Roman" w:cs="Times New Roman"/>
          <w:sz w:val="24"/>
          <w:szCs w:val="24"/>
        </w:rPr>
        <w:t>hospitals.</w:t>
      </w:r>
      <w:r w:rsidR="00AF20E3" w:rsidRPr="006E19C7">
        <w:rPr>
          <w:rFonts w:ascii="Times New Roman" w:hAnsi="Times New Roman" w:cs="Times New Roman"/>
          <w:sz w:val="24"/>
          <w:szCs w:val="24"/>
        </w:rPr>
        <w:t xml:space="preserve"> </w:t>
      </w:r>
      <w:r w:rsidR="00151893" w:rsidRPr="006E19C7">
        <w:rPr>
          <w:rFonts w:ascii="Times New Roman" w:hAnsi="Times New Roman" w:cs="Times New Roman"/>
          <w:sz w:val="24"/>
          <w:szCs w:val="24"/>
        </w:rPr>
        <w:t xml:space="preserve">In addition, </w:t>
      </w:r>
      <w:r w:rsidR="00AF20E3" w:rsidRPr="006E19C7">
        <w:rPr>
          <w:rFonts w:ascii="Times New Roman" w:hAnsi="Times New Roman" w:cs="Times New Roman"/>
          <w:sz w:val="24"/>
          <w:szCs w:val="24"/>
        </w:rPr>
        <w:t>we observed a strong risk-treatment paradox</w:t>
      </w:r>
      <w:r w:rsidR="0062513B" w:rsidRPr="006E19C7">
        <w:rPr>
          <w:rFonts w:ascii="Times New Roman" w:hAnsi="Times New Roman" w:cs="Times New Roman"/>
          <w:sz w:val="24"/>
          <w:szCs w:val="24"/>
        </w:rPr>
        <w:t>,</w:t>
      </w:r>
      <w:r w:rsidR="00AF20E3" w:rsidRPr="006E19C7">
        <w:rPr>
          <w:rFonts w:ascii="Times New Roman" w:hAnsi="Times New Roman" w:cs="Times New Roman"/>
          <w:sz w:val="24"/>
          <w:szCs w:val="24"/>
        </w:rPr>
        <w:t xml:space="preserve"> in </w:t>
      </w:r>
      <w:r w:rsidR="0062513B" w:rsidRPr="006E19C7">
        <w:rPr>
          <w:rFonts w:ascii="Times New Roman" w:hAnsi="Times New Roman" w:cs="Times New Roman"/>
          <w:sz w:val="24"/>
          <w:szCs w:val="24"/>
        </w:rPr>
        <w:t xml:space="preserve">that clinical groups of </w:t>
      </w:r>
      <w:r w:rsidR="00AF20E3" w:rsidRPr="006E19C7">
        <w:rPr>
          <w:rFonts w:ascii="Times New Roman" w:hAnsi="Times New Roman" w:cs="Times New Roman"/>
          <w:sz w:val="24"/>
          <w:szCs w:val="24"/>
        </w:rPr>
        <w:t>patients</w:t>
      </w:r>
      <w:r w:rsidR="00CD1F63" w:rsidRPr="006E19C7">
        <w:rPr>
          <w:rFonts w:ascii="Times New Roman" w:hAnsi="Times New Roman" w:cs="Times New Roman"/>
          <w:sz w:val="24"/>
          <w:szCs w:val="24"/>
        </w:rPr>
        <w:t xml:space="preserve"> who</w:t>
      </w:r>
      <w:r w:rsidR="00BC551B" w:rsidRPr="006E19C7">
        <w:rPr>
          <w:rFonts w:ascii="Times New Roman" w:hAnsi="Times New Roman" w:cs="Times New Roman"/>
          <w:sz w:val="24"/>
          <w:szCs w:val="24"/>
        </w:rPr>
        <w:t xml:space="preserve"> most likely </w:t>
      </w:r>
      <w:r w:rsidR="0062513B" w:rsidRPr="006E19C7">
        <w:rPr>
          <w:rFonts w:ascii="Times New Roman" w:hAnsi="Times New Roman" w:cs="Times New Roman"/>
          <w:sz w:val="24"/>
          <w:szCs w:val="24"/>
        </w:rPr>
        <w:t>benefit from the</w:t>
      </w:r>
      <w:r w:rsidR="00BC551B" w:rsidRPr="006E19C7">
        <w:rPr>
          <w:rFonts w:ascii="Times New Roman" w:hAnsi="Times New Roman" w:cs="Times New Roman"/>
          <w:sz w:val="24"/>
          <w:szCs w:val="24"/>
        </w:rPr>
        <w:t xml:space="preserve"> </w:t>
      </w:r>
      <w:r w:rsidR="0062513B" w:rsidRPr="006E19C7">
        <w:rPr>
          <w:rFonts w:ascii="Times New Roman" w:hAnsi="Times New Roman" w:cs="Times New Roman"/>
          <w:sz w:val="24"/>
          <w:szCs w:val="24"/>
        </w:rPr>
        <w:t xml:space="preserve">receipt of </w:t>
      </w:r>
      <w:r w:rsidR="0062513B" w:rsidRPr="006E19C7">
        <w:rPr>
          <w:rFonts w:ascii="Times New Roman" w:hAnsi="Times New Roman" w:cs="Times New Roman"/>
          <w:noProof/>
          <w:sz w:val="24"/>
          <w:szCs w:val="24"/>
        </w:rPr>
        <w:t>CA</w:t>
      </w:r>
      <w:r w:rsidR="0003713D" w:rsidRPr="006E19C7">
        <w:rPr>
          <w:rFonts w:ascii="Times New Roman" w:hAnsi="Times New Roman" w:cs="Times New Roman"/>
          <w:noProof/>
          <w:sz w:val="24"/>
          <w:szCs w:val="24"/>
        </w:rPr>
        <w:t>,</w:t>
      </w:r>
      <w:r w:rsidR="0062513B" w:rsidRPr="006E19C7">
        <w:rPr>
          <w:rFonts w:ascii="Times New Roman" w:hAnsi="Times New Roman" w:cs="Times New Roman"/>
          <w:sz w:val="24"/>
          <w:szCs w:val="24"/>
        </w:rPr>
        <w:t xml:space="preserve"> were </w:t>
      </w:r>
      <w:r w:rsidR="00BC551B" w:rsidRPr="006E19C7">
        <w:rPr>
          <w:rFonts w:ascii="Times New Roman" w:hAnsi="Times New Roman" w:cs="Times New Roman"/>
          <w:sz w:val="24"/>
          <w:szCs w:val="24"/>
        </w:rPr>
        <w:t xml:space="preserve">least likely to receive </w:t>
      </w:r>
      <w:r w:rsidR="0062513B" w:rsidRPr="006E19C7">
        <w:rPr>
          <w:rFonts w:ascii="Times New Roman" w:hAnsi="Times New Roman" w:cs="Times New Roman"/>
          <w:sz w:val="24"/>
          <w:szCs w:val="24"/>
        </w:rPr>
        <w:t>it</w:t>
      </w:r>
      <w:r w:rsidR="002C1A14" w:rsidRPr="006E19C7">
        <w:rPr>
          <w:rFonts w:ascii="Times New Roman" w:hAnsi="Times New Roman" w:cs="Times New Roman"/>
          <w:sz w:val="24"/>
          <w:szCs w:val="24"/>
        </w:rPr>
        <w:t>.</w:t>
      </w:r>
    </w:p>
    <w:p w14:paraId="29B3761A" w14:textId="41DE51E5" w:rsidR="009D5F8E" w:rsidRPr="006E19C7" w:rsidRDefault="00F71066"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Our results</w:t>
      </w:r>
      <w:r w:rsidR="00626851" w:rsidRPr="006E19C7">
        <w:rPr>
          <w:rFonts w:ascii="Times New Roman" w:hAnsi="Times New Roman" w:cs="Times New Roman"/>
          <w:sz w:val="24"/>
          <w:szCs w:val="24"/>
        </w:rPr>
        <w:t xml:space="preserve"> </w:t>
      </w:r>
      <w:r w:rsidR="00626851" w:rsidRPr="006E19C7">
        <w:rPr>
          <w:rFonts w:ascii="Times New Roman" w:hAnsi="Times New Roman" w:cs="Times New Roman"/>
          <w:noProof/>
          <w:sz w:val="24"/>
          <w:szCs w:val="24"/>
        </w:rPr>
        <w:t>demonstrate</w:t>
      </w:r>
      <w:r w:rsidR="00626851" w:rsidRPr="006E19C7">
        <w:rPr>
          <w:rFonts w:ascii="Times New Roman" w:hAnsi="Times New Roman" w:cs="Times New Roman"/>
          <w:sz w:val="24"/>
          <w:szCs w:val="24"/>
        </w:rPr>
        <w:t xml:space="preserve"> </w:t>
      </w:r>
      <w:r w:rsidR="004B709A" w:rsidRPr="006E19C7">
        <w:rPr>
          <w:rFonts w:ascii="Times New Roman" w:hAnsi="Times New Roman" w:cs="Times New Roman"/>
          <w:sz w:val="24"/>
          <w:szCs w:val="24"/>
        </w:rPr>
        <w:t xml:space="preserve">that </w:t>
      </w:r>
      <w:r w:rsidR="00721F6C" w:rsidRPr="006E19C7">
        <w:rPr>
          <w:rFonts w:ascii="Times New Roman" w:hAnsi="Times New Roman" w:cs="Times New Roman"/>
          <w:sz w:val="24"/>
          <w:szCs w:val="24"/>
        </w:rPr>
        <w:t xml:space="preserve">the </w:t>
      </w:r>
      <w:r w:rsidR="004B709A" w:rsidRPr="006E19C7">
        <w:rPr>
          <w:rFonts w:ascii="Times New Roman" w:hAnsi="Times New Roman" w:cs="Times New Roman"/>
          <w:sz w:val="24"/>
          <w:szCs w:val="24"/>
        </w:rPr>
        <w:t>clinical spectrum,</w:t>
      </w:r>
      <w:r w:rsidR="00626851" w:rsidRPr="006E19C7">
        <w:rPr>
          <w:rFonts w:ascii="Times New Roman" w:hAnsi="Times New Roman" w:cs="Times New Roman"/>
          <w:sz w:val="24"/>
          <w:szCs w:val="24"/>
        </w:rPr>
        <w:t xml:space="preserve"> baseline characteristics</w:t>
      </w:r>
      <w:r w:rsidR="004B709A" w:rsidRPr="006E19C7">
        <w:rPr>
          <w:rFonts w:ascii="Times New Roman" w:hAnsi="Times New Roman" w:cs="Times New Roman"/>
          <w:sz w:val="24"/>
          <w:szCs w:val="24"/>
        </w:rPr>
        <w:t xml:space="preserve"> and </w:t>
      </w:r>
      <w:r w:rsidR="00626851" w:rsidRPr="006E19C7">
        <w:rPr>
          <w:rFonts w:ascii="Times New Roman" w:hAnsi="Times New Roman" w:cs="Times New Roman"/>
          <w:sz w:val="24"/>
          <w:szCs w:val="24"/>
        </w:rPr>
        <w:t xml:space="preserve">comorbidity status </w:t>
      </w:r>
      <w:r w:rsidR="004B709A" w:rsidRPr="006E19C7">
        <w:rPr>
          <w:rFonts w:ascii="Times New Roman" w:hAnsi="Times New Roman" w:cs="Times New Roman"/>
          <w:sz w:val="24"/>
          <w:szCs w:val="24"/>
        </w:rPr>
        <w:t>of patients presenting with</w:t>
      </w:r>
      <w:r w:rsidR="00626851" w:rsidRPr="006E19C7">
        <w:rPr>
          <w:rFonts w:ascii="Times New Roman" w:hAnsi="Times New Roman" w:cs="Times New Roman"/>
          <w:sz w:val="24"/>
          <w:szCs w:val="24"/>
        </w:rPr>
        <w:t xml:space="preserve"> NSTEACS</w:t>
      </w:r>
      <w:r w:rsidR="004B709A" w:rsidRPr="006E19C7">
        <w:rPr>
          <w:rFonts w:ascii="Times New Roman" w:hAnsi="Times New Roman" w:cs="Times New Roman"/>
          <w:sz w:val="24"/>
          <w:szCs w:val="24"/>
        </w:rPr>
        <w:t xml:space="preserve"> </w:t>
      </w:r>
      <w:r w:rsidR="004B709A" w:rsidRPr="006E19C7">
        <w:rPr>
          <w:rFonts w:ascii="Times New Roman" w:hAnsi="Times New Roman" w:cs="Times New Roman"/>
          <w:noProof/>
          <w:sz w:val="24"/>
          <w:szCs w:val="24"/>
        </w:rPr>
        <w:t>ha</w:t>
      </w:r>
      <w:r w:rsidR="007C102D" w:rsidRPr="006E19C7">
        <w:rPr>
          <w:rFonts w:ascii="Times New Roman" w:hAnsi="Times New Roman" w:cs="Times New Roman"/>
          <w:noProof/>
          <w:sz w:val="24"/>
          <w:szCs w:val="24"/>
        </w:rPr>
        <w:t>ve</w:t>
      </w:r>
      <w:r w:rsidR="004B709A" w:rsidRPr="006E19C7">
        <w:rPr>
          <w:rFonts w:ascii="Times New Roman" w:hAnsi="Times New Roman" w:cs="Times New Roman"/>
          <w:sz w:val="24"/>
          <w:szCs w:val="24"/>
        </w:rPr>
        <w:t xml:space="preserve"> changed significantly over the past decade</w:t>
      </w:r>
      <w:r w:rsidR="001111C3" w:rsidRPr="006E19C7">
        <w:rPr>
          <w:rFonts w:ascii="Times New Roman" w:hAnsi="Times New Roman" w:cs="Times New Roman"/>
          <w:sz w:val="24"/>
          <w:szCs w:val="24"/>
        </w:rPr>
        <w:t xml:space="preserve"> reflecting the ageing demographics in the US</w:t>
      </w:r>
      <w:r w:rsidR="004B709A" w:rsidRPr="006E19C7">
        <w:rPr>
          <w:rFonts w:ascii="Times New Roman" w:hAnsi="Times New Roman" w:cs="Times New Roman"/>
          <w:sz w:val="24"/>
          <w:szCs w:val="24"/>
        </w:rPr>
        <w:t xml:space="preserve">. </w:t>
      </w:r>
      <w:r w:rsidR="00151893" w:rsidRPr="006E19C7">
        <w:rPr>
          <w:rFonts w:ascii="Times New Roman" w:hAnsi="Times New Roman" w:cs="Times New Roman"/>
          <w:noProof/>
          <w:sz w:val="24"/>
          <w:szCs w:val="24"/>
        </w:rPr>
        <w:t>P</w:t>
      </w:r>
      <w:r w:rsidR="00380850" w:rsidRPr="006E19C7">
        <w:rPr>
          <w:rFonts w:ascii="Times New Roman" w:hAnsi="Times New Roman" w:cs="Times New Roman"/>
          <w:noProof/>
          <w:sz w:val="24"/>
          <w:szCs w:val="24"/>
        </w:rPr>
        <w:t>atient</w:t>
      </w:r>
      <w:r w:rsidR="007C102D" w:rsidRPr="006E19C7">
        <w:rPr>
          <w:rFonts w:ascii="Times New Roman" w:hAnsi="Times New Roman" w:cs="Times New Roman"/>
          <w:noProof/>
          <w:sz w:val="24"/>
          <w:szCs w:val="24"/>
        </w:rPr>
        <w:t>s</w:t>
      </w:r>
      <w:r w:rsidR="00380850" w:rsidRPr="006E19C7">
        <w:rPr>
          <w:rFonts w:ascii="Times New Roman" w:hAnsi="Times New Roman" w:cs="Times New Roman"/>
          <w:sz w:val="24"/>
          <w:szCs w:val="24"/>
        </w:rPr>
        <w:t xml:space="preserve"> requiring CA are older, more complex and burdened with multiple comorbidities. </w:t>
      </w:r>
      <w:r w:rsidR="001E698E" w:rsidRPr="006E19C7">
        <w:rPr>
          <w:rFonts w:ascii="Times New Roman" w:hAnsi="Times New Roman" w:cs="Times New Roman"/>
          <w:sz w:val="24"/>
          <w:szCs w:val="24"/>
        </w:rPr>
        <w:t xml:space="preserve">More importantly, we observed significant heterogeneity in the </w:t>
      </w:r>
      <w:r w:rsidR="001E698E" w:rsidRPr="006E19C7">
        <w:rPr>
          <w:rFonts w:ascii="Times New Roman" w:hAnsi="Times New Roman" w:cs="Times New Roman"/>
          <w:noProof/>
          <w:sz w:val="24"/>
          <w:szCs w:val="24"/>
        </w:rPr>
        <w:t>utilization</w:t>
      </w:r>
      <w:r w:rsidR="001E698E" w:rsidRPr="006E19C7">
        <w:rPr>
          <w:rFonts w:ascii="Times New Roman" w:hAnsi="Times New Roman" w:cs="Times New Roman"/>
          <w:sz w:val="24"/>
          <w:szCs w:val="24"/>
        </w:rPr>
        <w:t xml:space="preserve"> of CA in different patient groups stratified according to </w:t>
      </w:r>
      <w:r w:rsidR="004A686E" w:rsidRPr="006E19C7">
        <w:rPr>
          <w:rFonts w:ascii="Times New Roman" w:hAnsi="Times New Roman" w:cs="Times New Roman"/>
          <w:sz w:val="24"/>
          <w:szCs w:val="24"/>
        </w:rPr>
        <w:t>sex</w:t>
      </w:r>
      <w:r w:rsidR="001E698E" w:rsidRPr="006E19C7">
        <w:rPr>
          <w:rFonts w:ascii="Times New Roman" w:hAnsi="Times New Roman" w:cs="Times New Roman"/>
          <w:sz w:val="24"/>
          <w:szCs w:val="24"/>
        </w:rPr>
        <w:t>, age, ethnicity</w:t>
      </w:r>
      <w:r w:rsidR="00D40150" w:rsidRPr="006E19C7">
        <w:rPr>
          <w:rFonts w:ascii="Times New Roman" w:hAnsi="Times New Roman" w:cs="Times New Roman"/>
          <w:sz w:val="24"/>
          <w:szCs w:val="24"/>
        </w:rPr>
        <w:t xml:space="preserve"> and hospital characteristics. </w:t>
      </w:r>
      <w:r w:rsidR="009D5F8E" w:rsidRPr="006E19C7">
        <w:rPr>
          <w:rFonts w:ascii="Times New Roman" w:hAnsi="Times New Roman" w:cs="Times New Roman"/>
          <w:sz w:val="24"/>
          <w:szCs w:val="24"/>
        </w:rPr>
        <w:t xml:space="preserve">A </w:t>
      </w:r>
      <w:r w:rsidR="001E698E" w:rsidRPr="006E19C7">
        <w:rPr>
          <w:rFonts w:ascii="Times New Roman" w:hAnsi="Times New Roman" w:cs="Times New Roman"/>
          <w:sz w:val="24"/>
          <w:szCs w:val="24"/>
        </w:rPr>
        <w:t xml:space="preserve">higher proportional increase in the </w:t>
      </w:r>
      <w:r w:rsidR="001E698E" w:rsidRPr="006E19C7">
        <w:rPr>
          <w:rFonts w:ascii="Times New Roman" w:hAnsi="Times New Roman" w:cs="Times New Roman"/>
          <w:noProof/>
          <w:sz w:val="24"/>
          <w:szCs w:val="24"/>
        </w:rPr>
        <w:t>utilization</w:t>
      </w:r>
      <w:r w:rsidR="001E698E" w:rsidRPr="006E19C7">
        <w:rPr>
          <w:rFonts w:ascii="Times New Roman" w:hAnsi="Times New Roman" w:cs="Times New Roman"/>
          <w:sz w:val="24"/>
          <w:szCs w:val="24"/>
        </w:rPr>
        <w:t xml:space="preserve"> of CA was noted in young patients aged ≤60 years compared to elderly patients (age</w:t>
      </w:r>
      <w:r w:rsidR="00D40150" w:rsidRPr="006E19C7">
        <w:rPr>
          <w:rFonts w:ascii="Times New Roman" w:hAnsi="Times New Roman" w:cs="Times New Roman"/>
          <w:sz w:val="24"/>
          <w:szCs w:val="24"/>
        </w:rPr>
        <w:t>d</w:t>
      </w:r>
      <w:r w:rsidR="001E698E" w:rsidRPr="006E19C7">
        <w:rPr>
          <w:rFonts w:ascii="Times New Roman" w:hAnsi="Times New Roman" w:cs="Times New Roman"/>
          <w:sz w:val="24"/>
          <w:szCs w:val="24"/>
        </w:rPr>
        <w:t xml:space="preserve"> ≥81)</w:t>
      </w:r>
      <w:r w:rsidR="00445E08" w:rsidRPr="006E19C7">
        <w:rPr>
          <w:rFonts w:ascii="Times New Roman" w:hAnsi="Times New Roman" w:cs="Times New Roman"/>
          <w:sz w:val="24"/>
          <w:szCs w:val="24"/>
        </w:rPr>
        <w:t xml:space="preserve"> despite a progressive increase in </w:t>
      </w:r>
      <w:r w:rsidR="00E7051D" w:rsidRPr="006E19C7">
        <w:rPr>
          <w:rFonts w:ascii="Times New Roman" w:hAnsi="Times New Roman" w:cs="Times New Roman"/>
          <w:sz w:val="24"/>
          <w:szCs w:val="24"/>
        </w:rPr>
        <w:t xml:space="preserve">the average </w:t>
      </w:r>
      <w:r w:rsidR="00445E08" w:rsidRPr="006E19C7">
        <w:rPr>
          <w:rFonts w:ascii="Times New Roman" w:hAnsi="Times New Roman" w:cs="Times New Roman"/>
          <w:sz w:val="24"/>
          <w:szCs w:val="24"/>
        </w:rPr>
        <w:t>age of NSTEACS population</w:t>
      </w:r>
      <w:r w:rsidR="001E698E" w:rsidRPr="006E19C7">
        <w:rPr>
          <w:rFonts w:ascii="Times New Roman" w:hAnsi="Times New Roman" w:cs="Times New Roman"/>
          <w:sz w:val="24"/>
          <w:szCs w:val="24"/>
        </w:rPr>
        <w:t>. The inequalities</w:t>
      </w:r>
      <w:r w:rsidR="002E7695" w:rsidRPr="006E19C7">
        <w:rPr>
          <w:rFonts w:ascii="Times New Roman" w:hAnsi="Times New Roman" w:cs="Times New Roman"/>
          <w:sz w:val="24"/>
          <w:szCs w:val="24"/>
        </w:rPr>
        <w:t xml:space="preserve"> in use of CA </w:t>
      </w:r>
      <w:r w:rsidR="001E698E" w:rsidRPr="006E19C7">
        <w:rPr>
          <w:rFonts w:ascii="Times New Roman" w:hAnsi="Times New Roman" w:cs="Times New Roman"/>
          <w:sz w:val="24"/>
          <w:szCs w:val="24"/>
        </w:rPr>
        <w:t xml:space="preserve">were </w:t>
      </w:r>
      <w:r w:rsidR="00BD6ED7" w:rsidRPr="006E19C7">
        <w:rPr>
          <w:rFonts w:ascii="Times New Roman" w:hAnsi="Times New Roman" w:cs="Times New Roman"/>
          <w:sz w:val="24"/>
          <w:szCs w:val="24"/>
        </w:rPr>
        <w:t xml:space="preserve">also </w:t>
      </w:r>
      <w:r w:rsidR="00F01FAA" w:rsidRPr="006E19C7">
        <w:rPr>
          <w:rFonts w:ascii="Times New Roman" w:hAnsi="Times New Roman" w:cs="Times New Roman"/>
          <w:sz w:val="24"/>
          <w:szCs w:val="24"/>
        </w:rPr>
        <w:t xml:space="preserve">evident in </w:t>
      </w:r>
      <w:r w:rsidR="004A686E" w:rsidRPr="006E19C7">
        <w:rPr>
          <w:rFonts w:ascii="Times New Roman" w:hAnsi="Times New Roman" w:cs="Times New Roman"/>
          <w:noProof/>
          <w:sz w:val="24"/>
          <w:szCs w:val="24"/>
        </w:rPr>
        <w:t>women</w:t>
      </w:r>
      <w:r w:rsidR="00F01FAA" w:rsidRPr="006E19C7">
        <w:rPr>
          <w:rFonts w:ascii="Times New Roman" w:hAnsi="Times New Roman" w:cs="Times New Roman"/>
          <w:sz w:val="24"/>
          <w:szCs w:val="24"/>
        </w:rPr>
        <w:t xml:space="preserve"> and</w:t>
      </w:r>
      <w:r w:rsidR="001E698E" w:rsidRPr="006E19C7">
        <w:rPr>
          <w:rFonts w:ascii="Times New Roman" w:hAnsi="Times New Roman" w:cs="Times New Roman"/>
          <w:sz w:val="24"/>
          <w:szCs w:val="24"/>
        </w:rPr>
        <w:t xml:space="preserve"> Af</w:t>
      </w:r>
      <w:r w:rsidR="00F01FAA" w:rsidRPr="006E19C7">
        <w:rPr>
          <w:rFonts w:ascii="Times New Roman" w:hAnsi="Times New Roman" w:cs="Times New Roman"/>
          <w:sz w:val="24"/>
          <w:szCs w:val="24"/>
        </w:rPr>
        <w:t xml:space="preserve">rican Americans wherein </w:t>
      </w:r>
      <w:r w:rsidR="001E698E" w:rsidRPr="006E19C7">
        <w:rPr>
          <w:rFonts w:ascii="Times New Roman" w:hAnsi="Times New Roman" w:cs="Times New Roman"/>
          <w:sz w:val="24"/>
          <w:szCs w:val="24"/>
        </w:rPr>
        <w:t>adoption of CA</w:t>
      </w:r>
      <w:r w:rsidR="00F01FAA" w:rsidRPr="006E19C7">
        <w:rPr>
          <w:rFonts w:ascii="Times New Roman" w:hAnsi="Times New Roman" w:cs="Times New Roman"/>
          <w:sz w:val="24"/>
          <w:szCs w:val="24"/>
        </w:rPr>
        <w:t xml:space="preserve"> has been particularly</w:t>
      </w:r>
      <w:r w:rsidR="001E698E" w:rsidRPr="006E19C7">
        <w:rPr>
          <w:rFonts w:ascii="Times New Roman" w:hAnsi="Times New Roman" w:cs="Times New Roman"/>
          <w:sz w:val="24"/>
          <w:szCs w:val="24"/>
        </w:rPr>
        <w:t xml:space="preserve"> slow</w:t>
      </w:r>
      <w:r w:rsidR="00F01FAA" w:rsidRPr="006E19C7">
        <w:rPr>
          <w:rFonts w:ascii="Times New Roman" w:hAnsi="Times New Roman" w:cs="Times New Roman"/>
          <w:sz w:val="24"/>
          <w:szCs w:val="24"/>
        </w:rPr>
        <w:t>er in</w:t>
      </w:r>
      <w:r w:rsidR="001E698E" w:rsidRPr="006E19C7">
        <w:rPr>
          <w:rFonts w:ascii="Times New Roman" w:hAnsi="Times New Roman" w:cs="Times New Roman"/>
          <w:sz w:val="24"/>
          <w:szCs w:val="24"/>
        </w:rPr>
        <w:t xml:space="preserve"> </w:t>
      </w:r>
      <w:r w:rsidR="00F01FAA" w:rsidRPr="006E19C7">
        <w:rPr>
          <w:rFonts w:ascii="Times New Roman" w:hAnsi="Times New Roman" w:cs="Times New Roman"/>
          <w:sz w:val="24"/>
          <w:szCs w:val="24"/>
        </w:rPr>
        <w:t>comparison</w:t>
      </w:r>
      <w:r w:rsidR="001E698E" w:rsidRPr="006E19C7">
        <w:rPr>
          <w:rFonts w:ascii="Times New Roman" w:hAnsi="Times New Roman" w:cs="Times New Roman"/>
          <w:sz w:val="24"/>
          <w:szCs w:val="24"/>
        </w:rPr>
        <w:t xml:space="preserve"> </w:t>
      </w:r>
      <w:r w:rsidR="002E7695" w:rsidRPr="006E19C7">
        <w:rPr>
          <w:rFonts w:ascii="Times New Roman" w:hAnsi="Times New Roman" w:cs="Times New Roman"/>
          <w:sz w:val="24"/>
          <w:szCs w:val="24"/>
        </w:rPr>
        <w:t xml:space="preserve">to </w:t>
      </w:r>
      <w:r w:rsidR="001111C3" w:rsidRPr="006E19C7">
        <w:rPr>
          <w:rFonts w:ascii="Times New Roman" w:hAnsi="Times New Roman" w:cs="Times New Roman"/>
          <w:sz w:val="24"/>
          <w:szCs w:val="24"/>
        </w:rPr>
        <w:t>men</w:t>
      </w:r>
      <w:r w:rsidR="002E7695" w:rsidRPr="006E19C7">
        <w:rPr>
          <w:rFonts w:ascii="Times New Roman" w:hAnsi="Times New Roman" w:cs="Times New Roman"/>
          <w:sz w:val="24"/>
          <w:szCs w:val="24"/>
        </w:rPr>
        <w:t xml:space="preserve"> and </w:t>
      </w:r>
      <w:r w:rsidR="001111C3" w:rsidRPr="006E19C7">
        <w:rPr>
          <w:rFonts w:ascii="Times New Roman" w:hAnsi="Times New Roman" w:cs="Times New Roman"/>
          <w:sz w:val="24"/>
          <w:szCs w:val="24"/>
        </w:rPr>
        <w:t>Native</w:t>
      </w:r>
      <w:r w:rsidR="001E698E" w:rsidRPr="006E19C7">
        <w:rPr>
          <w:rFonts w:ascii="Times New Roman" w:hAnsi="Times New Roman" w:cs="Times New Roman"/>
          <w:sz w:val="24"/>
          <w:szCs w:val="24"/>
        </w:rPr>
        <w:t xml:space="preserve"> Americans</w:t>
      </w:r>
      <w:r w:rsidR="002E7695" w:rsidRPr="006E19C7">
        <w:rPr>
          <w:rFonts w:ascii="Times New Roman" w:hAnsi="Times New Roman" w:cs="Times New Roman"/>
          <w:sz w:val="24"/>
          <w:szCs w:val="24"/>
        </w:rPr>
        <w:t xml:space="preserve"> </w:t>
      </w:r>
      <w:r w:rsidR="00774311" w:rsidRPr="006E19C7">
        <w:rPr>
          <w:rFonts w:ascii="Times New Roman" w:hAnsi="Times New Roman" w:cs="Times New Roman"/>
          <w:sz w:val="24"/>
          <w:szCs w:val="24"/>
        </w:rPr>
        <w:t>respectively</w:t>
      </w:r>
      <w:r w:rsidR="002E7695" w:rsidRPr="006E19C7">
        <w:rPr>
          <w:rFonts w:ascii="Times New Roman" w:hAnsi="Times New Roman" w:cs="Times New Roman"/>
          <w:sz w:val="24"/>
          <w:szCs w:val="24"/>
        </w:rPr>
        <w:t>.</w:t>
      </w:r>
      <w:r w:rsidR="002C670D" w:rsidRPr="006E19C7">
        <w:rPr>
          <w:rFonts w:ascii="Times New Roman" w:hAnsi="Times New Roman" w:cs="Times New Roman"/>
          <w:sz w:val="24"/>
          <w:szCs w:val="24"/>
        </w:rPr>
        <w:t xml:space="preserve"> African American</w:t>
      </w:r>
      <w:r w:rsidR="00E7051D" w:rsidRPr="006E19C7">
        <w:rPr>
          <w:rFonts w:ascii="Times New Roman" w:hAnsi="Times New Roman" w:cs="Times New Roman"/>
          <w:sz w:val="24"/>
          <w:szCs w:val="24"/>
        </w:rPr>
        <w:t>s</w:t>
      </w:r>
      <w:r w:rsidR="002C670D" w:rsidRPr="006E19C7">
        <w:rPr>
          <w:rFonts w:ascii="Times New Roman" w:hAnsi="Times New Roman" w:cs="Times New Roman"/>
          <w:sz w:val="24"/>
          <w:szCs w:val="24"/>
        </w:rPr>
        <w:t xml:space="preserve"> and Asian</w:t>
      </w:r>
      <w:r w:rsidR="00E7051D" w:rsidRPr="006E19C7">
        <w:rPr>
          <w:rFonts w:ascii="Times New Roman" w:hAnsi="Times New Roman" w:cs="Times New Roman"/>
          <w:sz w:val="24"/>
          <w:szCs w:val="24"/>
        </w:rPr>
        <w:t>s</w:t>
      </w:r>
      <w:r w:rsidR="002C670D" w:rsidRPr="006E19C7">
        <w:rPr>
          <w:rFonts w:ascii="Times New Roman" w:hAnsi="Times New Roman" w:cs="Times New Roman"/>
          <w:sz w:val="24"/>
          <w:szCs w:val="24"/>
        </w:rPr>
        <w:t xml:space="preserve"> were almost 30% less likely to receive CA. </w:t>
      </w:r>
      <w:r w:rsidR="009D5F8E" w:rsidRPr="006E19C7">
        <w:rPr>
          <w:rFonts w:ascii="Times New Roman" w:hAnsi="Times New Roman" w:cs="Times New Roman"/>
          <w:sz w:val="24"/>
          <w:szCs w:val="24"/>
        </w:rPr>
        <w:t>T</w:t>
      </w:r>
      <w:r w:rsidR="001E698E" w:rsidRPr="006E19C7">
        <w:rPr>
          <w:rFonts w:ascii="Times New Roman" w:hAnsi="Times New Roman" w:cs="Times New Roman"/>
          <w:sz w:val="24"/>
          <w:szCs w:val="24"/>
        </w:rPr>
        <w:t xml:space="preserve">eaching hospital status was associated with </w:t>
      </w:r>
      <w:r w:rsidR="009D5F8E" w:rsidRPr="006E19C7">
        <w:rPr>
          <w:rFonts w:ascii="Times New Roman" w:hAnsi="Times New Roman" w:cs="Times New Roman"/>
          <w:sz w:val="24"/>
          <w:szCs w:val="24"/>
        </w:rPr>
        <w:t>a</w:t>
      </w:r>
      <w:r w:rsidR="001E698E" w:rsidRPr="006E19C7">
        <w:rPr>
          <w:rFonts w:ascii="Times New Roman" w:hAnsi="Times New Roman" w:cs="Times New Roman"/>
          <w:sz w:val="24"/>
          <w:szCs w:val="24"/>
        </w:rPr>
        <w:t xml:space="preserve"> higher use of CA compared to rural hospitals</w:t>
      </w:r>
      <w:r w:rsidR="00BD6ED7" w:rsidRPr="006E19C7">
        <w:rPr>
          <w:rFonts w:ascii="Times New Roman" w:hAnsi="Times New Roman" w:cs="Times New Roman"/>
          <w:sz w:val="24"/>
          <w:szCs w:val="24"/>
        </w:rPr>
        <w:t xml:space="preserve"> despite</w:t>
      </w:r>
      <w:r w:rsidR="002F639A" w:rsidRPr="006E19C7">
        <w:rPr>
          <w:rFonts w:ascii="Times New Roman" w:hAnsi="Times New Roman" w:cs="Times New Roman"/>
          <w:sz w:val="24"/>
          <w:szCs w:val="24"/>
        </w:rPr>
        <w:t xml:space="preserve"> the</w:t>
      </w:r>
      <w:r w:rsidR="00BD6ED7" w:rsidRPr="006E19C7">
        <w:rPr>
          <w:rFonts w:ascii="Times New Roman" w:hAnsi="Times New Roman" w:cs="Times New Roman"/>
          <w:sz w:val="24"/>
          <w:szCs w:val="24"/>
        </w:rPr>
        <w:t xml:space="preserve"> </w:t>
      </w:r>
      <w:r w:rsidR="00E7051D" w:rsidRPr="006E19C7">
        <w:rPr>
          <w:rFonts w:ascii="Times New Roman" w:hAnsi="Times New Roman" w:cs="Times New Roman"/>
          <w:noProof/>
          <w:sz w:val="24"/>
          <w:szCs w:val="24"/>
        </w:rPr>
        <w:t>expansion</w:t>
      </w:r>
      <w:r w:rsidR="00BD6ED7" w:rsidRPr="006E19C7">
        <w:rPr>
          <w:rFonts w:ascii="Times New Roman" w:hAnsi="Times New Roman" w:cs="Times New Roman"/>
          <w:sz w:val="24"/>
          <w:szCs w:val="24"/>
        </w:rPr>
        <w:t xml:space="preserve"> of </w:t>
      </w:r>
      <w:r w:rsidR="00E7051D" w:rsidRPr="006E19C7">
        <w:rPr>
          <w:rFonts w:ascii="Times New Roman" w:hAnsi="Times New Roman" w:cs="Times New Roman"/>
          <w:sz w:val="24"/>
          <w:szCs w:val="24"/>
        </w:rPr>
        <w:t xml:space="preserve">angiography services </w:t>
      </w:r>
      <w:r w:rsidR="00BD6ED7" w:rsidRPr="006E19C7">
        <w:rPr>
          <w:rFonts w:ascii="Times New Roman" w:hAnsi="Times New Roman" w:cs="Times New Roman"/>
          <w:sz w:val="24"/>
          <w:szCs w:val="24"/>
        </w:rPr>
        <w:t>in rural hospitals</w:t>
      </w:r>
      <w:r w:rsidR="00DB2CFF"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RW.CITE{{552 Horwitz,J.R. 2013}}</w:instrText>
      </w:r>
      <w:r w:rsidR="00DB2CFF" w:rsidRPr="006E19C7">
        <w:rPr>
          <w:rFonts w:ascii="Times New Roman" w:hAnsi="Times New Roman" w:cs="Times New Roman"/>
          <w:sz w:val="24"/>
          <w:szCs w:val="24"/>
        </w:rPr>
        <w:fldChar w:fldCharType="separate"/>
      </w:r>
      <w:r w:rsidR="00EC1CDB" w:rsidRPr="006E19C7">
        <w:rPr>
          <w:rFonts w:ascii="Times New Roman" w:hAnsi="Times New Roman" w:cs="Times New Roman"/>
          <w:bCs/>
          <w:sz w:val="24"/>
          <w:szCs w:val="24"/>
          <w:vertAlign w:val="superscript"/>
          <w:lang w:val="en-US"/>
        </w:rPr>
        <w:t>16</w:t>
      </w:r>
      <w:r w:rsidR="00DB2CFF" w:rsidRPr="006E19C7">
        <w:rPr>
          <w:rFonts w:ascii="Times New Roman" w:hAnsi="Times New Roman" w:cs="Times New Roman"/>
          <w:sz w:val="24"/>
          <w:szCs w:val="24"/>
        </w:rPr>
        <w:fldChar w:fldCharType="end"/>
      </w:r>
      <w:r w:rsidR="001E698E" w:rsidRPr="006E19C7">
        <w:rPr>
          <w:rFonts w:ascii="Times New Roman" w:hAnsi="Times New Roman" w:cs="Times New Roman"/>
          <w:sz w:val="24"/>
          <w:szCs w:val="24"/>
        </w:rPr>
        <w:t xml:space="preserve">. </w:t>
      </w:r>
    </w:p>
    <w:p w14:paraId="2C37217F" w14:textId="454A0376" w:rsidR="00B94EFE" w:rsidRPr="006E19C7" w:rsidRDefault="00826B98"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The delay in uniform adoption of </w:t>
      </w:r>
      <w:r w:rsidR="00994949" w:rsidRPr="006E19C7">
        <w:rPr>
          <w:rFonts w:ascii="Times New Roman" w:hAnsi="Times New Roman" w:cs="Times New Roman"/>
          <w:sz w:val="24"/>
          <w:szCs w:val="24"/>
        </w:rPr>
        <w:t xml:space="preserve">invasive coronary approach </w:t>
      </w:r>
      <w:r w:rsidRPr="006E19C7">
        <w:rPr>
          <w:rFonts w:ascii="Times New Roman" w:hAnsi="Times New Roman" w:cs="Times New Roman"/>
          <w:sz w:val="24"/>
          <w:szCs w:val="24"/>
        </w:rPr>
        <w:t xml:space="preserve">across the whole spectrum of NSTEACS patients may be related to a complex web of underlying factors </w:t>
      </w:r>
      <w:r w:rsidR="009D5F8E" w:rsidRPr="006E19C7">
        <w:rPr>
          <w:rFonts w:ascii="Times New Roman" w:hAnsi="Times New Roman" w:cs="Times New Roman"/>
          <w:sz w:val="24"/>
          <w:szCs w:val="24"/>
        </w:rPr>
        <w:t xml:space="preserve">including </w:t>
      </w:r>
      <w:r w:rsidR="00994949" w:rsidRPr="006E19C7">
        <w:rPr>
          <w:rFonts w:ascii="Times New Roman" w:hAnsi="Times New Roman" w:cs="Times New Roman"/>
          <w:sz w:val="24"/>
          <w:szCs w:val="24"/>
        </w:rPr>
        <w:t>local practice style, service availability</w:t>
      </w:r>
      <w:r w:rsidR="00643CC0" w:rsidRPr="006E19C7">
        <w:rPr>
          <w:rFonts w:ascii="Times New Roman" w:hAnsi="Times New Roman" w:cs="Times New Roman"/>
          <w:sz w:val="24"/>
          <w:szCs w:val="24"/>
        </w:rPr>
        <w:t xml:space="preserve"> and </w:t>
      </w:r>
      <w:r w:rsidR="00CC2B42" w:rsidRPr="006E19C7">
        <w:rPr>
          <w:rFonts w:ascii="Times New Roman" w:hAnsi="Times New Roman" w:cs="Times New Roman"/>
          <w:sz w:val="24"/>
          <w:szCs w:val="24"/>
        </w:rPr>
        <w:t xml:space="preserve">inequalities in uniform health coverage by the </w:t>
      </w:r>
      <w:r w:rsidR="00CC2B42" w:rsidRPr="006E19C7">
        <w:rPr>
          <w:rFonts w:ascii="Times New Roman" w:hAnsi="Times New Roman" w:cs="Times New Roman"/>
          <w:noProof/>
          <w:sz w:val="24"/>
          <w:szCs w:val="24"/>
        </w:rPr>
        <w:t>insurance</w:t>
      </w:r>
      <w:r w:rsidR="00902085" w:rsidRPr="006E19C7">
        <w:rPr>
          <w:rFonts w:ascii="Times New Roman" w:hAnsi="Times New Roman" w:cs="Times New Roman"/>
          <w:noProof/>
          <w:sz w:val="24"/>
          <w:szCs w:val="24"/>
        </w:rPr>
        <w:t>-</w:t>
      </w:r>
      <w:r w:rsidR="00CC2B42" w:rsidRPr="006E19C7">
        <w:rPr>
          <w:rFonts w:ascii="Times New Roman" w:hAnsi="Times New Roman" w:cs="Times New Roman"/>
          <w:noProof/>
          <w:sz w:val="24"/>
          <w:szCs w:val="24"/>
        </w:rPr>
        <w:t>based</w:t>
      </w:r>
      <w:r w:rsidR="00F905A7" w:rsidRPr="006E19C7">
        <w:rPr>
          <w:rFonts w:ascii="Times New Roman" w:hAnsi="Times New Roman" w:cs="Times New Roman"/>
          <w:sz w:val="24"/>
          <w:szCs w:val="24"/>
        </w:rPr>
        <w:t xml:space="preserve"> system</w:t>
      </w:r>
      <w:r w:rsidR="00643CC0" w:rsidRPr="006E19C7">
        <w:rPr>
          <w:rFonts w:ascii="Times New Roman" w:hAnsi="Times New Roman" w:cs="Times New Roman"/>
          <w:sz w:val="24"/>
          <w:szCs w:val="24"/>
        </w:rPr>
        <w:t xml:space="preserve">. </w:t>
      </w:r>
      <w:r w:rsidR="00EC5169" w:rsidRPr="006E19C7">
        <w:rPr>
          <w:rFonts w:ascii="Times New Roman" w:hAnsi="Times New Roman" w:cs="Times New Roman"/>
          <w:sz w:val="24"/>
          <w:szCs w:val="24"/>
        </w:rPr>
        <w:t>It is important to note that t</w:t>
      </w:r>
      <w:r w:rsidR="00643CC0" w:rsidRPr="006E19C7">
        <w:rPr>
          <w:rFonts w:ascii="Times New Roman" w:hAnsi="Times New Roman" w:cs="Times New Roman"/>
          <w:sz w:val="24"/>
          <w:szCs w:val="24"/>
        </w:rPr>
        <w:t>he under-utilisation of both invasive and medical therapies</w:t>
      </w:r>
      <w:r w:rsidR="00EC5169" w:rsidRPr="006E19C7">
        <w:rPr>
          <w:rFonts w:ascii="Times New Roman" w:hAnsi="Times New Roman" w:cs="Times New Roman"/>
          <w:sz w:val="24"/>
          <w:szCs w:val="24"/>
        </w:rPr>
        <w:t xml:space="preserve"> in </w:t>
      </w:r>
      <w:r w:rsidR="009D5F8E" w:rsidRPr="006E19C7">
        <w:rPr>
          <w:rFonts w:ascii="Times New Roman" w:hAnsi="Times New Roman" w:cs="Times New Roman"/>
          <w:sz w:val="24"/>
          <w:szCs w:val="24"/>
        </w:rPr>
        <w:t xml:space="preserve">women </w:t>
      </w:r>
      <w:r w:rsidR="00EC5169" w:rsidRPr="006E19C7">
        <w:rPr>
          <w:rFonts w:ascii="Times New Roman" w:hAnsi="Times New Roman" w:cs="Times New Roman"/>
          <w:sz w:val="24"/>
          <w:szCs w:val="24"/>
        </w:rPr>
        <w:t xml:space="preserve">and </w:t>
      </w:r>
      <w:r w:rsidR="009D5F8E" w:rsidRPr="006E19C7">
        <w:rPr>
          <w:rFonts w:ascii="Times New Roman" w:hAnsi="Times New Roman" w:cs="Times New Roman"/>
          <w:sz w:val="24"/>
          <w:szCs w:val="24"/>
        </w:rPr>
        <w:t xml:space="preserve">the </w:t>
      </w:r>
      <w:r w:rsidR="00EC5169" w:rsidRPr="006E19C7">
        <w:rPr>
          <w:rFonts w:ascii="Times New Roman" w:hAnsi="Times New Roman" w:cs="Times New Roman"/>
          <w:sz w:val="24"/>
          <w:szCs w:val="24"/>
        </w:rPr>
        <w:t>elderly</w:t>
      </w:r>
      <w:r w:rsidR="00643CC0" w:rsidRPr="006E19C7">
        <w:rPr>
          <w:rFonts w:ascii="Times New Roman" w:hAnsi="Times New Roman" w:cs="Times New Roman"/>
          <w:sz w:val="24"/>
          <w:szCs w:val="24"/>
        </w:rPr>
        <w:t xml:space="preserve"> </w:t>
      </w:r>
      <w:r w:rsidR="00643CC0" w:rsidRPr="006E19C7">
        <w:rPr>
          <w:rFonts w:ascii="Times New Roman" w:hAnsi="Times New Roman" w:cs="Times New Roman"/>
          <w:noProof/>
          <w:sz w:val="24"/>
          <w:szCs w:val="24"/>
        </w:rPr>
        <w:t>ha</w:t>
      </w:r>
      <w:r w:rsidR="002F639A" w:rsidRPr="006E19C7">
        <w:rPr>
          <w:rFonts w:ascii="Times New Roman" w:hAnsi="Times New Roman" w:cs="Times New Roman"/>
          <w:noProof/>
          <w:sz w:val="24"/>
          <w:szCs w:val="24"/>
        </w:rPr>
        <w:t>ve</w:t>
      </w:r>
      <w:r w:rsidR="00643CC0" w:rsidRPr="006E19C7">
        <w:rPr>
          <w:rFonts w:ascii="Times New Roman" w:hAnsi="Times New Roman" w:cs="Times New Roman"/>
          <w:sz w:val="24"/>
          <w:szCs w:val="24"/>
        </w:rPr>
        <w:t xml:space="preserve"> been widely described </w:t>
      </w:r>
      <w:r w:rsidR="00BB3D17" w:rsidRPr="006E19C7">
        <w:rPr>
          <w:rFonts w:ascii="Times New Roman" w:hAnsi="Times New Roman" w:cs="Times New Roman"/>
          <w:sz w:val="24"/>
          <w:szCs w:val="24"/>
        </w:rPr>
        <w:t xml:space="preserve">which in part has been related to </w:t>
      </w:r>
      <w:r w:rsidR="007C102D" w:rsidRPr="006E19C7">
        <w:rPr>
          <w:rFonts w:ascii="Times New Roman" w:hAnsi="Times New Roman" w:cs="Times New Roman"/>
          <w:noProof/>
          <w:sz w:val="24"/>
          <w:szCs w:val="24"/>
        </w:rPr>
        <w:t xml:space="preserve">the </w:t>
      </w:r>
      <w:r w:rsidR="00BB3D17" w:rsidRPr="006E19C7">
        <w:rPr>
          <w:rFonts w:ascii="Times New Roman" w:hAnsi="Times New Roman" w:cs="Times New Roman"/>
          <w:noProof/>
          <w:sz w:val="24"/>
          <w:szCs w:val="24"/>
        </w:rPr>
        <w:t>increase</w:t>
      </w:r>
      <w:r w:rsidR="002C1A14" w:rsidRPr="006E19C7">
        <w:rPr>
          <w:rFonts w:ascii="Times New Roman" w:hAnsi="Times New Roman" w:cs="Times New Roman"/>
          <w:noProof/>
          <w:sz w:val="24"/>
          <w:szCs w:val="24"/>
        </w:rPr>
        <w:t>d</w:t>
      </w:r>
      <w:r w:rsidR="00BB3D17" w:rsidRPr="006E19C7">
        <w:rPr>
          <w:rFonts w:ascii="Times New Roman" w:hAnsi="Times New Roman" w:cs="Times New Roman"/>
          <w:sz w:val="24"/>
          <w:szCs w:val="24"/>
        </w:rPr>
        <w:t xml:space="preserve"> </w:t>
      </w:r>
      <w:r w:rsidR="00BB3D17" w:rsidRPr="006E19C7">
        <w:rPr>
          <w:rFonts w:ascii="Times New Roman" w:hAnsi="Times New Roman" w:cs="Times New Roman"/>
          <w:noProof/>
          <w:sz w:val="24"/>
          <w:szCs w:val="24"/>
        </w:rPr>
        <w:t>perception</w:t>
      </w:r>
      <w:r w:rsidR="00BB3D17" w:rsidRPr="006E19C7">
        <w:rPr>
          <w:rFonts w:ascii="Times New Roman" w:hAnsi="Times New Roman" w:cs="Times New Roman"/>
          <w:sz w:val="24"/>
          <w:szCs w:val="24"/>
        </w:rPr>
        <w:t xml:space="preserve"> of adverse outcomes in </w:t>
      </w:r>
      <w:r w:rsidR="00136C98" w:rsidRPr="006E19C7">
        <w:rPr>
          <w:rFonts w:ascii="Times New Roman" w:hAnsi="Times New Roman" w:cs="Times New Roman"/>
          <w:sz w:val="24"/>
          <w:szCs w:val="24"/>
        </w:rPr>
        <w:t xml:space="preserve">women </w:t>
      </w:r>
      <w:r w:rsidR="00BB3D17" w:rsidRPr="006E19C7">
        <w:rPr>
          <w:rFonts w:ascii="Times New Roman" w:hAnsi="Times New Roman" w:cs="Times New Roman"/>
          <w:sz w:val="24"/>
          <w:szCs w:val="24"/>
        </w:rPr>
        <w:t>and older patients</w:t>
      </w:r>
      <w:r w:rsidR="0030429D"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RW.CITE{{493 DeLuca,L. 2014; 527 Worrall-Carter,L. 2016; 518 Zaman,M.J. 2014}}</w:instrText>
      </w:r>
      <w:r w:rsidR="0030429D"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4, 17, 18</w:t>
      </w:r>
      <w:r w:rsidR="0030429D" w:rsidRPr="006E19C7">
        <w:rPr>
          <w:rFonts w:ascii="Times New Roman" w:hAnsi="Times New Roman" w:cs="Times New Roman"/>
          <w:sz w:val="24"/>
          <w:szCs w:val="24"/>
        </w:rPr>
        <w:fldChar w:fldCharType="end"/>
      </w:r>
      <w:r w:rsidR="00EC5169" w:rsidRPr="006E19C7">
        <w:rPr>
          <w:rFonts w:ascii="Times New Roman" w:hAnsi="Times New Roman" w:cs="Times New Roman"/>
          <w:sz w:val="24"/>
          <w:szCs w:val="24"/>
        </w:rPr>
        <w:t>.</w:t>
      </w:r>
      <w:r w:rsidR="007354F7" w:rsidRPr="006E19C7">
        <w:rPr>
          <w:rFonts w:ascii="Times New Roman" w:hAnsi="Times New Roman" w:cs="Times New Roman"/>
          <w:sz w:val="24"/>
          <w:szCs w:val="24"/>
        </w:rPr>
        <w:t xml:space="preserve"> </w:t>
      </w:r>
      <w:r w:rsidR="00994949" w:rsidRPr="006E19C7">
        <w:rPr>
          <w:rFonts w:ascii="Times New Roman" w:hAnsi="Times New Roman" w:cs="Times New Roman"/>
          <w:sz w:val="24"/>
          <w:szCs w:val="24"/>
        </w:rPr>
        <w:t xml:space="preserve">Increase knowledge and understanding of important factors which </w:t>
      </w:r>
      <w:r w:rsidR="00BB3D17" w:rsidRPr="006E19C7">
        <w:rPr>
          <w:rFonts w:ascii="Times New Roman" w:hAnsi="Times New Roman" w:cs="Times New Roman"/>
          <w:sz w:val="24"/>
          <w:szCs w:val="24"/>
        </w:rPr>
        <w:t xml:space="preserve">influence clinician’s </w:t>
      </w:r>
      <w:r w:rsidR="00994949" w:rsidRPr="006E19C7">
        <w:rPr>
          <w:rFonts w:ascii="Times New Roman" w:hAnsi="Times New Roman" w:cs="Times New Roman"/>
          <w:sz w:val="24"/>
          <w:szCs w:val="24"/>
        </w:rPr>
        <w:lastRenderedPageBreak/>
        <w:t>decision-making</w:t>
      </w:r>
      <w:r w:rsidR="00EC5169" w:rsidRPr="006E19C7">
        <w:rPr>
          <w:rFonts w:ascii="Times New Roman" w:hAnsi="Times New Roman" w:cs="Times New Roman"/>
          <w:sz w:val="24"/>
          <w:szCs w:val="24"/>
        </w:rPr>
        <w:t xml:space="preserve"> about use of CA</w:t>
      </w:r>
      <w:r w:rsidR="00994949" w:rsidRPr="006E19C7">
        <w:rPr>
          <w:rFonts w:ascii="Times New Roman" w:hAnsi="Times New Roman" w:cs="Times New Roman"/>
          <w:sz w:val="24"/>
          <w:szCs w:val="24"/>
        </w:rPr>
        <w:t xml:space="preserve"> </w:t>
      </w:r>
      <w:r w:rsidR="00994949" w:rsidRPr="006E19C7">
        <w:rPr>
          <w:rFonts w:ascii="Times New Roman" w:hAnsi="Times New Roman" w:cs="Times New Roman"/>
          <w:noProof/>
          <w:sz w:val="24"/>
          <w:szCs w:val="24"/>
        </w:rPr>
        <w:t>is</w:t>
      </w:r>
      <w:r w:rsidR="00994949" w:rsidRPr="006E19C7">
        <w:rPr>
          <w:rFonts w:ascii="Times New Roman" w:hAnsi="Times New Roman" w:cs="Times New Roman"/>
          <w:sz w:val="24"/>
          <w:szCs w:val="24"/>
        </w:rPr>
        <w:t xml:space="preserve"> required to ensure a uniform and effective u</w:t>
      </w:r>
      <w:r w:rsidR="0030429D" w:rsidRPr="006E19C7">
        <w:rPr>
          <w:rFonts w:ascii="Times New Roman" w:hAnsi="Times New Roman" w:cs="Times New Roman"/>
          <w:sz w:val="24"/>
          <w:szCs w:val="24"/>
        </w:rPr>
        <w:t>se of invasive CA in this underserved group</w:t>
      </w:r>
      <w:r w:rsidR="00994949" w:rsidRPr="006E19C7">
        <w:rPr>
          <w:rFonts w:ascii="Times New Roman" w:hAnsi="Times New Roman" w:cs="Times New Roman"/>
          <w:sz w:val="24"/>
          <w:szCs w:val="24"/>
        </w:rPr>
        <w:t xml:space="preserve"> of patients</w:t>
      </w:r>
      <w:r w:rsidR="00782C45" w:rsidRPr="006E19C7">
        <w:rPr>
          <w:rFonts w:ascii="Times New Roman" w:hAnsi="Times New Roman" w:cs="Times New Roman"/>
          <w:sz w:val="24"/>
          <w:szCs w:val="24"/>
        </w:rPr>
        <w:t xml:space="preserve">. </w:t>
      </w:r>
    </w:p>
    <w:p w14:paraId="5661EFEE" w14:textId="450083E7" w:rsidR="00F12317" w:rsidRPr="006E19C7" w:rsidRDefault="000F7C13"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 xml:space="preserve">Our analysis </w:t>
      </w:r>
      <w:r w:rsidR="00D40150" w:rsidRPr="006E19C7">
        <w:rPr>
          <w:rFonts w:ascii="Times New Roman" w:hAnsi="Times New Roman" w:cs="Times New Roman"/>
          <w:sz w:val="24"/>
          <w:szCs w:val="24"/>
        </w:rPr>
        <w:t>allows for</w:t>
      </w:r>
      <w:r w:rsidR="0003713D" w:rsidRPr="006E19C7">
        <w:rPr>
          <w:rFonts w:ascii="Times New Roman" w:hAnsi="Times New Roman" w:cs="Times New Roman"/>
          <w:sz w:val="24"/>
          <w:szCs w:val="24"/>
        </w:rPr>
        <w:t xml:space="preserve"> the</w:t>
      </w:r>
      <w:r w:rsidR="00D40150"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study</w:t>
      </w:r>
      <w:r w:rsidR="00D40150" w:rsidRPr="006E19C7">
        <w:rPr>
          <w:rFonts w:ascii="Times New Roman" w:hAnsi="Times New Roman" w:cs="Times New Roman"/>
          <w:sz w:val="24"/>
          <w:szCs w:val="24"/>
        </w:rPr>
        <w:t xml:space="preserve"> of</w:t>
      </w:r>
      <w:r w:rsidRPr="006E19C7">
        <w:rPr>
          <w:rFonts w:ascii="Times New Roman" w:hAnsi="Times New Roman" w:cs="Times New Roman"/>
          <w:sz w:val="24"/>
          <w:szCs w:val="24"/>
        </w:rPr>
        <w:t xml:space="preserve"> the temporal changes in the </w:t>
      </w:r>
      <w:r w:rsidR="00924973" w:rsidRPr="006E19C7">
        <w:rPr>
          <w:rFonts w:ascii="Times New Roman" w:hAnsi="Times New Roman" w:cs="Times New Roman"/>
          <w:sz w:val="24"/>
          <w:szCs w:val="24"/>
        </w:rPr>
        <w:t xml:space="preserve">clinical </w:t>
      </w:r>
      <w:r w:rsidRPr="006E19C7">
        <w:rPr>
          <w:rFonts w:ascii="Times New Roman" w:hAnsi="Times New Roman" w:cs="Times New Roman"/>
          <w:sz w:val="24"/>
          <w:szCs w:val="24"/>
        </w:rPr>
        <w:t>characteristics</w:t>
      </w:r>
      <w:r w:rsidR="00924973" w:rsidRPr="006E19C7">
        <w:rPr>
          <w:rFonts w:ascii="Times New Roman" w:hAnsi="Times New Roman" w:cs="Times New Roman"/>
          <w:sz w:val="24"/>
          <w:szCs w:val="24"/>
        </w:rPr>
        <w:t xml:space="preserve"> and associated comorbidities</w:t>
      </w:r>
      <w:r w:rsidRPr="006E19C7">
        <w:rPr>
          <w:rFonts w:ascii="Times New Roman" w:hAnsi="Times New Roman" w:cs="Times New Roman"/>
          <w:sz w:val="24"/>
          <w:szCs w:val="24"/>
        </w:rPr>
        <w:t xml:space="preserve"> of the patients receiving CA compared to those </w:t>
      </w:r>
      <w:r w:rsidR="00EA059C" w:rsidRPr="006E19C7">
        <w:rPr>
          <w:rFonts w:ascii="Times New Roman" w:hAnsi="Times New Roman" w:cs="Times New Roman"/>
          <w:sz w:val="24"/>
          <w:szCs w:val="24"/>
        </w:rPr>
        <w:t xml:space="preserve">medically managed. </w:t>
      </w:r>
      <w:r w:rsidR="00924973" w:rsidRPr="006E19C7">
        <w:rPr>
          <w:rFonts w:ascii="Times New Roman" w:hAnsi="Times New Roman" w:cs="Times New Roman"/>
          <w:sz w:val="24"/>
          <w:szCs w:val="24"/>
        </w:rPr>
        <w:t>Previous</w:t>
      </w:r>
      <w:r w:rsidR="00EA059C" w:rsidRPr="006E19C7">
        <w:rPr>
          <w:rFonts w:ascii="Times New Roman" w:hAnsi="Times New Roman" w:cs="Times New Roman"/>
          <w:sz w:val="24"/>
          <w:szCs w:val="24"/>
        </w:rPr>
        <w:t xml:space="preserve"> </w:t>
      </w:r>
      <w:r w:rsidRPr="006E19C7">
        <w:rPr>
          <w:rFonts w:ascii="Times New Roman" w:hAnsi="Times New Roman" w:cs="Times New Roman"/>
          <w:sz w:val="24"/>
          <w:szCs w:val="24"/>
        </w:rPr>
        <w:t xml:space="preserve">studies have mainly reported on the </w:t>
      </w:r>
      <w:r w:rsidR="0006718B" w:rsidRPr="006E19C7">
        <w:rPr>
          <w:rFonts w:ascii="Times New Roman" w:hAnsi="Times New Roman" w:cs="Times New Roman"/>
          <w:sz w:val="24"/>
          <w:szCs w:val="24"/>
        </w:rPr>
        <w:t>cardiovascular comorbid burden</w:t>
      </w:r>
      <w:r w:rsidRPr="006E19C7">
        <w:rPr>
          <w:rFonts w:ascii="Times New Roman" w:hAnsi="Times New Roman" w:cs="Times New Roman"/>
          <w:sz w:val="24"/>
          <w:szCs w:val="24"/>
        </w:rPr>
        <w:t xml:space="preserve"> of NSTEACS patients</w:t>
      </w:r>
      <w:r w:rsidR="00314C30" w:rsidRPr="006E19C7">
        <w:rPr>
          <w:rFonts w:ascii="Times New Roman" w:hAnsi="Times New Roman" w:cs="Times New Roman"/>
          <w:sz w:val="24"/>
          <w:szCs w:val="24"/>
        </w:rPr>
        <w:t xml:space="preserve"> such history of hypertension, dyslipidaemias, smoking</w:t>
      </w:r>
      <w:r w:rsidR="00902085" w:rsidRPr="006E19C7">
        <w:rPr>
          <w:rFonts w:ascii="Times New Roman" w:hAnsi="Times New Roman" w:cs="Times New Roman"/>
          <w:sz w:val="24"/>
          <w:szCs w:val="24"/>
        </w:rPr>
        <w:t>,</w:t>
      </w:r>
      <w:r w:rsidR="00314C30" w:rsidRPr="006E19C7">
        <w:rPr>
          <w:rFonts w:ascii="Times New Roman" w:hAnsi="Times New Roman" w:cs="Times New Roman"/>
          <w:sz w:val="24"/>
          <w:szCs w:val="24"/>
        </w:rPr>
        <w:t xml:space="preserve"> </w:t>
      </w:r>
      <w:r w:rsidR="00314C30" w:rsidRPr="006E19C7">
        <w:rPr>
          <w:rFonts w:ascii="Times New Roman" w:hAnsi="Times New Roman" w:cs="Times New Roman"/>
          <w:noProof/>
          <w:sz w:val="24"/>
          <w:szCs w:val="24"/>
        </w:rPr>
        <w:t>and</w:t>
      </w:r>
      <w:r w:rsidR="00314C30" w:rsidRPr="006E19C7">
        <w:rPr>
          <w:rFonts w:ascii="Times New Roman" w:hAnsi="Times New Roman" w:cs="Times New Roman"/>
          <w:sz w:val="24"/>
          <w:szCs w:val="24"/>
        </w:rPr>
        <w:t xml:space="preserve"> diabetes</w:t>
      </w:r>
      <w:r w:rsidR="007B5571"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RW.CITE{{510 Hall,M. 2016; 508 Puymirat,E. 2017; 509 Chan,M.Y. 2009; 493 DeLuca,L. 2014; 497 Kang,H.J. 2015}}</w:instrText>
      </w:r>
      <w:r w:rsidR="007B5571"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4, 5, 7, 19, 20</w:t>
      </w:r>
      <w:r w:rsidR="007B5571" w:rsidRPr="006E19C7">
        <w:rPr>
          <w:rFonts w:ascii="Times New Roman" w:hAnsi="Times New Roman" w:cs="Times New Roman"/>
          <w:sz w:val="24"/>
          <w:szCs w:val="24"/>
        </w:rPr>
        <w:fldChar w:fldCharType="end"/>
      </w:r>
      <w:r w:rsidRPr="006E19C7">
        <w:rPr>
          <w:rFonts w:ascii="Times New Roman" w:hAnsi="Times New Roman" w:cs="Times New Roman"/>
          <w:sz w:val="24"/>
          <w:szCs w:val="24"/>
        </w:rPr>
        <w:t>. However,</w:t>
      </w:r>
      <w:r w:rsidR="00902085" w:rsidRPr="006E19C7">
        <w:rPr>
          <w:rFonts w:ascii="Times New Roman" w:hAnsi="Times New Roman" w:cs="Times New Roman"/>
          <w:sz w:val="24"/>
          <w:szCs w:val="24"/>
        </w:rPr>
        <w:t xml:space="preserve"> the</w:t>
      </w:r>
      <w:r w:rsidRPr="006E19C7">
        <w:rPr>
          <w:rFonts w:ascii="Times New Roman" w:hAnsi="Times New Roman" w:cs="Times New Roman"/>
          <w:sz w:val="24"/>
          <w:szCs w:val="24"/>
        </w:rPr>
        <w:t xml:space="preserve"> </w:t>
      </w:r>
      <w:r w:rsidRPr="006E19C7">
        <w:rPr>
          <w:rFonts w:ascii="Times New Roman" w:hAnsi="Times New Roman" w:cs="Times New Roman"/>
          <w:noProof/>
          <w:sz w:val="24"/>
          <w:szCs w:val="24"/>
        </w:rPr>
        <w:t>granularity</w:t>
      </w:r>
      <w:r w:rsidRPr="006E19C7">
        <w:rPr>
          <w:rFonts w:ascii="Times New Roman" w:hAnsi="Times New Roman" w:cs="Times New Roman"/>
          <w:sz w:val="24"/>
          <w:szCs w:val="24"/>
        </w:rPr>
        <w:t xml:space="preserve"> of comorbidity </w:t>
      </w:r>
      <w:r w:rsidR="00332DD7" w:rsidRPr="006E19C7">
        <w:rPr>
          <w:rFonts w:ascii="Times New Roman" w:hAnsi="Times New Roman" w:cs="Times New Roman"/>
          <w:sz w:val="24"/>
          <w:szCs w:val="24"/>
        </w:rPr>
        <w:t xml:space="preserve">data in NIS facilitates </w:t>
      </w:r>
      <w:r w:rsidR="00F12317" w:rsidRPr="006E19C7">
        <w:rPr>
          <w:rFonts w:ascii="Times New Roman" w:hAnsi="Times New Roman" w:cs="Times New Roman"/>
          <w:sz w:val="24"/>
          <w:szCs w:val="24"/>
        </w:rPr>
        <w:t xml:space="preserve">the </w:t>
      </w:r>
      <w:r w:rsidR="007D526F" w:rsidRPr="006E19C7">
        <w:rPr>
          <w:rFonts w:ascii="Times New Roman" w:hAnsi="Times New Roman" w:cs="Times New Roman"/>
          <w:sz w:val="24"/>
          <w:szCs w:val="24"/>
        </w:rPr>
        <w:t xml:space="preserve">study of </w:t>
      </w:r>
      <w:r w:rsidR="00EA059C" w:rsidRPr="006E19C7">
        <w:rPr>
          <w:rFonts w:ascii="Times New Roman" w:hAnsi="Times New Roman" w:cs="Times New Roman"/>
          <w:sz w:val="24"/>
          <w:szCs w:val="24"/>
        </w:rPr>
        <w:t xml:space="preserve">both cardiac and </w:t>
      </w:r>
      <w:r w:rsidR="007D526F" w:rsidRPr="006E19C7">
        <w:rPr>
          <w:rFonts w:ascii="Times New Roman" w:hAnsi="Times New Roman" w:cs="Times New Roman"/>
          <w:sz w:val="24"/>
          <w:szCs w:val="24"/>
        </w:rPr>
        <w:t>non-cardiac comorbidities</w:t>
      </w:r>
      <w:r w:rsidR="00536BDB" w:rsidRPr="006E19C7">
        <w:rPr>
          <w:rFonts w:ascii="Times New Roman" w:hAnsi="Times New Roman" w:cs="Times New Roman"/>
          <w:sz w:val="24"/>
          <w:szCs w:val="24"/>
        </w:rPr>
        <w:t xml:space="preserve"> </w:t>
      </w:r>
      <w:r w:rsidR="00F12317" w:rsidRPr="006E19C7">
        <w:rPr>
          <w:rFonts w:ascii="Times New Roman" w:hAnsi="Times New Roman" w:cs="Times New Roman"/>
          <w:sz w:val="24"/>
          <w:szCs w:val="24"/>
        </w:rPr>
        <w:t xml:space="preserve">in </w:t>
      </w:r>
      <w:r w:rsidR="00536BDB" w:rsidRPr="006E19C7">
        <w:rPr>
          <w:rFonts w:ascii="Times New Roman" w:hAnsi="Times New Roman" w:cs="Times New Roman"/>
          <w:sz w:val="24"/>
          <w:szCs w:val="24"/>
        </w:rPr>
        <w:t xml:space="preserve">decision making </w:t>
      </w:r>
      <w:r w:rsidR="0026761A" w:rsidRPr="006E19C7">
        <w:rPr>
          <w:rFonts w:ascii="Times New Roman" w:hAnsi="Times New Roman" w:cs="Times New Roman"/>
          <w:sz w:val="24"/>
          <w:szCs w:val="24"/>
        </w:rPr>
        <w:t xml:space="preserve">in </w:t>
      </w:r>
      <w:r w:rsidR="007D526F" w:rsidRPr="006E19C7">
        <w:rPr>
          <w:rFonts w:ascii="Times New Roman" w:hAnsi="Times New Roman" w:cs="Times New Roman"/>
          <w:sz w:val="24"/>
          <w:szCs w:val="24"/>
        </w:rPr>
        <w:t>much greater deta</w:t>
      </w:r>
      <w:r w:rsidR="00536BDB" w:rsidRPr="006E19C7">
        <w:rPr>
          <w:rFonts w:ascii="Times New Roman" w:hAnsi="Times New Roman" w:cs="Times New Roman"/>
          <w:sz w:val="24"/>
          <w:szCs w:val="24"/>
        </w:rPr>
        <w:t>il</w:t>
      </w:r>
      <w:r w:rsidR="0000028D" w:rsidRPr="006E19C7">
        <w:rPr>
          <w:rFonts w:ascii="Times New Roman" w:hAnsi="Times New Roman" w:cs="Times New Roman"/>
          <w:sz w:val="24"/>
          <w:szCs w:val="24"/>
        </w:rPr>
        <w:t xml:space="preserve">. </w:t>
      </w:r>
      <w:r w:rsidR="00564C3C" w:rsidRPr="006E19C7">
        <w:rPr>
          <w:rFonts w:ascii="Times New Roman" w:hAnsi="Times New Roman" w:cs="Times New Roman"/>
          <w:sz w:val="24"/>
          <w:szCs w:val="24"/>
        </w:rPr>
        <w:t xml:space="preserve">Our </w:t>
      </w:r>
      <w:r w:rsidR="00924973" w:rsidRPr="006E19C7">
        <w:rPr>
          <w:rFonts w:ascii="Times New Roman" w:hAnsi="Times New Roman" w:cs="Times New Roman"/>
          <w:sz w:val="24"/>
          <w:szCs w:val="24"/>
        </w:rPr>
        <w:t>analysis</w:t>
      </w:r>
      <w:r w:rsidR="00564C3C" w:rsidRPr="006E19C7">
        <w:rPr>
          <w:rFonts w:ascii="Times New Roman" w:hAnsi="Times New Roman" w:cs="Times New Roman"/>
          <w:sz w:val="24"/>
          <w:szCs w:val="24"/>
        </w:rPr>
        <w:t xml:space="preserve"> illustrate</w:t>
      </w:r>
      <w:r w:rsidR="00924973" w:rsidRPr="006E19C7">
        <w:rPr>
          <w:rFonts w:ascii="Times New Roman" w:hAnsi="Times New Roman" w:cs="Times New Roman"/>
          <w:sz w:val="24"/>
          <w:szCs w:val="24"/>
        </w:rPr>
        <w:t>s</w:t>
      </w:r>
      <w:r w:rsidR="00564C3C" w:rsidRPr="006E19C7">
        <w:rPr>
          <w:rFonts w:ascii="Times New Roman" w:hAnsi="Times New Roman" w:cs="Times New Roman"/>
          <w:sz w:val="24"/>
          <w:szCs w:val="24"/>
        </w:rPr>
        <w:t xml:space="preserve"> that non-cardiac comorbid burden has increased considerably in </w:t>
      </w:r>
      <w:r w:rsidR="00F12317" w:rsidRPr="006E19C7">
        <w:rPr>
          <w:rFonts w:ascii="Times New Roman" w:hAnsi="Times New Roman" w:cs="Times New Roman"/>
          <w:sz w:val="24"/>
          <w:szCs w:val="24"/>
        </w:rPr>
        <w:t xml:space="preserve">patients with NSTEACS </w:t>
      </w:r>
      <w:r w:rsidR="00C45DC6" w:rsidRPr="006E19C7">
        <w:rPr>
          <w:rFonts w:ascii="Times New Roman" w:hAnsi="Times New Roman" w:cs="Times New Roman"/>
          <w:sz w:val="24"/>
          <w:szCs w:val="24"/>
        </w:rPr>
        <w:t>over the last decade</w:t>
      </w:r>
      <w:r w:rsidR="00564C3C" w:rsidRPr="006E19C7">
        <w:rPr>
          <w:rFonts w:ascii="Times New Roman" w:hAnsi="Times New Roman" w:cs="Times New Roman"/>
          <w:sz w:val="24"/>
          <w:szCs w:val="24"/>
        </w:rPr>
        <w:t>.</w:t>
      </w:r>
      <w:r w:rsidR="00924973" w:rsidRPr="006E19C7">
        <w:rPr>
          <w:rFonts w:ascii="Times New Roman" w:hAnsi="Times New Roman" w:cs="Times New Roman"/>
          <w:sz w:val="24"/>
          <w:szCs w:val="24"/>
        </w:rPr>
        <w:t xml:space="preserve"> </w:t>
      </w:r>
      <w:r w:rsidR="00D91C15" w:rsidRPr="006E19C7">
        <w:rPr>
          <w:rFonts w:ascii="Times New Roman" w:hAnsi="Times New Roman" w:cs="Times New Roman"/>
          <w:sz w:val="24"/>
          <w:szCs w:val="24"/>
        </w:rPr>
        <w:t xml:space="preserve">We </w:t>
      </w:r>
      <w:r w:rsidR="00924973" w:rsidRPr="006E19C7">
        <w:rPr>
          <w:rFonts w:ascii="Times New Roman" w:hAnsi="Times New Roman" w:cs="Times New Roman"/>
          <w:sz w:val="24"/>
          <w:szCs w:val="24"/>
        </w:rPr>
        <w:t>observed a significantly higher prevalence of non-cardiac comorbidities such dementia, chronic obstructive airway disease, renal disease and cancer in patients not receiving coronary angiography.</w:t>
      </w:r>
      <w:r w:rsidR="000D23D4" w:rsidRPr="006E19C7">
        <w:rPr>
          <w:rFonts w:ascii="Times New Roman" w:hAnsi="Times New Roman" w:cs="Times New Roman"/>
          <w:sz w:val="24"/>
          <w:szCs w:val="24"/>
        </w:rPr>
        <w:t xml:space="preserve"> </w:t>
      </w:r>
      <w:r w:rsidR="00F45517" w:rsidRPr="006E19C7">
        <w:rPr>
          <w:rFonts w:ascii="Times New Roman" w:hAnsi="Times New Roman" w:cs="Times New Roman"/>
          <w:sz w:val="24"/>
          <w:szCs w:val="24"/>
        </w:rPr>
        <w:t xml:space="preserve">We also observed significant disparities in selection for CA and global measures for the severity of comorbidity burden. </w:t>
      </w:r>
      <w:r w:rsidR="00C4303B" w:rsidRPr="006E19C7">
        <w:rPr>
          <w:rFonts w:ascii="Times New Roman" w:hAnsi="Times New Roman" w:cs="Times New Roman"/>
          <w:sz w:val="24"/>
          <w:szCs w:val="24"/>
        </w:rPr>
        <w:t>U</w:t>
      </w:r>
      <w:r w:rsidR="0030429D" w:rsidRPr="006E19C7">
        <w:rPr>
          <w:rFonts w:ascii="Times New Roman" w:hAnsi="Times New Roman" w:cs="Times New Roman"/>
          <w:sz w:val="24"/>
          <w:szCs w:val="24"/>
        </w:rPr>
        <w:t xml:space="preserve">tilization of CA remained lower in </w:t>
      </w:r>
      <w:r w:rsidR="00F45517" w:rsidRPr="006E19C7">
        <w:rPr>
          <w:rFonts w:ascii="Times New Roman" w:hAnsi="Times New Roman" w:cs="Times New Roman"/>
          <w:sz w:val="24"/>
          <w:szCs w:val="24"/>
        </w:rPr>
        <w:t xml:space="preserve">patients with a higher </w:t>
      </w:r>
      <w:proofErr w:type="spellStart"/>
      <w:r w:rsidR="00F45517" w:rsidRPr="006E19C7">
        <w:rPr>
          <w:rFonts w:ascii="Times New Roman" w:hAnsi="Times New Roman" w:cs="Times New Roman"/>
          <w:sz w:val="24"/>
          <w:szCs w:val="24"/>
        </w:rPr>
        <w:t>Charlson</w:t>
      </w:r>
      <w:proofErr w:type="spellEnd"/>
      <w:r w:rsidR="00F45517" w:rsidRPr="006E19C7">
        <w:rPr>
          <w:rFonts w:ascii="Times New Roman" w:hAnsi="Times New Roman" w:cs="Times New Roman"/>
          <w:sz w:val="24"/>
          <w:szCs w:val="24"/>
        </w:rPr>
        <w:t xml:space="preserve"> score category (CCI≥3</w:t>
      </w:r>
      <w:r w:rsidR="007354F7" w:rsidRPr="006E19C7">
        <w:t>)</w:t>
      </w:r>
      <w:r w:rsidR="009F0DDF" w:rsidRPr="006E19C7">
        <w:rPr>
          <w:rFonts w:ascii="Times New Roman" w:hAnsi="Times New Roman" w:cs="Times New Roman"/>
          <w:sz w:val="24"/>
          <w:szCs w:val="24"/>
        </w:rPr>
        <w:t xml:space="preserve"> compared to no comorbidity (CCI=0)</w:t>
      </w:r>
      <w:r w:rsidR="007354F7" w:rsidRPr="006E19C7">
        <w:rPr>
          <w:rFonts w:ascii="Times New Roman" w:hAnsi="Times New Roman" w:cs="Times New Roman"/>
          <w:sz w:val="24"/>
          <w:szCs w:val="24"/>
        </w:rPr>
        <w:t xml:space="preserve"> group throughout the study time period</w:t>
      </w:r>
      <w:r w:rsidR="00F45517" w:rsidRPr="006E19C7">
        <w:rPr>
          <w:rFonts w:ascii="Times New Roman" w:hAnsi="Times New Roman" w:cs="Times New Roman"/>
          <w:sz w:val="24"/>
          <w:szCs w:val="24"/>
        </w:rPr>
        <w:t>.</w:t>
      </w:r>
      <w:r w:rsidR="00F71066" w:rsidRPr="006E19C7">
        <w:rPr>
          <w:rFonts w:ascii="Times New Roman" w:hAnsi="Times New Roman" w:cs="Times New Roman"/>
          <w:sz w:val="24"/>
          <w:szCs w:val="24"/>
        </w:rPr>
        <w:t xml:space="preserve"> There is</w:t>
      </w:r>
      <w:r w:rsidR="007C102D" w:rsidRPr="006E19C7">
        <w:rPr>
          <w:rFonts w:ascii="Times New Roman" w:hAnsi="Times New Roman" w:cs="Times New Roman"/>
          <w:sz w:val="24"/>
          <w:szCs w:val="24"/>
        </w:rPr>
        <w:t xml:space="preserve"> a</w:t>
      </w:r>
      <w:r w:rsidR="00F71066" w:rsidRPr="006E19C7">
        <w:rPr>
          <w:rFonts w:ascii="Times New Roman" w:hAnsi="Times New Roman" w:cs="Times New Roman"/>
          <w:sz w:val="24"/>
          <w:szCs w:val="24"/>
        </w:rPr>
        <w:t xml:space="preserve"> </w:t>
      </w:r>
      <w:r w:rsidR="00F71066" w:rsidRPr="006E19C7">
        <w:rPr>
          <w:rFonts w:ascii="Times New Roman" w:hAnsi="Times New Roman" w:cs="Times New Roman"/>
          <w:noProof/>
          <w:sz w:val="24"/>
          <w:szCs w:val="24"/>
        </w:rPr>
        <w:t>paucity</w:t>
      </w:r>
      <w:r w:rsidR="00F71066" w:rsidRPr="006E19C7">
        <w:rPr>
          <w:rFonts w:ascii="Times New Roman" w:hAnsi="Times New Roman" w:cs="Times New Roman"/>
          <w:sz w:val="24"/>
          <w:szCs w:val="24"/>
        </w:rPr>
        <w:t xml:space="preserve"> of data on the utilisation of invasive coronary </w:t>
      </w:r>
      <w:r w:rsidR="00D40150" w:rsidRPr="006E19C7">
        <w:rPr>
          <w:rFonts w:ascii="Times New Roman" w:hAnsi="Times New Roman" w:cs="Times New Roman"/>
          <w:noProof/>
          <w:sz w:val="24"/>
          <w:szCs w:val="24"/>
        </w:rPr>
        <w:t>manag</w:t>
      </w:r>
      <w:r w:rsidR="0003713D" w:rsidRPr="006E19C7">
        <w:rPr>
          <w:rFonts w:ascii="Times New Roman" w:hAnsi="Times New Roman" w:cs="Times New Roman"/>
          <w:noProof/>
          <w:sz w:val="24"/>
          <w:szCs w:val="24"/>
        </w:rPr>
        <w:t>e</w:t>
      </w:r>
      <w:r w:rsidR="00D40150" w:rsidRPr="006E19C7">
        <w:rPr>
          <w:rFonts w:ascii="Times New Roman" w:hAnsi="Times New Roman" w:cs="Times New Roman"/>
          <w:noProof/>
          <w:sz w:val="24"/>
          <w:szCs w:val="24"/>
        </w:rPr>
        <w:t>ment</w:t>
      </w:r>
      <w:r w:rsidR="00F71066" w:rsidRPr="006E19C7">
        <w:rPr>
          <w:rFonts w:ascii="Times New Roman" w:hAnsi="Times New Roman" w:cs="Times New Roman"/>
          <w:sz w:val="24"/>
          <w:szCs w:val="24"/>
        </w:rPr>
        <w:t xml:space="preserve"> in patients with </w:t>
      </w:r>
      <w:proofErr w:type="spellStart"/>
      <w:r w:rsidR="00F71066" w:rsidRPr="006E19C7">
        <w:rPr>
          <w:rFonts w:ascii="Times New Roman" w:hAnsi="Times New Roman" w:cs="Times New Roman"/>
          <w:sz w:val="24"/>
          <w:szCs w:val="24"/>
        </w:rPr>
        <w:t>multimorbidity</w:t>
      </w:r>
      <w:proofErr w:type="spellEnd"/>
      <w:r w:rsidR="00F71066" w:rsidRPr="006E19C7">
        <w:rPr>
          <w:rFonts w:ascii="Times New Roman" w:hAnsi="Times New Roman" w:cs="Times New Roman"/>
          <w:sz w:val="24"/>
          <w:szCs w:val="24"/>
        </w:rPr>
        <w:t xml:space="preserve"> as these patients are often excluded</w:t>
      </w:r>
      <w:r w:rsidR="00B57E90" w:rsidRPr="006E19C7">
        <w:rPr>
          <w:rFonts w:ascii="Times New Roman" w:hAnsi="Times New Roman" w:cs="Times New Roman"/>
          <w:sz w:val="24"/>
          <w:szCs w:val="24"/>
        </w:rPr>
        <w:t xml:space="preserve"> from randomised control trials</w:t>
      </w:r>
      <w:r w:rsidR="002F536F"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RW.CITE{{512 Rashid,M. 2017}}</w:instrText>
      </w:r>
      <w:r w:rsidR="002F536F"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21</w:t>
      </w:r>
      <w:r w:rsidR="002F536F" w:rsidRPr="006E19C7">
        <w:rPr>
          <w:rFonts w:ascii="Times New Roman" w:hAnsi="Times New Roman" w:cs="Times New Roman"/>
          <w:sz w:val="24"/>
          <w:szCs w:val="24"/>
        </w:rPr>
        <w:fldChar w:fldCharType="end"/>
      </w:r>
      <w:r w:rsidR="00F71066" w:rsidRPr="006E19C7">
        <w:rPr>
          <w:rFonts w:ascii="Times New Roman" w:hAnsi="Times New Roman" w:cs="Times New Roman"/>
          <w:sz w:val="24"/>
          <w:szCs w:val="24"/>
        </w:rPr>
        <w:t>.</w:t>
      </w:r>
      <w:r w:rsidR="001A0CC7" w:rsidRPr="006E19C7">
        <w:rPr>
          <w:rFonts w:ascii="Times New Roman" w:hAnsi="Times New Roman" w:cs="Times New Roman"/>
          <w:sz w:val="24"/>
          <w:szCs w:val="24"/>
        </w:rPr>
        <w:t xml:space="preserve"> </w:t>
      </w:r>
      <w:r w:rsidR="007354F7" w:rsidRPr="006E19C7">
        <w:rPr>
          <w:rFonts w:ascii="Times New Roman" w:hAnsi="Times New Roman" w:cs="Times New Roman"/>
          <w:sz w:val="24"/>
          <w:szCs w:val="24"/>
        </w:rPr>
        <w:t>It is conceivable that treating physician</w:t>
      </w:r>
      <w:r w:rsidR="00C4303B" w:rsidRPr="006E19C7">
        <w:rPr>
          <w:rFonts w:ascii="Times New Roman" w:hAnsi="Times New Roman" w:cs="Times New Roman"/>
          <w:sz w:val="24"/>
          <w:szCs w:val="24"/>
        </w:rPr>
        <w:t>s</w:t>
      </w:r>
      <w:r w:rsidR="007354F7" w:rsidRPr="006E19C7">
        <w:rPr>
          <w:rFonts w:ascii="Times New Roman" w:hAnsi="Times New Roman" w:cs="Times New Roman"/>
          <w:sz w:val="24"/>
          <w:szCs w:val="24"/>
        </w:rPr>
        <w:t xml:space="preserve"> may adopt a more conservative approach in older, frailer and </w:t>
      </w:r>
      <w:proofErr w:type="spellStart"/>
      <w:r w:rsidR="007354F7" w:rsidRPr="006E19C7">
        <w:rPr>
          <w:rFonts w:ascii="Times New Roman" w:hAnsi="Times New Roman" w:cs="Times New Roman"/>
          <w:sz w:val="24"/>
          <w:szCs w:val="24"/>
        </w:rPr>
        <w:t>multimorbid</w:t>
      </w:r>
      <w:proofErr w:type="spellEnd"/>
      <w:r w:rsidR="007354F7" w:rsidRPr="006E19C7">
        <w:rPr>
          <w:rFonts w:ascii="Times New Roman" w:hAnsi="Times New Roman" w:cs="Times New Roman"/>
          <w:sz w:val="24"/>
          <w:szCs w:val="24"/>
        </w:rPr>
        <w:t xml:space="preserve"> patients due to</w:t>
      </w:r>
      <w:r w:rsidR="0003713D" w:rsidRPr="006E19C7">
        <w:rPr>
          <w:rFonts w:ascii="Times New Roman" w:hAnsi="Times New Roman" w:cs="Times New Roman"/>
          <w:sz w:val="24"/>
          <w:szCs w:val="24"/>
        </w:rPr>
        <w:t xml:space="preserve"> the</w:t>
      </w:r>
      <w:r w:rsidR="007354F7" w:rsidRPr="006E19C7">
        <w:rPr>
          <w:rFonts w:ascii="Times New Roman" w:hAnsi="Times New Roman" w:cs="Times New Roman"/>
          <w:sz w:val="24"/>
          <w:szCs w:val="24"/>
        </w:rPr>
        <w:t xml:space="preserve"> </w:t>
      </w:r>
      <w:r w:rsidR="007354F7" w:rsidRPr="006E19C7">
        <w:rPr>
          <w:rFonts w:ascii="Times New Roman" w:hAnsi="Times New Roman" w:cs="Times New Roman"/>
          <w:noProof/>
          <w:sz w:val="24"/>
          <w:szCs w:val="24"/>
        </w:rPr>
        <w:t>perceived</w:t>
      </w:r>
      <w:r w:rsidR="007354F7" w:rsidRPr="006E19C7">
        <w:rPr>
          <w:rFonts w:ascii="Times New Roman" w:hAnsi="Times New Roman" w:cs="Times New Roman"/>
          <w:sz w:val="24"/>
          <w:szCs w:val="24"/>
        </w:rPr>
        <w:t xml:space="preserve"> </w:t>
      </w:r>
      <w:r w:rsidR="007354F7" w:rsidRPr="006E19C7">
        <w:rPr>
          <w:rFonts w:ascii="Times New Roman" w:hAnsi="Times New Roman" w:cs="Times New Roman"/>
          <w:noProof/>
          <w:sz w:val="24"/>
          <w:szCs w:val="24"/>
        </w:rPr>
        <w:t>increase</w:t>
      </w:r>
      <w:r w:rsidR="002F639A" w:rsidRPr="006E19C7">
        <w:rPr>
          <w:rFonts w:ascii="Times New Roman" w:hAnsi="Times New Roman" w:cs="Times New Roman"/>
          <w:noProof/>
          <w:sz w:val="24"/>
          <w:szCs w:val="24"/>
        </w:rPr>
        <w:t>d</w:t>
      </w:r>
      <w:r w:rsidR="007354F7" w:rsidRPr="006E19C7">
        <w:rPr>
          <w:rFonts w:ascii="Times New Roman" w:hAnsi="Times New Roman" w:cs="Times New Roman"/>
          <w:sz w:val="24"/>
          <w:szCs w:val="24"/>
        </w:rPr>
        <w:t xml:space="preserve"> risk of adverse events.</w:t>
      </w:r>
      <w:r w:rsidR="00B57E90" w:rsidRPr="006E19C7">
        <w:rPr>
          <w:rFonts w:ascii="Times New Roman" w:hAnsi="Times New Roman" w:cs="Times New Roman"/>
          <w:sz w:val="24"/>
          <w:szCs w:val="24"/>
        </w:rPr>
        <w:t xml:space="preserve"> However,</w:t>
      </w:r>
      <w:r w:rsidR="007C548A" w:rsidRPr="006E19C7">
        <w:rPr>
          <w:rFonts w:ascii="Times New Roman" w:hAnsi="Times New Roman" w:cs="Times New Roman"/>
          <w:sz w:val="24"/>
          <w:szCs w:val="24"/>
        </w:rPr>
        <w:t xml:space="preserve"> previous studies have shown that impact </w:t>
      </w:r>
      <w:r w:rsidR="00C4303B" w:rsidRPr="006E19C7">
        <w:rPr>
          <w:rFonts w:ascii="Times New Roman" w:hAnsi="Times New Roman" w:cs="Times New Roman"/>
          <w:sz w:val="24"/>
          <w:szCs w:val="24"/>
        </w:rPr>
        <w:t xml:space="preserve">on mortality with </w:t>
      </w:r>
      <w:r w:rsidR="007C548A" w:rsidRPr="006E19C7">
        <w:rPr>
          <w:rFonts w:ascii="Times New Roman" w:hAnsi="Times New Roman" w:cs="Times New Roman"/>
          <w:sz w:val="24"/>
          <w:szCs w:val="24"/>
        </w:rPr>
        <w:t>invasive therapies for ACS is not attenuated with age</w:t>
      </w:r>
      <w:r w:rsidR="002C670D" w:rsidRPr="006E19C7">
        <w:rPr>
          <w:rFonts w:ascii="Times New Roman" w:hAnsi="Times New Roman" w:cs="Times New Roman"/>
          <w:sz w:val="24"/>
          <w:szCs w:val="24"/>
        </w:rPr>
        <w:t xml:space="preserve"> </w:t>
      </w:r>
      <w:r w:rsidR="002C670D"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RW.CITE{{518 Zaman,M.J. 2014}}</w:instrText>
      </w:r>
      <w:r w:rsidR="002C670D"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18</w:t>
      </w:r>
      <w:r w:rsidR="002C670D" w:rsidRPr="006E19C7">
        <w:rPr>
          <w:rFonts w:ascii="Times New Roman" w:hAnsi="Times New Roman" w:cs="Times New Roman"/>
          <w:sz w:val="24"/>
          <w:szCs w:val="24"/>
        </w:rPr>
        <w:fldChar w:fldCharType="end"/>
      </w:r>
      <w:r w:rsidR="007C548A" w:rsidRPr="006E19C7">
        <w:rPr>
          <w:rFonts w:ascii="Times New Roman" w:hAnsi="Times New Roman" w:cs="Times New Roman"/>
          <w:sz w:val="24"/>
          <w:szCs w:val="24"/>
        </w:rPr>
        <w:t xml:space="preserve"> and patients w</w:t>
      </w:r>
      <w:r w:rsidR="00D40150" w:rsidRPr="006E19C7">
        <w:rPr>
          <w:rFonts w:ascii="Times New Roman" w:hAnsi="Times New Roman" w:cs="Times New Roman"/>
          <w:sz w:val="24"/>
          <w:szCs w:val="24"/>
        </w:rPr>
        <w:t>ith higher comorbidities may</w:t>
      </w:r>
      <w:r w:rsidR="007C548A" w:rsidRPr="006E19C7">
        <w:rPr>
          <w:rFonts w:ascii="Times New Roman" w:hAnsi="Times New Roman" w:cs="Times New Roman"/>
          <w:sz w:val="24"/>
          <w:szCs w:val="24"/>
        </w:rPr>
        <w:t xml:space="preserve"> have</w:t>
      </w:r>
      <w:r w:rsidR="00D40150" w:rsidRPr="006E19C7">
        <w:rPr>
          <w:rFonts w:ascii="Times New Roman" w:hAnsi="Times New Roman" w:cs="Times New Roman"/>
          <w:sz w:val="24"/>
          <w:szCs w:val="24"/>
        </w:rPr>
        <w:t xml:space="preserve"> even</w:t>
      </w:r>
      <w:r w:rsidR="007C548A" w:rsidRPr="006E19C7">
        <w:rPr>
          <w:rFonts w:ascii="Times New Roman" w:hAnsi="Times New Roman" w:cs="Times New Roman"/>
          <w:sz w:val="24"/>
          <w:szCs w:val="24"/>
        </w:rPr>
        <w:t xml:space="preserve"> greater gains from </w:t>
      </w:r>
      <w:r w:rsidR="0065425A" w:rsidRPr="006E19C7">
        <w:rPr>
          <w:rFonts w:ascii="Times New Roman" w:hAnsi="Times New Roman" w:cs="Times New Roman"/>
          <w:sz w:val="24"/>
          <w:szCs w:val="24"/>
        </w:rPr>
        <w:t xml:space="preserve">an </w:t>
      </w:r>
      <w:r w:rsidR="007C548A" w:rsidRPr="006E19C7">
        <w:rPr>
          <w:rFonts w:ascii="Times New Roman" w:hAnsi="Times New Roman" w:cs="Times New Roman"/>
          <w:sz w:val="24"/>
          <w:szCs w:val="24"/>
        </w:rPr>
        <w:t>invasive approach</w:t>
      </w:r>
      <w:r w:rsidR="002C670D"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RW.CITE{{528 Birkhead,J.S. 2009; 529 Palau,P. 2012}}</w:instrText>
      </w:r>
      <w:r w:rsidR="002C670D"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22, 23</w:t>
      </w:r>
      <w:r w:rsidR="002C670D" w:rsidRPr="006E19C7">
        <w:rPr>
          <w:rFonts w:ascii="Times New Roman" w:hAnsi="Times New Roman" w:cs="Times New Roman"/>
          <w:sz w:val="24"/>
          <w:szCs w:val="24"/>
        </w:rPr>
        <w:fldChar w:fldCharType="end"/>
      </w:r>
      <w:r w:rsidR="007C548A" w:rsidRPr="006E19C7">
        <w:rPr>
          <w:rFonts w:ascii="Times New Roman" w:hAnsi="Times New Roman" w:cs="Times New Roman"/>
          <w:sz w:val="24"/>
          <w:szCs w:val="24"/>
        </w:rPr>
        <w:t>. Therefore, age alone or</w:t>
      </w:r>
      <w:r w:rsidR="0088692C" w:rsidRPr="006E19C7">
        <w:rPr>
          <w:rFonts w:ascii="Times New Roman" w:hAnsi="Times New Roman" w:cs="Times New Roman"/>
          <w:sz w:val="24"/>
          <w:szCs w:val="24"/>
        </w:rPr>
        <w:t xml:space="preserve"> presence of comorbidities</w:t>
      </w:r>
      <w:r w:rsidR="007C548A" w:rsidRPr="006E19C7">
        <w:rPr>
          <w:rFonts w:ascii="Times New Roman" w:hAnsi="Times New Roman" w:cs="Times New Roman"/>
          <w:sz w:val="24"/>
          <w:szCs w:val="24"/>
        </w:rPr>
        <w:t xml:space="preserve"> should not deter</w:t>
      </w:r>
      <w:r w:rsidR="0003713D" w:rsidRPr="006E19C7">
        <w:rPr>
          <w:rFonts w:ascii="Times New Roman" w:hAnsi="Times New Roman" w:cs="Times New Roman"/>
          <w:sz w:val="24"/>
          <w:szCs w:val="24"/>
        </w:rPr>
        <w:t xml:space="preserve"> the</w:t>
      </w:r>
      <w:r w:rsidR="007C548A" w:rsidRPr="006E19C7">
        <w:rPr>
          <w:rFonts w:ascii="Times New Roman" w:hAnsi="Times New Roman" w:cs="Times New Roman"/>
          <w:sz w:val="24"/>
          <w:szCs w:val="24"/>
        </w:rPr>
        <w:t xml:space="preserve"> </w:t>
      </w:r>
      <w:r w:rsidR="007C548A" w:rsidRPr="006E19C7">
        <w:rPr>
          <w:rFonts w:ascii="Times New Roman" w:hAnsi="Times New Roman" w:cs="Times New Roman"/>
          <w:noProof/>
          <w:sz w:val="24"/>
          <w:szCs w:val="24"/>
        </w:rPr>
        <w:t>physician</w:t>
      </w:r>
      <w:r w:rsidR="007C548A" w:rsidRPr="006E19C7">
        <w:rPr>
          <w:rFonts w:ascii="Times New Roman" w:hAnsi="Times New Roman" w:cs="Times New Roman"/>
          <w:sz w:val="24"/>
          <w:szCs w:val="24"/>
        </w:rPr>
        <w:t xml:space="preserve"> from</w:t>
      </w:r>
      <w:r w:rsidR="00D40150" w:rsidRPr="006E19C7">
        <w:rPr>
          <w:rFonts w:ascii="Times New Roman" w:hAnsi="Times New Roman" w:cs="Times New Roman"/>
          <w:sz w:val="24"/>
          <w:szCs w:val="24"/>
        </w:rPr>
        <w:t xml:space="preserve"> performing</w:t>
      </w:r>
      <w:r w:rsidR="007C548A" w:rsidRPr="006E19C7">
        <w:rPr>
          <w:rFonts w:ascii="Times New Roman" w:hAnsi="Times New Roman" w:cs="Times New Roman"/>
          <w:sz w:val="24"/>
          <w:szCs w:val="24"/>
        </w:rPr>
        <w:t xml:space="preserve"> CA. </w:t>
      </w:r>
      <w:r w:rsidR="004A686E" w:rsidRPr="006E19C7">
        <w:rPr>
          <w:rFonts w:ascii="Times New Roman" w:hAnsi="Times New Roman" w:cs="Times New Roman"/>
          <w:sz w:val="24"/>
          <w:szCs w:val="24"/>
        </w:rPr>
        <w:t>Women have often been denied an early invasive</w:t>
      </w:r>
      <w:r w:rsidR="00573662" w:rsidRPr="006E19C7">
        <w:rPr>
          <w:rFonts w:ascii="Times New Roman" w:hAnsi="Times New Roman" w:cs="Times New Roman"/>
          <w:sz w:val="24"/>
          <w:szCs w:val="24"/>
        </w:rPr>
        <w:t xml:space="preserve"> appr</w:t>
      </w:r>
      <w:r w:rsidR="00DB2CFF" w:rsidRPr="006E19C7">
        <w:rPr>
          <w:rFonts w:ascii="Times New Roman" w:hAnsi="Times New Roman" w:cs="Times New Roman"/>
          <w:sz w:val="24"/>
          <w:szCs w:val="24"/>
        </w:rPr>
        <w:t>oach</w:t>
      </w:r>
      <w:r w:rsidR="00DB2CFF"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RW.CITE{{554 Bhatt,D.L. 2004; 553 Gulati,M. 2017}}</w:instrText>
      </w:r>
      <w:r w:rsidR="00DB2CFF" w:rsidRPr="006E19C7">
        <w:rPr>
          <w:rFonts w:ascii="Times New Roman" w:hAnsi="Times New Roman" w:cs="Times New Roman"/>
          <w:sz w:val="24"/>
          <w:szCs w:val="24"/>
        </w:rPr>
        <w:fldChar w:fldCharType="separate"/>
      </w:r>
      <w:r w:rsidR="00EC1CDB" w:rsidRPr="006E19C7">
        <w:rPr>
          <w:rFonts w:ascii="Times New Roman" w:hAnsi="Times New Roman" w:cs="Times New Roman"/>
          <w:bCs/>
          <w:sz w:val="24"/>
          <w:szCs w:val="24"/>
          <w:vertAlign w:val="superscript"/>
          <w:lang w:val="en-US"/>
        </w:rPr>
        <w:t>24, 25</w:t>
      </w:r>
      <w:r w:rsidR="00DB2CFF" w:rsidRPr="006E19C7">
        <w:rPr>
          <w:rFonts w:ascii="Times New Roman" w:hAnsi="Times New Roman" w:cs="Times New Roman"/>
          <w:sz w:val="24"/>
          <w:szCs w:val="24"/>
        </w:rPr>
        <w:fldChar w:fldCharType="end"/>
      </w:r>
      <w:r w:rsidR="00573662" w:rsidRPr="006E19C7">
        <w:rPr>
          <w:rFonts w:ascii="Times New Roman" w:hAnsi="Times New Roman" w:cs="Times New Roman"/>
          <w:sz w:val="24"/>
          <w:szCs w:val="24"/>
        </w:rPr>
        <w:t xml:space="preserve"> </w:t>
      </w:r>
      <w:r w:rsidR="004A686E" w:rsidRPr="006E19C7">
        <w:rPr>
          <w:rFonts w:ascii="Times New Roman" w:hAnsi="Times New Roman" w:cs="Times New Roman"/>
          <w:sz w:val="24"/>
          <w:szCs w:val="24"/>
        </w:rPr>
        <w:t>but recent data from Ontario, Canada showed that women had worse outcomes after undergoing early CA after NSTEACS</w:t>
      </w:r>
      <w:r w:rsidR="00DB2CFF"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RW.CITE{{555 Udell,J.A. 2017}}</w:instrText>
      </w:r>
      <w:r w:rsidR="00DB2CFF" w:rsidRPr="006E19C7">
        <w:rPr>
          <w:rFonts w:ascii="Times New Roman" w:hAnsi="Times New Roman" w:cs="Times New Roman"/>
          <w:sz w:val="24"/>
          <w:szCs w:val="24"/>
        </w:rPr>
        <w:fldChar w:fldCharType="separate"/>
      </w:r>
      <w:r w:rsidR="00EC1CDB" w:rsidRPr="006E19C7">
        <w:rPr>
          <w:rFonts w:ascii="Times New Roman" w:hAnsi="Times New Roman" w:cs="Times New Roman"/>
          <w:bCs/>
          <w:sz w:val="24"/>
          <w:szCs w:val="24"/>
          <w:vertAlign w:val="superscript"/>
          <w:lang w:val="en-US"/>
        </w:rPr>
        <w:t>26</w:t>
      </w:r>
      <w:r w:rsidR="00DB2CFF" w:rsidRPr="006E19C7">
        <w:rPr>
          <w:rFonts w:ascii="Times New Roman" w:hAnsi="Times New Roman" w:cs="Times New Roman"/>
          <w:noProof/>
          <w:sz w:val="24"/>
          <w:szCs w:val="24"/>
        </w:rPr>
        <w:fldChar w:fldCharType="end"/>
      </w:r>
      <w:r w:rsidR="00573662" w:rsidRPr="006E19C7">
        <w:rPr>
          <w:rFonts w:ascii="Times New Roman" w:hAnsi="Times New Roman" w:cs="Times New Roman"/>
          <w:noProof/>
          <w:sz w:val="24"/>
          <w:szCs w:val="24"/>
        </w:rPr>
        <w:t>,</w:t>
      </w:r>
      <w:r w:rsidR="00573662" w:rsidRPr="006E19C7">
        <w:rPr>
          <w:rFonts w:ascii="Times New Roman" w:hAnsi="Times New Roman" w:cs="Times New Roman"/>
          <w:sz w:val="24"/>
          <w:szCs w:val="24"/>
        </w:rPr>
        <w:t xml:space="preserve"> when compared to men.</w:t>
      </w:r>
      <w:r w:rsidR="004A686E" w:rsidRPr="006E19C7">
        <w:rPr>
          <w:rFonts w:ascii="Times New Roman" w:hAnsi="Times New Roman" w:cs="Times New Roman"/>
          <w:sz w:val="24"/>
          <w:szCs w:val="24"/>
        </w:rPr>
        <w:t xml:space="preserve"> Women had more bleeding complications after undergoing CA but it </w:t>
      </w:r>
      <w:r w:rsidR="004A686E" w:rsidRPr="006E19C7">
        <w:rPr>
          <w:rFonts w:ascii="Times New Roman" w:hAnsi="Times New Roman" w:cs="Times New Roman"/>
          <w:sz w:val="24"/>
          <w:szCs w:val="24"/>
        </w:rPr>
        <w:lastRenderedPageBreak/>
        <w:t>was also seen that women were less likely than men to undergo any revascularization even after undergoing CA. Younger women were less likely to undergo CA in this population,</w:t>
      </w:r>
      <w:r w:rsidR="00573662" w:rsidRPr="006E19C7">
        <w:rPr>
          <w:rFonts w:ascii="Times New Roman" w:hAnsi="Times New Roman" w:cs="Times New Roman"/>
          <w:sz w:val="24"/>
          <w:szCs w:val="24"/>
        </w:rPr>
        <w:t xml:space="preserve"> t</w:t>
      </w:r>
      <w:r w:rsidR="004A686E" w:rsidRPr="006E19C7">
        <w:rPr>
          <w:rFonts w:ascii="Times New Roman" w:hAnsi="Times New Roman" w:cs="Times New Roman"/>
          <w:sz w:val="24"/>
          <w:szCs w:val="24"/>
        </w:rPr>
        <w:t xml:space="preserve">here </w:t>
      </w:r>
      <w:r w:rsidR="004A686E" w:rsidRPr="006E19C7">
        <w:rPr>
          <w:rFonts w:ascii="Times New Roman" w:hAnsi="Times New Roman" w:cs="Times New Roman"/>
          <w:noProof/>
          <w:sz w:val="24"/>
          <w:szCs w:val="24"/>
        </w:rPr>
        <w:t>w</w:t>
      </w:r>
      <w:r w:rsidR="0003713D" w:rsidRPr="006E19C7">
        <w:rPr>
          <w:rFonts w:ascii="Times New Roman" w:hAnsi="Times New Roman" w:cs="Times New Roman"/>
          <w:noProof/>
          <w:sz w:val="24"/>
          <w:szCs w:val="24"/>
        </w:rPr>
        <w:t>ere</w:t>
      </w:r>
      <w:r w:rsidR="004A686E" w:rsidRPr="006E19C7">
        <w:rPr>
          <w:rFonts w:ascii="Times New Roman" w:hAnsi="Times New Roman" w:cs="Times New Roman"/>
          <w:sz w:val="24"/>
          <w:szCs w:val="24"/>
        </w:rPr>
        <w:t xml:space="preserve"> no noted sex-differences in outcomes in those receiving medical management rather than an invasive approach. These observational data may bias management of female patients, where CA continues to </w:t>
      </w:r>
      <w:r w:rsidR="00573662" w:rsidRPr="006E19C7">
        <w:rPr>
          <w:rFonts w:ascii="Times New Roman" w:hAnsi="Times New Roman" w:cs="Times New Roman"/>
          <w:sz w:val="24"/>
          <w:szCs w:val="24"/>
        </w:rPr>
        <w:t>underutilize</w:t>
      </w:r>
      <w:r w:rsidR="004A686E" w:rsidRPr="006E19C7">
        <w:rPr>
          <w:rFonts w:ascii="Times New Roman" w:hAnsi="Times New Roman" w:cs="Times New Roman"/>
          <w:sz w:val="24"/>
          <w:szCs w:val="24"/>
        </w:rPr>
        <w:t xml:space="preserve"> in women. </w:t>
      </w:r>
      <w:r w:rsidR="007C548A" w:rsidRPr="006E19C7">
        <w:rPr>
          <w:rFonts w:ascii="Times New Roman" w:hAnsi="Times New Roman" w:cs="Times New Roman"/>
          <w:sz w:val="24"/>
          <w:szCs w:val="24"/>
        </w:rPr>
        <w:t xml:space="preserve"> </w:t>
      </w:r>
    </w:p>
    <w:p w14:paraId="5A0CDEF9" w14:textId="0EBA2577" w:rsidR="000F7C13" w:rsidRPr="006E19C7" w:rsidRDefault="00F12317"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C</w:t>
      </w:r>
      <w:r w:rsidR="000E0802" w:rsidRPr="006E19C7">
        <w:rPr>
          <w:rFonts w:ascii="Times New Roman" w:hAnsi="Times New Roman" w:cs="Times New Roman"/>
          <w:sz w:val="24"/>
          <w:szCs w:val="24"/>
        </w:rPr>
        <w:t xml:space="preserve">urrent guidelines advocate a </w:t>
      </w:r>
      <w:r w:rsidR="000E0802" w:rsidRPr="006E19C7">
        <w:rPr>
          <w:rFonts w:ascii="Times New Roman" w:hAnsi="Times New Roman" w:cs="Times New Roman"/>
          <w:noProof/>
          <w:sz w:val="24"/>
          <w:szCs w:val="24"/>
        </w:rPr>
        <w:t>risk</w:t>
      </w:r>
      <w:r w:rsidR="00902085" w:rsidRPr="006E19C7">
        <w:rPr>
          <w:rFonts w:ascii="Times New Roman" w:hAnsi="Times New Roman" w:cs="Times New Roman"/>
          <w:noProof/>
          <w:sz w:val="24"/>
          <w:szCs w:val="24"/>
        </w:rPr>
        <w:t>-</w:t>
      </w:r>
      <w:r w:rsidR="000E0802" w:rsidRPr="006E19C7">
        <w:rPr>
          <w:rFonts w:ascii="Times New Roman" w:hAnsi="Times New Roman" w:cs="Times New Roman"/>
          <w:noProof/>
          <w:sz w:val="24"/>
          <w:szCs w:val="24"/>
        </w:rPr>
        <w:t>based</w:t>
      </w:r>
      <w:r w:rsidR="000E0802" w:rsidRPr="006E19C7">
        <w:rPr>
          <w:rFonts w:ascii="Times New Roman" w:hAnsi="Times New Roman" w:cs="Times New Roman"/>
          <w:sz w:val="24"/>
          <w:szCs w:val="24"/>
        </w:rPr>
        <w:t xml:space="preserve"> approach for offering</w:t>
      </w:r>
      <w:r w:rsidR="00902085" w:rsidRPr="006E19C7">
        <w:rPr>
          <w:rFonts w:ascii="Times New Roman" w:hAnsi="Times New Roman" w:cs="Times New Roman"/>
          <w:sz w:val="24"/>
          <w:szCs w:val="24"/>
        </w:rPr>
        <w:t xml:space="preserve"> an</w:t>
      </w:r>
      <w:r w:rsidR="000E0802" w:rsidRPr="006E19C7">
        <w:rPr>
          <w:rFonts w:ascii="Times New Roman" w:hAnsi="Times New Roman" w:cs="Times New Roman"/>
          <w:sz w:val="24"/>
          <w:szCs w:val="24"/>
        </w:rPr>
        <w:t xml:space="preserve"> </w:t>
      </w:r>
      <w:r w:rsidR="000E0802" w:rsidRPr="006E19C7">
        <w:rPr>
          <w:rFonts w:ascii="Times New Roman" w:hAnsi="Times New Roman" w:cs="Times New Roman"/>
          <w:noProof/>
          <w:sz w:val="24"/>
          <w:szCs w:val="24"/>
        </w:rPr>
        <w:t>invasive</w:t>
      </w:r>
      <w:r w:rsidR="000E0802" w:rsidRPr="006E19C7">
        <w:rPr>
          <w:rFonts w:ascii="Times New Roman" w:hAnsi="Times New Roman" w:cs="Times New Roman"/>
          <w:sz w:val="24"/>
          <w:szCs w:val="24"/>
        </w:rPr>
        <w:t xml:space="preserve"> strategy </w:t>
      </w:r>
      <w:r w:rsidR="00096456" w:rsidRPr="006E19C7">
        <w:rPr>
          <w:rFonts w:ascii="Times New Roman" w:hAnsi="Times New Roman" w:cs="Times New Roman"/>
          <w:sz w:val="24"/>
          <w:szCs w:val="24"/>
        </w:rPr>
        <w:t xml:space="preserve">in the setting of </w:t>
      </w:r>
      <w:r w:rsidR="000E0802" w:rsidRPr="006E19C7">
        <w:rPr>
          <w:rFonts w:ascii="Times New Roman" w:hAnsi="Times New Roman" w:cs="Times New Roman"/>
          <w:sz w:val="24"/>
          <w:szCs w:val="24"/>
        </w:rPr>
        <w:t>NSTEACS which includes several parameters such as age, history of renal insufficiency, prior history of CABG or PCI and presence of coronary disease risk factors such as diabetes</w:t>
      </w:r>
      <w:r w:rsidR="000E0802"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RW.CITE{{31 Roffi,M. 2016; 34 Amsterdam,E.A. 2014}}</w:instrText>
      </w:r>
      <w:r w:rsidR="000E0802"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10, 13</w:t>
      </w:r>
      <w:r w:rsidR="000E0802" w:rsidRPr="006E19C7">
        <w:rPr>
          <w:rFonts w:ascii="Times New Roman" w:hAnsi="Times New Roman" w:cs="Times New Roman"/>
          <w:sz w:val="24"/>
          <w:szCs w:val="24"/>
        </w:rPr>
        <w:fldChar w:fldCharType="end"/>
      </w:r>
      <w:r w:rsidR="002C670D" w:rsidRPr="006E19C7">
        <w:rPr>
          <w:rFonts w:ascii="Times New Roman" w:hAnsi="Times New Roman" w:cs="Times New Roman"/>
          <w:sz w:val="24"/>
          <w:szCs w:val="24"/>
        </w:rPr>
        <w:t xml:space="preserve">. Our study shows </w:t>
      </w:r>
      <w:r w:rsidR="000E0802" w:rsidRPr="006E19C7">
        <w:rPr>
          <w:rFonts w:ascii="Times New Roman" w:hAnsi="Times New Roman" w:cs="Times New Roman"/>
          <w:sz w:val="24"/>
          <w:szCs w:val="24"/>
        </w:rPr>
        <w:t>that patient features</w:t>
      </w:r>
      <w:r w:rsidR="00BC1145" w:rsidRPr="006E19C7">
        <w:rPr>
          <w:rFonts w:ascii="Times New Roman" w:hAnsi="Times New Roman" w:cs="Times New Roman"/>
          <w:sz w:val="24"/>
          <w:szCs w:val="24"/>
        </w:rPr>
        <w:t xml:space="preserve"> which are known to be associated with increased risk of adverse events in NSTEACS such as</w:t>
      </w:r>
      <w:r w:rsidR="000E0802" w:rsidRPr="006E19C7">
        <w:rPr>
          <w:rFonts w:ascii="Times New Roman" w:hAnsi="Times New Roman" w:cs="Times New Roman"/>
          <w:sz w:val="24"/>
          <w:szCs w:val="24"/>
        </w:rPr>
        <w:t xml:space="preserve"> age, diabetes with complications, prior history of CABG, PCI or </w:t>
      </w:r>
      <w:r w:rsidR="00BC1145" w:rsidRPr="006E19C7">
        <w:rPr>
          <w:rFonts w:ascii="Times New Roman" w:hAnsi="Times New Roman" w:cs="Times New Roman"/>
          <w:sz w:val="24"/>
          <w:szCs w:val="24"/>
        </w:rPr>
        <w:t xml:space="preserve">AMI actually </w:t>
      </w:r>
      <w:r w:rsidR="000E0802" w:rsidRPr="006E19C7">
        <w:rPr>
          <w:rFonts w:ascii="Times New Roman" w:hAnsi="Times New Roman" w:cs="Times New Roman"/>
          <w:sz w:val="24"/>
          <w:szCs w:val="24"/>
        </w:rPr>
        <w:t>have</w:t>
      </w:r>
      <w:r w:rsidR="00902085" w:rsidRPr="006E19C7">
        <w:rPr>
          <w:rFonts w:ascii="Times New Roman" w:hAnsi="Times New Roman" w:cs="Times New Roman"/>
          <w:sz w:val="24"/>
          <w:szCs w:val="24"/>
        </w:rPr>
        <w:t xml:space="preserve"> a</w:t>
      </w:r>
      <w:r w:rsidR="000E0802" w:rsidRPr="006E19C7">
        <w:rPr>
          <w:rFonts w:ascii="Times New Roman" w:hAnsi="Times New Roman" w:cs="Times New Roman"/>
          <w:sz w:val="24"/>
          <w:szCs w:val="24"/>
        </w:rPr>
        <w:t xml:space="preserve"> </w:t>
      </w:r>
      <w:r w:rsidR="000E0802" w:rsidRPr="006E19C7">
        <w:rPr>
          <w:rFonts w:ascii="Times New Roman" w:hAnsi="Times New Roman" w:cs="Times New Roman"/>
          <w:noProof/>
          <w:sz w:val="24"/>
          <w:szCs w:val="24"/>
        </w:rPr>
        <w:t>strong</w:t>
      </w:r>
      <w:r w:rsidR="000E0802" w:rsidRPr="006E19C7">
        <w:rPr>
          <w:rFonts w:ascii="Times New Roman" w:hAnsi="Times New Roman" w:cs="Times New Roman"/>
          <w:sz w:val="24"/>
          <w:szCs w:val="24"/>
        </w:rPr>
        <w:t xml:space="preserve"> inverse relationship </w:t>
      </w:r>
      <w:r w:rsidR="00F71066" w:rsidRPr="006E19C7">
        <w:rPr>
          <w:rFonts w:ascii="Times New Roman" w:hAnsi="Times New Roman" w:cs="Times New Roman"/>
          <w:sz w:val="24"/>
          <w:szCs w:val="24"/>
        </w:rPr>
        <w:t xml:space="preserve">with receipt of CA. </w:t>
      </w:r>
      <w:r w:rsidR="00BC551B" w:rsidRPr="006E19C7">
        <w:rPr>
          <w:rFonts w:ascii="Times New Roman" w:hAnsi="Times New Roman" w:cs="Times New Roman"/>
          <w:sz w:val="24"/>
          <w:szCs w:val="24"/>
        </w:rPr>
        <w:t xml:space="preserve"> In a previous analysis of </w:t>
      </w:r>
      <w:r w:rsidR="00D40150" w:rsidRPr="006E19C7">
        <w:rPr>
          <w:rFonts w:ascii="Times New Roman" w:hAnsi="Times New Roman" w:cs="Times New Roman"/>
          <w:sz w:val="24"/>
          <w:szCs w:val="24"/>
        </w:rPr>
        <w:t xml:space="preserve">the </w:t>
      </w:r>
      <w:r w:rsidR="00BC551B" w:rsidRPr="006E19C7">
        <w:rPr>
          <w:rFonts w:ascii="Times New Roman" w:hAnsi="Times New Roman" w:cs="Times New Roman"/>
          <w:sz w:val="24"/>
          <w:szCs w:val="24"/>
        </w:rPr>
        <w:t xml:space="preserve">CRUSADE registry, Cohen et al reported </w:t>
      </w:r>
      <w:r w:rsidR="003C312E" w:rsidRPr="006E19C7">
        <w:rPr>
          <w:rFonts w:ascii="Times New Roman" w:hAnsi="Times New Roman" w:cs="Times New Roman"/>
          <w:sz w:val="24"/>
          <w:szCs w:val="24"/>
        </w:rPr>
        <w:t>that patients with</w:t>
      </w:r>
      <w:r w:rsidR="007C102D" w:rsidRPr="006E19C7">
        <w:rPr>
          <w:rFonts w:ascii="Times New Roman" w:hAnsi="Times New Roman" w:cs="Times New Roman"/>
          <w:sz w:val="24"/>
          <w:szCs w:val="24"/>
        </w:rPr>
        <w:t xml:space="preserve"> the</w:t>
      </w:r>
      <w:r w:rsidR="003C312E" w:rsidRPr="006E19C7">
        <w:rPr>
          <w:rFonts w:ascii="Times New Roman" w:hAnsi="Times New Roman" w:cs="Times New Roman"/>
          <w:sz w:val="24"/>
          <w:szCs w:val="24"/>
        </w:rPr>
        <w:t xml:space="preserve"> </w:t>
      </w:r>
      <w:r w:rsidR="003C312E" w:rsidRPr="006E19C7">
        <w:rPr>
          <w:rFonts w:ascii="Times New Roman" w:hAnsi="Times New Roman" w:cs="Times New Roman"/>
          <w:noProof/>
          <w:sz w:val="24"/>
          <w:szCs w:val="24"/>
        </w:rPr>
        <w:t>greatest</w:t>
      </w:r>
      <w:r w:rsidR="003C312E" w:rsidRPr="006E19C7">
        <w:rPr>
          <w:rFonts w:ascii="Times New Roman" w:hAnsi="Times New Roman" w:cs="Times New Roman"/>
          <w:sz w:val="24"/>
          <w:szCs w:val="24"/>
        </w:rPr>
        <w:t xml:space="preserve"> possibility of having severe coronary artery disease were least likely to have CA</w:t>
      </w:r>
      <w:r w:rsidR="002C670D"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RW.CITE{{509 Chan,M.Y. 2009}}</w:instrText>
      </w:r>
      <w:r w:rsidR="002C670D"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5</w:t>
      </w:r>
      <w:r w:rsidR="002C670D" w:rsidRPr="006E19C7">
        <w:rPr>
          <w:rFonts w:ascii="Times New Roman" w:hAnsi="Times New Roman" w:cs="Times New Roman"/>
          <w:sz w:val="24"/>
          <w:szCs w:val="24"/>
        </w:rPr>
        <w:fldChar w:fldCharType="end"/>
      </w:r>
      <w:r w:rsidR="003C312E" w:rsidRPr="006E19C7">
        <w:rPr>
          <w:rFonts w:ascii="Times New Roman" w:hAnsi="Times New Roman" w:cs="Times New Roman"/>
          <w:sz w:val="24"/>
          <w:szCs w:val="24"/>
        </w:rPr>
        <w:t xml:space="preserve">. However, patients with prior CABG, severe comorbidities and </w:t>
      </w:r>
      <w:r w:rsidR="003C312E" w:rsidRPr="006E19C7">
        <w:rPr>
          <w:rFonts w:ascii="Times New Roman" w:hAnsi="Times New Roman" w:cs="Times New Roman"/>
          <w:noProof/>
          <w:sz w:val="24"/>
          <w:szCs w:val="24"/>
        </w:rPr>
        <w:t>advance</w:t>
      </w:r>
      <w:r w:rsidR="007C102D" w:rsidRPr="006E19C7">
        <w:rPr>
          <w:rFonts w:ascii="Times New Roman" w:hAnsi="Times New Roman" w:cs="Times New Roman"/>
          <w:noProof/>
          <w:sz w:val="24"/>
          <w:szCs w:val="24"/>
        </w:rPr>
        <w:t>d</w:t>
      </w:r>
      <w:r w:rsidR="003C312E" w:rsidRPr="006E19C7">
        <w:rPr>
          <w:rFonts w:ascii="Times New Roman" w:hAnsi="Times New Roman" w:cs="Times New Roman"/>
          <w:sz w:val="24"/>
          <w:szCs w:val="24"/>
        </w:rPr>
        <w:t xml:space="preserve"> age were excluded from this analysis. </w:t>
      </w:r>
      <w:r w:rsidR="00096456" w:rsidRPr="006E19C7">
        <w:rPr>
          <w:rFonts w:ascii="Times New Roman" w:hAnsi="Times New Roman" w:cs="Times New Roman"/>
          <w:sz w:val="24"/>
          <w:szCs w:val="24"/>
        </w:rPr>
        <w:t xml:space="preserve">With this </w:t>
      </w:r>
      <w:r w:rsidR="00096456" w:rsidRPr="006E19C7">
        <w:rPr>
          <w:rFonts w:ascii="Times New Roman" w:hAnsi="Times New Roman" w:cs="Times New Roman"/>
          <w:noProof/>
          <w:sz w:val="24"/>
          <w:szCs w:val="24"/>
        </w:rPr>
        <w:t>analysis</w:t>
      </w:r>
      <w:r w:rsidR="002F639A" w:rsidRPr="006E19C7">
        <w:rPr>
          <w:rFonts w:ascii="Times New Roman" w:hAnsi="Times New Roman" w:cs="Times New Roman"/>
          <w:noProof/>
          <w:sz w:val="24"/>
          <w:szCs w:val="24"/>
        </w:rPr>
        <w:t>,</w:t>
      </w:r>
      <w:r w:rsidR="00096456" w:rsidRPr="006E19C7">
        <w:rPr>
          <w:rFonts w:ascii="Times New Roman" w:hAnsi="Times New Roman" w:cs="Times New Roman"/>
          <w:sz w:val="24"/>
          <w:szCs w:val="24"/>
        </w:rPr>
        <w:t xml:space="preserve"> we </w:t>
      </w:r>
      <w:r w:rsidR="003C312E" w:rsidRPr="006E19C7">
        <w:rPr>
          <w:rFonts w:ascii="Times New Roman" w:hAnsi="Times New Roman" w:cs="Times New Roman"/>
          <w:sz w:val="24"/>
          <w:szCs w:val="24"/>
        </w:rPr>
        <w:t xml:space="preserve">add to this literature by using granular data from both cardiac and non-cardiac comorbidities, older age, racial and </w:t>
      </w:r>
      <w:r w:rsidR="003C312E" w:rsidRPr="006E19C7">
        <w:rPr>
          <w:rFonts w:ascii="Times New Roman" w:hAnsi="Times New Roman" w:cs="Times New Roman"/>
          <w:noProof/>
          <w:sz w:val="24"/>
          <w:szCs w:val="24"/>
        </w:rPr>
        <w:t>ins</w:t>
      </w:r>
      <w:r w:rsidR="007C102D" w:rsidRPr="006E19C7">
        <w:rPr>
          <w:rFonts w:ascii="Times New Roman" w:hAnsi="Times New Roman" w:cs="Times New Roman"/>
          <w:noProof/>
          <w:sz w:val="24"/>
          <w:szCs w:val="24"/>
        </w:rPr>
        <w:t>titut</w:t>
      </w:r>
      <w:r w:rsidR="003C312E" w:rsidRPr="006E19C7">
        <w:rPr>
          <w:rFonts w:ascii="Times New Roman" w:hAnsi="Times New Roman" w:cs="Times New Roman"/>
          <w:noProof/>
          <w:sz w:val="24"/>
          <w:szCs w:val="24"/>
        </w:rPr>
        <w:t>ional</w:t>
      </w:r>
      <w:r w:rsidR="003C312E" w:rsidRPr="006E19C7">
        <w:rPr>
          <w:rFonts w:ascii="Times New Roman" w:hAnsi="Times New Roman" w:cs="Times New Roman"/>
          <w:sz w:val="24"/>
          <w:szCs w:val="24"/>
        </w:rPr>
        <w:t xml:space="preserve"> factors</w:t>
      </w:r>
      <w:r w:rsidR="00235846" w:rsidRPr="006E19C7">
        <w:rPr>
          <w:rFonts w:ascii="Times New Roman" w:hAnsi="Times New Roman" w:cs="Times New Roman"/>
          <w:sz w:val="24"/>
          <w:szCs w:val="24"/>
        </w:rPr>
        <w:t xml:space="preserve"> thus representing a truly </w:t>
      </w:r>
      <w:r w:rsidR="00235846" w:rsidRPr="006E19C7">
        <w:rPr>
          <w:rFonts w:ascii="Times New Roman" w:hAnsi="Times New Roman" w:cs="Times New Roman"/>
          <w:noProof/>
          <w:sz w:val="24"/>
          <w:szCs w:val="24"/>
        </w:rPr>
        <w:t>real</w:t>
      </w:r>
      <w:r w:rsidR="007C102D" w:rsidRPr="006E19C7">
        <w:rPr>
          <w:rFonts w:ascii="Times New Roman" w:hAnsi="Times New Roman" w:cs="Times New Roman"/>
          <w:noProof/>
          <w:sz w:val="24"/>
          <w:szCs w:val="24"/>
        </w:rPr>
        <w:t>-</w:t>
      </w:r>
      <w:r w:rsidR="00235846" w:rsidRPr="006E19C7">
        <w:rPr>
          <w:rFonts w:ascii="Times New Roman" w:hAnsi="Times New Roman" w:cs="Times New Roman"/>
          <w:noProof/>
          <w:sz w:val="24"/>
          <w:szCs w:val="24"/>
        </w:rPr>
        <w:t>world</w:t>
      </w:r>
      <w:r w:rsidR="00235846" w:rsidRPr="006E19C7">
        <w:rPr>
          <w:rFonts w:ascii="Times New Roman" w:hAnsi="Times New Roman" w:cs="Times New Roman"/>
          <w:sz w:val="24"/>
          <w:szCs w:val="24"/>
        </w:rPr>
        <w:t xml:space="preserve"> population elucidating a persistent treatment-risk paradox. </w:t>
      </w:r>
    </w:p>
    <w:p w14:paraId="2EA9AB9B" w14:textId="4D670987" w:rsidR="00AD08F1" w:rsidRPr="006E19C7" w:rsidRDefault="008A06DE" w:rsidP="00A35E42">
      <w:pPr>
        <w:snapToGrid w:val="0"/>
        <w:spacing w:after="0" w:line="480" w:lineRule="auto"/>
        <w:ind w:firstLine="720"/>
        <w:jc w:val="both"/>
        <w:rPr>
          <w:rFonts w:ascii="Times New Roman" w:hAnsi="Times New Roman" w:cs="Times New Roman"/>
          <w:sz w:val="24"/>
          <w:szCs w:val="24"/>
        </w:rPr>
      </w:pPr>
      <w:r w:rsidRPr="006E19C7">
        <w:rPr>
          <w:rFonts w:ascii="Times New Roman" w:hAnsi="Times New Roman" w:cs="Times New Roman"/>
          <w:sz w:val="24"/>
          <w:szCs w:val="24"/>
        </w:rPr>
        <w:t>The strengths of our study</w:t>
      </w:r>
      <w:r w:rsidR="00891918" w:rsidRPr="006E19C7">
        <w:rPr>
          <w:rFonts w:ascii="Times New Roman" w:hAnsi="Times New Roman" w:cs="Times New Roman"/>
          <w:sz w:val="24"/>
          <w:szCs w:val="24"/>
        </w:rPr>
        <w:t xml:space="preserve"> findings</w:t>
      </w:r>
      <w:r w:rsidRPr="006E19C7">
        <w:rPr>
          <w:rFonts w:ascii="Times New Roman" w:hAnsi="Times New Roman" w:cs="Times New Roman"/>
          <w:sz w:val="24"/>
          <w:szCs w:val="24"/>
        </w:rPr>
        <w:t xml:space="preserve"> </w:t>
      </w:r>
      <w:r w:rsidR="00D40150" w:rsidRPr="006E19C7">
        <w:rPr>
          <w:rFonts w:ascii="Times New Roman" w:hAnsi="Times New Roman" w:cs="Times New Roman"/>
          <w:noProof/>
          <w:sz w:val="24"/>
          <w:szCs w:val="24"/>
        </w:rPr>
        <w:t>arise</w:t>
      </w:r>
      <w:r w:rsidR="00D40150" w:rsidRPr="006E19C7">
        <w:rPr>
          <w:rFonts w:ascii="Times New Roman" w:hAnsi="Times New Roman" w:cs="Times New Roman"/>
          <w:sz w:val="24"/>
          <w:szCs w:val="24"/>
        </w:rPr>
        <w:t xml:space="preserve"> from</w:t>
      </w:r>
      <w:r w:rsidR="00891918" w:rsidRPr="006E19C7">
        <w:rPr>
          <w:rFonts w:ascii="Times New Roman" w:hAnsi="Times New Roman" w:cs="Times New Roman"/>
          <w:sz w:val="24"/>
          <w:szCs w:val="24"/>
        </w:rPr>
        <w:t xml:space="preserve"> our use of </w:t>
      </w:r>
      <w:r w:rsidR="00A10A7E" w:rsidRPr="006E19C7">
        <w:rPr>
          <w:rFonts w:ascii="Times New Roman" w:hAnsi="Times New Roman" w:cs="Times New Roman"/>
          <w:sz w:val="24"/>
          <w:szCs w:val="24"/>
        </w:rPr>
        <w:t>comprehensive,</w:t>
      </w:r>
      <w:r w:rsidR="00343A48" w:rsidRPr="006E19C7">
        <w:rPr>
          <w:rFonts w:ascii="Times New Roman" w:hAnsi="Times New Roman" w:cs="Times New Roman"/>
          <w:sz w:val="24"/>
          <w:szCs w:val="24"/>
        </w:rPr>
        <w:t xml:space="preserve"> unselected</w:t>
      </w:r>
      <w:r w:rsidR="00646616" w:rsidRPr="006E19C7">
        <w:rPr>
          <w:rFonts w:ascii="Times New Roman" w:hAnsi="Times New Roman" w:cs="Times New Roman"/>
          <w:sz w:val="24"/>
          <w:szCs w:val="24"/>
        </w:rPr>
        <w:t>,</w:t>
      </w:r>
      <w:r w:rsidR="00343A48" w:rsidRPr="006E19C7">
        <w:rPr>
          <w:rFonts w:ascii="Times New Roman" w:hAnsi="Times New Roman" w:cs="Times New Roman"/>
          <w:sz w:val="24"/>
          <w:szCs w:val="24"/>
        </w:rPr>
        <w:t xml:space="preserve"> </w:t>
      </w:r>
      <w:r w:rsidR="00A10A7E" w:rsidRPr="006E19C7">
        <w:rPr>
          <w:rFonts w:ascii="Times New Roman" w:hAnsi="Times New Roman" w:cs="Times New Roman"/>
          <w:noProof/>
          <w:sz w:val="24"/>
          <w:szCs w:val="24"/>
        </w:rPr>
        <w:t>national</w:t>
      </w:r>
      <w:r w:rsidR="00343A48" w:rsidRPr="006E19C7">
        <w:rPr>
          <w:rFonts w:ascii="Times New Roman" w:hAnsi="Times New Roman" w:cs="Times New Roman"/>
          <w:noProof/>
          <w:sz w:val="24"/>
          <w:szCs w:val="24"/>
        </w:rPr>
        <w:t xml:space="preserve"> </w:t>
      </w:r>
      <w:r w:rsidR="00A10A7E" w:rsidRPr="006E19C7">
        <w:rPr>
          <w:rFonts w:ascii="Times New Roman" w:hAnsi="Times New Roman" w:cs="Times New Roman"/>
          <w:noProof/>
          <w:sz w:val="24"/>
          <w:szCs w:val="24"/>
        </w:rPr>
        <w:t xml:space="preserve">records that </w:t>
      </w:r>
      <w:r w:rsidR="002F639A" w:rsidRPr="006E19C7">
        <w:rPr>
          <w:rFonts w:ascii="Times New Roman" w:hAnsi="Times New Roman" w:cs="Times New Roman"/>
          <w:noProof/>
          <w:sz w:val="24"/>
          <w:szCs w:val="24"/>
        </w:rPr>
        <w:t>are</w:t>
      </w:r>
      <w:r w:rsidR="00A10A7E" w:rsidRPr="006E19C7">
        <w:rPr>
          <w:rFonts w:ascii="Times New Roman" w:hAnsi="Times New Roman" w:cs="Times New Roman"/>
          <w:noProof/>
          <w:sz w:val="24"/>
          <w:szCs w:val="24"/>
        </w:rPr>
        <w:t xml:space="preserve"> derived from an obligatory administrative database </w:t>
      </w:r>
      <w:r w:rsidR="00891918" w:rsidRPr="006E19C7">
        <w:rPr>
          <w:rFonts w:ascii="Times New Roman" w:hAnsi="Times New Roman" w:cs="Times New Roman"/>
          <w:noProof/>
          <w:sz w:val="24"/>
          <w:szCs w:val="24"/>
        </w:rPr>
        <w:t xml:space="preserve">which are </w:t>
      </w:r>
      <w:r w:rsidR="00A10A7E" w:rsidRPr="006E19C7">
        <w:rPr>
          <w:rFonts w:ascii="Times New Roman" w:hAnsi="Times New Roman" w:cs="Times New Roman"/>
          <w:noProof/>
          <w:sz w:val="24"/>
          <w:szCs w:val="24"/>
        </w:rPr>
        <w:t>representative of true real-world practice</w:t>
      </w:r>
      <w:r w:rsidR="006E0EA9" w:rsidRPr="006E19C7">
        <w:rPr>
          <w:rFonts w:ascii="Times New Roman" w:hAnsi="Times New Roman" w:cs="Times New Roman"/>
          <w:sz w:val="24"/>
          <w:szCs w:val="24"/>
        </w:rPr>
        <w:t>.</w:t>
      </w:r>
      <w:r w:rsidR="00D94447" w:rsidRPr="006E19C7">
        <w:rPr>
          <w:rFonts w:ascii="Times New Roman" w:hAnsi="Times New Roman" w:cs="Times New Roman"/>
          <w:sz w:val="24"/>
          <w:szCs w:val="24"/>
        </w:rPr>
        <w:t xml:space="preserve"> The granularity of comorbidity data, diversity in geographic, racial and hospital characteristic information within the NIS dataset allowed us to study the disparities in CA prac</w:t>
      </w:r>
      <w:r w:rsidR="00A10A7E" w:rsidRPr="006E19C7">
        <w:rPr>
          <w:rFonts w:ascii="Times New Roman" w:hAnsi="Times New Roman" w:cs="Times New Roman"/>
          <w:sz w:val="24"/>
          <w:szCs w:val="24"/>
        </w:rPr>
        <w:t xml:space="preserve">tices. </w:t>
      </w:r>
    </w:p>
    <w:p w14:paraId="4914312A" w14:textId="25066E76" w:rsidR="008A06DE" w:rsidRPr="006E19C7" w:rsidRDefault="00320945"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Never</w:t>
      </w:r>
      <w:r w:rsidR="00D755A5" w:rsidRPr="006E19C7">
        <w:rPr>
          <w:rFonts w:ascii="Times New Roman" w:hAnsi="Times New Roman" w:cs="Times New Roman"/>
          <w:sz w:val="24"/>
          <w:szCs w:val="24"/>
        </w:rPr>
        <w:t>theless, our work must be interpreted within the context of certain limitations</w:t>
      </w:r>
      <w:r w:rsidR="00AD08F1" w:rsidRPr="006E19C7">
        <w:rPr>
          <w:rFonts w:ascii="Times New Roman" w:hAnsi="Times New Roman" w:cs="Times New Roman"/>
          <w:sz w:val="24"/>
          <w:szCs w:val="24"/>
        </w:rPr>
        <w:t>.</w:t>
      </w:r>
      <w:r w:rsidR="006E0EA9" w:rsidRPr="006E19C7">
        <w:rPr>
          <w:rFonts w:ascii="Times New Roman" w:hAnsi="Times New Roman" w:cs="Times New Roman"/>
          <w:sz w:val="24"/>
          <w:szCs w:val="24"/>
        </w:rPr>
        <w:t xml:space="preserve"> </w:t>
      </w:r>
      <w:r w:rsidR="00891918" w:rsidRPr="006E19C7">
        <w:rPr>
          <w:rFonts w:ascii="Times New Roman" w:hAnsi="Times New Roman" w:cs="Times New Roman"/>
          <w:sz w:val="24"/>
          <w:szCs w:val="24"/>
        </w:rPr>
        <w:t>First</w:t>
      </w:r>
      <w:r w:rsidR="006E0EA9" w:rsidRPr="006E19C7">
        <w:rPr>
          <w:rFonts w:ascii="Times New Roman" w:hAnsi="Times New Roman" w:cs="Times New Roman"/>
          <w:sz w:val="24"/>
          <w:szCs w:val="24"/>
        </w:rPr>
        <w:t xml:space="preserve">, our work is observational in nature and </w:t>
      </w:r>
      <w:r w:rsidR="00891918" w:rsidRPr="006E19C7">
        <w:rPr>
          <w:rFonts w:ascii="Times New Roman" w:hAnsi="Times New Roman" w:cs="Times New Roman"/>
          <w:sz w:val="24"/>
          <w:szCs w:val="24"/>
        </w:rPr>
        <w:t xml:space="preserve">the </w:t>
      </w:r>
      <w:r w:rsidR="006E0EA9" w:rsidRPr="006E19C7">
        <w:rPr>
          <w:rFonts w:ascii="Times New Roman" w:hAnsi="Times New Roman" w:cs="Times New Roman"/>
          <w:sz w:val="24"/>
          <w:szCs w:val="24"/>
        </w:rPr>
        <w:t xml:space="preserve">possibility of unmeasured confounders cannot be ruled out. Secondly, important clinical information such as medication history, frailty, ECG and </w:t>
      </w:r>
      <w:r w:rsidR="006E0EA9" w:rsidRPr="006E19C7">
        <w:rPr>
          <w:rFonts w:ascii="Times New Roman" w:hAnsi="Times New Roman" w:cs="Times New Roman"/>
          <w:sz w:val="24"/>
          <w:szCs w:val="24"/>
        </w:rPr>
        <w:lastRenderedPageBreak/>
        <w:t>cardiac biomarker information is not captured wi</w:t>
      </w:r>
      <w:r w:rsidR="004276FD" w:rsidRPr="006E19C7">
        <w:rPr>
          <w:rFonts w:ascii="Times New Roman" w:hAnsi="Times New Roman" w:cs="Times New Roman"/>
          <w:sz w:val="24"/>
          <w:szCs w:val="24"/>
        </w:rPr>
        <w:t>thin the NIS database. Cardiac biomarkers, ECG changes</w:t>
      </w:r>
      <w:r w:rsidR="00BB70E4" w:rsidRPr="006E19C7">
        <w:rPr>
          <w:rFonts w:ascii="Times New Roman" w:hAnsi="Times New Roman" w:cs="Times New Roman"/>
          <w:sz w:val="24"/>
          <w:szCs w:val="24"/>
        </w:rPr>
        <w:t>,</w:t>
      </w:r>
      <w:r w:rsidR="004276FD" w:rsidRPr="006E19C7">
        <w:rPr>
          <w:rFonts w:ascii="Times New Roman" w:hAnsi="Times New Roman" w:cs="Times New Roman"/>
          <w:sz w:val="24"/>
          <w:szCs w:val="24"/>
        </w:rPr>
        <w:t xml:space="preserve"> </w:t>
      </w:r>
      <w:r w:rsidR="004276FD" w:rsidRPr="006E19C7">
        <w:rPr>
          <w:rFonts w:ascii="Times New Roman" w:hAnsi="Times New Roman" w:cs="Times New Roman"/>
          <w:noProof/>
          <w:sz w:val="24"/>
          <w:szCs w:val="24"/>
        </w:rPr>
        <w:t>and</w:t>
      </w:r>
      <w:r w:rsidR="004276FD" w:rsidRPr="006E19C7">
        <w:rPr>
          <w:rFonts w:ascii="Times New Roman" w:hAnsi="Times New Roman" w:cs="Times New Roman"/>
          <w:sz w:val="24"/>
          <w:szCs w:val="24"/>
        </w:rPr>
        <w:t xml:space="preserve"> </w:t>
      </w:r>
      <w:r w:rsidR="004276FD" w:rsidRPr="006E19C7">
        <w:rPr>
          <w:rFonts w:ascii="Times New Roman" w:hAnsi="Times New Roman" w:cs="Times New Roman"/>
          <w:noProof/>
          <w:sz w:val="24"/>
          <w:szCs w:val="24"/>
        </w:rPr>
        <w:t>hemodynamic</w:t>
      </w:r>
      <w:r w:rsidR="004276FD" w:rsidRPr="006E19C7">
        <w:rPr>
          <w:rFonts w:ascii="Times New Roman" w:hAnsi="Times New Roman" w:cs="Times New Roman"/>
          <w:sz w:val="24"/>
          <w:szCs w:val="24"/>
        </w:rPr>
        <w:t xml:space="preserve"> parameters are important </w:t>
      </w:r>
      <w:r w:rsidR="00D42FD7" w:rsidRPr="006E19C7">
        <w:rPr>
          <w:rFonts w:ascii="Times New Roman" w:hAnsi="Times New Roman" w:cs="Times New Roman"/>
          <w:sz w:val="24"/>
          <w:szCs w:val="24"/>
        </w:rPr>
        <w:t xml:space="preserve">for </w:t>
      </w:r>
      <w:r w:rsidR="008C139A" w:rsidRPr="006E19C7">
        <w:rPr>
          <w:rFonts w:ascii="Times New Roman" w:hAnsi="Times New Roman" w:cs="Times New Roman"/>
          <w:sz w:val="24"/>
          <w:szCs w:val="24"/>
        </w:rPr>
        <w:t>risk</w:t>
      </w:r>
      <w:r w:rsidR="004276FD" w:rsidRPr="006E19C7">
        <w:rPr>
          <w:rFonts w:ascii="Times New Roman" w:hAnsi="Times New Roman" w:cs="Times New Roman"/>
          <w:sz w:val="24"/>
          <w:szCs w:val="24"/>
        </w:rPr>
        <w:t xml:space="preserve"> </w:t>
      </w:r>
      <w:r w:rsidR="00D42FD7" w:rsidRPr="006E19C7">
        <w:rPr>
          <w:rFonts w:ascii="Times New Roman" w:hAnsi="Times New Roman" w:cs="Times New Roman"/>
          <w:sz w:val="24"/>
          <w:szCs w:val="24"/>
        </w:rPr>
        <w:t xml:space="preserve">stratification </w:t>
      </w:r>
      <w:r w:rsidR="004276FD" w:rsidRPr="006E19C7">
        <w:rPr>
          <w:rFonts w:ascii="Times New Roman" w:hAnsi="Times New Roman" w:cs="Times New Roman"/>
          <w:sz w:val="24"/>
          <w:szCs w:val="24"/>
        </w:rPr>
        <w:t xml:space="preserve">and may influence </w:t>
      </w:r>
      <w:r w:rsidR="00D42FD7" w:rsidRPr="006E19C7">
        <w:rPr>
          <w:rFonts w:ascii="Times New Roman" w:hAnsi="Times New Roman" w:cs="Times New Roman"/>
          <w:sz w:val="24"/>
          <w:szCs w:val="24"/>
        </w:rPr>
        <w:t xml:space="preserve">a </w:t>
      </w:r>
      <w:r w:rsidR="0088692C" w:rsidRPr="006E19C7">
        <w:rPr>
          <w:rFonts w:ascii="Times New Roman" w:hAnsi="Times New Roman" w:cs="Times New Roman"/>
          <w:sz w:val="24"/>
          <w:szCs w:val="24"/>
        </w:rPr>
        <w:t>physician’s</w:t>
      </w:r>
      <w:r w:rsidR="004276FD" w:rsidRPr="006E19C7">
        <w:rPr>
          <w:rFonts w:ascii="Times New Roman" w:hAnsi="Times New Roman" w:cs="Times New Roman"/>
          <w:sz w:val="24"/>
          <w:szCs w:val="24"/>
        </w:rPr>
        <w:t xml:space="preserve"> </w:t>
      </w:r>
      <w:r w:rsidR="00D42FD7" w:rsidRPr="006E19C7">
        <w:rPr>
          <w:rFonts w:ascii="Times New Roman" w:hAnsi="Times New Roman" w:cs="Times New Roman"/>
          <w:sz w:val="24"/>
          <w:szCs w:val="24"/>
        </w:rPr>
        <w:t xml:space="preserve">decision </w:t>
      </w:r>
      <w:r w:rsidR="009B6863" w:rsidRPr="006E19C7">
        <w:rPr>
          <w:rFonts w:ascii="Times New Roman" w:hAnsi="Times New Roman" w:cs="Times New Roman"/>
          <w:noProof/>
          <w:sz w:val="24"/>
          <w:szCs w:val="24"/>
        </w:rPr>
        <w:t>o</w:t>
      </w:r>
      <w:r w:rsidR="00D42FD7" w:rsidRPr="006E19C7">
        <w:rPr>
          <w:rFonts w:ascii="Times New Roman" w:hAnsi="Times New Roman" w:cs="Times New Roman"/>
          <w:noProof/>
          <w:sz w:val="24"/>
          <w:szCs w:val="24"/>
        </w:rPr>
        <w:t>n</w:t>
      </w:r>
      <w:r w:rsidR="00D42FD7" w:rsidRPr="006E19C7">
        <w:rPr>
          <w:rFonts w:ascii="Times New Roman" w:hAnsi="Times New Roman" w:cs="Times New Roman"/>
          <w:sz w:val="24"/>
          <w:szCs w:val="24"/>
        </w:rPr>
        <w:t xml:space="preserve"> whether to</w:t>
      </w:r>
      <w:r w:rsidR="004276FD" w:rsidRPr="006E19C7">
        <w:rPr>
          <w:rFonts w:ascii="Times New Roman" w:hAnsi="Times New Roman" w:cs="Times New Roman"/>
          <w:sz w:val="24"/>
          <w:szCs w:val="24"/>
        </w:rPr>
        <w:t xml:space="preserve"> adopt an invasive approach</w:t>
      </w:r>
      <w:r w:rsidR="00125E1C" w:rsidRPr="006E19C7">
        <w:rPr>
          <w:rFonts w:ascii="Times New Roman" w:hAnsi="Times New Roman" w:cs="Times New Roman"/>
          <w:sz w:val="24"/>
          <w:szCs w:val="24"/>
        </w:rPr>
        <w:fldChar w:fldCharType="begin"/>
      </w:r>
      <w:r w:rsidR="00EC1CDB" w:rsidRPr="006E19C7">
        <w:rPr>
          <w:rFonts w:ascii="Times New Roman" w:hAnsi="Times New Roman" w:cs="Times New Roman"/>
          <w:sz w:val="24"/>
          <w:szCs w:val="24"/>
        </w:rPr>
        <w:instrText>ADDIN RW.CITE{{516 Fox,KeithAA 2007; 515 Roe,MatthewT 2006}}</w:instrText>
      </w:r>
      <w:r w:rsidR="00125E1C" w:rsidRPr="006E19C7">
        <w:rPr>
          <w:rFonts w:ascii="Times New Roman" w:hAnsi="Times New Roman" w:cs="Times New Roman"/>
          <w:sz w:val="24"/>
          <w:szCs w:val="24"/>
        </w:rPr>
        <w:fldChar w:fldCharType="separate"/>
      </w:r>
      <w:r w:rsidR="00EC1CDB" w:rsidRPr="006E19C7">
        <w:rPr>
          <w:rFonts w:ascii="Times New Roman" w:hAnsi="Times New Roman" w:cs="Times New Roman"/>
          <w:sz w:val="24"/>
          <w:szCs w:val="24"/>
          <w:vertAlign w:val="superscript"/>
        </w:rPr>
        <w:t>27, 28</w:t>
      </w:r>
      <w:r w:rsidR="00125E1C" w:rsidRPr="006E19C7">
        <w:rPr>
          <w:rFonts w:ascii="Times New Roman" w:hAnsi="Times New Roman" w:cs="Times New Roman"/>
          <w:sz w:val="24"/>
          <w:szCs w:val="24"/>
        </w:rPr>
        <w:fldChar w:fldCharType="end"/>
      </w:r>
      <w:r w:rsidR="004276FD" w:rsidRPr="006E19C7">
        <w:rPr>
          <w:rFonts w:ascii="Times New Roman" w:hAnsi="Times New Roman" w:cs="Times New Roman"/>
          <w:sz w:val="24"/>
          <w:szCs w:val="24"/>
        </w:rPr>
        <w:t xml:space="preserve">. </w:t>
      </w:r>
      <w:r w:rsidR="009255D3" w:rsidRPr="006E19C7">
        <w:rPr>
          <w:rFonts w:ascii="Times New Roman" w:hAnsi="Times New Roman" w:cs="Times New Roman"/>
          <w:sz w:val="24"/>
          <w:szCs w:val="24"/>
        </w:rPr>
        <w:t xml:space="preserve">The information regarding onsite facility to perform </w:t>
      </w:r>
      <w:r w:rsidR="009255D3" w:rsidRPr="006E19C7">
        <w:rPr>
          <w:rFonts w:ascii="Times New Roman" w:hAnsi="Times New Roman" w:cs="Times New Roman"/>
          <w:noProof/>
          <w:sz w:val="24"/>
          <w:szCs w:val="24"/>
        </w:rPr>
        <w:t>angiograph</w:t>
      </w:r>
      <w:r w:rsidR="002F639A" w:rsidRPr="006E19C7">
        <w:rPr>
          <w:rFonts w:ascii="Times New Roman" w:hAnsi="Times New Roman" w:cs="Times New Roman"/>
          <w:noProof/>
          <w:sz w:val="24"/>
          <w:szCs w:val="24"/>
        </w:rPr>
        <w:t>y</w:t>
      </w:r>
      <w:r w:rsidR="009255D3" w:rsidRPr="006E19C7">
        <w:rPr>
          <w:rFonts w:ascii="Times New Roman" w:hAnsi="Times New Roman" w:cs="Times New Roman"/>
          <w:sz w:val="24"/>
          <w:szCs w:val="24"/>
        </w:rPr>
        <w:t xml:space="preserve"> is not available in the database which may </w:t>
      </w:r>
      <w:r w:rsidR="002F639A" w:rsidRPr="006E19C7">
        <w:rPr>
          <w:rFonts w:ascii="Times New Roman" w:hAnsi="Times New Roman" w:cs="Times New Roman"/>
          <w:noProof/>
          <w:sz w:val="24"/>
          <w:szCs w:val="24"/>
        </w:rPr>
        <w:t xml:space="preserve">have </w:t>
      </w:r>
      <w:r w:rsidR="009255D3" w:rsidRPr="006E19C7">
        <w:rPr>
          <w:rFonts w:ascii="Times New Roman" w:hAnsi="Times New Roman" w:cs="Times New Roman"/>
          <w:noProof/>
          <w:sz w:val="24"/>
          <w:szCs w:val="24"/>
        </w:rPr>
        <w:t>limited</w:t>
      </w:r>
      <w:r w:rsidR="009255D3" w:rsidRPr="006E19C7">
        <w:rPr>
          <w:rFonts w:ascii="Times New Roman" w:hAnsi="Times New Roman" w:cs="Times New Roman"/>
          <w:sz w:val="24"/>
          <w:szCs w:val="24"/>
        </w:rPr>
        <w:t xml:space="preserve"> the estimation of utilisation of CA. </w:t>
      </w:r>
      <w:r w:rsidR="008C139A" w:rsidRPr="006E19C7">
        <w:rPr>
          <w:rFonts w:ascii="Times New Roman" w:hAnsi="Times New Roman" w:cs="Times New Roman"/>
          <w:sz w:val="24"/>
          <w:szCs w:val="24"/>
        </w:rPr>
        <w:t xml:space="preserve">Finally, as with any administrative database, there is a potential for coding error for diagnoses or procedure codes. </w:t>
      </w:r>
    </w:p>
    <w:p w14:paraId="26AEE67C" w14:textId="77777777" w:rsidR="008C139A" w:rsidRPr="006E19C7" w:rsidRDefault="008C139A" w:rsidP="00A35E42">
      <w:pPr>
        <w:snapToGrid w:val="0"/>
        <w:spacing w:after="0" w:line="480" w:lineRule="auto"/>
        <w:jc w:val="both"/>
        <w:rPr>
          <w:rFonts w:ascii="Times New Roman" w:hAnsi="Times New Roman" w:cs="Times New Roman"/>
          <w:b/>
          <w:sz w:val="24"/>
          <w:szCs w:val="24"/>
        </w:rPr>
      </w:pPr>
    </w:p>
    <w:p w14:paraId="1ECCEECD" w14:textId="77777777" w:rsidR="008C139A" w:rsidRPr="006E19C7" w:rsidRDefault="008C139A"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 xml:space="preserve">Conclusion: </w:t>
      </w:r>
    </w:p>
    <w:p w14:paraId="14BDC77D" w14:textId="1156020C" w:rsidR="009775DD" w:rsidRPr="006E19C7" w:rsidRDefault="007F1C91"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 xml:space="preserve">In </w:t>
      </w:r>
      <w:r w:rsidR="001B04B7" w:rsidRPr="006E19C7">
        <w:rPr>
          <w:rFonts w:ascii="Times New Roman" w:hAnsi="Times New Roman" w:cs="Times New Roman"/>
          <w:sz w:val="24"/>
          <w:szCs w:val="24"/>
        </w:rPr>
        <w:t>conclusion</w:t>
      </w:r>
      <w:r w:rsidRPr="006E19C7">
        <w:rPr>
          <w:rFonts w:ascii="Times New Roman" w:hAnsi="Times New Roman" w:cs="Times New Roman"/>
          <w:sz w:val="24"/>
          <w:szCs w:val="24"/>
        </w:rPr>
        <w:t>,</w:t>
      </w:r>
      <w:r w:rsidR="00320945" w:rsidRPr="006E19C7">
        <w:rPr>
          <w:rFonts w:ascii="Times New Roman" w:hAnsi="Times New Roman" w:cs="Times New Roman"/>
          <w:sz w:val="24"/>
          <w:szCs w:val="24"/>
        </w:rPr>
        <w:t xml:space="preserve"> this analysis of NIS dataset </w:t>
      </w:r>
      <w:r w:rsidR="002C670D" w:rsidRPr="006E19C7">
        <w:rPr>
          <w:rFonts w:ascii="Times New Roman" w:hAnsi="Times New Roman" w:cs="Times New Roman"/>
          <w:sz w:val="24"/>
          <w:szCs w:val="24"/>
        </w:rPr>
        <w:t xml:space="preserve">found that </w:t>
      </w:r>
      <w:r w:rsidR="002D6F9F" w:rsidRPr="006E19C7">
        <w:rPr>
          <w:rFonts w:ascii="Times New Roman" w:hAnsi="Times New Roman" w:cs="Times New Roman"/>
          <w:noProof/>
          <w:sz w:val="24"/>
          <w:szCs w:val="24"/>
        </w:rPr>
        <w:t>patients</w:t>
      </w:r>
      <w:r w:rsidR="002C670D" w:rsidRPr="006E19C7">
        <w:rPr>
          <w:rFonts w:ascii="Times New Roman" w:hAnsi="Times New Roman" w:cs="Times New Roman"/>
          <w:noProof/>
          <w:sz w:val="24"/>
          <w:szCs w:val="24"/>
        </w:rPr>
        <w:t xml:space="preserve"> admitted with NSTEACS</w:t>
      </w:r>
      <w:r w:rsidR="007E62BC" w:rsidRPr="006E19C7">
        <w:rPr>
          <w:rFonts w:ascii="Times New Roman" w:hAnsi="Times New Roman" w:cs="Times New Roman"/>
          <w:sz w:val="24"/>
          <w:szCs w:val="24"/>
        </w:rPr>
        <w:t xml:space="preserve"> </w:t>
      </w:r>
      <w:r w:rsidR="002D6F9F" w:rsidRPr="006E19C7">
        <w:rPr>
          <w:rFonts w:ascii="Times New Roman" w:hAnsi="Times New Roman" w:cs="Times New Roman"/>
          <w:noProof/>
          <w:sz w:val="24"/>
          <w:szCs w:val="24"/>
        </w:rPr>
        <w:t>undergoing CA ha</w:t>
      </w:r>
      <w:r w:rsidR="0003713D" w:rsidRPr="006E19C7">
        <w:rPr>
          <w:rFonts w:ascii="Times New Roman" w:hAnsi="Times New Roman" w:cs="Times New Roman"/>
          <w:noProof/>
          <w:sz w:val="24"/>
          <w:szCs w:val="24"/>
        </w:rPr>
        <w:t>ve</w:t>
      </w:r>
      <w:r w:rsidR="007E62BC" w:rsidRPr="006E19C7">
        <w:rPr>
          <w:rFonts w:ascii="Times New Roman" w:hAnsi="Times New Roman" w:cs="Times New Roman"/>
          <w:sz w:val="24"/>
          <w:szCs w:val="24"/>
        </w:rPr>
        <w:t xml:space="preserve"> significantly </w:t>
      </w:r>
      <w:r w:rsidR="002D6F9F" w:rsidRPr="006E19C7">
        <w:rPr>
          <w:rFonts w:ascii="Times New Roman" w:hAnsi="Times New Roman" w:cs="Times New Roman"/>
          <w:sz w:val="24"/>
          <w:szCs w:val="24"/>
        </w:rPr>
        <w:t xml:space="preserve">changed </w:t>
      </w:r>
      <w:r w:rsidR="007E62BC" w:rsidRPr="006E19C7">
        <w:rPr>
          <w:rFonts w:ascii="Times New Roman" w:hAnsi="Times New Roman" w:cs="Times New Roman"/>
          <w:sz w:val="24"/>
          <w:szCs w:val="24"/>
        </w:rPr>
        <w:t xml:space="preserve">over the past decade </w:t>
      </w:r>
      <w:r w:rsidR="002D6F9F" w:rsidRPr="006E19C7">
        <w:rPr>
          <w:rFonts w:ascii="Times New Roman" w:hAnsi="Times New Roman" w:cs="Times New Roman"/>
          <w:sz w:val="24"/>
          <w:szCs w:val="24"/>
        </w:rPr>
        <w:t xml:space="preserve">towards a higher risk </w:t>
      </w:r>
      <w:r w:rsidR="00096456" w:rsidRPr="006E19C7">
        <w:rPr>
          <w:rFonts w:ascii="Times New Roman" w:hAnsi="Times New Roman" w:cs="Times New Roman"/>
          <w:sz w:val="24"/>
          <w:szCs w:val="24"/>
        </w:rPr>
        <w:t>profile</w:t>
      </w:r>
      <w:r w:rsidR="002D6F9F" w:rsidRPr="006E19C7">
        <w:rPr>
          <w:rFonts w:ascii="Times New Roman" w:hAnsi="Times New Roman" w:cs="Times New Roman"/>
          <w:sz w:val="24"/>
          <w:szCs w:val="24"/>
        </w:rPr>
        <w:t xml:space="preserve">, </w:t>
      </w:r>
      <w:r w:rsidR="007E62BC" w:rsidRPr="006E19C7">
        <w:rPr>
          <w:rFonts w:ascii="Times New Roman" w:hAnsi="Times New Roman" w:cs="Times New Roman"/>
          <w:sz w:val="24"/>
          <w:szCs w:val="24"/>
        </w:rPr>
        <w:t xml:space="preserve">with increasing number of elderly and comorbid patients </w:t>
      </w:r>
      <w:r w:rsidR="002D6F9F" w:rsidRPr="006E19C7">
        <w:rPr>
          <w:rFonts w:ascii="Times New Roman" w:hAnsi="Times New Roman" w:cs="Times New Roman"/>
          <w:sz w:val="24"/>
          <w:szCs w:val="24"/>
        </w:rPr>
        <w:t>undergoing</w:t>
      </w:r>
      <w:r w:rsidR="007E62BC" w:rsidRPr="006E19C7">
        <w:rPr>
          <w:rFonts w:ascii="Times New Roman" w:hAnsi="Times New Roman" w:cs="Times New Roman"/>
          <w:sz w:val="24"/>
          <w:szCs w:val="24"/>
        </w:rPr>
        <w:t xml:space="preserve"> CA.</w:t>
      </w:r>
      <w:r w:rsidR="00320945" w:rsidRPr="006E19C7">
        <w:rPr>
          <w:rFonts w:ascii="Times New Roman" w:hAnsi="Times New Roman" w:cs="Times New Roman"/>
          <w:sz w:val="24"/>
          <w:szCs w:val="24"/>
        </w:rPr>
        <w:t xml:space="preserve"> There were</w:t>
      </w:r>
      <w:r w:rsidR="0003713D" w:rsidRPr="006E19C7">
        <w:rPr>
          <w:rFonts w:ascii="Times New Roman" w:hAnsi="Times New Roman" w:cs="Times New Roman"/>
          <w:sz w:val="24"/>
          <w:szCs w:val="24"/>
        </w:rPr>
        <w:t>,</w:t>
      </w:r>
      <w:r w:rsidR="00320945" w:rsidRPr="006E19C7">
        <w:rPr>
          <w:rFonts w:ascii="Times New Roman" w:hAnsi="Times New Roman" w:cs="Times New Roman"/>
          <w:sz w:val="24"/>
          <w:szCs w:val="24"/>
        </w:rPr>
        <w:t xml:space="preserve"> </w:t>
      </w:r>
      <w:r w:rsidR="00320945" w:rsidRPr="006E19C7">
        <w:rPr>
          <w:rFonts w:ascii="Times New Roman" w:hAnsi="Times New Roman" w:cs="Times New Roman"/>
          <w:noProof/>
          <w:sz w:val="24"/>
          <w:szCs w:val="24"/>
        </w:rPr>
        <w:t>however</w:t>
      </w:r>
      <w:r w:rsidR="00320945" w:rsidRPr="006E19C7">
        <w:rPr>
          <w:rFonts w:ascii="Times New Roman" w:hAnsi="Times New Roman" w:cs="Times New Roman"/>
          <w:sz w:val="24"/>
          <w:szCs w:val="24"/>
        </w:rPr>
        <w:t xml:space="preserve">, groups of patients in whom the rate of increase in access to CA was lower: elderly, </w:t>
      </w:r>
      <w:r w:rsidR="004A686E" w:rsidRPr="006E19C7">
        <w:rPr>
          <w:rFonts w:ascii="Times New Roman" w:hAnsi="Times New Roman" w:cs="Times New Roman"/>
          <w:sz w:val="24"/>
          <w:szCs w:val="24"/>
        </w:rPr>
        <w:t>women</w:t>
      </w:r>
      <w:r w:rsidR="00320945" w:rsidRPr="006E19C7">
        <w:rPr>
          <w:rFonts w:ascii="Times New Roman" w:hAnsi="Times New Roman" w:cs="Times New Roman"/>
          <w:sz w:val="24"/>
          <w:szCs w:val="24"/>
        </w:rPr>
        <w:t>, African Americans, Asians and those being admitted to rural small hospitals</w:t>
      </w:r>
      <w:r w:rsidR="00762FC1" w:rsidRPr="006E19C7">
        <w:rPr>
          <w:rFonts w:ascii="Times New Roman" w:hAnsi="Times New Roman" w:cs="Times New Roman"/>
          <w:sz w:val="24"/>
          <w:szCs w:val="24"/>
        </w:rPr>
        <w:t>.</w:t>
      </w:r>
      <w:r w:rsidRPr="006E19C7">
        <w:rPr>
          <w:rFonts w:ascii="Times New Roman" w:hAnsi="Times New Roman" w:cs="Times New Roman"/>
          <w:sz w:val="24"/>
          <w:szCs w:val="24"/>
        </w:rPr>
        <w:t xml:space="preserve"> </w:t>
      </w:r>
      <w:r w:rsidR="009C337F" w:rsidRPr="006E19C7">
        <w:rPr>
          <w:rFonts w:ascii="Times New Roman" w:hAnsi="Times New Roman" w:cs="Times New Roman"/>
          <w:noProof/>
          <w:sz w:val="24"/>
          <w:szCs w:val="24"/>
        </w:rPr>
        <w:t>Although</w:t>
      </w:r>
      <w:r w:rsidR="009C337F" w:rsidRPr="006E19C7">
        <w:rPr>
          <w:rFonts w:ascii="Times New Roman" w:hAnsi="Times New Roman" w:cs="Times New Roman"/>
          <w:sz w:val="24"/>
          <w:szCs w:val="24"/>
        </w:rPr>
        <w:t xml:space="preserve"> </w:t>
      </w:r>
      <w:r w:rsidR="00D12FFC" w:rsidRPr="006E19C7">
        <w:rPr>
          <w:rFonts w:ascii="Times New Roman" w:hAnsi="Times New Roman" w:cs="Times New Roman"/>
          <w:sz w:val="24"/>
          <w:szCs w:val="24"/>
        </w:rPr>
        <w:t xml:space="preserve">utilization of </w:t>
      </w:r>
      <w:r w:rsidR="007656B0" w:rsidRPr="006E19C7">
        <w:rPr>
          <w:rFonts w:ascii="Times New Roman" w:hAnsi="Times New Roman" w:cs="Times New Roman"/>
          <w:sz w:val="24"/>
          <w:szCs w:val="24"/>
        </w:rPr>
        <w:t>CA</w:t>
      </w:r>
      <w:r w:rsidR="00125E1C" w:rsidRPr="006E19C7">
        <w:rPr>
          <w:rFonts w:ascii="Times New Roman" w:hAnsi="Times New Roman" w:cs="Times New Roman"/>
          <w:sz w:val="24"/>
          <w:szCs w:val="24"/>
        </w:rPr>
        <w:t xml:space="preserve"> </w:t>
      </w:r>
      <w:r w:rsidR="00D12FFC" w:rsidRPr="006E19C7">
        <w:rPr>
          <w:rFonts w:ascii="Times New Roman" w:hAnsi="Times New Roman" w:cs="Times New Roman"/>
          <w:sz w:val="24"/>
          <w:szCs w:val="24"/>
        </w:rPr>
        <w:t>was associated with decreased odds of in-hospital mortality</w:t>
      </w:r>
      <w:r w:rsidR="009C337F" w:rsidRPr="006E19C7">
        <w:rPr>
          <w:rFonts w:ascii="Times New Roman" w:hAnsi="Times New Roman" w:cs="Times New Roman"/>
          <w:sz w:val="24"/>
          <w:szCs w:val="24"/>
        </w:rPr>
        <w:t xml:space="preserve">, </w:t>
      </w:r>
      <w:r w:rsidR="00374552" w:rsidRPr="006E19C7">
        <w:rPr>
          <w:rFonts w:ascii="Times New Roman" w:hAnsi="Times New Roman" w:cs="Times New Roman"/>
          <w:sz w:val="24"/>
          <w:szCs w:val="24"/>
        </w:rPr>
        <w:t>there remains a risk-treatment paradox</w:t>
      </w:r>
      <w:r w:rsidR="00320945" w:rsidRPr="006E19C7">
        <w:rPr>
          <w:rFonts w:ascii="Times New Roman" w:hAnsi="Times New Roman" w:cs="Times New Roman"/>
          <w:sz w:val="24"/>
          <w:szCs w:val="24"/>
        </w:rPr>
        <w:t>,</w:t>
      </w:r>
      <w:r w:rsidR="00374552" w:rsidRPr="006E19C7">
        <w:rPr>
          <w:rFonts w:ascii="Times New Roman" w:hAnsi="Times New Roman" w:cs="Times New Roman"/>
          <w:sz w:val="24"/>
          <w:szCs w:val="24"/>
        </w:rPr>
        <w:t xml:space="preserve"> where </w:t>
      </w:r>
      <w:r w:rsidR="009C337F" w:rsidRPr="006E19C7">
        <w:rPr>
          <w:rFonts w:ascii="Times New Roman" w:hAnsi="Times New Roman" w:cs="Times New Roman"/>
          <w:sz w:val="24"/>
          <w:szCs w:val="24"/>
        </w:rPr>
        <w:t xml:space="preserve">patients more likely to </w:t>
      </w:r>
      <w:r w:rsidR="00762FC1" w:rsidRPr="006E19C7">
        <w:rPr>
          <w:rFonts w:ascii="Times New Roman" w:hAnsi="Times New Roman" w:cs="Times New Roman"/>
          <w:sz w:val="24"/>
          <w:szCs w:val="24"/>
        </w:rPr>
        <w:t xml:space="preserve">benefit </w:t>
      </w:r>
      <w:r w:rsidR="00624790" w:rsidRPr="006E19C7">
        <w:rPr>
          <w:rFonts w:ascii="Times New Roman" w:hAnsi="Times New Roman" w:cs="Times New Roman"/>
          <w:sz w:val="24"/>
          <w:szCs w:val="24"/>
        </w:rPr>
        <w:t xml:space="preserve">from an invasive management strategy </w:t>
      </w:r>
      <w:r w:rsidR="009C337F" w:rsidRPr="006E19C7">
        <w:rPr>
          <w:rFonts w:ascii="Times New Roman" w:hAnsi="Times New Roman" w:cs="Times New Roman"/>
          <w:sz w:val="24"/>
          <w:szCs w:val="24"/>
        </w:rPr>
        <w:t>were least likely to receive it</w:t>
      </w:r>
      <w:r w:rsidR="00D12FFC" w:rsidRPr="006E19C7">
        <w:rPr>
          <w:rFonts w:ascii="Times New Roman" w:hAnsi="Times New Roman" w:cs="Times New Roman"/>
          <w:sz w:val="24"/>
          <w:szCs w:val="24"/>
        </w:rPr>
        <w:t xml:space="preserve">. </w:t>
      </w:r>
      <w:r w:rsidR="00320945" w:rsidRPr="006E19C7">
        <w:rPr>
          <w:rFonts w:ascii="Times New Roman" w:hAnsi="Times New Roman" w:cs="Times New Roman"/>
          <w:sz w:val="24"/>
          <w:szCs w:val="24"/>
        </w:rPr>
        <w:t xml:space="preserve"> Our study provides information for healthcare providers to develop strategies designed to ensure fair and appropriate access to CA for patients admitted with NSTEACS who are likely to b</w:t>
      </w:r>
      <w:r w:rsidR="004154AB" w:rsidRPr="006E19C7">
        <w:rPr>
          <w:rFonts w:ascii="Times New Roman" w:hAnsi="Times New Roman" w:cs="Times New Roman"/>
          <w:sz w:val="24"/>
          <w:szCs w:val="24"/>
        </w:rPr>
        <w:t>enefit from</w:t>
      </w:r>
      <w:r w:rsidR="00320945" w:rsidRPr="006E19C7">
        <w:rPr>
          <w:rFonts w:ascii="Times New Roman" w:hAnsi="Times New Roman" w:cs="Times New Roman"/>
          <w:sz w:val="24"/>
          <w:szCs w:val="24"/>
        </w:rPr>
        <w:t xml:space="preserve"> </w:t>
      </w:r>
      <w:r w:rsidR="00320945" w:rsidRPr="006E19C7">
        <w:rPr>
          <w:rFonts w:ascii="Times New Roman" w:hAnsi="Times New Roman" w:cs="Times New Roman"/>
          <w:noProof/>
          <w:sz w:val="24"/>
          <w:szCs w:val="24"/>
        </w:rPr>
        <w:t>pharamcoinvasive</w:t>
      </w:r>
      <w:r w:rsidR="00320945" w:rsidRPr="006E19C7">
        <w:rPr>
          <w:rFonts w:ascii="Times New Roman" w:hAnsi="Times New Roman" w:cs="Times New Roman"/>
          <w:sz w:val="24"/>
          <w:szCs w:val="24"/>
        </w:rPr>
        <w:t xml:space="preserve"> management.</w:t>
      </w:r>
    </w:p>
    <w:p w14:paraId="2B994D3E" w14:textId="333516EB" w:rsidR="009644EA" w:rsidRPr="006E19C7" w:rsidRDefault="009644EA" w:rsidP="00A35E42">
      <w:pPr>
        <w:snapToGrid w:val="0"/>
        <w:spacing w:after="0" w:line="480" w:lineRule="auto"/>
        <w:jc w:val="both"/>
        <w:rPr>
          <w:rFonts w:ascii="Times New Roman" w:hAnsi="Times New Roman" w:cs="Times New Roman"/>
          <w:sz w:val="24"/>
          <w:szCs w:val="24"/>
        </w:rPr>
      </w:pPr>
    </w:p>
    <w:p w14:paraId="16BD1595" w14:textId="77777777" w:rsidR="009644EA" w:rsidRPr="006E19C7" w:rsidRDefault="009644EA" w:rsidP="00A35E42">
      <w:pPr>
        <w:snapToGrid w:val="0"/>
        <w:spacing w:after="0" w:line="480" w:lineRule="auto"/>
        <w:jc w:val="both"/>
        <w:rPr>
          <w:rFonts w:ascii="Times New Roman" w:hAnsi="Times New Roman" w:cs="Times New Roman"/>
          <w:sz w:val="24"/>
          <w:szCs w:val="24"/>
        </w:rPr>
      </w:pPr>
    </w:p>
    <w:p w14:paraId="098BAE9D" w14:textId="727198EF" w:rsidR="0091694F" w:rsidRPr="006E19C7" w:rsidRDefault="0091694F"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Acknowledgement</w:t>
      </w:r>
      <w:r w:rsidR="005C6CDC" w:rsidRPr="006E19C7">
        <w:rPr>
          <w:rFonts w:ascii="Times New Roman" w:hAnsi="Times New Roman" w:cs="Times New Roman"/>
          <w:b/>
          <w:sz w:val="24"/>
          <w:szCs w:val="24"/>
        </w:rPr>
        <w:t xml:space="preserve"> &amp; Data availability </w:t>
      </w:r>
      <w:r w:rsidRPr="006E19C7">
        <w:rPr>
          <w:rFonts w:ascii="Times New Roman" w:hAnsi="Times New Roman" w:cs="Times New Roman"/>
          <w:b/>
          <w:sz w:val="24"/>
          <w:szCs w:val="24"/>
        </w:rPr>
        <w:t>:</w:t>
      </w:r>
    </w:p>
    <w:p w14:paraId="0A4FA854" w14:textId="12460EC7" w:rsidR="00187619" w:rsidRPr="006E19C7" w:rsidRDefault="0091694F" w:rsidP="00A35E42">
      <w:pPr>
        <w:spacing w:before="100" w:beforeAutospacing="1" w:after="100" w:afterAutospacing="1" w:line="480" w:lineRule="auto"/>
        <w:jc w:val="both"/>
        <w:rPr>
          <w:rFonts w:ascii="Times New Roman" w:hAnsi="Times New Roman" w:cs="Times New Roman"/>
          <w:color w:val="0563C1" w:themeColor="hyperlink"/>
          <w:sz w:val="19"/>
          <w:szCs w:val="19"/>
          <w:u w:val="single"/>
        </w:rPr>
      </w:pPr>
      <w:r w:rsidRPr="006E19C7">
        <w:rPr>
          <w:rFonts w:ascii="Times New Roman" w:hAnsi="Times New Roman" w:cs="Times New Roman"/>
          <w:sz w:val="24"/>
          <w:szCs w:val="24"/>
        </w:rPr>
        <w:t xml:space="preserve">The data used in this project can from </w:t>
      </w:r>
      <w:r w:rsidRPr="006E19C7">
        <w:rPr>
          <w:rFonts w:ascii="Times New Roman" w:eastAsia="Times New Roman" w:hAnsi="Times New Roman" w:cs="Times New Roman"/>
          <w:color w:val="000000"/>
          <w:sz w:val="24"/>
          <w:szCs w:val="24"/>
          <w:lang w:eastAsia="en-GB"/>
        </w:rPr>
        <w:t>HCUP Nationwide Inpatient Sample (NIS).</w:t>
      </w:r>
      <w:r w:rsidRPr="006E19C7">
        <w:rPr>
          <w:rFonts w:ascii="Times New Roman" w:eastAsia="Times New Roman" w:hAnsi="Times New Roman" w:cs="Times New Roman"/>
          <w:color w:val="000000"/>
          <w:sz w:val="24"/>
          <w:szCs w:val="24"/>
          <w:lang w:eastAsia="en-GB"/>
        </w:rPr>
        <w:br/>
        <w:t>Healthcare Cost and Utilization Project (HCUP). 2004-2011. Agency for Healthcare Research and Quality, Rockville, MD. </w:t>
      </w:r>
      <w:hyperlink r:id="rId6" w:history="1">
        <w:r w:rsidRPr="006E19C7">
          <w:rPr>
            <w:rFonts w:ascii="Times New Roman" w:eastAsia="Times New Roman" w:hAnsi="Times New Roman" w:cs="Times New Roman"/>
            <w:color w:val="0000FF"/>
            <w:sz w:val="24"/>
            <w:szCs w:val="24"/>
            <w:u w:val="single"/>
            <w:lang w:eastAsia="en-GB"/>
          </w:rPr>
          <w:t>www.hcup-us.ahrq.gov/nisoverview.jsp</w:t>
        </w:r>
      </w:hyperlink>
      <w:r w:rsidRPr="006E19C7">
        <w:rPr>
          <w:rFonts w:ascii="Times New Roman" w:eastAsia="Times New Roman" w:hAnsi="Times New Roman" w:cs="Times New Roman"/>
          <w:color w:val="0000FF"/>
          <w:sz w:val="24"/>
          <w:szCs w:val="24"/>
          <w:u w:val="single"/>
          <w:lang w:eastAsia="en-GB"/>
        </w:rPr>
        <w:t xml:space="preserve"> and </w:t>
      </w:r>
      <w:r w:rsidRPr="006E19C7">
        <w:rPr>
          <w:rFonts w:ascii="Times New Roman" w:eastAsia="Times New Roman" w:hAnsi="Times New Roman" w:cs="Times New Roman"/>
          <w:color w:val="000000"/>
          <w:sz w:val="24"/>
          <w:szCs w:val="24"/>
          <w:lang w:eastAsia="en-GB"/>
        </w:rPr>
        <w:t xml:space="preserve">HCUP National Inpatient Sample (NIS). Healthcare Cost and Utilization Project (HCUP). 2012-2014. Agency </w:t>
      </w:r>
      <w:r w:rsidRPr="006E19C7">
        <w:rPr>
          <w:rFonts w:ascii="Times New Roman" w:eastAsia="Times New Roman" w:hAnsi="Times New Roman" w:cs="Times New Roman"/>
          <w:color w:val="000000"/>
          <w:sz w:val="24"/>
          <w:szCs w:val="24"/>
          <w:lang w:eastAsia="en-GB"/>
        </w:rPr>
        <w:lastRenderedPageBreak/>
        <w:t>for Healthcare Research and Quality, Rockville, MD. </w:t>
      </w:r>
      <w:hyperlink r:id="rId7" w:history="1">
        <w:r w:rsidRPr="006E19C7">
          <w:rPr>
            <w:rFonts w:ascii="Times New Roman" w:eastAsia="Times New Roman" w:hAnsi="Times New Roman" w:cs="Times New Roman"/>
            <w:color w:val="0000FF"/>
            <w:sz w:val="24"/>
            <w:szCs w:val="24"/>
            <w:u w:val="single"/>
            <w:lang w:eastAsia="en-GB"/>
          </w:rPr>
          <w:t>www.hcup-us.ahrq.gov/nisoverview.jsp</w:t>
        </w:r>
      </w:hyperlink>
      <w:r w:rsidRPr="006E19C7">
        <w:rPr>
          <w:rFonts w:ascii="Times New Roman" w:eastAsia="Times New Roman" w:hAnsi="Times New Roman" w:cs="Times New Roman"/>
          <w:color w:val="0000FF"/>
          <w:sz w:val="24"/>
          <w:szCs w:val="24"/>
          <w:u w:val="single"/>
          <w:lang w:eastAsia="en-GB"/>
        </w:rPr>
        <w:t xml:space="preserve">. </w:t>
      </w:r>
      <w:r w:rsidRPr="006E19C7">
        <w:rPr>
          <w:rFonts w:ascii="Times New Roman" w:eastAsia="Times New Roman" w:hAnsi="Times New Roman" w:cs="Times New Roman"/>
          <w:sz w:val="24"/>
          <w:szCs w:val="24"/>
          <w:lang w:eastAsia="en-GB"/>
        </w:rPr>
        <w:t>A full list of participating states can be found at</w:t>
      </w:r>
      <w:r w:rsidRPr="006E19C7">
        <w:rPr>
          <w:rFonts w:ascii="Times New Roman" w:eastAsia="Times New Roman" w:hAnsi="Times New Roman" w:cs="Times New Roman"/>
          <w:color w:val="0000FF"/>
          <w:sz w:val="24"/>
          <w:szCs w:val="24"/>
          <w:u w:val="single"/>
          <w:lang w:eastAsia="en-GB"/>
        </w:rPr>
        <w:t xml:space="preserve"> </w:t>
      </w:r>
      <w:hyperlink r:id="rId8" w:history="1">
        <w:r w:rsidRPr="006E19C7">
          <w:rPr>
            <w:rStyle w:val="Hyperlink"/>
            <w:rFonts w:ascii="Times New Roman" w:hAnsi="Times New Roman" w:cs="Times New Roman"/>
            <w:sz w:val="19"/>
            <w:szCs w:val="19"/>
          </w:rPr>
          <w:t>www.hcup-us.ahrq.gov/hcupdatapartners.jsp</w:t>
        </w:r>
      </w:hyperlink>
    </w:p>
    <w:p w14:paraId="7CE9F05D" w14:textId="2446AFDA" w:rsidR="003C42E7" w:rsidRPr="006E19C7" w:rsidRDefault="004054E8" w:rsidP="00A35E42">
      <w:pPr>
        <w:snapToGrid w:val="0"/>
        <w:spacing w:after="0" w:line="480" w:lineRule="auto"/>
        <w:jc w:val="both"/>
        <w:rPr>
          <w:rFonts w:ascii="Times New Roman" w:hAnsi="Times New Roman" w:cs="Times New Roman"/>
          <w:b/>
          <w:sz w:val="24"/>
          <w:szCs w:val="24"/>
        </w:rPr>
      </w:pPr>
      <w:r w:rsidRPr="006E19C7">
        <w:rPr>
          <w:rFonts w:ascii="Times New Roman" w:hAnsi="Times New Roman" w:cs="Times New Roman"/>
          <w:b/>
          <w:sz w:val="24"/>
          <w:szCs w:val="24"/>
        </w:rPr>
        <w:t>Competing</w:t>
      </w:r>
      <w:r w:rsidR="00187619" w:rsidRPr="006E19C7">
        <w:rPr>
          <w:rFonts w:ascii="Times New Roman" w:hAnsi="Times New Roman" w:cs="Times New Roman"/>
          <w:b/>
          <w:sz w:val="24"/>
          <w:szCs w:val="24"/>
        </w:rPr>
        <w:t xml:space="preserve"> interest</w:t>
      </w:r>
      <w:r w:rsidR="005B2C53" w:rsidRPr="006E19C7">
        <w:rPr>
          <w:rFonts w:ascii="Times New Roman" w:hAnsi="Times New Roman" w:cs="Times New Roman"/>
          <w:b/>
          <w:sz w:val="24"/>
          <w:szCs w:val="24"/>
        </w:rPr>
        <w:t>s</w:t>
      </w:r>
      <w:r w:rsidR="003C42E7" w:rsidRPr="006E19C7">
        <w:rPr>
          <w:rFonts w:ascii="Times New Roman" w:hAnsi="Times New Roman" w:cs="Times New Roman"/>
          <w:b/>
          <w:sz w:val="24"/>
          <w:szCs w:val="24"/>
        </w:rPr>
        <w:t>:</w:t>
      </w:r>
    </w:p>
    <w:p w14:paraId="70FB1A22" w14:textId="24B1AEF4" w:rsidR="003C42E7" w:rsidRPr="006E19C7" w:rsidRDefault="003C42E7"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sz w:val="24"/>
          <w:szCs w:val="24"/>
        </w:rPr>
        <w:t xml:space="preserve">All authors declare that there </w:t>
      </w:r>
      <w:r w:rsidR="00762913" w:rsidRPr="006E19C7">
        <w:rPr>
          <w:rFonts w:ascii="Times New Roman" w:hAnsi="Times New Roman" w:cs="Times New Roman"/>
          <w:sz w:val="24"/>
          <w:szCs w:val="24"/>
        </w:rPr>
        <w:t>is</w:t>
      </w:r>
      <w:r w:rsidRPr="006E19C7">
        <w:rPr>
          <w:rFonts w:ascii="Times New Roman" w:hAnsi="Times New Roman" w:cs="Times New Roman"/>
          <w:sz w:val="24"/>
          <w:szCs w:val="24"/>
        </w:rPr>
        <w:t xml:space="preserve"> no competing conflict of interest relevant to this study or any content presented in the manuscript.  </w:t>
      </w:r>
    </w:p>
    <w:p w14:paraId="48E1A952" w14:textId="66406F9C" w:rsidR="00EA14E2" w:rsidRPr="006E19C7" w:rsidRDefault="00BF1BE2" w:rsidP="00A35E42">
      <w:pPr>
        <w:snapToGrid w:val="0"/>
        <w:spacing w:after="0" w:line="480" w:lineRule="auto"/>
        <w:jc w:val="both"/>
        <w:rPr>
          <w:rFonts w:ascii="Times New Roman" w:hAnsi="Times New Roman" w:cs="Times New Roman"/>
          <w:sz w:val="24"/>
          <w:szCs w:val="24"/>
        </w:rPr>
      </w:pPr>
      <w:r w:rsidRPr="006E19C7">
        <w:rPr>
          <w:rFonts w:ascii="Times New Roman" w:hAnsi="Times New Roman" w:cs="Times New Roman"/>
          <w:b/>
          <w:sz w:val="24"/>
          <w:szCs w:val="24"/>
        </w:rPr>
        <w:t>Funding Source:</w:t>
      </w:r>
      <w:r w:rsidR="009644EA" w:rsidRPr="006E19C7">
        <w:rPr>
          <w:rFonts w:ascii="Times New Roman" w:hAnsi="Times New Roman" w:cs="Times New Roman"/>
          <w:sz w:val="24"/>
          <w:szCs w:val="24"/>
        </w:rPr>
        <w:t xml:space="preserve"> None</w:t>
      </w:r>
    </w:p>
    <w:p w14:paraId="4C68D363" w14:textId="77777777" w:rsidR="00D8301D" w:rsidRPr="006E19C7" w:rsidRDefault="00D8301D" w:rsidP="00D8301D">
      <w:pPr>
        <w:spacing w:line="480" w:lineRule="auto"/>
        <w:rPr>
          <w:rFonts w:ascii="Times New Roman" w:hAnsi="Times New Roman" w:cs="Times New Roman"/>
          <w:b/>
          <w:sz w:val="24"/>
          <w:szCs w:val="24"/>
        </w:rPr>
      </w:pPr>
      <w:r w:rsidRPr="006E19C7">
        <w:rPr>
          <w:rFonts w:ascii="Times New Roman" w:hAnsi="Times New Roman" w:cs="Times New Roman"/>
          <w:b/>
          <w:sz w:val="24"/>
          <w:szCs w:val="24"/>
        </w:rPr>
        <w:t>Author Contribution statement:</w:t>
      </w:r>
    </w:p>
    <w:p w14:paraId="6C825F1E" w14:textId="77777777" w:rsidR="00D8301D" w:rsidRPr="006E19C7" w:rsidRDefault="00D8301D" w:rsidP="00D8301D">
      <w:pPr>
        <w:spacing w:line="480" w:lineRule="auto"/>
        <w:rPr>
          <w:rFonts w:ascii="Times New Roman" w:hAnsi="Times New Roman" w:cs="Times New Roman"/>
          <w:sz w:val="24"/>
          <w:szCs w:val="24"/>
        </w:rPr>
      </w:pPr>
      <w:r w:rsidRPr="006E19C7">
        <w:rPr>
          <w:rFonts w:ascii="Times New Roman" w:hAnsi="Times New Roman" w:cs="Times New Roman"/>
          <w:sz w:val="24"/>
          <w:szCs w:val="24"/>
        </w:rPr>
        <w:t>MR and MAM designed the study; acquired, analysed, and interpreted data; revised the report; and agree to be the guarantors who are accountable for all aspects of the work in ensuring that questions related to the accuracy or integrity of any part of the work are appropriately investigated and resolved. All other authors made substantial contributions to the design of the work, revised the manuscript; and agree to be accountable for all aspects of the work</w:t>
      </w:r>
    </w:p>
    <w:p w14:paraId="138ABC5C" w14:textId="77777777" w:rsidR="00D8301D" w:rsidRPr="006E19C7" w:rsidRDefault="00D8301D" w:rsidP="00A35E42">
      <w:pPr>
        <w:snapToGrid w:val="0"/>
        <w:spacing w:after="0" w:line="480" w:lineRule="auto"/>
        <w:jc w:val="both"/>
        <w:rPr>
          <w:rFonts w:ascii="Times New Roman" w:hAnsi="Times New Roman" w:cs="Times New Roman"/>
          <w:sz w:val="24"/>
          <w:szCs w:val="24"/>
        </w:rPr>
      </w:pPr>
    </w:p>
    <w:p w14:paraId="3ACDF491" w14:textId="1A6ABB83" w:rsidR="00EC1CDB" w:rsidRPr="006E19C7" w:rsidRDefault="009775DD" w:rsidP="00EC1CDB">
      <w:pPr>
        <w:pStyle w:val="NormalWeb"/>
        <w:spacing w:line="480" w:lineRule="auto"/>
        <w:rPr>
          <w:b/>
        </w:rPr>
      </w:pPr>
      <w:r w:rsidRPr="006E19C7">
        <w:rPr>
          <w:b/>
        </w:rPr>
        <w:t xml:space="preserve">References: </w:t>
      </w:r>
      <w:r w:rsidR="00EC1CDB" w:rsidRPr="006E19C7">
        <w:rPr>
          <w:b/>
        </w:rPr>
        <w:fldChar w:fldCharType="begin"/>
      </w:r>
      <w:r w:rsidR="00EC1CDB" w:rsidRPr="006E19C7">
        <w:rPr>
          <w:b/>
        </w:rPr>
        <w:instrText>ADDIN RW.BIB</w:instrText>
      </w:r>
      <w:r w:rsidR="00EC1CDB" w:rsidRPr="006E19C7">
        <w:rPr>
          <w:b/>
        </w:rPr>
        <w:fldChar w:fldCharType="separate"/>
      </w:r>
    </w:p>
    <w:p w14:paraId="0A2C39DE" w14:textId="77777777" w:rsidR="00EC1CDB" w:rsidRPr="006E19C7" w:rsidRDefault="00EC1CDB" w:rsidP="00EC1CDB">
      <w:pPr>
        <w:pStyle w:val="NormalWeb"/>
        <w:rPr>
          <w:rFonts w:ascii="Calibri" w:hAnsi="Calibri" w:cs="Calibri"/>
          <w:sz w:val="22"/>
        </w:rPr>
      </w:pPr>
      <w:r w:rsidRPr="006E19C7">
        <w:rPr>
          <w:rFonts w:ascii="Calibri" w:hAnsi="Calibri" w:cs="Calibri"/>
          <w:sz w:val="22"/>
        </w:rPr>
        <w:t>1. Rogers, W. J.</w:t>
      </w:r>
      <w:r w:rsidRPr="006E19C7">
        <w:rPr>
          <w:rFonts w:ascii="Calibri" w:hAnsi="Calibri" w:cs="Calibri"/>
          <w:i/>
          <w:iCs/>
          <w:sz w:val="22"/>
        </w:rPr>
        <w:t xml:space="preserve"> et al</w:t>
      </w:r>
      <w:r w:rsidRPr="006E19C7">
        <w:rPr>
          <w:rFonts w:ascii="Calibri" w:hAnsi="Calibri" w:cs="Calibri"/>
          <w:sz w:val="22"/>
        </w:rPr>
        <w:t xml:space="preserve">. Trends in presenting characteristics and hospital mortality among patients with ST elevation and non-ST elevation myocardial infarction in the National Registry of Myocardial Infarction from 1990 to 2006. </w:t>
      </w:r>
      <w:r w:rsidRPr="006E19C7">
        <w:rPr>
          <w:rFonts w:ascii="Calibri" w:hAnsi="Calibri" w:cs="Calibri"/>
          <w:i/>
          <w:iCs/>
          <w:sz w:val="22"/>
        </w:rPr>
        <w:t>Am. Heart J.</w:t>
      </w:r>
      <w:r w:rsidRPr="006E19C7">
        <w:rPr>
          <w:rFonts w:ascii="Calibri" w:hAnsi="Calibri" w:cs="Calibri"/>
          <w:b/>
          <w:bCs/>
          <w:sz w:val="22"/>
        </w:rPr>
        <w:t xml:space="preserve"> 156</w:t>
      </w:r>
      <w:r w:rsidRPr="006E19C7">
        <w:rPr>
          <w:rFonts w:ascii="Calibri" w:hAnsi="Calibri" w:cs="Calibri"/>
          <w:sz w:val="22"/>
        </w:rPr>
        <w:t>, 1026-1034 (2008).</w:t>
      </w:r>
    </w:p>
    <w:p w14:paraId="5DB4AF4C" w14:textId="77777777" w:rsidR="00EC1CDB" w:rsidRPr="006E19C7" w:rsidRDefault="00EC1CDB" w:rsidP="00EC1CDB">
      <w:pPr>
        <w:pStyle w:val="NormalWeb"/>
        <w:rPr>
          <w:rFonts w:ascii="Calibri" w:hAnsi="Calibri" w:cs="Calibri"/>
          <w:sz w:val="22"/>
        </w:rPr>
      </w:pPr>
      <w:r w:rsidRPr="006E19C7">
        <w:rPr>
          <w:rFonts w:ascii="Calibri" w:hAnsi="Calibri" w:cs="Calibri"/>
          <w:sz w:val="22"/>
        </w:rPr>
        <w:t>2. Yeh, R. W.</w:t>
      </w:r>
      <w:r w:rsidRPr="006E19C7">
        <w:rPr>
          <w:rFonts w:ascii="Calibri" w:hAnsi="Calibri" w:cs="Calibri"/>
          <w:i/>
          <w:iCs/>
          <w:sz w:val="22"/>
        </w:rPr>
        <w:t xml:space="preserve"> et al</w:t>
      </w:r>
      <w:r w:rsidRPr="006E19C7">
        <w:rPr>
          <w:rFonts w:ascii="Calibri" w:hAnsi="Calibri" w:cs="Calibri"/>
          <w:sz w:val="22"/>
        </w:rPr>
        <w:t xml:space="preserve">. Population Trends in the Incidence and Outcomes of Acute Myocardial Infarction. </w:t>
      </w:r>
      <w:r w:rsidRPr="006E19C7">
        <w:rPr>
          <w:rFonts w:ascii="Calibri" w:hAnsi="Calibri" w:cs="Calibri"/>
          <w:i/>
          <w:iCs/>
          <w:sz w:val="22"/>
        </w:rPr>
        <w:t>N. Engl. J. Med.</w:t>
      </w:r>
      <w:r w:rsidRPr="006E19C7">
        <w:rPr>
          <w:rFonts w:ascii="Calibri" w:hAnsi="Calibri" w:cs="Calibri"/>
          <w:b/>
          <w:bCs/>
          <w:sz w:val="22"/>
        </w:rPr>
        <w:t xml:space="preserve"> 362</w:t>
      </w:r>
      <w:r w:rsidRPr="006E19C7">
        <w:rPr>
          <w:rFonts w:ascii="Calibri" w:hAnsi="Calibri" w:cs="Calibri"/>
          <w:sz w:val="22"/>
        </w:rPr>
        <w:t>, 2155-2165 (2010).</w:t>
      </w:r>
    </w:p>
    <w:p w14:paraId="77B5D28B"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3. Jennings, S. M., Bennett, K., Lonergan, M. &amp; Shelley, E. Trends in hospitalisation for acute myocardial infarction in Ireland, 1997-2008. </w:t>
      </w:r>
      <w:r w:rsidRPr="006E19C7">
        <w:rPr>
          <w:rFonts w:ascii="Calibri" w:hAnsi="Calibri" w:cs="Calibri"/>
          <w:i/>
          <w:iCs/>
          <w:sz w:val="22"/>
        </w:rPr>
        <w:t>Heart</w:t>
      </w:r>
      <w:r w:rsidRPr="006E19C7">
        <w:rPr>
          <w:rFonts w:ascii="Calibri" w:hAnsi="Calibri" w:cs="Calibri"/>
          <w:b/>
          <w:bCs/>
          <w:sz w:val="22"/>
        </w:rPr>
        <w:t xml:space="preserve"> 98</w:t>
      </w:r>
      <w:r w:rsidRPr="006E19C7">
        <w:rPr>
          <w:rFonts w:ascii="Calibri" w:hAnsi="Calibri" w:cs="Calibri"/>
          <w:sz w:val="22"/>
        </w:rPr>
        <w:t>, 1285-1289 (2012).</w:t>
      </w:r>
    </w:p>
    <w:p w14:paraId="155B19D5" w14:textId="77777777" w:rsidR="00EC1CDB" w:rsidRPr="006E19C7" w:rsidRDefault="00EC1CDB" w:rsidP="00EC1CDB">
      <w:pPr>
        <w:pStyle w:val="NormalWeb"/>
        <w:rPr>
          <w:rFonts w:ascii="Calibri" w:hAnsi="Calibri" w:cs="Calibri"/>
          <w:sz w:val="22"/>
        </w:rPr>
      </w:pPr>
      <w:r w:rsidRPr="006E19C7">
        <w:rPr>
          <w:rFonts w:ascii="Calibri" w:hAnsi="Calibri" w:cs="Calibri"/>
          <w:sz w:val="22"/>
        </w:rPr>
        <w:t>4. De Luca, L.</w:t>
      </w:r>
      <w:r w:rsidRPr="006E19C7">
        <w:rPr>
          <w:rFonts w:ascii="Calibri" w:hAnsi="Calibri" w:cs="Calibri"/>
          <w:i/>
          <w:iCs/>
          <w:sz w:val="22"/>
        </w:rPr>
        <w:t xml:space="preserve"> et al</w:t>
      </w:r>
      <w:r w:rsidRPr="006E19C7">
        <w:rPr>
          <w:rFonts w:ascii="Calibri" w:hAnsi="Calibri" w:cs="Calibri"/>
          <w:sz w:val="22"/>
        </w:rPr>
        <w:t xml:space="preserve">. A decade of changes in clinical characteristics and management of elderly patients with non-ST elevation myocardial infarction admitted in Italian cardiac care units. </w:t>
      </w:r>
      <w:r w:rsidRPr="006E19C7">
        <w:rPr>
          <w:rFonts w:ascii="Calibri" w:hAnsi="Calibri" w:cs="Calibri"/>
          <w:i/>
          <w:iCs/>
          <w:sz w:val="22"/>
        </w:rPr>
        <w:t>Open Heart</w:t>
      </w:r>
      <w:r w:rsidRPr="006E19C7">
        <w:rPr>
          <w:rFonts w:ascii="Calibri" w:hAnsi="Calibri" w:cs="Calibri"/>
          <w:b/>
          <w:bCs/>
          <w:sz w:val="22"/>
        </w:rPr>
        <w:t xml:space="preserve"> 1</w:t>
      </w:r>
      <w:r w:rsidRPr="006E19C7">
        <w:rPr>
          <w:rFonts w:ascii="Calibri" w:hAnsi="Calibri" w:cs="Calibri"/>
          <w:sz w:val="22"/>
        </w:rPr>
        <w:t>, e000148-2014-000148. eCollection 2014 (2014).</w:t>
      </w:r>
    </w:p>
    <w:p w14:paraId="62FAB341" w14:textId="77777777" w:rsidR="00EC1CDB" w:rsidRPr="006E19C7" w:rsidRDefault="00EC1CDB" w:rsidP="00EC1CDB">
      <w:pPr>
        <w:pStyle w:val="NormalWeb"/>
        <w:rPr>
          <w:rFonts w:ascii="Calibri" w:hAnsi="Calibri" w:cs="Calibri"/>
          <w:sz w:val="22"/>
        </w:rPr>
      </w:pPr>
      <w:r w:rsidRPr="006E19C7">
        <w:rPr>
          <w:rFonts w:ascii="Calibri" w:hAnsi="Calibri" w:cs="Calibri"/>
          <w:sz w:val="22"/>
        </w:rPr>
        <w:t>5. Chan, M. Y.</w:t>
      </w:r>
      <w:r w:rsidRPr="006E19C7">
        <w:rPr>
          <w:rFonts w:ascii="Calibri" w:hAnsi="Calibri" w:cs="Calibri"/>
          <w:i/>
          <w:iCs/>
          <w:sz w:val="22"/>
        </w:rPr>
        <w:t xml:space="preserve"> et al</w:t>
      </w:r>
      <w:r w:rsidRPr="006E19C7">
        <w:rPr>
          <w:rFonts w:ascii="Calibri" w:hAnsi="Calibri" w:cs="Calibri"/>
          <w:sz w:val="22"/>
        </w:rPr>
        <w:t xml:space="preserve">. Long-term mortality of patients undergoing cardiac catheterization for ST-elevation and non-ST-elevation myocardial infarction. </w:t>
      </w:r>
      <w:r w:rsidRPr="006E19C7">
        <w:rPr>
          <w:rFonts w:ascii="Calibri" w:hAnsi="Calibri" w:cs="Calibri"/>
          <w:i/>
          <w:iCs/>
          <w:sz w:val="22"/>
        </w:rPr>
        <w:t>Circulation</w:t>
      </w:r>
      <w:r w:rsidRPr="006E19C7">
        <w:rPr>
          <w:rFonts w:ascii="Calibri" w:hAnsi="Calibri" w:cs="Calibri"/>
          <w:b/>
          <w:bCs/>
          <w:sz w:val="22"/>
        </w:rPr>
        <w:t xml:space="preserve"> 119</w:t>
      </w:r>
      <w:r w:rsidRPr="006E19C7">
        <w:rPr>
          <w:rFonts w:ascii="Calibri" w:hAnsi="Calibri" w:cs="Calibri"/>
          <w:sz w:val="22"/>
        </w:rPr>
        <w:t>, 3110-3117 (2009).</w:t>
      </w:r>
    </w:p>
    <w:p w14:paraId="46BBAB44" w14:textId="77777777" w:rsidR="00EC1CDB" w:rsidRPr="006E19C7" w:rsidRDefault="00EC1CDB" w:rsidP="00EC1CDB">
      <w:pPr>
        <w:pStyle w:val="NormalWeb"/>
        <w:rPr>
          <w:rFonts w:ascii="Calibri" w:hAnsi="Calibri" w:cs="Calibri"/>
          <w:sz w:val="22"/>
        </w:rPr>
      </w:pPr>
      <w:r w:rsidRPr="006E19C7">
        <w:rPr>
          <w:rFonts w:ascii="Calibri" w:hAnsi="Calibri" w:cs="Calibri"/>
          <w:sz w:val="22"/>
        </w:rPr>
        <w:lastRenderedPageBreak/>
        <w:t>6. McManus, D. D.</w:t>
      </w:r>
      <w:r w:rsidRPr="006E19C7">
        <w:rPr>
          <w:rFonts w:ascii="Calibri" w:hAnsi="Calibri" w:cs="Calibri"/>
          <w:i/>
          <w:iCs/>
          <w:sz w:val="22"/>
        </w:rPr>
        <w:t xml:space="preserve"> et al</w:t>
      </w:r>
      <w:r w:rsidRPr="006E19C7">
        <w:rPr>
          <w:rFonts w:ascii="Calibri" w:hAnsi="Calibri" w:cs="Calibri"/>
          <w:sz w:val="22"/>
        </w:rPr>
        <w:t xml:space="preserve">. Recent trends in the incidence, treatment, and outcomes of patients with STEMI and NSTEMI. </w:t>
      </w:r>
      <w:r w:rsidRPr="006E19C7">
        <w:rPr>
          <w:rFonts w:ascii="Calibri" w:hAnsi="Calibri" w:cs="Calibri"/>
          <w:i/>
          <w:iCs/>
          <w:sz w:val="22"/>
        </w:rPr>
        <w:t>Am. J. Med.</w:t>
      </w:r>
      <w:r w:rsidRPr="006E19C7">
        <w:rPr>
          <w:rFonts w:ascii="Calibri" w:hAnsi="Calibri" w:cs="Calibri"/>
          <w:b/>
          <w:bCs/>
          <w:sz w:val="22"/>
        </w:rPr>
        <w:t xml:space="preserve"> 124</w:t>
      </w:r>
      <w:r w:rsidRPr="006E19C7">
        <w:rPr>
          <w:rFonts w:ascii="Calibri" w:hAnsi="Calibri" w:cs="Calibri"/>
          <w:sz w:val="22"/>
        </w:rPr>
        <w:t>, 40-47 (2011).</w:t>
      </w:r>
    </w:p>
    <w:p w14:paraId="28A623B3" w14:textId="77777777" w:rsidR="00EC1CDB" w:rsidRPr="006E19C7" w:rsidRDefault="00EC1CDB" w:rsidP="00EC1CDB">
      <w:pPr>
        <w:pStyle w:val="NormalWeb"/>
        <w:rPr>
          <w:rFonts w:ascii="Calibri" w:hAnsi="Calibri" w:cs="Calibri"/>
          <w:sz w:val="22"/>
        </w:rPr>
      </w:pPr>
      <w:r w:rsidRPr="006E19C7">
        <w:rPr>
          <w:rFonts w:ascii="Calibri" w:hAnsi="Calibri" w:cs="Calibri"/>
          <w:sz w:val="22"/>
        </w:rPr>
        <w:t>7. Puymirat, E.</w:t>
      </w:r>
      <w:r w:rsidRPr="006E19C7">
        <w:rPr>
          <w:rFonts w:ascii="Calibri" w:hAnsi="Calibri" w:cs="Calibri"/>
          <w:i/>
          <w:iCs/>
          <w:sz w:val="22"/>
        </w:rPr>
        <w:t xml:space="preserve"> et al</w:t>
      </w:r>
      <w:r w:rsidRPr="006E19C7">
        <w:rPr>
          <w:rFonts w:ascii="Calibri" w:hAnsi="Calibri" w:cs="Calibri"/>
          <w:sz w:val="22"/>
        </w:rPr>
        <w:t xml:space="preserve">. Acute Myocardial Infarction: Changes in Patient Characteristics, Management, and 6-Month Outcomes Over a Period of 20 Years in the FAST-MI Program (French Registry of Acute ST-Elevation or Non-ST-Elevation Myocardial Infarction) 1995 to 2015. </w:t>
      </w:r>
      <w:r w:rsidRPr="006E19C7">
        <w:rPr>
          <w:rFonts w:ascii="Calibri" w:hAnsi="Calibri" w:cs="Calibri"/>
          <w:i/>
          <w:iCs/>
          <w:sz w:val="22"/>
        </w:rPr>
        <w:t>Circulation</w:t>
      </w:r>
      <w:r w:rsidRPr="006E19C7">
        <w:rPr>
          <w:rFonts w:ascii="Calibri" w:hAnsi="Calibri" w:cs="Calibri"/>
          <w:b/>
          <w:bCs/>
          <w:sz w:val="22"/>
        </w:rPr>
        <w:t xml:space="preserve"> 136</w:t>
      </w:r>
      <w:r w:rsidRPr="006E19C7">
        <w:rPr>
          <w:rFonts w:ascii="Calibri" w:hAnsi="Calibri" w:cs="Calibri"/>
          <w:sz w:val="22"/>
        </w:rPr>
        <w:t>, 1908-1919 (2017).</w:t>
      </w:r>
    </w:p>
    <w:p w14:paraId="08B45542" w14:textId="77777777" w:rsidR="00EC1CDB" w:rsidRPr="006E19C7" w:rsidRDefault="00EC1CDB" w:rsidP="00EC1CDB">
      <w:pPr>
        <w:pStyle w:val="NormalWeb"/>
        <w:rPr>
          <w:rFonts w:ascii="Calibri" w:hAnsi="Calibri" w:cs="Calibri"/>
          <w:sz w:val="22"/>
        </w:rPr>
      </w:pPr>
      <w:r w:rsidRPr="006E19C7">
        <w:rPr>
          <w:rFonts w:ascii="Calibri" w:hAnsi="Calibri" w:cs="Calibri"/>
          <w:sz w:val="22"/>
        </w:rPr>
        <w:t>8. Fath-Ordoubadi, F.</w:t>
      </w:r>
      <w:r w:rsidRPr="006E19C7">
        <w:rPr>
          <w:rFonts w:ascii="Calibri" w:hAnsi="Calibri" w:cs="Calibri"/>
          <w:i/>
          <w:iCs/>
          <w:sz w:val="22"/>
        </w:rPr>
        <w:t xml:space="preserve"> et al</w:t>
      </w:r>
      <w:r w:rsidRPr="006E19C7">
        <w:rPr>
          <w:rFonts w:ascii="Calibri" w:hAnsi="Calibri" w:cs="Calibri"/>
          <w:sz w:val="22"/>
        </w:rPr>
        <w:t xml:space="preserve">. Outcomes in patients with acute and stable coronary syndromes; insights from the prospective NOBORI-2 study. </w:t>
      </w:r>
      <w:r w:rsidRPr="006E19C7">
        <w:rPr>
          <w:rFonts w:ascii="Calibri" w:hAnsi="Calibri" w:cs="Calibri"/>
          <w:i/>
          <w:iCs/>
          <w:sz w:val="22"/>
        </w:rPr>
        <w:t>PLoS One</w:t>
      </w:r>
      <w:r w:rsidRPr="006E19C7">
        <w:rPr>
          <w:rFonts w:ascii="Calibri" w:hAnsi="Calibri" w:cs="Calibri"/>
          <w:b/>
          <w:bCs/>
          <w:sz w:val="22"/>
        </w:rPr>
        <w:t xml:space="preserve"> 9</w:t>
      </w:r>
      <w:r w:rsidRPr="006E19C7">
        <w:rPr>
          <w:rFonts w:ascii="Calibri" w:hAnsi="Calibri" w:cs="Calibri"/>
          <w:sz w:val="22"/>
        </w:rPr>
        <w:t>, e88577 (2014).</w:t>
      </w:r>
    </w:p>
    <w:p w14:paraId="0937868B" w14:textId="77777777" w:rsidR="00EC1CDB" w:rsidRPr="006E19C7" w:rsidRDefault="00EC1CDB" w:rsidP="00EC1CDB">
      <w:pPr>
        <w:pStyle w:val="NormalWeb"/>
        <w:rPr>
          <w:rFonts w:ascii="Calibri" w:hAnsi="Calibri" w:cs="Calibri"/>
          <w:sz w:val="22"/>
        </w:rPr>
      </w:pPr>
      <w:r w:rsidRPr="006E19C7">
        <w:rPr>
          <w:rFonts w:ascii="Calibri" w:hAnsi="Calibri" w:cs="Calibri"/>
          <w:sz w:val="22"/>
        </w:rPr>
        <w:t>9. Anderson, J. L.</w:t>
      </w:r>
      <w:r w:rsidRPr="006E19C7">
        <w:rPr>
          <w:rFonts w:ascii="Calibri" w:hAnsi="Calibri" w:cs="Calibri"/>
          <w:i/>
          <w:iCs/>
          <w:sz w:val="22"/>
        </w:rPr>
        <w:t xml:space="preserve"> et al</w:t>
      </w:r>
      <w:r w:rsidRPr="006E19C7">
        <w:rPr>
          <w:rFonts w:ascii="Calibri" w:hAnsi="Calibri" w:cs="Calibri"/>
          <w:sz w:val="22"/>
        </w:rPr>
        <w:t xml:space="preserve">. 2012 ACCF/AHA focused update incorporated into the ACCF/AHA 2007 guidelines for the management of patients with unstable angina/non-ST-elevation myocardial infarction: a report of the American College of Cardiology Foundation/American Heart Association Task Force on Practice Guidelines. </w:t>
      </w:r>
      <w:r w:rsidRPr="006E19C7">
        <w:rPr>
          <w:rFonts w:ascii="Calibri" w:hAnsi="Calibri" w:cs="Calibri"/>
          <w:i/>
          <w:iCs/>
          <w:sz w:val="22"/>
        </w:rPr>
        <w:t>Circulation</w:t>
      </w:r>
      <w:r w:rsidRPr="006E19C7">
        <w:rPr>
          <w:rFonts w:ascii="Calibri" w:hAnsi="Calibri" w:cs="Calibri"/>
          <w:b/>
          <w:bCs/>
          <w:sz w:val="22"/>
        </w:rPr>
        <w:t xml:space="preserve"> 127</w:t>
      </w:r>
      <w:r w:rsidRPr="006E19C7">
        <w:rPr>
          <w:rFonts w:ascii="Calibri" w:hAnsi="Calibri" w:cs="Calibri"/>
          <w:sz w:val="22"/>
        </w:rPr>
        <w:t>, e663-828 (2013).</w:t>
      </w:r>
    </w:p>
    <w:p w14:paraId="32313380" w14:textId="77777777" w:rsidR="00EC1CDB" w:rsidRPr="006E19C7" w:rsidRDefault="00EC1CDB" w:rsidP="00EC1CDB">
      <w:pPr>
        <w:pStyle w:val="NormalWeb"/>
        <w:rPr>
          <w:rFonts w:ascii="Calibri" w:hAnsi="Calibri" w:cs="Calibri"/>
          <w:sz w:val="22"/>
        </w:rPr>
      </w:pPr>
      <w:r w:rsidRPr="006E19C7">
        <w:rPr>
          <w:rFonts w:ascii="Calibri" w:hAnsi="Calibri" w:cs="Calibri"/>
          <w:sz w:val="22"/>
        </w:rPr>
        <w:t>10. Roffi, M.</w:t>
      </w:r>
      <w:r w:rsidRPr="006E19C7">
        <w:rPr>
          <w:rFonts w:ascii="Calibri" w:hAnsi="Calibri" w:cs="Calibri"/>
          <w:i/>
          <w:iCs/>
          <w:sz w:val="22"/>
        </w:rPr>
        <w:t xml:space="preserve"> et al</w:t>
      </w:r>
      <w:r w:rsidRPr="006E19C7">
        <w:rPr>
          <w:rFonts w:ascii="Calibri" w:hAnsi="Calibri" w:cs="Calibri"/>
          <w:sz w:val="22"/>
        </w:rPr>
        <w:t xml:space="preserve">.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w:t>
      </w:r>
      <w:r w:rsidRPr="006E19C7">
        <w:rPr>
          <w:rFonts w:ascii="Calibri" w:hAnsi="Calibri" w:cs="Calibri"/>
          <w:i/>
          <w:iCs/>
          <w:sz w:val="22"/>
        </w:rPr>
        <w:t>Eur. Heart J.</w:t>
      </w:r>
      <w:r w:rsidRPr="006E19C7">
        <w:rPr>
          <w:rFonts w:ascii="Calibri" w:hAnsi="Calibri" w:cs="Calibri"/>
          <w:b/>
          <w:bCs/>
          <w:sz w:val="22"/>
        </w:rPr>
        <w:t xml:space="preserve"> 37</w:t>
      </w:r>
      <w:r w:rsidRPr="006E19C7">
        <w:rPr>
          <w:rFonts w:ascii="Calibri" w:hAnsi="Calibri" w:cs="Calibri"/>
          <w:sz w:val="22"/>
        </w:rPr>
        <w:t>, 267-315 (2016).</w:t>
      </w:r>
    </w:p>
    <w:p w14:paraId="24918766" w14:textId="77777777" w:rsidR="00EC1CDB" w:rsidRPr="006E19C7" w:rsidRDefault="00EC1CDB" w:rsidP="00EC1CDB">
      <w:pPr>
        <w:pStyle w:val="NormalWeb"/>
        <w:rPr>
          <w:rFonts w:ascii="Calibri" w:hAnsi="Calibri" w:cs="Calibri"/>
          <w:sz w:val="22"/>
        </w:rPr>
      </w:pPr>
      <w:r w:rsidRPr="006E19C7">
        <w:rPr>
          <w:rFonts w:ascii="Calibri" w:hAnsi="Calibri" w:cs="Calibri"/>
          <w:sz w:val="22"/>
        </w:rPr>
        <w:t>11. Mehta, S. R.</w:t>
      </w:r>
      <w:r w:rsidRPr="006E19C7">
        <w:rPr>
          <w:rFonts w:ascii="Calibri" w:hAnsi="Calibri" w:cs="Calibri"/>
          <w:i/>
          <w:iCs/>
          <w:sz w:val="22"/>
        </w:rPr>
        <w:t xml:space="preserve"> et al</w:t>
      </w:r>
      <w:r w:rsidRPr="006E19C7">
        <w:rPr>
          <w:rFonts w:ascii="Calibri" w:hAnsi="Calibri" w:cs="Calibri"/>
          <w:sz w:val="22"/>
        </w:rPr>
        <w:t xml:space="preserve">. Early versus delayed invasive intervention in acute coronary syndromes. </w:t>
      </w:r>
      <w:r w:rsidRPr="006E19C7">
        <w:rPr>
          <w:rFonts w:ascii="Calibri" w:hAnsi="Calibri" w:cs="Calibri"/>
          <w:i/>
          <w:iCs/>
          <w:sz w:val="22"/>
        </w:rPr>
        <w:t>N. Engl. J. Med.</w:t>
      </w:r>
      <w:r w:rsidRPr="006E19C7">
        <w:rPr>
          <w:rFonts w:ascii="Calibri" w:hAnsi="Calibri" w:cs="Calibri"/>
          <w:b/>
          <w:bCs/>
          <w:sz w:val="22"/>
        </w:rPr>
        <w:t xml:space="preserve"> 360</w:t>
      </w:r>
      <w:r w:rsidRPr="006E19C7">
        <w:rPr>
          <w:rFonts w:ascii="Calibri" w:hAnsi="Calibri" w:cs="Calibri"/>
          <w:sz w:val="22"/>
        </w:rPr>
        <w:t>, 2165-2175 (2009).</w:t>
      </w:r>
    </w:p>
    <w:p w14:paraId="7E041BFB" w14:textId="77777777" w:rsidR="00EC1CDB" w:rsidRPr="006E19C7" w:rsidRDefault="00EC1CDB" w:rsidP="00EC1CDB">
      <w:pPr>
        <w:pStyle w:val="NormalWeb"/>
        <w:rPr>
          <w:rFonts w:ascii="Calibri" w:hAnsi="Calibri" w:cs="Calibri"/>
          <w:sz w:val="22"/>
        </w:rPr>
      </w:pPr>
      <w:r w:rsidRPr="006E19C7">
        <w:rPr>
          <w:rFonts w:ascii="Calibri" w:hAnsi="Calibri" w:cs="Calibri"/>
          <w:sz w:val="22"/>
        </w:rPr>
        <w:t>12. Milosevic, A.</w:t>
      </w:r>
      <w:r w:rsidRPr="006E19C7">
        <w:rPr>
          <w:rFonts w:ascii="Calibri" w:hAnsi="Calibri" w:cs="Calibri"/>
          <w:i/>
          <w:iCs/>
          <w:sz w:val="22"/>
        </w:rPr>
        <w:t xml:space="preserve"> et al</w:t>
      </w:r>
      <w:r w:rsidRPr="006E19C7">
        <w:rPr>
          <w:rFonts w:ascii="Calibri" w:hAnsi="Calibri" w:cs="Calibri"/>
          <w:sz w:val="22"/>
        </w:rPr>
        <w:t xml:space="preserve">. Immediate Versus Delayed Invasive Intervention for Non-STEMI Patients: The RIDDLE-NSTEMI Study. </w:t>
      </w:r>
      <w:r w:rsidRPr="006E19C7">
        <w:rPr>
          <w:rFonts w:ascii="Calibri" w:hAnsi="Calibri" w:cs="Calibri"/>
          <w:i/>
          <w:iCs/>
          <w:sz w:val="22"/>
        </w:rPr>
        <w:t>JACC Cardiovasc. Interv.</w:t>
      </w:r>
      <w:r w:rsidRPr="006E19C7">
        <w:rPr>
          <w:rFonts w:ascii="Calibri" w:hAnsi="Calibri" w:cs="Calibri"/>
          <w:b/>
          <w:bCs/>
          <w:sz w:val="22"/>
        </w:rPr>
        <w:t xml:space="preserve"> 9</w:t>
      </w:r>
      <w:r w:rsidRPr="006E19C7">
        <w:rPr>
          <w:rFonts w:ascii="Calibri" w:hAnsi="Calibri" w:cs="Calibri"/>
          <w:sz w:val="22"/>
        </w:rPr>
        <w:t>, 541-549 (2016).</w:t>
      </w:r>
    </w:p>
    <w:p w14:paraId="7EB27AC5" w14:textId="77777777" w:rsidR="00EC1CDB" w:rsidRPr="006E19C7" w:rsidRDefault="00EC1CDB" w:rsidP="00EC1CDB">
      <w:pPr>
        <w:pStyle w:val="NormalWeb"/>
        <w:rPr>
          <w:rFonts w:ascii="Calibri" w:hAnsi="Calibri" w:cs="Calibri"/>
          <w:sz w:val="22"/>
        </w:rPr>
      </w:pPr>
      <w:r w:rsidRPr="006E19C7">
        <w:rPr>
          <w:rFonts w:ascii="Calibri" w:hAnsi="Calibri" w:cs="Calibri"/>
          <w:sz w:val="22"/>
        </w:rPr>
        <w:t>13. Amsterdam, E. A.</w:t>
      </w:r>
      <w:r w:rsidRPr="006E19C7">
        <w:rPr>
          <w:rFonts w:ascii="Calibri" w:hAnsi="Calibri" w:cs="Calibri"/>
          <w:i/>
          <w:iCs/>
          <w:sz w:val="22"/>
        </w:rPr>
        <w:t xml:space="preserve"> et al</w:t>
      </w:r>
      <w:r w:rsidRPr="006E19C7">
        <w:rPr>
          <w:rFonts w:ascii="Calibri" w:hAnsi="Calibri" w:cs="Calibri"/>
          <w:sz w:val="22"/>
        </w:rPr>
        <w:t xml:space="preserve">. 2014 AHA/ACC Guideline for the Management of Patients with Non-ST-Elevation Acute Coronary Syndromes: a report of the American College of Cardiology/American Heart Association Task Force on Practice Guidelines. </w:t>
      </w:r>
      <w:r w:rsidRPr="006E19C7">
        <w:rPr>
          <w:rFonts w:ascii="Calibri" w:hAnsi="Calibri" w:cs="Calibri"/>
          <w:i/>
          <w:iCs/>
          <w:sz w:val="22"/>
        </w:rPr>
        <w:t>J. Am. Coll. Cardiol.</w:t>
      </w:r>
      <w:r w:rsidRPr="006E19C7">
        <w:rPr>
          <w:rFonts w:ascii="Calibri" w:hAnsi="Calibri" w:cs="Calibri"/>
          <w:b/>
          <w:bCs/>
          <w:sz w:val="22"/>
        </w:rPr>
        <w:t xml:space="preserve"> 64</w:t>
      </w:r>
      <w:r w:rsidRPr="006E19C7">
        <w:rPr>
          <w:rFonts w:ascii="Calibri" w:hAnsi="Calibri" w:cs="Calibri"/>
          <w:sz w:val="22"/>
        </w:rPr>
        <w:t>, e139-228 (2014).</w:t>
      </w:r>
    </w:p>
    <w:p w14:paraId="201CCAE2"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15. Deyo, R. A., Cherkin, D. C. &amp; Ciol, M. A. Adapting a clinical comorbidity index for use with ICD-9-CM administrative databases. </w:t>
      </w:r>
      <w:r w:rsidRPr="006E19C7">
        <w:rPr>
          <w:rFonts w:ascii="Calibri" w:hAnsi="Calibri" w:cs="Calibri"/>
          <w:i/>
          <w:iCs/>
          <w:sz w:val="22"/>
        </w:rPr>
        <w:t>J. Clin. Epidemiol.</w:t>
      </w:r>
      <w:r w:rsidRPr="006E19C7">
        <w:rPr>
          <w:rFonts w:ascii="Calibri" w:hAnsi="Calibri" w:cs="Calibri"/>
          <w:b/>
          <w:bCs/>
          <w:sz w:val="22"/>
        </w:rPr>
        <w:t xml:space="preserve"> 45</w:t>
      </w:r>
      <w:r w:rsidRPr="006E19C7">
        <w:rPr>
          <w:rFonts w:ascii="Calibri" w:hAnsi="Calibri" w:cs="Calibri"/>
          <w:sz w:val="22"/>
        </w:rPr>
        <w:t>, 613-619 (1992).</w:t>
      </w:r>
    </w:p>
    <w:p w14:paraId="0BA00890"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16. Horwitz, J. R., Nichols, A., Nallamothu, B. K., Sasson, C. &amp; Iwashyna, T. J. Expansion of invasive cardiac services in the United States. </w:t>
      </w:r>
      <w:r w:rsidRPr="006E19C7">
        <w:rPr>
          <w:rFonts w:ascii="Calibri" w:hAnsi="Calibri" w:cs="Calibri"/>
          <w:i/>
          <w:iCs/>
          <w:sz w:val="22"/>
        </w:rPr>
        <w:t>Circulation</w:t>
      </w:r>
      <w:r w:rsidRPr="006E19C7">
        <w:rPr>
          <w:rFonts w:ascii="Calibri" w:hAnsi="Calibri" w:cs="Calibri"/>
          <w:b/>
          <w:bCs/>
          <w:sz w:val="22"/>
        </w:rPr>
        <w:t xml:space="preserve"> 128</w:t>
      </w:r>
      <w:r w:rsidRPr="006E19C7">
        <w:rPr>
          <w:rFonts w:ascii="Calibri" w:hAnsi="Calibri" w:cs="Calibri"/>
          <w:sz w:val="22"/>
        </w:rPr>
        <w:t>, 803-810 (2013).</w:t>
      </w:r>
    </w:p>
    <w:p w14:paraId="1575223B"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17. Worrall-Carter, L., McEvedy, S., Wilson, A. &amp; Rahman, M. A. Impact of comorbidities and gender on the use of coronary interventions in patients with high-risk non-ST-segment elevation acute coronary syndrome. </w:t>
      </w:r>
      <w:r w:rsidRPr="006E19C7">
        <w:rPr>
          <w:rFonts w:ascii="Calibri" w:hAnsi="Calibri" w:cs="Calibri"/>
          <w:i/>
          <w:iCs/>
          <w:sz w:val="22"/>
        </w:rPr>
        <w:t>Catheter. Cardiovasc. Interv.</w:t>
      </w:r>
      <w:r w:rsidRPr="006E19C7">
        <w:rPr>
          <w:rFonts w:ascii="Calibri" w:hAnsi="Calibri" w:cs="Calibri"/>
          <w:b/>
          <w:bCs/>
          <w:sz w:val="22"/>
        </w:rPr>
        <w:t xml:space="preserve"> 87</w:t>
      </w:r>
      <w:r w:rsidRPr="006E19C7">
        <w:rPr>
          <w:rFonts w:ascii="Calibri" w:hAnsi="Calibri" w:cs="Calibri"/>
          <w:sz w:val="22"/>
        </w:rPr>
        <w:t>, E128-36 (2016).</w:t>
      </w:r>
    </w:p>
    <w:p w14:paraId="49AEE176" w14:textId="77777777" w:rsidR="00EC1CDB" w:rsidRPr="006E19C7" w:rsidRDefault="00EC1CDB" w:rsidP="00EC1CDB">
      <w:pPr>
        <w:pStyle w:val="NormalWeb"/>
        <w:rPr>
          <w:rFonts w:ascii="Calibri" w:hAnsi="Calibri" w:cs="Calibri"/>
          <w:sz w:val="22"/>
        </w:rPr>
      </w:pPr>
      <w:r w:rsidRPr="006E19C7">
        <w:rPr>
          <w:rFonts w:ascii="Calibri" w:hAnsi="Calibri" w:cs="Calibri"/>
          <w:sz w:val="22"/>
        </w:rPr>
        <w:t>18. Zaman, M. J.</w:t>
      </w:r>
      <w:r w:rsidRPr="006E19C7">
        <w:rPr>
          <w:rFonts w:ascii="Calibri" w:hAnsi="Calibri" w:cs="Calibri"/>
          <w:i/>
          <w:iCs/>
          <w:sz w:val="22"/>
        </w:rPr>
        <w:t xml:space="preserve"> et al</w:t>
      </w:r>
      <w:r w:rsidRPr="006E19C7">
        <w:rPr>
          <w:rFonts w:ascii="Calibri" w:hAnsi="Calibri" w:cs="Calibri"/>
          <w:sz w:val="22"/>
        </w:rPr>
        <w:t xml:space="preserve">. The association between older age and receipt of care and outcomes in patients with acute coronary syndromes: a cohort study of the Myocardial Ischaemia National Audit Project (MINAP). </w:t>
      </w:r>
      <w:r w:rsidRPr="006E19C7">
        <w:rPr>
          <w:rFonts w:ascii="Calibri" w:hAnsi="Calibri" w:cs="Calibri"/>
          <w:i/>
          <w:iCs/>
          <w:sz w:val="22"/>
        </w:rPr>
        <w:t>Eur. Heart J.</w:t>
      </w:r>
      <w:r w:rsidRPr="006E19C7">
        <w:rPr>
          <w:rFonts w:ascii="Calibri" w:hAnsi="Calibri" w:cs="Calibri"/>
          <w:b/>
          <w:bCs/>
          <w:sz w:val="22"/>
        </w:rPr>
        <w:t xml:space="preserve"> 35</w:t>
      </w:r>
      <w:r w:rsidRPr="006E19C7">
        <w:rPr>
          <w:rFonts w:ascii="Calibri" w:hAnsi="Calibri" w:cs="Calibri"/>
          <w:sz w:val="22"/>
        </w:rPr>
        <w:t>, 1551-1558 (2014).</w:t>
      </w:r>
    </w:p>
    <w:p w14:paraId="550C5644" w14:textId="77777777" w:rsidR="00EC1CDB" w:rsidRPr="006E19C7" w:rsidRDefault="00EC1CDB" w:rsidP="00EC1CDB">
      <w:pPr>
        <w:pStyle w:val="NormalWeb"/>
        <w:rPr>
          <w:rFonts w:ascii="Calibri" w:hAnsi="Calibri" w:cs="Calibri"/>
          <w:sz w:val="22"/>
        </w:rPr>
      </w:pPr>
      <w:r w:rsidRPr="006E19C7">
        <w:rPr>
          <w:rFonts w:ascii="Calibri" w:hAnsi="Calibri" w:cs="Calibri"/>
          <w:sz w:val="22"/>
        </w:rPr>
        <w:t>19. Hall, M.</w:t>
      </w:r>
      <w:r w:rsidRPr="006E19C7">
        <w:rPr>
          <w:rFonts w:ascii="Calibri" w:hAnsi="Calibri" w:cs="Calibri"/>
          <w:i/>
          <w:iCs/>
          <w:sz w:val="22"/>
        </w:rPr>
        <w:t xml:space="preserve"> et al</w:t>
      </w:r>
      <w:r w:rsidRPr="006E19C7">
        <w:rPr>
          <w:rFonts w:ascii="Calibri" w:hAnsi="Calibri" w:cs="Calibri"/>
          <w:sz w:val="22"/>
        </w:rPr>
        <w:t xml:space="preserve">. Association of Clinical Factors and Therapeutic Strategies With Improvements in Survival Following Non-ST-Elevation Myocardial Infarction, 2003-2013. </w:t>
      </w:r>
      <w:r w:rsidRPr="006E19C7">
        <w:rPr>
          <w:rFonts w:ascii="Calibri" w:hAnsi="Calibri" w:cs="Calibri"/>
          <w:i/>
          <w:iCs/>
          <w:sz w:val="22"/>
        </w:rPr>
        <w:t>JAMA</w:t>
      </w:r>
      <w:r w:rsidRPr="006E19C7">
        <w:rPr>
          <w:rFonts w:ascii="Calibri" w:hAnsi="Calibri" w:cs="Calibri"/>
          <w:b/>
          <w:bCs/>
          <w:sz w:val="22"/>
        </w:rPr>
        <w:t xml:space="preserve"> 316</w:t>
      </w:r>
      <w:r w:rsidRPr="006E19C7">
        <w:rPr>
          <w:rFonts w:ascii="Calibri" w:hAnsi="Calibri" w:cs="Calibri"/>
          <w:sz w:val="22"/>
        </w:rPr>
        <w:t>, 1073-1082 (2016).</w:t>
      </w:r>
    </w:p>
    <w:p w14:paraId="555645D8" w14:textId="77777777" w:rsidR="00EC1CDB" w:rsidRPr="006E19C7" w:rsidRDefault="00EC1CDB" w:rsidP="00EC1CDB">
      <w:pPr>
        <w:pStyle w:val="NormalWeb"/>
        <w:rPr>
          <w:rFonts w:ascii="Calibri" w:hAnsi="Calibri" w:cs="Calibri"/>
          <w:sz w:val="22"/>
        </w:rPr>
      </w:pPr>
      <w:r w:rsidRPr="006E19C7">
        <w:rPr>
          <w:rFonts w:ascii="Calibri" w:hAnsi="Calibri" w:cs="Calibri"/>
          <w:sz w:val="22"/>
        </w:rPr>
        <w:t>20. Kang, H. J.</w:t>
      </w:r>
      <w:r w:rsidRPr="006E19C7">
        <w:rPr>
          <w:rFonts w:ascii="Calibri" w:hAnsi="Calibri" w:cs="Calibri"/>
          <w:i/>
          <w:iCs/>
          <w:sz w:val="22"/>
        </w:rPr>
        <w:t xml:space="preserve"> et al</w:t>
      </w:r>
      <w:r w:rsidRPr="006E19C7">
        <w:rPr>
          <w:rFonts w:ascii="Calibri" w:hAnsi="Calibri" w:cs="Calibri"/>
          <w:sz w:val="22"/>
        </w:rPr>
        <w:t xml:space="preserve">. The Contemporary Use of Angiography and Revascularization Among Patients With Non-ST-Segment Elevation Myocardial Infarction in the United States Compared With South Korea. </w:t>
      </w:r>
      <w:r w:rsidRPr="006E19C7">
        <w:rPr>
          <w:rFonts w:ascii="Calibri" w:hAnsi="Calibri" w:cs="Calibri"/>
          <w:i/>
          <w:iCs/>
          <w:sz w:val="22"/>
        </w:rPr>
        <w:t>Clin. Cardiol.</w:t>
      </w:r>
      <w:r w:rsidRPr="006E19C7">
        <w:rPr>
          <w:rFonts w:ascii="Calibri" w:hAnsi="Calibri" w:cs="Calibri"/>
          <w:b/>
          <w:bCs/>
          <w:sz w:val="22"/>
        </w:rPr>
        <w:t xml:space="preserve"> 38</w:t>
      </w:r>
      <w:r w:rsidRPr="006E19C7">
        <w:rPr>
          <w:rFonts w:ascii="Calibri" w:hAnsi="Calibri" w:cs="Calibri"/>
          <w:sz w:val="22"/>
        </w:rPr>
        <w:t>, 708-714 (2015).</w:t>
      </w:r>
    </w:p>
    <w:p w14:paraId="69C252D2" w14:textId="77777777" w:rsidR="00EC1CDB" w:rsidRPr="006E19C7" w:rsidRDefault="00EC1CDB" w:rsidP="00EC1CDB">
      <w:pPr>
        <w:pStyle w:val="NormalWeb"/>
        <w:rPr>
          <w:rFonts w:ascii="Calibri" w:hAnsi="Calibri" w:cs="Calibri"/>
          <w:sz w:val="22"/>
        </w:rPr>
      </w:pPr>
      <w:r w:rsidRPr="006E19C7">
        <w:rPr>
          <w:rFonts w:ascii="Calibri" w:hAnsi="Calibri" w:cs="Calibri"/>
          <w:sz w:val="22"/>
        </w:rPr>
        <w:lastRenderedPageBreak/>
        <w:t>21. Rashid, M.</w:t>
      </w:r>
      <w:r w:rsidRPr="006E19C7">
        <w:rPr>
          <w:rFonts w:ascii="Calibri" w:hAnsi="Calibri" w:cs="Calibri"/>
          <w:i/>
          <w:iCs/>
          <w:sz w:val="22"/>
        </w:rPr>
        <w:t xml:space="preserve"> et al</w:t>
      </w:r>
      <w:r w:rsidRPr="006E19C7">
        <w:rPr>
          <w:rFonts w:ascii="Calibri" w:hAnsi="Calibri" w:cs="Calibri"/>
          <w:sz w:val="22"/>
        </w:rPr>
        <w:t xml:space="preserve">. Impact of co-morbid burden on mortality in patients with coronary heart disease, heart failure, and cerebrovascular accident: a systematic review and meta-analysis. </w:t>
      </w:r>
      <w:r w:rsidRPr="006E19C7">
        <w:rPr>
          <w:rFonts w:ascii="Calibri" w:hAnsi="Calibri" w:cs="Calibri"/>
          <w:i/>
          <w:iCs/>
          <w:sz w:val="22"/>
        </w:rPr>
        <w:t>Eur. Heart J. Qual. Care. Clin. Outcomes</w:t>
      </w:r>
      <w:r w:rsidRPr="006E19C7">
        <w:rPr>
          <w:rFonts w:ascii="Calibri" w:hAnsi="Calibri" w:cs="Calibri"/>
          <w:b/>
          <w:bCs/>
          <w:sz w:val="22"/>
        </w:rPr>
        <w:t xml:space="preserve"> 3</w:t>
      </w:r>
      <w:r w:rsidRPr="006E19C7">
        <w:rPr>
          <w:rFonts w:ascii="Calibri" w:hAnsi="Calibri" w:cs="Calibri"/>
          <w:sz w:val="22"/>
        </w:rPr>
        <w:t>, 20-36 (2017).</w:t>
      </w:r>
    </w:p>
    <w:p w14:paraId="5EF03CF2"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22. Birkhead, J. S., Weston, C. F. &amp; Chen, R. Determinants and outcomes of coronary angiography after non-ST-segment elevation myocardial infarction. A cohort study of the Myocardial Ischaemia National Audit Project (MINAP). </w:t>
      </w:r>
      <w:r w:rsidRPr="006E19C7">
        <w:rPr>
          <w:rFonts w:ascii="Calibri" w:hAnsi="Calibri" w:cs="Calibri"/>
          <w:i/>
          <w:iCs/>
          <w:sz w:val="22"/>
        </w:rPr>
        <w:t>Heart</w:t>
      </w:r>
      <w:r w:rsidRPr="006E19C7">
        <w:rPr>
          <w:rFonts w:ascii="Calibri" w:hAnsi="Calibri" w:cs="Calibri"/>
          <w:b/>
          <w:bCs/>
          <w:sz w:val="22"/>
        </w:rPr>
        <w:t xml:space="preserve"> 95</w:t>
      </w:r>
      <w:r w:rsidRPr="006E19C7">
        <w:rPr>
          <w:rFonts w:ascii="Calibri" w:hAnsi="Calibri" w:cs="Calibri"/>
          <w:sz w:val="22"/>
        </w:rPr>
        <w:t>, 1593-1599 (2009).</w:t>
      </w:r>
    </w:p>
    <w:p w14:paraId="415EF704" w14:textId="77777777" w:rsidR="00EC1CDB" w:rsidRPr="006E19C7" w:rsidRDefault="00EC1CDB" w:rsidP="00EC1CDB">
      <w:pPr>
        <w:pStyle w:val="NormalWeb"/>
        <w:rPr>
          <w:rFonts w:ascii="Calibri" w:hAnsi="Calibri" w:cs="Calibri"/>
          <w:sz w:val="22"/>
        </w:rPr>
      </w:pPr>
      <w:r w:rsidRPr="006E19C7">
        <w:rPr>
          <w:rFonts w:ascii="Calibri" w:hAnsi="Calibri" w:cs="Calibri"/>
          <w:sz w:val="22"/>
        </w:rPr>
        <w:t>23. Palau, P.</w:t>
      </w:r>
      <w:r w:rsidRPr="006E19C7">
        <w:rPr>
          <w:rFonts w:ascii="Calibri" w:hAnsi="Calibri" w:cs="Calibri"/>
          <w:i/>
          <w:iCs/>
          <w:sz w:val="22"/>
        </w:rPr>
        <w:t xml:space="preserve"> et al</w:t>
      </w:r>
      <w:r w:rsidRPr="006E19C7">
        <w:rPr>
          <w:rFonts w:ascii="Calibri" w:hAnsi="Calibri" w:cs="Calibri"/>
          <w:sz w:val="22"/>
        </w:rPr>
        <w:t xml:space="preserve">. Differential prognostic effect of revascularization according to a simple comorbidity index in high-risk non-ST-segment elevation acute coronary syndrome. </w:t>
      </w:r>
      <w:r w:rsidRPr="006E19C7">
        <w:rPr>
          <w:rFonts w:ascii="Calibri" w:hAnsi="Calibri" w:cs="Calibri"/>
          <w:i/>
          <w:iCs/>
          <w:sz w:val="22"/>
        </w:rPr>
        <w:t>Clin. Cardiol.</w:t>
      </w:r>
      <w:r w:rsidRPr="006E19C7">
        <w:rPr>
          <w:rFonts w:ascii="Calibri" w:hAnsi="Calibri" w:cs="Calibri"/>
          <w:b/>
          <w:bCs/>
          <w:sz w:val="22"/>
        </w:rPr>
        <w:t xml:space="preserve"> 35</w:t>
      </w:r>
      <w:r w:rsidRPr="006E19C7">
        <w:rPr>
          <w:rFonts w:ascii="Calibri" w:hAnsi="Calibri" w:cs="Calibri"/>
          <w:sz w:val="22"/>
        </w:rPr>
        <w:t>, 237-243 (2012).</w:t>
      </w:r>
    </w:p>
    <w:p w14:paraId="73372BE4" w14:textId="77777777" w:rsidR="00EC1CDB" w:rsidRPr="006E19C7" w:rsidRDefault="00EC1CDB" w:rsidP="00EC1CDB">
      <w:pPr>
        <w:pStyle w:val="NormalWeb"/>
        <w:rPr>
          <w:rFonts w:ascii="Calibri" w:hAnsi="Calibri" w:cs="Calibri"/>
          <w:sz w:val="22"/>
        </w:rPr>
      </w:pPr>
      <w:r w:rsidRPr="006E19C7">
        <w:rPr>
          <w:rFonts w:ascii="Calibri" w:hAnsi="Calibri" w:cs="Calibri"/>
          <w:sz w:val="22"/>
        </w:rPr>
        <w:t>24. Bhatt, D. L.</w:t>
      </w:r>
      <w:r w:rsidRPr="006E19C7">
        <w:rPr>
          <w:rFonts w:ascii="Calibri" w:hAnsi="Calibri" w:cs="Calibri"/>
          <w:i/>
          <w:iCs/>
          <w:sz w:val="22"/>
        </w:rPr>
        <w:t xml:space="preserve"> et al</w:t>
      </w:r>
      <w:r w:rsidRPr="006E19C7">
        <w:rPr>
          <w:rFonts w:ascii="Calibri" w:hAnsi="Calibri" w:cs="Calibri"/>
          <w:sz w:val="22"/>
        </w:rPr>
        <w:t xml:space="preserve">. Utilization of early invasive management strategies for high-risk patients with non-ST-segment elevation acute coronary syndromes: results from the CRUSADE Quality Improvement Initiative. </w:t>
      </w:r>
      <w:r w:rsidRPr="006E19C7">
        <w:rPr>
          <w:rFonts w:ascii="Calibri" w:hAnsi="Calibri" w:cs="Calibri"/>
          <w:i/>
          <w:iCs/>
          <w:sz w:val="22"/>
        </w:rPr>
        <w:t>JAMA</w:t>
      </w:r>
      <w:r w:rsidRPr="006E19C7">
        <w:rPr>
          <w:rFonts w:ascii="Calibri" w:hAnsi="Calibri" w:cs="Calibri"/>
          <w:b/>
          <w:bCs/>
          <w:sz w:val="22"/>
        </w:rPr>
        <w:t xml:space="preserve"> 292</w:t>
      </w:r>
      <w:r w:rsidRPr="006E19C7">
        <w:rPr>
          <w:rFonts w:ascii="Calibri" w:hAnsi="Calibri" w:cs="Calibri"/>
          <w:sz w:val="22"/>
        </w:rPr>
        <w:t>, 2096-2104 (2004).</w:t>
      </w:r>
    </w:p>
    <w:p w14:paraId="269BC90F" w14:textId="77777777" w:rsidR="00EC1CDB" w:rsidRPr="006E19C7" w:rsidRDefault="00EC1CDB" w:rsidP="00EC1CDB">
      <w:pPr>
        <w:pStyle w:val="NormalWeb"/>
        <w:rPr>
          <w:rFonts w:ascii="Calibri" w:hAnsi="Calibri" w:cs="Calibri"/>
          <w:sz w:val="22"/>
        </w:rPr>
      </w:pPr>
      <w:r w:rsidRPr="006E19C7">
        <w:rPr>
          <w:rFonts w:ascii="Calibri" w:hAnsi="Calibri" w:cs="Calibri"/>
          <w:sz w:val="22"/>
        </w:rPr>
        <w:t xml:space="preserve">25. Gulati, M. Improving the Cardiovascular Health of Women in the Nation: Moving Beyond the Bikini Boundaries. </w:t>
      </w:r>
      <w:r w:rsidRPr="006E19C7">
        <w:rPr>
          <w:rFonts w:ascii="Calibri" w:hAnsi="Calibri" w:cs="Calibri"/>
          <w:i/>
          <w:iCs/>
          <w:sz w:val="22"/>
        </w:rPr>
        <w:t>Circulation</w:t>
      </w:r>
      <w:r w:rsidRPr="006E19C7">
        <w:rPr>
          <w:rFonts w:ascii="Calibri" w:hAnsi="Calibri" w:cs="Calibri"/>
          <w:b/>
          <w:bCs/>
          <w:sz w:val="22"/>
        </w:rPr>
        <w:t xml:space="preserve"> 135</w:t>
      </w:r>
      <w:r w:rsidRPr="006E19C7">
        <w:rPr>
          <w:rFonts w:ascii="Calibri" w:hAnsi="Calibri" w:cs="Calibri"/>
          <w:sz w:val="22"/>
        </w:rPr>
        <w:t>, 495-498 (2017).</w:t>
      </w:r>
    </w:p>
    <w:p w14:paraId="417D0869" w14:textId="77777777" w:rsidR="00EC1CDB" w:rsidRPr="006E19C7" w:rsidRDefault="00EC1CDB" w:rsidP="00EC1CDB">
      <w:pPr>
        <w:pStyle w:val="NormalWeb"/>
        <w:rPr>
          <w:rFonts w:ascii="Calibri" w:hAnsi="Calibri" w:cs="Calibri"/>
          <w:sz w:val="22"/>
        </w:rPr>
      </w:pPr>
      <w:r w:rsidRPr="006E19C7">
        <w:rPr>
          <w:rFonts w:ascii="Calibri" w:hAnsi="Calibri" w:cs="Calibri"/>
          <w:sz w:val="22"/>
        </w:rPr>
        <w:t>26. Udell, J. A.</w:t>
      </w:r>
      <w:r w:rsidRPr="006E19C7">
        <w:rPr>
          <w:rFonts w:ascii="Calibri" w:hAnsi="Calibri" w:cs="Calibri"/>
          <w:i/>
          <w:iCs/>
          <w:sz w:val="22"/>
        </w:rPr>
        <w:t xml:space="preserve"> et al</w:t>
      </w:r>
      <w:r w:rsidRPr="006E19C7">
        <w:rPr>
          <w:rFonts w:ascii="Calibri" w:hAnsi="Calibri" w:cs="Calibri"/>
          <w:sz w:val="22"/>
        </w:rPr>
        <w:t xml:space="preserve">. Outcomes of Women and Men With Acute Coronary Syndrome Treated With and Without Percutaneous Coronary Revascularization. </w:t>
      </w:r>
      <w:r w:rsidRPr="006E19C7">
        <w:rPr>
          <w:rFonts w:ascii="Calibri" w:hAnsi="Calibri" w:cs="Calibri"/>
          <w:i/>
          <w:iCs/>
          <w:sz w:val="22"/>
        </w:rPr>
        <w:t>J. Am. Heart Assoc.</w:t>
      </w:r>
      <w:r w:rsidRPr="006E19C7">
        <w:rPr>
          <w:rFonts w:ascii="Calibri" w:hAnsi="Calibri" w:cs="Calibri"/>
          <w:b/>
          <w:bCs/>
          <w:sz w:val="22"/>
        </w:rPr>
        <w:t xml:space="preserve"> 6</w:t>
      </w:r>
      <w:r w:rsidRPr="006E19C7">
        <w:rPr>
          <w:rFonts w:ascii="Calibri" w:hAnsi="Calibri" w:cs="Calibri"/>
          <w:sz w:val="22"/>
        </w:rPr>
        <w:t>, 10.1161/JAHA.116.004319 (2017).</w:t>
      </w:r>
    </w:p>
    <w:p w14:paraId="74B87451" w14:textId="77777777" w:rsidR="00EC1CDB" w:rsidRPr="006E19C7" w:rsidRDefault="00EC1CDB" w:rsidP="00EC1CDB">
      <w:pPr>
        <w:pStyle w:val="NormalWeb"/>
        <w:rPr>
          <w:rFonts w:ascii="Calibri" w:hAnsi="Calibri" w:cs="Calibri"/>
          <w:sz w:val="22"/>
        </w:rPr>
      </w:pPr>
      <w:r w:rsidRPr="006E19C7">
        <w:rPr>
          <w:rFonts w:ascii="Calibri" w:hAnsi="Calibri" w:cs="Calibri"/>
          <w:sz w:val="22"/>
        </w:rPr>
        <w:t>27. Fox, K. A.</w:t>
      </w:r>
      <w:r w:rsidRPr="006E19C7">
        <w:rPr>
          <w:rFonts w:ascii="Calibri" w:hAnsi="Calibri" w:cs="Calibri"/>
          <w:i/>
          <w:iCs/>
          <w:sz w:val="22"/>
        </w:rPr>
        <w:t xml:space="preserve"> et al</w:t>
      </w:r>
      <w:r w:rsidRPr="006E19C7">
        <w:rPr>
          <w:rFonts w:ascii="Calibri" w:hAnsi="Calibri" w:cs="Calibri"/>
          <w:sz w:val="22"/>
        </w:rPr>
        <w:t xml:space="preserve">. Intervention in acute coronary syndromes: do patients undergo intervention on the basis of their risk characteristics? The Global Registry of Acute Coronary Events (GRACE). </w:t>
      </w:r>
      <w:r w:rsidRPr="006E19C7">
        <w:rPr>
          <w:rFonts w:ascii="Calibri" w:hAnsi="Calibri" w:cs="Calibri"/>
          <w:i/>
          <w:iCs/>
          <w:sz w:val="22"/>
        </w:rPr>
        <w:t>Heart</w:t>
      </w:r>
      <w:r w:rsidRPr="006E19C7">
        <w:rPr>
          <w:rFonts w:ascii="Calibri" w:hAnsi="Calibri" w:cs="Calibri"/>
          <w:b/>
          <w:bCs/>
          <w:sz w:val="22"/>
        </w:rPr>
        <w:t xml:space="preserve"> 93</w:t>
      </w:r>
      <w:r w:rsidRPr="006E19C7">
        <w:rPr>
          <w:rFonts w:ascii="Calibri" w:hAnsi="Calibri" w:cs="Calibri"/>
          <w:sz w:val="22"/>
        </w:rPr>
        <w:t>, 177-182 (2007).</w:t>
      </w:r>
    </w:p>
    <w:p w14:paraId="63532EE6" w14:textId="1F21C77A" w:rsidR="00EC1CDB" w:rsidRPr="006E19C7" w:rsidRDefault="00EC1CDB" w:rsidP="00EC1CDB">
      <w:pPr>
        <w:pStyle w:val="NormalWeb"/>
        <w:rPr>
          <w:rFonts w:ascii="Calibri" w:hAnsi="Calibri" w:cs="Calibri"/>
          <w:sz w:val="22"/>
        </w:rPr>
      </w:pPr>
      <w:r w:rsidRPr="006E19C7">
        <w:rPr>
          <w:rFonts w:ascii="Calibri" w:hAnsi="Calibri" w:cs="Calibri"/>
          <w:sz w:val="22"/>
        </w:rPr>
        <w:t>28. Roe, M. T.</w:t>
      </w:r>
      <w:r w:rsidRPr="006E19C7">
        <w:rPr>
          <w:rFonts w:ascii="Calibri" w:hAnsi="Calibri" w:cs="Calibri"/>
          <w:i/>
          <w:iCs/>
          <w:sz w:val="22"/>
        </w:rPr>
        <w:t xml:space="preserve"> et al</w:t>
      </w:r>
      <w:r w:rsidRPr="006E19C7">
        <w:rPr>
          <w:rFonts w:ascii="Calibri" w:hAnsi="Calibri" w:cs="Calibri"/>
          <w:sz w:val="22"/>
        </w:rPr>
        <w:t xml:space="preserve">. The influence of risk status on guideline adherence for patients with non–ST-segment elevation acute coronary syndromes. </w:t>
      </w:r>
      <w:r w:rsidRPr="006E19C7">
        <w:rPr>
          <w:rFonts w:ascii="Calibri" w:hAnsi="Calibri" w:cs="Calibri"/>
          <w:i/>
          <w:iCs/>
          <w:sz w:val="22"/>
        </w:rPr>
        <w:t>Am. Heart J.</w:t>
      </w:r>
      <w:r w:rsidRPr="006E19C7">
        <w:rPr>
          <w:rFonts w:ascii="Calibri" w:hAnsi="Calibri" w:cs="Calibri"/>
          <w:b/>
          <w:bCs/>
          <w:sz w:val="22"/>
        </w:rPr>
        <w:t xml:space="preserve"> 151</w:t>
      </w:r>
      <w:r w:rsidRPr="006E19C7">
        <w:rPr>
          <w:rFonts w:ascii="Calibri" w:hAnsi="Calibri" w:cs="Calibri"/>
          <w:sz w:val="22"/>
        </w:rPr>
        <w:t>, 1205-1213 (2006).</w:t>
      </w:r>
    </w:p>
    <w:p w14:paraId="6DEE4718" w14:textId="692A5143" w:rsidR="000001BF" w:rsidRPr="006E19C7" w:rsidRDefault="000001BF" w:rsidP="00EC1CDB">
      <w:pPr>
        <w:pStyle w:val="NormalWeb"/>
        <w:rPr>
          <w:rFonts w:ascii="Calibri" w:hAnsi="Calibri" w:cs="Calibri"/>
          <w:sz w:val="22"/>
        </w:rPr>
      </w:pPr>
    </w:p>
    <w:p w14:paraId="177C66C3" w14:textId="1A7EFE24" w:rsidR="000001BF" w:rsidRPr="006E19C7" w:rsidRDefault="000001BF" w:rsidP="00EC1CDB">
      <w:pPr>
        <w:pStyle w:val="NormalWeb"/>
        <w:rPr>
          <w:rFonts w:ascii="Calibri" w:hAnsi="Calibri" w:cs="Calibri"/>
          <w:sz w:val="22"/>
        </w:rPr>
      </w:pPr>
    </w:p>
    <w:p w14:paraId="5D701CEE" w14:textId="35D36D06" w:rsidR="00EC1CDB" w:rsidRPr="006E19C7" w:rsidRDefault="00EC1CDB" w:rsidP="00EC1CDB">
      <w:pPr>
        <w:rPr>
          <w:b/>
        </w:rPr>
      </w:pPr>
      <w:r w:rsidRPr="006E19C7">
        <w:rPr>
          <w:rFonts w:ascii="Calibri" w:eastAsia="Times New Roman" w:hAnsi="Calibri" w:cs="Calibri"/>
        </w:rPr>
        <w:t> </w:t>
      </w:r>
      <w:r w:rsidRPr="006E19C7">
        <w:rPr>
          <w:b/>
        </w:rPr>
        <w:fldChar w:fldCharType="end"/>
      </w:r>
    </w:p>
    <w:p w14:paraId="29855B37" w14:textId="2E592BF5" w:rsidR="00EC1CDB" w:rsidRPr="006E19C7" w:rsidRDefault="00EC1CDB" w:rsidP="00A35E42">
      <w:pPr>
        <w:spacing w:line="480" w:lineRule="auto"/>
        <w:rPr>
          <w:rFonts w:ascii="Times New Roman" w:hAnsi="Times New Roman" w:cs="Times New Roman"/>
          <w:sz w:val="24"/>
          <w:szCs w:val="24"/>
        </w:rPr>
      </w:pPr>
    </w:p>
    <w:p w14:paraId="2DF81F49" w14:textId="22D4FFB9" w:rsidR="00D8301D" w:rsidRPr="006E19C7" w:rsidRDefault="00D8301D" w:rsidP="00A35E42">
      <w:pPr>
        <w:spacing w:line="480" w:lineRule="auto"/>
        <w:rPr>
          <w:rFonts w:ascii="Times New Roman" w:hAnsi="Times New Roman" w:cs="Times New Roman"/>
          <w:sz w:val="24"/>
          <w:szCs w:val="24"/>
        </w:rPr>
      </w:pPr>
    </w:p>
    <w:p w14:paraId="60632BA1" w14:textId="578DAE02" w:rsidR="00D8301D" w:rsidRPr="006E19C7" w:rsidRDefault="00D8301D" w:rsidP="00A35E42">
      <w:pPr>
        <w:spacing w:line="480" w:lineRule="auto"/>
        <w:rPr>
          <w:rFonts w:ascii="Times New Roman" w:hAnsi="Times New Roman" w:cs="Times New Roman"/>
          <w:sz w:val="24"/>
          <w:szCs w:val="24"/>
        </w:rPr>
      </w:pPr>
    </w:p>
    <w:p w14:paraId="0A3D5248" w14:textId="6D8A59FD" w:rsidR="00D8301D" w:rsidRPr="006E19C7" w:rsidRDefault="00D8301D" w:rsidP="00A35E42">
      <w:pPr>
        <w:spacing w:line="480" w:lineRule="auto"/>
        <w:rPr>
          <w:rFonts w:ascii="Times New Roman" w:hAnsi="Times New Roman" w:cs="Times New Roman"/>
          <w:sz w:val="24"/>
          <w:szCs w:val="24"/>
        </w:rPr>
      </w:pPr>
    </w:p>
    <w:p w14:paraId="042EEE78" w14:textId="177F18C9" w:rsidR="00EC1CDB" w:rsidRPr="006E19C7" w:rsidRDefault="00EC1CDB" w:rsidP="00A35E42">
      <w:pPr>
        <w:spacing w:line="480" w:lineRule="auto"/>
        <w:rPr>
          <w:rFonts w:ascii="Times New Roman" w:hAnsi="Times New Roman" w:cs="Times New Roman"/>
          <w:sz w:val="24"/>
          <w:szCs w:val="24"/>
        </w:rPr>
      </w:pPr>
    </w:p>
    <w:p w14:paraId="01E68A6D" w14:textId="77777777" w:rsidR="00EC1CDB" w:rsidRPr="006E19C7" w:rsidRDefault="00EC1CDB" w:rsidP="00A35E42">
      <w:pPr>
        <w:spacing w:line="480" w:lineRule="auto"/>
        <w:rPr>
          <w:rFonts w:ascii="Times New Roman" w:hAnsi="Times New Roman" w:cs="Times New Roman"/>
          <w:sz w:val="24"/>
          <w:szCs w:val="24"/>
        </w:rPr>
      </w:pPr>
    </w:p>
    <w:p w14:paraId="1BF49ECF" w14:textId="77777777" w:rsidR="00D17BB4" w:rsidRPr="006E19C7" w:rsidRDefault="00D17BB4" w:rsidP="00D17BB4">
      <w:r w:rsidRPr="006E19C7">
        <w:rPr>
          <w:rFonts w:ascii="Times New Roman" w:hAnsi="Times New Roman" w:cs="Times New Roman"/>
          <w:sz w:val="24"/>
          <w:szCs w:val="24"/>
        </w:rPr>
        <w:lastRenderedPageBreak/>
        <w:t>Table 1:</w:t>
      </w:r>
      <w:r w:rsidRPr="006E19C7">
        <w:t xml:space="preserve"> </w:t>
      </w:r>
      <w:r w:rsidRPr="006E19C7">
        <w:rPr>
          <w:rFonts w:ascii="Times New Roman" w:hAnsi="Times New Roman" w:cs="Times New Roman"/>
          <w:sz w:val="24"/>
          <w:szCs w:val="24"/>
        </w:rPr>
        <w:t>Baseline characteristics of patients receiving medical management compared to those receiving coronary angiogram.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2"/>
        <w:gridCol w:w="2549"/>
        <w:gridCol w:w="2645"/>
      </w:tblGrid>
      <w:tr w:rsidR="00D17BB4" w:rsidRPr="006E19C7" w14:paraId="43631BC3" w14:textId="77777777" w:rsidTr="00CD1F63">
        <w:trPr>
          <w:trHeight w:val="275"/>
          <w:jc w:val="center"/>
        </w:trPr>
        <w:tc>
          <w:tcPr>
            <w:tcW w:w="2123" w:type="pct"/>
            <w:tcBorders>
              <w:top w:val="single" w:sz="4" w:space="0" w:color="auto"/>
              <w:bottom w:val="single" w:sz="4" w:space="0" w:color="auto"/>
            </w:tcBorders>
            <w:shd w:val="clear" w:color="auto" w:fill="auto"/>
            <w:noWrap/>
          </w:tcPr>
          <w:p w14:paraId="127D1E3A" w14:textId="77777777" w:rsidR="00D17BB4" w:rsidRPr="006E19C7" w:rsidRDefault="00D17BB4" w:rsidP="00CD1F63"/>
        </w:tc>
        <w:tc>
          <w:tcPr>
            <w:tcW w:w="1412" w:type="pct"/>
            <w:tcBorders>
              <w:top w:val="single" w:sz="4" w:space="0" w:color="auto"/>
              <w:bottom w:val="single" w:sz="4" w:space="0" w:color="auto"/>
            </w:tcBorders>
            <w:shd w:val="clear" w:color="auto" w:fill="auto"/>
          </w:tcPr>
          <w:p w14:paraId="64FD654B" w14:textId="77777777" w:rsidR="00D17BB4" w:rsidRPr="006E19C7" w:rsidRDefault="00D17BB4" w:rsidP="00CD1F63">
            <w:r w:rsidRPr="006E19C7">
              <w:t>Patients receiving medical management</w:t>
            </w:r>
          </w:p>
        </w:tc>
        <w:tc>
          <w:tcPr>
            <w:tcW w:w="1465" w:type="pct"/>
            <w:tcBorders>
              <w:top w:val="single" w:sz="4" w:space="0" w:color="auto"/>
              <w:bottom w:val="single" w:sz="4" w:space="0" w:color="auto"/>
            </w:tcBorders>
            <w:shd w:val="clear" w:color="auto" w:fill="auto"/>
          </w:tcPr>
          <w:p w14:paraId="6823E05C" w14:textId="77777777" w:rsidR="00D17BB4" w:rsidRPr="006E19C7" w:rsidRDefault="00D17BB4" w:rsidP="00CD1F63">
            <w:r w:rsidRPr="006E19C7">
              <w:t>Patients receiving coronary angiogram</w:t>
            </w:r>
          </w:p>
        </w:tc>
      </w:tr>
      <w:tr w:rsidR="00D17BB4" w:rsidRPr="006E19C7" w14:paraId="43CD0722" w14:textId="77777777" w:rsidTr="00CD1F63">
        <w:trPr>
          <w:trHeight w:val="275"/>
          <w:jc w:val="center"/>
        </w:trPr>
        <w:tc>
          <w:tcPr>
            <w:tcW w:w="2123" w:type="pct"/>
            <w:tcBorders>
              <w:top w:val="single" w:sz="4" w:space="0" w:color="auto"/>
              <w:bottom w:val="single" w:sz="4" w:space="0" w:color="auto"/>
            </w:tcBorders>
            <w:shd w:val="clear" w:color="auto" w:fill="auto"/>
            <w:noWrap/>
          </w:tcPr>
          <w:p w14:paraId="4C2CE8B9" w14:textId="77777777" w:rsidR="00D17BB4" w:rsidRPr="006E19C7" w:rsidRDefault="00D17BB4" w:rsidP="00CD1F63">
            <w:r w:rsidRPr="006E19C7">
              <w:t>Number of Cases weighted (%age)</w:t>
            </w:r>
          </w:p>
        </w:tc>
        <w:tc>
          <w:tcPr>
            <w:tcW w:w="1412" w:type="pct"/>
            <w:tcBorders>
              <w:top w:val="single" w:sz="4" w:space="0" w:color="auto"/>
              <w:bottom w:val="single" w:sz="4" w:space="0" w:color="auto"/>
            </w:tcBorders>
            <w:shd w:val="clear" w:color="auto" w:fill="auto"/>
          </w:tcPr>
          <w:p w14:paraId="71E8D5B9" w14:textId="6A0F536E" w:rsidR="00D17BB4" w:rsidRPr="006E19C7" w:rsidRDefault="00925FBF" w:rsidP="00CD1F63">
            <w:r w:rsidRPr="006E19C7">
              <w:t>1,862,123</w:t>
            </w:r>
            <w:r w:rsidR="00D17BB4" w:rsidRPr="006E19C7">
              <w:t xml:space="preserve"> (42.5%)</w:t>
            </w:r>
          </w:p>
        </w:tc>
        <w:tc>
          <w:tcPr>
            <w:tcW w:w="1465" w:type="pct"/>
            <w:tcBorders>
              <w:top w:val="single" w:sz="4" w:space="0" w:color="auto"/>
              <w:bottom w:val="single" w:sz="4" w:space="0" w:color="auto"/>
            </w:tcBorders>
            <w:shd w:val="clear" w:color="auto" w:fill="auto"/>
          </w:tcPr>
          <w:p w14:paraId="0C5C1638" w14:textId="7BB95DB9" w:rsidR="00D17BB4" w:rsidRPr="006E19C7" w:rsidRDefault="00925FBF" w:rsidP="00CD1F63">
            <w:r w:rsidRPr="006E19C7">
              <w:t>2,518,704</w:t>
            </w:r>
            <w:r w:rsidR="00D17BB4" w:rsidRPr="006E19C7">
              <w:t xml:space="preserve"> (57.5%)</w:t>
            </w:r>
          </w:p>
        </w:tc>
      </w:tr>
      <w:tr w:rsidR="00D17BB4" w:rsidRPr="006E19C7" w14:paraId="3EA5B8D2" w14:textId="77777777" w:rsidTr="00CD1F63">
        <w:trPr>
          <w:trHeight w:val="275"/>
          <w:jc w:val="center"/>
        </w:trPr>
        <w:tc>
          <w:tcPr>
            <w:tcW w:w="2123" w:type="pct"/>
            <w:tcBorders>
              <w:top w:val="single" w:sz="4" w:space="0" w:color="auto"/>
            </w:tcBorders>
            <w:shd w:val="clear" w:color="auto" w:fill="auto"/>
            <w:noWrap/>
          </w:tcPr>
          <w:p w14:paraId="2B97844F" w14:textId="77777777" w:rsidR="00D17BB4" w:rsidRPr="006E19C7" w:rsidRDefault="00D17BB4" w:rsidP="00CD1F63">
            <w:r w:rsidRPr="006E19C7">
              <w:t>Age (year), Median IRQ</w:t>
            </w:r>
          </w:p>
        </w:tc>
        <w:tc>
          <w:tcPr>
            <w:tcW w:w="1412" w:type="pct"/>
            <w:tcBorders>
              <w:top w:val="single" w:sz="4" w:space="0" w:color="auto"/>
            </w:tcBorders>
            <w:shd w:val="clear" w:color="auto" w:fill="auto"/>
          </w:tcPr>
          <w:p w14:paraId="6EBBA62F" w14:textId="77777777" w:rsidR="00D17BB4" w:rsidRPr="006E19C7" w:rsidRDefault="00D17BB4" w:rsidP="00CD1F63">
            <w:r w:rsidRPr="006E19C7">
              <w:t>72 (63-85</w:t>
            </w:r>
          </w:p>
        </w:tc>
        <w:tc>
          <w:tcPr>
            <w:tcW w:w="1465" w:type="pct"/>
            <w:tcBorders>
              <w:top w:val="single" w:sz="4" w:space="0" w:color="auto"/>
            </w:tcBorders>
            <w:shd w:val="clear" w:color="auto" w:fill="auto"/>
          </w:tcPr>
          <w:p w14:paraId="2FE350F6" w14:textId="77777777" w:rsidR="00D17BB4" w:rsidRPr="006E19C7" w:rsidRDefault="00D17BB4" w:rsidP="00CD1F63">
            <w:r w:rsidRPr="006E19C7">
              <w:t>65 (46-75)</w:t>
            </w:r>
          </w:p>
        </w:tc>
      </w:tr>
      <w:tr w:rsidR="00D17BB4" w:rsidRPr="006E19C7" w14:paraId="79539CFD" w14:textId="77777777" w:rsidTr="00CD1F63">
        <w:trPr>
          <w:trHeight w:val="275"/>
          <w:jc w:val="center"/>
        </w:trPr>
        <w:tc>
          <w:tcPr>
            <w:tcW w:w="2123" w:type="pct"/>
            <w:shd w:val="clear" w:color="auto" w:fill="auto"/>
            <w:noWrap/>
          </w:tcPr>
          <w:p w14:paraId="76B026C1" w14:textId="77777777" w:rsidR="00D17BB4" w:rsidRPr="006E19C7" w:rsidRDefault="00D17BB4" w:rsidP="00CD1F63">
            <w:r w:rsidRPr="006E19C7">
              <w:t>Men %</w:t>
            </w:r>
          </w:p>
        </w:tc>
        <w:tc>
          <w:tcPr>
            <w:tcW w:w="1412" w:type="pct"/>
            <w:shd w:val="clear" w:color="auto" w:fill="auto"/>
          </w:tcPr>
          <w:p w14:paraId="5ECBAB7A" w14:textId="77777777" w:rsidR="00D17BB4" w:rsidRPr="006E19C7" w:rsidRDefault="00D17BB4" w:rsidP="00CD1F63">
            <w:r w:rsidRPr="006E19C7">
              <w:t>49.7%</w:t>
            </w:r>
          </w:p>
        </w:tc>
        <w:tc>
          <w:tcPr>
            <w:tcW w:w="1465" w:type="pct"/>
            <w:shd w:val="clear" w:color="auto" w:fill="auto"/>
          </w:tcPr>
          <w:p w14:paraId="467E60C7" w14:textId="77777777" w:rsidR="00D17BB4" w:rsidRPr="006E19C7" w:rsidRDefault="00D17BB4" w:rsidP="00CD1F63">
            <w:r w:rsidRPr="006E19C7">
              <w:t>61.7%</w:t>
            </w:r>
          </w:p>
        </w:tc>
      </w:tr>
      <w:tr w:rsidR="00D17BB4" w:rsidRPr="006E19C7" w14:paraId="51CF185F" w14:textId="77777777" w:rsidTr="00CD1F63">
        <w:trPr>
          <w:trHeight w:val="275"/>
          <w:jc w:val="center"/>
        </w:trPr>
        <w:tc>
          <w:tcPr>
            <w:tcW w:w="2123" w:type="pct"/>
            <w:shd w:val="clear" w:color="auto" w:fill="auto"/>
            <w:noWrap/>
          </w:tcPr>
          <w:p w14:paraId="17BA88EE" w14:textId="77777777" w:rsidR="00D17BB4" w:rsidRPr="006E19C7" w:rsidRDefault="00D17BB4" w:rsidP="00CD1F63">
            <w:r w:rsidRPr="006E19C7">
              <w:t>Ethnicity</w:t>
            </w:r>
          </w:p>
        </w:tc>
        <w:tc>
          <w:tcPr>
            <w:tcW w:w="1412" w:type="pct"/>
            <w:shd w:val="clear" w:color="auto" w:fill="auto"/>
          </w:tcPr>
          <w:p w14:paraId="6A23BF0B" w14:textId="77777777" w:rsidR="00D17BB4" w:rsidRPr="006E19C7" w:rsidRDefault="00D17BB4" w:rsidP="00CD1F63"/>
        </w:tc>
        <w:tc>
          <w:tcPr>
            <w:tcW w:w="1465" w:type="pct"/>
            <w:shd w:val="clear" w:color="auto" w:fill="auto"/>
          </w:tcPr>
          <w:p w14:paraId="7864E5C1" w14:textId="77777777" w:rsidR="00D17BB4" w:rsidRPr="006E19C7" w:rsidRDefault="00D17BB4" w:rsidP="00CD1F63"/>
        </w:tc>
      </w:tr>
      <w:tr w:rsidR="00D17BB4" w:rsidRPr="006E19C7" w14:paraId="77AB9EAD" w14:textId="77777777" w:rsidTr="00CD1F63">
        <w:trPr>
          <w:trHeight w:val="275"/>
          <w:jc w:val="center"/>
        </w:trPr>
        <w:tc>
          <w:tcPr>
            <w:tcW w:w="2123" w:type="pct"/>
            <w:shd w:val="clear" w:color="auto" w:fill="auto"/>
            <w:noWrap/>
          </w:tcPr>
          <w:p w14:paraId="10E6C6B6" w14:textId="77777777" w:rsidR="00D17BB4" w:rsidRPr="006E19C7" w:rsidRDefault="00D17BB4" w:rsidP="00CD1F63">
            <w:r w:rsidRPr="006E19C7">
              <w:t>White</w:t>
            </w:r>
          </w:p>
        </w:tc>
        <w:tc>
          <w:tcPr>
            <w:tcW w:w="1412" w:type="pct"/>
            <w:shd w:val="clear" w:color="auto" w:fill="auto"/>
          </w:tcPr>
          <w:p w14:paraId="0061F190" w14:textId="77777777" w:rsidR="00D17BB4" w:rsidRPr="006E19C7" w:rsidRDefault="00D17BB4" w:rsidP="00CD1F63">
            <w:r w:rsidRPr="006E19C7">
              <w:t>63.2%</w:t>
            </w:r>
          </w:p>
        </w:tc>
        <w:tc>
          <w:tcPr>
            <w:tcW w:w="1465" w:type="pct"/>
            <w:shd w:val="clear" w:color="auto" w:fill="auto"/>
          </w:tcPr>
          <w:p w14:paraId="487CD2B1" w14:textId="77777777" w:rsidR="00D17BB4" w:rsidRPr="006E19C7" w:rsidRDefault="00D17BB4" w:rsidP="00CD1F63">
            <w:r w:rsidRPr="006E19C7">
              <w:t>63.3%</w:t>
            </w:r>
          </w:p>
        </w:tc>
      </w:tr>
      <w:tr w:rsidR="00D17BB4" w:rsidRPr="006E19C7" w14:paraId="0CD08B75" w14:textId="77777777" w:rsidTr="00CD1F63">
        <w:trPr>
          <w:trHeight w:val="275"/>
          <w:jc w:val="center"/>
        </w:trPr>
        <w:tc>
          <w:tcPr>
            <w:tcW w:w="2123" w:type="pct"/>
            <w:shd w:val="clear" w:color="auto" w:fill="auto"/>
            <w:noWrap/>
          </w:tcPr>
          <w:p w14:paraId="0DF33AED" w14:textId="77777777" w:rsidR="00D17BB4" w:rsidRPr="006E19C7" w:rsidRDefault="00D17BB4" w:rsidP="00CD1F63">
            <w:r w:rsidRPr="006E19C7">
              <w:t>Black</w:t>
            </w:r>
          </w:p>
        </w:tc>
        <w:tc>
          <w:tcPr>
            <w:tcW w:w="1412" w:type="pct"/>
            <w:shd w:val="clear" w:color="auto" w:fill="auto"/>
          </w:tcPr>
          <w:p w14:paraId="4728551D" w14:textId="77777777" w:rsidR="00D17BB4" w:rsidRPr="006E19C7" w:rsidRDefault="00D17BB4" w:rsidP="00CD1F63">
            <w:r w:rsidRPr="006E19C7">
              <w:t>10.0%</w:t>
            </w:r>
          </w:p>
        </w:tc>
        <w:tc>
          <w:tcPr>
            <w:tcW w:w="1465" w:type="pct"/>
            <w:shd w:val="clear" w:color="auto" w:fill="auto"/>
          </w:tcPr>
          <w:p w14:paraId="71560A28" w14:textId="77777777" w:rsidR="00D17BB4" w:rsidRPr="006E19C7" w:rsidRDefault="00D17BB4" w:rsidP="00CD1F63">
            <w:r w:rsidRPr="006E19C7">
              <w:t>9.0%</w:t>
            </w:r>
          </w:p>
        </w:tc>
      </w:tr>
      <w:tr w:rsidR="00D17BB4" w:rsidRPr="006E19C7" w14:paraId="45B08F97" w14:textId="77777777" w:rsidTr="00CD1F63">
        <w:trPr>
          <w:trHeight w:val="275"/>
          <w:jc w:val="center"/>
        </w:trPr>
        <w:tc>
          <w:tcPr>
            <w:tcW w:w="2123" w:type="pct"/>
            <w:shd w:val="clear" w:color="auto" w:fill="auto"/>
            <w:noWrap/>
          </w:tcPr>
          <w:p w14:paraId="3782C2C6" w14:textId="77777777" w:rsidR="00D17BB4" w:rsidRPr="006E19C7" w:rsidRDefault="00D17BB4" w:rsidP="00CD1F63">
            <w:r w:rsidRPr="006E19C7">
              <w:t>Hispanic</w:t>
            </w:r>
          </w:p>
        </w:tc>
        <w:tc>
          <w:tcPr>
            <w:tcW w:w="1412" w:type="pct"/>
            <w:shd w:val="clear" w:color="auto" w:fill="auto"/>
          </w:tcPr>
          <w:p w14:paraId="2E76F368" w14:textId="77777777" w:rsidR="00D17BB4" w:rsidRPr="006E19C7" w:rsidRDefault="00D17BB4" w:rsidP="00CD1F63">
            <w:r w:rsidRPr="006E19C7">
              <w:t>6.4%</w:t>
            </w:r>
          </w:p>
        </w:tc>
        <w:tc>
          <w:tcPr>
            <w:tcW w:w="1465" w:type="pct"/>
            <w:shd w:val="clear" w:color="auto" w:fill="auto"/>
          </w:tcPr>
          <w:p w14:paraId="2464AF94" w14:textId="77777777" w:rsidR="00D17BB4" w:rsidRPr="006E19C7" w:rsidRDefault="00D17BB4" w:rsidP="00CD1F63">
            <w:r w:rsidRPr="006E19C7">
              <w:t>6.2%</w:t>
            </w:r>
          </w:p>
        </w:tc>
      </w:tr>
      <w:tr w:rsidR="00D17BB4" w:rsidRPr="006E19C7" w14:paraId="6E3B3912" w14:textId="77777777" w:rsidTr="00CD1F63">
        <w:trPr>
          <w:trHeight w:val="275"/>
          <w:jc w:val="center"/>
        </w:trPr>
        <w:tc>
          <w:tcPr>
            <w:tcW w:w="2123" w:type="pct"/>
            <w:shd w:val="clear" w:color="auto" w:fill="auto"/>
            <w:noWrap/>
          </w:tcPr>
          <w:p w14:paraId="218170FE" w14:textId="77777777" w:rsidR="00D17BB4" w:rsidRPr="006E19C7" w:rsidRDefault="00D17BB4" w:rsidP="00CD1F63">
            <w:r w:rsidRPr="006E19C7">
              <w:t>Asian/Pacific Islander</w:t>
            </w:r>
          </w:p>
        </w:tc>
        <w:tc>
          <w:tcPr>
            <w:tcW w:w="1412" w:type="pct"/>
            <w:shd w:val="clear" w:color="auto" w:fill="auto"/>
          </w:tcPr>
          <w:p w14:paraId="7DD891A4" w14:textId="77777777" w:rsidR="00D17BB4" w:rsidRPr="006E19C7" w:rsidRDefault="00D17BB4" w:rsidP="00CD1F63">
            <w:r w:rsidRPr="006E19C7">
              <w:t>1.8%</w:t>
            </w:r>
          </w:p>
        </w:tc>
        <w:tc>
          <w:tcPr>
            <w:tcW w:w="1465" w:type="pct"/>
            <w:shd w:val="clear" w:color="auto" w:fill="auto"/>
          </w:tcPr>
          <w:p w14:paraId="78584AD1" w14:textId="77777777" w:rsidR="00D17BB4" w:rsidRPr="006E19C7" w:rsidRDefault="00D17BB4" w:rsidP="00CD1F63">
            <w:r w:rsidRPr="006E19C7">
              <w:t>1.6%</w:t>
            </w:r>
          </w:p>
        </w:tc>
      </w:tr>
      <w:tr w:rsidR="00D17BB4" w:rsidRPr="006E19C7" w14:paraId="445044F5" w14:textId="77777777" w:rsidTr="00CD1F63">
        <w:trPr>
          <w:trHeight w:val="275"/>
          <w:jc w:val="center"/>
        </w:trPr>
        <w:tc>
          <w:tcPr>
            <w:tcW w:w="2123" w:type="pct"/>
            <w:shd w:val="clear" w:color="auto" w:fill="auto"/>
            <w:noWrap/>
          </w:tcPr>
          <w:p w14:paraId="71095F32" w14:textId="77777777" w:rsidR="00D17BB4" w:rsidRPr="006E19C7" w:rsidRDefault="00D17BB4" w:rsidP="00CD1F63">
            <w:r w:rsidRPr="006E19C7">
              <w:t>Native American</w:t>
            </w:r>
          </w:p>
        </w:tc>
        <w:tc>
          <w:tcPr>
            <w:tcW w:w="1412" w:type="pct"/>
            <w:shd w:val="clear" w:color="auto" w:fill="auto"/>
          </w:tcPr>
          <w:p w14:paraId="0F960484" w14:textId="77777777" w:rsidR="00D17BB4" w:rsidRPr="006E19C7" w:rsidRDefault="00D17BB4" w:rsidP="00CD1F63">
            <w:r w:rsidRPr="006E19C7">
              <w:t>0.4%</w:t>
            </w:r>
          </w:p>
        </w:tc>
        <w:tc>
          <w:tcPr>
            <w:tcW w:w="1465" w:type="pct"/>
            <w:shd w:val="clear" w:color="auto" w:fill="auto"/>
          </w:tcPr>
          <w:p w14:paraId="0937FF78" w14:textId="77777777" w:rsidR="00D17BB4" w:rsidRPr="006E19C7" w:rsidRDefault="00D17BB4" w:rsidP="00CD1F63">
            <w:r w:rsidRPr="006E19C7">
              <w:t>0.5%</w:t>
            </w:r>
          </w:p>
        </w:tc>
      </w:tr>
      <w:tr w:rsidR="00D17BB4" w:rsidRPr="006E19C7" w14:paraId="2A3953E5" w14:textId="77777777" w:rsidTr="00CD1F63">
        <w:trPr>
          <w:trHeight w:val="275"/>
          <w:jc w:val="center"/>
        </w:trPr>
        <w:tc>
          <w:tcPr>
            <w:tcW w:w="2123" w:type="pct"/>
            <w:shd w:val="clear" w:color="auto" w:fill="auto"/>
            <w:noWrap/>
          </w:tcPr>
          <w:p w14:paraId="567244D8" w14:textId="77777777" w:rsidR="00D17BB4" w:rsidRPr="006E19C7" w:rsidRDefault="00D17BB4" w:rsidP="00CD1F63">
            <w:r w:rsidRPr="006E19C7">
              <w:t>Other</w:t>
            </w:r>
          </w:p>
        </w:tc>
        <w:tc>
          <w:tcPr>
            <w:tcW w:w="1412" w:type="pct"/>
            <w:shd w:val="clear" w:color="auto" w:fill="auto"/>
          </w:tcPr>
          <w:p w14:paraId="78C7E423" w14:textId="77777777" w:rsidR="00D17BB4" w:rsidRPr="006E19C7" w:rsidRDefault="00D17BB4" w:rsidP="00CD1F63">
            <w:r w:rsidRPr="006E19C7">
              <w:t>2.2%</w:t>
            </w:r>
          </w:p>
        </w:tc>
        <w:tc>
          <w:tcPr>
            <w:tcW w:w="1465" w:type="pct"/>
            <w:shd w:val="clear" w:color="auto" w:fill="auto"/>
          </w:tcPr>
          <w:p w14:paraId="27881278" w14:textId="77777777" w:rsidR="00D17BB4" w:rsidRPr="006E19C7" w:rsidRDefault="00D17BB4" w:rsidP="00CD1F63">
            <w:r w:rsidRPr="006E19C7">
              <w:t>2.7%</w:t>
            </w:r>
          </w:p>
        </w:tc>
      </w:tr>
      <w:tr w:rsidR="00D17BB4" w:rsidRPr="006E19C7" w14:paraId="3F32325D" w14:textId="77777777" w:rsidTr="00CD1F63">
        <w:trPr>
          <w:trHeight w:val="275"/>
          <w:jc w:val="center"/>
        </w:trPr>
        <w:tc>
          <w:tcPr>
            <w:tcW w:w="2123" w:type="pct"/>
            <w:shd w:val="clear" w:color="auto" w:fill="auto"/>
            <w:noWrap/>
          </w:tcPr>
          <w:p w14:paraId="74544AE9" w14:textId="77777777" w:rsidR="00D17BB4" w:rsidRPr="006E19C7" w:rsidRDefault="00D17BB4" w:rsidP="00CD1F63">
            <w:r w:rsidRPr="006E19C7">
              <w:t>Missing Race</w:t>
            </w:r>
          </w:p>
        </w:tc>
        <w:tc>
          <w:tcPr>
            <w:tcW w:w="1412" w:type="pct"/>
            <w:shd w:val="clear" w:color="auto" w:fill="auto"/>
          </w:tcPr>
          <w:p w14:paraId="60CABADD" w14:textId="77777777" w:rsidR="00D17BB4" w:rsidRPr="006E19C7" w:rsidRDefault="00D17BB4" w:rsidP="00CD1F63">
            <w:r w:rsidRPr="006E19C7">
              <w:t>16.0%</w:t>
            </w:r>
          </w:p>
        </w:tc>
        <w:tc>
          <w:tcPr>
            <w:tcW w:w="1465" w:type="pct"/>
            <w:shd w:val="clear" w:color="auto" w:fill="auto"/>
          </w:tcPr>
          <w:p w14:paraId="5C6F919E" w14:textId="77777777" w:rsidR="00D17BB4" w:rsidRPr="006E19C7" w:rsidRDefault="00D17BB4" w:rsidP="00CD1F63">
            <w:r w:rsidRPr="006E19C7">
              <w:t>16.7%</w:t>
            </w:r>
          </w:p>
        </w:tc>
      </w:tr>
      <w:tr w:rsidR="00D17BB4" w:rsidRPr="006E19C7" w14:paraId="23C07747" w14:textId="77777777" w:rsidTr="00CD1F63">
        <w:trPr>
          <w:trHeight w:val="275"/>
          <w:jc w:val="center"/>
        </w:trPr>
        <w:tc>
          <w:tcPr>
            <w:tcW w:w="2123" w:type="pct"/>
            <w:shd w:val="clear" w:color="auto" w:fill="auto"/>
            <w:noWrap/>
          </w:tcPr>
          <w:p w14:paraId="03C2FD12" w14:textId="77777777" w:rsidR="00D17BB4" w:rsidRPr="006E19C7" w:rsidRDefault="00D17BB4" w:rsidP="00CD1F63">
            <w:r w:rsidRPr="006E19C7">
              <w:t>Weekend admission</w:t>
            </w:r>
          </w:p>
        </w:tc>
        <w:tc>
          <w:tcPr>
            <w:tcW w:w="1412" w:type="pct"/>
            <w:shd w:val="clear" w:color="auto" w:fill="auto"/>
          </w:tcPr>
          <w:p w14:paraId="6A734280" w14:textId="77777777" w:rsidR="00D17BB4" w:rsidRPr="006E19C7" w:rsidRDefault="00D17BB4" w:rsidP="00CD1F63">
            <w:r w:rsidRPr="006E19C7">
              <w:t>26.8%</w:t>
            </w:r>
          </w:p>
        </w:tc>
        <w:tc>
          <w:tcPr>
            <w:tcW w:w="1465" w:type="pct"/>
            <w:shd w:val="clear" w:color="auto" w:fill="auto"/>
          </w:tcPr>
          <w:p w14:paraId="62CB13B8" w14:textId="77777777" w:rsidR="00D17BB4" w:rsidRPr="006E19C7" w:rsidRDefault="00D17BB4" w:rsidP="00CD1F63">
            <w:r w:rsidRPr="006E19C7">
              <w:t>25.0%</w:t>
            </w:r>
          </w:p>
        </w:tc>
      </w:tr>
      <w:tr w:rsidR="00D17BB4" w:rsidRPr="006E19C7" w14:paraId="33D3A5D8" w14:textId="77777777" w:rsidTr="00CD1F63">
        <w:trPr>
          <w:trHeight w:val="275"/>
          <w:jc w:val="center"/>
        </w:trPr>
        <w:tc>
          <w:tcPr>
            <w:tcW w:w="2123" w:type="pct"/>
            <w:shd w:val="clear" w:color="auto" w:fill="auto"/>
            <w:noWrap/>
          </w:tcPr>
          <w:p w14:paraId="29AC94D1" w14:textId="77777777" w:rsidR="00D17BB4" w:rsidRPr="006E19C7" w:rsidRDefault="00D17BB4" w:rsidP="00CD1F63">
            <w:r w:rsidRPr="006E19C7">
              <w:t>Primary expected payer, %</w:t>
            </w:r>
          </w:p>
        </w:tc>
        <w:tc>
          <w:tcPr>
            <w:tcW w:w="1412" w:type="pct"/>
            <w:shd w:val="clear" w:color="auto" w:fill="auto"/>
          </w:tcPr>
          <w:p w14:paraId="5CD5EE57" w14:textId="77777777" w:rsidR="00D17BB4" w:rsidRPr="006E19C7" w:rsidRDefault="00D17BB4" w:rsidP="00CD1F63"/>
        </w:tc>
        <w:tc>
          <w:tcPr>
            <w:tcW w:w="1465" w:type="pct"/>
            <w:shd w:val="clear" w:color="auto" w:fill="auto"/>
          </w:tcPr>
          <w:p w14:paraId="16256656" w14:textId="77777777" w:rsidR="00D17BB4" w:rsidRPr="006E19C7" w:rsidRDefault="00D17BB4" w:rsidP="00CD1F63"/>
        </w:tc>
      </w:tr>
      <w:tr w:rsidR="00D17BB4" w:rsidRPr="006E19C7" w14:paraId="2DD06F74" w14:textId="77777777" w:rsidTr="00CD1F63">
        <w:trPr>
          <w:trHeight w:val="275"/>
          <w:jc w:val="center"/>
        </w:trPr>
        <w:tc>
          <w:tcPr>
            <w:tcW w:w="2123" w:type="pct"/>
            <w:shd w:val="clear" w:color="auto" w:fill="auto"/>
            <w:noWrap/>
          </w:tcPr>
          <w:p w14:paraId="598E1693" w14:textId="77777777" w:rsidR="00D17BB4" w:rsidRPr="006E19C7" w:rsidRDefault="00D17BB4" w:rsidP="00CD1F63">
            <w:r w:rsidRPr="006E19C7">
              <w:t>Medicare</w:t>
            </w:r>
          </w:p>
        </w:tc>
        <w:tc>
          <w:tcPr>
            <w:tcW w:w="1412" w:type="pct"/>
            <w:shd w:val="clear" w:color="auto" w:fill="auto"/>
          </w:tcPr>
          <w:p w14:paraId="3B04EDB4" w14:textId="77777777" w:rsidR="00D17BB4" w:rsidRPr="006E19C7" w:rsidRDefault="00D17BB4" w:rsidP="00CD1F63">
            <w:r w:rsidRPr="006E19C7">
              <w:t>72.2%</w:t>
            </w:r>
          </w:p>
        </w:tc>
        <w:tc>
          <w:tcPr>
            <w:tcW w:w="1465" w:type="pct"/>
            <w:shd w:val="clear" w:color="auto" w:fill="auto"/>
          </w:tcPr>
          <w:p w14:paraId="471FE63C" w14:textId="77777777" w:rsidR="00D17BB4" w:rsidRPr="006E19C7" w:rsidRDefault="00D17BB4" w:rsidP="00CD1F63">
            <w:r w:rsidRPr="006E19C7">
              <w:t>53.3%</w:t>
            </w:r>
          </w:p>
        </w:tc>
      </w:tr>
      <w:tr w:rsidR="00D17BB4" w:rsidRPr="006E19C7" w14:paraId="128A131D" w14:textId="77777777" w:rsidTr="00CD1F63">
        <w:trPr>
          <w:trHeight w:val="275"/>
          <w:jc w:val="center"/>
        </w:trPr>
        <w:tc>
          <w:tcPr>
            <w:tcW w:w="2123" w:type="pct"/>
            <w:shd w:val="clear" w:color="auto" w:fill="auto"/>
            <w:noWrap/>
          </w:tcPr>
          <w:p w14:paraId="30507EF2" w14:textId="77777777" w:rsidR="00D17BB4" w:rsidRPr="006E19C7" w:rsidRDefault="00D17BB4" w:rsidP="00CD1F63">
            <w:r w:rsidRPr="006E19C7">
              <w:t>Medicaid</w:t>
            </w:r>
          </w:p>
        </w:tc>
        <w:tc>
          <w:tcPr>
            <w:tcW w:w="1412" w:type="pct"/>
            <w:shd w:val="clear" w:color="auto" w:fill="auto"/>
          </w:tcPr>
          <w:p w14:paraId="1B22E089" w14:textId="77777777" w:rsidR="00D17BB4" w:rsidRPr="006E19C7" w:rsidRDefault="00D17BB4" w:rsidP="00CD1F63">
            <w:r w:rsidRPr="006E19C7">
              <w:t>5.7%</w:t>
            </w:r>
          </w:p>
        </w:tc>
        <w:tc>
          <w:tcPr>
            <w:tcW w:w="1465" w:type="pct"/>
            <w:shd w:val="clear" w:color="auto" w:fill="auto"/>
          </w:tcPr>
          <w:p w14:paraId="240C9A59" w14:textId="77777777" w:rsidR="00D17BB4" w:rsidRPr="006E19C7" w:rsidRDefault="00D17BB4" w:rsidP="00CD1F63">
            <w:r w:rsidRPr="006E19C7">
              <w:t>6.6%</w:t>
            </w:r>
          </w:p>
        </w:tc>
      </w:tr>
      <w:tr w:rsidR="00D17BB4" w:rsidRPr="006E19C7" w14:paraId="1E10CF74" w14:textId="77777777" w:rsidTr="00CD1F63">
        <w:trPr>
          <w:trHeight w:val="275"/>
          <w:jc w:val="center"/>
        </w:trPr>
        <w:tc>
          <w:tcPr>
            <w:tcW w:w="2123" w:type="pct"/>
            <w:shd w:val="clear" w:color="auto" w:fill="auto"/>
            <w:noWrap/>
          </w:tcPr>
          <w:p w14:paraId="560BFDA6" w14:textId="77777777" w:rsidR="00D17BB4" w:rsidRPr="006E19C7" w:rsidRDefault="00D17BB4" w:rsidP="00CD1F63">
            <w:r w:rsidRPr="006E19C7">
              <w:t>Private Insurance</w:t>
            </w:r>
          </w:p>
        </w:tc>
        <w:tc>
          <w:tcPr>
            <w:tcW w:w="1412" w:type="pct"/>
            <w:shd w:val="clear" w:color="auto" w:fill="auto"/>
          </w:tcPr>
          <w:p w14:paraId="250EB966" w14:textId="77777777" w:rsidR="00D17BB4" w:rsidRPr="006E19C7" w:rsidRDefault="00D17BB4" w:rsidP="00CD1F63">
            <w:r w:rsidRPr="006E19C7">
              <w:t>16.2%</w:t>
            </w:r>
          </w:p>
        </w:tc>
        <w:tc>
          <w:tcPr>
            <w:tcW w:w="1465" w:type="pct"/>
            <w:shd w:val="clear" w:color="auto" w:fill="auto"/>
          </w:tcPr>
          <w:p w14:paraId="40EB4DB4" w14:textId="77777777" w:rsidR="00D17BB4" w:rsidRPr="006E19C7" w:rsidRDefault="00D17BB4" w:rsidP="00CD1F63">
            <w:r w:rsidRPr="006E19C7">
              <w:t>30.3%</w:t>
            </w:r>
          </w:p>
        </w:tc>
      </w:tr>
      <w:tr w:rsidR="00D17BB4" w:rsidRPr="006E19C7" w14:paraId="381AF4BC" w14:textId="77777777" w:rsidTr="00CD1F63">
        <w:trPr>
          <w:trHeight w:val="275"/>
          <w:jc w:val="center"/>
        </w:trPr>
        <w:tc>
          <w:tcPr>
            <w:tcW w:w="2123" w:type="pct"/>
            <w:shd w:val="clear" w:color="auto" w:fill="auto"/>
            <w:noWrap/>
          </w:tcPr>
          <w:p w14:paraId="05F35F8C" w14:textId="77777777" w:rsidR="00D17BB4" w:rsidRPr="006E19C7" w:rsidRDefault="00D17BB4" w:rsidP="00CD1F63">
            <w:r w:rsidRPr="006E19C7">
              <w:t>Self-pay</w:t>
            </w:r>
          </w:p>
        </w:tc>
        <w:tc>
          <w:tcPr>
            <w:tcW w:w="1412" w:type="pct"/>
            <w:shd w:val="clear" w:color="auto" w:fill="auto"/>
          </w:tcPr>
          <w:p w14:paraId="64A53F7F" w14:textId="77777777" w:rsidR="00D17BB4" w:rsidRPr="006E19C7" w:rsidRDefault="00D17BB4" w:rsidP="00CD1F63">
            <w:r w:rsidRPr="006E19C7">
              <w:t>3.6%</w:t>
            </w:r>
          </w:p>
        </w:tc>
        <w:tc>
          <w:tcPr>
            <w:tcW w:w="1465" w:type="pct"/>
            <w:shd w:val="clear" w:color="auto" w:fill="auto"/>
          </w:tcPr>
          <w:p w14:paraId="3281C979" w14:textId="77777777" w:rsidR="00D17BB4" w:rsidRPr="006E19C7" w:rsidRDefault="00D17BB4" w:rsidP="00CD1F63">
            <w:r w:rsidRPr="006E19C7">
              <w:t>6.2%</w:t>
            </w:r>
          </w:p>
        </w:tc>
      </w:tr>
      <w:tr w:rsidR="00D17BB4" w:rsidRPr="006E19C7" w14:paraId="400A96D6" w14:textId="77777777" w:rsidTr="00CD1F63">
        <w:trPr>
          <w:trHeight w:val="275"/>
          <w:jc w:val="center"/>
        </w:trPr>
        <w:tc>
          <w:tcPr>
            <w:tcW w:w="2123" w:type="pct"/>
            <w:shd w:val="clear" w:color="auto" w:fill="auto"/>
            <w:noWrap/>
          </w:tcPr>
          <w:p w14:paraId="7D2B9899" w14:textId="77777777" w:rsidR="00D17BB4" w:rsidRPr="006E19C7" w:rsidRDefault="00D17BB4" w:rsidP="00CD1F63">
            <w:r w:rsidRPr="006E19C7">
              <w:t>No charge</w:t>
            </w:r>
          </w:p>
        </w:tc>
        <w:tc>
          <w:tcPr>
            <w:tcW w:w="1412" w:type="pct"/>
            <w:shd w:val="clear" w:color="auto" w:fill="auto"/>
          </w:tcPr>
          <w:p w14:paraId="0C8A30A7" w14:textId="77777777" w:rsidR="00D17BB4" w:rsidRPr="006E19C7" w:rsidRDefault="00D17BB4" w:rsidP="00CD1F63">
            <w:r w:rsidRPr="006E19C7">
              <w:t>0.3%</w:t>
            </w:r>
          </w:p>
        </w:tc>
        <w:tc>
          <w:tcPr>
            <w:tcW w:w="1465" w:type="pct"/>
            <w:shd w:val="clear" w:color="auto" w:fill="auto"/>
          </w:tcPr>
          <w:p w14:paraId="2C792EF1" w14:textId="77777777" w:rsidR="00D17BB4" w:rsidRPr="006E19C7" w:rsidRDefault="00D17BB4" w:rsidP="00CD1F63">
            <w:r w:rsidRPr="006E19C7">
              <w:t>0.7%</w:t>
            </w:r>
          </w:p>
        </w:tc>
      </w:tr>
      <w:tr w:rsidR="00D17BB4" w:rsidRPr="006E19C7" w14:paraId="2831DF46" w14:textId="77777777" w:rsidTr="00CD1F63">
        <w:trPr>
          <w:trHeight w:val="275"/>
          <w:jc w:val="center"/>
        </w:trPr>
        <w:tc>
          <w:tcPr>
            <w:tcW w:w="2123" w:type="pct"/>
            <w:shd w:val="clear" w:color="auto" w:fill="auto"/>
            <w:noWrap/>
          </w:tcPr>
          <w:p w14:paraId="71496DED" w14:textId="77777777" w:rsidR="00D17BB4" w:rsidRPr="006E19C7" w:rsidRDefault="00D17BB4" w:rsidP="00CD1F63">
            <w:r w:rsidRPr="006E19C7">
              <w:t>other</w:t>
            </w:r>
          </w:p>
        </w:tc>
        <w:tc>
          <w:tcPr>
            <w:tcW w:w="1412" w:type="pct"/>
            <w:shd w:val="clear" w:color="auto" w:fill="auto"/>
          </w:tcPr>
          <w:p w14:paraId="290B034D" w14:textId="77777777" w:rsidR="00D17BB4" w:rsidRPr="006E19C7" w:rsidRDefault="00D17BB4" w:rsidP="00CD1F63">
            <w:r w:rsidRPr="006E19C7">
              <w:t>1.9%</w:t>
            </w:r>
          </w:p>
        </w:tc>
        <w:tc>
          <w:tcPr>
            <w:tcW w:w="1465" w:type="pct"/>
            <w:shd w:val="clear" w:color="auto" w:fill="auto"/>
          </w:tcPr>
          <w:p w14:paraId="268A7186" w14:textId="77777777" w:rsidR="00D17BB4" w:rsidRPr="006E19C7" w:rsidRDefault="00D17BB4" w:rsidP="00CD1F63">
            <w:r w:rsidRPr="006E19C7">
              <w:t>2.9%</w:t>
            </w:r>
          </w:p>
        </w:tc>
      </w:tr>
      <w:tr w:rsidR="00D17BB4" w:rsidRPr="006E19C7" w14:paraId="7597FF2A" w14:textId="77777777" w:rsidTr="00CD1F63">
        <w:trPr>
          <w:trHeight w:val="275"/>
          <w:jc w:val="center"/>
        </w:trPr>
        <w:tc>
          <w:tcPr>
            <w:tcW w:w="2123" w:type="pct"/>
            <w:shd w:val="clear" w:color="auto" w:fill="auto"/>
            <w:noWrap/>
          </w:tcPr>
          <w:p w14:paraId="1C4F3FBF" w14:textId="77777777" w:rsidR="00D17BB4" w:rsidRPr="006E19C7" w:rsidRDefault="00D17BB4" w:rsidP="00CD1F63">
            <w:r w:rsidRPr="006E19C7">
              <w:t>Median Household Income (percentile)</w:t>
            </w:r>
          </w:p>
        </w:tc>
        <w:tc>
          <w:tcPr>
            <w:tcW w:w="1412" w:type="pct"/>
            <w:shd w:val="clear" w:color="auto" w:fill="auto"/>
          </w:tcPr>
          <w:p w14:paraId="274D4885" w14:textId="77777777" w:rsidR="00D17BB4" w:rsidRPr="006E19C7" w:rsidRDefault="00D17BB4" w:rsidP="00CD1F63"/>
        </w:tc>
        <w:tc>
          <w:tcPr>
            <w:tcW w:w="1465" w:type="pct"/>
            <w:shd w:val="clear" w:color="auto" w:fill="auto"/>
          </w:tcPr>
          <w:p w14:paraId="5AE3F0C1" w14:textId="77777777" w:rsidR="00D17BB4" w:rsidRPr="006E19C7" w:rsidRDefault="00D17BB4" w:rsidP="00CD1F63"/>
        </w:tc>
      </w:tr>
      <w:tr w:rsidR="00D17BB4" w:rsidRPr="006E19C7" w14:paraId="7B672B2D" w14:textId="77777777" w:rsidTr="00CD1F63">
        <w:trPr>
          <w:trHeight w:val="275"/>
          <w:jc w:val="center"/>
        </w:trPr>
        <w:tc>
          <w:tcPr>
            <w:tcW w:w="2123" w:type="pct"/>
            <w:shd w:val="clear" w:color="auto" w:fill="auto"/>
            <w:noWrap/>
          </w:tcPr>
          <w:p w14:paraId="6324F367" w14:textId="77777777" w:rsidR="00D17BB4" w:rsidRPr="006E19C7" w:rsidRDefault="00D17BB4" w:rsidP="00CD1F63">
            <w:r w:rsidRPr="006E19C7">
              <w:t>0-25</w:t>
            </w:r>
            <w:r w:rsidRPr="006E19C7">
              <w:rPr>
                <w:vertAlign w:val="superscript"/>
              </w:rPr>
              <w:t>th</w:t>
            </w:r>
          </w:p>
        </w:tc>
        <w:tc>
          <w:tcPr>
            <w:tcW w:w="1412" w:type="pct"/>
            <w:shd w:val="clear" w:color="auto" w:fill="auto"/>
          </w:tcPr>
          <w:p w14:paraId="1B9AAE15" w14:textId="77777777" w:rsidR="00D17BB4" w:rsidRPr="006E19C7" w:rsidRDefault="00D17BB4" w:rsidP="00CD1F63">
            <w:r w:rsidRPr="006E19C7">
              <w:t>30.2%</w:t>
            </w:r>
          </w:p>
        </w:tc>
        <w:tc>
          <w:tcPr>
            <w:tcW w:w="1465" w:type="pct"/>
            <w:shd w:val="clear" w:color="auto" w:fill="auto"/>
          </w:tcPr>
          <w:p w14:paraId="1815122E" w14:textId="77777777" w:rsidR="00D17BB4" w:rsidRPr="006E19C7" w:rsidRDefault="00D17BB4" w:rsidP="00CD1F63">
            <w:r w:rsidRPr="006E19C7">
              <w:t>29.2%</w:t>
            </w:r>
          </w:p>
        </w:tc>
      </w:tr>
      <w:tr w:rsidR="00D17BB4" w:rsidRPr="006E19C7" w14:paraId="343A4FF3" w14:textId="77777777" w:rsidTr="00CD1F63">
        <w:trPr>
          <w:trHeight w:val="275"/>
          <w:jc w:val="center"/>
        </w:trPr>
        <w:tc>
          <w:tcPr>
            <w:tcW w:w="2123" w:type="pct"/>
            <w:shd w:val="clear" w:color="auto" w:fill="auto"/>
            <w:noWrap/>
          </w:tcPr>
          <w:p w14:paraId="3FF04D97" w14:textId="77777777" w:rsidR="00D17BB4" w:rsidRPr="006E19C7" w:rsidRDefault="00D17BB4" w:rsidP="00CD1F63">
            <w:r w:rsidRPr="006E19C7">
              <w:t>26-50</w:t>
            </w:r>
            <w:r w:rsidRPr="006E19C7">
              <w:rPr>
                <w:vertAlign w:val="superscript"/>
              </w:rPr>
              <w:t>th</w:t>
            </w:r>
          </w:p>
        </w:tc>
        <w:tc>
          <w:tcPr>
            <w:tcW w:w="1412" w:type="pct"/>
            <w:shd w:val="clear" w:color="auto" w:fill="auto"/>
          </w:tcPr>
          <w:p w14:paraId="00DD7798" w14:textId="77777777" w:rsidR="00D17BB4" w:rsidRPr="006E19C7" w:rsidRDefault="00D17BB4" w:rsidP="00CD1F63">
            <w:r w:rsidRPr="006E19C7">
              <w:t>27.0%</w:t>
            </w:r>
          </w:p>
        </w:tc>
        <w:tc>
          <w:tcPr>
            <w:tcW w:w="1465" w:type="pct"/>
            <w:shd w:val="clear" w:color="auto" w:fill="auto"/>
          </w:tcPr>
          <w:p w14:paraId="4B41BE9C" w14:textId="77777777" w:rsidR="00D17BB4" w:rsidRPr="006E19C7" w:rsidRDefault="00D17BB4" w:rsidP="00CD1F63">
            <w:r w:rsidRPr="006E19C7">
              <w:t>27.7%</w:t>
            </w:r>
          </w:p>
        </w:tc>
      </w:tr>
      <w:tr w:rsidR="00D17BB4" w:rsidRPr="006E19C7" w14:paraId="1BC0EBB0" w14:textId="77777777" w:rsidTr="00CD1F63">
        <w:trPr>
          <w:trHeight w:val="275"/>
          <w:jc w:val="center"/>
        </w:trPr>
        <w:tc>
          <w:tcPr>
            <w:tcW w:w="2123" w:type="pct"/>
            <w:shd w:val="clear" w:color="auto" w:fill="auto"/>
            <w:noWrap/>
          </w:tcPr>
          <w:p w14:paraId="3C19E416" w14:textId="77777777" w:rsidR="00D17BB4" w:rsidRPr="006E19C7" w:rsidRDefault="00D17BB4" w:rsidP="00CD1F63">
            <w:r w:rsidRPr="006E19C7">
              <w:t>51-75</w:t>
            </w:r>
            <w:r w:rsidRPr="006E19C7">
              <w:rPr>
                <w:vertAlign w:val="superscript"/>
              </w:rPr>
              <w:t>th</w:t>
            </w:r>
          </w:p>
        </w:tc>
        <w:tc>
          <w:tcPr>
            <w:tcW w:w="1412" w:type="pct"/>
            <w:shd w:val="clear" w:color="auto" w:fill="auto"/>
          </w:tcPr>
          <w:p w14:paraId="484FEC6B" w14:textId="77777777" w:rsidR="00D17BB4" w:rsidRPr="006E19C7" w:rsidRDefault="00D17BB4" w:rsidP="00CD1F63">
            <w:r w:rsidRPr="006E19C7">
              <w:t>22.7%</w:t>
            </w:r>
          </w:p>
        </w:tc>
        <w:tc>
          <w:tcPr>
            <w:tcW w:w="1465" w:type="pct"/>
            <w:shd w:val="clear" w:color="auto" w:fill="auto"/>
          </w:tcPr>
          <w:p w14:paraId="3D2DA933" w14:textId="77777777" w:rsidR="00D17BB4" w:rsidRPr="006E19C7" w:rsidRDefault="00D17BB4" w:rsidP="00CD1F63">
            <w:r w:rsidRPr="006E19C7">
              <w:t>23.9%</w:t>
            </w:r>
          </w:p>
        </w:tc>
      </w:tr>
      <w:tr w:rsidR="00D17BB4" w:rsidRPr="006E19C7" w14:paraId="2EC62266" w14:textId="77777777" w:rsidTr="00CD1F63">
        <w:trPr>
          <w:trHeight w:val="275"/>
          <w:jc w:val="center"/>
        </w:trPr>
        <w:tc>
          <w:tcPr>
            <w:tcW w:w="2123" w:type="pct"/>
            <w:shd w:val="clear" w:color="auto" w:fill="auto"/>
            <w:noWrap/>
          </w:tcPr>
          <w:p w14:paraId="531E7077" w14:textId="77777777" w:rsidR="00D17BB4" w:rsidRPr="006E19C7" w:rsidRDefault="00D17BB4" w:rsidP="00CD1F63">
            <w:r w:rsidRPr="006E19C7">
              <w:t>76-100</w:t>
            </w:r>
            <w:r w:rsidRPr="006E19C7">
              <w:rPr>
                <w:vertAlign w:val="superscript"/>
              </w:rPr>
              <w:t>th</w:t>
            </w:r>
          </w:p>
        </w:tc>
        <w:tc>
          <w:tcPr>
            <w:tcW w:w="1412" w:type="pct"/>
            <w:shd w:val="clear" w:color="auto" w:fill="auto"/>
          </w:tcPr>
          <w:p w14:paraId="51CD618B" w14:textId="77777777" w:rsidR="00D17BB4" w:rsidRPr="006E19C7" w:rsidRDefault="00D17BB4" w:rsidP="00CD1F63">
            <w:r w:rsidRPr="006E19C7">
              <w:t>20.1%</w:t>
            </w:r>
          </w:p>
        </w:tc>
        <w:tc>
          <w:tcPr>
            <w:tcW w:w="1465" w:type="pct"/>
            <w:shd w:val="clear" w:color="auto" w:fill="auto"/>
          </w:tcPr>
          <w:p w14:paraId="4F23E2F1" w14:textId="77777777" w:rsidR="00D17BB4" w:rsidRPr="006E19C7" w:rsidRDefault="00D17BB4" w:rsidP="00CD1F63">
            <w:r w:rsidRPr="006E19C7">
              <w:t>19.2%</w:t>
            </w:r>
          </w:p>
        </w:tc>
      </w:tr>
      <w:tr w:rsidR="00D17BB4" w:rsidRPr="006E19C7" w14:paraId="2026CD1A" w14:textId="77777777" w:rsidTr="00CD1F63">
        <w:trPr>
          <w:trHeight w:val="275"/>
          <w:jc w:val="center"/>
        </w:trPr>
        <w:tc>
          <w:tcPr>
            <w:tcW w:w="2123" w:type="pct"/>
            <w:shd w:val="clear" w:color="auto" w:fill="auto"/>
            <w:noWrap/>
          </w:tcPr>
          <w:p w14:paraId="02227DA6" w14:textId="77777777" w:rsidR="00D17BB4" w:rsidRPr="006E19C7" w:rsidRDefault="00D17BB4" w:rsidP="00CD1F63">
            <w:r w:rsidRPr="006E19C7">
              <w:t>Comorbidities, %</w:t>
            </w:r>
          </w:p>
        </w:tc>
        <w:tc>
          <w:tcPr>
            <w:tcW w:w="1412" w:type="pct"/>
            <w:shd w:val="clear" w:color="auto" w:fill="auto"/>
          </w:tcPr>
          <w:p w14:paraId="003AED93" w14:textId="77777777" w:rsidR="00D17BB4" w:rsidRPr="006E19C7" w:rsidRDefault="00D17BB4" w:rsidP="00CD1F63"/>
        </w:tc>
        <w:tc>
          <w:tcPr>
            <w:tcW w:w="1465" w:type="pct"/>
            <w:shd w:val="clear" w:color="auto" w:fill="auto"/>
          </w:tcPr>
          <w:p w14:paraId="6FB8D095" w14:textId="77777777" w:rsidR="00D17BB4" w:rsidRPr="006E19C7" w:rsidRDefault="00D17BB4" w:rsidP="00CD1F63"/>
        </w:tc>
      </w:tr>
      <w:tr w:rsidR="00D17BB4" w:rsidRPr="006E19C7" w14:paraId="4E965B4B" w14:textId="77777777" w:rsidTr="00CD1F63">
        <w:trPr>
          <w:trHeight w:val="275"/>
          <w:jc w:val="center"/>
        </w:trPr>
        <w:tc>
          <w:tcPr>
            <w:tcW w:w="2123" w:type="pct"/>
            <w:shd w:val="clear" w:color="auto" w:fill="auto"/>
            <w:noWrap/>
          </w:tcPr>
          <w:p w14:paraId="0B97142C" w14:textId="77777777" w:rsidR="00D17BB4" w:rsidRPr="006E19C7" w:rsidRDefault="00D17BB4" w:rsidP="00CD1F63">
            <w:r w:rsidRPr="006E19C7">
              <w:t>Dyslipidaemia</w:t>
            </w:r>
          </w:p>
        </w:tc>
        <w:tc>
          <w:tcPr>
            <w:tcW w:w="1412" w:type="pct"/>
            <w:shd w:val="clear" w:color="auto" w:fill="auto"/>
          </w:tcPr>
          <w:p w14:paraId="3DED9887" w14:textId="77777777" w:rsidR="00D17BB4" w:rsidRPr="006E19C7" w:rsidRDefault="00D17BB4" w:rsidP="00CD1F63">
            <w:r w:rsidRPr="006E19C7">
              <w:t>37.5%</w:t>
            </w:r>
          </w:p>
        </w:tc>
        <w:tc>
          <w:tcPr>
            <w:tcW w:w="1465" w:type="pct"/>
            <w:shd w:val="clear" w:color="auto" w:fill="auto"/>
          </w:tcPr>
          <w:p w14:paraId="5F0143E4" w14:textId="77777777" w:rsidR="00D17BB4" w:rsidRPr="006E19C7" w:rsidRDefault="00D17BB4" w:rsidP="00CD1F63">
            <w:r w:rsidRPr="006E19C7">
              <w:t>56.4%</w:t>
            </w:r>
          </w:p>
        </w:tc>
      </w:tr>
      <w:tr w:rsidR="00D17BB4" w:rsidRPr="006E19C7" w14:paraId="79B2BD75" w14:textId="77777777" w:rsidTr="00CD1F63">
        <w:trPr>
          <w:trHeight w:val="275"/>
          <w:jc w:val="center"/>
        </w:trPr>
        <w:tc>
          <w:tcPr>
            <w:tcW w:w="2123" w:type="pct"/>
            <w:shd w:val="clear" w:color="auto" w:fill="auto"/>
            <w:noWrap/>
          </w:tcPr>
          <w:p w14:paraId="79392170" w14:textId="77777777" w:rsidR="00D17BB4" w:rsidRPr="006E19C7" w:rsidRDefault="00D17BB4" w:rsidP="00CD1F63">
            <w:r w:rsidRPr="006E19C7">
              <w:t>Smoking</w:t>
            </w:r>
          </w:p>
        </w:tc>
        <w:tc>
          <w:tcPr>
            <w:tcW w:w="1412" w:type="pct"/>
            <w:shd w:val="clear" w:color="auto" w:fill="auto"/>
          </w:tcPr>
          <w:p w14:paraId="1FC4B3AF" w14:textId="77777777" w:rsidR="00D17BB4" w:rsidRPr="006E19C7" w:rsidRDefault="00D17BB4" w:rsidP="00CD1F63">
            <w:r w:rsidRPr="006E19C7">
              <w:t>22.4%</w:t>
            </w:r>
          </w:p>
        </w:tc>
        <w:tc>
          <w:tcPr>
            <w:tcW w:w="1465" w:type="pct"/>
            <w:shd w:val="clear" w:color="auto" w:fill="auto"/>
          </w:tcPr>
          <w:p w14:paraId="582E0CED" w14:textId="77777777" w:rsidR="00D17BB4" w:rsidRPr="006E19C7" w:rsidRDefault="00D17BB4" w:rsidP="00CD1F63">
            <w:r w:rsidRPr="006E19C7">
              <w:t>37.9%</w:t>
            </w:r>
          </w:p>
        </w:tc>
      </w:tr>
      <w:tr w:rsidR="00D17BB4" w:rsidRPr="006E19C7" w14:paraId="3FDB9FDE" w14:textId="77777777" w:rsidTr="00CD1F63">
        <w:trPr>
          <w:trHeight w:val="275"/>
          <w:jc w:val="center"/>
        </w:trPr>
        <w:tc>
          <w:tcPr>
            <w:tcW w:w="2123" w:type="pct"/>
            <w:shd w:val="clear" w:color="auto" w:fill="auto"/>
            <w:noWrap/>
          </w:tcPr>
          <w:p w14:paraId="591B17C8" w14:textId="77777777" w:rsidR="00D17BB4" w:rsidRPr="006E19C7" w:rsidRDefault="00D17BB4" w:rsidP="00CD1F63">
            <w:r w:rsidRPr="006E19C7">
              <w:t>Previous AMI</w:t>
            </w:r>
          </w:p>
        </w:tc>
        <w:tc>
          <w:tcPr>
            <w:tcW w:w="1412" w:type="pct"/>
            <w:shd w:val="clear" w:color="auto" w:fill="auto"/>
          </w:tcPr>
          <w:p w14:paraId="7F6C2B3E" w14:textId="77777777" w:rsidR="00D17BB4" w:rsidRPr="006E19C7" w:rsidRDefault="00D17BB4" w:rsidP="00CD1F63">
            <w:r w:rsidRPr="006E19C7">
              <w:t>9.5%</w:t>
            </w:r>
          </w:p>
        </w:tc>
        <w:tc>
          <w:tcPr>
            <w:tcW w:w="1465" w:type="pct"/>
            <w:shd w:val="clear" w:color="auto" w:fill="auto"/>
          </w:tcPr>
          <w:p w14:paraId="73C3F6AF" w14:textId="77777777" w:rsidR="00D17BB4" w:rsidRPr="006E19C7" w:rsidRDefault="00D17BB4" w:rsidP="00CD1F63">
            <w:r w:rsidRPr="006E19C7">
              <w:t>9.4%</w:t>
            </w:r>
          </w:p>
        </w:tc>
      </w:tr>
      <w:tr w:rsidR="00D17BB4" w:rsidRPr="006E19C7" w14:paraId="70337537" w14:textId="77777777" w:rsidTr="00CD1F63">
        <w:trPr>
          <w:trHeight w:val="275"/>
          <w:jc w:val="center"/>
        </w:trPr>
        <w:tc>
          <w:tcPr>
            <w:tcW w:w="2123" w:type="pct"/>
            <w:shd w:val="clear" w:color="auto" w:fill="auto"/>
            <w:noWrap/>
          </w:tcPr>
          <w:p w14:paraId="6790F112" w14:textId="77777777" w:rsidR="00D17BB4" w:rsidRPr="006E19C7" w:rsidRDefault="00D17BB4" w:rsidP="00CD1F63">
            <w:r w:rsidRPr="006E19C7">
              <w:t>History of IHD</w:t>
            </w:r>
          </w:p>
        </w:tc>
        <w:tc>
          <w:tcPr>
            <w:tcW w:w="1412" w:type="pct"/>
            <w:shd w:val="clear" w:color="auto" w:fill="auto"/>
          </w:tcPr>
          <w:p w14:paraId="3E7D2F2F" w14:textId="77777777" w:rsidR="00D17BB4" w:rsidRPr="006E19C7" w:rsidRDefault="00D17BB4" w:rsidP="00CD1F63">
            <w:r w:rsidRPr="006E19C7">
              <w:t>42.6%</w:t>
            </w:r>
          </w:p>
        </w:tc>
        <w:tc>
          <w:tcPr>
            <w:tcW w:w="1465" w:type="pct"/>
            <w:shd w:val="clear" w:color="auto" w:fill="auto"/>
          </w:tcPr>
          <w:p w14:paraId="6387EA46" w14:textId="77777777" w:rsidR="00D17BB4" w:rsidRPr="006E19C7" w:rsidRDefault="00D17BB4" w:rsidP="00CD1F63">
            <w:r w:rsidRPr="006E19C7">
              <w:t>81.7%</w:t>
            </w:r>
          </w:p>
        </w:tc>
      </w:tr>
      <w:tr w:rsidR="00D17BB4" w:rsidRPr="006E19C7" w14:paraId="3CEB3518" w14:textId="77777777" w:rsidTr="00CD1F63">
        <w:trPr>
          <w:trHeight w:val="275"/>
          <w:jc w:val="center"/>
        </w:trPr>
        <w:tc>
          <w:tcPr>
            <w:tcW w:w="2123" w:type="pct"/>
            <w:shd w:val="clear" w:color="auto" w:fill="auto"/>
            <w:noWrap/>
          </w:tcPr>
          <w:p w14:paraId="0124AD81" w14:textId="77777777" w:rsidR="00D17BB4" w:rsidRPr="006E19C7" w:rsidRDefault="00D17BB4" w:rsidP="00CD1F63">
            <w:r w:rsidRPr="006E19C7">
              <w:t>Previous PCI</w:t>
            </w:r>
          </w:p>
        </w:tc>
        <w:tc>
          <w:tcPr>
            <w:tcW w:w="1412" w:type="pct"/>
            <w:shd w:val="clear" w:color="auto" w:fill="auto"/>
          </w:tcPr>
          <w:p w14:paraId="7720DE57" w14:textId="77777777" w:rsidR="00D17BB4" w:rsidRPr="006E19C7" w:rsidRDefault="00D17BB4" w:rsidP="00CD1F63">
            <w:r w:rsidRPr="006E19C7">
              <w:t>7.7%</w:t>
            </w:r>
          </w:p>
        </w:tc>
        <w:tc>
          <w:tcPr>
            <w:tcW w:w="1465" w:type="pct"/>
            <w:shd w:val="clear" w:color="auto" w:fill="auto"/>
          </w:tcPr>
          <w:p w14:paraId="42FE9D74" w14:textId="77777777" w:rsidR="00D17BB4" w:rsidRPr="006E19C7" w:rsidRDefault="00D17BB4" w:rsidP="00CD1F63">
            <w:r w:rsidRPr="006E19C7">
              <w:t>11.5%</w:t>
            </w:r>
          </w:p>
        </w:tc>
      </w:tr>
      <w:tr w:rsidR="00D17BB4" w:rsidRPr="006E19C7" w14:paraId="2CD64264" w14:textId="77777777" w:rsidTr="00CD1F63">
        <w:trPr>
          <w:trHeight w:val="275"/>
          <w:jc w:val="center"/>
        </w:trPr>
        <w:tc>
          <w:tcPr>
            <w:tcW w:w="2123" w:type="pct"/>
            <w:shd w:val="clear" w:color="auto" w:fill="auto"/>
            <w:noWrap/>
          </w:tcPr>
          <w:p w14:paraId="2660BE46" w14:textId="77777777" w:rsidR="00D17BB4" w:rsidRPr="006E19C7" w:rsidRDefault="00D17BB4" w:rsidP="00CD1F63">
            <w:r w:rsidRPr="006E19C7">
              <w:t>Previous CABG</w:t>
            </w:r>
          </w:p>
        </w:tc>
        <w:tc>
          <w:tcPr>
            <w:tcW w:w="1412" w:type="pct"/>
            <w:shd w:val="clear" w:color="auto" w:fill="auto"/>
          </w:tcPr>
          <w:p w14:paraId="68705420" w14:textId="77777777" w:rsidR="00D17BB4" w:rsidRPr="006E19C7" w:rsidRDefault="00D17BB4" w:rsidP="00CD1F63">
            <w:r w:rsidRPr="006E19C7">
              <w:t>10.1%</w:t>
            </w:r>
          </w:p>
        </w:tc>
        <w:tc>
          <w:tcPr>
            <w:tcW w:w="1465" w:type="pct"/>
            <w:shd w:val="clear" w:color="auto" w:fill="auto"/>
          </w:tcPr>
          <w:p w14:paraId="38584184" w14:textId="77777777" w:rsidR="00D17BB4" w:rsidRPr="006E19C7" w:rsidRDefault="00D17BB4" w:rsidP="00CD1F63">
            <w:r w:rsidRPr="006E19C7">
              <w:t>5.8%</w:t>
            </w:r>
          </w:p>
        </w:tc>
      </w:tr>
      <w:tr w:rsidR="00D17BB4" w:rsidRPr="006E19C7" w14:paraId="7389A123" w14:textId="77777777" w:rsidTr="00CD1F63">
        <w:trPr>
          <w:trHeight w:val="275"/>
          <w:jc w:val="center"/>
        </w:trPr>
        <w:tc>
          <w:tcPr>
            <w:tcW w:w="2123" w:type="pct"/>
            <w:shd w:val="clear" w:color="auto" w:fill="auto"/>
            <w:noWrap/>
          </w:tcPr>
          <w:p w14:paraId="32BDBD36" w14:textId="77777777" w:rsidR="00D17BB4" w:rsidRPr="006E19C7" w:rsidRDefault="00D17BB4" w:rsidP="00CD1F63">
            <w:r w:rsidRPr="006E19C7">
              <w:t>Previous CVA</w:t>
            </w:r>
          </w:p>
        </w:tc>
        <w:tc>
          <w:tcPr>
            <w:tcW w:w="1412" w:type="pct"/>
            <w:shd w:val="clear" w:color="auto" w:fill="auto"/>
          </w:tcPr>
          <w:p w14:paraId="34109403" w14:textId="77777777" w:rsidR="00D17BB4" w:rsidRPr="006E19C7" w:rsidRDefault="00D17BB4" w:rsidP="00CD1F63">
            <w:r w:rsidRPr="006E19C7">
              <w:t>4.0%</w:t>
            </w:r>
          </w:p>
        </w:tc>
        <w:tc>
          <w:tcPr>
            <w:tcW w:w="1465" w:type="pct"/>
            <w:shd w:val="clear" w:color="auto" w:fill="auto"/>
          </w:tcPr>
          <w:p w14:paraId="7B0B174B" w14:textId="77777777" w:rsidR="00D17BB4" w:rsidRPr="006E19C7" w:rsidRDefault="00D17BB4" w:rsidP="00CD1F63">
            <w:r w:rsidRPr="006E19C7">
              <w:t>3.1%</w:t>
            </w:r>
          </w:p>
        </w:tc>
      </w:tr>
      <w:tr w:rsidR="00D17BB4" w:rsidRPr="006E19C7" w14:paraId="5254717C" w14:textId="77777777" w:rsidTr="00CD1F63">
        <w:trPr>
          <w:trHeight w:val="275"/>
          <w:jc w:val="center"/>
        </w:trPr>
        <w:tc>
          <w:tcPr>
            <w:tcW w:w="2123" w:type="pct"/>
            <w:shd w:val="clear" w:color="auto" w:fill="auto"/>
            <w:noWrap/>
          </w:tcPr>
          <w:p w14:paraId="01F7B687" w14:textId="77777777" w:rsidR="00D17BB4" w:rsidRPr="006E19C7" w:rsidRDefault="00D17BB4" w:rsidP="00CD1F63">
            <w:r w:rsidRPr="006E19C7">
              <w:t>Family history of CAD</w:t>
            </w:r>
          </w:p>
        </w:tc>
        <w:tc>
          <w:tcPr>
            <w:tcW w:w="1412" w:type="pct"/>
            <w:shd w:val="clear" w:color="auto" w:fill="auto"/>
          </w:tcPr>
          <w:p w14:paraId="1722016F" w14:textId="77777777" w:rsidR="00D17BB4" w:rsidRPr="006E19C7" w:rsidRDefault="00D17BB4" w:rsidP="00CD1F63">
            <w:r w:rsidRPr="006E19C7">
              <w:t>3.7%</w:t>
            </w:r>
          </w:p>
        </w:tc>
        <w:tc>
          <w:tcPr>
            <w:tcW w:w="1465" w:type="pct"/>
            <w:shd w:val="clear" w:color="auto" w:fill="auto"/>
          </w:tcPr>
          <w:p w14:paraId="0E9DAF22" w14:textId="77777777" w:rsidR="00D17BB4" w:rsidRPr="006E19C7" w:rsidRDefault="00D17BB4" w:rsidP="00CD1F63">
            <w:r w:rsidRPr="006E19C7">
              <w:t>8.0%</w:t>
            </w:r>
          </w:p>
        </w:tc>
      </w:tr>
      <w:tr w:rsidR="00D17BB4" w:rsidRPr="006E19C7" w14:paraId="604E80A7" w14:textId="77777777" w:rsidTr="00CD1F63">
        <w:trPr>
          <w:trHeight w:val="275"/>
          <w:jc w:val="center"/>
        </w:trPr>
        <w:tc>
          <w:tcPr>
            <w:tcW w:w="2123" w:type="pct"/>
            <w:shd w:val="clear" w:color="auto" w:fill="auto"/>
            <w:noWrap/>
          </w:tcPr>
          <w:p w14:paraId="0C927C7D" w14:textId="77777777" w:rsidR="00D17BB4" w:rsidRPr="006E19C7" w:rsidRDefault="00D17BB4" w:rsidP="00CD1F63">
            <w:proofErr w:type="spellStart"/>
            <w:r w:rsidRPr="006E19C7">
              <w:t>Valvular</w:t>
            </w:r>
            <w:proofErr w:type="spellEnd"/>
            <w:r w:rsidRPr="006E19C7">
              <w:t xml:space="preserve"> heart disease</w:t>
            </w:r>
          </w:p>
        </w:tc>
        <w:tc>
          <w:tcPr>
            <w:tcW w:w="1412" w:type="pct"/>
            <w:shd w:val="clear" w:color="auto" w:fill="auto"/>
          </w:tcPr>
          <w:p w14:paraId="6ABE841A" w14:textId="77777777" w:rsidR="00D17BB4" w:rsidRPr="006E19C7" w:rsidRDefault="00D17BB4" w:rsidP="00CD1F63">
            <w:r w:rsidRPr="006E19C7">
              <w:t>0.4</w:t>
            </w:r>
          </w:p>
        </w:tc>
        <w:tc>
          <w:tcPr>
            <w:tcW w:w="1465" w:type="pct"/>
            <w:shd w:val="clear" w:color="auto" w:fill="auto"/>
          </w:tcPr>
          <w:p w14:paraId="29DEB83B" w14:textId="77777777" w:rsidR="00D17BB4" w:rsidRPr="006E19C7" w:rsidRDefault="00D17BB4" w:rsidP="00CD1F63">
            <w:r w:rsidRPr="006E19C7">
              <w:t>0.1</w:t>
            </w:r>
          </w:p>
        </w:tc>
      </w:tr>
      <w:tr w:rsidR="00D17BB4" w:rsidRPr="006E19C7" w14:paraId="3B2CCB6A" w14:textId="77777777" w:rsidTr="00CD1F63">
        <w:trPr>
          <w:trHeight w:val="275"/>
          <w:jc w:val="center"/>
        </w:trPr>
        <w:tc>
          <w:tcPr>
            <w:tcW w:w="2123" w:type="pct"/>
            <w:shd w:val="clear" w:color="auto" w:fill="auto"/>
            <w:noWrap/>
          </w:tcPr>
          <w:p w14:paraId="3EAA82F9" w14:textId="77777777" w:rsidR="00D17BB4" w:rsidRPr="006E19C7" w:rsidRDefault="00D17BB4" w:rsidP="00CD1F63">
            <w:r w:rsidRPr="006E19C7">
              <w:t>Peripheral vascular disease</w:t>
            </w:r>
          </w:p>
        </w:tc>
        <w:tc>
          <w:tcPr>
            <w:tcW w:w="1412" w:type="pct"/>
            <w:shd w:val="clear" w:color="auto" w:fill="auto"/>
          </w:tcPr>
          <w:p w14:paraId="2E6F7169" w14:textId="77777777" w:rsidR="00D17BB4" w:rsidRPr="006E19C7" w:rsidRDefault="00D17BB4" w:rsidP="00CD1F63">
            <w:r w:rsidRPr="006E19C7">
              <w:t>11.9%</w:t>
            </w:r>
          </w:p>
        </w:tc>
        <w:tc>
          <w:tcPr>
            <w:tcW w:w="1465" w:type="pct"/>
            <w:shd w:val="clear" w:color="auto" w:fill="auto"/>
          </w:tcPr>
          <w:p w14:paraId="045E92A7" w14:textId="77777777" w:rsidR="00D17BB4" w:rsidRPr="006E19C7" w:rsidRDefault="00D17BB4" w:rsidP="00CD1F63">
            <w:r w:rsidRPr="006E19C7">
              <w:t>11.9%</w:t>
            </w:r>
          </w:p>
        </w:tc>
      </w:tr>
      <w:tr w:rsidR="00D17BB4" w:rsidRPr="006E19C7" w14:paraId="04DCEEB4" w14:textId="77777777" w:rsidTr="00CD1F63">
        <w:trPr>
          <w:trHeight w:val="275"/>
          <w:jc w:val="center"/>
        </w:trPr>
        <w:tc>
          <w:tcPr>
            <w:tcW w:w="2123" w:type="pct"/>
            <w:shd w:val="clear" w:color="auto" w:fill="auto"/>
            <w:noWrap/>
          </w:tcPr>
          <w:p w14:paraId="40846492" w14:textId="77777777" w:rsidR="00D17BB4" w:rsidRPr="006E19C7" w:rsidRDefault="00D17BB4" w:rsidP="00CD1F63">
            <w:r w:rsidRPr="006E19C7">
              <w:t>Use of assist devise or IABP</w:t>
            </w:r>
          </w:p>
        </w:tc>
        <w:tc>
          <w:tcPr>
            <w:tcW w:w="1412" w:type="pct"/>
            <w:shd w:val="clear" w:color="auto" w:fill="auto"/>
          </w:tcPr>
          <w:p w14:paraId="3212FE52" w14:textId="77777777" w:rsidR="00D17BB4" w:rsidRPr="006E19C7" w:rsidRDefault="00D17BB4" w:rsidP="00CD1F63">
            <w:r w:rsidRPr="006E19C7">
              <w:t>0.5%</w:t>
            </w:r>
          </w:p>
        </w:tc>
        <w:tc>
          <w:tcPr>
            <w:tcW w:w="1465" w:type="pct"/>
            <w:shd w:val="clear" w:color="auto" w:fill="auto"/>
          </w:tcPr>
          <w:p w14:paraId="1DB35BFE" w14:textId="77777777" w:rsidR="00D17BB4" w:rsidRPr="006E19C7" w:rsidRDefault="00D17BB4" w:rsidP="00CD1F63">
            <w:r w:rsidRPr="006E19C7">
              <w:t>4.2%</w:t>
            </w:r>
          </w:p>
        </w:tc>
      </w:tr>
      <w:tr w:rsidR="00D17BB4" w:rsidRPr="006E19C7" w14:paraId="51C16A15" w14:textId="77777777" w:rsidTr="00CD1F63">
        <w:trPr>
          <w:trHeight w:val="275"/>
          <w:jc w:val="center"/>
        </w:trPr>
        <w:tc>
          <w:tcPr>
            <w:tcW w:w="2123" w:type="pct"/>
            <w:shd w:val="clear" w:color="auto" w:fill="auto"/>
            <w:noWrap/>
          </w:tcPr>
          <w:p w14:paraId="2ABE112F" w14:textId="77777777" w:rsidR="00D17BB4" w:rsidRPr="006E19C7" w:rsidRDefault="00D17BB4" w:rsidP="00CD1F63">
            <w:r w:rsidRPr="006E19C7">
              <w:t>Shock</w:t>
            </w:r>
          </w:p>
        </w:tc>
        <w:tc>
          <w:tcPr>
            <w:tcW w:w="1412" w:type="pct"/>
            <w:shd w:val="clear" w:color="auto" w:fill="auto"/>
          </w:tcPr>
          <w:p w14:paraId="58A60ED7" w14:textId="77777777" w:rsidR="00D17BB4" w:rsidRPr="006E19C7" w:rsidRDefault="00D17BB4" w:rsidP="00CD1F63">
            <w:r w:rsidRPr="006E19C7">
              <w:t>2.2%</w:t>
            </w:r>
          </w:p>
        </w:tc>
        <w:tc>
          <w:tcPr>
            <w:tcW w:w="1465" w:type="pct"/>
            <w:shd w:val="clear" w:color="auto" w:fill="auto"/>
          </w:tcPr>
          <w:p w14:paraId="759434FB" w14:textId="77777777" w:rsidR="00D17BB4" w:rsidRPr="006E19C7" w:rsidRDefault="00D17BB4" w:rsidP="00CD1F63">
            <w:r w:rsidRPr="006E19C7">
              <w:t>2.6%</w:t>
            </w:r>
          </w:p>
        </w:tc>
      </w:tr>
      <w:tr w:rsidR="00D17BB4" w:rsidRPr="006E19C7" w14:paraId="52D821C3" w14:textId="77777777" w:rsidTr="00CD1F63">
        <w:trPr>
          <w:trHeight w:val="275"/>
          <w:jc w:val="center"/>
        </w:trPr>
        <w:tc>
          <w:tcPr>
            <w:tcW w:w="2123" w:type="pct"/>
            <w:shd w:val="clear" w:color="auto" w:fill="auto"/>
            <w:noWrap/>
          </w:tcPr>
          <w:p w14:paraId="040F8CDC" w14:textId="77777777" w:rsidR="00D17BB4" w:rsidRPr="006E19C7" w:rsidRDefault="00D17BB4" w:rsidP="00CD1F63">
            <w:r w:rsidRPr="006E19C7">
              <w:t>AIDS</w:t>
            </w:r>
          </w:p>
        </w:tc>
        <w:tc>
          <w:tcPr>
            <w:tcW w:w="1412" w:type="pct"/>
            <w:shd w:val="clear" w:color="auto" w:fill="auto"/>
          </w:tcPr>
          <w:p w14:paraId="639B969B" w14:textId="77777777" w:rsidR="00D17BB4" w:rsidRPr="006E19C7" w:rsidRDefault="00D17BB4" w:rsidP="00CD1F63">
            <w:r w:rsidRPr="006E19C7">
              <w:t>0.12%</w:t>
            </w:r>
          </w:p>
        </w:tc>
        <w:tc>
          <w:tcPr>
            <w:tcW w:w="1465" w:type="pct"/>
            <w:shd w:val="clear" w:color="auto" w:fill="auto"/>
          </w:tcPr>
          <w:p w14:paraId="62EDAB79" w14:textId="77777777" w:rsidR="00D17BB4" w:rsidRPr="006E19C7" w:rsidRDefault="00D17BB4" w:rsidP="00CD1F63">
            <w:r w:rsidRPr="006E19C7">
              <w:t>0.13%</w:t>
            </w:r>
          </w:p>
        </w:tc>
      </w:tr>
      <w:tr w:rsidR="00D17BB4" w:rsidRPr="006E19C7" w14:paraId="7D7880A2" w14:textId="77777777" w:rsidTr="00CD1F63">
        <w:trPr>
          <w:trHeight w:val="275"/>
          <w:jc w:val="center"/>
        </w:trPr>
        <w:tc>
          <w:tcPr>
            <w:tcW w:w="2123" w:type="pct"/>
            <w:shd w:val="clear" w:color="auto" w:fill="auto"/>
            <w:noWrap/>
          </w:tcPr>
          <w:p w14:paraId="489429C1" w14:textId="77777777" w:rsidR="00D17BB4" w:rsidRPr="006E19C7" w:rsidRDefault="00D17BB4" w:rsidP="00CD1F63">
            <w:r w:rsidRPr="006E19C7">
              <w:t>Alcohol abuse</w:t>
            </w:r>
          </w:p>
        </w:tc>
        <w:tc>
          <w:tcPr>
            <w:tcW w:w="1412" w:type="pct"/>
            <w:shd w:val="clear" w:color="auto" w:fill="auto"/>
          </w:tcPr>
          <w:p w14:paraId="7712AAE0" w14:textId="77777777" w:rsidR="00D17BB4" w:rsidRPr="006E19C7" w:rsidRDefault="00D17BB4" w:rsidP="00CD1F63">
            <w:r w:rsidRPr="006E19C7">
              <w:t>2.4%</w:t>
            </w:r>
          </w:p>
        </w:tc>
        <w:tc>
          <w:tcPr>
            <w:tcW w:w="1465" w:type="pct"/>
            <w:shd w:val="clear" w:color="auto" w:fill="auto"/>
          </w:tcPr>
          <w:p w14:paraId="22324472" w14:textId="77777777" w:rsidR="00D17BB4" w:rsidRPr="006E19C7" w:rsidRDefault="00D17BB4" w:rsidP="00CD1F63">
            <w:r w:rsidRPr="006E19C7">
              <w:t>2.9%</w:t>
            </w:r>
          </w:p>
        </w:tc>
      </w:tr>
      <w:tr w:rsidR="00D17BB4" w:rsidRPr="006E19C7" w14:paraId="43DC1170" w14:textId="77777777" w:rsidTr="00CD1F63">
        <w:trPr>
          <w:trHeight w:val="275"/>
          <w:jc w:val="center"/>
        </w:trPr>
        <w:tc>
          <w:tcPr>
            <w:tcW w:w="2123" w:type="pct"/>
            <w:shd w:val="clear" w:color="auto" w:fill="auto"/>
            <w:noWrap/>
          </w:tcPr>
          <w:p w14:paraId="12EBC209" w14:textId="77777777" w:rsidR="00D17BB4" w:rsidRPr="006E19C7" w:rsidRDefault="00D17BB4" w:rsidP="00CD1F63">
            <w:r w:rsidRPr="006E19C7">
              <w:t>Deficiency anaemias</w:t>
            </w:r>
          </w:p>
        </w:tc>
        <w:tc>
          <w:tcPr>
            <w:tcW w:w="1412" w:type="pct"/>
            <w:shd w:val="clear" w:color="auto" w:fill="auto"/>
          </w:tcPr>
          <w:p w14:paraId="797F9E6B" w14:textId="77777777" w:rsidR="00D17BB4" w:rsidRPr="006E19C7" w:rsidRDefault="00D17BB4" w:rsidP="00CD1F63">
            <w:r w:rsidRPr="006E19C7">
              <w:t>20.3%</w:t>
            </w:r>
          </w:p>
        </w:tc>
        <w:tc>
          <w:tcPr>
            <w:tcW w:w="1465" w:type="pct"/>
            <w:shd w:val="clear" w:color="auto" w:fill="auto"/>
          </w:tcPr>
          <w:p w14:paraId="2FED7631" w14:textId="77777777" w:rsidR="00D17BB4" w:rsidRPr="006E19C7" w:rsidRDefault="00D17BB4" w:rsidP="00CD1F63">
            <w:r w:rsidRPr="006E19C7">
              <w:t>13.2%</w:t>
            </w:r>
          </w:p>
        </w:tc>
      </w:tr>
      <w:tr w:rsidR="00D17BB4" w:rsidRPr="006E19C7" w14:paraId="56DF2050" w14:textId="77777777" w:rsidTr="00CD1F63">
        <w:trPr>
          <w:trHeight w:val="275"/>
          <w:jc w:val="center"/>
        </w:trPr>
        <w:tc>
          <w:tcPr>
            <w:tcW w:w="2123" w:type="pct"/>
            <w:shd w:val="clear" w:color="auto" w:fill="auto"/>
            <w:noWrap/>
          </w:tcPr>
          <w:p w14:paraId="6C95D525" w14:textId="77777777" w:rsidR="00D17BB4" w:rsidRPr="006E19C7" w:rsidRDefault="00D17BB4" w:rsidP="00CD1F63">
            <w:r w:rsidRPr="006E19C7">
              <w:t>Chronic Blood loss anaemia</w:t>
            </w:r>
          </w:p>
        </w:tc>
        <w:tc>
          <w:tcPr>
            <w:tcW w:w="1412" w:type="pct"/>
            <w:shd w:val="clear" w:color="auto" w:fill="auto"/>
          </w:tcPr>
          <w:p w14:paraId="4B1ED604" w14:textId="77777777" w:rsidR="00D17BB4" w:rsidRPr="006E19C7" w:rsidRDefault="00D17BB4" w:rsidP="00CD1F63">
            <w:r w:rsidRPr="006E19C7">
              <w:t>1.6%</w:t>
            </w:r>
          </w:p>
        </w:tc>
        <w:tc>
          <w:tcPr>
            <w:tcW w:w="1465" w:type="pct"/>
            <w:shd w:val="clear" w:color="auto" w:fill="auto"/>
          </w:tcPr>
          <w:p w14:paraId="79052EBE" w14:textId="77777777" w:rsidR="00D17BB4" w:rsidRPr="006E19C7" w:rsidRDefault="00D17BB4" w:rsidP="00CD1F63">
            <w:r w:rsidRPr="006E19C7">
              <w:t>0.8%</w:t>
            </w:r>
          </w:p>
        </w:tc>
      </w:tr>
      <w:tr w:rsidR="00D17BB4" w:rsidRPr="006E19C7" w14:paraId="3C9A2344" w14:textId="77777777" w:rsidTr="00CD1F63">
        <w:trPr>
          <w:trHeight w:val="275"/>
          <w:jc w:val="center"/>
        </w:trPr>
        <w:tc>
          <w:tcPr>
            <w:tcW w:w="2123" w:type="pct"/>
            <w:shd w:val="clear" w:color="auto" w:fill="auto"/>
            <w:noWrap/>
          </w:tcPr>
          <w:p w14:paraId="48E78F7A" w14:textId="77777777" w:rsidR="00D17BB4" w:rsidRPr="006E19C7" w:rsidRDefault="00D17BB4" w:rsidP="00CD1F63">
            <w:r w:rsidRPr="006E19C7">
              <w:t>RA/collagen vascular</w:t>
            </w:r>
          </w:p>
          <w:p w14:paraId="7678232B" w14:textId="77777777" w:rsidR="00D17BB4" w:rsidRPr="006E19C7" w:rsidRDefault="00D17BB4" w:rsidP="00CD1F63">
            <w:r w:rsidRPr="006E19C7">
              <w:t>diseases</w:t>
            </w:r>
          </w:p>
        </w:tc>
        <w:tc>
          <w:tcPr>
            <w:tcW w:w="1412" w:type="pct"/>
            <w:shd w:val="clear" w:color="auto" w:fill="auto"/>
          </w:tcPr>
          <w:p w14:paraId="79EA1F61" w14:textId="77777777" w:rsidR="00D17BB4" w:rsidRPr="006E19C7" w:rsidRDefault="00D17BB4" w:rsidP="00CD1F63">
            <w:r w:rsidRPr="006E19C7">
              <w:t>2.4%</w:t>
            </w:r>
          </w:p>
        </w:tc>
        <w:tc>
          <w:tcPr>
            <w:tcW w:w="1465" w:type="pct"/>
            <w:shd w:val="clear" w:color="auto" w:fill="auto"/>
          </w:tcPr>
          <w:p w14:paraId="25C2C8B2" w14:textId="77777777" w:rsidR="00D17BB4" w:rsidRPr="006E19C7" w:rsidRDefault="00D17BB4" w:rsidP="00CD1F63">
            <w:r w:rsidRPr="006E19C7">
              <w:t>2.2%</w:t>
            </w:r>
          </w:p>
        </w:tc>
      </w:tr>
      <w:tr w:rsidR="00D17BB4" w:rsidRPr="006E19C7" w14:paraId="694C0A0D" w14:textId="77777777" w:rsidTr="00CD1F63">
        <w:trPr>
          <w:trHeight w:val="275"/>
          <w:jc w:val="center"/>
        </w:trPr>
        <w:tc>
          <w:tcPr>
            <w:tcW w:w="2123" w:type="pct"/>
            <w:shd w:val="clear" w:color="auto" w:fill="auto"/>
            <w:noWrap/>
          </w:tcPr>
          <w:p w14:paraId="0047AFF0" w14:textId="77777777" w:rsidR="00D17BB4" w:rsidRPr="006E19C7" w:rsidRDefault="00D17BB4" w:rsidP="00CD1F63">
            <w:r w:rsidRPr="006E19C7">
              <w:t>Congestive heart failure</w:t>
            </w:r>
          </w:p>
        </w:tc>
        <w:tc>
          <w:tcPr>
            <w:tcW w:w="1412" w:type="pct"/>
            <w:shd w:val="clear" w:color="auto" w:fill="auto"/>
          </w:tcPr>
          <w:p w14:paraId="5935418F" w14:textId="77777777" w:rsidR="00D17BB4" w:rsidRPr="006E19C7" w:rsidRDefault="00D17BB4" w:rsidP="00CD1F63">
            <w:r w:rsidRPr="006E19C7">
              <w:t>1.3%</w:t>
            </w:r>
          </w:p>
        </w:tc>
        <w:tc>
          <w:tcPr>
            <w:tcW w:w="1465" w:type="pct"/>
            <w:shd w:val="clear" w:color="auto" w:fill="auto"/>
          </w:tcPr>
          <w:p w14:paraId="6B20EDB4" w14:textId="77777777" w:rsidR="00D17BB4" w:rsidRPr="006E19C7" w:rsidRDefault="00D17BB4" w:rsidP="00CD1F63">
            <w:r w:rsidRPr="006E19C7">
              <w:t>0.5%</w:t>
            </w:r>
          </w:p>
        </w:tc>
      </w:tr>
      <w:tr w:rsidR="00D17BB4" w:rsidRPr="006E19C7" w14:paraId="21970CEE" w14:textId="77777777" w:rsidTr="00CD1F63">
        <w:trPr>
          <w:trHeight w:val="275"/>
          <w:jc w:val="center"/>
        </w:trPr>
        <w:tc>
          <w:tcPr>
            <w:tcW w:w="2123" w:type="pct"/>
            <w:shd w:val="clear" w:color="auto" w:fill="auto"/>
            <w:noWrap/>
          </w:tcPr>
          <w:p w14:paraId="252A71B6" w14:textId="77777777" w:rsidR="00D17BB4" w:rsidRPr="006E19C7" w:rsidRDefault="00D17BB4" w:rsidP="00CD1F63">
            <w:r w:rsidRPr="006E19C7">
              <w:t>Chronic pulmonary disease</w:t>
            </w:r>
          </w:p>
        </w:tc>
        <w:tc>
          <w:tcPr>
            <w:tcW w:w="1412" w:type="pct"/>
            <w:shd w:val="clear" w:color="auto" w:fill="auto"/>
          </w:tcPr>
          <w:p w14:paraId="6859168D" w14:textId="77777777" w:rsidR="00D17BB4" w:rsidRPr="006E19C7" w:rsidRDefault="00D17BB4" w:rsidP="00CD1F63">
            <w:r w:rsidRPr="006E19C7">
              <w:t>25.4%</w:t>
            </w:r>
          </w:p>
        </w:tc>
        <w:tc>
          <w:tcPr>
            <w:tcW w:w="1465" w:type="pct"/>
            <w:shd w:val="clear" w:color="auto" w:fill="auto"/>
          </w:tcPr>
          <w:p w14:paraId="3CC30B58" w14:textId="77777777" w:rsidR="00D17BB4" w:rsidRPr="006E19C7" w:rsidRDefault="00D17BB4" w:rsidP="00CD1F63">
            <w:r w:rsidRPr="006E19C7">
              <w:t>20.6%</w:t>
            </w:r>
          </w:p>
        </w:tc>
      </w:tr>
      <w:tr w:rsidR="00D17BB4" w:rsidRPr="006E19C7" w14:paraId="271C0DFE" w14:textId="77777777" w:rsidTr="00CD1F63">
        <w:trPr>
          <w:trHeight w:val="275"/>
          <w:jc w:val="center"/>
        </w:trPr>
        <w:tc>
          <w:tcPr>
            <w:tcW w:w="2123" w:type="pct"/>
            <w:shd w:val="clear" w:color="auto" w:fill="auto"/>
            <w:noWrap/>
          </w:tcPr>
          <w:p w14:paraId="3AD7D7C2" w14:textId="77777777" w:rsidR="00D17BB4" w:rsidRPr="006E19C7" w:rsidRDefault="00D17BB4" w:rsidP="00CD1F63">
            <w:r w:rsidRPr="006E19C7">
              <w:lastRenderedPageBreak/>
              <w:t>Coagulopathy</w:t>
            </w:r>
          </w:p>
        </w:tc>
        <w:tc>
          <w:tcPr>
            <w:tcW w:w="1412" w:type="pct"/>
            <w:shd w:val="clear" w:color="auto" w:fill="auto"/>
          </w:tcPr>
          <w:p w14:paraId="057D0A64" w14:textId="77777777" w:rsidR="00D17BB4" w:rsidRPr="006E19C7" w:rsidRDefault="00D17BB4" w:rsidP="00CD1F63">
            <w:r w:rsidRPr="006E19C7">
              <w:t>4.4%</w:t>
            </w:r>
          </w:p>
        </w:tc>
        <w:tc>
          <w:tcPr>
            <w:tcW w:w="1465" w:type="pct"/>
            <w:shd w:val="clear" w:color="auto" w:fill="auto"/>
          </w:tcPr>
          <w:p w14:paraId="29045ACC" w14:textId="77777777" w:rsidR="00D17BB4" w:rsidRPr="006E19C7" w:rsidRDefault="00D17BB4" w:rsidP="00CD1F63">
            <w:r w:rsidRPr="006E19C7">
              <w:t>4.2%</w:t>
            </w:r>
          </w:p>
        </w:tc>
      </w:tr>
      <w:tr w:rsidR="00D17BB4" w:rsidRPr="006E19C7" w14:paraId="5A62557D" w14:textId="77777777" w:rsidTr="00CD1F63">
        <w:trPr>
          <w:trHeight w:val="275"/>
          <w:jc w:val="center"/>
        </w:trPr>
        <w:tc>
          <w:tcPr>
            <w:tcW w:w="2123" w:type="pct"/>
            <w:shd w:val="clear" w:color="auto" w:fill="auto"/>
            <w:noWrap/>
          </w:tcPr>
          <w:p w14:paraId="7A51807E" w14:textId="77777777" w:rsidR="00D17BB4" w:rsidRPr="006E19C7" w:rsidRDefault="00D17BB4" w:rsidP="00CD1F63">
            <w:r w:rsidRPr="006E19C7">
              <w:t>Depression</w:t>
            </w:r>
          </w:p>
        </w:tc>
        <w:tc>
          <w:tcPr>
            <w:tcW w:w="1412" w:type="pct"/>
            <w:shd w:val="clear" w:color="auto" w:fill="auto"/>
          </w:tcPr>
          <w:p w14:paraId="23BB5CF5" w14:textId="77777777" w:rsidR="00D17BB4" w:rsidRPr="006E19C7" w:rsidRDefault="00D17BB4" w:rsidP="00CD1F63">
            <w:r w:rsidRPr="006E19C7">
              <w:t>7.8%</w:t>
            </w:r>
          </w:p>
        </w:tc>
        <w:tc>
          <w:tcPr>
            <w:tcW w:w="1465" w:type="pct"/>
            <w:shd w:val="clear" w:color="auto" w:fill="auto"/>
          </w:tcPr>
          <w:p w14:paraId="65E9EE28" w14:textId="77777777" w:rsidR="00D17BB4" w:rsidRPr="006E19C7" w:rsidRDefault="00D17BB4" w:rsidP="00CD1F63">
            <w:r w:rsidRPr="006E19C7">
              <w:t>6.8%</w:t>
            </w:r>
          </w:p>
        </w:tc>
      </w:tr>
      <w:tr w:rsidR="00D17BB4" w:rsidRPr="006E19C7" w14:paraId="512E6F4F" w14:textId="77777777" w:rsidTr="00CD1F63">
        <w:trPr>
          <w:trHeight w:val="275"/>
          <w:jc w:val="center"/>
        </w:trPr>
        <w:tc>
          <w:tcPr>
            <w:tcW w:w="2123" w:type="pct"/>
            <w:shd w:val="clear" w:color="auto" w:fill="auto"/>
            <w:noWrap/>
          </w:tcPr>
          <w:p w14:paraId="097677E7" w14:textId="77777777" w:rsidR="00D17BB4" w:rsidRPr="006E19C7" w:rsidRDefault="00D17BB4" w:rsidP="00CD1F63">
            <w:r w:rsidRPr="006E19C7">
              <w:t>Diabetes</w:t>
            </w:r>
          </w:p>
        </w:tc>
        <w:tc>
          <w:tcPr>
            <w:tcW w:w="1412" w:type="pct"/>
            <w:shd w:val="clear" w:color="auto" w:fill="auto"/>
          </w:tcPr>
          <w:p w14:paraId="20E28414" w14:textId="77777777" w:rsidR="00D17BB4" w:rsidRPr="006E19C7" w:rsidRDefault="00D17BB4" w:rsidP="00CD1F63">
            <w:r w:rsidRPr="006E19C7">
              <w:t>30.1%</w:t>
            </w:r>
          </w:p>
        </w:tc>
        <w:tc>
          <w:tcPr>
            <w:tcW w:w="1465" w:type="pct"/>
            <w:shd w:val="clear" w:color="auto" w:fill="auto"/>
          </w:tcPr>
          <w:p w14:paraId="2CF1BEB8" w14:textId="77777777" w:rsidR="00D17BB4" w:rsidRPr="006E19C7" w:rsidRDefault="00D17BB4" w:rsidP="00CD1F63">
            <w:r w:rsidRPr="006E19C7">
              <w:t>30.3%</w:t>
            </w:r>
          </w:p>
        </w:tc>
      </w:tr>
      <w:tr w:rsidR="00D17BB4" w:rsidRPr="006E19C7" w14:paraId="027E7D0B" w14:textId="77777777" w:rsidTr="00CD1F63">
        <w:trPr>
          <w:trHeight w:val="275"/>
          <w:jc w:val="center"/>
        </w:trPr>
        <w:tc>
          <w:tcPr>
            <w:tcW w:w="2123" w:type="pct"/>
            <w:shd w:val="clear" w:color="auto" w:fill="auto"/>
            <w:noWrap/>
          </w:tcPr>
          <w:p w14:paraId="7D711B10" w14:textId="77777777" w:rsidR="00D17BB4" w:rsidRPr="006E19C7" w:rsidRDefault="00D17BB4" w:rsidP="00CD1F63">
            <w:r w:rsidRPr="006E19C7">
              <w:t>Diabetes with complications</w:t>
            </w:r>
          </w:p>
        </w:tc>
        <w:tc>
          <w:tcPr>
            <w:tcW w:w="1412" w:type="pct"/>
            <w:shd w:val="clear" w:color="auto" w:fill="auto"/>
          </w:tcPr>
          <w:p w14:paraId="77282E31" w14:textId="77777777" w:rsidR="00D17BB4" w:rsidRPr="006E19C7" w:rsidRDefault="00D17BB4" w:rsidP="00CD1F63">
            <w:r w:rsidRPr="006E19C7">
              <w:t>7.5%</w:t>
            </w:r>
          </w:p>
        </w:tc>
        <w:tc>
          <w:tcPr>
            <w:tcW w:w="1465" w:type="pct"/>
            <w:shd w:val="clear" w:color="auto" w:fill="auto"/>
          </w:tcPr>
          <w:p w14:paraId="5B8117E4" w14:textId="77777777" w:rsidR="00D17BB4" w:rsidRPr="006E19C7" w:rsidRDefault="00D17BB4" w:rsidP="00CD1F63">
            <w:r w:rsidRPr="006E19C7">
              <w:t>6.1%</w:t>
            </w:r>
          </w:p>
        </w:tc>
      </w:tr>
      <w:tr w:rsidR="00D17BB4" w:rsidRPr="006E19C7" w14:paraId="7E9A773E" w14:textId="77777777" w:rsidTr="00CD1F63">
        <w:trPr>
          <w:trHeight w:val="275"/>
          <w:jc w:val="center"/>
        </w:trPr>
        <w:tc>
          <w:tcPr>
            <w:tcW w:w="2123" w:type="pct"/>
            <w:shd w:val="clear" w:color="auto" w:fill="auto"/>
            <w:noWrap/>
          </w:tcPr>
          <w:p w14:paraId="498FC219" w14:textId="77777777" w:rsidR="00D17BB4" w:rsidRPr="006E19C7" w:rsidRDefault="00D17BB4" w:rsidP="00CD1F63">
            <w:r w:rsidRPr="006E19C7">
              <w:t>Drug abuse</w:t>
            </w:r>
          </w:p>
        </w:tc>
        <w:tc>
          <w:tcPr>
            <w:tcW w:w="1412" w:type="pct"/>
            <w:shd w:val="clear" w:color="auto" w:fill="auto"/>
          </w:tcPr>
          <w:p w14:paraId="2B160E48" w14:textId="77777777" w:rsidR="00D17BB4" w:rsidRPr="006E19C7" w:rsidRDefault="00D17BB4" w:rsidP="00CD1F63">
            <w:r w:rsidRPr="006E19C7">
              <w:t>1.8%</w:t>
            </w:r>
          </w:p>
        </w:tc>
        <w:tc>
          <w:tcPr>
            <w:tcW w:w="1465" w:type="pct"/>
            <w:shd w:val="clear" w:color="auto" w:fill="auto"/>
          </w:tcPr>
          <w:p w14:paraId="082E986E" w14:textId="77777777" w:rsidR="00D17BB4" w:rsidRPr="006E19C7" w:rsidRDefault="00D17BB4" w:rsidP="00CD1F63">
            <w:r w:rsidRPr="006E19C7">
              <w:t>2.2%</w:t>
            </w:r>
          </w:p>
        </w:tc>
      </w:tr>
      <w:tr w:rsidR="00D17BB4" w:rsidRPr="006E19C7" w14:paraId="26D8BDE3" w14:textId="77777777" w:rsidTr="00CD1F63">
        <w:trPr>
          <w:trHeight w:val="275"/>
          <w:jc w:val="center"/>
        </w:trPr>
        <w:tc>
          <w:tcPr>
            <w:tcW w:w="2123" w:type="pct"/>
            <w:shd w:val="clear" w:color="auto" w:fill="auto"/>
            <w:noWrap/>
          </w:tcPr>
          <w:p w14:paraId="06DD8A13" w14:textId="77777777" w:rsidR="00D17BB4" w:rsidRPr="006E19C7" w:rsidRDefault="00D17BB4" w:rsidP="00CD1F63">
            <w:r w:rsidRPr="006E19C7">
              <w:t>Hypertension</w:t>
            </w:r>
          </w:p>
        </w:tc>
        <w:tc>
          <w:tcPr>
            <w:tcW w:w="1412" w:type="pct"/>
            <w:shd w:val="clear" w:color="auto" w:fill="auto"/>
          </w:tcPr>
          <w:p w14:paraId="7C06BAD0" w14:textId="77777777" w:rsidR="00D17BB4" w:rsidRPr="006E19C7" w:rsidRDefault="00D17BB4" w:rsidP="00CD1F63">
            <w:r w:rsidRPr="006E19C7">
              <w:t>68.2%</w:t>
            </w:r>
          </w:p>
        </w:tc>
        <w:tc>
          <w:tcPr>
            <w:tcW w:w="1465" w:type="pct"/>
            <w:shd w:val="clear" w:color="auto" w:fill="auto"/>
          </w:tcPr>
          <w:p w14:paraId="2939BB72" w14:textId="77777777" w:rsidR="00D17BB4" w:rsidRPr="006E19C7" w:rsidRDefault="00D17BB4" w:rsidP="00CD1F63">
            <w:r w:rsidRPr="006E19C7">
              <w:t>70.9%</w:t>
            </w:r>
          </w:p>
        </w:tc>
      </w:tr>
      <w:tr w:rsidR="00D17BB4" w:rsidRPr="006E19C7" w14:paraId="6A02795B" w14:textId="77777777" w:rsidTr="00CD1F63">
        <w:trPr>
          <w:trHeight w:val="275"/>
          <w:jc w:val="center"/>
        </w:trPr>
        <w:tc>
          <w:tcPr>
            <w:tcW w:w="2123" w:type="pct"/>
            <w:shd w:val="clear" w:color="auto" w:fill="auto"/>
            <w:noWrap/>
          </w:tcPr>
          <w:p w14:paraId="63F96D27" w14:textId="77777777" w:rsidR="00D17BB4" w:rsidRPr="006E19C7" w:rsidRDefault="00D17BB4" w:rsidP="00CD1F63">
            <w:r w:rsidRPr="006E19C7">
              <w:t>Hypothyroidism</w:t>
            </w:r>
          </w:p>
        </w:tc>
        <w:tc>
          <w:tcPr>
            <w:tcW w:w="1412" w:type="pct"/>
            <w:shd w:val="clear" w:color="auto" w:fill="auto"/>
          </w:tcPr>
          <w:p w14:paraId="72DD5A24" w14:textId="77777777" w:rsidR="00D17BB4" w:rsidRPr="006E19C7" w:rsidRDefault="00D17BB4" w:rsidP="00CD1F63">
            <w:r w:rsidRPr="006E19C7">
              <w:t>12.6%</w:t>
            </w:r>
          </w:p>
        </w:tc>
        <w:tc>
          <w:tcPr>
            <w:tcW w:w="1465" w:type="pct"/>
            <w:shd w:val="clear" w:color="auto" w:fill="auto"/>
          </w:tcPr>
          <w:p w14:paraId="30D80347" w14:textId="77777777" w:rsidR="00D17BB4" w:rsidRPr="006E19C7" w:rsidRDefault="00D17BB4" w:rsidP="00CD1F63">
            <w:r w:rsidRPr="006E19C7">
              <w:t>9.4%</w:t>
            </w:r>
          </w:p>
        </w:tc>
      </w:tr>
      <w:tr w:rsidR="00D17BB4" w:rsidRPr="006E19C7" w14:paraId="5ECD7A83" w14:textId="77777777" w:rsidTr="00CD1F63">
        <w:trPr>
          <w:trHeight w:val="275"/>
          <w:jc w:val="center"/>
        </w:trPr>
        <w:tc>
          <w:tcPr>
            <w:tcW w:w="2123" w:type="pct"/>
            <w:shd w:val="clear" w:color="auto" w:fill="auto"/>
            <w:noWrap/>
          </w:tcPr>
          <w:p w14:paraId="7BF68B98" w14:textId="77777777" w:rsidR="00D17BB4" w:rsidRPr="006E19C7" w:rsidRDefault="00D17BB4" w:rsidP="00CD1F63">
            <w:r w:rsidRPr="006E19C7">
              <w:t>Liver disease</w:t>
            </w:r>
          </w:p>
        </w:tc>
        <w:tc>
          <w:tcPr>
            <w:tcW w:w="1412" w:type="pct"/>
            <w:shd w:val="clear" w:color="auto" w:fill="auto"/>
          </w:tcPr>
          <w:p w14:paraId="3C5649DE" w14:textId="77777777" w:rsidR="00D17BB4" w:rsidRPr="006E19C7" w:rsidRDefault="00D17BB4" w:rsidP="00CD1F63">
            <w:r w:rsidRPr="006E19C7">
              <w:t>1.4%</w:t>
            </w:r>
          </w:p>
        </w:tc>
        <w:tc>
          <w:tcPr>
            <w:tcW w:w="1465" w:type="pct"/>
            <w:shd w:val="clear" w:color="auto" w:fill="auto"/>
          </w:tcPr>
          <w:p w14:paraId="555CA908" w14:textId="77777777" w:rsidR="00D17BB4" w:rsidRPr="006E19C7" w:rsidRDefault="00D17BB4" w:rsidP="00CD1F63">
            <w:r w:rsidRPr="006E19C7">
              <w:t>1.2%</w:t>
            </w:r>
          </w:p>
        </w:tc>
      </w:tr>
      <w:tr w:rsidR="00D17BB4" w:rsidRPr="006E19C7" w14:paraId="35B472E1" w14:textId="77777777" w:rsidTr="00CD1F63">
        <w:trPr>
          <w:trHeight w:val="275"/>
          <w:jc w:val="center"/>
        </w:trPr>
        <w:tc>
          <w:tcPr>
            <w:tcW w:w="2123" w:type="pct"/>
            <w:shd w:val="clear" w:color="auto" w:fill="auto"/>
            <w:noWrap/>
          </w:tcPr>
          <w:p w14:paraId="0BE1CEEE" w14:textId="77777777" w:rsidR="00D17BB4" w:rsidRPr="006E19C7" w:rsidRDefault="00D17BB4" w:rsidP="00CD1F63">
            <w:r w:rsidRPr="006E19C7">
              <w:t>Lymphomas</w:t>
            </w:r>
          </w:p>
        </w:tc>
        <w:tc>
          <w:tcPr>
            <w:tcW w:w="1412" w:type="pct"/>
            <w:shd w:val="clear" w:color="auto" w:fill="auto"/>
          </w:tcPr>
          <w:p w14:paraId="70CC440B" w14:textId="77777777" w:rsidR="00D17BB4" w:rsidRPr="006E19C7" w:rsidRDefault="00D17BB4" w:rsidP="00CD1F63">
            <w:r w:rsidRPr="006E19C7">
              <w:t>0.7%</w:t>
            </w:r>
          </w:p>
        </w:tc>
        <w:tc>
          <w:tcPr>
            <w:tcW w:w="1465" w:type="pct"/>
            <w:shd w:val="clear" w:color="auto" w:fill="auto"/>
          </w:tcPr>
          <w:p w14:paraId="675B540D" w14:textId="77777777" w:rsidR="00D17BB4" w:rsidRPr="006E19C7" w:rsidRDefault="00D17BB4" w:rsidP="00CD1F63">
            <w:r w:rsidRPr="006E19C7">
              <w:t>0.4%</w:t>
            </w:r>
          </w:p>
        </w:tc>
      </w:tr>
      <w:tr w:rsidR="00D17BB4" w:rsidRPr="006E19C7" w14:paraId="3AB55343" w14:textId="77777777" w:rsidTr="00CD1F63">
        <w:trPr>
          <w:trHeight w:val="275"/>
          <w:jc w:val="center"/>
        </w:trPr>
        <w:tc>
          <w:tcPr>
            <w:tcW w:w="2123" w:type="pct"/>
            <w:shd w:val="clear" w:color="auto" w:fill="auto"/>
            <w:noWrap/>
          </w:tcPr>
          <w:p w14:paraId="66A7FAC0" w14:textId="77777777" w:rsidR="00D17BB4" w:rsidRPr="006E19C7" w:rsidRDefault="00D17BB4" w:rsidP="00CD1F63">
            <w:r w:rsidRPr="006E19C7">
              <w:t>Fluid and electrolyte disturbances</w:t>
            </w:r>
          </w:p>
        </w:tc>
        <w:tc>
          <w:tcPr>
            <w:tcW w:w="1412" w:type="pct"/>
            <w:shd w:val="clear" w:color="auto" w:fill="auto"/>
          </w:tcPr>
          <w:p w14:paraId="554B8FDC" w14:textId="77777777" w:rsidR="00D17BB4" w:rsidRPr="006E19C7" w:rsidRDefault="00D17BB4" w:rsidP="00CD1F63">
            <w:r w:rsidRPr="006E19C7">
              <w:t>25.1%</w:t>
            </w:r>
          </w:p>
        </w:tc>
        <w:tc>
          <w:tcPr>
            <w:tcW w:w="1465" w:type="pct"/>
            <w:shd w:val="clear" w:color="auto" w:fill="auto"/>
          </w:tcPr>
          <w:p w14:paraId="4EDACB47" w14:textId="77777777" w:rsidR="00D17BB4" w:rsidRPr="006E19C7" w:rsidRDefault="00D17BB4" w:rsidP="00CD1F63">
            <w:r w:rsidRPr="006E19C7">
              <w:t>16.1%</w:t>
            </w:r>
          </w:p>
        </w:tc>
      </w:tr>
      <w:tr w:rsidR="00D17BB4" w:rsidRPr="006E19C7" w14:paraId="60AE0E64" w14:textId="77777777" w:rsidTr="00CD1F63">
        <w:trPr>
          <w:trHeight w:val="275"/>
          <w:jc w:val="center"/>
        </w:trPr>
        <w:tc>
          <w:tcPr>
            <w:tcW w:w="2123" w:type="pct"/>
            <w:shd w:val="clear" w:color="auto" w:fill="auto"/>
            <w:noWrap/>
          </w:tcPr>
          <w:p w14:paraId="5947FD77" w14:textId="77777777" w:rsidR="00D17BB4" w:rsidRPr="006E19C7" w:rsidRDefault="00D17BB4" w:rsidP="00CD1F63">
            <w:r w:rsidRPr="006E19C7">
              <w:t>Other neurological disorders</w:t>
            </w:r>
          </w:p>
        </w:tc>
        <w:tc>
          <w:tcPr>
            <w:tcW w:w="1412" w:type="pct"/>
            <w:shd w:val="clear" w:color="auto" w:fill="auto"/>
          </w:tcPr>
          <w:p w14:paraId="39D3AD0D" w14:textId="77777777" w:rsidR="00D17BB4" w:rsidRPr="006E19C7" w:rsidRDefault="00D17BB4" w:rsidP="00CD1F63">
            <w:r w:rsidRPr="006E19C7">
              <w:t>9.1%</w:t>
            </w:r>
          </w:p>
        </w:tc>
        <w:tc>
          <w:tcPr>
            <w:tcW w:w="1465" w:type="pct"/>
            <w:shd w:val="clear" w:color="auto" w:fill="auto"/>
          </w:tcPr>
          <w:p w14:paraId="08A29801" w14:textId="77777777" w:rsidR="00D17BB4" w:rsidRPr="006E19C7" w:rsidRDefault="00D17BB4" w:rsidP="00CD1F63">
            <w:r w:rsidRPr="006E19C7">
              <w:t>4.0%</w:t>
            </w:r>
          </w:p>
        </w:tc>
      </w:tr>
      <w:tr w:rsidR="00D17BB4" w:rsidRPr="006E19C7" w14:paraId="3517AD67" w14:textId="77777777" w:rsidTr="00CD1F63">
        <w:trPr>
          <w:trHeight w:val="275"/>
          <w:jc w:val="center"/>
        </w:trPr>
        <w:tc>
          <w:tcPr>
            <w:tcW w:w="2123" w:type="pct"/>
            <w:shd w:val="clear" w:color="auto" w:fill="auto"/>
            <w:noWrap/>
          </w:tcPr>
          <w:p w14:paraId="106AFCBB" w14:textId="77777777" w:rsidR="00D17BB4" w:rsidRPr="006E19C7" w:rsidRDefault="00D17BB4" w:rsidP="00CD1F63">
            <w:r w:rsidRPr="006E19C7">
              <w:t>Obesity</w:t>
            </w:r>
          </w:p>
        </w:tc>
        <w:tc>
          <w:tcPr>
            <w:tcW w:w="1412" w:type="pct"/>
            <w:shd w:val="clear" w:color="auto" w:fill="auto"/>
          </w:tcPr>
          <w:p w14:paraId="736E42B6" w14:textId="77777777" w:rsidR="00D17BB4" w:rsidRPr="006E19C7" w:rsidRDefault="00D17BB4" w:rsidP="00CD1F63">
            <w:r w:rsidRPr="006E19C7">
              <w:t>9.1%</w:t>
            </w:r>
          </w:p>
        </w:tc>
        <w:tc>
          <w:tcPr>
            <w:tcW w:w="1465" w:type="pct"/>
            <w:shd w:val="clear" w:color="auto" w:fill="auto"/>
          </w:tcPr>
          <w:p w14:paraId="68022378" w14:textId="77777777" w:rsidR="00D17BB4" w:rsidRPr="006E19C7" w:rsidRDefault="00D17BB4" w:rsidP="00CD1F63">
            <w:r w:rsidRPr="006E19C7">
              <w:t>14.6%</w:t>
            </w:r>
          </w:p>
        </w:tc>
      </w:tr>
      <w:tr w:rsidR="00D17BB4" w:rsidRPr="006E19C7" w14:paraId="03E0C8AE" w14:textId="77777777" w:rsidTr="00CD1F63">
        <w:trPr>
          <w:trHeight w:val="275"/>
          <w:jc w:val="center"/>
        </w:trPr>
        <w:tc>
          <w:tcPr>
            <w:tcW w:w="2123" w:type="pct"/>
            <w:shd w:val="clear" w:color="auto" w:fill="auto"/>
            <w:noWrap/>
          </w:tcPr>
          <w:p w14:paraId="68641717" w14:textId="77777777" w:rsidR="00D17BB4" w:rsidRPr="006E19C7" w:rsidRDefault="00D17BB4" w:rsidP="00CD1F63">
            <w:r w:rsidRPr="006E19C7">
              <w:t>Paralysis</w:t>
            </w:r>
          </w:p>
        </w:tc>
        <w:tc>
          <w:tcPr>
            <w:tcW w:w="1412" w:type="pct"/>
            <w:shd w:val="clear" w:color="auto" w:fill="auto"/>
          </w:tcPr>
          <w:p w14:paraId="62D6C2EB" w14:textId="77777777" w:rsidR="00D17BB4" w:rsidRPr="006E19C7" w:rsidRDefault="00D17BB4" w:rsidP="00CD1F63">
            <w:r w:rsidRPr="006E19C7">
              <w:t>2.6%</w:t>
            </w:r>
          </w:p>
        </w:tc>
        <w:tc>
          <w:tcPr>
            <w:tcW w:w="1465" w:type="pct"/>
            <w:shd w:val="clear" w:color="auto" w:fill="auto"/>
          </w:tcPr>
          <w:p w14:paraId="64008AFC" w14:textId="77777777" w:rsidR="00D17BB4" w:rsidRPr="006E19C7" w:rsidRDefault="00D17BB4" w:rsidP="00CD1F63">
            <w:r w:rsidRPr="006E19C7">
              <w:t>1.2%</w:t>
            </w:r>
          </w:p>
        </w:tc>
      </w:tr>
      <w:tr w:rsidR="00D17BB4" w:rsidRPr="006E19C7" w14:paraId="5399B547" w14:textId="77777777" w:rsidTr="00CD1F63">
        <w:trPr>
          <w:trHeight w:val="275"/>
          <w:jc w:val="center"/>
        </w:trPr>
        <w:tc>
          <w:tcPr>
            <w:tcW w:w="2123" w:type="pct"/>
            <w:shd w:val="clear" w:color="auto" w:fill="auto"/>
            <w:noWrap/>
          </w:tcPr>
          <w:p w14:paraId="617F7A99" w14:textId="77777777" w:rsidR="00D17BB4" w:rsidRPr="006E19C7" w:rsidRDefault="00D17BB4" w:rsidP="00CD1F63">
            <w:r w:rsidRPr="006E19C7">
              <w:t>Psychoses</w:t>
            </w:r>
          </w:p>
        </w:tc>
        <w:tc>
          <w:tcPr>
            <w:tcW w:w="1412" w:type="pct"/>
            <w:shd w:val="clear" w:color="auto" w:fill="auto"/>
          </w:tcPr>
          <w:p w14:paraId="728F330B" w14:textId="77777777" w:rsidR="00D17BB4" w:rsidRPr="006E19C7" w:rsidRDefault="00D17BB4" w:rsidP="00CD1F63">
            <w:r w:rsidRPr="006E19C7">
              <w:t>2.7%</w:t>
            </w:r>
          </w:p>
        </w:tc>
        <w:tc>
          <w:tcPr>
            <w:tcW w:w="1465" w:type="pct"/>
            <w:shd w:val="clear" w:color="auto" w:fill="auto"/>
          </w:tcPr>
          <w:p w14:paraId="7AA629AC" w14:textId="77777777" w:rsidR="00D17BB4" w:rsidRPr="006E19C7" w:rsidRDefault="00D17BB4" w:rsidP="00CD1F63">
            <w:r w:rsidRPr="006E19C7">
              <w:t>1.9%</w:t>
            </w:r>
          </w:p>
        </w:tc>
      </w:tr>
      <w:tr w:rsidR="00D17BB4" w:rsidRPr="006E19C7" w14:paraId="569548D2" w14:textId="77777777" w:rsidTr="00CD1F63">
        <w:trPr>
          <w:trHeight w:val="275"/>
          <w:jc w:val="center"/>
        </w:trPr>
        <w:tc>
          <w:tcPr>
            <w:tcW w:w="2123" w:type="pct"/>
            <w:shd w:val="clear" w:color="auto" w:fill="auto"/>
            <w:noWrap/>
          </w:tcPr>
          <w:p w14:paraId="4ACC4021" w14:textId="77777777" w:rsidR="00D17BB4" w:rsidRPr="006E19C7" w:rsidRDefault="00D17BB4" w:rsidP="00CD1F63">
            <w:r w:rsidRPr="006E19C7">
              <w:t>Pulmonary circulation disorder</w:t>
            </w:r>
          </w:p>
        </w:tc>
        <w:tc>
          <w:tcPr>
            <w:tcW w:w="1412" w:type="pct"/>
            <w:shd w:val="clear" w:color="auto" w:fill="auto"/>
          </w:tcPr>
          <w:p w14:paraId="18C51BF1" w14:textId="77777777" w:rsidR="00D17BB4" w:rsidRPr="006E19C7" w:rsidRDefault="00D17BB4" w:rsidP="00CD1F63">
            <w:r w:rsidRPr="006E19C7">
              <w:t>0.2%</w:t>
            </w:r>
          </w:p>
        </w:tc>
        <w:tc>
          <w:tcPr>
            <w:tcW w:w="1465" w:type="pct"/>
            <w:shd w:val="clear" w:color="auto" w:fill="auto"/>
          </w:tcPr>
          <w:p w14:paraId="5CCD99E2" w14:textId="77777777" w:rsidR="00D17BB4" w:rsidRPr="006E19C7" w:rsidRDefault="00D17BB4" w:rsidP="00CD1F63">
            <w:r w:rsidRPr="006E19C7">
              <w:t>0.06%</w:t>
            </w:r>
          </w:p>
        </w:tc>
      </w:tr>
      <w:tr w:rsidR="00D17BB4" w:rsidRPr="006E19C7" w14:paraId="243ED13C" w14:textId="77777777" w:rsidTr="00CD1F63">
        <w:trPr>
          <w:trHeight w:val="275"/>
          <w:jc w:val="center"/>
        </w:trPr>
        <w:tc>
          <w:tcPr>
            <w:tcW w:w="2123" w:type="pct"/>
            <w:shd w:val="clear" w:color="auto" w:fill="auto"/>
            <w:noWrap/>
          </w:tcPr>
          <w:p w14:paraId="38177256" w14:textId="77777777" w:rsidR="00D17BB4" w:rsidRPr="006E19C7" w:rsidRDefault="00D17BB4" w:rsidP="00CD1F63">
            <w:r w:rsidRPr="006E19C7">
              <w:t>Renal failure (chronic)</w:t>
            </w:r>
          </w:p>
        </w:tc>
        <w:tc>
          <w:tcPr>
            <w:tcW w:w="1412" w:type="pct"/>
            <w:shd w:val="clear" w:color="auto" w:fill="auto"/>
          </w:tcPr>
          <w:p w14:paraId="768A231B" w14:textId="77777777" w:rsidR="00D17BB4" w:rsidRPr="006E19C7" w:rsidRDefault="00D17BB4" w:rsidP="00CD1F63">
            <w:r w:rsidRPr="006E19C7">
              <w:t>24.8%</w:t>
            </w:r>
          </w:p>
        </w:tc>
        <w:tc>
          <w:tcPr>
            <w:tcW w:w="1465" w:type="pct"/>
            <w:shd w:val="clear" w:color="auto" w:fill="auto"/>
          </w:tcPr>
          <w:p w14:paraId="2C71C928" w14:textId="77777777" w:rsidR="00D17BB4" w:rsidRPr="006E19C7" w:rsidRDefault="00D17BB4" w:rsidP="00CD1F63">
            <w:r w:rsidRPr="006E19C7">
              <w:t>15.0%</w:t>
            </w:r>
          </w:p>
        </w:tc>
      </w:tr>
      <w:tr w:rsidR="00D17BB4" w:rsidRPr="006E19C7" w14:paraId="144FF8A2" w14:textId="77777777" w:rsidTr="00CD1F63">
        <w:trPr>
          <w:trHeight w:val="275"/>
          <w:jc w:val="center"/>
        </w:trPr>
        <w:tc>
          <w:tcPr>
            <w:tcW w:w="2123" w:type="pct"/>
            <w:shd w:val="clear" w:color="auto" w:fill="auto"/>
            <w:noWrap/>
          </w:tcPr>
          <w:p w14:paraId="18EDAC23" w14:textId="77777777" w:rsidR="00D17BB4" w:rsidRPr="006E19C7" w:rsidRDefault="00D17BB4" w:rsidP="00CD1F63">
            <w:r w:rsidRPr="006E19C7">
              <w:t>Peptic ulcer disease</w:t>
            </w:r>
          </w:p>
        </w:tc>
        <w:tc>
          <w:tcPr>
            <w:tcW w:w="1412" w:type="pct"/>
            <w:shd w:val="clear" w:color="auto" w:fill="auto"/>
          </w:tcPr>
          <w:p w14:paraId="70F17D2C" w14:textId="77777777" w:rsidR="00D17BB4" w:rsidRPr="006E19C7" w:rsidRDefault="00D17BB4" w:rsidP="00CD1F63">
            <w:r w:rsidRPr="006E19C7">
              <w:t>0.05%</w:t>
            </w:r>
          </w:p>
        </w:tc>
        <w:tc>
          <w:tcPr>
            <w:tcW w:w="1465" w:type="pct"/>
            <w:shd w:val="clear" w:color="auto" w:fill="auto"/>
          </w:tcPr>
          <w:p w14:paraId="7B5C059B" w14:textId="77777777" w:rsidR="00D17BB4" w:rsidRPr="006E19C7" w:rsidRDefault="00D17BB4" w:rsidP="00CD1F63">
            <w:r w:rsidRPr="006E19C7">
              <w:t>0.04%</w:t>
            </w:r>
          </w:p>
        </w:tc>
      </w:tr>
      <w:tr w:rsidR="00D17BB4" w:rsidRPr="006E19C7" w14:paraId="6127B8F0" w14:textId="77777777" w:rsidTr="00CD1F63">
        <w:trPr>
          <w:trHeight w:val="275"/>
          <w:jc w:val="center"/>
        </w:trPr>
        <w:tc>
          <w:tcPr>
            <w:tcW w:w="2123" w:type="pct"/>
            <w:shd w:val="clear" w:color="auto" w:fill="auto"/>
            <w:noWrap/>
          </w:tcPr>
          <w:p w14:paraId="5B0212ED" w14:textId="77777777" w:rsidR="00D17BB4" w:rsidRPr="006E19C7" w:rsidRDefault="00D17BB4" w:rsidP="00CD1F63">
            <w:r w:rsidRPr="006E19C7">
              <w:t>Weight loss</w:t>
            </w:r>
          </w:p>
        </w:tc>
        <w:tc>
          <w:tcPr>
            <w:tcW w:w="1412" w:type="pct"/>
            <w:shd w:val="clear" w:color="auto" w:fill="auto"/>
          </w:tcPr>
          <w:p w14:paraId="799CF126" w14:textId="77777777" w:rsidR="00D17BB4" w:rsidRPr="006E19C7" w:rsidRDefault="00D17BB4" w:rsidP="00CD1F63">
            <w:r w:rsidRPr="006E19C7">
              <w:t>3.2%</w:t>
            </w:r>
          </w:p>
        </w:tc>
        <w:tc>
          <w:tcPr>
            <w:tcW w:w="1465" w:type="pct"/>
            <w:shd w:val="clear" w:color="auto" w:fill="auto"/>
          </w:tcPr>
          <w:p w14:paraId="14DC43F5" w14:textId="77777777" w:rsidR="00D17BB4" w:rsidRPr="006E19C7" w:rsidRDefault="00D17BB4" w:rsidP="00CD1F63">
            <w:r w:rsidRPr="006E19C7">
              <w:t>1.5%</w:t>
            </w:r>
          </w:p>
        </w:tc>
      </w:tr>
      <w:tr w:rsidR="00D17BB4" w:rsidRPr="006E19C7" w14:paraId="71E1D90C" w14:textId="77777777" w:rsidTr="00CD1F63">
        <w:trPr>
          <w:trHeight w:val="275"/>
          <w:jc w:val="center"/>
        </w:trPr>
        <w:tc>
          <w:tcPr>
            <w:tcW w:w="2123" w:type="pct"/>
            <w:shd w:val="clear" w:color="auto" w:fill="auto"/>
            <w:noWrap/>
          </w:tcPr>
          <w:p w14:paraId="4BEEAC19" w14:textId="77777777" w:rsidR="00D17BB4" w:rsidRPr="006E19C7" w:rsidRDefault="00D17BB4" w:rsidP="00CD1F63">
            <w:r w:rsidRPr="006E19C7">
              <w:t xml:space="preserve">Solid </w:t>
            </w:r>
            <w:proofErr w:type="spellStart"/>
            <w:r w:rsidRPr="006E19C7">
              <w:t>tumor</w:t>
            </w:r>
            <w:proofErr w:type="spellEnd"/>
            <w:r w:rsidRPr="006E19C7">
              <w:t xml:space="preserve"> without </w:t>
            </w:r>
            <w:proofErr w:type="spellStart"/>
            <w:r w:rsidRPr="006E19C7">
              <w:t>mets</w:t>
            </w:r>
            <w:proofErr w:type="spellEnd"/>
          </w:p>
        </w:tc>
        <w:tc>
          <w:tcPr>
            <w:tcW w:w="1412" w:type="pct"/>
            <w:shd w:val="clear" w:color="auto" w:fill="auto"/>
          </w:tcPr>
          <w:p w14:paraId="1E4D1DEA" w14:textId="77777777" w:rsidR="00D17BB4" w:rsidRPr="006E19C7" w:rsidRDefault="00D17BB4" w:rsidP="00CD1F63">
            <w:r w:rsidRPr="006E19C7">
              <w:t>2.0%</w:t>
            </w:r>
          </w:p>
        </w:tc>
        <w:tc>
          <w:tcPr>
            <w:tcW w:w="1465" w:type="pct"/>
            <w:shd w:val="clear" w:color="auto" w:fill="auto"/>
          </w:tcPr>
          <w:p w14:paraId="0F8163E4" w14:textId="77777777" w:rsidR="00D17BB4" w:rsidRPr="006E19C7" w:rsidRDefault="00D17BB4" w:rsidP="00CD1F63">
            <w:r w:rsidRPr="006E19C7">
              <w:t>1.1%</w:t>
            </w:r>
          </w:p>
        </w:tc>
      </w:tr>
      <w:tr w:rsidR="00D17BB4" w:rsidRPr="006E19C7" w14:paraId="62AFF436" w14:textId="77777777" w:rsidTr="00CD1F63">
        <w:trPr>
          <w:trHeight w:val="275"/>
          <w:jc w:val="center"/>
        </w:trPr>
        <w:tc>
          <w:tcPr>
            <w:tcW w:w="2123" w:type="pct"/>
            <w:shd w:val="clear" w:color="auto" w:fill="auto"/>
            <w:noWrap/>
          </w:tcPr>
          <w:p w14:paraId="00509C8C" w14:textId="77777777" w:rsidR="00D17BB4" w:rsidRPr="006E19C7" w:rsidRDefault="00D17BB4" w:rsidP="00CD1F63">
            <w:r w:rsidRPr="006E19C7">
              <w:t>Metastatic cancer</w:t>
            </w:r>
          </w:p>
        </w:tc>
        <w:tc>
          <w:tcPr>
            <w:tcW w:w="1412" w:type="pct"/>
            <w:shd w:val="clear" w:color="auto" w:fill="auto"/>
          </w:tcPr>
          <w:p w14:paraId="2F924BA7" w14:textId="77777777" w:rsidR="00D17BB4" w:rsidRPr="006E19C7" w:rsidRDefault="00D17BB4" w:rsidP="00CD1F63">
            <w:r w:rsidRPr="006E19C7">
              <w:t>1.5%</w:t>
            </w:r>
          </w:p>
        </w:tc>
        <w:tc>
          <w:tcPr>
            <w:tcW w:w="1465" w:type="pct"/>
            <w:shd w:val="clear" w:color="auto" w:fill="auto"/>
          </w:tcPr>
          <w:p w14:paraId="1A6D0044" w14:textId="77777777" w:rsidR="00D17BB4" w:rsidRPr="006E19C7" w:rsidRDefault="00D17BB4" w:rsidP="00CD1F63">
            <w:r w:rsidRPr="006E19C7">
              <w:t>0.4%</w:t>
            </w:r>
          </w:p>
        </w:tc>
      </w:tr>
      <w:tr w:rsidR="00D17BB4" w:rsidRPr="006E19C7" w14:paraId="6DF02337" w14:textId="77777777" w:rsidTr="00CD1F63">
        <w:trPr>
          <w:trHeight w:val="275"/>
          <w:jc w:val="center"/>
        </w:trPr>
        <w:tc>
          <w:tcPr>
            <w:tcW w:w="2123" w:type="pct"/>
            <w:shd w:val="clear" w:color="auto" w:fill="auto"/>
            <w:noWrap/>
          </w:tcPr>
          <w:p w14:paraId="1338AEB6" w14:textId="77777777" w:rsidR="00D17BB4" w:rsidRPr="006E19C7" w:rsidRDefault="00D17BB4" w:rsidP="00CD1F63">
            <w:r w:rsidRPr="006E19C7">
              <w:t>Dementia</w:t>
            </w:r>
          </w:p>
        </w:tc>
        <w:tc>
          <w:tcPr>
            <w:tcW w:w="1412" w:type="pct"/>
            <w:shd w:val="clear" w:color="auto" w:fill="auto"/>
          </w:tcPr>
          <w:p w14:paraId="00932F99" w14:textId="77777777" w:rsidR="00D17BB4" w:rsidRPr="006E19C7" w:rsidRDefault="00D17BB4" w:rsidP="00CD1F63">
            <w:r w:rsidRPr="006E19C7">
              <w:t>12.9%</w:t>
            </w:r>
          </w:p>
        </w:tc>
        <w:tc>
          <w:tcPr>
            <w:tcW w:w="1465" w:type="pct"/>
            <w:shd w:val="clear" w:color="auto" w:fill="auto"/>
          </w:tcPr>
          <w:p w14:paraId="2995ABE4" w14:textId="77777777" w:rsidR="00D17BB4" w:rsidRPr="006E19C7" w:rsidRDefault="00D17BB4" w:rsidP="00CD1F63">
            <w:r w:rsidRPr="006E19C7">
              <w:t>2.5%</w:t>
            </w:r>
          </w:p>
        </w:tc>
      </w:tr>
      <w:tr w:rsidR="00D17BB4" w:rsidRPr="006E19C7" w14:paraId="1C3B7A29" w14:textId="77777777" w:rsidTr="00CD1F63">
        <w:trPr>
          <w:trHeight w:val="275"/>
          <w:jc w:val="center"/>
        </w:trPr>
        <w:tc>
          <w:tcPr>
            <w:tcW w:w="2123" w:type="pct"/>
            <w:shd w:val="clear" w:color="auto" w:fill="auto"/>
            <w:noWrap/>
          </w:tcPr>
          <w:p w14:paraId="3083F512" w14:textId="77777777" w:rsidR="00D17BB4" w:rsidRPr="006E19C7" w:rsidRDefault="00D17BB4" w:rsidP="00CD1F63">
            <w:proofErr w:type="spellStart"/>
            <w:r w:rsidRPr="006E19C7">
              <w:t>Charlson</w:t>
            </w:r>
            <w:proofErr w:type="spellEnd"/>
            <w:r w:rsidRPr="006E19C7">
              <w:t xml:space="preserve"> Comorbidity Index</w:t>
            </w:r>
          </w:p>
        </w:tc>
        <w:tc>
          <w:tcPr>
            <w:tcW w:w="1412" w:type="pct"/>
            <w:shd w:val="clear" w:color="auto" w:fill="auto"/>
          </w:tcPr>
          <w:p w14:paraId="515D8DFA" w14:textId="77777777" w:rsidR="00D17BB4" w:rsidRPr="006E19C7" w:rsidRDefault="00D17BB4" w:rsidP="00CD1F63"/>
        </w:tc>
        <w:tc>
          <w:tcPr>
            <w:tcW w:w="1465" w:type="pct"/>
            <w:shd w:val="clear" w:color="auto" w:fill="auto"/>
          </w:tcPr>
          <w:p w14:paraId="0D1C92E1" w14:textId="77777777" w:rsidR="00D17BB4" w:rsidRPr="006E19C7" w:rsidRDefault="00D17BB4" w:rsidP="00CD1F63"/>
        </w:tc>
      </w:tr>
      <w:tr w:rsidR="00D17BB4" w:rsidRPr="006E19C7" w14:paraId="38DFA7F4" w14:textId="77777777" w:rsidTr="00CD1F63">
        <w:trPr>
          <w:trHeight w:val="275"/>
          <w:jc w:val="center"/>
        </w:trPr>
        <w:tc>
          <w:tcPr>
            <w:tcW w:w="2123" w:type="pct"/>
            <w:shd w:val="clear" w:color="auto" w:fill="auto"/>
            <w:noWrap/>
          </w:tcPr>
          <w:p w14:paraId="30CA481E" w14:textId="77777777" w:rsidR="00D17BB4" w:rsidRPr="006E19C7" w:rsidRDefault="00D17BB4" w:rsidP="00CD1F63">
            <w:r w:rsidRPr="006E19C7">
              <w:t>0</w:t>
            </w:r>
          </w:p>
        </w:tc>
        <w:tc>
          <w:tcPr>
            <w:tcW w:w="1412" w:type="pct"/>
            <w:shd w:val="clear" w:color="auto" w:fill="auto"/>
          </w:tcPr>
          <w:p w14:paraId="5B3D7CD7" w14:textId="77777777" w:rsidR="00D17BB4" w:rsidRPr="006E19C7" w:rsidRDefault="00D17BB4" w:rsidP="00CD1F63">
            <w:r w:rsidRPr="006E19C7">
              <w:t>23.0%</w:t>
            </w:r>
          </w:p>
        </w:tc>
        <w:tc>
          <w:tcPr>
            <w:tcW w:w="1465" w:type="pct"/>
            <w:shd w:val="clear" w:color="auto" w:fill="auto"/>
          </w:tcPr>
          <w:p w14:paraId="60EB2B0E" w14:textId="77777777" w:rsidR="00D17BB4" w:rsidRPr="006E19C7" w:rsidRDefault="00D17BB4" w:rsidP="00CD1F63">
            <w:r w:rsidRPr="006E19C7">
              <w:t>34.5%</w:t>
            </w:r>
          </w:p>
        </w:tc>
      </w:tr>
      <w:tr w:rsidR="00D17BB4" w:rsidRPr="006E19C7" w14:paraId="0B6B028C" w14:textId="77777777" w:rsidTr="00CD1F63">
        <w:trPr>
          <w:trHeight w:val="275"/>
          <w:jc w:val="center"/>
        </w:trPr>
        <w:tc>
          <w:tcPr>
            <w:tcW w:w="2123" w:type="pct"/>
            <w:shd w:val="clear" w:color="auto" w:fill="auto"/>
            <w:noWrap/>
          </w:tcPr>
          <w:p w14:paraId="773B1CBF" w14:textId="77777777" w:rsidR="00D17BB4" w:rsidRPr="006E19C7" w:rsidRDefault="00D17BB4" w:rsidP="00CD1F63">
            <w:r w:rsidRPr="006E19C7">
              <w:t>1</w:t>
            </w:r>
          </w:p>
        </w:tc>
        <w:tc>
          <w:tcPr>
            <w:tcW w:w="1412" w:type="pct"/>
            <w:shd w:val="clear" w:color="auto" w:fill="auto"/>
          </w:tcPr>
          <w:p w14:paraId="31CAB4D0" w14:textId="77777777" w:rsidR="00D17BB4" w:rsidRPr="006E19C7" w:rsidRDefault="00D17BB4" w:rsidP="00CD1F63">
            <w:r w:rsidRPr="006E19C7">
              <w:t>31.5%</w:t>
            </w:r>
          </w:p>
        </w:tc>
        <w:tc>
          <w:tcPr>
            <w:tcW w:w="1465" w:type="pct"/>
            <w:shd w:val="clear" w:color="auto" w:fill="auto"/>
          </w:tcPr>
          <w:p w14:paraId="488758EB" w14:textId="77777777" w:rsidR="00D17BB4" w:rsidRPr="006E19C7" w:rsidRDefault="00D17BB4" w:rsidP="00CD1F63">
            <w:r w:rsidRPr="006E19C7">
              <w:t>32.8%</w:t>
            </w:r>
          </w:p>
        </w:tc>
      </w:tr>
      <w:tr w:rsidR="00D17BB4" w:rsidRPr="006E19C7" w14:paraId="0740ADF2" w14:textId="77777777" w:rsidTr="00CD1F63">
        <w:trPr>
          <w:trHeight w:val="275"/>
          <w:jc w:val="center"/>
        </w:trPr>
        <w:tc>
          <w:tcPr>
            <w:tcW w:w="2123" w:type="pct"/>
            <w:shd w:val="clear" w:color="auto" w:fill="auto"/>
            <w:noWrap/>
          </w:tcPr>
          <w:p w14:paraId="234D59CD" w14:textId="77777777" w:rsidR="00D17BB4" w:rsidRPr="006E19C7" w:rsidRDefault="00D17BB4" w:rsidP="00CD1F63">
            <w:r w:rsidRPr="006E19C7">
              <w:t>2</w:t>
            </w:r>
          </w:p>
        </w:tc>
        <w:tc>
          <w:tcPr>
            <w:tcW w:w="1412" w:type="pct"/>
            <w:shd w:val="clear" w:color="auto" w:fill="auto"/>
          </w:tcPr>
          <w:p w14:paraId="697AD600" w14:textId="77777777" w:rsidR="00D17BB4" w:rsidRPr="006E19C7" w:rsidRDefault="00D17BB4" w:rsidP="00CD1F63">
            <w:r w:rsidRPr="006E19C7">
              <w:t>24.6%</w:t>
            </w:r>
          </w:p>
        </w:tc>
        <w:tc>
          <w:tcPr>
            <w:tcW w:w="1465" w:type="pct"/>
            <w:shd w:val="clear" w:color="auto" w:fill="auto"/>
          </w:tcPr>
          <w:p w14:paraId="2870B79C" w14:textId="77777777" w:rsidR="00D17BB4" w:rsidRPr="006E19C7" w:rsidRDefault="00D17BB4" w:rsidP="00CD1F63">
            <w:r w:rsidRPr="006E19C7">
              <w:t>19.5%</w:t>
            </w:r>
          </w:p>
        </w:tc>
      </w:tr>
      <w:tr w:rsidR="00D17BB4" w:rsidRPr="006E19C7" w14:paraId="319B3B61" w14:textId="77777777" w:rsidTr="00CD1F63">
        <w:trPr>
          <w:trHeight w:val="275"/>
          <w:jc w:val="center"/>
        </w:trPr>
        <w:tc>
          <w:tcPr>
            <w:tcW w:w="2123" w:type="pct"/>
            <w:shd w:val="clear" w:color="auto" w:fill="auto"/>
            <w:noWrap/>
          </w:tcPr>
          <w:p w14:paraId="575DE153" w14:textId="77777777" w:rsidR="00D17BB4" w:rsidRPr="006E19C7" w:rsidRDefault="00D17BB4" w:rsidP="00CD1F63">
            <w:r w:rsidRPr="006E19C7">
              <w:t>≥3</w:t>
            </w:r>
          </w:p>
        </w:tc>
        <w:tc>
          <w:tcPr>
            <w:tcW w:w="1412" w:type="pct"/>
            <w:shd w:val="clear" w:color="auto" w:fill="auto"/>
          </w:tcPr>
          <w:p w14:paraId="479A00C6" w14:textId="77777777" w:rsidR="00D17BB4" w:rsidRPr="006E19C7" w:rsidRDefault="00D17BB4" w:rsidP="00CD1F63">
            <w:r w:rsidRPr="006E19C7">
              <w:t>20.9%</w:t>
            </w:r>
          </w:p>
        </w:tc>
        <w:tc>
          <w:tcPr>
            <w:tcW w:w="1465" w:type="pct"/>
            <w:shd w:val="clear" w:color="auto" w:fill="auto"/>
          </w:tcPr>
          <w:p w14:paraId="7A1C7AAD" w14:textId="77777777" w:rsidR="00D17BB4" w:rsidRPr="006E19C7" w:rsidRDefault="00D17BB4" w:rsidP="00CD1F63">
            <w:r w:rsidRPr="006E19C7">
              <w:t>13.1%</w:t>
            </w:r>
          </w:p>
        </w:tc>
      </w:tr>
      <w:tr w:rsidR="00D17BB4" w:rsidRPr="006E19C7" w14:paraId="78606AA2" w14:textId="77777777" w:rsidTr="00CD1F63">
        <w:trPr>
          <w:trHeight w:val="275"/>
          <w:jc w:val="center"/>
        </w:trPr>
        <w:tc>
          <w:tcPr>
            <w:tcW w:w="2123" w:type="pct"/>
            <w:shd w:val="clear" w:color="auto" w:fill="auto"/>
            <w:noWrap/>
          </w:tcPr>
          <w:p w14:paraId="2B41CDE2" w14:textId="77777777" w:rsidR="00D17BB4" w:rsidRPr="006E19C7" w:rsidRDefault="00D17BB4" w:rsidP="00CD1F63">
            <w:r w:rsidRPr="006E19C7">
              <w:t>Hospital bed size</w:t>
            </w:r>
          </w:p>
        </w:tc>
        <w:tc>
          <w:tcPr>
            <w:tcW w:w="1412" w:type="pct"/>
            <w:shd w:val="clear" w:color="auto" w:fill="auto"/>
          </w:tcPr>
          <w:p w14:paraId="1684222F" w14:textId="77777777" w:rsidR="00D17BB4" w:rsidRPr="006E19C7" w:rsidRDefault="00D17BB4" w:rsidP="00CD1F63"/>
        </w:tc>
        <w:tc>
          <w:tcPr>
            <w:tcW w:w="1465" w:type="pct"/>
            <w:shd w:val="clear" w:color="auto" w:fill="auto"/>
          </w:tcPr>
          <w:p w14:paraId="662018B3" w14:textId="77777777" w:rsidR="00D17BB4" w:rsidRPr="006E19C7" w:rsidRDefault="00D17BB4" w:rsidP="00CD1F63"/>
        </w:tc>
      </w:tr>
      <w:tr w:rsidR="00D17BB4" w:rsidRPr="006E19C7" w14:paraId="77032B3E" w14:textId="77777777" w:rsidTr="00CD1F63">
        <w:trPr>
          <w:trHeight w:val="275"/>
          <w:jc w:val="center"/>
        </w:trPr>
        <w:tc>
          <w:tcPr>
            <w:tcW w:w="2123" w:type="pct"/>
            <w:shd w:val="clear" w:color="auto" w:fill="auto"/>
            <w:noWrap/>
          </w:tcPr>
          <w:p w14:paraId="25E7C05D" w14:textId="77777777" w:rsidR="00D17BB4" w:rsidRPr="006E19C7" w:rsidRDefault="00D17BB4" w:rsidP="00CD1F63">
            <w:r w:rsidRPr="006E19C7">
              <w:t>Small</w:t>
            </w:r>
          </w:p>
        </w:tc>
        <w:tc>
          <w:tcPr>
            <w:tcW w:w="1412" w:type="pct"/>
            <w:shd w:val="clear" w:color="auto" w:fill="auto"/>
          </w:tcPr>
          <w:p w14:paraId="46CB7ED6" w14:textId="77777777" w:rsidR="00D17BB4" w:rsidRPr="006E19C7" w:rsidRDefault="00D17BB4" w:rsidP="00CD1F63">
            <w:r w:rsidRPr="006E19C7">
              <w:t>16.3%</w:t>
            </w:r>
          </w:p>
        </w:tc>
        <w:tc>
          <w:tcPr>
            <w:tcW w:w="1465" w:type="pct"/>
            <w:shd w:val="clear" w:color="auto" w:fill="auto"/>
          </w:tcPr>
          <w:p w14:paraId="07CDA36C" w14:textId="77777777" w:rsidR="00D17BB4" w:rsidRPr="006E19C7" w:rsidRDefault="00D17BB4" w:rsidP="00CD1F63">
            <w:r w:rsidRPr="006E19C7">
              <w:t>8.0%</w:t>
            </w:r>
          </w:p>
        </w:tc>
      </w:tr>
      <w:tr w:rsidR="00D17BB4" w:rsidRPr="006E19C7" w14:paraId="39F962A1" w14:textId="77777777" w:rsidTr="00CD1F63">
        <w:trPr>
          <w:trHeight w:val="275"/>
          <w:jc w:val="center"/>
        </w:trPr>
        <w:tc>
          <w:tcPr>
            <w:tcW w:w="2123" w:type="pct"/>
            <w:shd w:val="clear" w:color="auto" w:fill="auto"/>
            <w:noWrap/>
          </w:tcPr>
          <w:p w14:paraId="4F9ECE87" w14:textId="77777777" w:rsidR="00D17BB4" w:rsidRPr="006E19C7" w:rsidRDefault="00D17BB4" w:rsidP="00CD1F63">
            <w:r w:rsidRPr="006E19C7">
              <w:t>Medium</w:t>
            </w:r>
          </w:p>
        </w:tc>
        <w:tc>
          <w:tcPr>
            <w:tcW w:w="1412" w:type="pct"/>
            <w:shd w:val="clear" w:color="auto" w:fill="auto"/>
          </w:tcPr>
          <w:p w14:paraId="1A65E531" w14:textId="77777777" w:rsidR="00D17BB4" w:rsidRPr="006E19C7" w:rsidRDefault="00D17BB4" w:rsidP="00CD1F63">
            <w:r w:rsidRPr="006E19C7">
              <w:t>28.3%</w:t>
            </w:r>
          </w:p>
        </w:tc>
        <w:tc>
          <w:tcPr>
            <w:tcW w:w="1465" w:type="pct"/>
            <w:shd w:val="clear" w:color="auto" w:fill="auto"/>
          </w:tcPr>
          <w:p w14:paraId="52163B9A" w14:textId="77777777" w:rsidR="00D17BB4" w:rsidRPr="006E19C7" w:rsidRDefault="00D17BB4" w:rsidP="00CD1F63">
            <w:r w:rsidRPr="006E19C7">
              <w:t>21.7%</w:t>
            </w:r>
          </w:p>
        </w:tc>
      </w:tr>
      <w:tr w:rsidR="00D17BB4" w:rsidRPr="006E19C7" w14:paraId="23DF8C94" w14:textId="77777777" w:rsidTr="00CD1F63">
        <w:trPr>
          <w:trHeight w:val="275"/>
          <w:jc w:val="center"/>
        </w:trPr>
        <w:tc>
          <w:tcPr>
            <w:tcW w:w="2123" w:type="pct"/>
            <w:shd w:val="clear" w:color="auto" w:fill="auto"/>
            <w:noWrap/>
          </w:tcPr>
          <w:p w14:paraId="2F49929B" w14:textId="77777777" w:rsidR="00D17BB4" w:rsidRPr="006E19C7" w:rsidRDefault="00D17BB4" w:rsidP="00CD1F63">
            <w:r w:rsidRPr="006E19C7">
              <w:t>Large</w:t>
            </w:r>
          </w:p>
        </w:tc>
        <w:tc>
          <w:tcPr>
            <w:tcW w:w="1412" w:type="pct"/>
            <w:shd w:val="clear" w:color="auto" w:fill="auto"/>
          </w:tcPr>
          <w:p w14:paraId="348A0F2A" w14:textId="77777777" w:rsidR="00D17BB4" w:rsidRPr="006E19C7" w:rsidRDefault="00D17BB4" w:rsidP="00CD1F63">
            <w:r w:rsidRPr="006E19C7">
              <w:t>55.4%</w:t>
            </w:r>
          </w:p>
        </w:tc>
        <w:tc>
          <w:tcPr>
            <w:tcW w:w="1465" w:type="pct"/>
            <w:shd w:val="clear" w:color="auto" w:fill="auto"/>
          </w:tcPr>
          <w:p w14:paraId="2F748358" w14:textId="77777777" w:rsidR="00D17BB4" w:rsidRPr="006E19C7" w:rsidRDefault="00D17BB4" w:rsidP="00CD1F63">
            <w:r w:rsidRPr="006E19C7">
              <w:t>70.3%</w:t>
            </w:r>
          </w:p>
        </w:tc>
      </w:tr>
      <w:tr w:rsidR="00D17BB4" w:rsidRPr="006E19C7" w14:paraId="4F56BB11" w14:textId="77777777" w:rsidTr="00CD1F63">
        <w:trPr>
          <w:trHeight w:val="275"/>
          <w:jc w:val="center"/>
        </w:trPr>
        <w:tc>
          <w:tcPr>
            <w:tcW w:w="2123" w:type="pct"/>
            <w:shd w:val="clear" w:color="auto" w:fill="auto"/>
            <w:noWrap/>
          </w:tcPr>
          <w:p w14:paraId="5220D9CA" w14:textId="77777777" w:rsidR="00D17BB4" w:rsidRPr="006E19C7" w:rsidRDefault="00D17BB4" w:rsidP="00CD1F63">
            <w:r w:rsidRPr="006E19C7">
              <w:t>Hospital Region</w:t>
            </w:r>
          </w:p>
        </w:tc>
        <w:tc>
          <w:tcPr>
            <w:tcW w:w="1412" w:type="pct"/>
            <w:shd w:val="clear" w:color="auto" w:fill="auto"/>
          </w:tcPr>
          <w:p w14:paraId="514FF3EC" w14:textId="77777777" w:rsidR="00D17BB4" w:rsidRPr="006E19C7" w:rsidRDefault="00D17BB4" w:rsidP="00CD1F63"/>
        </w:tc>
        <w:tc>
          <w:tcPr>
            <w:tcW w:w="1465" w:type="pct"/>
            <w:shd w:val="clear" w:color="auto" w:fill="auto"/>
          </w:tcPr>
          <w:p w14:paraId="034D80E6" w14:textId="77777777" w:rsidR="00D17BB4" w:rsidRPr="006E19C7" w:rsidRDefault="00D17BB4" w:rsidP="00CD1F63"/>
        </w:tc>
      </w:tr>
      <w:tr w:rsidR="00D17BB4" w:rsidRPr="006E19C7" w14:paraId="32CB2DA1" w14:textId="77777777" w:rsidTr="00CD1F63">
        <w:trPr>
          <w:trHeight w:val="275"/>
          <w:jc w:val="center"/>
        </w:trPr>
        <w:tc>
          <w:tcPr>
            <w:tcW w:w="2123" w:type="pct"/>
            <w:shd w:val="clear" w:color="auto" w:fill="auto"/>
            <w:noWrap/>
          </w:tcPr>
          <w:p w14:paraId="4D5347E7" w14:textId="77777777" w:rsidR="00D17BB4" w:rsidRPr="006E19C7" w:rsidRDefault="00D17BB4" w:rsidP="00CD1F63">
            <w:r w:rsidRPr="006E19C7">
              <w:t>Northeast</w:t>
            </w:r>
          </w:p>
        </w:tc>
        <w:tc>
          <w:tcPr>
            <w:tcW w:w="1412" w:type="pct"/>
            <w:shd w:val="clear" w:color="auto" w:fill="auto"/>
          </w:tcPr>
          <w:p w14:paraId="0EFA59C3" w14:textId="77777777" w:rsidR="00D17BB4" w:rsidRPr="006E19C7" w:rsidRDefault="00D17BB4" w:rsidP="00CD1F63">
            <w:r w:rsidRPr="006E19C7">
              <w:t>25.8%</w:t>
            </w:r>
          </w:p>
        </w:tc>
        <w:tc>
          <w:tcPr>
            <w:tcW w:w="1465" w:type="pct"/>
            <w:shd w:val="clear" w:color="auto" w:fill="auto"/>
          </w:tcPr>
          <w:p w14:paraId="35525672" w14:textId="77777777" w:rsidR="00D17BB4" w:rsidRPr="006E19C7" w:rsidRDefault="00D17BB4" w:rsidP="00CD1F63">
            <w:r w:rsidRPr="006E19C7">
              <w:t>17.9%</w:t>
            </w:r>
          </w:p>
        </w:tc>
      </w:tr>
      <w:tr w:rsidR="00D17BB4" w:rsidRPr="006E19C7" w14:paraId="592D9C9C" w14:textId="77777777" w:rsidTr="00CD1F63">
        <w:trPr>
          <w:trHeight w:val="275"/>
          <w:jc w:val="center"/>
        </w:trPr>
        <w:tc>
          <w:tcPr>
            <w:tcW w:w="2123" w:type="pct"/>
            <w:shd w:val="clear" w:color="auto" w:fill="auto"/>
            <w:noWrap/>
          </w:tcPr>
          <w:p w14:paraId="37A247A4" w14:textId="77777777" w:rsidR="00D17BB4" w:rsidRPr="006E19C7" w:rsidRDefault="00D17BB4" w:rsidP="00CD1F63">
            <w:r w:rsidRPr="006E19C7">
              <w:t>Midwest</w:t>
            </w:r>
          </w:p>
        </w:tc>
        <w:tc>
          <w:tcPr>
            <w:tcW w:w="1412" w:type="pct"/>
            <w:shd w:val="clear" w:color="auto" w:fill="auto"/>
          </w:tcPr>
          <w:p w14:paraId="67A3235C" w14:textId="77777777" w:rsidR="00D17BB4" w:rsidRPr="006E19C7" w:rsidRDefault="00D17BB4" w:rsidP="00CD1F63">
            <w:r w:rsidRPr="006E19C7">
              <w:t>20.1%</w:t>
            </w:r>
          </w:p>
        </w:tc>
        <w:tc>
          <w:tcPr>
            <w:tcW w:w="1465" w:type="pct"/>
            <w:shd w:val="clear" w:color="auto" w:fill="auto"/>
          </w:tcPr>
          <w:p w14:paraId="789076E1" w14:textId="77777777" w:rsidR="00D17BB4" w:rsidRPr="006E19C7" w:rsidRDefault="00D17BB4" w:rsidP="00CD1F63">
            <w:r w:rsidRPr="006E19C7">
              <w:t>24.4%</w:t>
            </w:r>
          </w:p>
        </w:tc>
      </w:tr>
      <w:tr w:rsidR="00D17BB4" w:rsidRPr="006E19C7" w14:paraId="626A8F5E" w14:textId="77777777" w:rsidTr="00CD1F63">
        <w:trPr>
          <w:trHeight w:val="275"/>
          <w:jc w:val="center"/>
        </w:trPr>
        <w:tc>
          <w:tcPr>
            <w:tcW w:w="2123" w:type="pct"/>
            <w:shd w:val="clear" w:color="auto" w:fill="auto"/>
            <w:noWrap/>
          </w:tcPr>
          <w:p w14:paraId="45DDE4B6" w14:textId="77777777" w:rsidR="00D17BB4" w:rsidRPr="006E19C7" w:rsidRDefault="00D17BB4" w:rsidP="00CD1F63">
            <w:r w:rsidRPr="006E19C7">
              <w:t>South</w:t>
            </w:r>
          </w:p>
        </w:tc>
        <w:tc>
          <w:tcPr>
            <w:tcW w:w="1412" w:type="pct"/>
            <w:shd w:val="clear" w:color="auto" w:fill="auto"/>
          </w:tcPr>
          <w:p w14:paraId="6C9C045D" w14:textId="77777777" w:rsidR="00D17BB4" w:rsidRPr="006E19C7" w:rsidRDefault="00D17BB4" w:rsidP="00CD1F63">
            <w:r w:rsidRPr="006E19C7">
              <w:t>38.8%</w:t>
            </w:r>
          </w:p>
        </w:tc>
        <w:tc>
          <w:tcPr>
            <w:tcW w:w="1465" w:type="pct"/>
            <w:shd w:val="clear" w:color="auto" w:fill="auto"/>
          </w:tcPr>
          <w:p w14:paraId="3860535B" w14:textId="77777777" w:rsidR="00D17BB4" w:rsidRPr="006E19C7" w:rsidRDefault="00D17BB4" w:rsidP="00CD1F63">
            <w:r w:rsidRPr="006E19C7">
              <w:t>42.4%</w:t>
            </w:r>
          </w:p>
        </w:tc>
      </w:tr>
      <w:tr w:rsidR="00D17BB4" w:rsidRPr="006E19C7" w14:paraId="48EF245E" w14:textId="77777777" w:rsidTr="00CD1F63">
        <w:trPr>
          <w:trHeight w:val="275"/>
          <w:jc w:val="center"/>
        </w:trPr>
        <w:tc>
          <w:tcPr>
            <w:tcW w:w="2123" w:type="pct"/>
            <w:shd w:val="clear" w:color="auto" w:fill="auto"/>
            <w:noWrap/>
          </w:tcPr>
          <w:p w14:paraId="2D0AE3AA" w14:textId="77777777" w:rsidR="00D17BB4" w:rsidRPr="006E19C7" w:rsidRDefault="00D17BB4" w:rsidP="00CD1F63">
            <w:r w:rsidRPr="006E19C7">
              <w:t>West</w:t>
            </w:r>
          </w:p>
        </w:tc>
        <w:tc>
          <w:tcPr>
            <w:tcW w:w="1412" w:type="pct"/>
            <w:shd w:val="clear" w:color="auto" w:fill="auto"/>
          </w:tcPr>
          <w:p w14:paraId="15CCB46C" w14:textId="77777777" w:rsidR="00D17BB4" w:rsidRPr="006E19C7" w:rsidRDefault="00D17BB4" w:rsidP="00CD1F63">
            <w:r w:rsidRPr="006E19C7">
              <w:t>15.2%</w:t>
            </w:r>
          </w:p>
        </w:tc>
        <w:tc>
          <w:tcPr>
            <w:tcW w:w="1465" w:type="pct"/>
            <w:shd w:val="clear" w:color="auto" w:fill="auto"/>
          </w:tcPr>
          <w:p w14:paraId="69324788" w14:textId="77777777" w:rsidR="00D17BB4" w:rsidRPr="006E19C7" w:rsidRDefault="00D17BB4" w:rsidP="00CD1F63">
            <w:r w:rsidRPr="006E19C7">
              <w:t>15.3%</w:t>
            </w:r>
          </w:p>
        </w:tc>
      </w:tr>
      <w:tr w:rsidR="00D17BB4" w:rsidRPr="006E19C7" w14:paraId="0EEDF379" w14:textId="77777777" w:rsidTr="00CD1F63">
        <w:trPr>
          <w:trHeight w:val="275"/>
          <w:jc w:val="center"/>
        </w:trPr>
        <w:tc>
          <w:tcPr>
            <w:tcW w:w="2123" w:type="pct"/>
            <w:shd w:val="clear" w:color="auto" w:fill="auto"/>
            <w:noWrap/>
          </w:tcPr>
          <w:p w14:paraId="1952FC92" w14:textId="77777777" w:rsidR="00D17BB4" w:rsidRPr="006E19C7" w:rsidRDefault="00D17BB4" w:rsidP="00CD1F63">
            <w:r w:rsidRPr="006E19C7">
              <w:t>Location/ Teaching status</w:t>
            </w:r>
          </w:p>
        </w:tc>
        <w:tc>
          <w:tcPr>
            <w:tcW w:w="1412" w:type="pct"/>
            <w:shd w:val="clear" w:color="auto" w:fill="auto"/>
          </w:tcPr>
          <w:p w14:paraId="1FB03F63" w14:textId="77777777" w:rsidR="00D17BB4" w:rsidRPr="006E19C7" w:rsidRDefault="00D17BB4" w:rsidP="00CD1F63"/>
        </w:tc>
        <w:tc>
          <w:tcPr>
            <w:tcW w:w="1465" w:type="pct"/>
            <w:shd w:val="clear" w:color="auto" w:fill="auto"/>
          </w:tcPr>
          <w:p w14:paraId="477C8458" w14:textId="77777777" w:rsidR="00D17BB4" w:rsidRPr="006E19C7" w:rsidRDefault="00D17BB4" w:rsidP="00CD1F63"/>
        </w:tc>
      </w:tr>
      <w:tr w:rsidR="00D17BB4" w:rsidRPr="006E19C7" w14:paraId="086AB4C7" w14:textId="77777777" w:rsidTr="00CD1F63">
        <w:trPr>
          <w:trHeight w:val="275"/>
          <w:jc w:val="center"/>
        </w:trPr>
        <w:tc>
          <w:tcPr>
            <w:tcW w:w="2123" w:type="pct"/>
            <w:shd w:val="clear" w:color="auto" w:fill="auto"/>
            <w:noWrap/>
          </w:tcPr>
          <w:p w14:paraId="59A211B7" w14:textId="77777777" w:rsidR="00D17BB4" w:rsidRPr="006E19C7" w:rsidRDefault="00D17BB4" w:rsidP="00CD1F63">
            <w:r w:rsidRPr="006E19C7">
              <w:t>Rural</w:t>
            </w:r>
          </w:p>
        </w:tc>
        <w:tc>
          <w:tcPr>
            <w:tcW w:w="1412" w:type="pct"/>
            <w:shd w:val="clear" w:color="auto" w:fill="auto"/>
          </w:tcPr>
          <w:p w14:paraId="398E927E" w14:textId="77777777" w:rsidR="00D17BB4" w:rsidRPr="006E19C7" w:rsidRDefault="00D17BB4" w:rsidP="00CD1F63">
            <w:r w:rsidRPr="006E19C7">
              <w:t>18.0%</w:t>
            </w:r>
          </w:p>
        </w:tc>
        <w:tc>
          <w:tcPr>
            <w:tcW w:w="1465" w:type="pct"/>
            <w:shd w:val="clear" w:color="auto" w:fill="auto"/>
          </w:tcPr>
          <w:p w14:paraId="2D96ACAA" w14:textId="77777777" w:rsidR="00D17BB4" w:rsidRPr="006E19C7" w:rsidRDefault="00D17BB4" w:rsidP="00CD1F63">
            <w:r w:rsidRPr="006E19C7">
              <w:t>6.6%</w:t>
            </w:r>
          </w:p>
        </w:tc>
      </w:tr>
      <w:tr w:rsidR="00D17BB4" w:rsidRPr="006E19C7" w14:paraId="4BC1370C" w14:textId="77777777" w:rsidTr="00CD1F63">
        <w:trPr>
          <w:trHeight w:val="275"/>
          <w:jc w:val="center"/>
        </w:trPr>
        <w:tc>
          <w:tcPr>
            <w:tcW w:w="2123" w:type="pct"/>
            <w:shd w:val="clear" w:color="auto" w:fill="auto"/>
            <w:noWrap/>
          </w:tcPr>
          <w:p w14:paraId="00A5E08F" w14:textId="77777777" w:rsidR="00D17BB4" w:rsidRPr="006E19C7" w:rsidRDefault="00D17BB4" w:rsidP="00CD1F63">
            <w:r w:rsidRPr="006E19C7">
              <w:t>Urban-non teaching</w:t>
            </w:r>
          </w:p>
        </w:tc>
        <w:tc>
          <w:tcPr>
            <w:tcW w:w="1412" w:type="pct"/>
            <w:shd w:val="clear" w:color="auto" w:fill="auto"/>
          </w:tcPr>
          <w:p w14:paraId="76A46C24" w14:textId="77777777" w:rsidR="00D17BB4" w:rsidRPr="006E19C7" w:rsidRDefault="00D17BB4" w:rsidP="00CD1F63">
            <w:r w:rsidRPr="006E19C7">
              <w:t>47.2%</w:t>
            </w:r>
          </w:p>
        </w:tc>
        <w:tc>
          <w:tcPr>
            <w:tcW w:w="1465" w:type="pct"/>
            <w:shd w:val="clear" w:color="auto" w:fill="auto"/>
          </w:tcPr>
          <w:p w14:paraId="1CD5A900" w14:textId="77777777" w:rsidR="00D17BB4" w:rsidRPr="006E19C7" w:rsidRDefault="00D17BB4" w:rsidP="00CD1F63">
            <w:r w:rsidRPr="006E19C7">
              <w:t>39.0%</w:t>
            </w:r>
          </w:p>
        </w:tc>
      </w:tr>
      <w:tr w:rsidR="00D17BB4" w:rsidRPr="006E19C7" w14:paraId="76699ED9" w14:textId="77777777" w:rsidTr="00CD1F63">
        <w:trPr>
          <w:trHeight w:val="275"/>
          <w:jc w:val="center"/>
        </w:trPr>
        <w:tc>
          <w:tcPr>
            <w:tcW w:w="2123" w:type="pct"/>
            <w:shd w:val="clear" w:color="auto" w:fill="auto"/>
            <w:noWrap/>
          </w:tcPr>
          <w:p w14:paraId="4E699D3A" w14:textId="77777777" w:rsidR="00D17BB4" w:rsidRPr="006E19C7" w:rsidRDefault="00D17BB4" w:rsidP="00CD1F63">
            <w:r w:rsidRPr="006E19C7">
              <w:t>Urban- teaching</w:t>
            </w:r>
          </w:p>
        </w:tc>
        <w:tc>
          <w:tcPr>
            <w:tcW w:w="1412" w:type="pct"/>
            <w:shd w:val="clear" w:color="auto" w:fill="auto"/>
          </w:tcPr>
          <w:p w14:paraId="44C19A0E" w14:textId="77777777" w:rsidR="00D17BB4" w:rsidRPr="006E19C7" w:rsidRDefault="00D17BB4" w:rsidP="00CD1F63">
            <w:r w:rsidRPr="006E19C7">
              <w:t>34.8%</w:t>
            </w:r>
          </w:p>
        </w:tc>
        <w:tc>
          <w:tcPr>
            <w:tcW w:w="1465" w:type="pct"/>
            <w:shd w:val="clear" w:color="auto" w:fill="auto"/>
          </w:tcPr>
          <w:p w14:paraId="523FD8B6" w14:textId="77777777" w:rsidR="00D17BB4" w:rsidRPr="006E19C7" w:rsidRDefault="00D17BB4" w:rsidP="00CD1F63">
            <w:r w:rsidRPr="006E19C7">
              <w:t>54.4%</w:t>
            </w:r>
          </w:p>
        </w:tc>
      </w:tr>
      <w:tr w:rsidR="00D17BB4" w:rsidRPr="006E19C7" w14:paraId="78272A71" w14:textId="77777777" w:rsidTr="00CD1F63">
        <w:trPr>
          <w:trHeight w:val="275"/>
          <w:jc w:val="center"/>
        </w:trPr>
        <w:tc>
          <w:tcPr>
            <w:tcW w:w="2123" w:type="pct"/>
            <w:shd w:val="clear" w:color="auto" w:fill="auto"/>
            <w:noWrap/>
          </w:tcPr>
          <w:p w14:paraId="4CFFD7C7" w14:textId="77777777" w:rsidR="00D17BB4" w:rsidRPr="006E19C7" w:rsidRDefault="00D17BB4" w:rsidP="00CD1F63">
            <w:r w:rsidRPr="006E19C7">
              <w:t>Length of stay, Median (IQR)</w:t>
            </w:r>
          </w:p>
        </w:tc>
        <w:tc>
          <w:tcPr>
            <w:tcW w:w="1412" w:type="pct"/>
            <w:shd w:val="clear" w:color="auto" w:fill="auto"/>
          </w:tcPr>
          <w:p w14:paraId="0E05CB55" w14:textId="77777777" w:rsidR="00D17BB4" w:rsidRPr="006E19C7" w:rsidRDefault="00D17BB4" w:rsidP="00CD1F63">
            <w:r w:rsidRPr="006E19C7">
              <w:t>3 (2-6)</w:t>
            </w:r>
          </w:p>
        </w:tc>
        <w:tc>
          <w:tcPr>
            <w:tcW w:w="1465" w:type="pct"/>
            <w:shd w:val="clear" w:color="auto" w:fill="auto"/>
          </w:tcPr>
          <w:p w14:paraId="0F562DC9" w14:textId="77777777" w:rsidR="00D17BB4" w:rsidRPr="006E19C7" w:rsidRDefault="00D17BB4" w:rsidP="00CD1F63">
            <w:r w:rsidRPr="006E19C7">
              <w:t>3 (2-6)</w:t>
            </w:r>
          </w:p>
        </w:tc>
      </w:tr>
      <w:tr w:rsidR="00D17BB4" w:rsidRPr="006E19C7" w14:paraId="3563235E" w14:textId="77777777" w:rsidTr="00CD1F63">
        <w:trPr>
          <w:trHeight w:val="275"/>
          <w:jc w:val="center"/>
        </w:trPr>
        <w:tc>
          <w:tcPr>
            <w:tcW w:w="2123" w:type="pct"/>
            <w:shd w:val="clear" w:color="auto" w:fill="auto"/>
            <w:noWrap/>
          </w:tcPr>
          <w:p w14:paraId="11943A9F" w14:textId="77777777" w:rsidR="00D17BB4" w:rsidRPr="006E19C7" w:rsidRDefault="00D17BB4" w:rsidP="00CD1F63">
            <w:r w:rsidRPr="006E19C7">
              <w:t>Total charge,$, Median (IQR)</w:t>
            </w:r>
          </w:p>
        </w:tc>
        <w:tc>
          <w:tcPr>
            <w:tcW w:w="1412" w:type="pct"/>
            <w:shd w:val="clear" w:color="auto" w:fill="auto"/>
          </w:tcPr>
          <w:p w14:paraId="7E99AC1E" w14:textId="77777777" w:rsidR="00D17BB4" w:rsidRPr="006E19C7" w:rsidRDefault="00D17BB4" w:rsidP="00CD1F63">
            <w:r w:rsidRPr="006E19C7">
              <w:t>18078 (9841-34417)</w:t>
            </w:r>
          </w:p>
        </w:tc>
        <w:tc>
          <w:tcPr>
            <w:tcW w:w="1465" w:type="pct"/>
            <w:shd w:val="clear" w:color="auto" w:fill="auto"/>
          </w:tcPr>
          <w:p w14:paraId="686CEA3D" w14:textId="77777777" w:rsidR="00D17BB4" w:rsidRPr="006E19C7" w:rsidRDefault="00D17BB4" w:rsidP="00CD1F63">
            <w:r w:rsidRPr="006E19C7">
              <w:t>51433 (31694-85583)</w:t>
            </w:r>
          </w:p>
        </w:tc>
      </w:tr>
      <w:tr w:rsidR="00D17BB4" w:rsidRPr="006E19C7" w14:paraId="43B464DD" w14:textId="77777777" w:rsidTr="00CD1F63">
        <w:trPr>
          <w:trHeight w:val="275"/>
          <w:jc w:val="center"/>
        </w:trPr>
        <w:tc>
          <w:tcPr>
            <w:tcW w:w="2123" w:type="pct"/>
            <w:shd w:val="clear" w:color="auto" w:fill="auto"/>
            <w:noWrap/>
          </w:tcPr>
          <w:p w14:paraId="375094A2" w14:textId="77777777" w:rsidR="00D17BB4" w:rsidRPr="006E19C7" w:rsidRDefault="00D17BB4" w:rsidP="00CD1F63">
            <w:r w:rsidRPr="006E19C7">
              <w:t>Bleeding complications</w:t>
            </w:r>
          </w:p>
        </w:tc>
        <w:tc>
          <w:tcPr>
            <w:tcW w:w="1412" w:type="pct"/>
            <w:shd w:val="clear" w:color="auto" w:fill="auto"/>
          </w:tcPr>
          <w:p w14:paraId="2962C945" w14:textId="77777777" w:rsidR="00D17BB4" w:rsidRPr="006E19C7" w:rsidRDefault="00D17BB4" w:rsidP="00CD1F63">
            <w:r w:rsidRPr="006E19C7">
              <w:t>11.9%</w:t>
            </w:r>
          </w:p>
        </w:tc>
        <w:tc>
          <w:tcPr>
            <w:tcW w:w="1465" w:type="pct"/>
            <w:shd w:val="clear" w:color="auto" w:fill="auto"/>
          </w:tcPr>
          <w:p w14:paraId="4DD01B4E" w14:textId="77777777" w:rsidR="00D17BB4" w:rsidRPr="006E19C7" w:rsidRDefault="00D17BB4" w:rsidP="00CD1F63">
            <w:r w:rsidRPr="006E19C7">
              <w:t>10.7%</w:t>
            </w:r>
          </w:p>
        </w:tc>
      </w:tr>
      <w:tr w:rsidR="00D17BB4" w:rsidRPr="006E19C7" w14:paraId="749854DE" w14:textId="77777777" w:rsidTr="00CD1F63">
        <w:trPr>
          <w:trHeight w:val="275"/>
          <w:jc w:val="center"/>
        </w:trPr>
        <w:tc>
          <w:tcPr>
            <w:tcW w:w="2123" w:type="pct"/>
            <w:shd w:val="clear" w:color="auto" w:fill="auto"/>
            <w:noWrap/>
          </w:tcPr>
          <w:p w14:paraId="7A8E50D7" w14:textId="77777777" w:rsidR="00D17BB4" w:rsidRPr="006E19C7" w:rsidRDefault="00D17BB4" w:rsidP="00CD1F63">
            <w:r w:rsidRPr="006E19C7">
              <w:t>Vascular complications</w:t>
            </w:r>
          </w:p>
        </w:tc>
        <w:tc>
          <w:tcPr>
            <w:tcW w:w="1412" w:type="pct"/>
            <w:shd w:val="clear" w:color="auto" w:fill="auto"/>
          </w:tcPr>
          <w:p w14:paraId="40C05126" w14:textId="77777777" w:rsidR="00D17BB4" w:rsidRPr="006E19C7" w:rsidRDefault="00D17BB4" w:rsidP="00CD1F63">
            <w:r w:rsidRPr="006E19C7">
              <w:t>0.3%</w:t>
            </w:r>
          </w:p>
        </w:tc>
        <w:tc>
          <w:tcPr>
            <w:tcW w:w="1465" w:type="pct"/>
            <w:shd w:val="clear" w:color="auto" w:fill="auto"/>
          </w:tcPr>
          <w:p w14:paraId="2CF60130" w14:textId="77777777" w:rsidR="00D17BB4" w:rsidRPr="006E19C7" w:rsidRDefault="00D17BB4" w:rsidP="00CD1F63">
            <w:r w:rsidRPr="006E19C7">
              <w:t>1.4%</w:t>
            </w:r>
          </w:p>
        </w:tc>
      </w:tr>
      <w:tr w:rsidR="00D17BB4" w:rsidRPr="006E19C7" w14:paraId="30A286FC" w14:textId="77777777" w:rsidTr="00CD1F63">
        <w:trPr>
          <w:trHeight w:val="275"/>
          <w:jc w:val="center"/>
        </w:trPr>
        <w:tc>
          <w:tcPr>
            <w:tcW w:w="2123" w:type="pct"/>
            <w:shd w:val="clear" w:color="auto" w:fill="auto"/>
            <w:noWrap/>
          </w:tcPr>
          <w:p w14:paraId="12FCBEF7" w14:textId="77777777" w:rsidR="00D17BB4" w:rsidRPr="006E19C7" w:rsidRDefault="00D17BB4" w:rsidP="00CD1F63">
            <w:r w:rsidRPr="006E19C7">
              <w:t>Cardiac complication</w:t>
            </w:r>
          </w:p>
        </w:tc>
        <w:tc>
          <w:tcPr>
            <w:tcW w:w="1412" w:type="pct"/>
            <w:shd w:val="clear" w:color="auto" w:fill="auto"/>
          </w:tcPr>
          <w:p w14:paraId="0536B604" w14:textId="77777777" w:rsidR="00D17BB4" w:rsidRPr="006E19C7" w:rsidRDefault="00D17BB4" w:rsidP="00CD1F63">
            <w:r w:rsidRPr="006E19C7">
              <w:t>0.5%</w:t>
            </w:r>
          </w:p>
        </w:tc>
        <w:tc>
          <w:tcPr>
            <w:tcW w:w="1465" w:type="pct"/>
            <w:shd w:val="clear" w:color="auto" w:fill="auto"/>
          </w:tcPr>
          <w:p w14:paraId="1EF17858" w14:textId="77777777" w:rsidR="00D17BB4" w:rsidRPr="006E19C7" w:rsidRDefault="00D17BB4" w:rsidP="00CD1F63">
            <w:r w:rsidRPr="006E19C7">
              <w:t>2.1%</w:t>
            </w:r>
          </w:p>
        </w:tc>
      </w:tr>
      <w:tr w:rsidR="00D17BB4" w:rsidRPr="006E19C7" w14:paraId="08A78399" w14:textId="77777777" w:rsidTr="00CD1F63">
        <w:trPr>
          <w:trHeight w:val="275"/>
          <w:jc w:val="center"/>
        </w:trPr>
        <w:tc>
          <w:tcPr>
            <w:tcW w:w="2123" w:type="pct"/>
            <w:tcBorders>
              <w:bottom w:val="single" w:sz="4" w:space="0" w:color="auto"/>
            </w:tcBorders>
            <w:shd w:val="clear" w:color="auto" w:fill="auto"/>
            <w:noWrap/>
          </w:tcPr>
          <w:p w14:paraId="6621422B" w14:textId="77777777" w:rsidR="00D17BB4" w:rsidRPr="006E19C7" w:rsidRDefault="00D17BB4" w:rsidP="00CD1F63">
            <w:r w:rsidRPr="006E19C7">
              <w:t>In-hospital mortality</w:t>
            </w:r>
          </w:p>
        </w:tc>
        <w:tc>
          <w:tcPr>
            <w:tcW w:w="1412" w:type="pct"/>
            <w:tcBorders>
              <w:bottom w:val="single" w:sz="4" w:space="0" w:color="auto"/>
            </w:tcBorders>
            <w:shd w:val="clear" w:color="auto" w:fill="auto"/>
          </w:tcPr>
          <w:p w14:paraId="24F4568C" w14:textId="77777777" w:rsidR="00D17BB4" w:rsidRPr="006E19C7" w:rsidRDefault="00D17BB4" w:rsidP="00CD1F63">
            <w:r w:rsidRPr="006E19C7">
              <w:t>6.6%</w:t>
            </w:r>
          </w:p>
        </w:tc>
        <w:tc>
          <w:tcPr>
            <w:tcW w:w="1465" w:type="pct"/>
            <w:tcBorders>
              <w:bottom w:val="single" w:sz="4" w:space="0" w:color="auto"/>
            </w:tcBorders>
            <w:shd w:val="clear" w:color="auto" w:fill="auto"/>
          </w:tcPr>
          <w:p w14:paraId="4CA8F40D" w14:textId="77777777" w:rsidR="00D17BB4" w:rsidRPr="006E19C7" w:rsidRDefault="00D17BB4" w:rsidP="00CD1F63">
            <w:r w:rsidRPr="006E19C7">
              <w:t>1.9%</w:t>
            </w:r>
          </w:p>
        </w:tc>
      </w:tr>
    </w:tbl>
    <w:p w14:paraId="1D703523" w14:textId="77777777" w:rsidR="00D17BB4" w:rsidRPr="006E19C7" w:rsidRDefault="00D17BB4" w:rsidP="00D17BB4">
      <w:pPr>
        <w:sectPr w:rsidR="00D17BB4" w:rsidRPr="006E19C7" w:rsidSect="00CD1F63">
          <w:pgSz w:w="11906" w:h="16838"/>
          <w:pgMar w:top="1440" w:right="1440" w:bottom="1440" w:left="1440" w:header="709" w:footer="709" w:gutter="0"/>
          <w:cols w:space="708"/>
          <w:docGrid w:linePitch="360"/>
        </w:sectPr>
      </w:pPr>
    </w:p>
    <w:p w14:paraId="74B34E29" w14:textId="77777777" w:rsidR="00D17BB4" w:rsidRPr="006E19C7" w:rsidRDefault="00D17BB4" w:rsidP="00D17BB4"/>
    <w:p w14:paraId="1DCA81EB" w14:textId="77777777" w:rsidR="00D17BB4" w:rsidRPr="006E19C7" w:rsidRDefault="00D17BB4" w:rsidP="00D17BB4"/>
    <w:p w14:paraId="3E650C4B" w14:textId="462AAFC6" w:rsidR="00D17BB4" w:rsidRPr="006E19C7" w:rsidRDefault="00BA3A74" w:rsidP="00D17BB4">
      <w:pPr>
        <w:rPr>
          <w:rFonts w:ascii="Times New Roman" w:hAnsi="Times New Roman" w:cs="Times New Roman"/>
          <w:sz w:val="24"/>
          <w:szCs w:val="24"/>
        </w:rPr>
      </w:pPr>
      <w:r w:rsidRPr="006E19C7">
        <w:rPr>
          <w:rFonts w:ascii="Times New Roman" w:hAnsi="Times New Roman" w:cs="Times New Roman"/>
          <w:sz w:val="24"/>
          <w:szCs w:val="24"/>
        </w:rPr>
        <w:t>Table 2</w:t>
      </w:r>
      <w:r w:rsidR="00D17BB4" w:rsidRPr="006E19C7">
        <w:rPr>
          <w:rFonts w:ascii="Times New Roman" w:hAnsi="Times New Roman" w:cs="Times New Roman"/>
          <w:sz w:val="24"/>
          <w:szCs w:val="24"/>
        </w:rPr>
        <w:t>: Demographics of patients receiving coronary angiogram for each year included in the study, from 2004 – 2014.</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7"/>
        <w:gridCol w:w="1137"/>
        <w:gridCol w:w="1125"/>
        <w:gridCol w:w="1126"/>
        <w:gridCol w:w="1125"/>
        <w:gridCol w:w="1125"/>
        <w:gridCol w:w="1101"/>
      </w:tblGrid>
      <w:tr w:rsidR="006B2325" w:rsidRPr="006E19C7" w14:paraId="56A838D1" w14:textId="77777777" w:rsidTr="006B2325">
        <w:trPr>
          <w:trHeight w:val="295"/>
          <w:jc w:val="center"/>
        </w:trPr>
        <w:tc>
          <w:tcPr>
            <w:tcW w:w="1267" w:type="pct"/>
            <w:tcBorders>
              <w:top w:val="single" w:sz="4" w:space="0" w:color="auto"/>
            </w:tcBorders>
            <w:shd w:val="clear" w:color="auto" w:fill="auto"/>
            <w:noWrap/>
          </w:tcPr>
          <w:p w14:paraId="45958179" w14:textId="77777777" w:rsidR="006B2325" w:rsidRPr="006E19C7" w:rsidRDefault="006B2325" w:rsidP="00CD1F63"/>
        </w:tc>
        <w:tc>
          <w:tcPr>
            <w:tcW w:w="630" w:type="pct"/>
            <w:tcBorders>
              <w:top w:val="single" w:sz="4" w:space="0" w:color="auto"/>
            </w:tcBorders>
            <w:shd w:val="clear" w:color="auto" w:fill="auto"/>
            <w:noWrap/>
          </w:tcPr>
          <w:p w14:paraId="1394CBD6" w14:textId="77777777" w:rsidR="006B2325" w:rsidRPr="006E19C7" w:rsidRDefault="006B2325" w:rsidP="00CD1F63">
            <w:pPr>
              <w:jc w:val="center"/>
            </w:pPr>
            <w:r w:rsidRPr="006E19C7">
              <w:t>2004</w:t>
            </w:r>
          </w:p>
        </w:tc>
        <w:tc>
          <w:tcPr>
            <w:tcW w:w="623" w:type="pct"/>
            <w:tcBorders>
              <w:top w:val="single" w:sz="4" w:space="0" w:color="auto"/>
            </w:tcBorders>
            <w:shd w:val="clear" w:color="auto" w:fill="auto"/>
            <w:noWrap/>
          </w:tcPr>
          <w:p w14:paraId="505FD1F6" w14:textId="77777777" w:rsidR="006B2325" w:rsidRPr="006E19C7" w:rsidRDefault="006B2325" w:rsidP="00CD1F63">
            <w:pPr>
              <w:jc w:val="center"/>
            </w:pPr>
            <w:r w:rsidRPr="006E19C7">
              <w:t>2006</w:t>
            </w:r>
          </w:p>
        </w:tc>
        <w:tc>
          <w:tcPr>
            <w:tcW w:w="624" w:type="pct"/>
            <w:tcBorders>
              <w:top w:val="single" w:sz="4" w:space="0" w:color="auto"/>
            </w:tcBorders>
            <w:shd w:val="clear" w:color="auto" w:fill="auto"/>
            <w:noWrap/>
          </w:tcPr>
          <w:p w14:paraId="24E1D669" w14:textId="77777777" w:rsidR="006B2325" w:rsidRPr="006E19C7" w:rsidRDefault="006B2325" w:rsidP="00CD1F63">
            <w:pPr>
              <w:jc w:val="center"/>
            </w:pPr>
            <w:r w:rsidRPr="006E19C7">
              <w:t>2008</w:t>
            </w:r>
          </w:p>
        </w:tc>
        <w:tc>
          <w:tcPr>
            <w:tcW w:w="623" w:type="pct"/>
            <w:tcBorders>
              <w:top w:val="single" w:sz="4" w:space="0" w:color="auto"/>
            </w:tcBorders>
            <w:shd w:val="clear" w:color="auto" w:fill="auto"/>
            <w:noWrap/>
          </w:tcPr>
          <w:p w14:paraId="0A781973" w14:textId="77777777" w:rsidR="006B2325" w:rsidRPr="006E19C7" w:rsidRDefault="006B2325" w:rsidP="00CD1F63">
            <w:pPr>
              <w:jc w:val="center"/>
            </w:pPr>
            <w:r w:rsidRPr="006E19C7">
              <w:t>2010</w:t>
            </w:r>
          </w:p>
        </w:tc>
        <w:tc>
          <w:tcPr>
            <w:tcW w:w="623" w:type="pct"/>
            <w:tcBorders>
              <w:top w:val="single" w:sz="4" w:space="0" w:color="auto"/>
            </w:tcBorders>
            <w:shd w:val="clear" w:color="auto" w:fill="auto"/>
            <w:noWrap/>
          </w:tcPr>
          <w:p w14:paraId="71B7F1B2" w14:textId="77777777" w:rsidR="006B2325" w:rsidRPr="006E19C7" w:rsidRDefault="006B2325" w:rsidP="00CD1F63">
            <w:pPr>
              <w:jc w:val="center"/>
            </w:pPr>
            <w:r w:rsidRPr="006E19C7">
              <w:t>2012</w:t>
            </w:r>
          </w:p>
        </w:tc>
        <w:tc>
          <w:tcPr>
            <w:tcW w:w="610" w:type="pct"/>
            <w:tcBorders>
              <w:top w:val="single" w:sz="4" w:space="0" w:color="auto"/>
            </w:tcBorders>
            <w:shd w:val="clear" w:color="auto" w:fill="auto"/>
            <w:noWrap/>
          </w:tcPr>
          <w:p w14:paraId="3DE6B485" w14:textId="77777777" w:rsidR="006B2325" w:rsidRPr="006E19C7" w:rsidRDefault="006B2325" w:rsidP="00CD1F63">
            <w:pPr>
              <w:jc w:val="center"/>
            </w:pPr>
            <w:r w:rsidRPr="006E19C7">
              <w:t>2014</w:t>
            </w:r>
          </w:p>
        </w:tc>
      </w:tr>
      <w:tr w:rsidR="006B2325" w:rsidRPr="006E19C7" w14:paraId="32AE17AD" w14:textId="77777777" w:rsidTr="006B2325">
        <w:trPr>
          <w:trHeight w:val="295"/>
          <w:jc w:val="center"/>
        </w:trPr>
        <w:tc>
          <w:tcPr>
            <w:tcW w:w="1267" w:type="pct"/>
            <w:tcBorders>
              <w:bottom w:val="single" w:sz="4" w:space="0" w:color="auto"/>
            </w:tcBorders>
            <w:shd w:val="clear" w:color="auto" w:fill="auto"/>
            <w:noWrap/>
          </w:tcPr>
          <w:p w14:paraId="0E98965A" w14:textId="77777777" w:rsidR="006B2325" w:rsidRPr="006E19C7" w:rsidRDefault="006B2325" w:rsidP="00CD1F63">
            <w:r w:rsidRPr="006E19C7">
              <w:t>Number of Cases</w:t>
            </w:r>
          </w:p>
        </w:tc>
        <w:tc>
          <w:tcPr>
            <w:tcW w:w="630" w:type="pct"/>
            <w:tcBorders>
              <w:bottom w:val="single" w:sz="4" w:space="0" w:color="auto"/>
            </w:tcBorders>
            <w:shd w:val="clear" w:color="auto" w:fill="auto"/>
            <w:noWrap/>
            <w:vAlign w:val="bottom"/>
          </w:tcPr>
          <w:p w14:paraId="0ECCA7CE" w14:textId="77777777" w:rsidR="006B2325" w:rsidRPr="006E19C7" w:rsidRDefault="006B2325" w:rsidP="00CD1F63">
            <w:pPr>
              <w:jc w:val="center"/>
              <w:rPr>
                <w:rFonts w:ascii="Calibri" w:hAnsi="Calibri"/>
              </w:rPr>
            </w:pPr>
            <w:r w:rsidRPr="006E19C7">
              <w:rPr>
                <w:rFonts w:ascii="Calibri" w:hAnsi="Calibri"/>
              </w:rPr>
              <w:t>195,071</w:t>
            </w:r>
          </w:p>
        </w:tc>
        <w:tc>
          <w:tcPr>
            <w:tcW w:w="623" w:type="pct"/>
            <w:tcBorders>
              <w:bottom w:val="single" w:sz="4" w:space="0" w:color="auto"/>
            </w:tcBorders>
            <w:shd w:val="clear" w:color="auto" w:fill="auto"/>
            <w:noWrap/>
            <w:vAlign w:val="bottom"/>
          </w:tcPr>
          <w:p w14:paraId="4292A0B7" w14:textId="77777777" w:rsidR="006B2325" w:rsidRPr="006E19C7" w:rsidRDefault="006B2325" w:rsidP="00CD1F63">
            <w:pPr>
              <w:jc w:val="center"/>
              <w:rPr>
                <w:rFonts w:ascii="Calibri" w:hAnsi="Calibri"/>
              </w:rPr>
            </w:pPr>
            <w:r w:rsidRPr="006E19C7">
              <w:rPr>
                <w:rFonts w:ascii="Calibri" w:hAnsi="Calibri"/>
              </w:rPr>
              <w:t>217,748</w:t>
            </w:r>
          </w:p>
        </w:tc>
        <w:tc>
          <w:tcPr>
            <w:tcW w:w="624" w:type="pct"/>
            <w:tcBorders>
              <w:bottom w:val="single" w:sz="4" w:space="0" w:color="auto"/>
            </w:tcBorders>
            <w:shd w:val="clear" w:color="auto" w:fill="auto"/>
            <w:noWrap/>
            <w:vAlign w:val="bottom"/>
          </w:tcPr>
          <w:p w14:paraId="579AB241" w14:textId="77777777" w:rsidR="006B2325" w:rsidRPr="006E19C7" w:rsidRDefault="006B2325" w:rsidP="00CD1F63">
            <w:pPr>
              <w:jc w:val="center"/>
              <w:rPr>
                <w:rFonts w:ascii="Calibri" w:hAnsi="Calibri"/>
              </w:rPr>
            </w:pPr>
            <w:r w:rsidRPr="006E19C7">
              <w:rPr>
                <w:rFonts w:ascii="Calibri" w:hAnsi="Calibri"/>
              </w:rPr>
              <w:t>221,160</w:t>
            </w:r>
          </w:p>
        </w:tc>
        <w:tc>
          <w:tcPr>
            <w:tcW w:w="623" w:type="pct"/>
            <w:tcBorders>
              <w:bottom w:val="single" w:sz="4" w:space="0" w:color="auto"/>
            </w:tcBorders>
            <w:shd w:val="clear" w:color="auto" w:fill="auto"/>
            <w:noWrap/>
            <w:vAlign w:val="bottom"/>
          </w:tcPr>
          <w:p w14:paraId="1A4BFD6B" w14:textId="77777777" w:rsidR="006B2325" w:rsidRPr="006E19C7" w:rsidRDefault="006B2325" w:rsidP="00CD1F63">
            <w:pPr>
              <w:jc w:val="center"/>
              <w:rPr>
                <w:rFonts w:ascii="Calibri" w:hAnsi="Calibri"/>
              </w:rPr>
            </w:pPr>
            <w:r w:rsidRPr="006E19C7">
              <w:rPr>
                <w:rFonts w:ascii="Calibri" w:hAnsi="Calibri"/>
              </w:rPr>
              <w:t>228,890</w:t>
            </w:r>
          </w:p>
        </w:tc>
        <w:tc>
          <w:tcPr>
            <w:tcW w:w="623" w:type="pct"/>
            <w:tcBorders>
              <w:bottom w:val="single" w:sz="4" w:space="0" w:color="auto"/>
            </w:tcBorders>
            <w:shd w:val="clear" w:color="auto" w:fill="auto"/>
            <w:noWrap/>
            <w:vAlign w:val="bottom"/>
          </w:tcPr>
          <w:p w14:paraId="3A2D2148" w14:textId="77777777" w:rsidR="006B2325" w:rsidRPr="006E19C7" w:rsidRDefault="006B2325" w:rsidP="00CD1F63">
            <w:pPr>
              <w:jc w:val="center"/>
              <w:rPr>
                <w:rFonts w:ascii="Calibri" w:hAnsi="Calibri"/>
              </w:rPr>
            </w:pPr>
            <w:r w:rsidRPr="006E19C7">
              <w:rPr>
                <w:rFonts w:ascii="Calibri" w:hAnsi="Calibri"/>
              </w:rPr>
              <w:t>251,015</w:t>
            </w:r>
          </w:p>
        </w:tc>
        <w:tc>
          <w:tcPr>
            <w:tcW w:w="610" w:type="pct"/>
            <w:tcBorders>
              <w:bottom w:val="single" w:sz="4" w:space="0" w:color="auto"/>
            </w:tcBorders>
            <w:shd w:val="clear" w:color="auto" w:fill="auto"/>
            <w:noWrap/>
            <w:vAlign w:val="bottom"/>
          </w:tcPr>
          <w:p w14:paraId="1203B11B" w14:textId="77777777" w:rsidR="006B2325" w:rsidRPr="006E19C7" w:rsidRDefault="006B2325" w:rsidP="00CD1F63">
            <w:pPr>
              <w:jc w:val="center"/>
              <w:rPr>
                <w:rFonts w:ascii="Calibri" w:hAnsi="Calibri"/>
              </w:rPr>
            </w:pPr>
            <w:r w:rsidRPr="006E19C7">
              <w:rPr>
                <w:rFonts w:ascii="Calibri" w:hAnsi="Calibri"/>
              </w:rPr>
              <w:t>265,300</w:t>
            </w:r>
          </w:p>
        </w:tc>
      </w:tr>
      <w:tr w:rsidR="006B2325" w:rsidRPr="006E19C7" w14:paraId="2AAFF9FE" w14:textId="77777777" w:rsidTr="006B2325">
        <w:trPr>
          <w:trHeight w:val="295"/>
          <w:jc w:val="center"/>
        </w:trPr>
        <w:tc>
          <w:tcPr>
            <w:tcW w:w="1267" w:type="pct"/>
            <w:tcBorders>
              <w:top w:val="single" w:sz="4" w:space="0" w:color="auto"/>
            </w:tcBorders>
            <w:shd w:val="clear" w:color="auto" w:fill="auto"/>
            <w:noWrap/>
          </w:tcPr>
          <w:p w14:paraId="5BCF0A88" w14:textId="77777777" w:rsidR="006B2325" w:rsidRPr="006E19C7" w:rsidRDefault="006B2325" w:rsidP="00CD1F63">
            <w:r w:rsidRPr="006E19C7">
              <w:t>Age (year), Median IRQ</w:t>
            </w:r>
          </w:p>
        </w:tc>
        <w:tc>
          <w:tcPr>
            <w:tcW w:w="630" w:type="pct"/>
            <w:tcBorders>
              <w:top w:val="single" w:sz="4" w:space="0" w:color="auto"/>
            </w:tcBorders>
            <w:shd w:val="clear" w:color="auto" w:fill="auto"/>
            <w:noWrap/>
          </w:tcPr>
          <w:p w14:paraId="30D3F693" w14:textId="77777777" w:rsidR="006B2325" w:rsidRPr="006E19C7" w:rsidRDefault="006B2325" w:rsidP="00CD1F63">
            <w:pPr>
              <w:jc w:val="center"/>
            </w:pPr>
            <w:r w:rsidRPr="006E19C7">
              <w:t>66 (56-76)</w:t>
            </w:r>
          </w:p>
        </w:tc>
        <w:tc>
          <w:tcPr>
            <w:tcW w:w="623" w:type="pct"/>
            <w:tcBorders>
              <w:top w:val="single" w:sz="4" w:space="0" w:color="auto"/>
            </w:tcBorders>
            <w:shd w:val="clear" w:color="auto" w:fill="auto"/>
            <w:noWrap/>
          </w:tcPr>
          <w:p w14:paraId="7C7D9561" w14:textId="77777777" w:rsidR="006B2325" w:rsidRPr="006E19C7" w:rsidRDefault="006B2325" w:rsidP="00CD1F63">
            <w:pPr>
              <w:jc w:val="center"/>
            </w:pPr>
            <w:r w:rsidRPr="006E19C7">
              <w:t>65 (55-76)</w:t>
            </w:r>
          </w:p>
        </w:tc>
        <w:tc>
          <w:tcPr>
            <w:tcW w:w="624" w:type="pct"/>
            <w:tcBorders>
              <w:top w:val="single" w:sz="4" w:space="0" w:color="auto"/>
            </w:tcBorders>
            <w:shd w:val="clear" w:color="auto" w:fill="auto"/>
            <w:noWrap/>
          </w:tcPr>
          <w:p w14:paraId="2B0CA301" w14:textId="77777777" w:rsidR="006B2325" w:rsidRPr="006E19C7" w:rsidRDefault="006B2325" w:rsidP="00CD1F63">
            <w:pPr>
              <w:jc w:val="center"/>
            </w:pPr>
            <w:r w:rsidRPr="006E19C7">
              <w:t>65 (55-76)</w:t>
            </w:r>
          </w:p>
        </w:tc>
        <w:tc>
          <w:tcPr>
            <w:tcW w:w="623" w:type="pct"/>
            <w:tcBorders>
              <w:top w:val="single" w:sz="4" w:space="0" w:color="auto"/>
            </w:tcBorders>
            <w:shd w:val="clear" w:color="auto" w:fill="auto"/>
            <w:noWrap/>
          </w:tcPr>
          <w:p w14:paraId="17F73B42" w14:textId="77777777" w:rsidR="006B2325" w:rsidRPr="006E19C7" w:rsidRDefault="006B2325" w:rsidP="00CD1F63">
            <w:pPr>
              <w:jc w:val="center"/>
            </w:pPr>
            <w:r w:rsidRPr="006E19C7">
              <w:t>65 (55-75)</w:t>
            </w:r>
          </w:p>
        </w:tc>
        <w:tc>
          <w:tcPr>
            <w:tcW w:w="623" w:type="pct"/>
            <w:tcBorders>
              <w:top w:val="single" w:sz="4" w:space="0" w:color="auto"/>
            </w:tcBorders>
            <w:shd w:val="clear" w:color="auto" w:fill="auto"/>
            <w:noWrap/>
          </w:tcPr>
          <w:p w14:paraId="2D1277A7" w14:textId="77777777" w:rsidR="006B2325" w:rsidRPr="006E19C7" w:rsidRDefault="006B2325" w:rsidP="00CD1F63">
            <w:pPr>
              <w:jc w:val="center"/>
            </w:pPr>
            <w:r w:rsidRPr="006E19C7">
              <w:t>65 (56-75)</w:t>
            </w:r>
          </w:p>
        </w:tc>
        <w:tc>
          <w:tcPr>
            <w:tcW w:w="610" w:type="pct"/>
            <w:tcBorders>
              <w:top w:val="single" w:sz="4" w:space="0" w:color="auto"/>
            </w:tcBorders>
            <w:shd w:val="clear" w:color="auto" w:fill="auto"/>
            <w:noWrap/>
          </w:tcPr>
          <w:p w14:paraId="654F34F8" w14:textId="77777777" w:rsidR="006B2325" w:rsidRPr="006E19C7" w:rsidRDefault="006B2325" w:rsidP="00CD1F63">
            <w:pPr>
              <w:jc w:val="center"/>
            </w:pPr>
            <w:r w:rsidRPr="006E19C7">
              <w:t>66 (56-75)</w:t>
            </w:r>
          </w:p>
        </w:tc>
      </w:tr>
      <w:tr w:rsidR="006B2325" w:rsidRPr="006E19C7" w14:paraId="171782B0" w14:textId="77777777" w:rsidTr="006B2325">
        <w:trPr>
          <w:trHeight w:val="295"/>
          <w:jc w:val="center"/>
        </w:trPr>
        <w:tc>
          <w:tcPr>
            <w:tcW w:w="1267" w:type="pct"/>
            <w:shd w:val="clear" w:color="auto" w:fill="auto"/>
            <w:noWrap/>
          </w:tcPr>
          <w:p w14:paraId="3C164E54" w14:textId="77777777" w:rsidR="006B2325" w:rsidRPr="006E19C7" w:rsidRDefault="006B2325" w:rsidP="00CD1F63">
            <w:r w:rsidRPr="006E19C7">
              <w:t>Men %</w:t>
            </w:r>
          </w:p>
        </w:tc>
        <w:tc>
          <w:tcPr>
            <w:tcW w:w="630" w:type="pct"/>
            <w:shd w:val="clear" w:color="auto" w:fill="auto"/>
            <w:noWrap/>
          </w:tcPr>
          <w:p w14:paraId="3EC7CA2D" w14:textId="77777777" w:rsidR="006B2325" w:rsidRPr="006E19C7" w:rsidRDefault="006B2325" w:rsidP="00CD1F63">
            <w:pPr>
              <w:jc w:val="center"/>
            </w:pPr>
            <w:r w:rsidRPr="006E19C7">
              <w:t>60.1%</w:t>
            </w:r>
          </w:p>
        </w:tc>
        <w:tc>
          <w:tcPr>
            <w:tcW w:w="623" w:type="pct"/>
            <w:shd w:val="clear" w:color="auto" w:fill="auto"/>
            <w:noWrap/>
          </w:tcPr>
          <w:p w14:paraId="5B0C91BF" w14:textId="77777777" w:rsidR="006B2325" w:rsidRPr="006E19C7" w:rsidRDefault="006B2325" w:rsidP="00CD1F63">
            <w:pPr>
              <w:jc w:val="center"/>
            </w:pPr>
            <w:r w:rsidRPr="006E19C7">
              <w:t>61.5%</w:t>
            </w:r>
          </w:p>
        </w:tc>
        <w:tc>
          <w:tcPr>
            <w:tcW w:w="624" w:type="pct"/>
            <w:shd w:val="clear" w:color="auto" w:fill="auto"/>
            <w:noWrap/>
          </w:tcPr>
          <w:p w14:paraId="1526C3D0" w14:textId="77777777" w:rsidR="006B2325" w:rsidRPr="006E19C7" w:rsidRDefault="006B2325" w:rsidP="00CD1F63">
            <w:pPr>
              <w:jc w:val="center"/>
            </w:pPr>
            <w:r w:rsidRPr="006E19C7">
              <w:t>61.0%</w:t>
            </w:r>
          </w:p>
        </w:tc>
        <w:tc>
          <w:tcPr>
            <w:tcW w:w="623" w:type="pct"/>
            <w:shd w:val="clear" w:color="auto" w:fill="auto"/>
            <w:noWrap/>
          </w:tcPr>
          <w:p w14:paraId="34E89F03" w14:textId="77777777" w:rsidR="006B2325" w:rsidRPr="006E19C7" w:rsidRDefault="006B2325" w:rsidP="00CD1F63">
            <w:pPr>
              <w:jc w:val="center"/>
            </w:pPr>
            <w:r w:rsidRPr="006E19C7">
              <w:t>61.7%</w:t>
            </w:r>
          </w:p>
        </w:tc>
        <w:tc>
          <w:tcPr>
            <w:tcW w:w="623" w:type="pct"/>
            <w:shd w:val="clear" w:color="auto" w:fill="auto"/>
            <w:noWrap/>
          </w:tcPr>
          <w:p w14:paraId="4E301358" w14:textId="77777777" w:rsidR="006B2325" w:rsidRPr="006E19C7" w:rsidRDefault="006B2325" w:rsidP="00CD1F63">
            <w:pPr>
              <w:jc w:val="center"/>
            </w:pPr>
            <w:r w:rsidRPr="006E19C7">
              <w:t>62.1%</w:t>
            </w:r>
          </w:p>
        </w:tc>
        <w:tc>
          <w:tcPr>
            <w:tcW w:w="610" w:type="pct"/>
            <w:shd w:val="clear" w:color="auto" w:fill="auto"/>
            <w:noWrap/>
          </w:tcPr>
          <w:p w14:paraId="601EC279" w14:textId="77777777" w:rsidR="006B2325" w:rsidRPr="006E19C7" w:rsidRDefault="006B2325" w:rsidP="00CD1F63">
            <w:pPr>
              <w:jc w:val="center"/>
            </w:pPr>
            <w:r w:rsidRPr="006E19C7">
              <w:t>62.5%</w:t>
            </w:r>
          </w:p>
        </w:tc>
      </w:tr>
      <w:tr w:rsidR="006B2325" w:rsidRPr="006E19C7" w14:paraId="327845AD" w14:textId="77777777" w:rsidTr="006B2325">
        <w:trPr>
          <w:trHeight w:val="295"/>
          <w:jc w:val="center"/>
        </w:trPr>
        <w:tc>
          <w:tcPr>
            <w:tcW w:w="1267" w:type="pct"/>
            <w:shd w:val="clear" w:color="auto" w:fill="auto"/>
            <w:noWrap/>
          </w:tcPr>
          <w:p w14:paraId="7BFD4E89" w14:textId="77777777" w:rsidR="006B2325" w:rsidRPr="006E19C7" w:rsidRDefault="006B2325" w:rsidP="00CD1F63">
            <w:r w:rsidRPr="006E19C7">
              <w:t>Ethnicity</w:t>
            </w:r>
          </w:p>
        </w:tc>
        <w:tc>
          <w:tcPr>
            <w:tcW w:w="630" w:type="pct"/>
            <w:shd w:val="clear" w:color="auto" w:fill="auto"/>
            <w:noWrap/>
            <w:vAlign w:val="bottom"/>
          </w:tcPr>
          <w:p w14:paraId="3FBACB3D" w14:textId="77777777" w:rsidR="006B2325" w:rsidRPr="006E19C7" w:rsidRDefault="006B2325" w:rsidP="00CD1F63">
            <w:pPr>
              <w:jc w:val="center"/>
              <w:rPr>
                <w:rFonts w:ascii="Calibri" w:hAnsi="Calibri"/>
              </w:rPr>
            </w:pPr>
          </w:p>
        </w:tc>
        <w:tc>
          <w:tcPr>
            <w:tcW w:w="623" w:type="pct"/>
            <w:shd w:val="clear" w:color="auto" w:fill="auto"/>
            <w:noWrap/>
            <w:vAlign w:val="bottom"/>
          </w:tcPr>
          <w:p w14:paraId="1E742196" w14:textId="77777777" w:rsidR="006B2325" w:rsidRPr="006E19C7" w:rsidRDefault="006B2325" w:rsidP="00CD1F63">
            <w:pPr>
              <w:jc w:val="center"/>
              <w:rPr>
                <w:rFonts w:ascii="Calibri" w:hAnsi="Calibri"/>
              </w:rPr>
            </w:pPr>
          </w:p>
        </w:tc>
        <w:tc>
          <w:tcPr>
            <w:tcW w:w="624" w:type="pct"/>
            <w:shd w:val="clear" w:color="auto" w:fill="auto"/>
            <w:noWrap/>
            <w:vAlign w:val="bottom"/>
          </w:tcPr>
          <w:p w14:paraId="750CB3EF" w14:textId="77777777" w:rsidR="006B2325" w:rsidRPr="006E19C7" w:rsidRDefault="006B2325" w:rsidP="00CD1F63">
            <w:pPr>
              <w:jc w:val="center"/>
              <w:rPr>
                <w:rFonts w:ascii="Calibri" w:hAnsi="Calibri"/>
              </w:rPr>
            </w:pPr>
          </w:p>
        </w:tc>
        <w:tc>
          <w:tcPr>
            <w:tcW w:w="623" w:type="pct"/>
            <w:shd w:val="clear" w:color="auto" w:fill="auto"/>
            <w:noWrap/>
            <w:vAlign w:val="bottom"/>
          </w:tcPr>
          <w:p w14:paraId="0DECA1EF" w14:textId="77777777" w:rsidR="006B2325" w:rsidRPr="006E19C7" w:rsidRDefault="006B2325" w:rsidP="00CD1F63">
            <w:pPr>
              <w:jc w:val="center"/>
              <w:rPr>
                <w:rFonts w:ascii="Calibri" w:hAnsi="Calibri"/>
              </w:rPr>
            </w:pPr>
          </w:p>
        </w:tc>
        <w:tc>
          <w:tcPr>
            <w:tcW w:w="623" w:type="pct"/>
            <w:shd w:val="clear" w:color="auto" w:fill="auto"/>
            <w:noWrap/>
            <w:vAlign w:val="bottom"/>
          </w:tcPr>
          <w:p w14:paraId="6F092360" w14:textId="77777777" w:rsidR="006B2325" w:rsidRPr="006E19C7" w:rsidRDefault="006B2325" w:rsidP="00CD1F63">
            <w:pPr>
              <w:jc w:val="center"/>
              <w:rPr>
                <w:rFonts w:ascii="Calibri" w:hAnsi="Calibri"/>
              </w:rPr>
            </w:pPr>
          </w:p>
        </w:tc>
        <w:tc>
          <w:tcPr>
            <w:tcW w:w="610" w:type="pct"/>
            <w:shd w:val="clear" w:color="auto" w:fill="auto"/>
            <w:noWrap/>
            <w:vAlign w:val="bottom"/>
          </w:tcPr>
          <w:p w14:paraId="0E2B696D" w14:textId="77777777" w:rsidR="006B2325" w:rsidRPr="006E19C7" w:rsidRDefault="006B2325" w:rsidP="00CD1F63">
            <w:pPr>
              <w:jc w:val="center"/>
              <w:rPr>
                <w:rFonts w:ascii="Calibri" w:hAnsi="Calibri"/>
              </w:rPr>
            </w:pPr>
          </w:p>
        </w:tc>
      </w:tr>
      <w:tr w:rsidR="006B2325" w:rsidRPr="006E19C7" w14:paraId="5DBBE83D" w14:textId="77777777" w:rsidTr="006B2325">
        <w:trPr>
          <w:trHeight w:val="295"/>
          <w:jc w:val="center"/>
        </w:trPr>
        <w:tc>
          <w:tcPr>
            <w:tcW w:w="1267" w:type="pct"/>
            <w:shd w:val="clear" w:color="auto" w:fill="auto"/>
            <w:noWrap/>
          </w:tcPr>
          <w:p w14:paraId="4B15D7D6" w14:textId="77777777" w:rsidR="006B2325" w:rsidRPr="006E19C7" w:rsidRDefault="006B2325" w:rsidP="00CD1F63">
            <w:r w:rsidRPr="006E19C7">
              <w:t>White</w:t>
            </w:r>
          </w:p>
        </w:tc>
        <w:tc>
          <w:tcPr>
            <w:tcW w:w="630" w:type="pct"/>
            <w:shd w:val="clear" w:color="auto" w:fill="auto"/>
            <w:noWrap/>
            <w:vAlign w:val="bottom"/>
          </w:tcPr>
          <w:p w14:paraId="20060C5A" w14:textId="77777777" w:rsidR="006B2325" w:rsidRPr="006E19C7" w:rsidRDefault="006B2325" w:rsidP="00CD1F63">
            <w:pPr>
              <w:jc w:val="center"/>
              <w:rPr>
                <w:rFonts w:ascii="Calibri" w:hAnsi="Calibri"/>
              </w:rPr>
            </w:pPr>
            <w:r w:rsidRPr="006E19C7">
              <w:rPr>
                <w:rFonts w:ascii="Calibri" w:hAnsi="Calibri"/>
              </w:rPr>
              <w:t>56.4%</w:t>
            </w:r>
          </w:p>
        </w:tc>
        <w:tc>
          <w:tcPr>
            <w:tcW w:w="623" w:type="pct"/>
            <w:shd w:val="clear" w:color="auto" w:fill="auto"/>
            <w:noWrap/>
            <w:vAlign w:val="bottom"/>
          </w:tcPr>
          <w:p w14:paraId="6AC49271" w14:textId="77777777" w:rsidR="006B2325" w:rsidRPr="006E19C7" w:rsidRDefault="006B2325" w:rsidP="00CD1F63">
            <w:pPr>
              <w:jc w:val="center"/>
              <w:rPr>
                <w:rFonts w:ascii="Calibri" w:hAnsi="Calibri"/>
              </w:rPr>
            </w:pPr>
            <w:r w:rsidRPr="006E19C7">
              <w:rPr>
                <w:rFonts w:ascii="Calibri" w:hAnsi="Calibri"/>
              </w:rPr>
              <w:t>55.8%</w:t>
            </w:r>
          </w:p>
        </w:tc>
        <w:tc>
          <w:tcPr>
            <w:tcW w:w="624" w:type="pct"/>
            <w:shd w:val="clear" w:color="auto" w:fill="auto"/>
            <w:noWrap/>
            <w:vAlign w:val="bottom"/>
          </w:tcPr>
          <w:p w14:paraId="456668D4" w14:textId="77777777" w:rsidR="006B2325" w:rsidRPr="006E19C7" w:rsidRDefault="006B2325" w:rsidP="00CD1F63">
            <w:pPr>
              <w:jc w:val="center"/>
              <w:rPr>
                <w:rFonts w:ascii="Calibri" w:hAnsi="Calibri"/>
              </w:rPr>
            </w:pPr>
            <w:r w:rsidRPr="006E19C7">
              <w:rPr>
                <w:rFonts w:ascii="Calibri" w:hAnsi="Calibri"/>
              </w:rPr>
              <w:t>59.4%</w:t>
            </w:r>
          </w:p>
        </w:tc>
        <w:tc>
          <w:tcPr>
            <w:tcW w:w="623" w:type="pct"/>
            <w:shd w:val="clear" w:color="auto" w:fill="auto"/>
            <w:noWrap/>
            <w:vAlign w:val="bottom"/>
          </w:tcPr>
          <w:p w14:paraId="4CAFF294" w14:textId="77777777" w:rsidR="006B2325" w:rsidRPr="006E19C7" w:rsidRDefault="006B2325" w:rsidP="00CD1F63">
            <w:pPr>
              <w:jc w:val="center"/>
              <w:rPr>
                <w:rFonts w:ascii="Calibri" w:hAnsi="Calibri"/>
              </w:rPr>
            </w:pPr>
            <w:r w:rsidRPr="006E19C7">
              <w:rPr>
                <w:rFonts w:ascii="Calibri" w:hAnsi="Calibri"/>
              </w:rPr>
              <w:t>65.4%</w:t>
            </w:r>
          </w:p>
        </w:tc>
        <w:tc>
          <w:tcPr>
            <w:tcW w:w="623" w:type="pct"/>
            <w:shd w:val="clear" w:color="auto" w:fill="auto"/>
            <w:noWrap/>
            <w:vAlign w:val="bottom"/>
          </w:tcPr>
          <w:p w14:paraId="56C195EF" w14:textId="77777777" w:rsidR="006B2325" w:rsidRPr="006E19C7" w:rsidRDefault="006B2325" w:rsidP="00CD1F63">
            <w:pPr>
              <w:jc w:val="center"/>
              <w:rPr>
                <w:rFonts w:ascii="Calibri" w:hAnsi="Calibri"/>
              </w:rPr>
            </w:pPr>
            <w:r w:rsidRPr="006E19C7">
              <w:rPr>
                <w:rFonts w:ascii="Calibri" w:hAnsi="Calibri"/>
              </w:rPr>
              <w:t>70.8%</w:t>
            </w:r>
          </w:p>
        </w:tc>
        <w:tc>
          <w:tcPr>
            <w:tcW w:w="610" w:type="pct"/>
            <w:shd w:val="clear" w:color="auto" w:fill="auto"/>
            <w:noWrap/>
            <w:vAlign w:val="bottom"/>
          </w:tcPr>
          <w:p w14:paraId="6859F293" w14:textId="77777777" w:rsidR="006B2325" w:rsidRPr="006E19C7" w:rsidRDefault="006B2325" w:rsidP="00CD1F63">
            <w:pPr>
              <w:jc w:val="center"/>
              <w:rPr>
                <w:rFonts w:ascii="Calibri" w:hAnsi="Calibri"/>
              </w:rPr>
            </w:pPr>
            <w:r w:rsidRPr="006E19C7">
              <w:rPr>
                <w:rFonts w:ascii="Calibri" w:hAnsi="Calibri"/>
              </w:rPr>
              <w:t>71.0%</w:t>
            </w:r>
          </w:p>
        </w:tc>
      </w:tr>
      <w:tr w:rsidR="006B2325" w:rsidRPr="006E19C7" w14:paraId="002EB33F" w14:textId="77777777" w:rsidTr="006B2325">
        <w:trPr>
          <w:trHeight w:val="295"/>
          <w:jc w:val="center"/>
        </w:trPr>
        <w:tc>
          <w:tcPr>
            <w:tcW w:w="1267" w:type="pct"/>
            <w:shd w:val="clear" w:color="auto" w:fill="auto"/>
            <w:noWrap/>
          </w:tcPr>
          <w:p w14:paraId="0CC94926" w14:textId="77777777" w:rsidR="006B2325" w:rsidRPr="006E19C7" w:rsidRDefault="006B2325" w:rsidP="00CD1F63">
            <w:r w:rsidRPr="006E19C7">
              <w:t>Black</w:t>
            </w:r>
          </w:p>
        </w:tc>
        <w:tc>
          <w:tcPr>
            <w:tcW w:w="630" w:type="pct"/>
            <w:shd w:val="clear" w:color="auto" w:fill="auto"/>
            <w:noWrap/>
            <w:vAlign w:val="bottom"/>
          </w:tcPr>
          <w:p w14:paraId="2107FA3E" w14:textId="77777777" w:rsidR="006B2325" w:rsidRPr="006E19C7" w:rsidRDefault="006B2325" w:rsidP="00CD1F63">
            <w:pPr>
              <w:jc w:val="center"/>
              <w:rPr>
                <w:rFonts w:ascii="Calibri" w:hAnsi="Calibri"/>
              </w:rPr>
            </w:pPr>
            <w:r w:rsidRPr="006E19C7">
              <w:rPr>
                <w:rFonts w:ascii="Calibri" w:hAnsi="Calibri"/>
              </w:rPr>
              <w:t>7.3%</w:t>
            </w:r>
          </w:p>
        </w:tc>
        <w:tc>
          <w:tcPr>
            <w:tcW w:w="623" w:type="pct"/>
            <w:shd w:val="clear" w:color="auto" w:fill="auto"/>
            <w:noWrap/>
            <w:vAlign w:val="bottom"/>
          </w:tcPr>
          <w:p w14:paraId="1150C21F" w14:textId="77777777" w:rsidR="006B2325" w:rsidRPr="006E19C7" w:rsidRDefault="006B2325" w:rsidP="00CD1F63">
            <w:pPr>
              <w:jc w:val="center"/>
              <w:rPr>
                <w:rFonts w:ascii="Calibri" w:hAnsi="Calibri"/>
              </w:rPr>
            </w:pPr>
            <w:r w:rsidRPr="006E19C7">
              <w:rPr>
                <w:rFonts w:ascii="Calibri" w:hAnsi="Calibri"/>
              </w:rPr>
              <w:t>7.1%</w:t>
            </w:r>
          </w:p>
        </w:tc>
        <w:tc>
          <w:tcPr>
            <w:tcW w:w="624" w:type="pct"/>
            <w:shd w:val="clear" w:color="auto" w:fill="auto"/>
            <w:noWrap/>
            <w:vAlign w:val="bottom"/>
          </w:tcPr>
          <w:p w14:paraId="77E0BD12" w14:textId="77777777" w:rsidR="006B2325" w:rsidRPr="006E19C7" w:rsidRDefault="006B2325" w:rsidP="00CD1F63">
            <w:pPr>
              <w:jc w:val="center"/>
              <w:rPr>
                <w:rFonts w:ascii="Calibri" w:hAnsi="Calibri"/>
              </w:rPr>
            </w:pPr>
            <w:r w:rsidRPr="006E19C7">
              <w:rPr>
                <w:rFonts w:ascii="Calibri" w:hAnsi="Calibri"/>
              </w:rPr>
              <w:t>7.8%</w:t>
            </w:r>
          </w:p>
        </w:tc>
        <w:tc>
          <w:tcPr>
            <w:tcW w:w="623" w:type="pct"/>
            <w:shd w:val="clear" w:color="auto" w:fill="auto"/>
            <w:noWrap/>
            <w:vAlign w:val="bottom"/>
          </w:tcPr>
          <w:p w14:paraId="539F4A40" w14:textId="77777777" w:rsidR="006B2325" w:rsidRPr="006E19C7" w:rsidRDefault="006B2325" w:rsidP="00CD1F63">
            <w:pPr>
              <w:jc w:val="center"/>
              <w:rPr>
                <w:rFonts w:ascii="Calibri" w:hAnsi="Calibri"/>
              </w:rPr>
            </w:pPr>
            <w:r w:rsidRPr="006E19C7">
              <w:rPr>
                <w:rFonts w:ascii="Calibri" w:hAnsi="Calibri"/>
              </w:rPr>
              <w:t>10.6%</w:t>
            </w:r>
          </w:p>
        </w:tc>
        <w:tc>
          <w:tcPr>
            <w:tcW w:w="623" w:type="pct"/>
            <w:shd w:val="clear" w:color="auto" w:fill="auto"/>
            <w:noWrap/>
            <w:vAlign w:val="bottom"/>
          </w:tcPr>
          <w:p w14:paraId="404B7889" w14:textId="77777777" w:rsidR="006B2325" w:rsidRPr="006E19C7" w:rsidRDefault="006B2325" w:rsidP="00CD1F63">
            <w:pPr>
              <w:jc w:val="center"/>
              <w:rPr>
                <w:rFonts w:ascii="Calibri" w:hAnsi="Calibri"/>
              </w:rPr>
            </w:pPr>
            <w:r w:rsidRPr="006E19C7">
              <w:rPr>
                <w:rFonts w:ascii="Calibri" w:hAnsi="Calibri"/>
              </w:rPr>
              <w:t>10.7%</w:t>
            </w:r>
          </w:p>
        </w:tc>
        <w:tc>
          <w:tcPr>
            <w:tcW w:w="610" w:type="pct"/>
            <w:shd w:val="clear" w:color="auto" w:fill="auto"/>
            <w:noWrap/>
            <w:vAlign w:val="bottom"/>
          </w:tcPr>
          <w:p w14:paraId="235EA00C" w14:textId="77777777" w:rsidR="006B2325" w:rsidRPr="006E19C7" w:rsidRDefault="006B2325" w:rsidP="00CD1F63">
            <w:pPr>
              <w:jc w:val="center"/>
              <w:rPr>
                <w:rFonts w:ascii="Calibri" w:hAnsi="Calibri"/>
              </w:rPr>
            </w:pPr>
            <w:r w:rsidRPr="006E19C7">
              <w:rPr>
                <w:rFonts w:ascii="Calibri" w:hAnsi="Calibri"/>
              </w:rPr>
              <w:t>10.6%</w:t>
            </w:r>
          </w:p>
        </w:tc>
      </w:tr>
      <w:tr w:rsidR="006B2325" w:rsidRPr="006E19C7" w14:paraId="1171F42C" w14:textId="77777777" w:rsidTr="006B2325">
        <w:trPr>
          <w:trHeight w:val="295"/>
          <w:jc w:val="center"/>
        </w:trPr>
        <w:tc>
          <w:tcPr>
            <w:tcW w:w="1267" w:type="pct"/>
            <w:shd w:val="clear" w:color="auto" w:fill="auto"/>
            <w:noWrap/>
          </w:tcPr>
          <w:p w14:paraId="1A9F24EC" w14:textId="77777777" w:rsidR="006B2325" w:rsidRPr="006E19C7" w:rsidRDefault="006B2325" w:rsidP="00CD1F63">
            <w:r w:rsidRPr="006E19C7">
              <w:t>Hispanic</w:t>
            </w:r>
          </w:p>
        </w:tc>
        <w:tc>
          <w:tcPr>
            <w:tcW w:w="630" w:type="pct"/>
            <w:shd w:val="clear" w:color="auto" w:fill="auto"/>
            <w:noWrap/>
            <w:vAlign w:val="bottom"/>
          </w:tcPr>
          <w:p w14:paraId="66582B94" w14:textId="77777777" w:rsidR="006B2325" w:rsidRPr="006E19C7" w:rsidRDefault="006B2325" w:rsidP="00CD1F63">
            <w:pPr>
              <w:jc w:val="center"/>
              <w:rPr>
                <w:rFonts w:ascii="Calibri" w:hAnsi="Calibri"/>
              </w:rPr>
            </w:pPr>
            <w:r w:rsidRPr="006E19C7">
              <w:rPr>
                <w:rFonts w:ascii="Calibri" w:hAnsi="Calibri"/>
              </w:rPr>
              <w:t>4.8%</w:t>
            </w:r>
          </w:p>
        </w:tc>
        <w:tc>
          <w:tcPr>
            <w:tcW w:w="623" w:type="pct"/>
            <w:shd w:val="clear" w:color="auto" w:fill="auto"/>
            <w:noWrap/>
            <w:vAlign w:val="bottom"/>
          </w:tcPr>
          <w:p w14:paraId="3554FA33" w14:textId="77777777" w:rsidR="006B2325" w:rsidRPr="006E19C7" w:rsidRDefault="006B2325" w:rsidP="00CD1F63">
            <w:pPr>
              <w:jc w:val="center"/>
              <w:rPr>
                <w:rFonts w:ascii="Calibri" w:hAnsi="Calibri"/>
              </w:rPr>
            </w:pPr>
            <w:r w:rsidRPr="006E19C7">
              <w:rPr>
                <w:rFonts w:ascii="Calibri" w:hAnsi="Calibri"/>
              </w:rPr>
              <w:t>5.8%</w:t>
            </w:r>
          </w:p>
        </w:tc>
        <w:tc>
          <w:tcPr>
            <w:tcW w:w="624" w:type="pct"/>
            <w:shd w:val="clear" w:color="auto" w:fill="auto"/>
            <w:noWrap/>
            <w:vAlign w:val="bottom"/>
          </w:tcPr>
          <w:p w14:paraId="1E659981" w14:textId="77777777" w:rsidR="006B2325" w:rsidRPr="006E19C7" w:rsidRDefault="006B2325" w:rsidP="00CD1F63">
            <w:pPr>
              <w:jc w:val="center"/>
              <w:rPr>
                <w:rFonts w:ascii="Calibri" w:hAnsi="Calibri"/>
              </w:rPr>
            </w:pPr>
            <w:r w:rsidRPr="006E19C7">
              <w:rPr>
                <w:rFonts w:ascii="Calibri" w:hAnsi="Calibri"/>
              </w:rPr>
              <w:t>5.3%</w:t>
            </w:r>
          </w:p>
        </w:tc>
        <w:tc>
          <w:tcPr>
            <w:tcW w:w="623" w:type="pct"/>
            <w:shd w:val="clear" w:color="auto" w:fill="auto"/>
            <w:noWrap/>
            <w:vAlign w:val="bottom"/>
          </w:tcPr>
          <w:p w14:paraId="3FDD2ACD" w14:textId="77777777" w:rsidR="006B2325" w:rsidRPr="006E19C7" w:rsidRDefault="006B2325" w:rsidP="00CD1F63">
            <w:pPr>
              <w:jc w:val="center"/>
              <w:rPr>
                <w:rFonts w:ascii="Calibri" w:hAnsi="Calibri"/>
              </w:rPr>
            </w:pPr>
            <w:r w:rsidRPr="006E19C7">
              <w:rPr>
                <w:rFonts w:ascii="Calibri" w:hAnsi="Calibri"/>
              </w:rPr>
              <w:t>6.4%</w:t>
            </w:r>
          </w:p>
        </w:tc>
        <w:tc>
          <w:tcPr>
            <w:tcW w:w="623" w:type="pct"/>
            <w:shd w:val="clear" w:color="auto" w:fill="auto"/>
            <w:noWrap/>
            <w:vAlign w:val="bottom"/>
          </w:tcPr>
          <w:p w14:paraId="3340FE3F" w14:textId="77777777" w:rsidR="006B2325" w:rsidRPr="006E19C7" w:rsidRDefault="006B2325" w:rsidP="00CD1F63">
            <w:pPr>
              <w:jc w:val="center"/>
              <w:rPr>
                <w:rFonts w:ascii="Calibri" w:hAnsi="Calibri"/>
              </w:rPr>
            </w:pPr>
            <w:r w:rsidRPr="006E19C7">
              <w:rPr>
                <w:rFonts w:ascii="Calibri" w:hAnsi="Calibri"/>
              </w:rPr>
              <w:t>7.0%</w:t>
            </w:r>
          </w:p>
        </w:tc>
        <w:tc>
          <w:tcPr>
            <w:tcW w:w="610" w:type="pct"/>
            <w:shd w:val="clear" w:color="auto" w:fill="auto"/>
            <w:noWrap/>
            <w:vAlign w:val="bottom"/>
          </w:tcPr>
          <w:p w14:paraId="7A32FF1D" w14:textId="77777777" w:rsidR="006B2325" w:rsidRPr="006E19C7" w:rsidRDefault="006B2325" w:rsidP="00CD1F63">
            <w:pPr>
              <w:jc w:val="center"/>
              <w:rPr>
                <w:rFonts w:ascii="Calibri" w:hAnsi="Calibri"/>
              </w:rPr>
            </w:pPr>
            <w:r w:rsidRPr="006E19C7">
              <w:rPr>
                <w:rFonts w:ascii="Calibri" w:hAnsi="Calibri"/>
              </w:rPr>
              <w:t>7.4%</w:t>
            </w:r>
          </w:p>
        </w:tc>
      </w:tr>
      <w:tr w:rsidR="006B2325" w:rsidRPr="006E19C7" w14:paraId="27C2CFAA" w14:textId="77777777" w:rsidTr="006B2325">
        <w:trPr>
          <w:trHeight w:val="295"/>
          <w:jc w:val="center"/>
        </w:trPr>
        <w:tc>
          <w:tcPr>
            <w:tcW w:w="1267" w:type="pct"/>
            <w:shd w:val="clear" w:color="auto" w:fill="auto"/>
            <w:noWrap/>
          </w:tcPr>
          <w:p w14:paraId="5BB1008B" w14:textId="77777777" w:rsidR="006B2325" w:rsidRPr="006E19C7" w:rsidRDefault="006B2325" w:rsidP="00CD1F63">
            <w:r w:rsidRPr="006E19C7">
              <w:t>Asian/Pacific Islander</w:t>
            </w:r>
          </w:p>
        </w:tc>
        <w:tc>
          <w:tcPr>
            <w:tcW w:w="630" w:type="pct"/>
            <w:shd w:val="clear" w:color="auto" w:fill="auto"/>
            <w:noWrap/>
            <w:vAlign w:val="bottom"/>
          </w:tcPr>
          <w:p w14:paraId="306EB60E" w14:textId="77777777" w:rsidR="006B2325" w:rsidRPr="006E19C7" w:rsidRDefault="006B2325" w:rsidP="00CD1F63">
            <w:pPr>
              <w:jc w:val="center"/>
              <w:rPr>
                <w:rFonts w:ascii="Calibri" w:hAnsi="Calibri"/>
              </w:rPr>
            </w:pPr>
            <w:r w:rsidRPr="006E19C7">
              <w:rPr>
                <w:rFonts w:ascii="Calibri" w:hAnsi="Calibri"/>
              </w:rPr>
              <w:t>1.1%</w:t>
            </w:r>
          </w:p>
        </w:tc>
        <w:tc>
          <w:tcPr>
            <w:tcW w:w="623" w:type="pct"/>
            <w:shd w:val="clear" w:color="auto" w:fill="auto"/>
            <w:noWrap/>
            <w:vAlign w:val="bottom"/>
          </w:tcPr>
          <w:p w14:paraId="31EF8723" w14:textId="77777777" w:rsidR="006B2325" w:rsidRPr="006E19C7" w:rsidRDefault="006B2325" w:rsidP="00CD1F63">
            <w:pPr>
              <w:jc w:val="center"/>
              <w:rPr>
                <w:rFonts w:ascii="Calibri" w:hAnsi="Calibri"/>
              </w:rPr>
            </w:pPr>
            <w:r w:rsidRPr="006E19C7">
              <w:rPr>
                <w:rFonts w:ascii="Calibri" w:hAnsi="Calibri"/>
              </w:rPr>
              <w:t>1.1%</w:t>
            </w:r>
          </w:p>
        </w:tc>
        <w:tc>
          <w:tcPr>
            <w:tcW w:w="624" w:type="pct"/>
            <w:shd w:val="clear" w:color="auto" w:fill="auto"/>
            <w:noWrap/>
            <w:vAlign w:val="bottom"/>
          </w:tcPr>
          <w:p w14:paraId="634BE3EA" w14:textId="77777777" w:rsidR="006B2325" w:rsidRPr="006E19C7" w:rsidRDefault="006B2325" w:rsidP="00CD1F63">
            <w:pPr>
              <w:jc w:val="center"/>
              <w:rPr>
                <w:rFonts w:ascii="Calibri" w:hAnsi="Calibri"/>
              </w:rPr>
            </w:pPr>
            <w:r w:rsidRPr="006E19C7">
              <w:rPr>
                <w:rFonts w:ascii="Calibri" w:hAnsi="Calibri"/>
              </w:rPr>
              <w:t>1.6%</w:t>
            </w:r>
          </w:p>
        </w:tc>
        <w:tc>
          <w:tcPr>
            <w:tcW w:w="623" w:type="pct"/>
            <w:shd w:val="clear" w:color="auto" w:fill="auto"/>
            <w:noWrap/>
            <w:vAlign w:val="bottom"/>
          </w:tcPr>
          <w:p w14:paraId="744F3E8D" w14:textId="77777777" w:rsidR="006B2325" w:rsidRPr="006E19C7" w:rsidRDefault="006B2325" w:rsidP="00CD1F63">
            <w:pPr>
              <w:jc w:val="center"/>
              <w:rPr>
                <w:rFonts w:ascii="Calibri" w:hAnsi="Calibri"/>
              </w:rPr>
            </w:pPr>
            <w:r w:rsidRPr="006E19C7">
              <w:rPr>
                <w:rFonts w:ascii="Calibri" w:hAnsi="Calibri"/>
              </w:rPr>
              <w:t>1.7%</w:t>
            </w:r>
          </w:p>
        </w:tc>
        <w:tc>
          <w:tcPr>
            <w:tcW w:w="623" w:type="pct"/>
            <w:shd w:val="clear" w:color="auto" w:fill="auto"/>
            <w:noWrap/>
            <w:vAlign w:val="bottom"/>
          </w:tcPr>
          <w:p w14:paraId="1A056DC4" w14:textId="77777777" w:rsidR="006B2325" w:rsidRPr="006E19C7" w:rsidRDefault="006B2325" w:rsidP="00CD1F63">
            <w:pPr>
              <w:jc w:val="center"/>
              <w:rPr>
                <w:rFonts w:ascii="Calibri" w:hAnsi="Calibri"/>
              </w:rPr>
            </w:pPr>
            <w:r w:rsidRPr="006E19C7">
              <w:rPr>
                <w:rFonts w:ascii="Calibri" w:hAnsi="Calibri"/>
              </w:rPr>
              <w:t>1.8%</w:t>
            </w:r>
          </w:p>
        </w:tc>
        <w:tc>
          <w:tcPr>
            <w:tcW w:w="610" w:type="pct"/>
            <w:shd w:val="clear" w:color="auto" w:fill="auto"/>
            <w:noWrap/>
            <w:vAlign w:val="bottom"/>
          </w:tcPr>
          <w:p w14:paraId="7A83A7A1" w14:textId="77777777" w:rsidR="006B2325" w:rsidRPr="006E19C7" w:rsidRDefault="006B2325" w:rsidP="00CD1F63">
            <w:pPr>
              <w:jc w:val="center"/>
              <w:rPr>
                <w:rFonts w:ascii="Calibri" w:hAnsi="Calibri"/>
              </w:rPr>
            </w:pPr>
            <w:r w:rsidRPr="006E19C7">
              <w:rPr>
                <w:rFonts w:ascii="Calibri" w:hAnsi="Calibri"/>
              </w:rPr>
              <w:t>2.0%</w:t>
            </w:r>
          </w:p>
        </w:tc>
      </w:tr>
      <w:tr w:rsidR="006B2325" w:rsidRPr="006E19C7" w14:paraId="08F2E4D7" w14:textId="77777777" w:rsidTr="006B2325">
        <w:trPr>
          <w:trHeight w:val="295"/>
          <w:jc w:val="center"/>
        </w:trPr>
        <w:tc>
          <w:tcPr>
            <w:tcW w:w="1267" w:type="pct"/>
            <w:shd w:val="clear" w:color="auto" w:fill="auto"/>
            <w:noWrap/>
          </w:tcPr>
          <w:p w14:paraId="77A5701E" w14:textId="77777777" w:rsidR="006B2325" w:rsidRPr="006E19C7" w:rsidRDefault="006B2325" w:rsidP="00CD1F63">
            <w:r w:rsidRPr="006E19C7">
              <w:t>Native American</w:t>
            </w:r>
          </w:p>
        </w:tc>
        <w:tc>
          <w:tcPr>
            <w:tcW w:w="630" w:type="pct"/>
            <w:shd w:val="clear" w:color="auto" w:fill="auto"/>
            <w:noWrap/>
            <w:vAlign w:val="bottom"/>
          </w:tcPr>
          <w:p w14:paraId="20CB140E" w14:textId="77777777" w:rsidR="006B2325" w:rsidRPr="006E19C7" w:rsidRDefault="006B2325" w:rsidP="00CD1F63">
            <w:pPr>
              <w:jc w:val="center"/>
              <w:rPr>
                <w:rFonts w:ascii="Calibri" w:hAnsi="Calibri"/>
              </w:rPr>
            </w:pPr>
            <w:r w:rsidRPr="006E19C7">
              <w:rPr>
                <w:rFonts w:ascii="Calibri" w:hAnsi="Calibri"/>
              </w:rPr>
              <w:t>0.2%</w:t>
            </w:r>
          </w:p>
        </w:tc>
        <w:tc>
          <w:tcPr>
            <w:tcW w:w="623" w:type="pct"/>
            <w:shd w:val="clear" w:color="auto" w:fill="auto"/>
            <w:noWrap/>
            <w:vAlign w:val="bottom"/>
          </w:tcPr>
          <w:p w14:paraId="3C432780" w14:textId="77777777" w:rsidR="006B2325" w:rsidRPr="006E19C7" w:rsidRDefault="006B2325" w:rsidP="00CD1F63">
            <w:pPr>
              <w:jc w:val="center"/>
              <w:rPr>
                <w:rFonts w:ascii="Calibri" w:hAnsi="Calibri"/>
              </w:rPr>
            </w:pPr>
            <w:r w:rsidRPr="006E19C7">
              <w:rPr>
                <w:rFonts w:ascii="Calibri" w:hAnsi="Calibri"/>
              </w:rPr>
              <w:t>0.3%</w:t>
            </w:r>
          </w:p>
        </w:tc>
        <w:tc>
          <w:tcPr>
            <w:tcW w:w="624" w:type="pct"/>
            <w:shd w:val="clear" w:color="auto" w:fill="auto"/>
            <w:noWrap/>
            <w:vAlign w:val="bottom"/>
          </w:tcPr>
          <w:p w14:paraId="34322520" w14:textId="77777777" w:rsidR="006B2325" w:rsidRPr="006E19C7" w:rsidRDefault="006B2325" w:rsidP="00CD1F63">
            <w:pPr>
              <w:jc w:val="center"/>
              <w:rPr>
                <w:rFonts w:ascii="Calibri" w:hAnsi="Calibri"/>
              </w:rPr>
            </w:pPr>
            <w:r w:rsidRPr="006E19C7">
              <w:rPr>
                <w:rFonts w:ascii="Calibri" w:hAnsi="Calibri"/>
              </w:rPr>
              <w:t>0.9%</w:t>
            </w:r>
          </w:p>
        </w:tc>
        <w:tc>
          <w:tcPr>
            <w:tcW w:w="623" w:type="pct"/>
            <w:shd w:val="clear" w:color="auto" w:fill="auto"/>
            <w:noWrap/>
            <w:vAlign w:val="bottom"/>
          </w:tcPr>
          <w:p w14:paraId="26FB4FD7" w14:textId="77777777" w:rsidR="006B2325" w:rsidRPr="006E19C7" w:rsidRDefault="006B2325" w:rsidP="00CD1F63">
            <w:pPr>
              <w:jc w:val="center"/>
              <w:rPr>
                <w:rFonts w:ascii="Calibri" w:hAnsi="Calibri"/>
              </w:rPr>
            </w:pPr>
            <w:r w:rsidRPr="006E19C7">
              <w:rPr>
                <w:rFonts w:ascii="Calibri" w:hAnsi="Calibri"/>
              </w:rPr>
              <w:t>0.8%</w:t>
            </w:r>
          </w:p>
        </w:tc>
        <w:tc>
          <w:tcPr>
            <w:tcW w:w="623" w:type="pct"/>
            <w:shd w:val="clear" w:color="auto" w:fill="auto"/>
            <w:noWrap/>
            <w:vAlign w:val="bottom"/>
          </w:tcPr>
          <w:p w14:paraId="3EBAB79C" w14:textId="77777777" w:rsidR="006B2325" w:rsidRPr="006E19C7" w:rsidRDefault="006B2325" w:rsidP="00CD1F63">
            <w:pPr>
              <w:jc w:val="center"/>
              <w:rPr>
                <w:rFonts w:ascii="Calibri" w:hAnsi="Calibri"/>
              </w:rPr>
            </w:pPr>
            <w:r w:rsidRPr="006E19C7">
              <w:rPr>
                <w:rFonts w:ascii="Calibri" w:hAnsi="Calibri"/>
              </w:rPr>
              <w:t>0.6%</w:t>
            </w:r>
          </w:p>
        </w:tc>
        <w:tc>
          <w:tcPr>
            <w:tcW w:w="610" w:type="pct"/>
            <w:shd w:val="clear" w:color="auto" w:fill="auto"/>
            <w:noWrap/>
            <w:vAlign w:val="bottom"/>
          </w:tcPr>
          <w:p w14:paraId="79DF5CAA" w14:textId="77777777" w:rsidR="006B2325" w:rsidRPr="006E19C7" w:rsidRDefault="006B2325" w:rsidP="00CD1F63">
            <w:pPr>
              <w:jc w:val="center"/>
              <w:rPr>
                <w:rFonts w:ascii="Calibri" w:hAnsi="Calibri"/>
              </w:rPr>
            </w:pPr>
            <w:r w:rsidRPr="006E19C7">
              <w:rPr>
                <w:rFonts w:ascii="Calibri" w:hAnsi="Calibri"/>
              </w:rPr>
              <w:t>0.5%</w:t>
            </w:r>
          </w:p>
        </w:tc>
      </w:tr>
      <w:tr w:rsidR="006B2325" w:rsidRPr="006E19C7" w14:paraId="0211EC2F" w14:textId="77777777" w:rsidTr="006B2325">
        <w:trPr>
          <w:trHeight w:val="295"/>
          <w:jc w:val="center"/>
        </w:trPr>
        <w:tc>
          <w:tcPr>
            <w:tcW w:w="1267" w:type="pct"/>
            <w:shd w:val="clear" w:color="auto" w:fill="auto"/>
            <w:noWrap/>
          </w:tcPr>
          <w:p w14:paraId="6941C1FA" w14:textId="77777777" w:rsidR="006B2325" w:rsidRPr="006E19C7" w:rsidRDefault="006B2325" w:rsidP="00CD1F63">
            <w:r w:rsidRPr="006E19C7">
              <w:t>Other</w:t>
            </w:r>
          </w:p>
        </w:tc>
        <w:tc>
          <w:tcPr>
            <w:tcW w:w="630" w:type="pct"/>
            <w:shd w:val="clear" w:color="auto" w:fill="auto"/>
            <w:noWrap/>
            <w:vAlign w:val="bottom"/>
          </w:tcPr>
          <w:p w14:paraId="1ABB84AA" w14:textId="77777777" w:rsidR="006B2325" w:rsidRPr="006E19C7" w:rsidRDefault="006B2325" w:rsidP="00CD1F63">
            <w:pPr>
              <w:jc w:val="center"/>
              <w:rPr>
                <w:rFonts w:ascii="Calibri" w:hAnsi="Calibri"/>
              </w:rPr>
            </w:pPr>
            <w:r w:rsidRPr="006E19C7">
              <w:rPr>
                <w:rFonts w:ascii="Calibri" w:hAnsi="Calibri"/>
              </w:rPr>
              <w:t>2.0%</w:t>
            </w:r>
          </w:p>
        </w:tc>
        <w:tc>
          <w:tcPr>
            <w:tcW w:w="623" w:type="pct"/>
            <w:shd w:val="clear" w:color="auto" w:fill="auto"/>
            <w:noWrap/>
            <w:vAlign w:val="bottom"/>
          </w:tcPr>
          <w:p w14:paraId="0F7B6801" w14:textId="77777777" w:rsidR="006B2325" w:rsidRPr="006E19C7" w:rsidRDefault="006B2325" w:rsidP="00CD1F63">
            <w:pPr>
              <w:jc w:val="center"/>
              <w:rPr>
                <w:rFonts w:ascii="Calibri" w:hAnsi="Calibri"/>
              </w:rPr>
            </w:pPr>
            <w:r w:rsidRPr="006E19C7">
              <w:rPr>
                <w:rFonts w:ascii="Calibri" w:hAnsi="Calibri"/>
              </w:rPr>
              <w:t>2.7%</w:t>
            </w:r>
          </w:p>
        </w:tc>
        <w:tc>
          <w:tcPr>
            <w:tcW w:w="624" w:type="pct"/>
            <w:shd w:val="clear" w:color="auto" w:fill="auto"/>
            <w:noWrap/>
            <w:vAlign w:val="bottom"/>
          </w:tcPr>
          <w:p w14:paraId="30FA1AF4" w14:textId="77777777" w:rsidR="006B2325" w:rsidRPr="006E19C7" w:rsidRDefault="006B2325" w:rsidP="00CD1F63">
            <w:pPr>
              <w:jc w:val="center"/>
              <w:rPr>
                <w:rFonts w:ascii="Calibri" w:hAnsi="Calibri"/>
              </w:rPr>
            </w:pPr>
            <w:r w:rsidRPr="006E19C7">
              <w:rPr>
                <w:rFonts w:ascii="Calibri" w:hAnsi="Calibri"/>
              </w:rPr>
              <w:t>3.1%</w:t>
            </w:r>
          </w:p>
        </w:tc>
        <w:tc>
          <w:tcPr>
            <w:tcW w:w="623" w:type="pct"/>
            <w:shd w:val="clear" w:color="auto" w:fill="auto"/>
            <w:noWrap/>
            <w:vAlign w:val="bottom"/>
          </w:tcPr>
          <w:p w14:paraId="4FE97D2B" w14:textId="77777777" w:rsidR="006B2325" w:rsidRPr="006E19C7" w:rsidRDefault="006B2325" w:rsidP="00CD1F63">
            <w:pPr>
              <w:jc w:val="center"/>
              <w:rPr>
                <w:rFonts w:ascii="Calibri" w:hAnsi="Calibri"/>
              </w:rPr>
            </w:pPr>
            <w:r w:rsidRPr="006E19C7">
              <w:rPr>
                <w:rFonts w:ascii="Calibri" w:hAnsi="Calibri"/>
              </w:rPr>
              <w:t>2.1%</w:t>
            </w:r>
          </w:p>
        </w:tc>
        <w:tc>
          <w:tcPr>
            <w:tcW w:w="623" w:type="pct"/>
            <w:shd w:val="clear" w:color="auto" w:fill="auto"/>
            <w:noWrap/>
            <w:vAlign w:val="bottom"/>
          </w:tcPr>
          <w:p w14:paraId="3099E7A5" w14:textId="77777777" w:rsidR="006B2325" w:rsidRPr="006E19C7" w:rsidRDefault="006B2325" w:rsidP="00CD1F63">
            <w:pPr>
              <w:jc w:val="center"/>
              <w:rPr>
                <w:rFonts w:ascii="Calibri" w:hAnsi="Calibri"/>
              </w:rPr>
            </w:pPr>
            <w:r w:rsidRPr="006E19C7">
              <w:rPr>
                <w:rFonts w:ascii="Calibri" w:hAnsi="Calibri"/>
              </w:rPr>
              <w:t>3.3%</w:t>
            </w:r>
          </w:p>
        </w:tc>
        <w:tc>
          <w:tcPr>
            <w:tcW w:w="610" w:type="pct"/>
            <w:shd w:val="clear" w:color="auto" w:fill="auto"/>
            <w:noWrap/>
            <w:vAlign w:val="bottom"/>
          </w:tcPr>
          <w:p w14:paraId="2A866D0A" w14:textId="77777777" w:rsidR="006B2325" w:rsidRPr="006E19C7" w:rsidRDefault="006B2325" w:rsidP="00CD1F63">
            <w:pPr>
              <w:jc w:val="center"/>
              <w:rPr>
                <w:rFonts w:ascii="Calibri" w:hAnsi="Calibri"/>
              </w:rPr>
            </w:pPr>
            <w:r w:rsidRPr="006E19C7">
              <w:rPr>
                <w:rFonts w:ascii="Calibri" w:hAnsi="Calibri"/>
              </w:rPr>
              <w:t>2.9%</w:t>
            </w:r>
          </w:p>
        </w:tc>
      </w:tr>
      <w:tr w:rsidR="006B2325" w:rsidRPr="006E19C7" w14:paraId="58FC3FEF" w14:textId="77777777" w:rsidTr="006B2325">
        <w:trPr>
          <w:trHeight w:val="295"/>
          <w:jc w:val="center"/>
        </w:trPr>
        <w:tc>
          <w:tcPr>
            <w:tcW w:w="1267" w:type="pct"/>
            <w:shd w:val="clear" w:color="auto" w:fill="auto"/>
            <w:noWrap/>
          </w:tcPr>
          <w:p w14:paraId="049E687F" w14:textId="77777777" w:rsidR="006B2325" w:rsidRPr="006E19C7" w:rsidRDefault="006B2325" w:rsidP="00CD1F63">
            <w:r w:rsidRPr="006E19C7">
              <w:t>Missing Race</w:t>
            </w:r>
          </w:p>
        </w:tc>
        <w:tc>
          <w:tcPr>
            <w:tcW w:w="630" w:type="pct"/>
            <w:shd w:val="clear" w:color="auto" w:fill="auto"/>
            <w:noWrap/>
            <w:vAlign w:val="bottom"/>
          </w:tcPr>
          <w:p w14:paraId="4C1B8410" w14:textId="77777777" w:rsidR="006B2325" w:rsidRPr="006E19C7" w:rsidRDefault="006B2325" w:rsidP="00CD1F63">
            <w:pPr>
              <w:jc w:val="center"/>
              <w:rPr>
                <w:rFonts w:ascii="Calibri" w:hAnsi="Calibri"/>
              </w:rPr>
            </w:pPr>
            <w:r w:rsidRPr="006E19C7">
              <w:rPr>
                <w:rFonts w:ascii="Calibri" w:hAnsi="Calibri"/>
              </w:rPr>
              <w:t>28.2%</w:t>
            </w:r>
          </w:p>
        </w:tc>
        <w:tc>
          <w:tcPr>
            <w:tcW w:w="623" w:type="pct"/>
            <w:shd w:val="clear" w:color="auto" w:fill="auto"/>
            <w:noWrap/>
            <w:vAlign w:val="bottom"/>
          </w:tcPr>
          <w:p w14:paraId="43D563C6" w14:textId="77777777" w:rsidR="006B2325" w:rsidRPr="006E19C7" w:rsidRDefault="006B2325" w:rsidP="00CD1F63">
            <w:pPr>
              <w:jc w:val="center"/>
              <w:rPr>
                <w:rFonts w:ascii="Calibri" w:hAnsi="Calibri"/>
              </w:rPr>
            </w:pPr>
            <w:r w:rsidRPr="006E19C7">
              <w:rPr>
                <w:rFonts w:ascii="Calibri" w:hAnsi="Calibri"/>
              </w:rPr>
              <w:t>27.2%</w:t>
            </w:r>
          </w:p>
        </w:tc>
        <w:tc>
          <w:tcPr>
            <w:tcW w:w="624" w:type="pct"/>
            <w:shd w:val="clear" w:color="auto" w:fill="auto"/>
            <w:noWrap/>
            <w:vAlign w:val="bottom"/>
          </w:tcPr>
          <w:p w14:paraId="7164359A" w14:textId="77777777" w:rsidR="006B2325" w:rsidRPr="006E19C7" w:rsidRDefault="006B2325" w:rsidP="00CD1F63">
            <w:pPr>
              <w:jc w:val="center"/>
              <w:rPr>
                <w:rFonts w:ascii="Calibri" w:hAnsi="Calibri"/>
              </w:rPr>
            </w:pPr>
            <w:r w:rsidRPr="006E19C7">
              <w:rPr>
                <w:rFonts w:ascii="Calibri" w:hAnsi="Calibri"/>
              </w:rPr>
              <w:t>21.8%</w:t>
            </w:r>
          </w:p>
        </w:tc>
        <w:tc>
          <w:tcPr>
            <w:tcW w:w="623" w:type="pct"/>
            <w:shd w:val="clear" w:color="auto" w:fill="auto"/>
            <w:noWrap/>
            <w:vAlign w:val="bottom"/>
          </w:tcPr>
          <w:p w14:paraId="5B9916BB" w14:textId="77777777" w:rsidR="006B2325" w:rsidRPr="006E19C7" w:rsidRDefault="006B2325" w:rsidP="00CD1F63">
            <w:pPr>
              <w:jc w:val="center"/>
              <w:rPr>
                <w:rFonts w:ascii="Calibri" w:hAnsi="Calibri"/>
              </w:rPr>
            </w:pPr>
            <w:r w:rsidRPr="006E19C7">
              <w:rPr>
                <w:rFonts w:ascii="Calibri" w:hAnsi="Calibri"/>
              </w:rPr>
              <w:t>13.1%</w:t>
            </w:r>
          </w:p>
        </w:tc>
        <w:tc>
          <w:tcPr>
            <w:tcW w:w="623" w:type="pct"/>
            <w:shd w:val="clear" w:color="auto" w:fill="auto"/>
            <w:noWrap/>
            <w:vAlign w:val="bottom"/>
          </w:tcPr>
          <w:p w14:paraId="63B0708F" w14:textId="77777777" w:rsidR="006B2325" w:rsidRPr="006E19C7" w:rsidRDefault="006B2325" w:rsidP="00CD1F63">
            <w:pPr>
              <w:jc w:val="center"/>
              <w:rPr>
                <w:rFonts w:ascii="Calibri" w:hAnsi="Calibri"/>
              </w:rPr>
            </w:pPr>
            <w:r w:rsidRPr="006E19C7">
              <w:rPr>
                <w:rFonts w:ascii="Calibri" w:hAnsi="Calibri"/>
              </w:rPr>
              <w:t>5.8%</w:t>
            </w:r>
          </w:p>
        </w:tc>
        <w:tc>
          <w:tcPr>
            <w:tcW w:w="610" w:type="pct"/>
            <w:shd w:val="clear" w:color="auto" w:fill="auto"/>
            <w:noWrap/>
            <w:vAlign w:val="bottom"/>
          </w:tcPr>
          <w:p w14:paraId="26DF20DB" w14:textId="77777777" w:rsidR="006B2325" w:rsidRPr="006E19C7" w:rsidRDefault="006B2325" w:rsidP="00CD1F63">
            <w:pPr>
              <w:jc w:val="center"/>
              <w:rPr>
                <w:rFonts w:ascii="Calibri" w:hAnsi="Calibri"/>
              </w:rPr>
            </w:pPr>
            <w:r w:rsidRPr="006E19C7">
              <w:rPr>
                <w:rFonts w:ascii="Calibri" w:hAnsi="Calibri"/>
              </w:rPr>
              <w:t>5.5%</w:t>
            </w:r>
          </w:p>
        </w:tc>
      </w:tr>
      <w:tr w:rsidR="006B2325" w:rsidRPr="006E19C7" w14:paraId="1F417927" w14:textId="77777777" w:rsidTr="006B2325">
        <w:trPr>
          <w:trHeight w:val="295"/>
          <w:jc w:val="center"/>
        </w:trPr>
        <w:tc>
          <w:tcPr>
            <w:tcW w:w="1267" w:type="pct"/>
            <w:shd w:val="clear" w:color="auto" w:fill="auto"/>
            <w:noWrap/>
          </w:tcPr>
          <w:p w14:paraId="602DA484" w14:textId="77777777" w:rsidR="006B2325" w:rsidRPr="006E19C7" w:rsidRDefault="006B2325" w:rsidP="00CD1F63">
            <w:r w:rsidRPr="006E19C7">
              <w:t>Weekend admission</w:t>
            </w:r>
          </w:p>
        </w:tc>
        <w:tc>
          <w:tcPr>
            <w:tcW w:w="630" w:type="pct"/>
            <w:shd w:val="clear" w:color="auto" w:fill="auto"/>
            <w:noWrap/>
          </w:tcPr>
          <w:p w14:paraId="520D3CFC" w14:textId="77777777" w:rsidR="006B2325" w:rsidRPr="006E19C7" w:rsidRDefault="006B2325" w:rsidP="00CD1F63">
            <w:pPr>
              <w:jc w:val="center"/>
            </w:pPr>
            <w:r w:rsidRPr="006E19C7">
              <w:t>24.0%</w:t>
            </w:r>
          </w:p>
        </w:tc>
        <w:tc>
          <w:tcPr>
            <w:tcW w:w="623" w:type="pct"/>
            <w:shd w:val="clear" w:color="auto" w:fill="auto"/>
            <w:noWrap/>
          </w:tcPr>
          <w:p w14:paraId="76C75DC3" w14:textId="77777777" w:rsidR="006B2325" w:rsidRPr="006E19C7" w:rsidRDefault="006B2325" w:rsidP="00CD1F63">
            <w:pPr>
              <w:jc w:val="center"/>
            </w:pPr>
            <w:r w:rsidRPr="006E19C7">
              <w:t>24.2%</w:t>
            </w:r>
          </w:p>
        </w:tc>
        <w:tc>
          <w:tcPr>
            <w:tcW w:w="624" w:type="pct"/>
            <w:shd w:val="clear" w:color="auto" w:fill="auto"/>
            <w:noWrap/>
          </w:tcPr>
          <w:p w14:paraId="10F2A9DB" w14:textId="77777777" w:rsidR="006B2325" w:rsidRPr="006E19C7" w:rsidRDefault="006B2325" w:rsidP="00CD1F63">
            <w:pPr>
              <w:jc w:val="center"/>
            </w:pPr>
            <w:r w:rsidRPr="006E19C7">
              <w:t>25.0%</w:t>
            </w:r>
          </w:p>
        </w:tc>
        <w:tc>
          <w:tcPr>
            <w:tcW w:w="623" w:type="pct"/>
            <w:shd w:val="clear" w:color="auto" w:fill="auto"/>
            <w:noWrap/>
          </w:tcPr>
          <w:p w14:paraId="491147E6" w14:textId="77777777" w:rsidR="006B2325" w:rsidRPr="006E19C7" w:rsidRDefault="006B2325" w:rsidP="00CD1F63">
            <w:pPr>
              <w:jc w:val="center"/>
            </w:pPr>
            <w:r w:rsidRPr="006E19C7">
              <w:t>25.7%</w:t>
            </w:r>
          </w:p>
        </w:tc>
        <w:tc>
          <w:tcPr>
            <w:tcW w:w="623" w:type="pct"/>
            <w:shd w:val="clear" w:color="auto" w:fill="auto"/>
            <w:noWrap/>
          </w:tcPr>
          <w:p w14:paraId="19260DB0" w14:textId="77777777" w:rsidR="006B2325" w:rsidRPr="006E19C7" w:rsidRDefault="006B2325" w:rsidP="00CD1F63">
            <w:pPr>
              <w:jc w:val="center"/>
            </w:pPr>
            <w:r w:rsidRPr="006E19C7">
              <w:t>25.0%</w:t>
            </w:r>
          </w:p>
        </w:tc>
        <w:tc>
          <w:tcPr>
            <w:tcW w:w="610" w:type="pct"/>
            <w:shd w:val="clear" w:color="auto" w:fill="auto"/>
            <w:noWrap/>
          </w:tcPr>
          <w:p w14:paraId="4EE76CB0" w14:textId="77777777" w:rsidR="006B2325" w:rsidRPr="006E19C7" w:rsidRDefault="006B2325" w:rsidP="00CD1F63">
            <w:pPr>
              <w:jc w:val="center"/>
            </w:pPr>
            <w:r w:rsidRPr="006E19C7">
              <w:t>25.6%</w:t>
            </w:r>
          </w:p>
        </w:tc>
      </w:tr>
      <w:tr w:rsidR="006B2325" w:rsidRPr="006E19C7" w14:paraId="0E9A35D3" w14:textId="77777777" w:rsidTr="006B2325">
        <w:trPr>
          <w:trHeight w:val="295"/>
          <w:jc w:val="center"/>
        </w:trPr>
        <w:tc>
          <w:tcPr>
            <w:tcW w:w="1267" w:type="pct"/>
            <w:shd w:val="clear" w:color="auto" w:fill="auto"/>
            <w:noWrap/>
          </w:tcPr>
          <w:p w14:paraId="2DD17F26" w14:textId="77777777" w:rsidR="006B2325" w:rsidRPr="006E19C7" w:rsidRDefault="006B2325" w:rsidP="00CD1F63">
            <w:r w:rsidRPr="006E19C7">
              <w:t>Primary expected payer</w:t>
            </w:r>
          </w:p>
        </w:tc>
        <w:tc>
          <w:tcPr>
            <w:tcW w:w="630" w:type="pct"/>
            <w:shd w:val="clear" w:color="auto" w:fill="auto"/>
            <w:noWrap/>
          </w:tcPr>
          <w:p w14:paraId="59078E33" w14:textId="77777777" w:rsidR="006B2325" w:rsidRPr="006E19C7" w:rsidRDefault="006B2325" w:rsidP="00CD1F63">
            <w:pPr>
              <w:jc w:val="center"/>
            </w:pPr>
          </w:p>
        </w:tc>
        <w:tc>
          <w:tcPr>
            <w:tcW w:w="623" w:type="pct"/>
            <w:shd w:val="clear" w:color="auto" w:fill="auto"/>
            <w:noWrap/>
          </w:tcPr>
          <w:p w14:paraId="69CE62C4" w14:textId="77777777" w:rsidR="006B2325" w:rsidRPr="006E19C7" w:rsidRDefault="006B2325" w:rsidP="00CD1F63">
            <w:pPr>
              <w:jc w:val="center"/>
            </w:pPr>
          </w:p>
        </w:tc>
        <w:tc>
          <w:tcPr>
            <w:tcW w:w="624" w:type="pct"/>
            <w:shd w:val="clear" w:color="auto" w:fill="auto"/>
            <w:noWrap/>
          </w:tcPr>
          <w:p w14:paraId="4FF1FFA1" w14:textId="77777777" w:rsidR="006B2325" w:rsidRPr="006E19C7" w:rsidRDefault="006B2325" w:rsidP="00CD1F63">
            <w:pPr>
              <w:jc w:val="center"/>
            </w:pPr>
          </w:p>
        </w:tc>
        <w:tc>
          <w:tcPr>
            <w:tcW w:w="623" w:type="pct"/>
            <w:shd w:val="clear" w:color="auto" w:fill="auto"/>
            <w:noWrap/>
          </w:tcPr>
          <w:p w14:paraId="2519237B" w14:textId="77777777" w:rsidR="006B2325" w:rsidRPr="006E19C7" w:rsidRDefault="006B2325" w:rsidP="00CD1F63">
            <w:pPr>
              <w:jc w:val="center"/>
            </w:pPr>
          </w:p>
        </w:tc>
        <w:tc>
          <w:tcPr>
            <w:tcW w:w="623" w:type="pct"/>
            <w:shd w:val="clear" w:color="auto" w:fill="auto"/>
            <w:noWrap/>
          </w:tcPr>
          <w:p w14:paraId="647723BB" w14:textId="77777777" w:rsidR="006B2325" w:rsidRPr="006E19C7" w:rsidRDefault="006B2325" w:rsidP="00CD1F63">
            <w:pPr>
              <w:jc w:val="center"/>
            </w:pPr>
          </w:p>
        </w:tc>
        <w:tc>
          <w:tcPr>
            <w:tcW w:w="610" w:type="pct"/>
            <w:shd w:val="clear" w:color="auto" w:fill="auto"/>
            <w:noWrap/>
          </w:tcPr>
          <w:p w14:paraId="02AEFFDB" w14:textId="77777777" w:rsidR="006B2325" w:rsidRPr="006E19C7" w:rsidRDefault="006B2325" w:rsidP="00CD1F63">
            <w:pPr>
              <w:jc w:val="center"/>
            </w:pPr>
          </w:p>
        </w:tc>
      </w:tr>
      <w:tr w:rsidR="006B2325" w:rsidRPr="006E19C7" w14:paraId="39CC6140" w14:textId="77777777" w:rsidTr="006B2325">
        <w:trPr>
          <w:trHeight w:val="295"/>
          <w:jc w:val="center"/>
        </w:trPr>
        <w:tc>
          <w:tcPr>
            <w:tcW w:w="1267" w:type="pct"/>
            <w:shd w:val="clear" w:color="auto" w:fill="auto"/>
            <w:noWrap/>
          </w:tcPr>
          <w:p w14:paraId="4D0F9B26" w14:textId="77777777" w:rsidR="006B2325" w:rsidRPr="006E19C7" w:rsidRDefault="006B2325" w:rsidP="00CD1F63">
            <w:r w:rsidRPr="006E19C7">
              <w:t>Medicare</w:t>
            </w:r>
          </w:p>
        </w:tc>
        <w:tc>
          <w:tcPr>
            <w:tcW w:w="630" w:type="pct"/>
            <w:shd w:val="clear" w:color="auto" w:fill="auto"/>
            <w:noWrap/>
          </w:tcPr>
          <w:p w14:paraId="6ABFD3D3" w14:textId="77777777" w:rsidR="006B2325" w:rsidRPr="006E19C7" w:rsidRDefault="006B2325" w:rsidP="00CD1F63">
            <w:pPr>
              <w:jc w:val="center"/>
            </w:pPr>
            <w:r w:rsidRPr="006E19C7">
              <w:t>53.3%</w:t>
            </w:r>
          </w:p>
        </w:tc>
        <w:tc>
          <w:tcPr>
            <w:tcW w:w="623" w:type="pct"/>
            <w:shd w:val="clear" w:color="auto" w:fill="auto"/>
            <w:noWrap/>
          </w:tcPr>
          <w:p w14:paraId="71F6655F" w14:textId="77777777" w:rsidR="006B2325" w:rsidRPr="006E19C7" w:rsidRDefault="006B2325" w:rsidP="00CD1F63">
            <w:pPr>
              <w:jc w:val="center"/>
            </w:pPr>
            <w:r w:rsidRPr="006E19C7">
              <w:t>52.2%</w:t>
            </w:r>
          </w:p>
        </w:tc>
        <w:tc>
          <w:tcPr>
            <w:tcW w:w="624" w:type="pct"/>
            <w:shd w:val="clear" w:color="auto" w:fill="auto"/>
            <w:noWrap/>
          </w:tcPr>
          <w:p w14:paraId="3BE1A3E7" w14:textId="77777777" w:rsidR="006B2325" w:rsidRPr="006E19C7" w:rsidRDefault="006B2325" w:rsidP="00CD1F63">
            <w:pPr>
              <w:jc w:val="center"/>
            </w:pPr>
            <w:r w:rsidRPr="006E19C7">
              <w:t>51.7%</w:t>
            </w:r>
          </w:p>
        </w:tc>
        <w:tc>
          <w:tcPr>
            <w:tcW w:w="623" w:type="pct"/>
            <w:shd w:val="clear" w:color="auto" w:fill="auto"/>
            <w:noWrap/>
          </w:tcPr>
          <w:p w14:paraId="3BD48E32" w14:textId="77777777" w:rsidR="006B2325" w:rsidRPr="006E19C7" w:rsidRDefault="006B2325" w:rsidP="00CD1F63">
            <w:pPr>
              <w:jc w:val="center"/>
            </w:pPr>
            <w:r w:rsidRPr="006E19C7">
              <w:t>51.8%</w:t>
            </w:r>
          </w:p>
        </w:tc>
        <w:tc>
          <w:tcPr>
            <w:tcW w:w="623" w:type="pct"/>
            <w:shd w:val="clear" w:color="auto" w:fill="auto"/>
            <w:noWrap/>
          </w:tcPr>
          <w:p w14:paraId="4D26A5F6" w14:textId="77777777" w:rsidR="006B2325" w:rsidRPr="006E19C7" w:rsidRDefault="006B2325" w:rsidP="00CD1F63">
            <w:pPr>
              <w:jc w:val="center"/>
            </w:pPr>
            <w:r w:rsidRPr="006E19C7">
              <w:t>54.7%</w:t>
            </w:r>
          </w:p>
        </w:tc>
        <w:tc>
          <w:tcPr>
            <w:tcW w:w="610" w:type="pct"/>
            <w:shd w:val="clear" w:color="auto" w:fill="auto"/>
            <w:noWrap/>
          </w:tcPr>
          <w:p w14:paraId="12AAB41C" w14:textId="77777777" w:rsidR="006B2325" w:rsidRPr="006E19C7" w:rsidRDefault="006B2325" w:rsidP="00CD1F63">
            <w:pPr>
              <w:jc w:val="center"/>
            </w:pPr>
            <w:r w:rsidRPr="006E19C7">
              <w:t>55.0%</w:t>
            </w:r>
          </w:p>
        </w:tc>
      </w:tr>
      <w:tr w:rsidR="006B2325" w:rsidRPr="006E19C7" w14:paraId="60448468" w14:textId="77777777" w:rsidTr="006B2325">
        <w:trPr>
          <w:trHeight w:val="295"/>
          <w:jc w:val="center"/>
        </w:trPr>
        <w:tc>
          <w:tcPr>
            <w:tcW w:w="1267" w:type="pct"/>
            <w:shd w:val="clear" w:color="auto" w:fill="auto"/>
            <w:noWrap/>
          </w:tcPr>
          <w:p w14:paraId="70BBAE3C" w14:textId="77777777" w:rsidR="006B2325" w:rsidRPr="006E19C7" w:rsidRDefault="006B2325" w:rsidP="00CD1F63">
            <w:r w:rsidRPr="006E19C7">
              <w:t>Medicaid</w:t>
            </w:r>
          </w:p>
        </w:tc>
        <w:tc>
          <w:tcPr>
            <w:tcW w:w="630" w:type="pct"/>
            <w:shd w:val="clear" w:color="auto" w:fill="auto"/>
            <w:noWrap/>
          </w:tcPr>
          <w:p w14:paraId="6B1839C4" w14:textId="77777777" w:rsidR="006B2325" w:rsidRPr="006E19C7" w:rsidRDefault="006B2325" w:rsidP="00CD1F63">
            <w:pPr>
              <w:jc w:val="center"/>
            </w:pPr>
            <w:r w:rsidRPr="006E19C7">
              <w:t>5.7%</w:t>
            </w:r>
          </w:p>
        </w:tc>
        <w:tc>
          <w:tcPr>
            <w:tcW w:w="623" w:type="pct"/>
            <w:shd w:val="clear" w:color="auto" w:fill="auto"/>
            <w:noWrap/>
          </w:tcPr>
          <w:p w14:paraId="41673A88" w14:textId="77777777" w:rsidR="006B2325" w:rsidRPr="006E19C7" w:rsidRDefault="006B2325" w:rsidP="00CD1F63">
            <w:pPr>
              <w:jc w:val="center"/>
            </w:pPr>
            <w:r w:rsidRPr="006E19C7">
              <w:t>5.7%</w:t>
            </w:r>
          </w:p>
        </w:tc>
        <w:tc>
          <w:tcPr>
            <w:tcW w:w="624" w:type="pct"/>
            <w:shd w:val="clear" w:color="auto" w:fill="auto"/>
            <w:noWrap/>
          </w:tcPr>
          <w:p w14:paraId="38A9F400" w14:textId="77777777" w:rsidR="006B2325" w:rsidRPr="006E19C7" w:rsidRDefault="006B2325" w:rsidP="00CD1F63">
            <w:pPr>
              <w:jc w:val="center"/>
            </w:pPr>
            <w:r w:rsidRPr="006E19C7">
              <w:t>6.1%</w:t>
            </w:r>
          </w:p>
        </w:tc>
        <w:tc>
          <w:tcPr>
            <w:tcW w:w="623" w:type="pct"/>
            <w:shd w:val="clear" w:color="auto" w:fill="auto"/>
            <w:noWrap/>
          </w:tcPr>
          <w:p w14:paraId="5B4EBF82" w14:textId="77777777" w:rsidR="006B2325" w:rsidRPr="006E19C7" w:rsidRDefault="006B2325" w:rsidP="00CD1F63">
            <w:pPr>
              <w:jc w:val="center"/>
            </w:pPr>
            <w:r w:rsidRPr="006E19C7">
              <w:t>7.2%</w:t>
            </w:r>
          </w:p>
        </w:tc>
        <w:tc>
          <w:tcPr>
            <w:tcW w:w="623" w:type="pct"/>
            <w:shd w:val="clear" w:color="auto" w:fill="auto"/>
            <w:noWrap/>
          </w:tcPr>
          <w:p w14:paraId="172C36E3" w14:textId="77777777" w:rsidR="006B2325" w:rsidRPr="006E19C7" w:rsidRDefault="006B2325" w:rsidP="00CD1F63">
            <w:pPr>
              <w:jc w:val="center"/>
            </w:pPr>
            <w:r w:rsidRPr="006E19C7">
              <w:t>6.9%</w:t>
            </w:r>
          </w:p>
        </w:tc>
        <w:tc>
          <w:tcPr>
            <w:tcW w:w="610" w:type="pct"/>
            <w:shd w:val="clear" w:color="auto" w:fill="auto"/>
            <w:noWrap/>
          </w:tcPr>
          <w:p w14:paraId="090D5A0E" w14:textId="77777777" w:rsidR="006B2325" w:rsidRPr="006E19C7" w:rsidRDefault="006B2325" w:rsidP="00CD1F63">
            <w:pPr>
              <w:jc w:val="center"/>
            </w:pPr>
            <w:r w:rsidRPr="006E19C7">
              <w:t>8.8%</w:t>
            </w:r>
          </w:p>
        </w:tc>
      </w:tr>
      <w:tr w:rsidR="006B2325" w:rsidRPr="006E19C7" w14:paraId="211FCFA7" w14:textId="77777777" w:rsidTr="006B2325">
        <w:trPr>
          <w:trHeight w:val="295"/>
          <w:jc w:val="center"/>
        </w:trPr>
        <w:tc>
          <w:tcPr>
            <w:tcW w:w="1267" w:type="pct"/>
            <w:shd w:val="clear" w:color="auto" w:fill="auto"/>
            <w:noWrap/>
          </w:tcPr>
          <w:p w14:paraId="3F9861E6" w14:textId="77777777" w:rsidR="006B2325" w:rsidRPr="006E19C7" w:rsidRDefault="006B2325" w:rsidP="00CD1F63">
            <w:r w:rsidRPr="006E19C7">
              <w:t>Private Insurance</w:t>
            </w:r>
          </w:p>
        </w:tc>
        <w:tc>
          <w:tcPr>
            <w:tcW w:w="630" w:type="pct"/>
            <w:shd w:val="clear" w:color="auto" w:fill="auto"/>
            <w:noWrap/>
          </w:tcPr>
          <w:p w14:paraId="53F07F68" w14:textId="77777777" w:rsidR="006B2325" w:rsidRPr="006E19C7" w:rsidRDefault="006B2325" w:rsidP="00CD1F63">
            <w:pPr>
              <w:jc w:val="center"/>
            </w:pPr>
            <w:r w:rsidRPr="006E19C7">
              <w:t>32.8%</w:t>
            </w:r>
          </w:p>
        </w:tc>
        <w:tc>
          <w:tcPr>
            <w:tcW w:w="623" w:type="pct"/>
            <w:shd w:val="clear" w:color="auto" w:fill="auto"/>
            <w:noWrap/>
          </w:tcPr>
          <w:p w14:paraId="662D310A" w14:textId="77777777" w:rsidR="006B2325" w:rsidRPr="006E19C7" w:rsidRDefault="006B2325" w:rsidP="00CD1F63">
            <w:pPr>
              <w:jc w:val="center"/>
            </w:pPr>
            <w:r w:rsidRPr="006E19C7">
              <w:t>32.8%</w:t>
            </w:r>
          </w:p>
        </w:tc>
        <w:tc>
          <w:tcPr>
            <w:tcW w:w="624" w:type="pct"/>
            <w:shd w:val="clear" w:color="auto" w:fill="auto"/>
            <w:noWrap/>
          </w:tcPr>
          <w:p w14:paraId="3A7AF05B" w14:textId="77777777" w:rsidR="006B2325" w:rsidRPr="006E19C7" w:rsidRDefault="006B2325" w:rsidP="00CD1F63">
            <w:pPr>
              <w:jc w:val="center"/>
            </w:pPr>
            <w:r w:rsidRPr="006E19C7">
              <w:t>32.3%</w:t>
            </w:r>
          </w:p>
        </w:tc>
        <w:tc>
          <w:tcPr>
            <w:tcW w:w="623" w:type="pct"/>
            <w:shd w:val="clear" w:color="auto" w:fill="auto"/>
            <w:noWrap/>
          </w:tcPr>
          <w:p w14:paraId="2048C117" w14:textId="77777777" w:rsidR="006B2325" w:rsidRPr="006E19C7" w:rsidRDefault="006B2325" w:rsidP="00CD1F63">
            <w:pPr>
              <w:jc w:val="center"/>
            </w:pPr>
            <w:r w:rsidRPr="006E19C7">
              <w:t>30.7%</w:t>
            </w:r>
          </w:p>
        </w:tc>
        <w:tc>
          <w:tcPr>
            <w:tcW w:w="623" w:type="pct"/>
            <w:shd w:val="clear" w:color="auto" w:fill="auto"/>
            <w:noWrap/>
          </w:tcPr>
          <w:p w14:paraId="674F5294" w14:textId="77777777" w:rsidR="006B2325" w:rsidRPr="006E19C7" w:rsidRDefault="006B2325" w:rsidP="00CD1F63">
            <w:pPr>
              <w:jc w:val="center"/>
            </w:pPr>
            <w:r w:rsidRPr="006E19C7">
              <w:t>27.5%</w:t>
            </w:r>
          </w:p>
        </w:tc>
        <w:tc>
          <w:tcPr>
            <w:tcW w:w="610" w:type="pct"/>
            <w:shd w:val="clear" w:color="auto" w:fill="auto"/>
            <w:noWrap/>
          </w:tcPr>
          <w:p w14:paraId="08B84AF2" w14:textId="77777777" w:rsidR="006B2325" w:rsidRPr="006E19C7" w:rsidRDefault="006B2325" w:rsidP="00CD1F63">
            <w:pPr>
              <w:jc w:val="center"/>
            </w:pPr>
            <w:r w:rsidRPr="006E19C7">
              <w:t>27.8%</w:t>
            </w:r>
          </w:p>
        </w:tc>
      </w:tr>
      <w:tr w:rsidR="006B2325" w:rsidRPr="006E19C7" w14:paraId="55CD2138" w14:textId="77777777" w:rsidTr="006B2325">
        <w:trPr>
          <w:trHeight w:val="295"/>
          <w:jc w:val="center"/>
        </w:trPr>
        <w:tc>
          <w:tcPr>
            <w:tcW w:w="1267" w:type="pct"/>
            <w:shd w:val="clear" w:color="auto" w:fill="auto"/>
            <w:noWrap/>
          </w:tcPr>
          <w:p w14:paraId="5C6DF3D0" w14:textId="77777777" w:rsidR="006B2325" w:rsidRPr="006E19C7" w:rsidRDefault="006B2325" w:rsidP="00CD1F63">
            <w:r w:rsidRPr="006E19C7">
              <w:t>Self-pay</w:t>
            </w:r>
          </w:p>
        </w:tc>
        <w:tc>
          <w:tcPr>
            <w:tcW w:w="630" w:type="pct"/>
            <w:shd w:val="clear" w:color="auto" w:fill="auto"/>
            <w:noWrap/>
          </w:tcPr>
          <w:p w14:paraId="012F4A9B" w14:textId="77777777" w:rsidR="006B2325" w:rsidRPr="006E19C7" w:rsidRDefault="006B2325" w:rsidP="00CD1F63">
            <w:pPr>
              <w:jc w:val="center"/>
            </w:pPr>
            <w:r w:rsidRPr="006E19C7">
              <w:t>5.0%</w:t>
            </w:r>
          </w:p>
        </w:tc>
        <w:tc>
          <w:tcPr>
            <w:tcW w:w="623" w:type="pct"/>
            <w:shd w:val="clear" w:color="auto" w:fill="auto"/>
            <w:noWrap/>
          </w:tcPr>
          <w:p w14:paraId="5C9EA75E" w14:textId="77777777" w:rsidR="006B2325" w:rsidRPr="006E19C7" w:rsidRDefault="006B2325" w:rsidP="00CD1F63">
            <w:pPr>
              <w:jc w:val="center"/>
            </w:pPr>
            <w:r w:rsidRPr="006E19C7">
              <w:t>5.4%</w:t>
            </w:r>
          </w:p>
        </w:tc>
        <w:tc>
          <w:tcPr>
            <w:tcW w:w="624" w:type="pct"/>
            <w:shd w:val="clear" w:color="auto" w:fill="auto"/>
            <w:noWrap/>
          </w:tcPr>
          <w:p w14:paraId="6AB42B0A" w14:textId="77777777" w:rsidR="006B2325" w:rsidRPr="006E19C7" w:rsidRDefault="006B2325" w:rsidP="00CD1F63">
            <w:pPr>
              <w:jc w:val="center"/>
            </w:pPr>
            <w:r w:rsidRPr="006E19C7">
              <w:t>6.0%</w:t>
            </w:r>
          </w:p>
        </w:tc>
        <w:tc>
          <w:tcPr>
            <w:tcW w:w="623" w:type="pct"/>
            <w:shd w:val="clear" w:color="auto" w:fill="auto"/>
            <w:noWrap/>
          </w:tcPr>
          <w:p w14:paraId="76350CC6" w14:textId="77777777" w:rsidR="006B2325" w:rsidRPr="006E19C7" w:rsidRDefault="006B2325" w:rsidP="00CD1F63">
            <w:pPr>
              <w:jc w:val="center"/>
            </w:pPr>
            <w:r w:rsidRPr="006E19C7">
              <w:t>6.8%</w:t>
            </w:r>
          </w:p>
        </w:tc>
        <w:tc>
          <w:tcPr>
            <w:tcW w:w="623" w:type="pct"/>
            <w:shd w:val="clear" w:color="auto" w:fill="auto"/>
            <w:noWrap/>
          </w:tcPr>
          <w:p w14:paraId="3B5AE095" w14:textId="77777777" w:rsidR="006B2325" w:rsidRPr="006E19C7" w:rsidRDefault="006B2325" w:rsidP="00CD1F63">
            <w:pPr>
              <w:jc w:val="center"/>
            </w:pPr>
            <w:r w:rsidRPr="006E19C7">
              <w:t>7.0%</w:t>
            </w:r>
          </w:p>
        </w:tc>
        <w:tc>
          <w:tcPr>
            <w:tcW w:w="610" w:type="pct"/>
            <w:shd w:val="clear" w:color="auto" w:fill="auto"/>
            <w:noWrap/>
          </w:tcPr>
          <w:p w14:paraId="028C2752" w14:textId="77777777" w:rsidR="006B2325" w:rsidRPr="006E19C7" w:rsidRDefault="006B2325" w:rsidP="00CD1F63">
            <w:pPr>
              <w:jc w:val="center"/>
            </w:pPr>
            <w:r w:rsidRPr="006E19C7">
              <w:t>5.2%</w:t>
            </w:r>
          </w:p>
        </w:tc>
      </w:tr>
      <w:tr w:rsidR="006B2325" w:rsidRPr="006E19C7" w14:paraId="760F83DC" w14:textId="77777777" w:rsidTr="006B2325">
        <w:trPr>
          <w:trHeight w:val="295"/>
          <w:jc w:val="center"/>
        </w:trPr>
        <w:tc>
          <w:tcPr>
            <w:tcW w:w="1267" w:type="pct"/>
            <w:shd w:val="clear" w:color="auto" w:fill="auto"/>
            <w:noWrap/>
          </w:tcPr>
          <w:p w14:paraId="39805689" w14:textId="77777777" w:rsidR="006B2325" w:rsidRPr="006E19C7" w:rsidRDefault="006B2325" w:rsidP="00CD1F63">
            <w:r w:rsidRPr="006E19C7">
              <w:t>No charge</w:t>
            </w:r>
          </w:p>
        </w:tc>
        <w:tc>
          <w:tcPr>
            <w:tcW w:w="630" w:type="pct"/>
            <w:shd w:val="clear" w:color="auto" w:fill="auto"/>
            <w:noWrap/>
          </w:tcPr>
          <w:p w14:paraId="0B84938C" w14:textId="77777777" w:rsidR="006B2325" w:rsidRPr="006E19C7" w:rsidRDefault="006B2325" w:rsidP="00CD1F63">
            <w:pPr>
              <w:jc w:val="center"/>
            </w:pPr>
            <w:r w:rsidRPr="006E19C7">
              <w:t>0.6%</w:t>
            </w:r>
          </w:p>
        </w:tc>
        <w:tc>
          <w:tcPr>
            <w:tcW w:w="623" w:type="pct"/>
            <w:shd w:val="clear" w:color="auto" w:fill="auto"/>
            <w:noWrap/>
          </w:tcPr>
          <w:p w14:paraId="11E771F7" w14:textId="77777777" w:rsidR="006B2325" w:rsidRPr="006E19C7" w:rsidRDefault="006B2325" w:rsidP="00CD1F63">
            <w:pPr>
              <w:jc w:val="center"/>
            </w:pPr>
            <w:r w:rsidRPr="006E19C7">
              <w:t>0.7%</w:t>
            </w:r>
          </w:p>
        </w:tc>
        <w:tc>
          <w:tcPr>
            <w:tcW w:w="624" w:type="pct"/>
            <w:shd w:val="clear" w:color="auto" w:fill="auto"/>
            <w:noWrap/>
          </w:tcPr>
          <w:p w14:paraId="1A2AEEA7" w14:textId="77777777" w:rsidR="006B2325" w:rsidRPr="006E19C7" w:rsidRDefault="006B2325" w:rsidP="00CD1F63">
            <w:pPr>
              <w:jc w:val="center"/>
            </w:pPr>
            <w:r w:rsidRPr="006E19C7">
              <w:t>0.6%</w:t>
            </w:r>
          </w:p>
        </w:tc>
        <w:tc>
          <w:tcPr>
            <w:tcW w:w="623" w:type="pct"/>
            <w:shd w:val="clear" w:color="auto" w:fill="auto"/>
            <w:noWrap/>
          </w:tcPr>
          <w:p w14:paraId="617A455A" w14:textId="77777777" w:rsidR="006B2325" w:rsidRPr="006E19C7" w:rsidRDefault="006B2325" w:rsidP="00CD1F63">
            <w:pPr>
              <w:jc w:val="center"/>
            </w:pPr>
            <w:r w:rsidRPr="006E19C7">
              <w:t>0.5%</w:t>
            </w:r>
          </w:p>
        </w:tc>
        <w:tc>
          <w:tcPr>
            <w:tcW w:w="623" w:type="pct"/>
            <w:shd w:val="clear" w:color="auto" w:fill="auto"/>
            <w:noWrap/>
          </w:tcPr>
          <w:p w14:paraId="288CA03B" w14:textId="77777777" w:rsidR="006B2325" w:rsidRPr="006E19C7" w:rsidRDefault="006B2325" w:rsidP="00CD1F63">
            <w:pPr>
              <w:jc w:val="center"/>
            </w:pPr>
            <w:r w:rsidRPr="006E19C7">
              <w:t>0.6%</w:t>
            </w:r>
          </w:p>
        </w:tc>
        <w:tc>
          <w:tcPr>
            <w:tcW w:w="610" w:type="pct"/>
            <w:shd w:val="clear" w:color="auto" w:fill="auto"/>
            <w:noWrap/>
          </w:tcPr>
          <w:p w14:paraId="3244020D" w14:textId="77777777" w:rsidR="006B2325" w:rsidRPr="006E19C7" w:rsidRDefault="006B2325" w:rsidP="00CD1F63">
            <w:pPr>
              <w:jc w:val="center"/>
            </w:pPr>
            <w:r w:rsidRPr="006E19C7">
              <w:t>0.6%</w:t>
            </w:r>
          </w:p>
        </w:tc>
      </w:tr>
      <w:tr w:rsidR="006B2325" w:rsidRPr="006E19C7" w14:paraId="0A3303C6" w14:textId="77777777" w:rsidTr="006B2325">
        <w:trPr>
          <w:trHeight w:val="295"/>
          <w:jc w:val="center"/>
        </w:trPr>
        <w:tc>
          <w:tcPr>
            <w:tcW w:w="1267" w:type="pct"/>
            <w:shd w:val="clear" w:color="auto" w:fill="auto"/>
            <w:noWrap/>
          </w:tcPr>
          <w:p w14:paraId="4C4298A4" w14:textId="77777777" w:rsidR="006B2325" w:rsidRPr="006E19C7" w:rsidRDefault="006B2325" w:rsidP="00CD1F63">
            <w:r w:rsidRPr="006E19C7">
              <w:t>other</w:t>
            </w:r>
          </w:p>
        </w:tc>
        <w:tc>
          <w:tcPr>
            <w:tcW w:w="630" w:type="pct"/>
            <w:shd w:val="clear" w:color="auto" w:fill="auto"/>
            <w:noWrap/>
          </w:tcPr>
          <w:p w14:paraId="31E6A006" w14:textId="77777777" w:rsidR="006B2325" w:rsidRPr="006E19C7" w:rsidRDefault="006B2325" w:rsidP="00CD1F63">
            <w:pPr>
              <w:jc w:val="center"/>
            </w:pPr>
            <w:r w:rsidRPr="006E19C7">
              <w:t>2.6%</w:t>
            </w:r>
          </w:p>
        </w:tc>
        <w:tc>
          <w:tcPr>
            <w:tcW w:w="623" w:type="pct"/>
            <w:shd w:val="clear" w:color="auto" w:fill="auto"/>
            <w:noWrap/>
          </w:tcPr>
          <w:p w14:paraId="4A13A4C2" w14:textId="77777777" w:rsidR="006B2325" w:rsidRPr="006E19C7" w:rsidRDefault="006B2325" w:rsidP="00CD1F63">
            <w:pPr>
              <w:jc w:val="center"/>
            </w:pPr>
            <w:r w:rsidRPr="006E19C7">
              <w:t>3.0%</w:t>
            </w:r>
          </w:p>
        </w:tc>
        <w:tc>
          <w:tcPr>
            <w:tcW w:w="624" w:type="pct"/>
            <w:shd w:val="clear" w:color="auto" w:fill="auto"/>
            <w:noWrap/>
          </w:tcPr>
          <w:p w14:paraId="37D5B55B" w14:textId="77777777" w:rsidR="006B2325" w:rsidRPr="006E19C7" w:rsidRDefault="006B2325" w:rsidP="00CD1F63">
            <w:pPr>
              <w:jc w:val="center"/>
            </w:pPr>
            <w:r w:rsidRPr="006E19C7">
              <w:t>3.3%</w:t>
            </w:r>
          </w:p>
        </w:tc>
        <w:tc>
          <w:tcPr>
            <w:tcW w:w="623" w:type="pct"/>
            <w:shd w:val="clear" w:color="auto" w:fill="auto"/>
            <w:noWrap/>
          </w:tcPr>
          <w:p w14:paraId="0BCD64C8" w14:textId="77777777" w:rsidR="006B2325" w:rsidRPr="006E19C7" w:rsidRDefault="006B2325" w:rsidP="00CD1F63">
            <w:pPr>
              <w:jc w:val="center"/>
            </w:pPr>
            <w:r w:rsidRPr="006E19C7">
              <w:t>3.0%</w:t>
            </w:r>
          </w:p>
        </w:tc>
        <w:tc>
          <w:tcPr>
            <w:tcW w:w="623" w:type="pct"/>
            <w:shd w:val="clear" w:color="auto" w:fill="auto"/>
            <w:noWrap/>
          </w:tcPr>
          <w:p w14:paraId="5123B62E" w14:textId="77777777" w:rsidR="006B2325" w:rsidRPr="006E19C7" w:rsidRDefault="006B2325" w:rsidP="00CD1F63">
            <w:pPr>
              <w:jc w:val="center"/>
            </w:pPr>
            <w:r w:rsidRPr="006E19C7">
              <w:t>3.2%</w:t>
            </w:r>
          </w:p>
        </w:tc>
        <w:tc>
          <w:tcPr>
            <w:tcW w:w="610" w:type="pct"/>
            <w:shd w:val="clear" w:color="auto" w:fill="auto"/>
            <w:noWrap/>
          </w:tcPr>
          <w:p w14:paraId="3C685934" w14:textId="77777777" w:rsidR="006B2325" w:rsidRPr="006E19C7" w:rsidRDefault="006B2325" w:rsidP="00CD1F63">
            <w:pPr>
              <w:jc w:val="center"/>
            </w:pPr>
            <w:r w:rsidRPr="006E19C7">
              <w:t>2.5%</w:t>
            </w:r>
          </w:p>
        </w:tc>
      </w:tr>
      <w:tr w:rsidR="006B2325" w:rsidRPr="006E19C7" w14:paraId="60E71AC5" w14:textId="77777777" w:rsidTr="006B2325">
        <w:trPr>
          <w:trHeight w:val="295"/>
          <w:jc w:val="center"/>
        </w:trPr>
        <w:tc>
          <w:tcPr>
            <w:tcW w:w="1267" w:type="pct"/>
            <w:shd w:val="clear" w:color="auto" w:fill="auto"/>
            <w:noWrap/>
          </w:tcPr>
          <w:p w14:paraId="62247B46" w14:textId="77777777" w:rsidR="006B2325" w:rsidRPr="006E19C7" w:rsidRDefault="006B2325" w:rsidP="00CD1F63">
            <w:r w:rsidRPr="006E19C7">
              <w:t>Median Household Income (percentile</w:t>
            </w:r>
          </w:p>
        </w:tc>
        <w:tc>
          <w:tcPr>
            <w:tcW w:w="630" w:type="pct"/>
            <w:shd w:val="clear" w:color="auto" w:fill="auto"/>
            <w:noWrap/>
          </w:tcPr>
          <w:p w14:paraId="2C9A1D0C" w14:textId="77777777" w:rsidR="006B2325" w:rsidRPr="006E19C7" w:rsidRDefault="006B2325" w:rsidP="00CD1F63">
            <w:pPr>
              <w:jc w:val="center"/>
            </w:pPr>
          </w:p>
        </w:tc>
        <w:tc>
          <w:tcPr>
            <w:tcW w:w="623" w:type="pct"/>
            <w:shd w:val="clear" w:color="auto" w:fill="auto"/>
            <w:noWrap/>
          </w:tcPr>
          <w:p w14:paraId="0B7D28D1" w14:textId="77777777" w:rsidR="006B2325" w:rsidRPr="006E19C7" w:rsidRDefault="006B2325" w:rsidP="00CD1F63">
            <w:pPr>
              <w:jc w:val="center"/>
            </w:pPr>
          </w:p>
        </w:tc>
        <w:tc>
          <w:tcPr>
            <w:tcW w:w="624" w:type="pct"/>
            <w:shd w:val="clear" w:color="auto" w:fill="auto"/>
            <w:noWrap/>
          </w:tcPr>
          <w:p w14:paraId="44B8F034" w14:textId="77777777" w:rsidR="006B2325" w:rsidRPr="006E19C7" w:rsidRDefault="006B2325" w:rsidP="00CD1F63">
            <w:pPr>
              <w:jc w:val="center"/>
            </w:pPr>
          </w:p>
        </w:tc>
        <w:tc>
          <w:tcPr>
            <w:tcW w:w="623" w:type="pct"/>
            <w:shd w:val="clear" w:color="auto" w:fill="auto"/>
            <w:noWrap/>
          </w:tcPr>
          <w:p w14:paraId="1272E3F1" w14:textId="77777777" w:rsidR="006B2325" w:rsidRPr="006E19C7" w:rsidRDefault="006B2325" w:rsidP="00CD1F63">
            <w:pPr>
              <w:jc w:val="center"/>
            </w:pPr>
          </w:p>
        </w:tc>
        <w:tc>
          <w:tcPr>
            <w:tcW w:w="623" w:type="pct"/>
            <w:shd w:val="clear" w:color="auto" w:fill="auto"/>
            <w:noWrap/>
          </w:tcPr>
          <w:p w14:paraId="6780D05B" w14:textId="77777777" w:rsidR="006B2325" w:rsidRPr="006E19C7" w:rsidRDefault="006B2325" w:rsidP="00CD1F63">
            <w:pPr>
              <w:jc w:val="center"/>
            </w:pPr>
          </w:p>
        </w:tc>
        <w:tc>
          <w:tcPr>
            <w:tcW w:w="610" w:type="pct"/>
            <w:shd w:val="clear" w:color="auto" w:fill="auto"/>
            <w:noWrap/>
          </w:tcPr>
          <w:p w14:paraId="74B50E00" w14:textId="77777777" w:rsidR="006B2325" w:rsidRPr="006E19C7" w:rsidRDefault="006B2325" w:rsidP="00CD1F63">
            <w:pPr>
              <w:jc w:val="center"/>
            </w:pPr>
          </w:p>
        </w:tc>
      </w:tr>
      <w:tr w:rsidR="006B2325" w:rsidRPr="006E19C7" w14:paraId="691E3407" w14:textId="77777777" w:rsidTr="006B2325">
        <w:trPr>
          <w:trHeight w:val="295"/>
          <w:jc w:val="center"/>
        </w:trPr>
        <w:tc>
          <w:tcPr>
            <w:tcW w:w="1267" w:type="pct"/>
            <w:shd w:val="clear" w:color="auto" w:fill="auto"/>
            <w:noWrap/>
          </w:tcPr>
          <w:p w14:paraId="1CFAF2AD" w14:textId="77777777" w:rsidR="006B2325" w:rsidRPr="006E19C7" w:rsidRDefault="006B2325" w:rsidP="00CD1F63">
            <w:r w:rsidRPr="006E19C7">
              <w:t>0-25</w:t>
            </w:r>
            <w:r w:rsidRPr="006E19C7">
              <w:rPr>
                <w:vertAlign w:val="superscript"/>
              </w:rPr>
              <w:t>th</w:t>
            </w:r>
          </w:p>
        </w:tc>
        <w:tc>
          <w:tcPr>
            <w:tcW w:w="630" w:type="pct"/>
            <w:shd w:val="clear" w:color="auto" w:fill="auto"/>
            <w:noWrap/>
          </w:tcPr>
          <w:p w14:paraId="623C9B08" w14:textId="77777777" w:rsidR="006B2325" w:rsidRPr="006E19C7" w:rsidRDefault="006B2325" w:rsidP="00CD1F63">
            <w:pPr>
              <w:jc w:val="center"/>
            </w:pPr>
            <w:r w:rsidRPr="006E19C7">
              <w:t>26.4%</w:t>
            </w:r>
          </w:p>
        </w:tc>
        <w:tc>
          <w:tcPr>
            <w:tcW w:w="623" w:type="pct"/>
            <w:shd w:val="clear" w:color="auto" w:fill="auto"/>
            <w:noWrap/>
          </w:tcPr>
          <w:p w14:paraId="0BBFACAA" w14:textId="77777777" w:rsidR="006B2325" w:rsidRPr="006E19C7" w:rsidRDefault="006B2325" w:rsidP="00CD1F63">
            <w:pPr>
              <w:jc w:val="center"/>
            </w:pPr>
            <w:r w:rsidRPr="006E19C7">
              <w:t>26.4%</w:t>
            </w:r>
          </w:p>
        </w:tc>
        <w:tc>
          <w:tcPr>
            <w:tcW w:w="624" w:type="pct"/>
            <w:shd w:val="clear" w:color="auto" w:fill="auto"/>
            <w:noWrap/>
          </w:tcPr>
          <w:p w14:paraId="31643CBF" w14:textId="77777777" w:rsidR="006B2325" w:rsidRPr="006E19C7" w:rsidRDefault="006B2325" w:rsidP="00CD1F63">
            <w:pPr>
              <w:jc w:val="center"/>
            </w:pPr>
            <w:r w:rsidRPr="006E19C7">
              <w:t>28.3%</w:t>
            </w:r>
          </w:p>
        </w:tc>
        <w:tc>
          <w:tcPr>
            <w:tcW w:w="623" w:type="pct"/>
            <w:shd w:val="clear" w:color="auto" w:fill="auto"/>
            <w:noWrap/>
          </w:tcPr>
          <w:p w14:paraId="2C525CCC" w14:textId="77777777" w:rsidR="006B2325" w:rsidRPr="006E19C7" w:rsidRDefault="006B2325" w:rsidP="00CD1F63">
            <w:pPr>
              <w:jc w:val="center"/>
            </w:pPr>
            <w:r w:rsidRPr="006E19C7">
              <w:t>31.1%</w:t>
            </w:r>
          </w:p>
        </w:tc>
        <w:tc>
          <w:tcPr>
            <w:tcW w:w="623" w:type="pct"/>
            <w:shd w:val="clear" w:color="auto" w:fill="auto"/>
            <w:noWrap/>
          </w:tcPr>
          <w:p w14:paraId="279AF78B" w14:textId="77777777" w:rsidR="006B2325" w:rsidRPr="006E19C7" w:rsidRDefault="006B2325" w:rsidP="00CD1F63">
            <w:pPr>
              <w:jc w:val="center"/>
            </w:pPr>
            <w:r w:rsidRPr="006E19C7">
              <w:t>32.1%</w:t>
            </w:r>
          </w:p>
        </w:tc>
        <w:tc>
          <w:tcPr>
            <w:tcW w:w="610" w:type="pct"/>
            <w:shd w:val="clear" w:color="auto" w:fill="auto"/>
            <w:noWrap/>
          </w:tcPr>
          <w:p w14:paraId="3ACD17FE" w14:textId="77777777" w:rsidR="006B2325" w:rsidRPr="006E19C7" w:rsidRDefault="006B2325" w:rsidP="00CD1F63">
            <w:pPr>
              <w:jc w:val="center"/>
            </w:pPr>
            <w:r w:rsidRPr="006E19C7">
              <w:t>30.3%</w:t>
            </w:r>
          </w:p>
        </w:tc>
      </w:tr>
      <w:tr w:rsidR="006B2325" w:rsidRPr="006E19C7" w14:paraId="5FEE4961" w14:textId="77777777" w:rsidTr="006B2325">
        <w:trPr>
          <w:trHeight w:val="295"/>
          <w:jc w:val="center"/>
        </w:trPr>
        <w:tc>
          <w:tcPr>
            <w:tcW w:w="1267" w:type="pct"/>
            <w:shd w:val="clear" w:color="auto" w:fill="auto"/>
            <w:noWrap/>
          </w:tcPr>
          <w:p w14:paraId="46BED8B1" w14:textId="77777777" w:rsidR="006B2325" w:rsidRPr="006E19C7" w:rsidRDefault="006B2325" w:rsidP="00CD1F63">
            <w:r w:rsidRPr="006E19C7">
              <w:t>26-50</w:t>
            </w:r>
            <w:r w:rsidRPr="006E19C7">
              <w:rPr>
                <w:vertAlign w:val="superscript"/>
              </w:rPr>
              <w:t>th</w:t>
            </w:r>
          </w:p>
        </w:tc>
        <w:tc>
          <w:tcPr>
            <w:tcW w:w="630" w:type="pct"/>
            <w:shd w:val="clear" w:color="auto" w:fill="auto"/>
            <w:noWrap/>
          </w:tcPr>
          <w:p w14:paraId="228BEA93" w14:textId="77777777" w:rsidR="006B2325" w:rsidRPr="006E19C7" w:rsidRDefault="006B2325" w:rsidP="00CD1F63">
            <w:pPr>
              <w:jc w:val="center"/>
            </w:pPr>
            <w:r w:rsidRPr="006E19C7">
              <w:t>28.1%</w:t>
            </w:r>
          </w:p>
        </w:tc>
        <w:tc>
          <w:tcPr>
            <w:tcW w:w="623" w:type="pct"/>
            <w:shd w:val="clear" w:color="auto" w:fill="auto"/>
            <w:noWrap/>
          </w:tcPr>
          <w:p w14:paraId="22B9963F" w14:textId="77777777" w:rsidR="006B2325" w:rsidRPr="006E19C7" w:rsidRDefault="006B2325" w:rsidP="00CD1F63">
            <w:pPr>
              <w:jc w:val="center"/>
            </w:pPr>
            <w:r w:rsidRPr="006E19C7">
              <w:t>26.6%</w:t>
            </w:r>
          </w:p>
        </w:tc>
        <w:tc>
          <w:tcPr>
            <w:tcW w:w="624" w:type="pct"/>
            <w:shd w:val="clear" w:color="auto" w:fill="auto"/>
            <w:noWrap/>
          </w:tcPr>
          <w:p w14:paraId="6D8814BB" w14:textId="77777777" w:rsidR="006B2325" w:rsidRPr="006E19C7" w:rsidRDefault="006B2325" w:rsidP="00CD1F63">
            <w:pPr>
              <w:jc w:val="center"/>
            </w:pPr>
            <w:r w:rsidRPr="006E19C7">
              <w:t>29.4%</w:t>
            </w:r>
          </w:p>
        </w:tc>
        <w:tc>
          <w:tcPr>
            <w:tcW w:w="623" w:type="pct"/>
            <w:shd w:val="clear" w:color="auto" w:fill="auto"/>
            <w:noWrap/>
          </w:tcPr>
          <w:p w14:paraId="6F095A08" w14:textId="77777777" w:rsidR="006B2325" w:rsidRPr="006E19C7" w:rsidRDefault="006B2325" w:rsidP="00CD1F63">
            <w:pPr>
              <w:jc w:val="center"/>
            </w:pPr>
            <w:r w:rsidRPr="006E19C7">
              <w:t>28.0%</w:t>
            </w:r>
          </w:p>
        </w:tc>
        <w:tc>
          <w:tcPr>
            <w:tcW w:w="623" w:type="pct"/>
            <w:shd w:val="clear" w:color="auto" w:fill="auto"/>
            <w:noWrap/>
          </w:tcPr>
          <w:p w14:paraId="46D19221" w14:textId="77777777" w:rsidR="006B2325" w:rsidRPr="006E19C7" w:rsidRDefault="006B2325" w:rsidP="00CD1F63">
            <w:pPr>
              <w:jc w:val="center"/>
            </w:pPr>
            <w:r w:rsidRPr="006E19C7">
              <w:t>26.5%</w:t>
            </w:r>
          </w:p>
        </w:tc>
        <w:tc>
          <w:tcPr>
            <w:tcW w:w="610" w:type="pct"/>
            <w:shd w:val="clear" w:color="auto" w:fill="auto"/>
            <w:noWrap/>
          </w:tcPr>
          <w:p w14:paraId="54912967" w14:textId="77777777" w:rsidR="006B2325" w:rsidRPr="006E19C7" w:rsidRDefault="006B2325" w:rsidP="00CD1F63">
            <w:pPr>
              <w:jc w:val="center"/>
            </w:pPr>
            <w:r w:rsidRPr="006E19C7">
              <w:t>29.5%</w:t>
            </w:r>
          </w:p>
        </w:tc>
      </w:tr>
      <w:tr w:rsidR="006B2325" w:rsidRPr="006E19C7" w14:paraId="570CBD04" w14:textId="77777777" w:rsidTr="006B2325">
        <w:trPr>
          <w:trHeight w:val="295"/>
          <w:jc w:val="center"/>
        </w:trPr>
        <w:tc>
          <w:tcPr>
            <w:tcW w:w="1267" w:type="pct"/>
            <w:shd w:val="clear" w:color="auto" w:fill="auto"/>
            <w:noWrap/>
          </w:tcPr>
          <w:p w14:paraId="5381FCD5" w14:textId="77777777" w:rsidR="006B2325" w:rsidRPr="006E19C7" w:rsidRDefault="006B2325" w:rsidP="00CD1F63">
            <w:r w:rsidRPr="006E19C7">
              <w:t>51-75</w:t>
            </w:r>
            <w:r w:rsidRPr="006E19C7">
              <w:rPr>
                <w:vertAlign w:val="superscript"/>
              </w:rPr>
              <w:t>th</w:t>
            </w:r>
          </w:p>
        </w:tc>
        <w:tc>
          <w:tcPr>
            <w:tcW w:w="630" w:type="pct"/>
            <w:shd w:val="clear" w:color="auto" w:fill="auto"/>
            <w:noWrap/>
          </w:tcPr>
          <w:p w14:paraId="3CCD551D" w14:textId="77777777" w:rsidR="006B2325" w:rsidRPr="006E19C7" w:rsidRDefault="006B2325" w:rsidP="00CD1F63">
            <w:pPr>
              <w:jc w:val="center"/>
            </w:pPr>
            <w:r w:rsidRPr="006E19C7">
              <w:t>23.3%</w:t>
            </w:r>
          </w:p>
        </w:tc>
        <w:tc>
          <w:tcPr>
            <w:tcW w:w="623" w:type="pct"/>
            <w:shd w:val="clear" w:color="auto" w:fill="auto"/>
            <w:noWrap/>
          </w:tcPr>
          <w:p w14:paraId="3F152C28" w14:textId="77777777" w:rsidR="006B2325" w:rsidRPr="006E19C7" w:rsidRDefault="006B2325" w:rsidP="00CD1F63">
            <w:pPr>
              <w:jc w:val="center"/>
            </w:pPr>
            <w:r w:rsidRPr="006E19C7">
              <w:t>25.1%</w:t>
            </w:r>
          </w:p>
        </w:tc>
        <w:tc>
          <w:tcPr>
            <w:tcW w:w="624" w:type="pct"/>
            <w:shd w:val="clear" w:color="auto" w:fill="auto"/>
            <w:noWrap/>
          </w:tcPr>
          <w:p w14:paraId="3B4CE49B" w14:textId="77777777" w:rsidR="006B2325" w:rsidRPr="006E19C7" w:rsidRDefault="006B2325" w:rsidP="00CD1F63">
            <w:pPr>
              <w:jc w:val="center"/>
            </w:pPr>
            <w:r w:rsidRPr="006E19C7">
              <w:t>22.9%</w:t>
            </w:r>
          </w:p>
        </w:tc>
        <w:tc>
          <w:tcPr>
            <w:tcW w:w="623" w:type="pct"/>
            <w:shd w:val="clear" w:color="auto" w:fill="auto"/>
            <w:noWrap/>
          </w:tcPr>
          <w:p w14:paraId="402C7EBF" w14:textId="77777777" w:rsidR="006B2325" w:rsidRPr="006E19C7" w:rsidRDefault="006B2325" w:rsidP="00CD1F63">
            <w:pPr>
              <w:jc w:val="center"/>
            </w:pPr>
            <w:r w:rsidRPr="006E19C7">
              <w:t>23.2%</w:t>
            </w:r>
          </w:p>
        </w:tc>
        <w:tc>
          <w:tcPr>
            <w:tcW w:w="623" w:type="pct"/>
            <w:shd w:val="clear" w:color="auto" w:fill="auto"/>
            <w:noWrap/>
          </w:tcPr>
          <w:p w14:paraId="5F08C621" w14:textId="77777777" w:rsidR="006B2325" w:rsidRPr="006E19C7" w:rsidRDefault="006B2325" w:rsidP="00CD1F63">
            <w:pPr>
              <w:jc w:val="center"/>
            </w:pPr>
            <w:r w:rsidRPr="006E19C7">
              <w:t>22.8%</w:t>
            </w:r>
          </w:p>
        </w:tc>
        <w:tc>
          <w:tcPr>
            <w:tcW w:w="610" w:type="pct"/>
            <w:shd w:val="clear" w:color="auto" w:fill="auto"/>
            <w:noWrap/>
          </w:tcPr>
          <w:p w14:paraId="689FD71F" w14:textId="77777777" w:rsidR="006B2325" w:rsidRPr="006E19C7" w:rsidRDefault="006B2325" w:rsidP="00CD1F63">
            <w:pPr>
              <w:jc w:val="center"/>
            </w:pPr>
            <w:r w:rsidRPr="006E19C7">
              <w:t>22.5%</w:t>
            </w:r>
          </w:p>
        </w:tc>
      </w:tr>
      <w:tr w:rsidR="006B2325" w:rsidRPr="006E19C7" w14:paraId="67E86EFD" w14:textId="77777777" w:rsidTr="006B2325">
        <w:trPr>
          <w:trHeight w:val="295"/>
          <w:jc w:val="center"/>
        </w:trPr>
        <w:tc>
          <w:tcPr>
            <w:tcW w:w="1267" w:type="pct"/>
            <w:shd w:val="clear" w:color="auto" w:fill="auto"/>
            <w:noWrap/>
          </w:tcPr>
          <w:p w14:paraId="1EBC2CDB" w14:textId="77777777" w:rsidR="006B2325" w:rsidRPr="006E19C7" w:rsidRDefault="006B2325" w:rsidP="00CD1F63">
            <w:r w:rsidRPr="006E19C7">
              <w:t>76-100</w:t>
            </w:r>
            <w:r w:rsidRPr="006E19C7">
              <w:rPr>
                <w:vertAlign w:val="superscript"/>
              </w:rPr>
              <w:t>th</w:t>
            </w:r>
          </w:p>
        </w:tc>
        <w:tc>
          <w:tcPr>
            <w:tcW w:w="630" w:type="pct"/>
            <w:shd w:val="clear" w:color="auto" w:fill="auto"/>
            <w:noWrap/>
          </w:tcPr>
          <w:p w14:paraId="34117E57" w14:textId="77777777" w:rsidR="006B2325" w:rsidRPr="006E19C7" w:rsidRDefault="006B2325" w:rsidP="00CD1F63">
            <w:pPr>
              <w:jc w:val="center"/>
            </w:pPr>
            <w:r w:rsidRPr="006E19C7">
              <w:t>22.2%</w:t>
            </w:r>
          </w:p>
        </w:tc>
        <w:tc>
          <w:tcPr>
            <w:tcW w:w="623" w:type="pct"/>
            <w:shd w:val="clear" w:color="auto" w:fill="auto"/>
            <w:noWrap/>
          </w:tcPr>
          <w:p w14:paraId="14A69DE1" w14:textId="77777777" w:rsidR="006B2325" w:rsidRPr="006E19C7" w:rsidRDefault="006B2325" w:rsidP="00CD1F63">
            <w:pPr>
              <w:jc w:val="center"/>
            </w:pPr>
            <w:r w:rsidRPr="006E19C7">
              <w:t>21.9%</w:t>
            </w:r>
          </w:p>
        </w:tc>
        <w:tc>
          <w:tcPr>
            <w:tcW w:w="624" w:type="pct"/>
            <w:shd w:val="clear" w:color="auto" w:fill="auto"/>
            <w:noWrap/>
          </w:tcPr>
          <w:p w14:paraId="3C8AFCC3" w14:textId="77777777" w:rsidR="006B2325" w:rsidRPr="006E19C7" w:rsidRDefault="006B2325" w:rsidP="00CD1F63">
            <w:pPr>
              <w:jc w:val="center"/>
            </w:pPr>
            <w:r w:rsidRPr="006E19C7">
              <w:t>19.3%</w:t>
            </w:r>
          </w:p>
        </w:tc>
        <w:tc>
          <w:tcPr>
            <w:tcW w:w="623" w:type="pct"/>
            <w:shd w:val="clear" w:color="auto" w:fill="auto"/>
            <w:noWrap/>
          </w:tcPr>
          <w:p w14:paraId="6121EC90" w14:textId="77777777" w:rsidR="006B2325" w:rsidRPr="006E19C7" w:rsidRDefault="006B2325" w:rsidP="00CD1F63">
            <w:pPr>
              <w:jc w:val="center"/>
            </w:pPr>
            <w:r w:rsidRPr="006E19C7">
              <w:t>17.7%</w:t>
            </w:r>
          </w:p>
        </w:tc>
        <w:tc>
          <w:tcPr>
            <w:tcW w:w="623" w:type="pct"/>
            <w:shd w:val="clear" w:color="auto" w:fill="auto"/>
            <w:noWrap/>
          </w:tcPr>
          <w:p w14:paraId="77FD325C" w14:textId="77777777" w:rsidR="006B2325" w:rsidRPr="006E19C7" w:rsidRDefault="006B2325" w:rsidP="00CD1F63">
            <w:pPr>
              <w:jc w:val="center"/>
            </w:pPr>
            <w:r w:rsidRPr="006E19C7">
              <w:t>18.6%</w:t>
            </w:r>
          </w:p>
        </w:tc>
        <w:tc>
          <w:tcPr>
            <w:tcW w:w="610" w:type="pct"/>
            <w:shd w:val="clear" w:color="auto" w:fill="auto"/>
            <w:noWrap/>
          </w:tcPr>
          <w:p w14:paraId="5E6F1E40" w14:textId="77777777" w:rsidR="006B2325" w:rsidRPr="006E19C7" w:rsidRDefault="006B2325" w:rsidP="00CD1F63">
            <w:pPr>
              <w:jc w:val="center"/>
            </w:pPr>
            <w:r w:rsidRPr="006E19C7">
              <w:t>17.7%</w:t>
            </w:r>
          </w:p>
        </w:tc>
      </w:tr>
      <w:tr w:rsidR="006B2325" w:rsidRPr="006E19C7" w14:paraId="31255075" w14:textId="77777777" w:rsidTr="006B2325">
        <w:trPr>
          <w:trHeight w:val="295"/>
          <w:jc w:val="center"/>
        </w:trPr>
        <w:tc>
          <w:tcPr>
            <w:tcW w:w="1267" w:type="pct"/>
            <w:shd w:val="clear" w:color="auto" w:fill="auto"/>
            <w:noWrap/>
          </w:tcPr>
          <w:p w14:paraId="5AF6D5C5" w14:textId="77777777" w:rsidR="006B2325" w:rsidRPr="006E19C7" w:rsidRDefault="006B2325" w:rsidP="00CD1F63">
            <w:r w:rsidRPr="006E19C7">
              <w:t>Comorbidities, %</w:t>
            </w:r>
          </w:p>
        </w:tc>
        <w:tc>
          <w:tcPr>
            <w:tcW w:w="630" w:type="pct"/>
            <w:shd w:val="clear" w:color="auto" w:fill="auto"/>
            <w:noWrap/>
          </w:tcPr>
          <w:p w14:paraId="4A73DC0E" w14:textId="77777777" w:rsidR="006B2325" w:rsidRPr="006E19C7" w:rsidRDefault="006B2325" w:rsidP="00CD1F63">
            <w:pPr>
              <w:jc w:val="center"/>
            </w:pPr>
          </w:p>
        </w:tc>
        <w:tc>
          <w:tcPr>
            <w:tcW w:w="623" w:type="pct"/>
            <w:shd w:val="clear" w:color="auto" w:fill="auto"/>
            <w:noWrap/>
          </w:tcPr>
          <w:p w14:paraId="48DA082F" w14:textId="77777777" w:rsidR="006B2325" w:rsidRPr="006E19C7" w:rsidRDefault="006B2325" w:rsidP="00CD1F63">
            <w:pPr>
              <w:jc w:val="center"/>
            </w:pPr>
          </w:p>
        </w:tc>
        <w:tc>
          <w:tcPr>
            <w:tcW w:w="624" w:type="pct"/>
            <w:shd w:val="clear" w:color="auto" w:fill="auto"/>
            <w:noWrap/>
          </w:tcPr>
          <w:p w14:paraId="0A14AAC4" w14:textId="77777777" w:rsidR="006B2325" w:rsidRPr="006E19C7" w:rsidRDefault="006B2325" w:rsidP="00CD1F63">
            <w:pPr>
              <w:jc w:val="center"/>
            </w:pPr>
          </w:p>
        </w:tc>
        <w:tc>
          <w:tcPr>
            <w:tcW w:w="623" w:type="pct"/>
            <w:shd w:val="clear" w:color="auto" w:fill="auto"/>
            <w:noWrap/>
          </w:tcPr>
          <w:p w14:paraId="3C664B66" w14:textId="77777777" w:rsidR="006B2325" w:rsidRPr="006E19C7" w:rsidRDefault="006B2325" w:rsidP="00CD1F63">
            <w:pPr>
              <w:jc w:val="center"/>
            </w:pPr>
          </w:p>
        </w:tc>
        <w:tc>
          <w:tcPr>
            <w:tcW w:w="623" w:type="pct"/>
            <w:shd w:val="clear" w:color="auto" w:fill="auto"/>
            <w:noWrap/>
          </w:tcPr>
          <w:p w14:paraId="053DC13C" w14:textId="77777777" w:rsidR="006B2325" w:rsidRPr="006E19C7" w:rsidRDefault="006B2325" w:rsidP="00CD1F63">
            <w:pPr>
              <w:jc w:val="center"/>
            </w:pPr>
          </w:p>
        </w:tc>
        <w:tc>
          <w:tcPr>
            <w:tcW w:w="610" w:type="pct"/>
            <w:shd w:val="clear" w:color="auto" w:fill="auto"/>
            <w:noWrap/>
          </w:tcPr>
          <w:p w14:paraId="5C8338C2" w14:textId="77777777" w:rsidR="006B2325" w:rsidRPr="006E19C7" w:rsidRDefault="006B2325" w:rsidP="00CD1F63">
            <w:pPr>
              <w:jc w:val="center"/>
            </w:pPr>
          </w:p>
        </w:tc>
      </w:tr>
      <w:tr w:rsidR="006B2325" w:rsidRPr="006E19C7" w14:paraId="7958E6D0" w14:textId="77777777" w:rsidTr="006B2325">
        <w:trPr>
          <w:trHeight w:val="295"/>
          <w:jc w:val="center"/>
        </w:trPr>
        <w:tc>
          <w:tcPr>
            <w:tcW w:w="1267" w:type="pct"/>
            <w:shd w:val="clear" w:color="auto" w:fill="auto"/>
            <w:noWrap/>
          </w:tcPr>
          <w:p w14:paraId="7F8C5425" w14:textId="77777777" w:rsidR="006B2325" w:rsidRPr="006E19C7" w:rsidRDefault="006B2325" w:rsidP="00CD1F63">
            <w:r w:rsidRPr="006E19C7">
              <w:t>Dyslipidaemia</w:t>
            </w:r>
          </w:p>
        </w:tc>
        <w:tc>
          <w:tcPr>
            <w:tcW w:w="630" w:type="pct"/>
            <w:shd w:val="clear" w:color="auto" w:fill="auto"/>
            <w:noWrap/>
          </w:tcPr>
          <w:p w14:paraId="4584FFC2" w14:textId="77777777" w:rsidR="006B2325" w:rsidRPr="006E19C7" w:rsidRDefault="006B2325" w:rsidP="00CD1F63">
            <w:pPr>
              <w:jc w:val="center"/>
            </w:pPr>
            <w:r w:rsidRPr="006E19C7">
              <w:t>46.7%</w:t>
            </w:r>
          </w:p>
        </w:tc>
        <w:tc>
          <w:tcPr>
            <w:tcW w:w="623" w:type="pct"/>
            <w:shd w:val="clear" w:color="auto" w:fill="auto"/>
            <w:noWrap/>
          </w:tcPr>
          <w:p w14:paraId="3AA8D57A" w14:textId="77777777" w:rsidR="006B2325" w:rsidRPr="006E19C7" w:rsidRDefault="006B2325" w:rsidP="00CD1F63">
            <w:pPr>
              <w:jc w:val="center"/>
            </w:pPr>
            <w:r w:rsidRPr="006E19C7">
              <w:t>50.4%</w:t>
            </w:r>
          </w:p>
        </w:tc>
        <w:tc>
          <w:tcPr>
            <w:tcW w:w="624" w:type="pct"/>
            <w:shd w:val="clear" w:color="auto" w:fill="auto"/>
            <w:noWrap/>
          </w:tcPr>
          <w:p w14:paraId="307B6D62" w14:textId="77777777" w:rsidR="006B2325" w:rsidRPr="006E19C7" w:rsidRDefault="006B2325" w:rsidP="00CD1F63">
            <w:pPr>
              <w:jc w:val="center"/>
            </w:pPr>
            <w:r w:rsidRPr="006E19C7">
              <w:t>54.3%</w:t>
            </w:r>
          </w:p>
        </w:tc>
        <w:tc>
          <w:tcPr>
            <w:tcW w:w="623" w:type="pct"/>
            <w:shd w:val="clear" w:color="auto" w:fill="auto"/>
            <w:noWrap/>
          </w:tcPr>
          <w:p w14:paraId="0A77C186" w14:textId="77777777" w:rsidR="006B2325" w:rsidRPr="006E19C7" w:rsidRDefault="006B2325" w:rsidP="00CD1F63">
            <w:pPr>
              <w:jc w:val="center"/>
            </w:pPr>
            <w:r w:rsidRPr="006E19C7">
              <w:t>58.7%</w:t>
            </w:r>
          </w:p>
        </w:tc>
        <w:tc>
          <w:tcPr>
            <w:tcW w:w="623" w:type="pct"/>
            <w:shd w:val="clear" w:color="auto" w:fill="auto"/>
            <w:noWrap/>
          </w:tcPr>
          <w:p w14:paraId="756B32F9" w14:textId="77777777" w:rsidR="006B2325" w:rsidRPr="006E19C7" w:rsidRDefault="006B2325" w:rsidP="00CD1F63">
            <w:pPr>
              <w:jc w:val="center"/>
            </w:pPr>
            <w:r w:rsidRPr="006E19C7">
              <w:t>61.5%</w:t>
            </w:r>
          </w:p>
        </w:tc>
        <w:tc>
          <w:tcPr>
            <w:tcW w:w="610" w:type="pct"/>
            <w:shd w:val="clear" w:color="auto" w:fill="auto"/>
            <w:noWrap/>
          </w:tcPr>
          <w:p w14:paraId="185E6BC3" w14:textId="77777777" w:rsidR="006B2325" w:rsidRPr="006E19C7" w:rsidRDefault="006B2325" w:rsidP="00CD1F63">
            <w:pPr>
              <w:jc w:val="center"/>
            </w:pPr>
            <w:r w:rsidRPr="006E19C7">
              <w:t>61.8%</w:t>
            </w:r>
          </w:p>
        </w:tc>
      </w:tr>
      <w:tr w:rsidR="006B2325" w:rsidRPr="006E19C7" w14:paraId="16DB6219" w14:textId="77777777" w:rsidTr="006B2325">
        <w:trPr>
          <w:trHeight w:val="295"/>
          <w:jc w:val="center"/>
        </w:trPr>
        <w:tc>
          <w:tcPr>
            <w:tcW w:w="1267" w:type="pct"/>
            <w:shd w:val="clear" w:color="auto" w:fill="auto"/>
            <w:noWrap/>
          </w:tcPr>
          <w:p w14:paraId="629BA4A2" w14:textId="77777777" w:rsidR="006B2325" w:rsidRPr="006E19C7" w:rsidRDefault="006B2325" w:rsidP="00CD1F63">
            <w:r w:rsidRPr="006E19C7">
              <w:t>Smoking</w:t>
            </w:r>
          </w:p>
        </w:tc>
        <w:tc>
          <w:tcPr>
            <w:tcW w:w="630" w:type="pct"/>
            <w:shd w:val="clear" w:color="auto" w:fill="auto"/>
            <w:noWrap/>
          </w:tcPr>
          <w:p w14:paraId="0807CA6C" w14:textId="77777777" w:rsidR="006B2325" w:rsidRPr="006E19C7" w:rsidRDefault="006B2325" w:rsidP="00CD1F63">
            <w:pPr>
              <w:jc w:val="center"/>
            </w:pPr>
            <w:r w:rsidRPr="006E19C7">
              <w:t>27.8%</w:t>
            </w:r>
          </w:p>
        </w:tc>
        <w:tc>
          <w:tcPr>
            <w:tcW w:w="623" w:type="pct"/>
            <w:shd w:val="clear" w:color="auto" w:fill="auto"/>
            <w:noWrap/>
          </w:tcPr>
          <w:p w14:paraId="051B0D25" w14:textId="77777777" w:rsidR="006B2325" w:rsidRPr="006E19C7" w:rsidRDefault="006B2325" w:rsidP="00CD1F63">
            <w:pPr>
              <w:jc w:val="center"/>
            </w:pPr>
            <w:r w:rsidRPr="006E19C7">
              <w:t>32.0%</w:t>
            </w:r>
          </w:p>
        </w:tc>
        <w:tc>
          <w:tcPr>
            <w:tcW w:w="624" w:type="pct"/>
            <w:shd w:val="clear" w:color="auto" w:fill="auto"/>
            <w:noWrap/>
          </w:tcPr>
          <w:p w14:paraId="51260336" w14:textId="77777777" w:rsidR="006B2325" w:rsidRPr="006E19C7" w:rsidRDefault="006B2325" w:rsidP="00CD1F63">
            <w:pPr>
              <w:jc w:val="center"/>
            </w:pPr>
            <w:r w:rsidRPr="006E19C7">
              <w:t>35.1%</w:t>
            </w:r>
          </w:p>
        </w:tc>
        <w:tc>
          <w:tcPr>
            <w:tcW w:w="623" w:type="pct"/>
            <w:shd w:val="clear" w:color="auto" w:fill="auto"/>
            <w:noWrap/>
          </w:tcPr>
          <w:p w14:paraId="10DD0A32" w14:textId="77777777" w:rsidR="006B2325" w:rsidRPr="006E19C7" w:rsidRDefault="006B2325" w:rsidP="00CD1F63">
            <w:pPr>
              <w:jc w:val="center"/>
            </w:pPr>
            <w:r w:rsidRPr="006E19C7">
              <w:t>39.1%</w:t>
            </w:r>
          </w:p>
        </w:tc>
        <w:tc>
          <w:tcPr>
            <w:tcW w:w="623" w:type="pct"/>
            <w:shd w:val="clear" w:color="auto" w:fill="auto"/>
            <w:noWrap/>
          </w:tcPr>
          <w:p w14:paraId="586A6150" w14:textId="77777777" w:rsidR="006B2325" w:rsidRPr="006E19C7" w:rsidRDefault="006B2325" w:rsidP="00CD1F63">
            <w:pPr>
              <w:jc w:val="center"/>
            </w:pPr>
            <w:r w:rsidRPr="006E19C7">
              <w:t>42.7%</w:t>
            </w:r>
          </w:p>
        </w:tc>
        <w:tc>
          <w:tcPr>
            <w:tcW w:w="610" w:type="pct"/>
            <w:shd w:val="clear" w:color="auto" w:fill="auto"/>
            <w:noWrap/>
          </w:tcPr>
          <w:p w14:paraId="78F9811E" w14:textId="77777777" w:rsidR="006B2325" w:rsidRPr="006E19C7" w:rsidRDefault="006B2325" w:rsidP="00CD1F63">
            <w:pPr>
              <w:jc w:val="center"/>
            </w:pPr>
            <w:r w:rsidRPr="006E19C7">
              <w:t>46.7%</w:t>
            </w:r>
          </w:p>
        </w:tc>
      </w:tr>
      <w:tr w:rsidR="006B2325" w:rsidRPr="006E19C7" w14:paraId="78D3E547" w14:textId="77777777" w:rsidTr="006B2325">
        <w:trPr>
          <w:trHeight w:val="295"/>
          <w:jc w:val="center"/>
        </w:trPr>
        <w:tc>
          <w:tcPr>
            <w:tcW w:w="1267" w:type="pct"/>
            <w:shd w:val="clear" w:color="auto" w:fill="auto"/>
            <w:noWrap/>
          </w:tcPr>
          <w:p w14:paraId="794F18D8" w14:textId="77777777" w:rsidR="006B2325" w:rsidRPr="006E19C7" w:rsidRDefault="006B2325" w:rsidP="00CD1F63">
            <w:r w:rsidRPr="006E19C7">
              <w:t>Previous AMI</w:t>
            </w:r>
          </w:p>
        </w:tc>
        <w:tc>
          <w:tcPr>
            <w:tcW w:w="630" w:type="pct"/>
            <w:shd w:val="clear" w:color="auto" w:fill="auto"/>
            <w:noWrap/>
          </w:tcPr>
          <w:p w14:paraId="6A790669" w14:textId="77777777" w:rsidR="006B2325" w:rsidRPr="006E19C7" w:rsidRDefault="006B2325" w:rsidP="00CD1F63">
            <w:pPr>
              <w:jc w:val="center"/>
            </w:pPr>
            <w:r w:rsidRPr="006E19C7">
              <w:t>7.8%</w:t>
            </w:r>
          </w:p>
        </w:tc>
        <w:tc>
          <w:tcPr>
            <w:tcW w:w="623" w:type="pct"/>
            <w:shd w:val="clear" w:color="auto" w:fill="auto"/>
            <w:noWrap/>
          </w:tcPr>
          <w:p w14:paraId="214E5364" w14:textId="77777777" w:rsidR="006B2325" w:rsidRPr="006E19C7" w:rsidRDefault="006B2325" w:rsidP="00CD1F63">
            <w:pPr>
              <w:jc w:val="center"/>
            </w:pPr>
            <w:r w:rsidRPr="006E19C7">
              <w:t>8.1%</w:t>
            </w:r>
          </w:p>
        </w:tc>
        <w:tc>
          <w:tcPr>
            <w:tcW w:w="624" w:type="pct"/>
            <w:shd w:val="clear" w:color="auto" w:fill="auto"/>
            <w:noWrap/>
          </w:tcPr>
          <w:p w14:paraId="79111673" w14:textId="77777777" w:rsidR="006B2325" w:rsidRPr="006E19C7" w:rsidRDefault="006B2325" w:rsidP="00CD1F63">
            <w:pPr>
              <w:jc w:val="center"/>
            </w:pPr>
            <w:r w:rsidRPr="006E19C7">
              <w:t>8.5%</w:t>
            </w:r>
          </w:p>
        </w:tc>
        <w:tc>
          <w:tcPr>
            <w:tcW w:w="623" w:type="pct"/>
            <w:shd w:val="clear" w:color="auto" w:fill="auto"/>
            <w:noWrap/>
          </w:tcPr>
          <w:p w14:paraId="07A3A36B" w14:textId="77777777" w:rsidR="006B2325" w:rsidRPr="006E19C7" w:rsidRDefault="006B2325" w:rsidP="00CD1F63">
            <w:pPr>
              <w:jc w:val="center"/>
            </w:pPr>
            <w:r w:rsidRPr="006E19C7">
              <w:t>9.7%</w:t>
            </w:r>
          </w:p>
        </w:tc>
        <w:tc>
          <w:tcPr>
            <w:tcW w:w="623" w:type="pct"/>
            <w:shd w:val="clear" w:color="auto" w:fill="auto"/>
            <w:noWrap/>
          </w:tcPr>
          <w:p w14:paraId="22C62035" w14:textId="77777777" w:rsidR="006B2325" w:rsidRPr="006E19C7" w:rsidRDefault="006B2325" w:rsidP="00CD1F63">
            <w:pPr>
              <w:jc w:val="center"/>
            </w:pPr>
            <w:r w:rsidRPr="006E19C7">
              <w:t>10.8%</w:t>
            </w:r>
          </w:p>
        </w:tc>
        <w:tc>
          <w:tcPr>
            <w:tcW w:w="610" w:type="pct"/>
            <w:shd w:val="clear" w:color="auto" w:fill="auto"/>
            <w:noWrap/>
          </w:tcPr>
          <w:p w14:paraId="76C4D95E" w14:textId="77777777" w:rsidR="006B2325" w:rsidRPr="006E19C7" w:rsidRDefault="006B2325" w:rsidP="00CD1F63">
            <w:pPr>
              <w:jc w:val="center"/>
            </w:pPr>
            <w:r w:rsidRPr="006E19C7">
              <w:t>11.4%</w:t>
            </w:r>
          </w:p>
        </w:tc>
      </w:tr>
      <w:tr w:rsidR="006B2325" w:rsidRPr="006E19C7" w14:paraId="4649D25B" w14:textId="77777777" w:rsidTr="006B2325">
        <w:trPr>
          <w:trHeight w:val="295"/>
          <w:jc w:val="center"/>
        </w:trPr>
        <w:tc>
          <w:tcPr>
            <w:tcW w:w="1267" w:type="pct"/>
            <w:shd w:val="clear" w:color="auto" w:fill="auto"/>
            <w:noWrap/>
          </w:tcPr>
          <w:p w14:paraId="740FD7FD" w14:textId="77777777" w:rsidR="006B2325" w:rsidRPr="006E19C7" w:rsidRDefault="006B2325" w:rsidP="00CD1F63">
            <w:r w:rsidRPr="006E19C7">
              <w:t>History of IHD</w:t>
            </w:r>
          </w:p>
        </w:tc>
        <w:tc>
          <w:tcPr>
            <w:tcW w:w="630" w:type="pct"/>
            <w:shd w:val="clear" w:color="auto" w:fill="auto"/>
            <w:noWrap/>
          </w:tcPr>
          <w:p w14:paraId="1EDE0736" w14:textId="77777777" w:rsidR="006B2325" w:rsidRPr="006E19C7" w:rsidRDefault="006B2325" w:rsidP="00CD1F63">
            <w:pPr>
              <w:jc w:val="center"/>
            </w:pPr>
            <w:r w:rsidRPr="006E19C7">
              <w:t>80.8%</w:t>
            </w:r>
          </w:p>
        </w:tc>
        <w:tc>
          <w:tcPr>
            <w:tcW w:w="623" w:type="pct"/>
            <w:shd w:val="clear" w:color="auto" w:fill="auto"/>
            <w:noWrap/>
          </w:tcPr>
          <w:p w14:paraId="6D466E73" w14:textId="77777777" w:rsidR="006B2325" w:rsidRPr="006E19C7" w:rsidRDefault="006B2325" w:rsidP="00CD1F63">
            <w:pPr>
              <w:jc w:val="center"/>
            </w:pPr>
            <w:r w:rsidRPr="006E19C7">
              <w:t>80.6%</w:t>
            </w:r>
          </w:p>
        </w:tc>
        <w:tc>
          <w:tcPr>
            <w:tcW w:w="624" w:type="pct"/>
            <w:shd w:val="clear" w:color="auto" w:fill="auto"/>
            <w:noWrap/>
          </w:tcPr>
          <w:p w14:paraId="4EA904FC" w14:textId="77777777" w:rsidR="006B2325" w:rsidRPr="006E19C7" w:rsidRDefault="006B2325" w:rsidP="00CD1F63">
            <w:pPr>
              <w:jc w:val="center"/>
            </w:pPr>
            <w:r w:rsidRPr="006E19C7">
              <w:t>82.0%</w:t>
            </w:r>
          </w:p>
        </w:tc>
        <w:tc>
          <w:tcPr>
            <w:tcW w:w="623" w:type="pct"/>
            <w:shd w:val="clear" w:color="auto" w:fill="auto"/>
            <w:noWrap/>
          </w:tcPr>
          <w:p w14:paraId="04ABC934" w14:textId="77777777" w:rsidR="006B2325" w:rsidRPr="006E19C7" w:rsidRDefault="006B2325" w:rsidP="00CD1F63">
            <w:pPr>
              <w:jc w:val="center"/>
            </w:pPr>
            <w:r w:rsidRPr="006E19C7">
              <w:t>82.3%</w:t>
            </w:r>
          </w:p>
        </w:tc>
        <w:tc>
          <w:tcPr>
            <w:tcW w:w="623" w:type="pct"/>
            <w:shd w:val="clear" w:color="auto" w:fill="auto"/>
            <w:noWrap/>
          </w:tcPr>
          <w:p w14:paraId="71EB1A4B" w14:textId="77777777" w:rsidR="006B2325" w:rsidRPr="006E19C7" w:rsidRDefault="006B2325" w:rsidP="00CD1F63">
            <w:pPr>
              <w:jc w:val="center"/>
            </w:pPr>
            <w:r w:rsidRPr="006E19C7">
              <w:t>82.3%</w:t>
            </w:r>
          </w:p>
        </w:tc>
        <w:tc>
          <w:tcPr>
            <w:tcW w:w="610" w:type="pct"/>
            <w:shd w:val="clear" w:color="auto" w:fill="auto"/>
            <w:noWrap/>
          </w:tcPr>
          <w:p w14:paraId="71543388" w14:textId="77777777" w:rsidR="006B2325" w:rsidRPr="006E19C7" w:rsidRDefault="006B2325" w:rsidP="00CD1F63">
            <w:pPr>
              <w:jc w:val="center"/>
            </w:pPr>
            <w:r w:rsidRPr="006E19C7">
              <w:t>81.0%</w:t>
            </w:r>
          </w:p>
        </w:tc>
      </w:tr>
      <w:tr w:rsidR="006B2325" w:rsidRPr="006E19C7" w14:paraId="23290543" w14:textId="77777777" w:rsidTr="006B2325">
        <w:trPr>
          <w:trHeight w:val="295"/>
          <w:jc w:val="center"/>
        </w:trPr>
        <w:tc>
          <w:tcPr>
            <w:tcW w:w="1267" w:type="pct"/>
            <w:shd w:val="clear" w:color="auto" w:fill="auto"/>
            <w:noWrap/>
          </w:tcPr>
          <w:p w14:paraId="1917C0E8" w14:textId="77777777" w:rsidR="006B2325" w:rsidRPr="006E19C7" w:rsidRDefault="006B2325" w:rsidP="00CD1F63">
            <w:r w:rsidRPr="006E19C7">
              <w:t>Previous PCI</w:t>
            </w:r>
          </w:p>
        </w:tc>
        <w:tc>
          <w:tcPr>
            <w:tcW w:w="630" w:type="pct"/>
            <w:shd w:val="clear" w:color="auto" w:fill="auto"/>
            <w:noWrap/>
          </w:tcPr>
          <w:p w14:paraId="3F504193" w14:textId="77777777" w:rsidR="006B2325" w:rsidRPr="006E19C7" w:rsidRDefault="006B2325" w:rsidP="00CD1F63">
            <w:pPr>
              <w:jc w:val="center"/>
            </w:pPr>
            <w:r w:rsidRPr="006E19C7">
              <w:t>7.3%</w:t>
            </w:r>
          </w:p>
        </w:tc>
        <w:tc>
          <w:tcPr>
            <w:tcW w:w="623" w:type="pct"/>
            <w:shd w:val="clear" w:color="auto" w:fill="auto"/>
            <w:noWrap/>
          </w:tcPr>
          <w:p w14:paraId="16C0BDE0" w14:textId="77777777" w:rsidR="006B2325" w:rsidRPr="006E19C7" w:rsidRDefault="006B2325" w:rsidP="00CD1F63">
            <w:pPr>
              <w:jc w:val="center"/>
            </w:pPr>
            <w:r w:rsidRPr="006E19C7">
              <w:t>8.9%</w:t>
            </w:r>
          </w:p>
        </w:tc>
        <w:tc>
          <w:tcPr>
            <w:tcW w:w="624" w:type="pct"/>
            <w:shd w:val="clear" w:color="auto" w:fill="auto"/>
            <w:noWrap/>
          </w:tcPr>
          <w:p w14:paraId="04CF176C" w14:textId="77777777" w:rsidR="006B2325" w:rsidRPr="006E19C7" w:rsidRDefault="006B2325" w:rsidP="00CD1F63">
            <w:pPr>
              <w:jc w:val="center"/>
            </w:pPr>
            <w:r w:rsidRPr="006E19C7">
              <w:t>10.0%</w:t>
            </w:r>
          </w:p>
        </w:tc>
        <w:tc>
          <w:tcPr>
            <w:tcW w:w="623" w:type="pct"/>
            <w:shd w:val="clear" w:color="auto" w:fill="auto"/>
            <w:noWrap/>
          </w:tcPr>
          <w:p w14:paraId="13642E2B" w14:textId="77777777" w:rsidR="006B2325" w:rsidRPr="006E19C7" w:rsidRDefault="006B2325" w:rsidP="00CD1F63">
            <w:pPr>
              <w:jc w:val="center"/>
            </w:pPr>
            <w:r w:rsidRPr="006E19C7">
              <w:t>12.2%</w:t>
            </w:r>
          </w:p>
        </w:tc>
        <w:tc>
          <w:tcPr>
            <w:tcW w:w="623" w:type="pct"/>
            <w:shd w:val="clear" w:color="auto" w:fill="auto"/>
            <w:noWrap/>
          </w:tcPr>
          <w:p w14:paraId="4D1DBD5A" w14:textId="77777777" w:rsidR="006B2325" w:rsidRPr="006E19C7" w:rsidRDefault="006B2325" w:rsidP="00CD1F63">
            <w:pPr>
              <w:jc w:val="center"/>
            </w:pPr>
            <w:r w:rsidRPr="006E19C7">
              <w:t>13.8%</w:t>
            </w:r>
          </w:p>
        </w:tc>
        <w:tc>
          <w:tcPr>
            <w:tcW w:w="610" w:type="pct"/>
            <w:shd w:val="clear" w:color="auto" w:fill="auto"/>
            <w:noWrap/>
          </w:tcPr>
          <w:p w14:paraId="62BA6106" w14:textId="77777777" w:rsidR="006B2325" w:rsidRPr="006E19C7" w:rsidRDefault="006B2325" w:rsidP="00CD1F63">
            <w:pPr>
              <w:jc w:val="center"/>
            </w:pPr>
            <w:r w:rsidRPr="006E19C7">
              <w:t>15.3%</w:t>
            </w:r>
          </w:p>
        </w:tc>
      </w:tr>
      <w:tr w:rsidR="006B2325" w:rsidRPr="006E19C7" w14:paraId="604784F8" w14:textId="77777777" w:rsidTr="006B2325">
        <w:trPr>
          <w:trHeight w:val="295"/>
          <w:jc w:val="center"/>
        </w:trPr>
        <w:tc>
          <w:tcPr>
            <w:tcW w:w="1267" w:type="pct"/>
            <w:shd w:val="clear" w:color="auto" w:fill="auto"/>
            <w:noWrap/>
          </w:tcPr>
          <w:p w14:paraId="77BBAC42" w14:textId="77777777" w:rsidR="006B2325" w:rsidRPr="006E19C7" w:rsidRDefault="006B2325" w:rsidP="00CD1F63">
            <w:r w:rsidRPr="006E19C7">
              <w:t>Previous CABG</w:t>
            </w:r>
          </w:p>
        </w:tc>
        <w:tc>
          <w:tcPr>
            <w:tcW w:w="630" w:type="pct"/>
            <w:shd w:val="clear" w:color="auto" w:fill="auto"/>
            <w:noWrap/>
          </w:tcPr>
          <w:p w14:paraId="75CC66C5" w14:textId="77777777" w:rsidR="006B2325" w:rsidRPr="006E19C7" w:rsidRDefault="006B2325" w:rsidP="00CD1F63">
            <w:pPr>
              <w:jc w:val="center"/>
            </w:pPr>
            <w:r w:rsidRPr="006E19C7">
              <w:t>5.6%</w:t>
            </w:r>
          </w:p>
        </w:tc>
        <w:tc>
          <w:tcPr>
            <w:tcW w:w="623" w:type="pct"/>
            <w:shd w:val="clear" w:color="auto" w:fill="auto"/>
            <w:noWrap/>
          </w:tcPr>
          <w:p w14:paraId="46D74D51" w14:textId="77777777" w:rsidR="006B2325" w:rsidRPr="006E19C7" w:rsidRDefault="006B2325" w:rsidP="00CD1F63">
            <w:pPr>
              <w:jc w:val="center"/>
            </w:pPr>
            <w:r w:rsidRPr="006E19C7">
              <w:t>5.3%</w:t>
            </w:r>
          </w:p>
        </w:tc>
        <w:tc>
          <w:tcPr>
            <w:tcW w:w="624" w:type="pct"/>
            <w:shd w:val="clear" w:color="auto" w:fill="auto"/>
            <w:noWrap/>
          </w:tcPr>
          <w:p w14:paraId="2C7E18D2" w14:textId="77777777" w:rsidR="006B2325" w:rsidRPr="006E19C7" w:rsidRDefault="006B2325" w:rsidP="00CD1F63">
            <w:pPr>
              <w:jc w:val="center"/>
            </w:pPr>
            <w:r w:rsidRPr="006E19C7">
              <w:t>5.4%</w:t>
            </w:r>
          </w:p>
        </w:tc>
        <w:tc>
          <w:tcPr>
            <w:tcW w:w="623" w:type="pct"/>
            <w:shd w:val="clear" w:color="auto" w:fill="auto"/>
            <w:noWrap/>
          </w:tcPr>
          <w:p w14:paraId="78FCF49A" w14:textId="77777777" w:rsidR="006B2325" w:rsidRPr="006E19C7" w:rsidRDefault="006B2325" w:rsidP="00CD1F63">
            <w:pPr>
              <w:jc w:val="center"/>
            </w:pPr>
            <w:r w:rsidRPr="006E19C7">
              <w:t>5.6%</w:t>
            </w:r>
          </w:p>
        </w:tc>
        <w:tc>
          <w:tcPr>
            <w:tcW w:w="623" w:type="pct"/>
            <w:shd w:val="clear" w:color="auto" w:fill="auto"/>
            <w:noWrap/>
          </w:tcPr>
          <w:p w14:paraId="1CCE5C97" w14:textId="77777777" w:rsidR="006B2325" w:rsidRPr="006E19C7" w:rsidRDefault="006B2325" w:rsidP="00CD1F63">
            <w:pPr>
              <w:jc w:val="center"/>
            </w:pPr>
            <w:r w:rsidRPr="006E19C7">
              <w:t>6.2%</w:t>
            </w:r>
          </w:p>
        </w:tc>
        <w:tc>
          <w:tcPr>
            <w:tcW w:w="610" w:type="pct"/>
            <w:shd w:val="clear" w:color="auto" w:fill="auto"/>
            <w:noWrap/>
          </w:tcPr>
          <w:p w14:paraId="51846C9C" w14:textId="77777777" w:rsidR="006B2325" w:rsidRPr="006E19C7" w:rsidRDefault="006B2325" w:rsidP="00CD1F63">
            <w:pPr>
              <w:jc w:val="center"/>
            </w:pPr>
            <w:r w:rsidRPr="006E19C7">
              <w:t>6.5%</w:t>
            </w:r>
          </w:p>
        </w:tc>
      </w:tr>
      <w:tr w:rsidR="006B2325" w:rsidRPr="006E19C7" w14:paraId="515DA4FA" w14:textId="77777777" w:rsidTr="006B2325">
        <w:trPr>
          <w:trHeight w:val="295"/>
          <w:jc w:val="center"/>
        </w:trPr>
        <w:tc>
          <w:tcPr>
            <w:tcW w:w="1267" w:type="pct"/>
            <w:shd w:val="clear" w:color="auto" w:fill="auto"/>
            <w:noWrap/>
          </w:tcPr>
          <w:p w14:paraId="32C5184E" w14:textId="77777777" w:rsidR="006B2325" w:rsidRPr="006E19C7" w:rsidRDefault="006B2325" w:rsidP="00CD1F63">
            <w:r w:rsidRPr="006E19C7">
              <w:t>Previous CVA</w:t>
            </w:r>
          </w:p>
        </w:tc>
        <w:tc>
          <w:tcPr>
            <w:tcW w:w="630" w:type="pct"/>
            <w:shd w:val="clear" w:color="auto" w:fill="auto"/>
            <w:noWrap/>
          </w:tcPr>
          <w:p w14:paraId="4E4225A0" w14:textId="77777777" w:rsidR="006B2325" w:rsidRPr="006E19C7" w:rsidRDefault="006B2325" w:rsidP="00CD1F63">
            <w:pPr>
              <w:jc w:val="center"/>
            </w:pPr>
            <w:r w:rsidRPr="006E19C7">
              <w:t>No data</w:t>
            </w:r>
          </w:p>
        </w:tc>
        <w:tc>
          <w:tcPr>
            <w:tcW w:w="623" w:type="pct"/>
            <w:shd w:val="clear" w:color="auto" w:fill="auto"/>
            <w:noWrap/>
          </w:tcPr>
          <w:p w14:paraId="547D22DD" w14:textId="77777777" w:rsidR="006B2325" w:rsidRPr="006E19C7" w:rsidRDefault="006B2325" w:rsidP="00CD1F63">
            <w:pPr>
              <w:jc w:val="center"/>
            </w:pPr>
            <w:r w:rsidRPr="006E19C7">
              <w:t>No data</w:t>
            </w:r>
          </w:p>
        </w:tc>
        <w:tc>
          <w:tcPr>
            <w:tcW w:w="624" w:type="pct"/>
            <w:shd w:val="clear" w:color="auto" w:fill="auto"/>
            <w:noWrap/>
          </w:tcPr>
          <w:p w14:paraId="63CBE8D9" w14:textId="77777777" w:rsidR="006B2325" w:rsidRPr="006E19C7" w:rsidRDefault="006B2325" w:rsidP="00CD1F63">
            <w:pPr>
              <w:jc w:val="center"/>
            </w:pPr>
            <w:r w:rsidRPr="006E19C7">
              <w:t>2.8%</w:t>
            </w:r>
          </w:p>
        </w:tc>
        <w:tc>
          <w:tcPr>
            <w:tcW w:w="623" w:type="pct"/>
            <w:shd w:val="clear" w:color="auto" w:fill="auto"/>
            <w:noWrap/>
          </w:tcPr>
          <w:p w14:paraId="358F13CB" w14:textId="77777777" w:rsidR="006B2325" w:rsidRPr="006E19C7" w:rsidRDefault="006B2325" w:rsidP="00CD1F63">
            <w:pPr>
              <w:jc w:val="center"/>
            </w:pPr>
            <w:r w:rsidRPr="006E19C7">
              <w:t>4.2%</w:t>
            </w:r>
          </w:p>
        </w:tc>
        <w:tc>
          <w:tcPr>
            <w:tcW w:w="623" w:type="pct"/>
            <w:shd w:val="clear" w:color="auto" w:fill="auto"/>
            <w:noWrap/>
          </w:tcPr>
          <w:p w14:paraId="3FEF59C1" w14:textId="77777777" w:rsidR="006B2325" w:rsidRPr="006E19C7" w:rsidRDefault="006B2325" w:rsidP="00CD1F63">
            <w:pPr>
              <w:jc w:val="center"/>
            </w:pPr>
            <w:r w:rsidRPr="006E19C7">
              <w:t>4.7%</w:t>
            </w:r>
          </w:p>
        </w:tc>
        <w:tc>
          <w:tcPr>
            <w:tcW w:w="610" w:type="pct"/>
            <w:shd w:val="clear" w:color="auto" w:fill="auto"/>
            <w:noWrap/>
          </w:tcPr>
          <w:p w14:paraId="78EDAEF3" w14:textId="77777777" w:rsidR="006B2325" w:rsidRPr="006E19C7" w:rsidRDefault="006B2325" w:rsidP="00CD1F63">
            <w:pPr>
              <w:jc w:val="center"/>
            </w:pPr>
            <w:r w:rsidRPr="006E19C7">
              <w:t>5.5%</w:t>
            </w:r>
          </w:p>
        </w:tc>
      </w:tr>
      <w:tr w:rsidR="006B2325" w:rsidRPr="006E19C7" w14:paraId="295B469D" w14:textId="77777777" w:rsidTr="006B2325">
        <w:trPr>
          <w:trHeight w:val="295"/>
          <w:jc w:val="center"/>
        </w:trPr>
        <w:tc>
          <w:tcPr>
            <w:tcW w:w="1267" w:type="pct"/>
            <w:shd w:val="clear" w:color="auto" w:fill="auto"/>
            <w:noWrap/>
          </w:tcPr>
          <w:p w14:paraId="108ED8AD" w14:textId="77777777" w:rsidR="006B2325" w:rsidRPr="006E19C7" w:rsidRDefault="006B2325" w:rsidP="00CD1F63">
            <w:r w:rsidRPr="006E19C7">
              <w:t>Family history of CAD</w:t>
            </w:r>
          </w:p>
        </w:tc>
        <w:tc>
          <w:tcPr>
            <w:tcW w:w="630" w:type="pct"/>
            <w:shd w:val="clear" w:color="auto" w:fill="auto"/>
            <w:noWrap/>
          </w:tcPr>
          <w:p w14:paraId="531B0DC2" w14:textId="77777777" w:rsidR="006B2325" w:rsidRPr="006E19C7" w:rsidRDefault="006B2325" w:rsidP="00CD1F63">
            <w:pPr>
              <w:jc w:val="center"/>
            </w:pPr>
            <w:r w:rsidRPr="006E19C7">
              <w:t>5.0%</w:t>
            </w:r>
          </w:p>
        </w:tc>
        <w:tc>
          <w:tcPr>
            <w:tcW w:w="623" w:type="pct"/>
            <w:shd w:val="clear" w:color="auto" w:fill="auto"/>
            <w:noWrap/>
          </w:tcPr>
          <w:p w14:paraId="1F349A76" w14:textId="77777777" w:rsidR="006B2325" w:rsidRPr="006E19C7" w:rsidRDefault="006B2325" w:rsidP="00CD1F63">
            <w:pPr>
              <w:jc w:val="center"/>
            </w:pPr>
            <w:r w:rsidRPr="006E19C7">
              <w:t>5.9%</w:t>
            </w:r>
          </w:p>
        </w:tc>
        <w:tc>
          <w:tcPr>
            <w:tcW w:w="624" w:type="pct"/>
            <w:shd w:val="clear" w:color="auto" w:fill="auto"/>
            <w:noWrap/>
          </w:tcPr>
          <w:p w14:paraId="3585F06F" w14:textId="77777777" w:rsidR="006B2325" w:rsidRPr="006E19C7" w:rsidRDefault="006B2325" w:rsidP="00CD1F63">
            <w:pPr>
              <w:jc w:val="center"/>
            </w:pPr>
            <w:r w:rsidRPr="006E19C7">
              <w:t>6.8%</w:t>
            </w:r>
          </w:p>
        </w:tc>
        <w:tc>
          <w:tcPr>
            <w:tcW w:w="623" w:type="pct"/>
            <w:shd w:val="clear" w:color="auto" w:fill="auto"/>
            <w:noWrap/>
          </w:tcPr>
          <w:p w14:paraId="49ED0293" w14:textId="77777777" w:rsidR="006B2325" w:rsidRPr="006E19C7" w:rsidRDefault="006B2325" w:rsidP="00CD1F63">
            <w:pPr>
              <w:jc w:val="center"/>
            </w:pPr>
            <w:r w:rsidRPr="006E19C7">
              <w:t>9.4%</w:t>
            </w:r>
          </w:p>
        </w:tc>
        <w:tc>
          <w:tcPr>
            <w:tcW w:w="623" w:type="pct"/>
            <w:shd w:val="clear" w:color="auto" w:fill="auto"/>
            <w:noWrap/>
          </w:tcPr>
          <w:p w14:paraId="254B8722" w14:textId="77777777" w:rsidR="006B2325" w:rsidRPr="006E19C7" w:rsidRDefault="006B2325" w:rsidP="00CD1F63">
            <w:pPr>
              <w:jc w:val="center"/>
            </w:pPr>
            <w:r w:rsidRPr="006E19C7">
              <w:t>9.3%</w:t>
            </w:r>
          </w:p>
        </w:tc>
        <w:tc>
          <w:tcPr>
            <w:tcW w:w="610" w:type="pct"/>
            <w:shd w:val="clear" w:color="auto" w:fill="auto"/>
            <w:noWrap/>
          </w:tcPr>
          <w:p w14:paraId="59D70803" w14:textId="77777777" w:rsidR="006B2325" w:rsidRPr="006E19C7" w:rsidRDefault="006B2325" w:rsidP="00CD1F63">
            <w:pPr>
              <w:jc w:val="center"/>
            </w:pPr>
            <w:r w:rsidRPr="006E19C7">
              <w:t>10.0%</w:t>
            </w:r>
          </w:p>
        </w:tc>
      </w:tr>
      <w:tr w:rsidR="006B2325" w:rsidRPr="006E19C7" w14:paraId="22CB0FB7" w14:textId="77777777" w:rsidTr="006B2325">
        <w:trPr>
          <w:trHeight w:val="295"/>
          <w:jc w:val="center"/>
        </w:trPr>
        <w:tc>
          <w:tcPr>
            <w:tcW w:w="1267" w:type="pct"/>
            <w:shd w:val="clear" w:color="auto" w:fill="auto"/>
            <w:noWrap/>
          </w:tcPr>
          <w:p w14:paraId="2DB0C19D" w14:textId="77777777" w:rsidR="006B2325" w:rsidRPr="006E19C7" w:rsidRDefault="006B2325" w:rsidP="00CD1F63">
            <w:proofErr w:type="spellStart"/>
            <w:r w:rsidRPr="006E19C7">
              <w:t>Valvular</w:t>
            </w:r>
            <w:proofErr w:type="spellEnd"/>
            <w:r w:rsidRPr="006E19C7">
              <w:t xml:space="preserve"> heart disease</w:t>
            </w:r>
          </w:p>
        </w:tc>
        <w:tc>
          <w:tcPr>
            <w:tcW w:w="630" w:type="pct"/>
            <w:shd w:val="clear" w:color="auto" w:fill="auto"/>
            <w:noWrap/>
          </w:tcPr>
          <w:p w14:paraId="71006FEF" w14:textId="77777777" w:rsidR="006B2325" w:rsidRPr="006E19C7" w:rsidRDefault="006B2325" w:rsidP="00CD1F63">
            <w:pPr>
              <w:jc w:val="center"/>
            </w:pPr>
            <w:r w:rsidRPr="006E19C7">
              <w:t>0.2%</w:t>
            </w:r>
          </w:p>
        </w:tc>
        <w:tc>
          <w:tcPr>
            <w:tcW w:w="623" w:type="pct"/>
            <w:shd w:val="clear" w:color="auto" w:fill="auto"/>
            <w:noWrap/>
          </w:tcPr>
          <w:p w14:paraId="171CD217" w14:textId="77777777" w:rsidR="006B2325" w:rsidRPr="006E19C7" w:rsidRDefault="006B2325" w:rsidP="00CD1F63">
            <w:pPr>
              <w:jc w:val="center"/>
            </w:pPr>
            <w:r w:rsidRPr="006E19C7">
              <w:t>0.2%</w:t>
            </w:r>
          </w:p>
        </w:tc>
        <w:tc>
          <w:tcPr>
            <w:tcW w:w="624" w:type="pct"/>
            <w:shd w:val="clear" w:color="auto" w:fill="auto"/>
            <w:noWrap/>
          </w:tcPr>
          <w:p w14:paraId="6F83B7F0" w14:textId="77777777" w:rsidR="006B2325" w:rsidRPr="006E19C7" w:rsidRDefault="006B2325" w:rsidP="00CD1F63">
            <w:pPr>
              <w:jc w:val="center"/>
            </w:pPr>
            <w:r w:rsidRPr="006E19C7">
              <w:t>0.2%</w:t>
            </w:r>
          </w:p>
        </w:tc>
        <w:tc>
          <w:tcPr>
            <w:tcW w:w="623" w:type="pct"/>
            <w:shd w:val="clear" w:color="auto" w:fill="auto"/>
            <w:noWrap/>
          </w:tcPr>
          <w:p w14:paraId="1371B665" w14:textId="77777777" w:rsidR="006B2325" w:rsidRPr="006E19C7" w:rsidRDefault="006B2325" w:rsidP="00CD1F63">
            <w:pPr>
              <w:jc w:val="center"/>
            </w:pPr>
            <w:r w:rsidRPr="006E19C7">
              <w:t>0.1%</w:t>
            </w:r>
          </w:p>
        </w:tc>
        <w:tc>
          <w:tcPr>
            <w:tcW w:w="623" w:type="pct"/>
            <w:shd w:val="clear" w:color="auto" w:fill="auto"/>
            <w:noWrap/>
          </w:tcPr>
          <w:p w14:paraId="18EFF7E8" w14:textId="77777777" w:rsidR="006B2325" w:rsidRPr="006E19C7" w:rsidRDefault="006B2325" w:rsidP="00CD1F63">
            <w:pPr>
              <w:jc w:val="center"/>
            </w:pPr>
            <w:r w:rsidRPr="006E19C7">
              <w:t>0.1%</w:t>
            </w:r>
          </w:p>
        </w:tc>
        <w:tc>
          <w:tcPr>
            <w:tcW w:w="610" w:type="pct"/>
            <w:shd w:val="clear" w:color="auto" w:fill="auto"/>
            <w:noWrap/>
          </w:tcPr>
          <w:p w14:paraId="0F03E093" w14:textId="77777777" w:rsidR="006B2325" w:rsidRPr="006E19C7" w:rsidRDefault="006B2325" w:rsidP="00CD1F63">
            <w:pPr>
              <w:jc w:val="center"/>
            </w:pPr>
            <w:r w:rsidRPr="006E19C7">
              <w:t>0.1%</w:t>
            </w:r>
          </w:p>
        </w:tc>
      </w:tr>
      <w:tr w:rsidR="006B2325" w:rsidRPr="006E19C7" w14:paraId="4C68830D" w14:textId="77777777" w:rsidTr="006B2325">
        <w:trPr>
          <w:trHeight w:val="295"/>
          <w:jc w:val="center"/>
        </w:trPr>
        <w:tc>
          <w:tcPr>
            <w:tcW w:w="1267" w:type="pct"/>
            <w:shd w:val="clear" w:color="auto" w:fill="auto"/>
            <w:noWrap/>
          </w:tcPr>
          <w:p w14:paraId="6326AEAE" w14:textId="77777777" w:rsidR="006B2325" w:rsidRPr="006E19C7" w:rsidRDefault="006B2325" w:rsidP="00CD1F63">
            <w:r w:rsidRPr="006E19C7">
              <w:t>Peripheral vascular disease</w:t>
            </w:r>
          </w:p>
        </w:tc>
        <w:tc>
          <w:tcPr>
            <w:tcW w:w="630" w:type="pct"/>
            <w:shd w:val="clear" w:color="auto" w:fill="auto"/>
            <w:noWrap/>
          </w:tcPr>
          <w:p w14:paraId="5E0822D3" w14:textId="77777777" w:rsidR="006B2325" w:rsidRPr="006E19C7" w:rsidRDefault="006B2325" w:rsidP="00CD1F63">
            <w:pPr>
              <w:jc w:val="center"/>
            </w:pPr>
            <w:r w:rsidRPr="006E19C7">
              <w:t>9.7%</w:t>
            </w:r>
          </w:p>
        </w:tc>
        <w:tc>
          <w:tcPr>
            <w:tcW w:w="623" w:type="pct"/>
            <w:shd w:val="clear" w:color="auto" w:fill="auto"/>
            <w:noWrap/>
          </w:tcPr>
          <w:p w14:paraId="48F86D69" w14:textId="77777777" w:rsidR="006B2325" w:rsidRPr="006E19C7" w:rsidRDefault="006B2325" w:rsidP="00CD1F63">
            <w:pPr>
              <w:jc w:val="center"/>
            </w:pPr>
            <w:r w:rsidRPr="006E19C7">
              <w:t>10.6%</w:t>
            </w:r>
          </w:p>
        </w:tc>
        <w:tc>
          <w:tcPr>
            <w:tcW w:w="624" w:type="pct"/>
            <w:shd w:val="clear" w:color="auto" w:fill="auto"/>
            <w:noWrap/>
          </w:tcPr>
          <w:p w14:paraId="375660F2" w14:textId="77777777" w:rsidR="006B2325" w:rsidRPr="006E19C7" w:rsidRDefault="006B2325" w:rsidP="00CD1F63">
            <w:pPr>
              <w:jc w:val="center"/>
            </w:pPr>
            <w:r w:rsidRPr="006E19C7">
              <w:t>12.1%</w:t>
            </w:r>
          </w:p>
        </w:tc>
        <w:tc>
          <w:tcPr>
            <w:tcW w:w="623" w:type="pct"/>
            <w:shd w:val="clear" w:color="auto" w:fill="auto"/>
            <w:noWrap/>
          </w:tcPr>
          <w:p w14:paraId="1E3A2433" w14:textId="77777777" w:rsidR="006B2325" w:rsidRPr="006E19C7" w:rsidRDefault="006B2325" w:rsidP="00CD1F63">
            <w:pPr>
              <w:jc w:val="center"/>
            </w:pPr>
            <w:r w:rsidRPr="006E19C7">
              <w:t>11.5%</w:t>
            </w:r>
          </w:p>
        </w:tc>
        <w:tc>
          <w:tcPr>
            <w:tcW w:w="623" w:type="pct"/>
            <w:shd w:val="clear" w:color="auto" w:fill="auto"/>
            <w:noWrap/>
          </w:tcPr>
          <w:p w14:paraId="7F8F3C6C" w14:textId="77777777" w:rsidR="006B2325" w:rsidRPr="006E19C7" w:rsidRDefault="006B2325" w:rsidP="00CD1F63">
            <w:pPr>
              <w:jc w:val="center"/>
            </w:pPr>
            <w:r w:rsidRPr="006E19C7">
              <w:t>12.8%</w:t>
            </w:r>
          </w:p>
        </w:tc>
        <w:tc>
          <w:tcPr>
            <w:tcW w:w="610" w:type="pct"/>
            <w:shd w:val="clear" w:color="auto" w:fill="auto"/>
            <w:noWrap/>
          </w:tcPr>
          <w:p w14:paraId="7348D6E2" w14:textId="77777777" w:rsidR="006B2325" w:rsidRPr="006E19C7" w:rsidRDefault="006B2325" w:rsidP="00CD1F63">
            <w:pPr>
              <w:jc w:val="center"/>
            </w:pPr>
            <w:r w:rsidRPr="006E19C7">
              <w:t>13.1%</w:t>
            </w:r>
          </w:p>
        </w:tc>
      </w:tr>
      <w:tr w:rsidR="006B2325" w:rsidRPr="006E19C7" w14:paraId="65A2CFA3" w14:textId="77777777" w:rsidTr="006B2325">
        <w:trPr>
          <w:trHeight w:val="295"/>
          <w:jc w:val="center"/>
        </w:trPr>
        <w:tc>
          <w:tcPr>
            <w:tcW w:w="1267" w:type="pct"/>
            <w:shd w:val="clear" w:color="auto" w:fill="auto"/>
            <w:noWrap/>
          </w:tcPr>
          <w:p w14:paraId="607879BD" w14:textId="77777777" w:rsidR="006B2325" w:rsidRPr="006E19C7" w:rsidRDefault="006B2325" w:rsidP="00CD1F63">
            <w:r w:rsidRPr="006E19C7">
              <w:t>Use of assist devise or IABP</w:t>
            </w:r>
          </w:p>
        </w:tc>
        <w:tc>
          <w:tcPr>
            <w:tcW w:w="630" w:type="pct"/>
            <w:shd w:val="clear" w:color="auto" w:fill="auto"/>
            <w:noWrap/>
          </w:tcPr>
          <w:p w14:paraId="08E336B5" w14:textId="77777777" w:rsidR="006B2325" w:rsidRPr="006E19C7" w:rsidRDefault="006B2325" w:rsidP="00CD1F63">
            <w:pPr>
              <w:jc w:val="center"/>
            </w:pPr>
            <w:r w:rsidRPr="006E19C7">
              <w:t>4.1%</w:t>
            </w:r>
          </w:p>
        </w:tc>
        <w:tc>
          <w:tcPr>
            <w:tcW w:w="623" w:type="pct"/>
            <w:shd w:val="clear" w:color="auto" w:fill="auto"/>
            <w:noWrap/>
          </w:tcPr>
          <w:p w14:paraId="663C696E" w14:textId="77777777" w:rsidR="006B2325" w:rsidRPr="006E19C7" w:rsidRDefault="006B2325" w:rsidP="00CD1F63">
            <w:pPr>
              <w:jc w:val="center"/>
            </w:pPr>
            <w:r w:rsidRPr="006E19C7">
              <w:t>4.0%</w:t>
            </w:r>
          </w:p>
        </w:tc>
        <w:tc>
          <w:tcPr>
            <w:tcW w:w="624" w:type="pct"/>
            <w:shd w:val="clear" w:color="auto" w:fill="auto"/>
            <w:noWrap/>
          </w:tcPr>
          <w:p w14:paraId="080B3DA1" w14:textId="77777777" w:rsidR="006B2325" w:rsidRPr="006E19C7" w:rsidRDefault="006B2325" w:rsidP="00CD1F63">
            <w:pPr>
              <w:jc w:val="center"/>
            </w:pPr>
            <w:r w:rsidRPr="006E19C7">
              <w:t>4.5%</w:t>
            </w:r>
          </w:p>
        </w:tc>
        <w:tc>
          <w:tcPr>
            <w:tcW w:w="623" w:type="pct"/>
            <w:shd w:val="clear" w:color="auto" w:fill="auto"/>
            <w:noWrap/>
          </w:tcPr>
          <w:p w14:paraId="0CA9B976" w14:textId="77777777" w:rsidR="006B2325" w:rsidRPr="006E19C7" w:rsidRDefault="006B2325" w:rsidP="00CD1F63">
            <w:pPr>
              <w:jc w:val="center"/>
            </w:pPr>
            <w:r w:rsidRPr="006E19C7">
              <w:t>4.2%</w:t>
            </w:r>
          </w:p>
        </w:tc>
        <w:tc>
          <w:tcPr>
            <w:tcW w:w="623" w:type="pct"/>
            <w:shd w:val="clear" w:color="auto" w:fill="auto"/>
            <w:noWrap/>
          </w:tcPr>
          <w:p w14:paraId="3D58DEB6" w14:textId="77777777" w:rsidR="006B2325" w:rsidRPr="006E19C7" w:rsidRDefault="006B2325" w:rsidP="00CD1F63">
            <w:pPr>
              <w:jc w:val="center"/>
            </w:pPr>
            <w:r w:rsidRPr="006E19C7">
              <w:t>4.3%</w:t>
            </w:r>
          </w:p>
        </w:tc>
        <w:tc>
          <w:tcPr>
            <w:tcW w:w="610" w:type="pct"/>
            <w:shd w:val="clear" w:color="auto" w:fill="auto"/>
            <w:noWrap/>
          </w:tcPr>
          <w:p w14:paraId="545BED13" w14:textId="77777777" w:rsidR="006B2325" w:rsidRPr="006E19C7" w:rsidRDefault="006B2325" w:rsidP="00CD1F63">
            <w:pPr>
              <w:jc w:val="center"/>
            </w:pPr>
            <w:r w:rsidRPr="006E19C7">
              <w:t>3.9%</w:t>
            </w:r>
          </w:p>
        </w:tc>
      </w:tr>
      <w:tr w:rsidR="006B2325" w:rsidRPr="006E19C7" w14:paraId="77899162" w14:textId="77777777" w:rsidTr="006B2325">
        <w:trPr>
          <w:trHeight w:val="295"/>
          <w:jc w:val="center"/>
        </w:trPr>
        <w:tc>
          <w:tcPr>
            <w:tcW w:w="1267" w:type="pct"/>
            <w:shd w:val="clear" w:color="auto" w:fill="auto"/>
            <w:noWrap/>
          </w:tcPr>
          <w:p w14:paraId="320482F9" w14:textId="77777777" w:rsidR="006B2325" w:rsidRPr="006E19C7" w:rsidRDefault="006B2325" w:rsidP="00CD1F63">
            <w:r w:rsidRPr="006E19C7">
              <w:lastRenderedPageBreak/>
              <w:t>Shock</w:t>
            </w:r>
          </w:p>
        </w:tc>
        <w:tc>
          <w:tcPr>
            <w:tcW w:w="630" w:type="pct"/>
            <w:shd w:val="clear" w:color="auto" w:fill="auto"/>
            <w:noWrap/>
          </w:tcPr>
          <w:p w14:paraId="72214D5E" w14:textId="77777777" w:rsidR="006B2325" w:rsidRPr="006E19C7" w:rsidRDefault="006B2325" w:rsidP="00CD1F63">
            <w:pPr>
              <w:jc w:val="center"/>
            </w:pPr>
            <w:r w:rsidRPr="006E19C7">
              <w:t>1.8%</w:t>
            </w:r>
          </w:p>
        </w:tc>
        <w:tc>
          <w:tcPr>
            <w:tcW w:w="623" w:type="pct"/>
            <w:shd w:val="clear" w:color="auto" w:fill="auto"/>
            <w:noWrap/>
          </w:tcPr>
          <w:p w14:paraId="19A1D601" w14:textId="77777777" w:rsidR="006B2325" w:rsidRPr="006E19C7" w:rsidRDefault="006B2325" w:rsidP="00CD1F63">
            <w:pPr>
              <w:jc w:val="center"/>
            </w:pPr>
            <w:r w:rsidRPr="006E19C7">
              <w:t>2.1%</w:t>
            </w:r>
          </w:p>
        </w:tc>
        <w:tc>
          <w:tcPr>
            <w:tcW w:w="624" w:type="pct"/>
            <w:shd w:val="clear" w:color="auto" w:fill="auto"/>
            <w:noWrap/>
          </w:tcPr>
          <w:p w14:paraId="20306CD6" w14:textId="77777777" w:rsidR="006B2325" w:rsidRPr="006E19C7" w:rsidRDefault="006B2325" w:rsidP="00CD1F63">
            <w:pPr>
              <w:jc w:val="center"/>
            </w:pPr>
            <w:r w:rsidRPr="006E19C7">
              <w:t>2.5%</w:t>
            </w:r>
          </w:p>
        </w:tc>
        <w:tc>
          <w:tcPr>
            <w:tcW w:w="623" w:type="pct"/>
            <w:shd w:val="clear" w:color="auto" w:fill="auto"/>
            <w:noWrap/>
          </w:tcPr>
          <w:p w14:paraId="3DB2E0D6" w14:textId="77777777" w:rsidR="006B2325" w:rsidRPr="006E19C7" w:rsidRDefault="006B2325" w:rsidP="00CD1F63">
            <w:pPr>
              <w:jc w:val="center"/>
            </w:pPr>
            <w:r w:rsidRPr="006E19C7">
              <w:t>2.7%</w:t>
            </w:r>
          </w:p>
        </w:tc>
        <w:tc>
          <w:tcPr>
            <w:tcW w:w="623" w:type="pct"/>
            <w:shd w:val="clear" w:color="auto" w:fill="auto"/>
            <w:noWrap/>
          </w:tcPr>
          <w:p w14:paraId="47F4501C" w14:textId="77777777" w:rsidR="006B2325" w:rsidRPr="006E19C7" w:rsidRDefault="006B2325" w:rsidP="00CD1F63">
            <w:pPr>
              <w:jc w:val="center"/>
            </w:pPr>
            <w:r w:rsidRPr="006E19C7">
              <w:t>2.9%</w:t>
            </w:r>
          </w:p>
        </w:tc>
        <w:tc>
          <w:tcPr>
            <w:tcW w:w="610" w:type="pct"/>
            <w:shd w:val="clear" w:color="auto" w:fill="auto"/>
            <w:noWrap/>
          </w:tcPr>
          <w:p w14:paraId="04C43DF5" w14:textId="77777777" w:rsidR="006B2325" w:rsidRPr="006E19C7" w:rsidRDefault="006B2325" w:rsidP="00CD1F63">
            <w:pPr>
              <w:jc w:val="center"/>
            </w:pPr>
            <w:r w:rsidRPr="006E19C7">
              <w:t>3.2%</w:t>
            </w:r>
          </w:p>
        </w:tc>
      </w:tr>
      <w:tr w:rsidR="006B2325" w:rsidRPr="006E19C7" w14:paraId="57C4A568" w14:textId="77777777" w:rsidTr="006B2325">
        <w:trPr>
          <w:trHeight w:val="295"/>
          <w:jc w:val="center"/>
        </w:trPr>
        <w:tc>
          <w:tcPr>
            <w:tcW w:w="1267" w:type="pct"/>
            <w:shd w:val="clear" w:color="auto" w:fill="auto"/>
            <w:noWrap/>
          </w:tcPr>
          <w:p w14:paraId="739B41F8" w14:textId="77777777" w:rsidR="006B2325" w:rsidRPr="006E19C7" w:rsidRDefault="006B2325" w:rsidP="00CD1F63">
            <w:r w:rsidRPr="006E19C7">
              <w:t>AIDS</w:t>
            </w:r>
          </w:p>
        </w:tc>
        <w:tc>
          <w:tcPr>
            <w:tcW w:w="630" w:type="pct"/>
            <w:shd w:val="clear" w:color="auto" w:fill="auto"/>
            <w:noWrap/>
          </w:tcPr>
          <w:p w14:paraId="263EAEDF" w14:textId="77777777" w:rsidR="006B2325" w:rsidRPr="006E19C7" w:rsidRDefault="006B2325" w:rsidP="00CD1F63">
            <w:pPr>
              <w:jc w:val="center"/>
            </w:pPr>
            <w:r w:rsidRPr="006E19C7">
              <w:t>0.1%</w:t>
            </w:r>
          </w:p>
        </w:tc>
        <w:tc>
          <w:tcPr>
            <w:tcW w:w="623" w:type="pct"/>
            <w:shd w:val="clear" w:color="auto" w:fill="auto"/>
            <w:noWrap/>
          </w:tcPr>
          <w:p w14:paraId="764E2B0F" w14:textId="77777777" w:rsidR="006B2325" w:rsidRPr="006E19C7" w:rsidRDefault="006B2325" w:rsidP="00CD1F63">
            <w:pPr>
              <w:jc w:val="center"/>
            </w:pPr>
            <w:r w:rsidRPr="006E19C7">
              <w:t>0.13%</w:t>
            </w:r>
          </w:p>
        </w:tc>
        <w:tc>
          <w:tcPr>
            <w:tcW w:w="624" w:type="pct"/>
            <w:shd w:val="clear" w:color="auto" w:fill="auto"/>
            <w:noWrap/>
          </w:tcPr>
          <w:p w14:paraId="5DBEA5BA" w14:textId="77777777" w:rsidR="006B2325" w:rsidRPr="006E19C7" w:rsidRDefault="006B2325" w:rsidP="00CD1F63">
            <w:pPr>
              <w:jc w:val="center"/>
            </w:pPr>
            <w:r w:rsidRPr="006E19C7">
              <w:t>0.11%</w:t>
            </w:r>
          </w:p>
        </w:tc>
        <w:tc>
          <w:tcPr>
            <w:tcW w:w="623" w:type="pct"/>
            <w:shd w:val="clear" w:color="auto" w:fill="auto"/>
            <w:noWrap/>
          </w:tcPr>
          <w:p w14:paraId="7E9E391C" w14:textId="77777777" w:rsidR="006B2325" w:rsidRPr="006E19C7" w:rsidRDefault="006B2325" w:rsidP="00CD1F63">
            <w:pPr>
              <w:jc w:val="center"/>
            </w:pPr>
            <w:r w:rsidRPr="006E19C7">
              <w:t>0.14%</w:t>
            </w:r>
          </w:p>
        </w:tc>
        <w:tc>
          <w:tcPr>
            <w:tcW w:w="623" w:type="pct"/>
            <w:shd w:val="clear" w:color="auto" w:fill="auto"/>
            <w:noWrap/>
          </w:tcPr>
          <w:p w14:paraId="3C80FD5E" w14:textId="77777777" w:rsidR="006B2325" w:rsidRPr="006E19C7" w:rsidRDefault="006B2325" w:rsidP="00CD1F63">
            <w:pPr>
              <w:jc w:val="center"/>
            </w:pPr>
            <w:r w:rsidRPr="006E19C7">
              <w:t>0.12%</w:t>
            </w:r>
          </w:p>
        </w:tc>
        <w:tc>
          <w:tcPr>
            <w:tcW w:w="610" w:type="pct"/>
            <w:shd w:val="clear" w:color="auto" w:fill="auto"/>
            <w:noWrap/>
          </w:tcPr>
          <w:p w14:paraId="71D01BBA" w14:textId="77777777" w:rsidR="006B2325" w:rsidRPr="006E19C7" w:rsidRDefault="006B2325" w:rsidP="00CD1F63">
            <w:pPr>
              <w:jc w:val="center"/>
            </w:pPr>
            <w:r w:rsidRPr="006E19C7">
              <w:t>0.14%</w:t>
            </w:r>
          </w:p>
        </w:tc>
      </w:tr>
      <w:tr w:rsidR="006B2325" w:rsidRPr="006E19C7" w14:paraId="075C1C6B" w14:textId="77777777" w:rsidTr="006B2325">
        <w:trPr>
          <w:trHeight w:val="295"/>
          <w:jc w:val="center"/>
        </w:trPr>
        <w:tc>
          <w:tcPr>
            <w:tcW w:w="1267" w:type="pct"/>
            <w:shd w:val="clear" w:color="auto" w:fill="auto"/>
            <w:noWrap/>
          </w:tcPr>
          <w:p w14:paraId="2E0A63EB" w14:textId="77777777" w:rsidR="006B2325" w:rsidRPr="006E19C7" w:rsidRDefault="006B2325" w:rsidP="00CD1F63">
            <w:r w:rsidRPr="006E19C7">
              <w:t>Alcohol abuse</w:t>
            </w:r>
          </w:p>
        </w:tc>
        <w:tc>
          <w:tcPr>
            <w:tcW w:w="630" w:type="pct"/>
            <w:shd w:val="clear" w:color="auto" w:fill="auto"/>
            <w:noWrap/>
          </w:tcPr>
          <w:p w14:paraId="5FA7FFBE" w14:textId="77777777" w:rsidR="006B2325" w:rsidRPr="006E19C7" w:rsidRDefault="006B2325" w:rsidP="00CD1F63">
            <w:pPr>
              <w:jc w:val="center"/>
            </w:pPr>
            <w:r w:rsidRPr="006E19C7">
              <w:t>2.3%</w:t>
            </w:r>
          </w:p>
        </w:tc>
        <w:tc>
          <w:tcPr>
            <w:tcW w:w="623" w:type="pct"/>
            <w:shd w:val="clear" w:color="auto" w:fill="auto"/>
            <w:noWrap/>
          </w:tcPr>
          <w:p w14:paraId="00081FA2" w14:textId="77777777" w:rsidR="006B2325" w:rsidRPr="006E19C7" w:rsidRDefault="006B2325" w:rsidP="00CD1F63">
            <w:pPr>
              <w:jc w:val="center"/>
            </w:pPr>
            <w:r w:rsidRPr="006E19C7">
              <w:t>2.7%</w:t>
            </w:r>
          </w:p>
        </w:tc>
        <w:tc>
          <w:tcPr>
            <w:tcW w:w="624" w:type="pct"/>
            <w:shd w:val="clear" w:color="auto" w:fill="auto"/>
            <w:noWrap/>
          </w:tcPr>
          <w:p w14:paraId="1891AC17" w14:textId="77777777" w:rsidR="006B2325" w:rsidRPr="006E19C7" w:rsidRDefault="006B2325" w:rsidP="00CD1F63">
            <w:pPr>
              <w:jc w:val="center"/>
            </w:pPr>
            <w:r w:rsidRPr="006E19C7">
              <w:t>2.8%</w:t>
            </w:r>
          </w:p>
        </w:tc>
        <w:tc>
          <w:tcPr>
            <w:tcW w:w="623" w:type="pct"/>
            <w:shd w:val="clear" w:color="auto" w:fill="auto"/>
            <w:noWrap/>
          </w:tcPr>
          <w:p w14:paraId="03D80C88" w14:textId="77777777" w:rsidR="006B2325" w:rsidRPr="006E19C7" w:rsidRDefault="006B2325" w:rsidP="00CD1F63">
            <w:pPr>
              <w:jc w:val="center"/>
            </w:pPr>
            <w:r w:rsidRPr="006E19C7">
              <w:t>3.2%</w:t>
            </w:r>
          </w:p>
        </w:tc>
        <w:tc>
          <w:tcPr>
            <w:tcW w:w="623" w:type="pct"/>
            <w:shd w:val="clear" w:color="auto" w:fill="auto"/>
            <w:noWrap/>
          </w:tcPr>
          <w:p w14:paraId="59AB1422" w14:textId="77777777" w:rsidR="006B2325" w:rsidRPr="006E19C7" w:rsidRDefault="006B2325" w:rsidP="00CD1F63">
            <w:pPr>
              <w:jc w:val="center"/>
            </w:pPr>
            <w:r w:rsidRPr="006E19C7">
              <w:t>3.2%</w:t>
            </w:r>
          </w:p>
        </w:tc>
        <w:tc>
          <w:tcPr>
            <w:tcW w:w="610" w:type="pct"/>
            <w:shd w:val="clear" w:color="auto" w:fill="auto"/>
            <w:noWrap/>
          </w:tcPr>
          <w:p w14:paraId="3D733243" w14:textId="77777777" w:rsidR="006B2325" w:rsidRPr="006E19C7" w:rsidRDefault="006B2325" w:rsidP="00CD1F63">
            <w:pPr>
              <w:jc w:val="center"/>
            </w:pPr>
            <w:r w:rsidRPr="006E19C7">
              <w:t>3.4%</w:t>
            </w:r>
          </w:p>
        </w:tc>
      </w:tr>
      <w:tr w:rsidR="006B2325" w:rsidRPr="006E19C7" w14:paraId="35844803" w14:textId="77777777" w:rsidTr="006B2325">
        <w:trPr>
          <w:trHeight w:val="295"/>
          <w:jc w:val="center"/>
        </w:trPr>
        <w:tc>
          <w:tcPr>
            <w:tcW w:w="1267" w:type="pct"/>
            <w:shd w:val="clear" w:color="auto" w:fill="auto"/>
            <w:noWrap/>
          </w:tcPr>
          <w:p w14:paraId="73BAF3CF" w14:textId="77777777" w:rsidR="006B2325" w:rsidRPr="006E19C7" w:rsidRDefault="006B2325" w:rsidP="00CD1F63">
            <w:r w:rsidRPr="006E19C7">
              <w:t>Deficiency anaemias</w:t>
            </w:r>
          </w:p>
        </w:tc>
        <w:tc>
          <w:tcPr>
            <w:tcW w:w="630" w:type="pct"/>
            <w:shd w:val="clear" w:color="auto" w:fill="auto"/>
            <w:noWrap/>
          </w:tcPr>
          <w:p w14:paraId="66283C37" w14:textId="77777777" w:rsidR="006B2325" w:rsidRPr="006E19C7" w:rsidRDefault="006B2325" w:rsidP="00CD1F63">
            <w:pPr>
              <w:jc w:val="center"/>
            </w:pPr>
            <w:r w:rsidRPr="006E19C7">
              <w:t>8.9%</w:t>
            </w:r>
          </w:p>
        </w:tc>
        <w:tc>
          <w:tcPr>
            <w:tcW w:w="623" w:type="pct"/>
            <w:shd w:val="clear" w:color="auto" w:fill="auto"/>
            <w:noWrap/>
          </w:tcPr>
          <w:p w14:paraId="44531C3B" w14:textId="77777777" w:rsidR="006B2325" w:rsidRPr="006E19C7" w:rsidRDefault="006B2325" w:rsidP="00CD1F63">
            <w:pPr>
              <w:jc w:val="center"/>
            </w:pPr>
            <w:r w:rsidRPr="006E19C7">
              <w:t>10.0%</w:t>
            </w:r>
          </w:p>
        </w:tc>
        <w:tc>
          <w:tcPr>
            <w:tcW w:w="624" w:type="pct"/>
            <w:shd w:val="clear" w:color="auto" w:fill="auto"/>
            <w:noWrap/>
          </w:tcPr>
          <w:p w14:paraId="11EEB84A" w14:textId="77777777" w:rsidR="006B2325" w:rsidRPr="006E19C7" w:rsidRDefault="006B2325" w:rsidP="00CD1F63">
            <w:pPr>
              <w:jc w:val="center"/>
            </w:pPr>
            <w:r w:rsidRPr="006E19C7">
              <w:t>13.5%</w:t>
            </w:r>
          </w:p>
        </w:tc>
        <w:tc>
          <w:tcPr>
            <w:tcW w:w="623" w:type="pct"/>
            <w:shd w:val="clear" w:color="auto" w:fill="auto"/>
            <w:noWrap/>
          </w:tcPr>
          <w:p w14:paraId="183D4FDA" w14:textId="77777777" w:rsidR="006B2325" w:rsidRPr="006E19C7" w:rsidRDefault="006B2325" w:rsidP="00CD1F63">
            <w:pPr>
              <w:jc w:val="center"/>
            </w:pPr>
            <w:r w:rsidRPr="006E19C7">
              <w:t>13.9%</w:t>
            </w:r>
          </w:p>
        </w:tc>
        <w:tc>
          <w:tcPr>
            <w:tcW w:w="623" w:type="pct"/>
            <w:shd w:val="clear" w:color="auto" w:fill="auto"/>
            <w:noWrap/>
          </w:tcPr>
          <w:p w14:paraId="735681CA" w14:textId="77777777" w:rsidR="006B2325" w:rsidRPr="006E19C7" w:rsidRDefault="006B2325" w:rsidP="00CD1F63">
            <w:pPr>
              <w:jc w:val="center"/>
            </w:pPr>
            <w:r w:rsidRPr="006E19C7">
              <w:t>15.0%</w:t>
            </w:r>
          </w:p>
        </w:tc>
        <w:tc>
          <w:tcPr>
            <w:tcW w:w="610" w:type="pct"/>
            <w:shd w:val="clear" w:color="auto" w:fill="auto"/>
            <w:noWrap/>
          </w:tcPr>
          <w:p w14:paraId="1261303D" w14:textId="77777777" w:rsidR="006B2325" w:rsidRPr="006E19C7" w:rsidRDefault="006B2325" w:rsidP="00CD1F63">
            <w:pPr>
              <w:jc w:val="center"/>
            </w:pPr>
            <w:r w:rsidRPr="006E19C7">
              <w:t>14.9%</w:t>
            </w:r>
          </w:p>
        </w:tc>
      </w:tr>
      <w:tr w:rsidR="006B2325" w:rsidRPr="006E19C7" w14:paraId="65CC02A3" w14:textId="77777777" w:rsidTr="006B2325">
        <w:trPr>
          <w:trHeight w:val="295"/>
          <w:jc w:val="center"/>
        </w:trPr>
        <w:tc>
          <w:tcPr>
            <w:tcW w:w="1267" w:type="pct"/>
            <w:shd w:val="clear" w:color="auto" w:fill="auto"/>
            <w:noWrap/>
          </w:tcPr>
          <w:p w14:paraId="2ECB693E" w14:textId="77777777" w:rsidR="006B2325" w:rsidRPr="006E19C7" w:rsidRDefault="006B2325" w:rsidP="00CD1F63">
            <w:r w:rsidRPr="006E19C7">
              <w:t>Chronic Blood loss anaemia</w:t>
            </w:r>
          </w:p>
        </w:tc>
        <w:tc>
          <w:tcPr>
            <w:tcW w:w="630" w:type="pct"/>
            <w:shd w:val="clear" w:color="auto" w:fill="auto"/>
            <w:noWrap/>
          </w:tcPr>
          <w:p w14:paraId="4C91344F" w14:textId="77777777" w:rsidR="006B2325" w:rsidRPr="006E19C7" w:rsidRDefault="006B2325" w:rsidP="00CD1F63">
            <w:pPr>
              <w:jc w:val="center"/>
            </w:pPr>
            <w:r w:rsidRPr="006E19C7">
              <w:t>1.1%</w:t>
            </w:r>
          </w:p>
        </w:tc>
        <w:tc>
          <w:tcPr>
            <w:tcW w:w="623" w:type="pct"/>
            <w:shd w:val="clear" w:color="auto" w:fill="auto"/>
            <w:noWrap/>
          </w:tcPr>
          <w:p w14:paraId="3929949E" w14:textId="77777777" w:rsidR="006B2325" w:rsidRPr="006E19C7" w:rsidRDefault="006B2325" w:rsidP="00CD1F63">
            <w:pPr>
              <w:jc w:val="center"/>
            </w:pPr>
            <w:r w:rsidRPr="006E19C7">
              <w:t>1.1%</w:t>
            </w:r>
          </w:p>
        </w:tc>
        <w:tc>
          <w:tcPr>
            <w:tcW w:w="624" w:type="pct"/>
            <w:shd w:val="clear" w:color="auto" w:fill="auto"/>
            <w:noWrap/>
          </w:tcPr>
          <w:p w14:paraId="630937EF" w14:textId="77777777" w:rsidR="006B2325" w:rsidRPr="006E19C7" w:rsidRDefault="006B2325" w:rsidP="00CD1F63">
            <w:pPr>
              <w:jc w:val="center"/>
            </w:pPr>
            <w:r w:rsidRPr="006E19C7">
              <w:t>1.0%</w:t>
            </w:r>
          </w:p>
        </w:tc>
        <w:tc>
          <w:tcPr>
            <w:tcW w:w="623" w:type="pct"/>
            <w:shd w:val="clear" w:color="auto" w:fill="auto"/>
            <w:noWrap/>
          </w:tcPr>
          <w:p w14:paraId="5128D6ED" w14:textId="77777777" w:rsidR="006B2325" w:rsidRPr="006E19C7" w:rsidRDefault="006B2325" w:rsidP="00CD1F63">
            <w:pPr>
              <w:jc w:val="center"/>
            </w:pPr>
            <w:r w:rsidRPr="006E19C7">
              <w:t>0.7%</w:t>
            </w:r>
          </w:p>
        </w:tc>
        <w:tc>
          <w:tcPr>
            <w:tcW w:w="623" w:type="pct"/>
            <w:shd w:val="clear" w:color="auto" w:fill="auto"/>
            <w:noWrap/>
          </w:tcPr>
          <w:p w14:paraId="31AD22B9" w14:textId="77777777" w:rsidR="006B2325" w:rsidRPr="006E19C7" w:rsidRDefault="006B2325" w:rsidP="00CD1F63">
            <w:pPr>
              <w:jc w:val="center"/>
            </w:pPr>
            <w:r w:rsidRPr="006E19C7">
              <w:t>0.7%</w:t>
            </w:r>
          </w:p>
        </w:tc>
        <w:tc>
          <w:tcPr>
            <w:tcW w:w="610" w:type="pct"/>
            <w:shd w:val="clear" w:color="auto" w:fill="auto"/>
            <w:noWrap/>
          </w:tcPr>
          <w:p w14:paraId="2FB8F642" w14:textId="77777777" w:rsidR="006B2325" w:rsidRPr="006E19C7" w:rsidRDefault="006B2325" w:rsidP="00CD1F63">
            <w:pPr>
              <w:jc w:val="center"/>
            </w:pPr>
            <w:r w:rsidRPr="006E19C7">
              <w:t>0.6%</w:t>
            </w:r>
          </w:p>
        </w:tc>
      </w:tr>
      <w:tr w:rsidR="006B2325" w:rsidRPr="006E19C7" w14:paraId="7E9528D1" w14:textId="77777777" w:rsidTr="006B2325">
        <w:trPr>
          <w:trHeight w:val="295"/>
          <w:jc w:val="center"/>
        </w:trPr>
        <w:tc>
          <w:tcPr>
            <w:tcW w:w="1267" w:type="pct"/>
            <w:shd w:val="clear" w:color="auto" w:fill="auto"/>
            <w:noWrap/>
          </w:tcPr>
          <w:p w14:paraId="5E8E1E0D" w14:textId="77777777" w:rsidR="006B2325" w:rsidRPr="006E19C7" w:rsidRDefault="006B2325" w:rsidP="00CD1F63">
            <w:r w:rsidRPr="006E19C7">
              <w:t>RA/collagen vascular</w:t>
            </w:r>
          </w:p>
          <w:p w14:paraId="0D23B5B6" w14:textId="77777777" w:rsidR="006B2325" w:rsidRPr="006E19C7" w:rsidRDefault="006B2325" w:rsidP="00CD1F63">
            <w:r w:rsidRPr="006E19C7">
              <w:t>Diseases</w:t>
            </w:r>
          </w:p>
        </w:tc>
        <w:tc>
          <w:tcPr>
            <w:tcW w:w="630" w:type="pct"/>
            <w:shd w:val="clear" w:color="auto" w:fill="auto"/>
            <w:noWrap/>
          </w:tcPr>
          <w:p w14:paraId="2DFECA8E" w14:textId="77777777" w:rsidR="006B2325" w:rsidRPr="006E19C7" w:rsidRDefault="006B2325" w:rsidP="00CD1F63">
            <w:pPr>
              <w:jc w:val="center"/>
            </w:pPr>
            <w:r w:rsidRPr="006E19C7">
              <w:t>1.6%</w:t>
            </w:r>
          </w:p>
        </w:tc>
        <w:tc>
          <w:tcPr>
            <w:tcW w:w="623" w:type="pct"/>
            <w:shd w:val="clear" w:color="auto" w:fill="auto"/>
            <w:noWrap/>
          </w:tcPr>
          <w:p w14:paraId="729560ED" w14:textId="77777777" w:rsidR="006B2325" w:rsidRPr="006E19C7" w:rsidRDefault="006B2325" w:rsidP="00CD1F63">
            <w:pPr>
              <w:jc w:val="center"/>
            </w:pPr>
            <w:r w:rsidRPr="006E19C7">
              <w:t>1.9%</w:t>
            </w:r>
          </w:p>
        </w:tc>
        <w:tc>
          <w:tcPr>
            <w:tcW w:w="624" w:type="pct"/>
            <w:shd w:val="clear" w:color="auto" w:fill="auto"/>
            <w:noWrap/>
          </w:tcPr>
          <w:p w14:paraId="0D30FE77" w14:textId="77777777" w:rsidR="006B2325" w:rsidRPr="006E19C7" w:rsidRDefault="006B2325" w:rsidP="00CD1F63">
            <w:pPr>
              <w:jc w:val="center"/>
            </w:pPr>
            <w:r w:rsidRPr="006E19C7">
              <w:t>2.2%</w:t>
            </w:r>
          </w:p>
        </w:tc>
        <w:tc>
          <w:tcPr>
            <w:tcW w:w="623" w:type="pct"/>
            <w:shd w:val="clear" w:color="auto" w:fill="auto"/>
            <w:noWrap/>
          </w:tcPr>
          <w:p w14:paraId="08D10BE2" w14:textId="77777777" w:rsidR="006B2325" w:rsidRPr="006E19C7" w:rsidRDefault="006B2325" w:rsidP="00CD1F63">
            <w:pPr>
              <w:jc w:val="center"/>
            </w:pPr>
            <w:r w:rsidRPr="006E19C7">
              <w:t>2.2%</w:t>
            </w:r>
          </w:p>
        </w:tc>
        <w:tc>
          <w:tcPr>
            <w:tcW w:w="623" w:type="pct"/>
            <w:shd w:val="clear" w:color="auto" w:fill="auto"/>
            <w:noWrap/>
          </w:tcPr>
          <w:p w14:paraId="5B726853" w14:textId="77777777" w:rsidR="006B2325" w:rsidRPr="006E19C7" w:rsidRDefault="006B2325" w:rsidP="00CD1F63">
            <w:pPr>
              <w:jc w:val="center"/>
            </w:pPr>
            <w:r w:rsidRPr="006E19C7">
              <w:t>2.4%</w:t>
            </w:r>
          </w:p>
        </w:tc>
        <w:tc>
          <w:tcPr>
            <w:tcW w:w="610" w:type="pct"/>
            <w:shd w:val="clear" w:color="auto" w:fill="auto"/>
            <w:noWrap/>
          </w:tcPr>
          <w:p w14:paraId="1049E9A5" w14:textId="77777777" w:rsidR="006B2325" w:rsidRPr="006E19C7" w:rsidRDefault="006B2325" w:rsidP="00CD1F63">
            <w:pPr>
              <w:jc w:val="center"/>
            </w:pPr>
            <w:r w:rsidRPr="006E19C7">
              <w:t>2.6%</w:t>
            </w:r>
          </w:p>
        </w:tc>
      </w:tr>
      <w:tr w:rsidR="006B2325" w:rsidRPr="006E19C7" w14:paraId="05E70D5D" w14:textId="77777777" w:rsidTr="006B2325">
        <w:trPr>
          <w:trHeight w:val="295"/>
          <w:jc w:val="center"/>
        </w:trPr>
        <w:tc>
          <w:tcPr>
            <w:tcW w:w="1267" w:type="pct"/>
            <w:shd w:val="clear" w:color="auto" w:fill="auto"/>
            <w:noWrap/>
          </w:tcPr>
          <w:p w14:paraId="3B4BDDE0" w14:textId="77777777" w:rsidR="006B2325" w:rsidRPr="006E19C7" w:rsidRDefault="006B2325" w:rsidP="00CD1F63">
            <w:r w:rsidRPr="006E19C7">
              <w:t>Congestive heart failure</w:t>
            </w:r>
          </w:p>
        </w:tc>
        <w:tc>
          <w:tcPr>
            <w:tcW w:w="630" w:type="pct"/>
            <w:shd w:val="clear" w:color="auto" w:fill="auto"/>
            <w:noWrap/>
          </w:tcPr>
          <w:p w14:paraId="688BAF44" w14:textId="77777777" w:rsidR="006B2325" w:rsidRPr="006E19C7" w:rsidRDefault="006B2325" w:rsidP="00CD1F63">
            <w:pPr>
              <w:jc w:val="center"/>
            </w:pPr>
            <w:r w:rsidRPr="006E19C7">
              <w:t>0.7%</w:t>
            </w:r>
          </w:p>
        </w:tc>
        <w:tc>
          <w:tcPr>
            <w:tcW w:w="623" w:type="pct"/>
            <w:shd w:val="clear" w:color="auto" w:fill="auto"/>
            <w:noWrap/>
          </w:tcPr>
          <w:p w14:paraId="29735A46" w14:textId="77777777" w:rsidR="006B2325" w:rsidRPr="006E19C7" w:rsidRDefault="006B2325" w:rsidP="00CD1F63">
            <w:pPr>
              <w:jc w:val="center"/>
            </w:pPr>
            <w:r w:rsidRPr="006E19C7">
              <w:t>0.6%</w:t>
            </w:r>
          </w:p>
        </w:tc>
        <w:tc>
          <w:tcPr>
            <w:tcW w:w="624" w:type="pct"/>
            <w:shd w:val="clear" w:color="auto" w:fill="auto"/>
            <w:noWrap/>
          </w:tcPr>
          <w:p w14:paraId="44CD0A3F" w14:textId="77777777" w:rsidR="006B2325" w:rsidRPr="006E19C7" w:rsidRDefault="006B2325" w:rsidP="00CD1F63">
            <w:pPr>
              <w:jc w:val="center"/>
            </w:pPr>
            <w:r w:rsidRPr="006E19C7">
              <w:t>0.4%</w:t>
            </w:r>
          </w:p>
        </w:tc>
        <w:tc>
          <w:tcPr>
            <w:tcW w:w="623" w:type="pct"/>
            <w:shd w:val="clear" w:color="auto" w:fill="auto"/>
            <w:noWrap/>
          </w:tcPr>
          <w:p w14:paraId="1D1DC76D" w14:textId="77777777" w:rsidR="006B2325" w:rsidRPr="006E19C7" w:rsidRDefault="006B2325" w:rsidP="00CD1F63">
            <w:pPr>
              <w:jc w:val="center"/>
            </w:pPr>
            <w:r w:rsidRPr="006E19C7">
              <w:t>0.6%</w:t>
            </w:r>
          </w:p>
        </w:tc>
        <w:tc>
          <w:tcPr>
            <w:tcW w:w="623" w:type="pct"/>
            <w:shd w:val="clear" w:color="auto" w:fill="auto"/>
            <w:noWrap/>
          </w:tcPr>
          <w:p w14:paraId="1621445C" w14:textId="77777777" w:rsidR="006B2325" w:rsidRPr="006E19C7" w:rsidRDefault="006B2325" w:rsidP="00CD1F63">
            <w:pPr>
              <w:jc w:val="center"/>
            </w:pPr>
            <w:r w:rsidRPr="006E19C7">
              <w:t>0.5%</w:t>
            </w:r>
          </w:p>
        </w:tc>
        <w:tc>
          <w:tcPr>
            <w:tcW w:w="610" w:type="pct"/>
            <w:shd w:val="clear" w:color="auto" w:fill="auto"/>
            <w:noWrap/>
          </w:tcPr>
          <w:p w14:paraId="106B77FE" w14:textId="77777777" w:rsidR="006B2325" w:rsidRPr="006E19C7" w:rsidRDefault="006B2325" w:rsidP="00CD1F63">
            <w:pPr>
              <w:jc w:val="center"/>
            </w:pPr>
            <w:r w:rsidRPr="006E19C7">
              <w:t>0.4%</w:t>
            </w:r>
          </w:p>
        </w:tc>
      </w:tr>
      <w:tr w:rsidR="006B2325" w:rsidRPr="006E19C7" w14:paraId="2211E1FC" w14:textId="77777777" w:rsidTr="006B2325">
        <w:trPr>
          <w:trHeight w:val="295"/>
          <w:jc w:val="center"/>
        </w:trPr>
        <w:tc>
          <w:tcPr>
            <w:tcW w:w="1267" w:type="pct"/>
            <w:shd w:val="clear" w:color="auto" w:fill="auto"/>
            <w:noWrap/>
          </w:tcPr>
          <w:p w14:paraId="0BF86435" w14:textId="77777777" w:rsidR="006B2325" w:rsidRPr="006E19C7" w:rsidRDefault="006B2325" w:rsidP="00CD1F63">
            <w:r w:rsidRPr="006E19C7">
              <w:t>Chronic pulmonary disease</w:t>
            </w:r>
          </w:p>
        </w:tc>
        <w:tc>
          <w:tcPr>
            <w:tcW w:w="630" w:type="pct"/>
            <w:shd w:val="clear" w:color="auto" w:fill="auto"/>
            <w:noWrap/>
          </w:tcPr>
          <w:p w14:paraId="5328FA4D" w14:textId="77777777" w:rsidR="006B2325" w:rsidRPr="006E19C7" w:rsidRDefault="006B2325" w:rsidP="00CD1F63">
            <w:pPr>
              <w:jc w:val="center"/>
            </w:pPr>
            <w:r w:rsidRPr="006E19C7">
              <w:t>18.7%</w:t>
            </w:r>
          </w:p>
        </w:tc>
        <w:tc>
          <w:tcPr>
            <w:tcW w:w="623" w:type="pct"/>
            <w:shd w:val="clear" w:color="auto" w:fill="auto"/>
            <w:noWrap/>
          </w:tcPr>
          <w:p w14:paraId="26ED9667" w14:textId="77777777" w:rsidR="006B2325" w:rsidRPr="006E19C7" w:rsidRDefault="006B2325" w:rsidP="00CD1F63">
            <w:pPr>
              <w:jc w:val="center"/>
            </w:pPr>
            <w:r w:rsidRPr="006E19C7">
              <w:t>20.2%</w:t>
            </w:r>
          </w:p>
        </w:tc>
        <w:tc>
          <w:tcPr>
            <w:tcW w:w="624" w:type="pct"/>
            <w:shd w:val="clear" w:color="auto" w:fill="auto"/>
            <w:noWrap/>
          </w:tcPr>
          <w:p w14:paraId="08EC471E" w14:textId="77777777" w:rsidR="006B2325" w:rsidRPr="006E19C7" w:rsidRDefault="006B2325" w:rsidP="00CD1F63">
            <w:pPr>
              <w:jc w:val="center"/>
            </w:pPr>
            <w:r w:rsidRPr="006E19C7">
              <w:t>20.1%</w:t>
            </w:r>
          </w:p>
        </w:tc>
        <w:tc>
          <w:tcPr>
            <w:tcW w:w="623" w:type="pct"/>
            <w:shd w:val="clear" w:color="auto" w:fill="auto"/>
            <w:noWrap/>
          </w:tcPr>
          <w:p w14:paraId="6AC605C0" w14:textId="77777777" w:rsidR="006B2325" w:rsidRPr="006E19C7" w:rsidRDefault="006B2325" w:rsidP="00CD1F63">
            <w:pPr>
              <w:jc w:val="center"/>
            </w:pPr>
            <w:r w:rsidRPr="006E19C7">
              <w:t>19.8%</w:t>
            </w:r>
          </w:p>
        </w:tc>
        <w:tc>
          <w:tcPr>
            <w:tcW w:w="623" w:type="pct"/>
            <w:shd w:val="clear" w:color="auto" w:fill="auto"/>
            <w:noWrap/>
          </w:tcPr>
          <w:p w14:paraId="6A549399" w14:textId="77777777" w:rsidR="006B2325" w:rsidRPr="006E19C7" w:rsidRDefault="006B2325" w:rsidP="00CD1F63">
            <w:pPr>
              <w:jc w:val="center"/>
            </w:pPr>
            <w:r w:rsidRPr="006E19C7">
              <w:t>21.4%</w:t>
            </w:r>
          </w:p>
        </w:tc>
        <w:tc>
          <w:tcPr>
            <w:tcW w:w="610" w:type="pct"/>
            <w:shd w:val="clear" w:color="auto" w:fill="auto"/>
            <w:noWrap/>
          </w:tcPr>
          <w:p w14:paraId="64A827F6" w14:textId="77777777" w:rsidR="006B2325" w:rsidRPr="006E19C7" w:rsidRDefault="006B2325" w:rsidP="00CD1F63">
            <w:pPr>
              <w:jc w:val="center"/>
            </w:pPr>
            <w:r w:rsidRPr="006E19C7">
              <w:t>21.8%</w:t>
            </w:r>
          </w:p>
        </w:tc>
      </w:tr>
      <w:tr w:rsidR="006B2325" w:rsidRPr="006E19C7" w14:paraId="24ADC62F" w14:textId="77777777" w:rsidTr="006B2325">
        <w:trPr>
          <w:trHeight w:val="295"/>
          <w:jc w:val="center"/>
        </w:trPr>
        <w:tc>
          <w:tcPr>
            <w:tcW w:w="1267" w:type="pct"/>
            <w:shd w:val="clear" w:color="auto" w:fill="auto"/>
            <w:noWrap/>
          </w:tcPr>
          <w:p w14:paraId="23173D51" w14:textId="77777777" w:rsidR="006B2325" w:rsidRPr="006E19C7" w:rsidRDefault="006B2325" w:rsidP="00CD1F63">
            <w:r w:rsidRPr="006E19C7">
              <w:t>Coagulopathy</w:t>
            </w:r>
          </w:p>
        </w:tc>
        <w:tc>
          <w:tcPr>
            <w:tcW w:w="630" w:type="pct"/>
            <w:shd w:val="clear" w:color="auto" w:fill="auto"/>
            <w:noWrap/>
          </w:tcPr>
          <w:p w14:paraId="4D980BD1" w14:textId="77777777" w:rsidR="006B2325" w:rsidRPr="006E19C7" w:rsidRDefault="006B2325" w:rsidP="00CD1F63">
            <w:pPr>
              <w:jc w:val="center"/>
            </w:pPr>
            <w:r w:rsidRPr="006E19C7">
              <w:t>3.1%</w:t>
            </w:r>
          </w:p>
        </w:tc>
        <w:tc>
          <w:tcPr>
            <w:tcW w:w="623" w:type="pct"/>
            <w:shd w:val="clear" w:color="auto" w:fill="auto"/>
            <w:noWrap/>
          </w:tcPr>
          <w:p w14:paraId="682EC8DC" w14:textId="77777777" w:rsidR="006B2325" w:rsidRPr="006E19C7" w:rsidRDefault="006B2325" w:rsidP="00CD1F63">
            <w:pPr>
              <w:jc w:val="center"/>
            </w:pPr>
            <w:r w:rsidRPr="006E19C7">
              <w:t>3.2%</w:t>
            </w:r>
          </w:p>
        </w:tc>
        <w:tc>
          <w:tcPr>
            <w:tcW w:w="624" w:type="pct"/>
            <w:shd w:val="clear" w:color="auto" w:fill="auto"/>
            <w:noWrap/>
          </w:tcPr>
          <w:p w14:paraId="57A7EEF5" w14:textId="77777777" w:rsidR="006B2325" w:rsidRPr="006E19C7" w:rsidRDefault="006B2325" w:rsidP="00CD1F63">
            <w:pPr>
              <w:jc w:val="center"/>
            </w:pPr>
            <w:r w:rsidRPr="006E19C7">
              <w:t>3.6%</w:t>
            </w:r>
          </w:p>
        </w:tc>
        <w:tc>
          <w:tcPr>
            <w:tcW w:w="623" w:type="pct"/>
            <w:shd w:val="clear" w:color="auto" w:fill="auto"/>
            <w:noWrap/>
          </w:tcPr>
          <w:p w14:paraId="387D0E5D" w14:textId="77777777" w:rsidR="006B2325" w:rsidRPr="006E19C7" w:rsidRDefault="006B2325" w:rsidP="00CD1F63">
            <w:pPr>
              <w:jc w:val="center"/>
            </w:pPr>
            <w:r w:rsidRPr="006E19C7">
              <w:t>4.5%</w:t>
            </w:r>
          </w:p>
        </w:tc>
        <w:tc>
          <w:tcPr>
            <w:tcW w:w="623" w:type="pct"/>
            <w:shd w:val="clear" w:color="auto" w:fill="auto"/>
            <w:noWrap/>
          </w:tcPr>
          <w:p w14:paraId="0C8F568F" w14:textId="77777777" w:rsidR="006B2325" w:rsidRPr="006E19C7" w:rsidRDefault="006B2325" w:rsidP="00CD1F63">
            <w:pPr>
              <w:jc w:val="center"/>
            </w:pPr>
            <w:r w:rsidRPr="006E19C7">
              <w:t>5.0%</w:t>
            </w:r>
          </w:p>
        </w:tc>
        <w:tc>
          <w:tcPr>
            <w:tcW w:w="610" w:type="pct"/>
            <w:shd w:val="clear" w:color="auto" w:fill="auto"/>
            <w:noWrap/>
          </w:tcPr>
          <w:p w14:paraId="62EFCD8F" w14:textId="77777777" w:rsidR="006B2325" w:rsidRPr="006E19C7" w:rsidRDefault="006B2325" w:rsidP="00CD1F63">
            <w:pPr>
              <w:jc w:val="center"/>
            </w:pPr>
            <w:r w:rsidRPr="006E19C7">
              <w:t>5.2%</w:t>
            </w:r>
          </w:p>
        </w:tc>
      </w:tr>
      <w:tr w:rsidR="006B2325" w:rsidRPr="006E19C7" w14:paraId="1B5F4D05" w14:textId="77777777" w:rsidTr="006B2325">
        <w:trPr>
          <w:trHeight w:val="295"/>
          <w:jc w:val="center"/>
        </w:trPr>
        <w:tc>
          <w:tcPr>
            <w:tcW w:w="1267" w:type="pct"/>
            <w:shd w:val="clear" w:color="auto" w:fill="auto"/>
            <w:noWrap/>
          </w:tcPr>
          <w:p w14:paraId="3998CDBE" w14:textId="77777777" w:rsidR="006B2325" w:rsidRPr="006E19C7" w:rsidRDefault="006B2325" w:rsidP="00CD1F63">
            <w:r w:rsidRPr="006E19C7">
              <w:t>Depression</w:t>
            </w:r>
          </w:p>
        </w:tc>
        <w:tc>
          <w:tcPr>
            <w:tcW w:w="630" w:type="pct"/>
            <w:shd w:val="clear" w:color="auto" w:fill="auto"/>
            <w:noWrap/>
          </w:tcPr>
          <w:p w14:paraId="3619D59B" w14:textId="77777777" w:rsidR="006B2325" w:rsidRPr="006E19C7" w:rsidRDefault="006B2325" w:rsidP="00CD1F63">
            <w:pPr>
              <w:jc w:val="center"/>
            </w:pPr>
            <w:r w:rsidRPr="006E19C7">
              <w:t>4.0%</w:t>
            </w:r>
          </w:p>
        </w:tc>
        <w:tc>
          <w:tcPr>
            <w:tcW w:w="623" w:type="pct"/>
            <w:shd w:val="clear" w:color="auto" w:fill="auto"/>
            <w:noWrap/>
          </w:tcPr>
          <w:p w14:paraId="463C8C2E" w14:textId="77777777" w:rsidR="006B2325" w:rsidRPr="006E19C7" w:rsidRDefault="006B2325" w:rsidP="00CD1F63">
            <w:pPr>
              <w:jc w:val="center"/>
            </w:pPr>
            <w:r w:rsidRPr="006E19C7">
              <w:t>5.0%</w:t>
            </w:r>
          </w:p>
        </w:tc>
        <w:tc>
          <w:tcPr>
            <w:tcW w:w="624" w:type="pct"/>
            <w:shd w:val="clear" w:color="auto" w:fill="auto"/>
            <w:noWrap/>
          </w:tcPr>
          <w:p w14:paraId="2C370718" w14:textId="77777777" w:rsidR="006B2325" w:rsidRPr="006E19C7" w:rsidRDefault="006B2325" w:rsidP="00CD1F63">
            <w:pPr>
              <w:jc w:val="center"/>
            </w:pPr>
            <w:r w:rsidRPr="006E19C7">
              <w:t>6.3%</w:t>
            </w:r>
          </w:p>
        </w:tc>
        <w:tc>
          <w:tcPr>
            <w:tcW w:w="623" w:type="pct"/>
            <w:shd w:val="clear" w:color="auto" w:fill="auto"/>
            <w:noWrap/>
          </w:tcPr>
          <w:p w14:paraId="705614E8" w14:textId="77777777" w:rsidR="006B2325" w:rsidRPr="006E19C7" w:rsidRDefault="006B2325" w:rsidP="00CD1F63">
            <w:pPr>
              <w:jc w:val="center"/>
            </w:pPr>
            <w:r w:rsidRPr="006E19C7">
              <w:t>7.2%</w:t>
            </w:r>
          </w:p>
        </w:tc>
        <w:tc>
          <w:tcPr>
            <w:tcW w:w="623" w:type="pct"/>
            <w:shd w:val="clear" w:color="auto" w:fill="auto"/>
            <w:noWrap/>
          </w:tcPr>
          <w:p w14:paraId="3A482448" w14:textId="77777777" w:rsidR="006B2325" w:rsidRPr="006E19C7" w:rsidRDefault="006B2325" w:rsidP="00CD1F63">
            <w:pPr>
              <w:jc w:val="center"/>
            </w:pPr>
            <w:r w:rsidRPr="006E19C7">
              <w:t>8.3%</w:t>
            </w:r>
          </w:p>
        </w:tc>
        <w:tc>
          <w:tcPr>
            <w:tcW w:w="610" w:type="pct"/>
            <w:shd w:val="clear" w:color="auto" w:fill="auto"/>
            <w:noWrap/>
          </w:tcPr>
          <w:p w14:paraId="5492B60F" w14:textId="77777777" w:rsidR="006B2325" w:rsidRPr="006E19C7" w:rsidRDefault="006B2325" w:rsidP="00CD1F63">
            <w:pPr>
              <w:jc w:val="center"/>
            </w:pPr>
            <w:r w:rsidRPr="006E19C7">
              <w:t>8.7%</w:t>
            </w:r>
          </w:p>
        </w:tc>
      </w:tr>
      <w:tr w:rsidR="006B2325" w:rsidRPr="006E19C7" w14:paraId="211C2ED1" w14:textId="77777777" w:rsidTr="006B2325">
        <w:trPr>
          <w:trHeight w:val="295"/>
          <w:jc w:val="center"/>
        </w:trPr>
        <w:tc>
          <w:tcPr>
            <w:tcW w:w="1267" w:type="pct"/>
            <w:shd w:val="clear" w:color="auto" w:fill="auto"/>
            <w:noWrap/>
          </w:tcPr>
          <w:p w14:paraId="321A7E0D" w14:textId="77777777" w:rsidR="006B2325" w:rsidRPr="006E19C7" w:rsidRDefault="006B2325" w:rsidP="00CD1F63">
            <w:r w:rsidRPr="006E19C7">
              <w:t>Diabetes</w:t>
            </w:r>
          </w:p>
        </w:tc>
        <w:tc>
          <w:tcPr>
            <w:tcW w:w="630" w:type="pct"/>
            <w:shd w:val="clear" w:color="auto" w:fill="auto"/>
            <w:noWrap/>
          </w:tcPr>
          <w:p w14:paraId="3D628C45" w14:textId="77777777" w:rsidR="006B2325" w:rsidRPr="006E19C7" w:rsidRDefault="006B2325" w:rsidP="00CD1F63">
            <w:pPr>
              <w:jc w:val="center"/>
            </w:pPr>
            <w:r w:rsidRPr="006E19C7">
              <w:t>26.7%</w:t>
            </w:r>
          </w:p>
        </w:tc>
        <w:tc>
          <w:tcPr>
            <w:tcW w:w="623" w:type="pct"/>
            <w:shd w:val="clear" w:color="auto" w:fill="auto"/>
            <w:noWrap/>
          </w:tcPr>
          <w:p w14:paraId="48C3311F" w14:textId="77777777" w:rsidR="006B2325" w:rsidRPr="006E19C7" w:rsidRDefault="006B2325" w:rsidP="00CD1F63">
            <w:pPr>
              <w:jc w:val="center"/>
            </w:pPr>
            <w:r w:rsidRPr="006E19C7">
              <w:t>27.8%</w:t>
            </w:r>
          </w:p>
        </w:tc>
        <w:tc>
          <w:tcPr>
            <w:tcW w:w="624" w:type="pct"/>
            <w:shd w:val="clear" w:color="auto" w:fill="auto"/>
            <w:noWrap/>
          </w:tcPr>
          <w:p w14:paraId="53FF3B44" w14:textId="77777777" w:rsidR="006B2325" w:rsidRPr="006E19C7" w:rsidRDefault="006B2325" w:rsidP="00CD1F63">
            <w:pPr>
              <w:jc w:val="center"/>
            </w:pPr>
            <w:r w:rsidRPr="006E19C7">
              <w:t>29.7%</w:t>
            </w:r>
          </w:p>
        </w:tc>
        <w:tc>
          <w:tcPr>
            <w:tcW w:w="623" w:type="pct"/>
            <w:shd w:val="clear" w:color="auto" w:fill="auto"/>
            <w:noWrap/>
          </w:tcPr>
          <w:p w14:paraId="43896256" w14:textId="77777777" w:rsidR="006B2325" w:rsidRPr="006E19C7" w:rsidRDefault="006B2325" w:rsidP="00CD1F63">
            <w:pPr>
              <w:jc w:val="center"/>
            </w:pPr>
            <w:r w:rsidRPr="006E19C7">
              <w:t>30.6%</w:t>
            </w:r>
          </w:p>
        </w:tc>
        <w:tc>
          <w:tcPr>
            <w:tcW w:w="623" w:type="pct"/>
            <w:shd w:val="clear" w:color="auto" w:fill="auto"/>
            <w:noWrap/>
          </w:tcPr>
          <w:p w14:paraId="58B811DE" w14:textId="77777777" w:rsidR="006B2325" w:rsidRPr="006E19C7" w:rsidRDefault="006B2325" w:rsidP="00CD1F63">
            <w:pPr>
              <w:jc w:val="center"/>
            </w:pPr>
            <w:r w:rsidRPr="006E19C7">
              <w:t>32.8%</w:t>
            </w:r>
          </w:p>
        </w:tc>
        <w:tc>
          <w:tcPr>
            <w:tcW w:w="610" w:type="pct"/>
            <w:shd w:val="clear" w:color="auto" w:fill="auto"/>
            <w:noWrap/>
          </w:tcPr>
          <w:p w14:paraId="0ECE72F1" w14:textId="77777777" w:rsidR="006B2325" w:rsidRPr="006E19C7" w:rsidRDefault="006B2325" w:rsidP="00CD1F63">
            <w:pPr>
              <w:jc w:val="center"/>
            </w:pPr>
            <w:r w:rsidRPr="006E19C7">
              <w:t>33.2%</w:t>
            </w:r>
          </w:p>
        </w:tc>
      </w:tr>
      <w:tr w:rsidR="006B2325" w:rsidRPr="006E19C7" w14:paraId="1A1D1DA4" w14:textId="77777777" w:rsidTr="006B2325">
        <w:trPr>
          <w:trHeight w:val="295"/>
          <w:jc w:val="center"/>
        </w:trPr>
        <w:tc>
          <w:tcPr>
            <w:tcW w:w="1267" w:type="pct"/>
            <w:shd w:val="clear" w:color="auto" w:fill="auto"/>
            <w:noWrap/>
          </w:tcPr>
          <w:p w14:paraId="513CC24B" w14:textId="77777777" w:rsidR="006B2325" w:rsidRPr="006E19C7" w:rsidRDefault="006B2325" w:rsidP="00CD1F63">
            <w:r w:rsidRPr="006E19C7">
              <w:t>Diabetes with complications</w:t>
            </w:r>
          </w:p>
        </w:tc>
        <w:tc>
          <w:tcPr>
            <w:tcW w:w="630" w:type="pct"/>
            <w:shd w:val="clear" w:color="auto" w:fill="auto"/>
            <w:noWrap/>
          </w:tcPr>
          <w:p w14:paraId="22F6A432" w14:textId="77777777" w:rsidR="006B2325" w:rsidRPr="006E19C7" w:rsidRDefault="006B2325" w:rsidP="00CD1F63">
            <w:pPr>
              <w:jc w:val="center"/>
            </w:pPr>
            <w:r w:rsidRPr="006E19C7">
              <w:t>4.5%</w:t>
            </w:r>
          </w:p>
        </w:tc>
        <w:tc>
          <w:tcPr>
            <w:tcW w:w="623" w:type="pct"/>
            <w:shd w:val="clear" w:color="auto" w:fill="auto"/>
            <w:noWrap/>
          </w:tcPr>
          <w:p w14:paraId="58172F44" w14:textId="77777777" w:rsidR="006B2325" w:rsidRPr="006E19C7" w:rsidRDefault="006B2325" w:rsidP="00CD1F63">
            <w:pPr>
              <w:jc w:val="center"/>
            </w:pPr>
            <w:r w:rsidRPr="006E19C7">
              <w:t>4.9%</w:t>
            </w:r>
          </w:p>
        </w:tc>
        <w:tc>
          <w:tcPr>
            <w:tcW w:w="624" w:type="pct"/>
            <w:shd w:val="clear" w:color="auto" w:fill="auto"/>
            <w:noWrap/>
          </w:tcPr>
          <w:p w14:paraId="37F722C1" w14:textId="77777777" w:rsidR="006B2325" w:rsidRPr="006E19C7" w:rsidRDefault="006B2325" w:rsidP="00CD1F63">
            <w:pPr>
              <w:jc w:val="center"/>
            </w:pPr>
            <w:r w:rsidRPr="006E19C7">
              <w:t>5.6%</w:t>
            </w:r>
          </w:p>
        </w:tc>
        <w:tc>
          <w:tcPr>
            <w:tcW w:w="623" w:type="pct"/>
            <w:shd w:val="clear" w:color="auto" w:fill="auto"/>
            <w:noWrap/>
          </w:tcPr>
          <w:p w14:paraId="6DE27AC7" w14:textId="77777777" w:rsidR="006B2325" w:rsidRPr="006E19C7" w:rsidRDefault="006B2325" w:rsidP="00CD1F63">
            <w:pPr>
              <w:jc w:val="center"/>
            </w:pPr>
            <w:r w:rsidRPr="006E19C7">
              <w:t>6.1%</w:t>
            </w:r>
          </w:p>
        </w:tc>
        <w:tc>
          <w:tcPr>
            <w:tcW w:w="623" w:type="pct"/>
            <w:shd w:val="clear" w:color="auto" w:fill="auto"/>
            <w:noWrap/>
          </w:tcPr>
          <w:p w14:paraId="54B579C8" w14:textId="77777777" w:rsidR="006B2325" w:rsidRPr="006E19C7" w:rsidRDefault="006B2325" w:rsidP="00CD1F63">
            <w:pPr>
              <w:jc w:val="center"/>
            </w:pPr>
            <w:r w:rsidRPr="006E19C7">
              <w:t>7.1%</w:t>
            </w:r>
          </w:p>
        </w:tc>
        <w:tc>
          <w:tcPr>
            <w:tcW w:w="610" w:type="pct"/>
            <w:shd w:val="clear" w:color="auto" w:fill="auto"/>
            <w:noWrap/>
          </w:tcPr>
          <w:p w14:paraId="18F8C152" w14:textId="77777777" w:rsidR="006B2325" w:rsidRPr="006E19C7" w:rsidRDefault="006B2325" w:rsidP="00CD1F63">
            <w:pPr>
              <w:jc w:val="center"/>
            </w:pPr>
            <w:r w:rsidRPr="006E19C7">
              <w:t>7.7%</w:t>
            </w:r>
          </w:p>
        </w:tc>
      </w:tr>
      <w:tr w:rsidR="006B2325" w:rsidRPr="006E19C7" w14:paraId="79E188F2" w14:textId="77777777" w:rsidTr="006B2325">
        <w:trPr>
          <w:trHeight w:val="295"/>
          <w:jc w:val="center"/>
        </w:trPr>
        <w:tc>
          <w:tcPr>
            <w:tcW w:w="1267" w:type="pct"/>
            <w:shd w:val="clear" w:color="auto" w:fill="auto"/>
            <w:noWrap/>
          </w:tcPr>
          <w:p w14:paraId="6A06CE8E" w14:textId="77777777" w:rsidR="006B2325" w:rsidRPr="006E19C7" w:rsidRDefault="006B2325" w:rsidP="00CD1F63">
            <w:r w:rsidRPr="006E19C7">
              <w:t>Drug abuse</w:t>
            </w:r>
          </w:p>
        </w:tc>
        <w:tc>
          <w:tcPr>
            <w:tcW w:w="630" w:type="pct"/>
            <w:shd w:val="clear" w:color="auto" w:fill="auto"/>
            <w:noWrap/>
          </w:tcPr>
          <w:p w14:paraId="222EFD59" w14:textId="77777777" w:rsidR="006B2325" w:rsidRPr="006E19C7" w:rsidRDefault="006B2325" w:rsidP="00CD1F63">
            <w:pPr>
              <w:jc w:val="center"/>
            </w:pPr>
            <w:r w:rsidRPr="006E19C7">
              <w:t>1.3%</w:t>
            </w:r>
          </w:p>
        </w:tc>
        <w:tc>
          <w:tcPr>
            <w:tcW w:w="623" w:type="pct"/>
            <w:shd w:val="clear" w:color="auto" w:fill="auto"/>
            <w:noWrap/>
          </w:tcPr>
          <w:p w14:paraId="1C6DF7D2" w14:textId="77777777" w:rsidR="006B2325" w:rsidRPr="006E19C7" w:rsidRDefault="006B2325" w:rsidP="00CD1F63">
            <w:pPr>
              <w:jc w:val="center"/>
            </w:pPr>
            <w:r w:rsidRPr="006E19C7">
              <w:t>1.9%</w:t>
            </w:r>
          </w:p>
        </w:tc>
        <w:tc>
          <w:tcPr>
            <w:tcW w:w="624" w:type="pct"/>
            <w:shd w:val="clear" w:color="auto" w:fill="auto"/>
            <w:noWrap/>
          </w:tcPr>
          <w:p w14:paraId="55FB9FD6" w14:textId="77777777" w:rsidR="006B2325" w:rsidRPr="006E19C7" w:rsidRDefault="006B2325" w:rsidP="00CD1F63">
            <w:pPr>
              <w:jc w:val="center"/>
            </w:pPr>
            <w:r w:rsidRPr="006E19C7">
              <w:t>1.9%</w:t>
            </w:r>
          </w:p>
        </w:tc>
        <w:tc>
          <w:tcPr>
            <w:tcW w:w="623" w:type="pct"/>
            <w:shd w:val="clear" w:color="auto" w:fill="auto"/>
            <w:noWrap/>
          </w:tcPr>
          <w:p w14:paraId="0E7A0E18" w14:textId="77777777" w:rsidR="006B2325" w:rsidRPr="006E19C7" w:rsidRDefault="006B2325" w:rsidP="00CD1F63">
            <w:pPr>
              <w:jc w:val="center"/>
            </w:pPr>
            <w:r w:rsidRPr="006E19C7">
              <w:t>2.2%</w:t>
            </w:r>
          </w:p>
        </w:tc>
        <w:tc>
          <w:tcPr>
            <w:tcW w:w="623" w:type="pct"/>
            <w:shd w:val="clear" w:color="auto" w:fill="auto"/>
            <w:noWrap/>
          </w:tcPr>
          <w:p w14:paraId="4AE84201" w14:textId="77777777" w:rsidR="006B2325" w:rsidRPr="006E19C7" w:rsidRDefault="006B2325" w:rsidP="00CD1F63">
            <w:pPr>
              <w:jc w:val="center"/>
            </w:pPr>
            <w:r w:rsidRPr="006E19C7">
              <w:t>2.5%</w:t>
            </w:r>
          </w:p>
        </w:tc>
        <w:tc>
          <w:tcPr>
            <w:tcW w:w="610" w:type="pct"/>
            <w:shd w:val="clear" w:color="auto" w:fill="auto"/>
            <w:noWrap/>
          </w:tcPr>
          <w:p w14:paraId="635974C5" w14:textId="77777777" w:rsidR="006B2325" w:rsidRPr="006E19C7" w:rsidRDefault="006B2325" w:rsidP="00CD1F63">
            <w:pPr>
              <w:jc w:val="center"/>
            </w:pPr>
            <w:r w:rsidRPr="006E19C7">
              <w:t>2.8%</w:t>
            </w:r>
          </w:p>
        </w:tc>
      </w:tr>
      <w:tr w:rsidR="006B2325" w:rsidRPr="006E19C7" w14:paraId="002763A3" w14:textId="77777777" w:rsidTr="006B2325">
        <w:trPr>
          <w:trHeight w:val="295"/>
          <w:jc w:val="center"/>
        </w:trPr>
        <w:tc>
          <w:tcPr>
            <w:tcW w:w="1267" w:type="pct"/>
            <w:shd w:val="clear" w:color="auto" w:fill="auto"/>
            <w:noWrap/>
          </w:tcPr>
          <w:p w14:paraId="5C4FB4E2" w14:textId="77777777" w:rsidR="006B2325" w:rsidRPr="006E19C7" w:rsidRDefault="006B2325" w:rsidP="00CD1F63">
            <w:r w:rsidRPr="006E19C7">
              <w:t>Hypertension</w:t>
            </w:r>
          </w:p>
        </w:tc>
        <w:tc>
          <w:tcPr>
            <w:tcW w:w="630" w:type="pct"/>
            <w:shd w:val="clear" w:color="auto" w:fill="auto"/>
            <w:noWrap/>
          </w:tcPr>
          <w:p w14:paraId="78DB1D70" w14:textId="77777777" w:rsidR="006B2325" w:rsidRPr="006E19C7" w:rsidRDefault="006B2325" w:rsidP="00CD1F63">
            <w:pPr>
              <w:jc w:val="center"/>
            </w:pPr>
            <w:r w:rsidRPr="006E19C7">
              <w:t>62.0%</w:t>
            </w:r>
          </w:p>
        </w:tc>
        <w:tc>
          <w:tcPr>
            <w:tcW w:w="623" w:type="pct"/>
            <w:shd w:val="clear" w:color="auto" w:fill="auto"/>
            <w:noWrap/>
          </w:tcPr>
          <w:p w14:paraId="28CDB010" w14:textId="77777777" w:rsidR="006B2325" w:rsidRPr="006E19C7" w:rsidRDefault="006B2325" w:rsidP="00CD1F63">
            <w:pPr>
              <w:jc w:val="center"/>
            </w:pPr>
            <w:r w:rsidRPr="006E19C7">
              <w:t>66.2%</w:t>
            </w:r>
          </w:p>
        </w:tc>
        <w:tc>
          <w:tcPr>
            <w:tcW w:w="624" w:type="pct"/>
            <w:shd w:val="clear" w:color="auto" w:fill="auto"/>
            <w:noWrap/>
          </w:tcPr>
          <w:p w14:paraId="6331BC9C" w14:textId="77777777" w:rsidR="006B2325" w:rsidRPr="006E19C7" w:rsidRDefault="006B2325" w:rsidP="00CD1F63">
            <w:pPr>
              <w:jc w:val="center"/>
            </w:pPr>
            <w:r w:rsidRPr="006E19C7">
              <w:t>70.0%</w:t>
            </w:r>
          </w:p>
        </w:tc>
        <w:tc>
          <w:tcPr>
            <w:tcW w:w="623" w:type="pct"/>
            <w:shd w:val="clear" w:color="auto" w:fill="auto"/>
            <w:noWrap/>
          </w:tcPr>
          <w:p w14:paraId="3B05247B" w14:textId="77777777" w:rsidR="006B2325" w:rsidRPr="006E19C7" w:rsidRDefault="006B2325" w:rsidP="00CD1F63">
            <w:pPr>
              <w:jc w:val="center"/>
            </w:pPr>
            <w:r w:rsidRPr="006E19C7">
              <w:t>72.6%</w:t>
            </w:r>
          </w:p>
        </w:tc>
        <w:tc>
          <w:tcPr>
            <w:tcW w:w="623" w:type="pct"/>
            <w:shd w:val="clear" w:color="auto" w:fill="auto"/>
            <w:noWrap/>
          </w:tcPr>
          <w:p w14:paraId="15EB7376" w14:textId="77777777" w:rsidR="006B2325" w:rsidRPr="006E19C7" w:rsidRDefault="006B2325" w:rsidP="00CD1F63">
            <w:pPr>
              <w:jc w:val="center"/>
            </w:pPr>
            <w:r w:rsidRPr="006E19C7">
              <w:t>75.5%</w:t>
            </w:r>
          </w:p>
        </w:tc>
        <w:tc>
          <w:tcPr>
            <w:tcW w:w="610" w:type="pct"/>
            <w:shd w:val="clear" w:color="auto" w:fill="auto"/>
            <w:noWrap/>
          </w:tcPr>
          <w:p w14:paraId="5142864F" w14:textId="77777777" w:rsidR="006B2325" w:rsidRPr="006E19C7" w:rsidRDefault="006B2325" w:rsidP="00CD1F63">
            <w:pPr>
              <w:jc w:val="center"/>
            </w:pPr>
            <w:r w:rsidRPr="006E19C7">
              <w:t>77.2%</w:t>
            </w:r>
          </w:p>
        </w:tc>
      </w:tr>
      <w:tr w:rsidR="006B2325" w:rsidRPr="006E19C7" w14:paraId="51117748" w14:textId="77777777" w:rsidTr="006B2325">
        <w:trPr>
          <w:trHeight w:val="295"/>
          <w:jc w:val="center"/>
        </w:trPr>
        <w:tc>
          <w:tcPr>
            <w:tcW w:w="1267" w:type="pct"/>
            <w:shd w:val="clear" w:color="auto" w:fill="auto"/>
            <w:noWrap/>
          </w:tcPr>
          <w:p w14:paraId="02261D04" w14:textId="77777777" w:rsidR="006B2325" w:rsidRPr="006E19C7" w:rsidRDefault="006B2325" w:rsidP="00CD1F63">
            <w:r w:rsidRPr="006E19C7">
              <w:t>Hypothyroidism</w:t>
            </w:r>
          </w:p>
        </w:tc>
        <w:tc>
          <w:tcPr>
            <w:tcW w:w="630" w:type="pct"/>
            <w:shd w:val="clear" w:color="auto" w:fill="auto"/>
            <w:noWrap/>
          </w:tcPr>
          <w:p w14:paraId="0B33C9CC" w14:textId="77777777" w:rsidR="006B2325" w:rsidRPr="006E19C7" w:rsidRDefault="006B2325" w:rsidP="00CD1F63">
            <w:pPr>
              <w:jc w:val="center"/>
            </w:pPr>
            <w:r w:rsidRPr="006E19C7">
              <w:t>6.9%</w:t>
            </w:r>
          </w:p>
        </w:tc>
        <w:tc>
          <w:tcPr>
            <w:tcW w:w="623" w:type="pct"/>
            <w:shd w:val="clear" w:color="auto" w:fill="auto"/>
            <w:noWrap/>
          </w:tcPr>
          <w:p w14:paraId="62A2ACA5" w14:textId="77777777" w:rsidR="006B2325" w:rsidRPr="006E19C7" w:rsidRDefault="006B2325" w:rsidP="00CD1F63">
            <w:pPr>
              <w:jc w:val="center"/>
            </w:pPr>
            <w:r w:rsidRPr="006E19C7">
              <w:t>7.4%</w:t>
            </w:r>
          </w:p>
        </w:tc>
        <w:tc>
          <w:tcPr>
            <w:tcW w:w="624" w:type="pct"/>
            <w:shd w:val="clear" w:color="auto" w:fill="auto"/>
            <w:noWrap/>
          </w:tcPr>
          <w:p w14:paraId="6BDC4BDE" w14:textId="77777777" w:rsidR="006B2325" w:rsidRPr="006E19C7" w:rsidRDefault="006B2325" w:rsidP="00CD1F63">
            <w:pPr>
              <w:jc w:val="center"/>
            </w:pPr>
            <w:r w:rsidRPr="006E19C7">
              <w:t>9.1%</w:t>
            </w:r>
          </w:p>
        </w:tc>
        <w:tc>
          <w:tcPr>
            <w:tcW w:w="623" w:type="pct"/>
            <w:shd w:val="clear" w:color="auto" w:fill="auto"/>
            <w:noWrap/>
          </w:tcPr>
          <w:p w14:paraId="1E7615E2" w14:textId="77777777" w:rsidR="006B2325" w:rsidRPr="006E19C7" w:rsidRDefault="006B2325" w:rsidP="00CD1F63">
            <w:pPr>
              <w:jc w:val="center"/>
            </w:pPr>
            <w:r w:rsidRPr="006E19C7">
              <w:t>9.5%</w:t>
            </w:r>
          </w:p>
        </w:tc>
        <w:tc>
          <w:tcPr>
            <w:tcW w:w="623" w:type="pct"/>
            <w:shd w:val="clear" w:color="auto" w:fill="auto"/>
            <w:noWrap/>
          </w:tcPr>
          <w:p w14:paraId="292F9967" w14:textId="77777777" w:rsidR="006B2325" w:rsidRPr="006E19C7" w:rsidRDefault="006B2325" w:rsidP="00CD1F63">
            <w:pPr>
              <w:jc w:val="center"/>
            </w:pPr>
            <w:r w:rsidRPr="006E19C7">
              <w:t>10.8%</w:t>
            </w:r>
          </w:p>
        </w:tc>
        <w:tc>
          <w:tcPr>
            <w:tcW w:w="610" w:type="pct"/>
            <w:shd w:val="clear" w:color="auto" w:fill="auto"/>
            <w:noWrap/>
          </w:tcPr>
          <w:p w14:paraId="469EB1A2" w14:textId="77777777" w:rsidR="006B2325" w:rsidRPr="006E19C7" w:rsidRDefault="006B2325" w:rsidP="00CD1F63">
            <w:pPr>
              <w:jc w:val="center"/>
            </w:pPr>
            <w:r w:rsidRPr="006E19C7">
              <w:t>11.5%</w:t>
            </w:r>
          </w:p>
        </w:tc>
      </w:tr>
      <w:tr w:rsidR="006B2325" w:rsidRPr="006E19C7" w14:paraId="08E54442" w14:textId="77777777" w:rsidTr="006B2325">
        <w:trPr>
          <w:trHeight w:val="295"/>
          <w:jc w:val="center"/>
        </w:trPr>
        <w:tc>
          <w:tcPr>
            <w:tcW w:w="1267" w:type="pct"/>
            <w:shd w:val="clear" w:color="auto" w:fill="auto"/>
            <w:noWrap/>
          </w:tcPr>
          <w:p w14:paraId="2619E06C" w14:textId="77777777" w:rsidR="006B2325" w:rsidRPr="006E19C7" w:rsidRDefault="006B2325" w:rsidP="00CD1F63">
            <w:r w:rsidRPr="006E19C7">
              <w:t>Liver disease</w:t>
            </w:r>
          </w:p>
        </w:tc>
        <w:tc>
          <w:tcPr>
            <w:tcW w:w="630" w:type="pct"/>
            <w:shd w:val="clear" w:color="auto" w:fill="auto"/>
            <w:noWrap/>
          </w:tcPr>
          <w:p w14:paraId="49C34BDA" w14:textId="77777777" w:rsidR="006B2325" w:rsidRPr="006E19C7" w:rsidRDefault="006B2325" w:rsidP="00CD1F63">
            <w:pPr>
              <w:jc w:val="center"/>
            </w:pPr>
            <w:r w:rsidRPr="006E19C7">
              <w:t>0.7%</w:t>
            </w:r>
          </w:p>
        </w:tc>
        <w:tc>
          <w:tcPr>
            <w:tcW w:w="623" w:type="pct"/>
            <w:shd w:val="clear" w:color="auto" w:fill="auto"/>
            <w:noWrap/>
          </w:tcPr>
          <w:p w14:paraId="49BCC26F" w14:textId="77777777" w:rsidR="006B2325" w:rsidRPr="006E19C7" w:rsidRDefault="006B2325" w:rsidP="00CD1F63">
            <w:pPr>
              <w:jc w:val="center"/>
            </w:pPr>
            <w:r w:rsidRPr="006E19C7">
              <w:t>0.8%</w:t>
            </w:r>
          </w:p>
        </w:tc>
        <w:tc>
          <w:tcPr>
            <w:tcW w:w="624" w:type="pct"/>
            <w:shd w:val="clear" w:color="auto" w:fill="auto"/>
            <w:noWrap/>
          </w:tcPr>
          <w:p w14:paraId="52FBA24D" w14:textId="77777777" w:rsidR="006B2325" w:rsidRPr="006E19C7" w:rsidRDefault="006B2325" w:rsidP="00CD1F63">
            <w:pPr>
              <w:jc w:val="center"/>
            </w:pPr>
            <w:r w:rsidRPr="006E19C7">
              <w:t>1.1%</w:t>
            </w:r>
          </w:p>
        </w:tc>
        <w:tc>
          <w:tcPr>
            <w:tcW w:w="623" w:type="pct"/>
            <w:shd w:val="clear" w:color="auto" w:fill="auto"/>
            <w:noWrap/>
          </w:tcPr>
          <w:p w14:paraId="5E89FEDC" w14:textId="77777777" w:rsidR="006B2325" w:rsidRPr="006E19C7" w:rsidRDefault="006B2325" w:rsidP="00CD1F63">
            <w:pPr>
              <w:jc w:val="center"/>
            </w:pPr>
            <w:r w:rsidRPr="006E19C7">
              <w:t>1.2%</w:t>
            </w:r>
          </w:p>
        </w:tc>
        <w:tc>
          <w:tcPr>
            <w:tcW w:w="623" w:type="pct"/>
            <w:shd w:val="clear" w:color="auto" w:fill="auto"/>
            <w:noWrap/>
          </w:tcPr>
          <w:p w14:paraId="69ACCC38" w14:textId="77777777" w:rsidR="006B2325" w:rsidRPr="006E19C7" w:rsidRDefault="006B2325" w:rsidP="00CD1F63">
            <w:pPr>
              <w:jc w:val="center"/>
            </w:pPr>
            <w:r w:rsidRPr="006E19C7">
              <w:t>1.5%</w:t>
            </w:r>
          </w:p>
        </w:tc>
        <w:tc>
          <w:tcPr>
            <w:tcW w:w="610" w:type="pct"/>
            <w:shd w:val="clear" w:color="auto" w:fill="auto"/>
            <w:noWrap/>
          </w:tcPr>
          <w:p w14:paraId="5A97B41B" w14:textId="77777777" w:rsidR="006B2325" w:rsidRPr="006E19C7" w:rsidRDefault="006B2325" w:rsidP="00CD1F63">
            <w:pPr>
              <w:jc w:val="center"/>
            </w:pPr>
            <w:r w:rsidRPr="006E19C7">
              <w:t>1.8%</w:t>
            </w:r>
          </w:p>
        </w:tc>
      </w:tr>
      <w:tr w:rsidR="006B2325" w:rsidRPr="006E19C7" w14:paraId="7F58D7ED" w14:textId="77777777" w:rsidTr="006B2325">
        <w:trPr>
          <w:trHeight w:val="295"/>
          <w:jc w:val="center"/>
        </w:trPr>
        <w:tc>
          <w:tcPr>
            <w:tcW w:w="1267" w:type="pct"/>
            <w:shd w:val="clear" w:color="auto" w:fill="auto"/>
            <w:noWrap/>
          </w:tcPr>
          <w:p w14:paraId="5E784049" w14:textId="77777777" w:rsidR="006B2325" w:rsidRPr="006E19C7" w:rsidRDefault="006B2325" w:rsidP="00CD1F63">
            <w:r w:rsidRPr="006E19C7">
              <w:t>Lymphomas</w:t>
            </w:r>
          </w:p>
        </w:tc>
        <w:tc>
          <w:tcPr>
            <w:tcW w:w="630" w:type="pct"/>
            <w:shd w:val="clear" w:color="auto" w:fill="auto"/>
            <w:noWrap/>
          </w:tcPr>
          <w:p w14:paraId="46472615" w14:textId="77777777" w:rsidR="006B2325" w:rsidRPr="006E19C7" w:rsidRDefault="006B2325" w:rsidP="00CD1F63">
            <w:pPr>
              <w:jc w:val="center"/>
            </w:pPr>
            <w:r w:rsidRPr="006E19C7">
              <w:t>0.4%</w:t>
            </w:r>
          </w:p>
        </w:tc>
        <w:tc>
          <w:tcPr>
            <w:tcW w:w="623" w:type="pct"/>
            <w:shd w:val="clear" w:color="auto" w:fill="auto"/>
            <w:noWrap/>
          </w:tcPr>
          <w:p w14:paraId="5EAAA6A7" w14:textId="77777777" w:rsidR="006B2325" w:rsidRPr="006E19C7" w:rsidRDefault="006B2325" w:rsidP="00CD1F63">
            <w:pPr>
              <w:jc w:val="center"/>
            </w:pPr>
            <w:r w:rsidRPr="006E19C7">
              <w:t>0.4%</w:t>
            </w:r>
          </w:p>
        </w:tc>
        <w:tc>
          <w:tcPr>
            <w:tcW w:w="624" w:type="pct"/>
            <w:shd w:val="clear" w:color="auto" w:fill="auto"/>
            <w:noWrap/>
          </w:tcPr>
          <w:p w14:paraId="43760E56" w14:textId="77777777" w:rsidR="006B2325" w:rsidRPr="006E19C7" w:rsidRDefault="006B2325" w:rsidP="00CD1F63">
            <w:pPr>
              <w:jc w:val="center"/>
            </w:pPr>
            <w:r w:rsidRPr="006E19C7">
              <w:t>0.5%</w:t>
            </w:r>
          </w:p>
        </w:tc>
        <w:tc>
          <w:tcPr>
            <w:tcW w:w="623" w:type="pct"/>
            <w:shd w:val="clear" w:color="auto" w:fill="auto"/>
            <w:noWrap/>
          </w:tcPr>
          <w:p w14:paraId="56F78461" w14:textId="77777777" w:rsidR="006B2325" w:rsidRPr="006E19C7" w:rsidRDefault="006B2325" w:rsidP="00CD1F63">
            <w:pPr>
              <w:jc w:val="center"/>
            </w:pPr>
            <w:r w:rsidRPr="006E19C7">
              <w:t>0.4%</w:t>
            </w:r>
          </w:p>
        </w:tc>
        <w:tc>
          <w:tcPr>
            <w:tcW w:w="623" w:type="pct"/>
            <w:shd w:val="clear" w:color="auto" w:fill="auto"/>
            <w:noWrap/>
          </w:tcPr>
          <w:p w14:paraId="05B6097C" w14:textId="77777777" w:rsidR="006B2325" w:rsidRPr="006E19C7" w:rsidRDefault="006B2325" w:rsidP="00CD1F63">
            <w:pPr>
              <w:jc w:val="center"/>
            </w:pPr>
            <w:r w:rsidRPr="006E19C7">
              <w:t>0.5%</w:t>
            </w:r>
          </w:p>
        </w:tc>
        <w:tc>
          <w:tcPr>
            <w:tcW w:w="610" w:type="pct"/>
            <w:shd w:val="clear" w:color="auto" w:fill="auto"/>
            <w:noWrap/>
          </w:tcPr>
          <w:p w14:paraId="317562B7" w14:textId="77777777" w:rsidR="006B2325" w:rsidRPr="006E19C7" w:rsidRDefault="006B2325" w:rsidP="00CD1F63">
            <w:pPr>
              <w:jc w:val="center"/>
            </w:pPr>
            <w:r w:rsidRPr="006E19C7">
              <w:t>0.5%</w:t>
            </w:r>
          </w:p>
        </w:tc>
      </w:tr>
      <w:tr w:rsidR="006B2325" w:rsidRPr="006E19C7" w14:paraId="12D0AC0E" w14:textId="77777777" w:rsidTr="006B2325">
        <w:trPr>
          <w:trHeight w:val="295"/>
          <w:jc w:val="center"/>
        </w:trPr>
        <w:tc>
          <w:tcPr>
            <w:tcW w:w="1267" w:type="pct"/>
            <w:shd w:val="clear" w:color="auto" w:fill="auto"/>
            <w:noWrap/>
          </w:tcPr>
          <w:p w14:paraId="0E6089F3" w14:textId="77777777" w:rsidR="006B2325" w:rsidRPr="006E19C7" w:rsidRDefault="006B2325" w:rsidP="00CD1F63">
            <w:r w:rsidRPr="006E19C7">
              <w:t>Fluid and electrolyte disturbances</w:t>
            </w:r>
          </w:p>
        </w:tc>
        <w:tc>
          <w:tcPr>
            <w:tcW w:w="630" w:type="pct"/>
            <w:shd w:val="clear" w:color="auto" w:fill="auto"/>
            <w:noWrap/>
          </w:tcPr>
          <w:p w14:paraId="2898E3A7" w14:textId="77777777" w:rsidR="006B2325" w:rsidRPr="006E19C7" w:rsidRDefault="006B2325" w:rsidP="00CD1F63">
            <w:pPr>
              <w:jc w:val="center"/>
            </w:pPr>
            <w:r w:rsidRPr="006E19C7">
              <w:t>10.9%</w:t>
            </w:r>
          </w:p>
        </w:tc>
        <w:tc>
          <w:tcPr>
            <w:tcW w:w="623" w:type="pct"/>
            <w:shd w:val="clear" w:color="auto" w:fill="auto"/>
            <w:noWrap/>
          </w:tcPr>
          <w:p w14:paraId="33930A19" w14:textId="77777777" w:rsidR="006B2325" w:rsidRPr="006E19C7" w:rsidRDefault="006B2325" w:rsidP="00CD1F63">
            <w:pPr>
              <w:jc w:val="center"/>
            </w:pPr>
            <w:r w:rsidRPr="006E19C7">
              <w:t>12.8%</w:t>
            </w:r>
          </w:p>
        </w:tc>
        <w:tc>
          <w:tcPr>
            <w:tcW w:w="624" w:type="pct"/>
            <w:shd w:val="clear" w:color="auto" w:fill="auto"/>
            <w:noWrap/>
          </w:tcPr>
          <w:p w14:paraId="688B2DB1" w14:textId="77777777" w:rsidR="006B2325" w:rsidRPr="006E19C7" w:rsidRDefault="006B2325" w:rsidP="00CD1F63">
            <w:pPr>
              <w:jc w:val="center"/>
            </w:pPr>
            <w:r w:rsidRPr="006E19C7">
              <w:t>15.3%</w:t>
            </w:r>
          </w:p>
        </w:tc>
        <w:tc>
          <w:tcPr>
            <w:tcW w:w="623" w:type="pct"/>
            <w:shd w:val="clear" w:color="auto" w:fill="auto"/>
            <w:noWrap/>
          </w:tcPr>
          <w:p w14:paraId="3A3BFEF3" w14:textId="77777777" w:rsidR="006B2325" w:rsidRPr="006E19C7" w:rsidRDefault="006B2325" w:rsidP="00CD1F63">
            <w:pPr>
              <w:jc w:val="center"/>
            </w:pPr>
            <w:r w:rsidRPr="006E19C7">
              <w:t>16.5%</w:t>
            </w:r>
          </w:p>
        </w:tc>
        <w:tc>
          <w:tcPr>
            <w:tcW w:w="623" w:type="pct"/>
            <w:shd w:val="clear" w:color="auto" w:fill="auto"/>
            <w:noWrap/>
          </w:tcPr>
          <w:p w14:paraId="4DF7FD60" w14:textId="77777777" w:rsidR="006B2325" w:rsidRPr="006E19C7" w:rsidRDefault="006B2325" w:rsidP="00CD1F63">
            <w:pPr>
              <w:jc w:val="center"/>
            </w:pPr>
            <w:r w:rsidRPr="006E19C7">
              <w:t>18.4%</w:t>
            </w:r>
          </w:p>
        </w:tc>
        <w:tc>
          <w:tcPr>
            <w:tcW w:w="610" w:type="pct"/>
            <w:shd w:val="clear" w:color="auto" w:fill="auto"/>
            <w:noWrap/>
          </w:tcPr>
          <w:p w14:paraId="1295AB13" w14:textId="77777777" w:rsidR="006B2325" w:rsidRPr="006E19C7" w:rsidRDefault="006B2325" w:rsidP="00CD1F63">
            <w:pPr>
              <w:jc w:val="center"/>
            </w:pPr>
            <w:r w:rsidRPr="006E19C7">
              <w:t>20.1%</w:t>
            </w:r>
          </w:p>
        </w:tc>
      </w:tr>
      <w:tr w:rsidR="006B2325" w:rsidRPr="006E19C7" w14:paraId="45D2A85E" w14:textId="77777777" w:rsidTr="006B2325">
        <w:trPr>
          <w:trHeight w:val="295"/>
          <w:jc w:val="center"/>
        </w:trPr>
        <w:tc>
          <w:tcPr>
            <w:tcW w:w="1267" w:type="pct"/>
            <w:shd w:val="clear" w:color="auto" w:fill="auto"/>
            <w:noWrap/>
          </w:tcPr>
          <w:p w14:paraId="6A6558BE" w14:textId="77777777" w:rsidR="006B2325" w:rsidRPr="006E19C7" w:rsidRDefault="006B2325" w:rsidP="00CD1F63">
            <w:r w:rsidRPr="006E19C7">
              <w:t>Other neurological disorders</w:t>
            </w:r>
          </w:p>
        </w:tc>
        <w:tc>
          <w:tcPr>
            <w:tcW w:w="630" w:type="pct"/>
            <w:shd w:val="clear" w:color="auto" w:fill="auto"/>
            <w:noWrap/>
          </w:tcPr>
          <w:p w14:paraId="4D0A720D" w14:textId="77777777" w:rsidR="006B2325" w:rsidRPr="006E19C7" w:rsidRDefault="006B2325" w:rsidP="00CD1F63">
            <w:pPr>
              <w:jc w:val="center"/>
            </w:pPr>
            <w:r w:rsidRPr="006E19C7">
              <w:t>2.8%</w:t>
            </w:r>
          </w:p>
        </w:tc>
        <w:tc>
          <w:tcPr>
            <w:tcW w:w="623" w:type="pct"/>
            <w:shd w:val="clear" w:color="auto" w:fill="auto"/>
            <w:noWrap/>
          </w:tcPr>
          <w:p w14:paraId="61EBD235" w14:textId="77777777" w:rsidR="006B2325" w:rsidRPr="006E19C7" w:rsidRDefault="006B2325" w:rsidP="00CD1F63">
            <w:pPr>
              <w:jc w:val="center"/>
            </w:pPr>
            <w:r w:rsidRPr="006E19C7">
              <w:t>3.3%</w:t>
            </w:r>
          </w:p>
        </w:tc>
        <w:tc>
          <w:tcPr>
            <w:tcW w:w="624" w:type="pct"/>
            <w:shd w:val="clear" w:color="auto" w:fill="auto"/>
            <w:noWrap/>
          </w:tcPr>
          <w:p w14:paraId="3692561C" w14:textId="77777777" w:rsidR="006B2325" w:rsidRPr="006E19C7" w:rsidRDefault="006B2325" w:rsidP="00CD1F63">
            <w:pPr>
              <w:jc w:val="center"/>
            </w:pPr>
            <w:r w:rsidRPr="006E19C7">
              <w:t>4.0%</w:t>
            </w:r>
          </w:p>
        </w:tc>
        <w:tc>
          <w:tcPr>
            <w:tcW w:w="623" w:type="pct"/>
            <w:shd w:val="clear" w:color="auto" w:fill="auto"/>
            <w:noWrap/>
          </w:tcPr>
          <w:p w14:paraId="02DD789D" w14:textId="77777777" w:rsidR="006B2325" w:rsidRPr="006E19C7" w:rsidRDefault="006B2325" w:rsidP="00CD1F63">
            <w:pPr>
              <w:jc w:val="center"/>
            </w:pPr>
            <w:r w:rsidRPr="006E19C7">
              <w:t>3.9%</w:t>
            </w:r>
          </w:p>
        </w:tc>
        <w:tc>
          <w:tcPr>
            <w:tcW w:w="623" w:type="pct"/>
            <w:shd w:val="clear" w:color="auto" w:fill="auto"/>
            <w:noWrap/>
          </w:tcPr>
          <w:p w14:paraId="204CC9AE" w14:textId="77777777" w:rsidR="006B2325" w:rsidRPr="006E19C7" w:rsidRDefault="006B2325" w:rsidP="00CD1F63">
            <w:pPr>
              <w:jc w:val="center"/>
            </w:pPr>
            <w:r w:rsidRPr="006E19C7">
              <w:t>4.5%</w:t>
            </w:r>
          </w:p>
        </w:tc>
        <w:tc>
          <w:tcPr>
            <w:tcW w:w="610" w:type="pct"/>
            <w:shd w:val="clear" w:color="auto" w:fill="auto"/>
            <w:noWrap/>
          </w:tcPr>
          <w:p w14:paraId="427CB904" w14:textId="77777777" w:rsidR="006B2325" w:rsidRPr="006E19C7" w:rsidRDefault="006B2325" w:rsidP="00CD1F63">
            <w:pPr>
              <w:jc w:val="center"/>
            </w:pPr>
            <w:r w:rsidRPr="006E19C7">
              <w:t>4.9%%</w:t>
            </w:r>
          </w:p>
        </w:tc>
      </w:tr>
      <w:tr w:rsidR="006B2325" w:rsidRPr="006E19C7" w14:paraId="67E6B3A7" w14:textId="77777777" w:rsidTr="006B2325">
        <w:trPr>
          <w:trHeight w:val="295"/>
          <w:jc w:val="center"/>
        </w:trPr>
        <w:tc>
          <w:tcPr>
            <w:tcW w:w="1267" w:type="pct"/>
            <w:shd w:val="clear" w:color="auto" w:fill="auto"/>
            <w:noWrap/>
          </w:tcPr>
          <w:p w14:paraId="3D91F6CA" w14:textId="77777777" w:rsidR="006B2325" w:rsidRPr="006E19C7" w:rsidRDefault="006B2325" w:rsidP="00CD1F63">
            <w:r w:rsidRPr="006E19C7">
              <w:t>Obesity</w:t>
            </w:r>
          </w:p>
        </w:tc>
        <w:tc>
          <w:tcPr>
            <w:tcW w:w="630" w:type="pct"/>
            <w:shd w:val="clear" w:color="auto" w:fill="auto"/>
            <w:noWrap/>
          </w:tcPr>
          <w:p w14:paraId="23B578A7" w14:textId="77777777" w:rsidR="006B2325" w:rsidRPr="006E19C7" w:rsidRDefault="006B2325" w:rsidP="00CD1F63">
            <w:pPr>
              <w:jc w:val="center"/>
            </w:pPr>
            <w:r w:rsidRPr="006E19C7">
              <w:t>8.9%</w:t>
            </w:r>
          </w:p>
        </w:tc>
        <w:tc>
          <w:tcPr>
            <w:tcW w:w="623" w:type="pct"/>
            <w:shd w:val="clear" w:color="auto" w:fill="auto"/>
            <w:noWrap/>
          </w:tcPr>
          <w:p w14:paraId="2086B84D" w14:textId="77777777" w:rsidR="006B2325" w:rsidRPr="006E19C7" w:rsidRDefault="006B2325" w:rsidP="00CD1F63">
            <w:pPr>
              <w:jc w:val="center"/>
            </w:pPr>
            <w:r w:rsidRPr="006E19C7">
              <w:t>9.9%</w:t>
            </w:r>
          </w:p>
        </w:tc>
        <w:tc>
          <w:tcPr>
            <w:tcW w:w="624" w:type="pct"/>
            <w:shd w:val="clear" w:color="auto" w:fill="auto"/>
            <w:noWrap/>
          </w:tcPr>
          <w:p w14:paraId="542E27B9" w14:textId="77777777" w:rsidR="006B2325" w:rsidRPr="006E19C7" w:rsidRDefault="006B2325" w:rsidP="00CD1F63">
            <w:pPr>
              <w:jc w:val="center"/>
            </w:pPr>
            <w:r w:rsidRPr="006E19C7">
              <w:t>13.7%</w:t>
            </w:r>
          </w:p>
        </w:tc>
        <w:tc>
          <w:tcPr>
            <w:tcW w:w="623" w:type="pct"/>
            <w:shd w:val="clear" w:color="auto" w:fill="auto"/>
            <w:noWrap/>
          </w:tcPr>
          <w:p w14:paraId="44FB8922" w14:textId="77777777" w:rsidR="006B2325" w:rsidRPr="006E19C7" w:rsidRDefault="006B2325" w:rsidP="00CD1F63">
            <w:pPr>
              <w:jc w:val="center"/>
            </w:pPr>
            <w:r w:rsidRPr="006E19C7">
              <w:t>14.6%</w:t>
            </w:r>
          </w:p>
        </w:tc>
        <w:tc>
          <w:tcPr>
            <w:tcW w:w="623" w:type="pct"/>
            <w:shd w:val="clear" w:color="auto" w:fill="auto"/>
            <w:noWrap/>
          </w:tcPr>
          <w:p w14:paraId="2D1D7C03" w14:textId="77777777" w:rsidR="006B2325" w:rsidRPr="006E19C7" w:rsidRDefault="006B2325" w:rsidP="00CD1F63">
            <w:pPr>
              <w:jc w:val="center"/>
            </w:pPr>
            <w:r w:rsidRPr="006E19C7">
              <w:t>18.1%</w:t>
            </w:r>
          </w:p>
        </w:tc>
        <w:tc>
          <w:tcPr>
            <w:tcW w:w="610" w:type="pct"/>
            <w:shd w:val="clear" w:color="auto" w:fill="auto"/>
            <w:noWrap/>
          </w:tcPr>
          <w:p w14:paraId="1A591E28" w14:textId="77777777" w:rsidR="006B2325" w:rsidRPr="006E19C7" w:rsidRDefault="006B2325" w:rsidP="00CD1F63">
            <w:pPr>
              <w:jc w:val="center"/>
            </w:pPr>
            <w:r w:rsidRPr="006E19C7">
              <w:t>19.9%</w:t>
            </w:r>
          </w:p>
        </w:tc>
      </w:tr>
      <w:tr w:rsidR="006B2325" w:rsidRPr="006E19C7" w14:paraId="759E01CC" w14:textId="77777777" w:rsidTr="006B2325">
        <w:trPr>
          <w:trHeight w:val="295"/>
          <w:jc w:val="center"/>
        </w:trPr>
        <w:tc>
          <w:tcPr>
            <w:tcW w:w="1267" w:type="pct"/>
            <w:shd w:val="clear" w:color="auto" w:fill="auto"/>
            <w:noWrap/>
          </w:tcPr>
          <w:p w14:paraId="188706AE" w14:textId="77777777" w:rsidR="006B2325" w:rsidRPr="006E19C7" w:rsidRDefault="006B2325" w:rsidP="00CD1F63">
            <w:r w:rsidRPr="006E19C7">
              <w:t>Paralysis</w:t>
            </w:r>
          </w:p>
        </w:tc>
        <w:tc>
          <w:tcPr>
            <w:tcW w:w="630" w:type="pct"/>
            <w:shd w:val="clear" w:color="auto" w:fill="auto"/>
            <w:noWrap/>
          </w:tcPr>
          <w:p w14:paraId="0F18021A" w14:textId="77777777" w:rsidR="006B2325" w:rsidRPr="006E19C7" w:rsidRDefault="006B2325" w:rsidP="00CD1F63">
            <w:pPr>
              <w:jc w:val="center"/>
            </w:pPr>
            <w:r w:rsidRPr="006E19C7">
              <w:t>0.9%</w:t>
            </w:r>
          </w:p>
        </w:tc>
        <w:tc>
          <w:tcPr>
            <w:tcW w:w="623" w:type="pct"/>
            <w:shd w:val="clear" w:color="auto" w:fill="auto"/>
            <w:noWrap/>
          </w:tcPr>
          <w:p w14:paraId="79D5A57D" w14:textId="77777777" w:rsidR="006B2325" w:rsidRPr="006E19C7" w:rsidRDefault="006B2325" w:rsidP="00CD1F63">
            <w:pPr>
              <w:jc w:val="center"/>
            </w:pPr>
            <w:r w:rsidRPr="006E19C7">
              <w:t>1.0%</w:t>
            </w:r>
          </w:p>
        </w:tc>
        <w:tc>
          <w:tcPr>
            <w:tcW w:w="624" w:type="pct"/>
            <w:shd w:val="clear" w:color="auto" w:fill="auto"/>
            <w:noWrap/>
          </w:tcPr>
          <w:p w14:paraId="26CC7983" w14:textId="77777777" w:rsidR="006B2325" w:rsidRPr="006E19C7" w:rsidRDefault="006B2325" w:rsidP="00CD1F63">
            <w:pPr>
              <w:jc w:val="center"/>
            </w:pPr>
            <w:r w:rsidRPr="006E19C7">
              <w:t>1.4%</w:t>
            </w:r>
          </w:p>
        </w:tc>
        <w:tc>
          <w:tcPr>
            <w:tcW w:w="623" w:type="pct"/>
            <w:shd w:val="clear" w:color="auto" w:fill="auto"/>
            <w:noWrap/>
          </w:tcPr>
          <w:p w14:paraId="7931B2F8" w14:textId="77777777" w:rsidR="006B2325" w:rsidRPr="006E19C7" w:rsidRDefault="006B2325" w:rsidP="00CD1F63">
            <w:pPr>
              <w:jc w:val="center"/>
            </w:pPr>
            <w:r w:rsidRPr="006E19C7">
              <w:t>1.2%</w:t>
            </w:r>
          </w:p>
        </w:tc>
        <w:tc>
          <w:tcPr>
            <w:tcW w:w="623" w:type="pct"/>
            <w:shd w:val="clear" w:color="auto" w:fill="auto"/>
            <w:noWrap/>
          </w:tcPr>
          <w:p w14:paraId="1355AC4C" w14:textId="77777777" w:rsidR="006B2325" w:rsidRPr="006E19C7" w:rsidRDefault="006B2325" w:rsidP="00CD1F63">
            <w:pPr>
              <w:jc w:val="center"/>
            </w:pPr>
            <w:r w:rsidRPr="006E19C7">
              <w:t>1.2%</w:t>
            </w:r>
          </w:p>
        </w:tc>
        <w:tc>
          <w:tcPr>
            <w:tcW w:w="610" w:type="pct"/>
            <w:shd w:val="clear" w:color="auto" w:fill="auto"/>
            <w:noWrap/>
          </w:tcPr>
          <w:p w14:paraId="4735CA48" w14:textId="77777777" w:rsidR="006B2325" w:rsidRPr="006E19C7" w:rsidRDefault="006B2325" w:rsidP="00CD1F63">
            <w:pPr>
              <w:jc w:val="center"/>
            </w:pPr>
            <w:r w:rsidRPr="006E19C7">
              <w:t>1.3%</w:t>
            </w:r>
          </w:p>
        </w:tc>
      </w:tr>
      <w:tr w:rsidR="006B2325" w:rsidRPr="006E19C7" w14:paraId="6CA1F7BE" w14:textId="77777777" w:rsidTr="006B2325">
        <w:trPr>
          <w:trHeight w:val="295"/>
          <w:jc w:val="center"/>
        </w:trPr>
        <w:tc>
          <w:tcPr>
            <w:tcW w:w="1267" w:type="pct"/>
            <w:shd w:val="clear" w:color="auto" w:fill="auto"/>
            <w:noWrap/>
          </w:tcPr>
          <w:p w14:paraId="49B7E08D" w14:textId="77777777" w:rsidR="006B2325" w:rsidRPr="006E19C7" w:rsidRDefault="006B2325" w:rsidP="00CD1F63">
            <w:r w:rsidRPr="006E19C7">
              <w:t>Psychoses</w:t>
            </w:r>
          </w:p>
        </w:tc>
        <w:tc>
          <w:tcPr>
            <w:tcW w:w="630" w:type="pct"/>
            <w:shd w:val="clear" w:color="auto" w:fill="auto"/>
            <w:noWrap/>
          </w:tcPr>
          <w:p w14:paraId="2E2E5B5D" w14:textId="77777777" w:rsidR="006B2325" w:rsidRPr="006E19C7" w:rsidRDefault="006B2325" w:rsidP="00CD1F63">
            <w:pPr>
              <w:jc w:val="center"/>
            </w:pPr>
            <w:r w:rsidRPr="006E19C7">
              <w:t>1.2%</w:t>
            </w:r>
          </w:p>
        </w:tc>
        <w:tc>
          <w:tcPr>
            <w:tcW w:w="623" w:type="pct"/>
            <w:shd w:val="clear" w:color="auto" w:fill="auto"/>
            <w:noWrap/>
          </w:tcPr>
          <w:p w14:paraId="4B7E8400" w14:textId="77777777" w:rsidR="006B2325" w:rsidRPr="006E19C7" w:rsidRDefault="006B2325" w:rsidP="00CD1F63">
            <w:pPr>
              <w:jc w:val="center"/>
            </w:pPr>
            <w:r w:rsidRPr="006E19C7">
              <w:t>1.2%</w:t>
            </w:r>
          </w:p>
        </w:tc>
        <w:tc>
          <w:tcPr>
            <w:tcW w:w="624" w:type="pct"/>
            <w:shd w:val="clear" w:color="auto" w:fill="auto"/>
            <w:noWrap/>
          </w:tcPr>
          <w:p w14:paraId="7F53743C" w14:textId="77777777" w:rsidR="006B2325" w:rsidRPr="006E19C7" w:rsidRDefault="006B2325" w:rsidP="00CD1F63">
            <w:pPr>
              <w:jc w:val="center"/>
            </w:pPr>
            <w:r w:rsidRPr="006E19C7">
              <w:t>2.0%</w:t>
            </w:r>
          </w:p>
        </w:tc>
        <w:tc>
          <w:tcPr>
            <w:tcW w:w="623" w:type="pct"/>
            <w:shd w:val="clear" w:color="auto" w:fill="auto"/>
            <w:noWrap/>
          </w:tcPr>
          <w:p w14:paraId="53F9ED93" w14:textId="77777777" w:rsidR="006B2325" w:rsidRPr="006E19C7" w:rsidRDefault="006B2325" w:rsidP="00CD1F63">
            <w:pPr>
              <w:jc w:val="center"/>
            </w:pPr>
            <w:r w:rsidRPr="006E19C7">
              <w:t>2.0%</w:t>
            </w:r>
          </w:p>
        </w:tc>
        <w:tc>
          <w:tcPr>
            <w:tcW w:w="623" w:type="pct"/>
            <w:shd w:val="clear" w:color="auto" w:fill="auto"/>
            <w:noWrap/>
          </w:tcPr>
          <w:p w14:paraId="6C97F475" w14:textId="77777777" w:rsidR="006B2325" w:rsidRPr="006E19C7" w:rsidRDefault="006B2325" w:rsidP="00CD1F63">
            <w:pPr>
              <w:jc w:val="center"/>
            </w:pPr>
            <w:r w:rsidRPr="006E19C7">
              <w:t>2.3%</w:t>
            </w:r>
          </w:p>
        </w:tc>
        <w:tc>
          <w:tcPr>
            <w:tcW w:w="610" w:type="pct"/>
            <w:shd w:val="clear" w:color="auto" w:fill="auto"/>
            <w:noWrap/>
          </w:tcPr>
          <w:p w14:paraId="79A5E729" w14:textId="77777777" w:rsidR="006B2325" w:rsidRPr="006E19C7" w:rsidRDefault="006B2325" w:rsidP="00CD1F63">
            <w:pPr>
              <w:jc w:val="center"/>
            </w:pPr>
            <w:r w:rsidRPr="006E19C7">
              <w:t>2.5%</w:t>
            </w:r>
          </w:p>
        </w:tc>
      </w:tr>
      <w:tr w:rsidR="006B2325" w:rsidRPr="006E19C7" w14:paraId="251D3912" w14:textId="77777777" w:rsidTr="006B2325">
        <w:trPr>
          <w:trHeight w:val="295"/>
          <w:jc w:val="center"/>
        </w:trPr>
        <w:tc>
          <w:tcPr>
            <w:tcW w:w="1267" w:type="pct"/>
            <w:shd w:val="clear" w:color="auto" w:fill="auto"/>
            <w:noWrap/>
          </w:tcPr>
          <w:p w14:paraId="1CAA2AF0" w14:textId="77777777" w:rsidR="006B2325" w:rsidRPr="006E19C7" w:rsidRDefault="006B2325" w:rsidP="00CD1F63">
            <w:r w:rsidRPr="006E19C7">
              <w:t>Pulmonary circulation disorder</w:t>
            </w:r>
          </w:p>
        </w:tc>
        <w:tc>
          <w:tcPr>
            <w:tcW w:w="630" w:type="pct"/>
            <w:shd w:val="clear" w:color="auto" w:fill="auto"/>
            <w:noWrap/>
          </w:tcPr>
          <w:p w14:paraId="473DF6DA" w14:textId="77777777" w:rsidR="006B2325" w:rsidRPr="006E19C7" w:rsidRDefault="006B2325" w:rsidP="00CD1F63">
            <w:pPr>
              <w:jc w:val="center"/>
            </w:pPr>
            <w:r w:rsidRPr="006E19C7">
              <w:t>0.03%</w:t>
            </w:r>
          </w:p>
        </w:tc>
        <w:tc>
          <w:tcPr>
            <w:tcW w:w="623" w:type="pct"/>
            <w:shd w:val="clear" w:color="auto" w:fill="auto"/>
            <w:noWrap/>
          </w:tcPr>
          <w:p w14:paraId="776B217A" w14:textId="77777777" w:rsidR="006B2325" w:rsidRPr="006E19C7" w:rsidRDefault="006B2325" w:rsidP="00CD1F63">
            <w:pPr>
              <w:jc w:val="center"/>
            </w:pPr>
            <w:r w:rsidRPr="006E19C7">
              <w:t>0.03%</w:t>
            </w:r>
          </w:p>
        </w:tc>
        <w:tc>
          <w:tcPr>
            <w:tcW w:w="624" w:type="pct"/>
            <w:shd w:val="clear" w:color="auto" w:fill="auto"/>
            <w:noWrap/>
          </w:tcPr>
          <w:p w14:paraId="13CD55AC" w14:textId="77777777" w:rsidR="006B2325" w:rsidRPr="006E19C7" w:rsidRDefault="006B2325" w:rsidP="00CD1F63">
            <w:pPr>
              <w:jc w:val="center"/>
            </w:pPr>
            <w:r w:rsidRPr="006E19C7">
              <w:t>0.1%</w:t>
            </w:r>
          </w:p>
        </w:tc>
        <w:tc>
          <w:tcPr>
            <w:tcW w:w="623" w:type="pct"/>
            <w:shd w:val="clear" w:color="auto" w:fill="auto"/>
            <w:noWrap/>
          </w:tcPr>
          <w:p w14:paraId="408159DB" w14:textId="77777777" w:rsidR="006B2325" w:rsidRPr="006E19C7" w:rsidRDefault="006B2325" w:rsidP="00CD1F63">
            <w:pPr>
              <w:jc w:val="center"/>
            </w:pPr>
            <w:r w:rsidRPr="006E19C7">
              <w:t>0.1%</w:t>
            </w:r>
          </w:p>
        </w:tc>
        <w:tc>
          <w:tcPr>
            <w:tcW w:w="623" w:type="pct"/>
            <w:shd w:val="clear" w:color="auto" w:fill="auto"/>
            <w:noWrap/>
          </w:tcPr>
          <w:p w14:paraId="4A201FD8" w14:textId="77777777" w:rsidR="006B2325" w:rsidRPr="006E19C7" w:rsidRDefault="006B2325" w:rsidP="00CD1F63">
            <w:pPr>
              <w:jc w:val="center"/>
            </w:pPr>
            <w:r w:rsidRPr="006E19C7">
              <w:t>0.07%</w:t>
            </w:r>
          </w:p>
        </w:tc>
        <w:tc>
          <w:tcPr>
            <w:tcW w:w="610" w:type="pct"/>
            <w:shd w:val="clear" w:color="auto" w:fill="auto"/>
            <w:noWrap/>
          </w:tcPr>
          <w:p w14:paraId="3AE60366" w14:textId="77777777" w:rsidR="006B2325" w:rsidRPr="006E19C7" w:rsidRDefault="006B2325" w:rsidP="00CD1F63">
            <w:pPr>
              <w:jc w:val="center"/>
            </w:pPr>
            <w:r w:rsidRPr="006E19C7">
              <w:t>0.07%</w:t>
            </w:r>
          </w:p>
        </w:tc>
      </w:tr>
      <w:tr w:rsidR="006B2325" w:rsidRPr="006E19C7" w14:paraId="1283F0E5" w14:textId="77777777" w:rsidTr="006B2325">
        <w:trPr>
          <w:trHeight w:val="295"/>
          <w:jc w:val="center"/>
        </w:trPr>
        <w:tc>
          <w:tcPr>
            <w:tcW w:w="1267" w:type="pct"/>
            <w:shd w:val="clear" w:color="auto" w:fill="auto"/>
            <w:noWrap/>
          </w:tcPr>
          <w:p w14:paraId="6D233949" w14:textId="77777777" w:rsidR="006B2325" w:rsidRPr="006E19C7" w:rsidRDefault="006B2325" w:rsidP="00CD1F63">
            <w:r w:rsidRPr="006E19C7">
              <w:t>Renal failure (chronic)</w:t>
            </w:r>
          </w:p>
        </w:tc>
        <w:tc>
          <w:tcPr>
            <w:tcW w:w="630" w:type="pct"/>
            <w:shd w:val="clear" w:color="auto" w:fill="auto"/>
            <w:noWrap/>
          </w:tcPr>
          <w:p w14:paraId="7B5985E0" w14:textId="77777777" w:rsidR="006B2325" w:rsidRPr="006E19C7" w:rsidRDefault="006B2325" w:rsidP="00CD1F63">
            <w:pPr>
              <w:jc w:val="center"/>
            </w:pPr>
            <w:r w:rsidRPr="006E19C7">
              <w:t>6.4%</w:t>
            </w:r>
          </w:p>
        </w:tc>
        <w:tc>
          <w:tcPr>
            <w:tcW w:w="623" w:type="pct"/>
            <w:shd w:val="clear" w:color="auto" w:fill="auto"/>
            <w:noWrap/>
          </w:tcPr>
          <w:p w14:paraId="0DB8346A" w14:textId="77777777" w:rsidR="006B2325" w:rsidRPr="006E19C7" w:rsidRDefault="006B2325" w:rsidP="00CD1F63">
            <w:pPr>
              <w:jc w:val="center"/>
            </w:pPr>
            <w:r w:rsidRPr="006E19C7">
              <w:t>12.7%</w:t>
            </w:r>
          </w:p>
        </w:tc>
        <w:tc>
          <w:tcPr>
            <w:tcW w:w="624" w:type="pct"/>
            <w:shd w:val="clear" w:color="auto" w:fill="auto"/>
            <w:noWrap/>
          </w:tcPr>
          <w:p w14:paraId="45AB8835" w14:textId="77777777" w:rsidR="006B2325" w:rsidRPr="006E19C7" w:rsidRDefault="006B2325" w:rsidP="00CD1F63">
            <w:pPr>
              <w:jc w:val="center"/>
            </w:pPr>
            <w:r w:rsidRPr="006E19C7">
              <w:t>14.4%</w:t>
            </w:r>
          </w:p>
        </w:tc>
        <w:tc>
          <w:tcPr>
            <w:tcW w:w="623" w:type="pct"/>
            <w:shd w:val="clear" w:color="auto" w:fill="auto"/>
            <w:noWrap/>
          </w:tcPr>
          <w:p w14:paraId="5554C2B8" w14:textId="77777777" w:rsidR="006B2325" w:rsidRPr="006E19C7" w:rsidRDefault="006B2325" w:rsidP="00CD1F63">
            <w:pPr>
              <w:jc w:val="center"/>
            </w:pPr>
            <w:r w:rsidRPr="006E19C7">
              <w:t>16.5%</w:t>
            </w:r>
          </w:p>
        </w:tc>
        <w:tc>
          <w:tcPr>
            <w:tcW w:w="623" w:type="pct"/>
            <w:shd w:val="clear" w:color="auto" w:fill="auto"/>
            <w:noWrap/>
          </w:tcPr>
          <w:p w14:paraId="4BD7FFE6" w14:textId="77777777" w:rsidR="006B2325" w:rsidRPr="006E19C7" w:rsidRDefault="006B2325" w:rsidP="00CD1F63">
            <w:pPr>
              <w:jc w:val="center"/>
            </w:pPr>
            <w:r w:rsidRPr="006E19C7">
              <w:t>17.8%</w:t>
            </w:r>
          </w:p>
        </w:tc>
        <w:tc>
          <w:tcPr>
            <w:tcW w:w="610" w:type="pct"/>
            <w:shd w:val="clear" w:color="auto" w:fill="auto"/>
            <w:noWrap/>
          </w:tcPr>
          <w:p w14:paraId="45CADCC3" w14:textId="77777777" w:rsidR="006B2325" w:rsidRPr="006E19C7" w:rsidRDefault="006B2325" w:rsidP="00CD1F63">
            <w:pPr>
              <w:jc w:val="center"/>
            </w:pPr>
            <w:r w:rsidRPr="006E19C7">
              <w:t>19.1%</w:t>
            </w:r>
          </w:p>
        </w:tc>
      </w:tr>
      <w:tr w:rsidR="006B2325" w:rsidRPr="006E19C7" w14:paraId="522CD941" w14:textId="77777777" w:rsidTr="006B2325">
        <w:trPr>
          <w:trHeight w:val="295"/>
          <w:jc w:val="center"/>
        </w:trPr>
        <w:tc>
          <w:tcPr>
            <w:tcW w:w="1267" w:type="pct"/>
            <w:shd w:val="clear" w:color="auto" w:fill="auto"/>
            <w:noWrap/>
          </w:tcPr>
          <w:p w14:paraId="6ABD42AD" w14:textId="77777777" w:rsidR="006B2325" w:rsidRPr="006E19C7" w:rsidRDefault="006B2325" w:rsidP="00CD1F63">
            <w:r w:rsidRPr="006E19C7">
              <w:t>Peptic ulcer disease</w:t>
            </w:r>
          </w:p>
        </w:tc>
        <w:tc>
          <w:tcPr>
            <w:tcW w:w="630" w:type="pct"/>
            <w:shd w:val="clear" w:color="auto" w:fill="auto"/>
            <w:noWrap/>
          </w:tcPr>
          <w:p w14:paraId="79B3DD9B" w14:textId="77777777" w:rsidR="006B2325" w:rsidRPr="006E19C7" w:rsidRDefault="006B2325" w:rsidP="00CD1F63">
            <w:pPr>
              <w:jc w:val="center"/>
            </w:pPr>
            <w:r w:rsidRPr="006E19C7">
              <w:t>0.07%</w:t>
            </w:r>
          </w:p>
        </w:tc>
        <w:tc>
          <w:tcPr>
            <w:tcW w:w="623" w:type="pct"/>
            <w:shd w:val="clear" w:color="auto" w:fill="auto"/>
            <w:noWrap/>
          </w:tcPr>
          <w:p w14:paraId="12B470DC" w14:textId="77777777" w:rsidR="006B2325" w:rsidRPr="006E19C7" w:rsidRDefault="006B2325" w:rsidP="00CD1F63">
            <w:pPr>
              <w:jc w:val="center"/>
            </w:pPr>
            <w:r w:rsidRPr="006E19C7">
              <w:t>0.06%</w:t>
            </w:r>
          </w:p>
        </w:tc>
        <w:tc>
          <w:tcPr>
            <w:tcW w:w="624" w:type="pct"/>
            <w:shd w:val="clear" w:color="auto" w:fill="auto"/>
            <w:noWrap/>
          </w:tcPr>
          <w:p w14:paraId="3B202AD1" w14:textId="77777777" w:rsidR="006B2325" w:rsidRPr="006E19C7" w:rsidRDefault="006B2325" w:rsidP="00CD1F63">
            <w:pPr>
              <w:jc w:val="center"/>
            </w:pPr>
            <w:r w:rsidRPr="006E19C7">
              <w:t>0.04%</w:t>
            </w:r>
          </w:p>
        </w:tc>
        <w:tc>
          <w:tcPr>
            <w:tcW w:w="623" w:type="pct"/>
            <w:shd w:val="clear" w:color="auto" w:fill="auto"/>
            <w:noWrap/>
          </w:tcPr>
          <w:p w14:paraId="0BA9950F" w14:textId="77777777" w:rsidR="006B2325" w:rsidRPr="006E19C7" w:rsidRDefault="006B2325" w:rsidP="00CD1F63">
            <w:pPr>
              <w:jc w:val="center"/>
            </w:pPr>
            <w:r w:rsidRPr="006E19C7">
              <w:t>0.02%</w:t>
            </w:r>
          </w:p>
        </w:tc>
        <w:tc>
          <w:tcPr>
            <w:tcW w:w="623" w:type="pct"/>
            <w:shd w:val="clear" w:color="auto" w:fill="auto"/>
            <w:noWrap/>
          </w:tcPr>
          <w:p w14:paraId="2BEDF113" w14:textId="77777777" w:rsidR="006B2325" w:rsidRPr="006E19C7" w:rsidRDefault="006B2325" w:rsidP="00CD1F63">
            <w:pPr>
              <w:jc w:val="center"/>
            </w:pPr>
            <w:r w:rsidRPr="006E19C7">
              <w:t>0.03%</w:t>
            </w:r>
          </w:p>
        </w:tc>
        <w:tc>
          <w:tcPr>
            <w:tcW w:w="610" w:type="pct"/>
            <w:shd w:val="clear" w:color="auto" w:fill="auto"/>
            <w:noWrap/>
          </w:tcPr>
          <w:p w14:paraId="3B309765" w14:textId="77777777" w:rsidR="006B2325" w:rsidRPr="006E19C7" w:rsidRDefault="006B2325" w:rsidP="00CD1F63">
            <w:pPr>
              <w:jc w:val="center"/>
            </w:pPr>
            <w:r w:rsidRPr="006E19C7">
              <w:t>0.02%</w:t>
            </w:r>
          </w:p>
        </w:tc>
      </w:tr>
      <w:tr w:rsidR="006B2325" w:rsidRPr="006E19C7" w14:paraId="6ACDFBFA" w14:textId="77777777" w:rsidTr="006B2325">
        <w:trPr>
          <w:trHeight w:val="295"/>
          <w:jc w:val="center"/>
        </w:trPr>
        <w:tc>
          <w:tcPr>
            <w:tcW w:w="1267" w:type="pct"/>
            <w:shd w:val="clear" w:color="auto" w:fill="auto"/>
            <w:noWrap/>
          </w:tcPr>
          <w:p w14:paraId="1D976B1B" w14:textId="77777777" w:rsidR="006B2325" w:rsidRPr="006E19C7" w:rsidRDefault="006B2325" w:rsidP="00CD1F63">
            <w:r w:rsidRPr="006E19C7">
              <w:t>Weight loss</w:t>
            </w:r>
          </w:p>
        </w:tc>
        <w:tc>
          <w:tcPr>
            <w:tcW w:w="630" w:type="pct"/>
            <w:shd w:val="clear" w:color="auto" w:fill="auto"/>
            <w:noWrap/>
          </w:tcPr>
          <w:p w14:paraId="54F4B224" w14:textId="77777777" w:rsidR="006B2325" w:rsidRPr="006E19C7" w:rsidRDefault="006B2325" w:rsidP="00CD1F63">
            <w:pPr>
              <w:jc w:val="center"/>
            </w:pPr>
            <w:r w:rsidRPr="006E19C7">
              <w:t>0.6%</w:t>
            </w:r>
          </w:p>
        </w:tc>
        <w:tc>
          <w:tcPr>
            <w:tcW w:w="623" w:type="pct"/>
            <w:shd w:val="clear" w:color="auto" w:fill="auto"/>
            <w:noWrap/>
          </w:tcPr>
          <w:p w14:paraId="4F1B5637" w14:textId="77777777" w:rsidR="006B2325" w:rsidRPr="006E19C7" w:rsidRDefault="006B2325" w:rsidP="00CD1F63">
            <w:pPr>
              <w:jc w:val="center"/>
            </w:pPr>
            <w:r w:rsidRPr="006E19C7">
              <w:t>0.9%</w:t>
            </w:r>
          </w:p>
        </w:tc>
        <w:tc>
          <w:tcPr>
            <w:tcW w:w="624" w:type="pct"/>
            <w:shd w:val="clear" w:color="auto" w:fill="auto"/>
            <w:noWrap/>
          </w:tcPr>
          <w:p w14:paraId="09D7D815" w14:textId="77777777" w:rsidR="006B2325" w:rsidRPr="006E19C7" w:rsidRDefault="006B2325" w:rsidP="00CD1F63">
            <w:pPr>
              <w:jc w:val="center"/>
            </w:pPr>
            <w:r w:rsidRPr="006E19C7">
              <w:t>1.4%</w:t>
            </w:r>
          </w:p>
        </w:tc>
        <w:tc>
          <w:tcPr>
            <w:tcW w:w="623" w:type="pct"/>
            <w:shd w:val="clear" w:color="auto" w:fill="auto"/>
            <w:noWrap/>
          </w:tcPr>
          <w:p w14:paraId="08B9B64F" w14:textId="77777777" w:rsidR="006B2325" w:rsidRPr="006E19C7" w:rsidRDefault="006B2325" w:rsidP="00CD1F63">
            <w:pPr>
              <w:jc w:val="center"/>
            </w:pPr>
            <w:r w:rsidRPr="006E19C7">
              <w:t>1.6%</w:t>
            </w:r>
          </w:p>
        </w:tc>
        <w:tc>
          <w:tcPr>
            <w:tcW w:w="623" w:type="pct"/>
            <w:shd w:val="clear" w:color="auto" w:fill="auto"/>
            <w:noWrap/>
          </w:tcPr>
          <w:p w14:paraId="57FAC8C2" w14:textId="77777777" w:rsidR="006B2325" w:rsidRPr="006E19C7" w:rsidRDefault="006B2325" w:rsidP="00CD1F63">
            <w:pPr>
              <w:jc w:val="center"/>
            </w:pPr>
            <w:r w:rsidRPr="006E19C7">
              <w:t>2.1%</w:t>
            </w:r>
          </w:p>
        </w:tc>
        <w:tc>
          <w:tcPr>
            <w:tcW w:w="610" w:type="pct"/>
            <w:shd w:val="clear" w:color="auto" w:fill="auto"/>
            <w:noWrap/>
          </w:tcPr>
          <w:p w14:paraId="25B6A468" w14:textId="77777777" w:rsidR="006B2325" w:rsidRPr="006E19C7" w:rsidRDefault="006B2325" w:rsidP="00CD1F63">
            <w:pPr>
              <w:jc w:val="center"/>
            </w:pPr>
            <w:r w:rsidRPr="006E19C7">
              <w:t>2.0%</w:t>
            </w:r>
          </w:p>
        </w:tc>
      </w:tr>
      <w:tr w:rsidR="006B2325" w:rsidRPr="006E19C7" w14:paraId="5CDA42D0" w14:textId="77777777" w:rsidTr="006B2325">
        <w:trPr>
          <w:trHeight w:val="295"/>
          <w:jc w:val="center"/>
        </w:trPr>
        <w:tc>
          <w:tcPr>
            <w:tcW w:w="1267" w:type="pct"/>
            <w:shd w:val="clear" w:color="auto" w:fill="auto"/>
            <w:noWrap/>
          </w:tcPr>
          <w:p w14:paraId="7B48899F" w14:textId="77777777" w:rsidR="006B2325" w:rsidRPr="006E19C7" w:rsidRDefault="006B2325" w:rsidP="00CD1F63">
            <w:r w:rsidRPr="006E19C7">
              <w:t>Solid tumour without Mets</w:t>
            </w:r>
          </w:p>
        </w:tc>
        <w:tc>
          <w:tcPr>
            <w:tcW w:w="630" w:type="pct"/>
            <w:shd w:val="clear" w:color="auto" w:fill="auto"/>
            <w:noWrap/>
          </w:tcPr>
          <w:p w14:paraId="28D496DE" w14:textId="77777777" w:rsidR="006B2325" w:rsidRPr="006E19C7" w:rsidRDefault="006B2325" w:rsidP="00CD1F63">
            <w:pPr>
              <w:jc w:val="center"/>
            </w:pPr>
            <w:r w:rsidRPr="006E19C7">
              <w:t>0.9%</w:t>
            </w:r>
          </w:p>
        </w:tc>
        <w:tc>
          <w:tcPr>
            <w:tcW w:w="623" w:type="pct"/>
            <w:shd w:val="clear" w:color="auto" w:fill="auto"/>
            <w:noWrap/>
          </w:tcPr>
          <w:p w14:paraId="3D474CBD" w14:textId="77777777" w:rsidR="006B2325" w:rsidRPr="006E19C7" w:rsidRDefault="006B2325" w:rsidP="00CD1F63">
            <w:pPr>
              <w:jc w:val="center"/>
            </w:pPr>
            <w:r w:rsidRPr="006E19C7">
              <w:t>1.0%</w:t>
            </w:r>
          </w:p>
        </w:tc>
        <w:tc>
          <w:tcPr>
            <w:tcW w:w="624" w:type="pct"/>
            <w:shd w:val="clear" w:color="auto" w:fill="auto"/>
            <w:noWrap/>
          </w:tcPr>
          <w:p w14:paraId="0B8B12F7" w14:textId="77777777" w:rsidR="006B2325" w:rsidRPr="006E19C7" w:rsidRDefault="006B2325" w:rsidP="00CD1F63">
            <w:pPr>
              <w:jc w:val="center"/>
            </w:pPr>
            <w:r w:rsidRPr="006E19C7">
              <w:t>1.1%</w:t>
            </w:r>
          </w:p>
        </w:tc>
        <w:tc>
          <w:tcPr>
            <w:tcW w:w="623" w:type="pct"/>
            <w:shd w:val="clear" w:color="auto" w:fill="auto"/>
            <w:noWrap/>
          </w:tcPr>
          <w:p w14:paraId="09F14719" w14:textId="77777777" w:rsidR="006B2325" w:rsidRPr="006E19C7" w:rsidRDefault="006B2325" w:rsidP="00CD1F63">
            <w:pPr>
              <w:jc w:val="center"/>
            </w:pPr>
            <w:r w:rsidRPr="006E19C7">
              <w:t>1.0%</w:t>
            </w:r>
          </w:p>
        </w:tc>
        <w:tc>
          <w:tcPr>
            <w:tcW w:w="623" w:type="pct"/>
            <w:shd w:val="clear" w:color="auto" w:fill="auto"/>
            <w:noWrap/>
          </w:tcPr>
          <w:p w14:paraId="4BFFD04F" w14:textId="77777777" w:rsidR="006B2325" w:rsidRPr="006E19C7" w:rsidRDefault="006B2325" w:rsidP="00CD1F63">
            <w:pPr>
              <w:jc w:val="center"/>
            </w:pPr>
            <w:r w:rsidRPr="006E19C7">
              <w:t>1.1%</w:t>
            </w:r>
          </w:p>
        </w:tc>
        <w:tc>
          <w:tcPr>
            <w:tcW w:w="610" w:type="pct"/>
            <w:shd w:val="clear" w:color="auto" w:fill="auto"/>
            <w:noWrap/>
          </w:tcPr>
          <w:p w14:paraId="54730D83" w14:textId="77777777" w:rsidR="006B2325" w:rsidRPr="006E19C7" w:rsidRDefault="006B2325" w:rsidP="00CD1F63">
            <w:pPr>
              <w:jc w:val="center"/>
            </w:pPr>
            <w:r w:rsidRPr="006E19C7">
              <w:t>1.1%</w:t>
            </w:r>
          </w:p>
        </w:tc>
      </w:tr>
      <w:tr w:rsidR="006B2325" w:rsidRPr="006E19C7" w14:paraId="2EFC7C2F" w14:textId="77777777" w:rsidTr="006B2325">
        <w:trPr>
          <w:trHeight w:val="295"/>
          <w:jc w:val="center"/>
        </w:trPr>
        <w:tc>
          <w:tcPr>
            <w:tcW w:w="1267" w:type="pct"/>
            <w:shd w:val="clear" w:color="auto" w:fill="auto"/>
            <w:noWrap/>
          </w:tcPr>
          <w:p w14:paraId="3C4218CE" w14:textId="77777777" w:rsidR="006B2325" w:rsidRPr="006E19C7" w:rsidRDefault="006B2325" w:rsidP="00CD1F63">
            <w:r w:rsidRPr="006E19C7">
              <w:t>Metastatic cancer</w:t>
            </w:r>
          </w:p>
        </w:tc>
        <w:tc>
          <w:tcPr>
            <w:tcW w:w="630" w:type="pct"/>
            <w:shd w:val="clear" w:color="auto" w:fill="auto"/>
            <w:noWrap/>
          </w:tcPr>
          <w:p w14:paraId="4EBE583F" w14:textId="77777777" w:rsidR="006B2325" w:rsidRPr="006E19C7" w:rsidRDefault="006B2325" w:rsidP="00CD1F63">
            <w:pPr>
              <w:jc w:val="center"/>
            </w:pPr>
            <w:r w:rsidRPr="006E19C7">
              <w:t>0.3%</w:t>
            </w:r>
          </w:p>
        </w:tc>
        <w:tc>
          <w:tcPr>
            <w:tcW w:w="623" w:type="pct"/>
            <w:shd w:val="clear" w:color="auto" w:fill="auto"/>
            <w:noWrap/>
          </w:tcPr>
          <w:p w14:paraId="46F2E559" w14:textId="77777777" w:rsidR="006B2325" w:rsidRPr="006E19C7" w:rsidRDefault="006B2325" w:rsidP="00CD1F63">
            <w:pPr>
              <w:jc w:val="center"/>
            </w:pPr>
            <w:r w:rsidRPr="006E19C7">
              <w:t>0.4%</w:t>
            </w:r>
          </w:p>
        </w:tc>
        <w:tc>
          <w:tcPr>
            <w:tcW w:w="624" w:type="pct"/>
            <w:shd w:val="clear" w:color="auto" w:fill="auto"/>
            <w:noWrap/>
          </w:tcPr>
          <w:p w14:paraId="3C748484" w14:textId="77777777" w:rsidR="006B2325" w:rsidRPr="006E19C7" w:rsidRDefault="006B2325" w:rsidP="00CD1F63">
            <w:pPr>
              <w:jc w:val="center"/>
            </w:pPr>
            <w:r w:rsidRPr="006E19C7">
              <w:t>0.4%</w:t>
            </w:r>
          </w:p>
        </w:tc>
        <w:tc>
          <w:tcPr>
            <w:tcW w:w="623" w:type="pct"/>
            <w:shd w:val="clear" w:color="auto" w:fill="auto"/>
            <w:noWrap/>
          </w:tcPr>
          <w:p w14:paraId="44BEF6BB" w14:textId="77777777" w:rsidR="006B2325" w:rsidRPr="006E19C7" w:rsidRDefault="006B2325" w:rsidP="00CD1F63">
            <w:pPr>
              <w:jc w:val="center"/>
            </w:pPr>
            <w:r w:rsidRPr="006E19C7">
              <w:t>0.4%</w:t>
            </w:r>
          </w:p>
        </w:tc>
        <w:tc>
          <w:tcPr>
            <w:tcW w:w="623" w:type="pct"/>
            <w:shd w:val="clear" w:color="auto" w:fill="auto"/>
            <w:noWrap/>
          </w:tcPr>
          <w:p w14:paraId="0AB8DA73" w14:textId="77777777" w:rsidR="006B2325" w:rsidRPr="006E19C7" w:rsidRDefault="006B2325" w:rsidP="00CD1F63">
            <w:pPr>
              <w:jc w:val="center"/>
            </w:pPr>
            <w:r w:rsidRPr="006E19C7">
              <w:t>0.4%</w:t>
            </w:r>
          </w:p>
        </w:tc>
        <w:tc>
          <w:tcPr>
            <w:tcW w:w="610" w:type="pct"/>
            <w:shd w:val="clear" w:color="auto" w:fill="auto"/>
            <w:noWrap/>
          </w:tcPr>
          <w:p w14:paraId="6FE49386" w14:textId="77777777" w:rsidR="006B2325" w:rsidRPr="006E19C7" w:rsidRDefault="006B2325" w:rsidP="00CD1F63">
            <w:pPr>
              <w:jc w:val="center"/>
            </w:pPr>
            <w:r w:rsidRPr="006E19C7">
              <w:t>0.4%</w:t>
            </w:r>
          </w:p>
        </w:tc>
      </w:tr>
      <w:tr w:rsidR="006B2325" w:rsidRPr="006E19C7" w14:paraId="529742BF" w14:textId="77777777" w:rsidTr="006B2325">
        <w:trPr>
          <w:trHeight w:val="295"/>
          <w:jc w:val="center"/>
        </w:trPr>
        <w:tc>
          <w:tcPr>
            <w:tcW w:w="1267" w:type="pct"/>
            <w:shd w:val="clear" w:color="auto" w:fill="auto"/>
            <w:noWrap/>
          </w:tcPr>
          <w:p w14:paraId="2734DE55" w14:textId="77777777" w:rsidR="006B2325" w:rsidRPr="006E19C7" w:rsidRDefault="006B2325" w:rsidP="00CD1F63">
            <w:r w:rsidRPr="006E19C7">
              <w:t>Dementia</w:t>
            </w:r>
          </w:p>
        </w:tc>
        <w:tc>
          <w:tcPr>
            <w:tcW w:w="630" w:type="pct"/>
            <w:shd w:val="clear" w:color="auto" w:fill="auto"/>
            <w:noWrap/>
          </w:tcPr>
          <w:p w14:paraId="324232C1" w14:textId="77777777" w:rsidR="006B2325" w:rsidRPr="006E19C7" w:rsidRDefault="006B2325" w:rsidP="00CD1F63">
            <w:pPr>
              <w:jc w:val="center"/>
            </w:pPr>
            <w:r w:rsidRPr="006E19C7">
              <w:t>1.7%</w:t>
            </w:r>
          </w:p>
        </w:tc>
        <w:tc>
          <w:tcPr>
            <w:tcW w:w="623" w:type="pct"/>
            <w:shd w:val="clear" w:color="auto" w:fill="auto"/>
            <w:noWrap/>
          </w:tcPr>
          <w:p w14:paraId="4D5D0DE2" w14:textId="77777777" w:rsidR="006B2325" w:rsidRPr="006E19C7" w:rsidRDefault="006B2325" w:rsidP="00CD1F63">
            <w:pPr>
              <w:jc w:val="center"/>
            </w:pPr>
            <w:r w:rsidRPr="006E19C7">
              <w:t>1.9%</w:t>
            </w:r>
          </w:p>
        </w:tc>
        <w:tc>
          <w:tcPr>
            <w:tcW w:w="624" w:type="pct"/>
            <w:shd w:val="clear" w:color="auto" w:fill="auto"/>
            <w:noWrap/>
          </w:tcPr>
          <w:p w14:paraId="104604D8" w14:textId="77777777" w:rsidR="006B2325" w:rsidRPr="006E19C7" w:rsidRDefault="006B2325" w:rsidP="00CD1F63">
            <w:pPr>
              <w:jc w:val="center"/>
            </w:pPr>
            <w:r w:rsidRPr="006E19C7">
              <w:t>2.4%</w:t>
            </w:r>
          </w:p>
        </w:tc>
        <w:tc>
          <w:tcPr>
            <w:tcW w:w="623" w:type="pct"/>
            <w:shd w:val="clear" w:color="auto" w:fill="auto"/>
            <w:noWrap/>
          </w:tcPr>
          <w:p w14:paraId="1F70A1AD" w14:textId="77777777" w:rsidR="006B2325" w:rsidRPr="006E19C7" w:rsidRDefault="006B2325" w:rsidP="00CD1F63">
            <w:pPr>
              <w:jc w:val="center"/>
            </w:pPr>
            <w:r w:rsidRPr="006E19C7">
              <w:t>2.6%</w:t>
            </w:r>
          </w:p>
        </w:tc>
        <w:tc>
          <w:tcPr>
            <w:tcW w:w="623" w:type="pct"/>
            <w:shd w:val="clear" w:color="auto" w:fill="auto"/>
            <w:noWrap/>
          </w:tcPr>
          <w:p w14:paraId="28A2D109" w14:textId="77777777" w:rsidR="006B2325" w:rsidRPr="006E19C7" w:rsidRDefault="006B2325" w:rsidP="00CD1F63">
            <w:pPr>
              <w:jc w:val="center"/>
            </w:pPr>
            <w:r w:rsidRPr="006E19C7">
              <w:t>3.1%</w:t>
            </w:r>
          </w:p>
        </w:tc>
        <w:tc>
          <w:tcPr>
            <w:tcW w:w="610" w:type="pct"/>
            <w:shd w:val="clear" w:color="auto" w:fill="auto"/>
            <w:noWrap/>
          </w:tcPr>
          <w:p w14:paraId="11039C7E" w14:textId="77777777" w:rsidR="006B2325" w:rsidRPr="006E19C7" w:rsidRDefault="006B2325" w:rsidP="00CD1F63">
            <w:pPr>
              <w:jc w:val="center"/>
            </w:pPr>
            <w:r w:rsidRPr="006E19C7">
              <w:t>2.9%</w:t>
            </w:r>
          </w:p>
        </w:tc>
      </w:tr>
      <w:tr w:rsidR="006B2325" w:rsidRPr="006E19C7" w14:paraId="5D93AD5E" w14:textId="77777777" w:rsidTr="006B2325">
        <w:trPr>
          <w:trHeight w:val="295"/>
          <w:jc w:val="center"/>
        </w:trPr>
        <w:tc>
          <w:tcPr>
            <w:tcW w:w="1267" w:type="pct"/>
            <w:shd w:val="clear" w:color="auto" w:fill="auto"/>
            <w:noWrap/>
          </w:tcPr>
          <w:p w14:paraId="0FE88357" w14:textId="77777777" w:rsidR="006B2325" w:rsidRPr="006E19C7" w:rsidRDefault="006B2325" w:rsidP="00CD1F63">
            <w:r w:rsidRPr="006E19C7">
              <w:t xml:space="preserve">Comorbidities - </w:t>
            </w:r>
            <w:proofErr w:type="spellStart"/>
            <w:r w:rsidRPr="006E19C7">
              <w:t>Charlson</w:t>
            </w:r>
            <w:proofErr w:type="spellEnd"/>
            <w:r w:rsidRPr="006E19C7">
              <w:t xml:space="preserve"> Comorbidity Index</w:t>
            </w:r>
          </w:p>
        </w:tc>
        <w:tc>
          <w:tcPr>
            <w:tcW w:w="630" w:type="pct"/>
            <w:shd w:val="clear" w:color="auto" w:fill="auto"/>
            <w:noWrap/>
          </w:tcPr>
          <w:p w14:paraId="66034DEF" w14:textId="77777777" w:rsidR="006B2325" w:rsidRPr="006E19C7" w:rsidRDefault="006B2325" w:rsidP="00CD1F63">
            <w:pPr>
              <w:jc w:val="center"/>
            </w:pPr>
          </w:p>
        </w:tc>
        <w:tc>
          <w:tcPr>
            <w:tcW w:w="623" w:type="pct"/>
            <w:shd w:val="clear" w:color="auto" w:fill="auto"/>
            <w:noWrap/>
          </w:tcPr>
          <w:p w14:paraId="35A22754" w14:textId="77777777" w:rsidR="006B2325" w:rsidRPr="006E19C7" w:rsidRDefault="006B2325" w:rsidP="00CD1F63">
            <w:pPr>
              <w:jc w:val="center"/>
            </w:pPr>
          </w:p>
        </w:tc>
        <w:tc>
          <w:tcPr>
            <w:tcW w:w="624" w:type="pct"/>
            <w:shd w:val="clear" w:color="auto" w:fill="auto"/>
            <w:noWrap/>
          </w:tcPr>
          <w:p w14:paraId="257B6A96" w14:textId="77777777" w:rsidR="006B2325" w:rsidRPr="006E19C7" w:rsidRDefault="006B2325" w:rsidP="00CD1F63">
            <w:pPr>
              <w:jc w:val="center"/>
            </w:pPr>
          </w:p>
        </w:tc>
        <w:tc>
          <w:tcPr>
            <w:tcW w:w="623" w:type="pct"/>
            <w:shd w:val="clear" w:color="auto" w:fill="auto"/>
            <w:noWrap/>
          </w:tcPr>
          <w:p w14:paraId="54BAC1A1" w14:textId="77777777" w:rsidR="006B2325" w:rsidRPr="006E19C7" w:rsidRDefault="006B2325" w:rsidP="00CD1F63">
            <w:pPr>
              <w:jc w:val="center"/>
            </w:pPr>
          </w:p>
        </w:tc>
        <w:tc>
          <w:tcPr>
            <w:tcW w:w="623" w:type="pct"/>
            <w:shd w:val="clear" w:color="auto" w:fill="auto"/>
            <w:noWrap/>
          </w:tcPr>
          <w:p w14:paraId="5D9FC235" w14:textId="77777777" w:rsidR="006B2325" w:rsidRPr="006E19C7" w:rsidRDefault="006B2325" w:rsidP="00CD1F63">
            <w:pPr>
              <w:jc w:val="center"/>
            </w:pPr>
          </w:p>
        </w:tc>
        <w:tc>
          <w:tcPr>
            <w:tcW w:w="610" w:type="pct"/>
            <w:shd w:val="clear" w:color="auto" w:fill="auto"/>
            <w:noWrap/>
          </w:tcPr>
          <w:p w14:paraId="3DD633F2" w14:textId="77777777" w:rsidR="006B2325" w:rsidRPr="006E19C7" w:rsidRDefault="006B2325" w:rsidP="00CD1F63">
            <w:pPr>
              <w:jc w:val="center"/>
            </w:pPr>
          </w:p>
        </w:tc>
      </w:tr>
      <w:tr w:rsidR="006B2325" w:rsidRPr="006E19C7" w14:paraId="0BB19B5F" w14:textId="77777777" w:rsidTr="006B2325">
        <w:trPr>
          <w:trHeight w:val="295"/>
          <w:jc w:val="center"/>
        </w:trPr>
        <w:tc>
          <w:tcPr>
            <w:tcW w:w="1267" w:type="pct"/>
            <w:shd w:val="clear" w:color="auto" w:fill="auto"/>
            <w:noWrap/>
          </w:tcPr>
          <w:p w14:paraId="056EE2EB" w14:textId="77777777" w:rsidR="006B2325" w:rsidRPr="006E19C7" w:rsidRDefault="006B2325" w:rsidP="00CD1F63">
            <w:r w:rsidRPr="006E19C7">
              <w:t>0</w:t>
            </w:r>
          </w:p>
        </w:tc>
        <w:tc>
          <w:tcPr>
            <w:tcW w:w="630" w:type="pct"/>
            <w:shd w:val="clear" w:color="auto" w:fill="auto"/>
            <w:noWrap/>
          </w:tcPr>
          <w:p w14:paraId="0A03F6D7" w14:textId="77777777" w:rsidR="006B2325" w:rsidRPr="006E19C7" w:rsidRDefault="006B2325" w:rsidP="00CD1F63">
            <w:pPr>
              <w:jc w:val="center"/>
            </w:pPr>
            <w:r w:rsidRPr="006E19C7">
              <w:t>38.4%</w:t>
            </w:r>
          </w:p>
        </w:tc>
        <w:tc>
          <w:tcPr>
            <w:tcW w:w="623" w:type="pct"/>
            <w:shd w:val="clear" w:color="auto" w:fill="auto"/>
            <w:noWrap/>
          </w:tcPr>
          <w:p w14:paraId="780836B2" w14:textId="77777777" w:rsidR="006B2325" w:rsidRPr="006E19C7" w:rsidRDefault="006B2325" w:rsidP="00CD1F63">
            <w:pPr>
              <w:jc w:val="center"/>
            </w:pPr>
            <w:r w:rsidRPr="006E19C7">
              <w:t>38.4%</w:t>
            </w:r>
          </w:p>
        </w:tc>
        <w:tc>
          <w:tcPr>
            <w:tcW w:w="624" w:type="pct"/>
            <w:shd w:val="clear" w:color="auto" w:fill="auto"/>
            <w:noWrap/>
          </w:tcPr>
          <w:p w14:paraId="73B240EE" w14:textId="77777777" w:rsidR="006B2325" w:rsidRPr="006E19C7" w:rsidRDefault="006B2325" w:rsidP="00CD1F63">
            <w:pPr>
              <w:jc w:val="center"/>
            </w:pPr>
            <w:r w:rsidRPr="006E19C7">
              <w:t>35.6%</w:t>
            </w:r>
          </w:p>
        </w:tc>
        <w:tc>
          <w:tcPr>
            <w:tcW w:w="623" w:type="pct"/>
            <w:shd w:val="clear" w:color="auto" w:fill="auto"/>
            <w:noWrap/>
          </w:tcPr>
          <w:p w14:paraId="6105BE63" w14:textId="77777777" w:rsidR="006B2325" w:rsidRPr="006E19C7" w:rsidRDefault="006B2325" w:rsidP="00CD1F63">
            <w:pPr>
              <w:jc w:val="center"/>
            </w:pPr>
            <w:r w:rsidRPr="006E19C7">
              <w:t>34.2%</w:t>
            </w:r>
          </w:p>
        </w:tc>
        <w:tc>
          <w:tcPr>
            <w:tcW w:w="623" w:type="pct"/>
            <w:shd w:val="clear" w:color="auto" w:fill="auto"/>
            <w:noWrap/>
          </w:tcPr>
          <w:p w14:paraId="41719E2A" w14:textId="77777777" w:rsidR="006B2325" w:rsidRPr="006E19C7" w:rsidRDefault="006B2325" w:rsidP="00CD1F63">
            <w:pPr>
              <w:jc w:val="center"/>
            </w:pPr>
            <w:r w:rsidRPr="006E19C7">
              <w:t>31.6%</w:t>
            </w:r>
          </w:p>
        </w:tc>
        <w:tc>
          <w:tcPr>
            <w:tcW w:w="610" w:type="pct"/>
            <w:shd w:val="clear" w:color="auto" w:fill="auto"/>
            <w:noWrap/>
          </w:tcPr>
          <w:p w14:paraId="7055191F" w14:textId="77777777" w:rsidR="006B2325" w:rsidRPr="006E19C7" w:rsidRDefault="006B2325" w:rsidP="00CD1F63">
            <w:pPr>
              <w:jc w:val="center"/>
            </w:pPr>
            <w:r w:rsidRPr="006E19C7">
              <w:t>30.2%</w:t>
            </w:r>
          </w:p>
        </w:tc>
      </w:tr>
      <w:tr w:rsidR="006B2325" w:rsidRPr="006E19C7" w14:paraId="1D4B6667" w14:textId="77777777" w:rsidTr="006B2325">
        <w:trPr>
          <w:trHeight w:val="295"/>
          <w:jc w:val="center"/>
        </w:trPr>
        <w:tc>
          <w:tcPr>
            <w:tcW w:w="1267" w:type="pct"/>
            <w:shd w:val="clear" w:color="auto" w:fill="auto"/>
            <w:noWrap/>
          </w:tcPr>
          <w:p w14:paraId="37A24E93" w14:textId="77777777" w:rsidR="006B2325" w:rsidRPr="006E19C7" w:rsidRDefault="006B2325" w:rsidP="00CD1F63">
            <w:r w:rsidRPr="006E19C7">
              <w:t>1</w:t>
            </w:r>
          </w:p>
        </w:tc>
        <w:tc>
          <w:tcPr>
            <w:tcW w:w="630" w:type="pct"/>
            <w:shd w:val="clear" w:color="auto" w:fill="auto"/>
            <w:noWrap/>
          </w:tcPr>
          <w:p w14:paraId="68AD26AE" w14:textId="77777777" w:rsidR="006B2325" w:rsidRPr="006E19C7" w:rsidRDefault="006B2325" w:rsidP="00CD1F63">
            <w:pPr>
              <w:jc w:val="center"/>
            </w:pPr>
            <w:r w:rsidRPr="006E19C7">
              <w:t>33.9%</w:t>
            </w:r>
          </w:p>
        </w:tc>
        <w:tc>
          <w:tcPr>
            <w:tcW w:w="623" w:type="pct"/>
            <w:shd w:val="clear" w:color="auto" w:fill="auto"/>
            <w:noWrap/>
          </w:tcPr>
          <w:p w14:paraId="221648B8" w14:textId="77777777" w:rsidR="006B2325" w:rsidRPr="006E19C7" w:rsidRDefault="006B2325" w:rsidP="00CD1F63">
            <w:pPr>
              <w:jc w:val="center"/>
            </w:pPr>
            <w:r w:rsidRPr="006E19C7">
              <w:t>33.9%</w:t>
            </w:r>
          </w:p>
        </w:tc>
        <w:tc>
          <w:tcPr>
            <w:tcW w:w="624" w:type="pct"/>
            <w:shd w:val="clear" w:color="auto" w:fill="auto"/>
            <w:noWrap/>
          </w:tcPr>
          <w:p w14:paraId="64DE6DC4" w14:textId="77777777" w:rsidR="006B2325" w:rsidRPr="006E19C7" w:rsidRDefault="006B2325" w:rsidP="00CD1F63">
            <w:pPr>
              <w:jc w:val="center"/>
            </w:pPr>
            <w:r w:rsidRPr="006E19C7">
              <w:t>34.0%</w:t>
            </w:r>
          </w:p>
        </w:tc>
        <w:tc>
          <w:tcPr>
            <w:tcW w:w="623" w:type="pct"/>
            <w:shd w:val="clear" w:color="auto" w:fill="auto"/>
            <w:noWrap/>
          </w:tcPr>
          <w:p w14:paraId="7BEBEB29" w14:textId="77777777" w:rsidR="006B2325" w:rsidRPr="006E19C7" w:rsidRDefault="006B2325" w:rsidP="00CD1F63">
            <w:pPr>
              <w:jc w:val="center"/>
            </w:pPr>
            <w:r w:rsidRPr="006E19C7">
              <w:t>32.9%</w:t>
            </w:r>
          </w:p>
        </w:tc>
        <w:tc>
          <w:tcPr>
            <w:tcW w:w="623" w:type="pct"/>
            <w:shd w:val="clear" w:color="auto" w:fill="auto"/>
            <w:noWrap/>
          </w:tcPr>
          <w:p w14:paraId="17F2712D" w14:textId="77777777" w:rsidR="006B2325" w:rsidRPr="006E19C7" w:rsidRDefault="006B2325" w:rsidP="00CD1F63">
            <w:pPr>
              <w:jc w:val="center"/>
            </w:pPr>
            <w:r w:rsidRPr="006E19C7">
              <w:t>32.1%</w:t>
            </w:r>
          </w:p>
        </w:tc>
        <w:tc>
          <w:tcPr>
            <w:tcW w:w="610" w:type="pct"/>
            <w:shd w:val="clear" w:color="auto" w:fill="auto"/>
            <w:noWrap/>
          </w:tcPr>
          <w:p w14:paraId="6CE160CC" w14:textId="77777777" w:rsidR="006B2325" w:rsidRPr="006E19C7" w:rsidRDefault="006B2325" w:rsidP="00CD1F63">
            <w:pPr>
              <w:jc w:val="center"/>
            </w:pPr>
            <w:r w:rsidRPr="006E19C7">
              <w:t>31.6%</w:t>
            </w:r>
          </w:p>
        </w:tc>
      </w:tr>
      <w:tr w:rsidR="006B2325" w:rsidRPr="006E19C7" w14:paraId="401BFD9C" w14:textId="77777777" w:rsidTr="006B2325">
        <w:trPr>
          <w:trHeight w:val="295"/>
          <w:jc w:val="center"/>
        </w:trPr>
        <w:tc>
          <w:tcPr>
            <w:tcW w:w="1267" w:type="pct"/>
            <w:shd w:val="clear" w:color="auto" w:fill="auto"/>
            <w:noWrap/>
          </w:tcPr>
          <w:p w14:paraId="70A42D4B" w14:textId="77777777" w:rsidR="006B2325" w:rsidRPr="006E19C7" w:rsidRDefault="006B2325" w:rsidP="00CD1F63">
            <w:r w:rsidRPr="006E19C7">
              <w:t>2</w:t>
            </w:r>
          </w:p>
        </w:tc>
        <w:tc>
          <w:tcPr>
            <w:tcW w:w="630" w:type="pct"/>
            <w:shd w:val="clear" w:color="auto" w:fill="auto"/>
            <w:noWrap/>
          </w:tcPr>
          <w:p w14:paraId="656A9912" w14:textId="77777777" w:rsidR="006B2325" w:rsidRPr="006E19C7" w:rsidRDefault="006B2325" w:rsidP="00CD1F63">
            <w:pPr>
              <w:jc w:val="center"/>
            </w:pPr>
            <w:r w:rsidRPr="006E19C7">
              <w:t>18.4%</w:t>
            </w:r>
          </w:p>
        </w:tc>
        <w:tc>
          <w:tcPr>
            <w:tcW w:w="623" w:type="pct"/>
            <w:shd w:val="clear" w:color="auto" w:fill="auto"/>
            <w:noWrap/>
          </w:tcPr>
          <w:p w14:paraId="3A0ACE15" w14:textId="77777777" w:rsidR="006B2325" w:rsidRPr="006E19C7" w:rsidRDefault="006B2325" w:rsidP="00CD1F63">
            <w:pPr>
              <w:jc w:val="center"/>
            </w:pPr>
            <w:r w:rsidRPr="006E19C7">
              <w:t>18.2%</w:t>
            </w:r>
          </w:p>
        </w:tc>
        <w:tc>
          <w:tcPr>
            <w:tcW w:w="624" w:type="pct"/>
            <w:shd w:val="clear" w:color="auto" w:fill="auto"/>
            <w:noWrap/>
          </w:tcPr>
          <w:p w14:paraId="0D5779E9" w14:textId="77777777" w:rsidR="006B2325" w:rsidRPr="006E19C7" w:rsidRDefault="006B2325" w:rsidP="00CD1F63">
            <w:pPr>
              <w:jc w:val="center"/>
            </w:pPr>
            <w:r w:rsidRPr="006E19C7">
              <w:t>19.0%</w:t>
            </w:r>
          </w:p>
        </w:tc>
        <w:tc>
          <w:tcPr>
            <w:tcW w:w="623" w:type="pct"/>
            <w:shd w:val="clear" w:color="auto" w:fill="auto"/>
            <w:noWrap/>
          </w:tcPr>
          <w:p w14:paraId="5FDAF4B1" w14:textId="77777777" w:rsidR="006B2325" w:rsidRPr="006E19C7" w:rsidRDefault="006B2325" w:rsidP="00CD1F63">
            <w:pPr>
              <w:jc w:val="center"/>
            </w:pPr>
            <w:r w:rsidRPr="006E19C7">
              <w:t>19.8%</w:t>
            </w:r>
          </w:p>
        </w:tc>
        <w:tc>
          <w:tcPr>
            <w:tcW w:w="623" w:type="pct"/>
            <w:shd w:val="clear" w:color="auto" w:fill="auto"/>
            <w:noWrap/>
          </w:tcPr>
          <w:p w14:paraId="4AD7EF42" w14:textId="77777777" w:rsidR="006B2325" w:rsidRPr="006E19C7" w:rsidRDefault="006B2325" w:rsidP="00CD1F63">
            <w:pPr>
              <w:jc w:val="center"/>
            </w:pPr>
            <w:r w:rsidRPr="006E19C7">
              <w:t>20.4%</w:t>
            </w:r>
          </w:p>
        </w:tc>
        <w:tc>
          <w:tcPr>
            <w:tcW w:w="610" w:type="pct"/>
            <w:shd w:val="clear" w:color="auto" w:fill="auto"/>
            <w:noWrap/>
          </w:tcPr>
          <w:p w14:paraId="55CD4D51" w14:textId="77777777" w:rsidR="006B2325" w:rsidRPr="006E19C7" w:rsidRDefault="006B2325" w:rsidP="00CD1F63">
            <w:pPr>
              <w:jc w:val="center"/>
            </w:pPr>
            <w:r w:rsidRPr="006E19C7">
              <w:t>21.0%</w:t>
            </w:r>
          </w:p>
        </w:tc>
      </w:tr>
      <w:tr w:rsidR="006B2325" w:rsidRPr="006E19C7" w14:paraId="46179AAE" w14:textId="77777777" w:rsidTr="006B2325">
        <w:trPr>
          <w:trHeight w:val="295"/>
          <w:jc w:val="center"/>
        </w:trPr>
        <w:tc>
          <w:tcPr>
            <w:tcW w:w="1267" w:type="pct"/>
            <w:shd w:val="clear" w:color="auto" w:fill="auto"/>
            <w:noWrap/>
          </w:tcPr>
          <w:p w14:paraId="0CDD13B4" w14:textId="77777777" w:rsidR="006B2325" w:rsidRPr="006E19C7" w:rsidRDefault="006B2325" w:rsidP="00CD1F63">
            <w:r w:rsidRPr="006E19C7">
              <w:t>≥3</w:t>
            </w:r>
          </w:p>
        </w:tc>
        <w:tc>
          <w:tcPr>
            <w:tcW w:w="630" w:type="pct"/>
            <w:shd w:val="clear" w:color="auto" w:fill="auto"/>
            <w:noWrap/>
          </w:tcPr>
          <w:p w14:paraId="1849A58D" w14:textId="77777777" w:rsidR="006B2325" w:rsidRPr="006E19C7" w:rsidRDefault="006B2325" w:rsidP="00CD1F63">
            <w:pPr>
              <w:jc w:val="center"/>
            </w:pPr>
            <w:r w:rsidRPr="006E19C7">
              <w:t>9.3%</w:t>
            </w:r>
          </w:p>
        </w:tc>
        <w:tc>
          <w:tcPr>
            <w:tcW w:w="623" w:type="pct"/>
            <w:shd w:val="clear" w:color="auto" w:fill="auto"/>
            <w:noWrap/>
          </w:tcPr>
          <w:p w14:paraId="0B502A61" w14:textId="77777777" w:rsidR="006B2325" w:rsidRPr="006E19C7" w:rsidRDefault="006B2325" w:rsidP="00CD1F63">
            <w:pPr>
              <w:jc w:val="center"/>
            </w:pPr>
            <w:r w:rsidRPr="006E19C7">
              <w:t>9.3%</w:t>
            </w:r>
          </w:p>
        </w:tc>
        <w:tc>
          <w:tcPr>
            <w:tcW w:w="624" w:type="pct"/>
            <w:shd w:val="clear" w:color="auto" w:fill="auto"/>
            <w:noWrap/>
          </w:tcPr>
          <w:p w14:paraId="65EAE405" w14:textId="77777777" w:rsidR="006B2325" w:rsidRPr="006E19C7" w:rsidRDefault="006B2325" w:rsidP="00CD1F63">
            <w:pPr>
              <w:jc w:val="center"/>
            </w:pPr>
            <w:r w:rsidRPr="006E19C7">
              <w:t>11.4%</w:t>
            </w:r>
          </w:p>
        </w:tc>
        <w:tc>
          <w:tcPr>
            <w:tcW w:w="623" w:type="pct"/>
            <w:shd w:val="clear" w:color="auto" w:fill="auto"/>
            <w:noWrap/>
          </w:tcPr>
          <w:p w14:paraId="049DFD62" w14:textId="77777777" w:rsidR="006B2325" w:rsidRPr="006E19C7" w:rsidRDefault="006B2325" w:rsidP="00CD1F63">
            <w:pPr>
              <w:jc w:val="center"/>
            </w:pPr>
            <w:r w:rsidRPr="006E19C7">
              <w:t>13.1%</w:t>
            </w:r>
          </w:p>
        </w:tc>
        <w:tc>
          <w:tcPr>
            <w:tcW w:w="623" w:type="pct"/>
            <w:shd w:val="clear" w:color="auto" w:fill="auto"/>
            <w:noWrap/>
          </w:tcPr>
          <w:p w14:paraId="08E8CB34" w14:textId="77777777" w:rsidR="006B2325" w:rsidRPr="006E19C7" w:rsidRDefault="006B2325" w:rsidP="00CD1F63">
            <w:pPr>
              <w:jc w:val="center"/>
            </w:pPr>
            <w:r w:rsidRPr="006E19C7">
              <w:t>15.9%</w:t>
            </w:r>
          </w:p>
        </w:tc>
        <w:tc>
          <w:tcPr>
            <w:tcW w:w="610" w:type="pct"/>
            <w:shd w:val="clear" w:color="auto" w:fill="auto"/>
            <w:noWrap/>
          </w:tcPr>
          <w:p w14:paraId="4E9F088B" w14:textId="77777777" w:rsidR="006B2325" w:rsidRPr="006E19C7" w:rsidRDefault="006B2325" w:rsidP="00CD1F63">
            <w:pPr>
              <w:jc w:val="center"/>
            </w:pPr>
            <w:r w:rsidRPr="006E19C7">
              <w:t>17.2%</w:t>
            </w:r>
          </w:p>
        </w:tc>
      </w:tr>
      <w:tr w:rsidR="006B2325" w:rsidRPr="006E19C7" w14:paraId="755E2F06" w14:textId="77777777" w:rsidTr="006B2325">
        <w:trPr>
          <w:trHeight w:val="295"/>
          <w:jc w:val="center"/>
        </w:trPr>
        <w:tc>
          <w:tcPr>
            <w:tcW w:w="1267" w:type="pct"/>
            <w:shd w:val="clear" w:color="auto" w:fill="auto"/>
            <w:noWrap/>
          </w:tcPr>
          <w:p w14:paraId="1295EB6B" w14:textId="77777777" w:rsidR="006B2325" w:rsidRPr="006E19C7" w:rsidRDefault="006B2325" w:rsidP="00CD1F63">
            <w:r w:rsidRPr="006E19C7">
              <w:t>Hospital bed size</w:t>
            </w:r>
          </w:p>
        </w:tc>
        <w:tc>
          <w:tcPr>
            <w:tcW w:w="630" w:type="pct"/>
            <w:shd w:val="clear" w:color="auto" w:fill="auto"/>
            <w:noWrap/>
          </w:tcPr>
          <w:p w14:paraId="1C75120F" w14:textId="77777777" w:rsidR="006B2325" w:rsidRPr="006E19C7" w:rsidRDefault="006B2325" w:rsidP="00CD1F63">
            <w:pPr>
              <w:jc w:val="center"/>
            </w:pPr>
          </w:p>
        </w:tc>
        <w:tc>
          <w:tcPr>
            <w:tcW w:w="623" w:type="pct"/>
            <w:shd w:val="clear" w:color="auto" w:fill="auto"/>
            <w:noWrap/>
          </w:tcPr>
          <w:p w14:paraId="5D43704F" w14:textId="77777777" w:rsidR="006B2325" w:rsidRPr="006E19C7" w:rsidRDefault="006B2325" w:rsidP="00CD1F63">
            <w:pPr>
              <w:jc w:val="center"/>
            </w:pPr>
          </w:p>
        </w:tc>
        <w:tc>
          <w:tcPr>
            <w:tcW w:w="624" w:type="pct"/>
            <w:shd w:val="clear" w:color="auto" w:fill="auto"/>
            <w:noWrap/>
          </w:tcPr>
          <w:p w14:paraId="33A81F9B" w14:textId="77777777" w:rsidR="006B2325" w:rsidRPr="006E19C7" w:rsidRDefault="006B2325" w:rsidP="00CD1F63">
            <w:pPr>
              <w:jc w:val="center"/>
            </w:pPr>
          </w:p>
        </w:tc>
        <w:tc>
          <w:tcPr>
            <w:tcW w:w="623" w:type="pct"/>
            <w:shd w:val="clear" w:color="auto" w:fill="auto"/>
            <w:noWrap/>
          </w:tcPr>
          <w:p w14:paraId="1CADD0A8" w14:textId="77777777" w:rsidR="006B2325" w:rsidRPr="006E19C7" w:rsidRDefault="006B2325" w:rsidP="00CD1F63">
            <w:pPr>
              <w:jc w:val="center"/>
            </w:pPr>
          </w:p>
        </w:tc>
        <w:tc>
          <w:tcPr>
            <w:tcW w:w="623" w:type="pct"/>
            <w:shd w:val="clear" w:color="auto" w:fill="auto"/>
            <w:noWrap/>
          </w:tcPr>
          <w:p w14:paraId="220210AC" w14:textId="77777777" w:rsidR="006B2325" w:rsidRPr="006E19C7" w:rsidRDefault="006B2325" w:rsidP="00CD1F63">
            <w:pPr>
              <w:jc w:val="center"/>
            </w:pPr>
          </w:p>
        </w:tc>
        <w:tc>
          <w:tcPr>
            <w:tcW w:w="610" w:type="pct"/>
            <w:shd w:val="clear" w:color="auto" w:fill="auto"/>
            <w:noWrap/>
          </w:tcPr>
          <w:p w14:paraId="5900237C" w14:textId="77777777" w:rsidR="006B2325" w:rsidRPr="006E19C7" w:rsidRDefault="006B2325" w:rsidP="00CD1F63">
            <w:pPr>
              <w:jc w:val="center"/>
            </w:pPr>
          </w:p>
        </w:tc>
      </w:tr>
      <w:tr w:rsidR="006B2325" w:rsidRPr="006E19C7" w14:paraId="17FF2D00" w14:textId="77777777" w:rsidTr="006B2325">
        <w:trPr>
          <w:trHeight w:val="295"/>
          <w:jc w:val="center"/>
        </w:trPr>
        <w:tc>
          <w:tcPr>
            <w:tcW w:w="1267" w:type="pct"/>
            <w:shd w:val="clear" w:color="auto" w:fill="auto"/>
            <w:noWrap/>
          </w:tcPr>
          <w:p w14:paraId="393EF75C" w14:textId="77777777" w:rsidR="006B2325" w:rsidRPr="006E19C7" w:rsidRDefault="006B2325" w:rsidP="00CD1F63">
            <w:r w:rsidRPr="006E19C7">
              <w:t>Small</w:t>
            </w:r>
          </w:p>
        </w:tc>
        <w:tc>
          <w:tcPr>
            <w:tcW w:w="630" w:type="pct"/>
            <w:shd w:val="clear" w:color="auto" w:fill="auto"/>
            <w:noWrap/>
          </w:tcPr>
          <w:p w14:paraId="3FA459C4" w14:textId="77777777" w:rsidR="006B2325" w:rsidRPr="006E19C7" w:rsidRDefault="006B2325" w:rsidP="00CD1F63">
            <w:pPr>
              <w:jc w:val="center"/>
            </w:pPr>
            <w:r w:rsidRPr="006E19C7">
              <w:t>8.1%</w:t>
            </w:r>
          </w:p>
        </w:tc>
        <w:tc>
          <w:tcPr>
            <w:tcW w:w="623" w:type="pct"/>
            <w:shd w:val="clear" w:color="auto" w:fill="auto"/>
            <w:noWrap/>
          </w:tcPr>
          <w:p w14:paraId="71F63509" w14:textId="77777777" w:rsidR="006B2325" w:rsidRPr="006E19C7" w:rsidRDefault="006B2325" w:rsidP="00CD1F63">
            <w:pPr>
              <w:jc w:val="center"/>
            </w:pPr>
            <w:r w:rsidRPr="006E19C7">
              <w:t>8.7%</w:t>
            </w:r>
          </w:p>
        </w:tc>
        <w:tc>
          <w:tcPr>
            <w:tcW w:w="624" w:type="pct"/>
            <w:shd w:val="clear" w:color="auto" w:fill="auto"/>
            <w:noWrap/>
          </w:tcPr>
          <w:p w14:paraId="5B9FBE42" w14:textId="77777777" w:rsidR="006B2325" w:rsidRPr="006E19C7" w:rsidRDefault="006B2325" w:rsidP="00CD1F63">
            <w:pPr>
              <w:jc w:val="center"/>
            </w:pPr>
            <w:r w:rsidRPr="006E19C7">
              <w:t>7.5%</w:t>
            </w:r>
          </w:p>
        </w:tc>
        <w:tc>
          <w:tcPr>
            <w:tcW w:w="623" w:type="pct"/>
            <w:shd w:val="clear" w:color="auto" w:fill="auto"/>
            <w:noWrap/>
          </w:tcPr>
          <w:p w14:paraId="7368A385" w14:textId="77777777" w:rsidR="006B2325" w:rsidRPr="006E19C7" w:rsidRDefault="006B2325" w:rsidP="00CD1F63">
            <w:pPr>
              <w:jc w:val="center"/>
            </w:pPr>
            <w:r w:rsidRPr="006E19C7">
              <w:t>8.6%</w:t>
            </w:r>
          </w:p>
        </w:tc>
        <w:tc>
          <w:tcPr>
            <w:tcW w:w="623" w:type="pct"/>
            <w:shd w:val="clear" w:color="auto" w:fill="auto"/>
            <w:noWrap/>
          </w:tcPr>
          <w:p w14:paraId="5077B8B1" w14:textId="77777777" w:rsidR="006B2325" w:rsidRPr="006E19C7" w:rsidRDefault="006B2325" w:rsidP="00CD1F63">
            <w:pPr>
              <w:jc w:val="center"/>
            </w:pPr>
            <w:r w:rsidRPr="006E19C7">
              <w:t>8.4%</w:t>
            </w:r>
          </w:p>
        </w:tc>
        <w:tc>
          <w:tcPr>
            <w:tcW w:w="610" w:type="pct"/>
            <w:shd w:val="clear" w:color="auto" w:fill="auto"/>
            <w:noWrap/>
          </w:tcPr>
          <w:p w14:paraId="2946B0F3" w14:textId="77777777" w:rsidR="006B2325" w:rsidRPr="006E19C7" w:rsidRDefault="006B2325" w:rsidP="00CD1F63">
            <w:pPr>
              <w:jc w:val="center"/>
            </w:pPr>
            <w:r w:rsidRPr="006E19C7">
              <w:t>12.7%</w:t>
            </w:r>
          </w:p>
        </w:tc>
      </w:tr>
      <w:tr w:rsidR="006B2325" w:rsidRPr="006E19C7" w14:paraId="548E1D80" w14:textId="77777777" w:rsidTr="006B2325">
        <w:trPr>
          <w:trHeight w:val="295"/>
          <w:jc w:val="center"/>
        </w:trPr>
        <w:tc>
          <w:tcPr>
            <w:tcW w:w="1267" w:type="pct"/>
            <w:shd w:val="clear" w:color="auto" w:fill="auto"/>
            <w:noWrap/>
          </w:tcPr>
          <w:p w14:paraId="336E20DB" w14:textId="77777777" w:rsidR="006B2325" w:rsidRPr="006E19C7" w:rsidRDefault="006B2325" w:rsidP="00CD1F63">
            <w:r w:rsidRPr="006E19C7">
              <w:t>Medium</w:t>
            </w:r>
          </w:p>
        </w:tc>
        <w:tc>
          <w:tcPr>
            <w:tcW w:w="630" w:type="pct"/>
            <w:shd w:val="clear" w:color="auto" w:fill="auto"/>
            <w:noWrap/>
          </w:tcPr>
          <w:p w14:paraId="22EF52D1" w14:textId="77777777" w:rsidR="006B2325" w:rsidRPr="006E19C7" w:rsidRDefault="006B2325" w:rsidP="00CD1F63">
            <w:pPr>
              <w:jc w:val="center"/>
            </w:pPr>
            <w:r w:rsidRPr="006E19C7">
              <w:t>19.6%</w:t>
            </w:r>
          </w:p>
        </w:tc>
        <w:tc>
          <w:tcPr>
            <w:tcW w:w="623" w:type="pct"/>
            <w:shd w:val="clear" w:color="auto" w:fill="auto"/>
            <w:noWrap/>
          </w:tcPr>
          <w:p w14:paraId="52B60122" w14:textId="77777777" w:rsidR="006B2325" w:rsidRPr="006E19C7" w:rsidRDefault="006B2325" w:rsidP="00CD1F63">
            <w:pPr>
              <w:jc w:val="center"/>
            </w:pPr>
            <w:r w:rsidRPr="006E19C7">
              <w:t>21.4%</w:t>
            </w:r>
          </w:p>
        </w:tc>
        <w:tc>
          <w:tcPr>
            <w:tcW w:w="624" w:type="pct"/>
            <w:shd w:val="clear" w:color="auto" w:fill="auto"/>
            <w:noWrap/>
          </w:tcPr>
          <w:p w14:paraId="2CFA3081" w14:textId="77777777" w:rsidR="006B2325" w:rsidRPr="006E19C7" w:rsidRDefault="006B2325" w:rsidP="00CD1F63">
            <w:pPr>
              <w:jc w:val="center"/>
            </w:pPr>
            <w:r w:rsidRPr="006E19C7">
              <w:t>20.0%</w:t>
            </w:r>
          </w:p>
        </w:tc>
        <w:tc>
          <w:tcPr>
            <w:tcW w:w="623" w:type="pct"/>
            <w:shd w:val="clear" w:color="auto" w:fill="auto"/>
            <w:noWrap/>
          </w:tcPr>
          <w:p w14:paraId="0F789480" w14:textId="77777777" w:rsidR="006B2325" w:rsidRPr="006E19C7" w:rsidRDefault="006B2325" w:rsidP="00CD1F63">
            <w:pPr>
              <w:jc w:val="center"/>
            </w:pPr>
            <w:r w:rsidRPr="006E19C7">
              <w:t>18.8%</w:t>
            </w:r>
          </w:p>
        </w:tc>
        <w:tc>
          <w:tcPr>
            <w:tcW w:w="623" w:type="pct"/>
            <w:shd w:val="clear" w:color="auto" w:fill="auto"/>
            <w:noWrap/>
          </w:tcPr>
          <w:p w14:paraId="4A8A1D8F" w14:textId="77777777" w:rsidR="006B2325" w:rsidRPr="006E19C7" w:rsidRDefault="006B2325" w:rsidP="00CD1F63">
            <w:pPr>
              <w:jc w:val="center"/>
            </w:pPr>
            <w:r w:rsidRPr="006E19C7">
              <w:t>24.3%</w:t>
            </w:r>
          </w:p>
        </w:tc>
        <w:tc>
          <w:tcPr>
            <w:tcW w:w="610" w:type="pct"/>
            <w:shd w:val="clear" w:color="auto" w:fill="auto"/>
            <w:noWrap/>
          </w:tcPr>
          <w:p w14:paraId="2CC67548" w14:textId="77777777" w:rsidR="006B2325" w:rsidRPr="006E19C7" w:rsidRDefault="006B2325" w:rsidP="00CD1F63">
            <w:pPr>
              <w:jc w:val="center"/>
            </w:pPr>
            <w:r w:rsidRPr="006E19C7">
              <w:t>28.9%</w:t>
            </w:r>
          </w:p>
        </w:tc>
      </w:tr>
      <w:tr w:rsidR="006B2325" w:rsidRPr="006E19C7" w14:paraId="717F9BCB" w14:textId="77777777" w:rsidTr="006B2325">
        <w:trPr>
          <w:trHeight w:val="295"/>
          <w:jc w:val="center"/>
        </w:trPr>
        <w:tc>
          <w:tcPr>
            <w:tcW w:w="1267" w:type="pct"/>
            <w:shd w:val="clear" w:color="auto" w:fill="auto"/>
            <w:noWrap/>
          </w:tcPr>
          <w:p w14:paraId="6B0EA93D" w14:textId="77777777" w:rsidR="006B2325" w:rsidRPr="006E19C7" w:rsidRDefault="006B2325" w:rsidP="00CD1F63">
            <w:r w:rsidRPr="006E19C7">
              <w:t>Large</w:t>
            </w:r>
          </w:p>
        </w:tc>
        <w:tc>
          <w:tcPr>
            <w:tcW w:w="630" w:type="pct"/>
            <w:shd w:val="clear" w:color="auto" w:fill="auto"/>
            <w:noWrap/>
          </w:tcPr>
          <w:p w14:paraId="2C7F7F06" w14:textId="77777777" w:rsidR="006B2325" w:rsidRPr="006E19C7" w:rsidRDefault="006B2325" w:rsidP="00CD1F63">
            <w:pPr>
              <w:jc w:val="center"/>
            </w:pPr>
            <w:r w:rsidRPr="006E19C7">
              <w:t>72.3%</w:t>
            </w:r>
          </w:p>
        </w:tc>
        <w:tc>
          <w:tcPr>
            <w:tcW w:w="623" w:type="pct"/>
            <w:shd w:val="clear" w:color="auto" w:fill="auto"/>
            <w:noWrap/>
          </w:tcPr>
          <w:p w14:paraId="49D1DADA" w14:textId="77777777" w:rsidR="006B2325" w:rsidRPr="006E19C7" w:rsidRDefault="006B2325" w:rsidP="00CD1F63">
            <w:pPr>
              <w:jc w:val="center"/>
            </w:pPr>
            <w:r w:rsidRPr="006E19C7">
              <w:t>69.9%</w:t>
            </w:r>
          </w:p>
        </w:tc>
        <w:tc>
          <w:tcPr>
            <w:tcW w:w="624" w:type="pct"/>
            <w:shd w:val="clear" w:color="auto" w:fill="auto"/>
            <w:noWrap/>
          </w:tcPr>
          <w:p w14:paraId="477015E8" w14:textId="77777777" w:rsidR="006B2325" w:rsidRPr="006E19C7" w:rsidRDefault="006B2325" w:rsidP="00CD1F63">
            <w:pPr>
              <w:jc w:val="center"/>
            </w:pPr>
            <w:r w:rsidRPr="006E19C7">
              <w:t>72.5%</w:t>
            </w:r>
          </w:p>
        </w:tc>
        <w:tc>
          <w:tcPr>
            <w:tcW w:w="623" w:type="pct"/>
            <w:shd w:val="clear" w:color="auto" w:fill="auto"/>
            <w:noWrap/>
          </w:tcPr>
          <w:p w14:paraId="0C6AAFEC" w14:textId="77777777" w:rsidR="006B2325" w:rsidRPr="006E19C7" w:rsidRDefault="006B2325" w:rsidP="00CD1F63">
            <w:pPr>
              <w:jc w:val="center"/>
            </w:pPr>
            <w:r w:rsidRPr="006E19C7">
              <w:t>72.6%</w:t>
            </w:r>
          </w:p>
        </w:tc>
        <w:tc>
          <w:tcPr>
            <w:tcW w:w="623" w:type="pct"/>
            <w:shd w:val="clear" w:color="auto" w:fill="auto"/>
            <w:noWrap/>
          </w:tcPr>
          <w:p w14:paraId="33776CBD" w14:textId="77777777" w:rsidR="006B2325" w:rsidRPr="006E19C7" w:rsidRDefault="006B2325" w:rsidP="00CD1F63">
            <w:pPr>
              <w:jc w:val="center"/>
            </w:pPr>
            <w:r w:rsidRPr="006E19C7">
              <w:t>67.3%</w:t>
            </w:r>
          </w:p>
        </w:tc>
        <w:tc>
          <w:tcPr>
            <w:tcW w:w="610" w:type="pct"/>
            <w:shd w:val="clear" w:color="auto" w:fill="auto"/>
            <w:noWrap/>
          </w:tcPr>
          <w:p w14:paraId="38C17A5A" w14:textId="77777777" w:rsidR="006B2325" w:rsidRPr="006E19C7" w:rsidRDefault="006B2325" w:rsidP="00CD1F63">
            <w:pPr>
              <w:jc w:val="center"/>
            </w:pPr>
            <w:r w:rsidRPr="006E19C7">
              <w:t>58.3%</w:t>
            </w:r>
          </w:p>
        </w:tc>
      </w:tr>
      <w:tr w:rsidR="006B2325" w:rsidRPr="006E19C7" w14:paraId="58F803EE" w14:textId="77777777" w:rsidTr="006B2325">
        <w:trPr>
          <w:trHeight w:val="295"/>
          <w:jc w:val="center"/>
        </w:trPr>
        <w:tc>
          <w:tcPr>
            <w:tcW w:w="1267" w:type="pct"/>
            <w:shd w:val="clear" w:color="auto" w:fill="auto"/>
            <w:noWrap/>
          </w:tcPr>
          <w:p w14:paraId="4788B76D" w14:textId="77777777" w:rsidR="006B2325" w:rsidRPr="006E19C7" w:rsidRDefault="006B2325" w:rsidP="00CD1F63">
            <w:r w:rsidRPr="006E19C7">
              <w:lastRenderedPageBreak/>
              <w:t>Hospital Region</w:t>
            </w:r>
          </w:p>
        </w:tc>
        <w:tc>
          <w:tcPr>
            <w:tcW w:w="630" w:type="pct"/>
            <w:shd w:val="clear" w:color="auto" w:fill="auto"/>
            <w:noWrap/>
          </w:tcPr>
          <w:p w14:paraId="62F1B407" w14:textId="77777777" w:rsidR="006B2325" w:rsidRPr="006E19C7" w:rsidRDefault="006B2325" w:rsidP="00CD1F63">
            <w:pPr>
              <w:jc w:val="center"/>
            </w:pPr>
          </w:p>
        </w:tc>
        <w:tc>
          <w:tcPr>
            <w:tcW w:w="623" w:type="pct"/>
            <w:shd w:val="clear" w:color="auto" w:fill="auto"/>
            <w:noWrap/>
          </w:tcPr>
          <w:p w14:paraId="6D2D00D0" w14:textId="77777777" w:rsidR="006B2325" w:rsidRPr="006E19C7" w:rsidRDefault="006B2325" w:rsidP="00CD1F63">
            <w:pPr>
              <w:jc w:val="center"/>
            </w:pPr>
          </w:p>
        </w:tc>
        <w:tc>
          <w:tcPr>
            <w:tcW w:w="624" w:type="pct"/>
            <w:shd w:val="clear" w:color="auto" w:fill="auto"/>
            <w:noWrap/>
          </w:tcPr>
          <w:p w14:paraId="79A2134F" w14:textId="77777777" w:rsidR="006B2325" w:rsidRPr="006E19C7" w:rsidRDefault="006B2325" w:rsidP="00CD1F63">
            <w:pPr>
              <w:jc w:val="center"/>
            </w:pPr>
          </w:p>
        </w:tc>
        <w:tc>
          <w:tcPr>
            <w:tcW w:w="623" w:type="pct"/>
            <w:shd w:val="clear" w:color="auto" w:fill="auto"/>
            <w:noWrap/>
          </w:tcPr>
          <w:p w14:paraId="780D5AFD" w14:textId="77777777" w:rsidR="006B2325" w:rsidRPr="006E19C7" w:rsidRDefault="006B2325" w:rsidP="00CD1F63">
            <w:pPr>
              <w:jc w:val="center"/>
            </w:pPr>
          </w:p>
        </w:tc>
        <w:tc>
          <w:tcPr>
            <w:tcW w:w="623" w:type="pct"/>
            <w:shd w:val="clear" w:color="auto" w:fill="auto"/>
            <w:noWrap/>
          </w:tcPr>
          <w:p w14:paraId="4FD22F5A" w14:textId="77777777" w:rsidR="006B2325" w:rsidRPr="006E19C7" w:rsidRDefault="006B2325" w:rsidP="00CD1F63">
            <w:pPr>
              <w:jc w:val="center"/>
            </w:pPr>
          </w:p>
        </w:tc>
        <w:tc>
          <w:tcPr>
            <w:tcW w:w="610" w:type="pct"/>
            <w:shd w:val="clear" w:color="auto" w:fill="auto"/>
            <w:noWrap/>
          </w:tcPr>
          <w:p w14:paraId="47E28AEA" w14:textId="77777777" w:rsidR="006B2325" w:rsidRPr="006E19C7" w:rsidRDefault="006B2325" w:rsidP="00CD1F63">
            <w:pPr>
              <w:jc w:val="center"/>
            </w:pPr>
          </w:p>
        </w:tc>
      </w:tr>
      <w:tr w:rsidR="006B2325" w:rsidRPr="006E19C7" w14:paraId="02CDCA64" w14:textId="77777777" w:rsidTr="006B2325">
        <w:trPr>
          <w:trHeight w:val="295"/>
          <w:jc w:val="center"/>
        </w:trPr>
        <w:tc>
          <w:tcPr>
            <w:tcW w:w="1267" w:type="pct"/>
            <w:shd w:val="clear" w:color="auto" w:fill="auto"/>
            <w:noWrap/>
          </w:tcPr>
          <w:p w14:paraId="3DBBA1E5" w14:textId="77777777" w:rsidR="006B2325" w:rsidRPr="006E19C7" w:rsidRDefault="006B2325" w:rsidP="00CD1F63">
            <w:r w:rsidRPr="006E19C7">
              <w:t>Northeast</w:t>
            </w:r>
          </w:p>
        </w:tc>
        <w:tc>
          <w:tcPr>
            <w:tcW w:w="630" w:type="pct"/>
            <w:shd w:val="clear" w:color="auto" w:fill="auto"/>
            <w:noWrap/>
          </w:tcPr>
          <w:p w14:paraId="623E9F43" w14:textId="77777777" w:rsidR="006B2325" w:rsidRPr="006E19C7" w:rsidRDefault="006B2325" w:rsidP="00CD1F63">
            <w:pPr>
              <w:jc w:val="center"/>
            </w:pPr>
            <w:r w:rsidRPr="006E19C7">
              <w:t>22.0%</w:t>
            </w:r>
          </w:p>
        </w:tc>
        <w:tc>
          <w:tcPr>
            <w:tcW w:w="623" w:type="pct"/>
            <w:shd w:val="clear" w:color="auto" w:fill="auto"/>
            <w:noWrap/>
          </w:tcPr>
          <w:p w14:paraId="5ADDFDF2" w14:textId="77777777" w:rsidR="006B2325" w:rsidRPr="006E19C7" w:rsidRDefault="006B2325" w:rsidP="00CD1F63">
            <w:pPr>
              <w:jc w:val="center"/>
            </w:pPr>
            <w:r w:rsidRPr="006E19C7">
              <w:t>18.8%</w:t>
            </w:r>
          </w:p>
        </w:tc>
        <w:tc>
          <w:tcPr>
            <w:tcW w:w="624" w:type="pct"/>
            <w:shd w:val="clear" w:color="auto" w:fill="auto"/>
            <w:noWrap/>
          </w:tcPr>
          <w:p w14:paraId="4894470E" w14:textId="77777777" w:rsidR="006B2325" w:rsidRPr="006E19C7" w:rsidRDefault="006B2325" w:rsidP="00CD1F63">
            <w:pPr>
              <w:jc w:val="center"/>
            </w:pPr>
            <w:r w:rsidRPr="006E19C7">
              <w:t>16.4%</w:t>
            </w:r>
          </w:p>
        </w:tc>
        <w:tc>
          <w:tcPr>
            <w:tcW w:w="623" w:type="pct"/>
            <w:shd w:val="clear" w:color="auto" w:fill="auto"/>
            <w:noWrap/>
          </w:tcPr>
          <w:p w14:paraId="18241EF5" w14:textId="77777777" w:rsidR="006B2325" w:rsidRPr="006E19C7" w:rsidRDefault="006B2325" w:rsidP="00CD1F63">
            <w:pPr>
              <w:jc w:val="center"/>
            </w:pPr>
            <w:r w:rsidRPr="006E19C7">
              <w:t>17.4%</w:t>
            </w:r>
          </w:p>
        </w:tc>
        <w:tc>
          <w:tcPr>
            <w:tcW w:w="623" w:type="pct"/>
            <w:shd w:val="clear" w:color="auto" w:fill="auto"/>
            <w:noWrap/>
          </w:tcPr>
          <w:p w14:paraId="558C2B1C" w14:textId="77777777" w:rsidR="006B2325" w:rsidRPr="006E19C7" w:rsidRDefault="006B2325" w:rsidP="00CD1F63">
            <w:pPr>
              <w:jc w:val="center"/>
            </w:pPr>
            <w:r w:rsidRPr="006E19C7">
              <w:t>16.7%</w:t>
            </w:r>
          </w:p>
        </w:tc>
        <w:tc>
          <w:tcPr>
            <w:tcW w:w="610" w:type="pct"/>
            <w:shd w:val="clear" w:color="auto" w:fill="auto"/>
            <w:noWrap/>
          </w:tcPr>
          <w:p w14:paraId="341E2066" w14:textId="77777777" w:rsidR="006B2325" w:rsidRPr="006E19C7" w:rsidRDefault="006B2325" w:rsidP="00CD1F63">
            <w:pPr>
              <w:jc w:val="center"/>
            </w:pPr>
            <w:r w:rsidRPr="006E19C7">
              <w:t>17.0%</w:t>
            </w:r>
          </w:p>
        </w:tc>
      </w:tr>
      <w:tr w:rsidR="006B2325" w:rsidRPr="006E19C7" w14:paraId="46366A14" w14:textId="77777777" w:rsidTr="006B2325">
        <w:trPr>
          <w:trHeight w:val="295"/>
          <w:jc w:val="center"/>
        </w:trPr>
        <w:tc>
          <w:tcPr>
            <w:tcW w:w="1267" w:type="pct"/>
            <w:shd w:val="clear" w:color="auto" w:fill="auto"/>
            <w:noWrap/>
          </w:tcPr>
          <w:p w14:paraId="2BDA0FEF" w14:textId="77777777" w:rsidR="006B2325" w:rsidRPr="006E19C7" w:rsidRDefault="006B2325" w:rsidP="00CD1F63">
            <w:r w:rsidRPr="006E19C7">
              <w:t>Midwest</w:t>
            </w:r>
          </w:p>
        </w:tc>
        <w:tc>
          <w:tcPr>
            <w:tcW w:w="630" w:type="pct"/>
            <w:shd w:val="clear" w:color="auto" w:fill="auto"/>
            <w:noWrap/>
          </w:tcPr>
          <w:p w14:paraId="67A200BE" w14:textId="77777777" w:rsidR="006B2325" w:rsidRPr="006E19C7" w:rsidRDefault="006B2325" w:rsidP="00CD1F63">
            <w:pPr>
              <w:jc w:val="center"/>
            </w:pPr>
            <w:r w:rsidRPr="006E19C7">
              <w:t>24.1%</w:t>
            </w:r>
          </w:p>
        </w:tc>
        <w:tc>
          <w:tcPr>
            <w:tcW w:w="623" w:type="pct"/>
            <w:shd w:val="clear" w:color="auto" w:fill="auto"/>
            <w:noWrap/>
          </w:tcPr>
          <w:p w14:paraId="152127DB" w14:textId="77777777" w:rsidR="006B2325" w:rsidRPr="006E19C7" w:rsidRDefault="006B2325" w:rsidP="00CD1F63">
            <w:pPr>
              <w:jc w:val="center"/>
            </w:pPr>
            <w:r w:rsidRPr="006E19C7">
              <w:t>22.2%</w:t>
            </w:r>
          </w:p>
        </w:tc>
        <w:tc>
          <w:tcPr>
            <w:tcW w:w="624" w:type="pct"/>
            <w:shd w:val="clear" w:color="auto" w:fill="auto"/>
            <w:noWrap/>
          </w:tcPr>
          <w:p w14:paraId="65DD5E4D" w14:textId="77777777" w:rsidR="006B2325" w:rsidRPr="006E19C7" w:rsidRDefault="006B2325" w:rsidP="00CD1F63">
            <w:pPr>
              <w:jc w:val="center"/>
            </w:pPr>
            <w:r w:rsidRPr="006E19C7">
              <w:t>25.3%</w:t>
            </w:r>
          </w:p>
        </w:tc>
        <w:tc>
          <w:tcPr>
            <w:tcW w:w="623" w:type="pct"/>
            <w:shd w:val="clear" w:color="auto" w:fill="auto"/>
            <w:noWrap/>
          </w:tcPr>
          <w:p w14:paraId="216C8E82" w14:textId="77777777" w:rsidR="006B2325" w:rsidRPr="006E19C7" w:rsidRDefault="006B2325" w:rsidP="00CD1F63">
            <w:pPr>
              <w:jc w:val="center"/>
            </w:pPr>
            <w:r w:rsidRPr="006E19C7">
              <w:t>26.1%</w:t>
            </w:r>
          </w:p>
        </w:tc>
        <w:tc>
          <w:tcPr>
            <w:tcW w:w="623" w:type="pct"/>
            <w:shd w:val="clear" w:color="auto" w:fill="auto"/>
            <w:noWrap/>
          </w:tcPr>
          <w:p w14:paraId="11E07D84" w14:textId="77777777" w:rsidR="006B2325" w:rsidRPr="006E19C7" w:rsidRDefault="006B2325" w:rsidP="00CD1F63">
            <w:pPr>
              <w:jc w:val="center"/>
            </w:pPr>
            <w:r w:rsidRPr="006E19C7">
              <w:t>23.8%</w:t>
            </w:r>
          </w:p>
        </w:tc>
        <w:tc>
          <w:tcPr>
            <w:tcW w:w="610" w:type="pct"/>
            <w:shd w:val="clear" w:color="auto" w:fill="auto"/>
            <w:noWrap/>
          </w:tcPr>
          <w:p w14:paraId="4EFC758C" w14:textId="77777777" w:rsidR="006B2325" w:rsidRPr="006E19C7" w:rsidRDefault="006B2325" w:rsidP="00CD1F63">
            <w:pPr>
              <w:jc w:val="center"/>
            </w:pPr>
            <w:r w:rsidRPr="006E19C7">
              <w:t>24.1%</w:t>
            </w:r>
          </w:p>
        </w:tc>
      </w:tr>
      <w:tr w:rsidR="006B2325" w:rsidRPr="006E19C7" w14:paraId="28212223" w14:textId="77777777" w:rsidTr="006B2325">
        <w:trPr>
          <w:trHeight w:val="295"/>
          <w:jc w:val="center"/>
        </w:trPr>
        <w:tc>
          <w:tcPr>
            <w:tcW w:w="1267" w:type="pct"/>
            <w:shd w:val="clear" w:color="auto" w:fill="auto"/>
            <w:noWrap/>
          </w:tcPr>
          <w:p w14:paraId="30906286" w14:textId="77777777" w:rsidR="006B2325" w:rsidRPr="006E19C7" w:rsidRDefault="006B2325" w:rsidP="00CD1F63">
            <w:r w:rsidRPr="006E19C7">
              <w:t>South</w:t>
            </w:r>
          </w:p>
        </w:tc>
        <w:tc>
          <w:tcPr>
            <w:tcW w:w="630" w:type="pct"/>
            <w:shd w:val="clear" w:color="auto" w:fill="auto"/>
            <w:noWrap/>
          </w:tcPr>
          <w:p w14:paraId="2E207FAE" w14:textId="77777777" w:rsidR="006B2325" w:rsidRPr="006E19C7" w:rsidRDefault="006B2325" w:rsidP="00CD1F63">
            <w:pPr>
              <w:jc w:val="center"/>
            </w:pPr>
            <w:r w:rsidRPr="006E19C7">
              <w:t>39.1%</w:t>
            </w:r>
          </w:p>
        </w:tc>
        <w:tc>
          <w:tcPr>
            <w:tcW w:w="623" w:type="pct"/>
            <w:shd w:val="clear" w:color="auto" w:fill="auto"/>
            <w:noWrap/>
          </w:tcPr>
          <w:p w14:paraId="31F01F34" w14:textId="77777777" w:rsidR="006B2325" w:rsidRPr="006E19C7" w:rsidRDefault="006B2325" w:rsidP="00CD1F63">
            <w:pPr>
              <w:jc w:val="center"/>
            </w:pPr>
            <w:r w:rsidRPr="006E19C7">
              <w:t>44.3%</w:t>
            </w:r>
          </w:p>
        </w:tc>
        <w:tc>
          <w:tcPr>
            <w:tcW w:w="624" w:type="pct"/>
            <w:shd w:val="clear" w:color="auto" w:fill="auto"/>
            <w:noWrap/>
          </w:tcPr>
          <w:p w14:paraId="1CCE00BE" w14:textId="77777777" w:rsidR="006B2325" w:rsidRPr="006E19C7" w:rsidRDefault="006B2325" w:rsidP="00CD1F63">
            <w:pPr>
              <w:jc w:val="center"/>
            </w:pPr>
            <w:r w:rsidRPr="006E19C7">
              <w:t>42.5%%</w:t>
            </w:r>
          </w:p>
        </w:tc>
        <w:tc>
          <w:tcPr>
            <w:tcW w:w="623" w:type="pct"/>
            <w:shd w:val="clear" w:color="auto" w:fill="auto"/>
            <w:noWrap/>
          </w:tcPr>
          <w:p w14:paraId="4974DB02" w14:textId="77777777" w:rsidR="006B2325" w:rsidRPr="006E19C7" w:rsidRDefault="006B2325" w:rsidP="00CD1F63">
            <w:pPr>
              <w:jc w:val="center"/>
            </w:pPr>
            <w:r w:rsidRPr="006E19C7">
              <w:t>38.8%</w:t>
            </w:r>
          </w:p>
        </w:tc>
        <w:tc>
          <w:tcPr>
            <w:tcW w:w="623" w:type="pct"/>
            <w:shd w:val="clear" w:color="auto" w:fill="auto"/>
            <w:noWrap/>
          </w:tcPr>
          <w:p w14:paraId="3A1BEBED" w14:textId="77777777" w:rsidR="006B2325" w:rsidRPr="006E19C7" w:rsidRDefault="006B2325" w:rsidP="00CD1F63">
            <w:pPr>
              <w:jc w:val="center"/>
            </w:pPr>
            <w:r w:rsidRPr="006E19C7">
              <w:t>42.9%</w:t>
            </w:r>
          </w:p>
        </w:tc>
        <w:tc>
          <w:tcPr>
            <w:tcW w:w="610" w:type="pct"/>
            <w:shd w:val="clear" w:color="auto" w:fill="auto"/>
            <w:noWrap/>
          </w:tcPr>
          <w:p w14:paraId="39DE81AA" w14:textId="77777777" w:rsidR="006B2325" w:rsidRPr="006E19C7" w:rsidRDefault="006B2325" w:rsidP="00CD1F63">
            <w:pPr>
              <w:jc w:val="center"/>
            </w:pPr>
            <w:r w:rsidRPr="006E19C7">
              <w:t>42.2%</w:t>
            </w:r>
          </w:p>
        </w:tc>
      </w:tr>
      <w:tr w:rsidR="006B2325" w:rsidRPr="006E19C7" w14:paraId="0A3E9CA8" w14:textId="77777777" w:rsidTr="006B2325">
        <w:trPr>
          <w:trHeight w:val="295"/>
          <w:jc w:val="center"/>
        </w:trPr>
        <w:tc>
          <w:tcPr>
            <w:tcW w:w="1267" w:type="pct"/>
            <w:shd w:val="clear" w:color="auto" w:fill="auto"/>
            <w:noWrap/>
          </w:tcPr>
          <w:p w14:paraId="1A276837" w14:textId="77777777" w:rsidR="006B2325" w:rsidRPr="006E19C7" w:rsidRDefault="006B2325" w:rsidP="00CD1F63">
            <w:r w:rsidRPr="006E19C7">
              <w:t>West</w:t>
            </w:r>
          </w:p>
        </w:tc>
        <w:tc>
          <w:tcPr>
            <w:tcW w:w="630" w:type="pct"/>
            <w:shd w:val="clear" w:color="auto" w:fill="auto"/>
            <w:noWrap/>
          </w:tcPr>
          <w:p w14:paraId="74D5D51A" w14:textId="77777777" w:rsidR="006B2325" w:rsidRPr="006E19C7" w:rsidRDefault="006B2325" w:rsidP="00CD1F63">
            <w:pPr>
              <w:jc w:val="center"/>
            </w:pPr>
            <w:r w:rsidRPr="006E19C7">
              <w:t>14.8%</w:t>
            </w:r>
          </w:p>
        </w:tc>
        <w:tc>
          <w:tcPr>
            <w:tcW w:w="623" w:type="pct"/>
            <w:shd w:val="clear" w:color="auto" w:fill="auto"/>
            <w:noWrap/>
          </w:tcPr>
          <w:p w14:paraId="76582C77" w14:textId="77777777" w:rsidR="006B2325" w:rsidRPr="006E19C7" w:rsidRDefault="006B2325" w:rsidP="00CD1F63">
            <w:pPr>
              <w:jc w:val="center"/>
            </w:pPr>
            <w:r w:rsidRPr="006E19C7">
              <w:t>14.7%</w:t>
            </w:r>
          </w:p>
        </w:tc>
        <w:tc>
          <w:tcPr>
            <w:tcW w:w="624" w:type="pct"/>
            <w:shd w:val="clear" w:color="auto" w:fill="auto"/>
            <w:noWrap/>
          </w:tcPr>
          <w:p w14:paraId="5DABA36A" w14:textId="77777777" w:rsidR="006B2325" w:rsidRPr="006E19C7" w:rsidRDefault="006B2325" w:rsidP="00CD1F63">
            <w:pPr>
              <w:jc w:val="center"/>
            </w:pPr>
            <w:r w:rsidRPr="006E19C7">
              <w:t>15.7%</w:t>
            </w:r>
          </w:p>
        </w:tc>
        <w:tc>
          <w:tcPr>
            <w:tcW w:w="623" w:type="pct"/>
            <w:shd w:val="clear" w:color="auto" w:fill="auto"/>
            <w:noWrap/>
          </w:tcPr>
          <w:p w14:paraId="1D40D8D2" w14:textId="77777777" w:rsidR="006B2325" w:rsidRPr="006E19C7" w:rsidRDefault="006B2325" w:rsidP="00CD1F63">
            <w:pPr>
              <w:jc w:val="center"/>
            </w:pPr>
            <w:r w:rsidRPr="006E19C7">
              <w:t>17.7%</w:t>
            </w:r>
          </w:p>
        </w:tc>
        <w:tc>
          <w:tcPr>
            <w:tcW w:w="623" w:type="pct"/>
            <w:shd w:val="clear" w:color="auto" w:fill="auto"/>
            <w:noWrap/>
          </w:tcPr>
          <w:p w14:paraId="07D9C94D" w14:textId="77777777" w:rsidR="006B2325" w:rsidRPr="006E19C7" w:rsidRDefault="006B2325" w:rsidP="00CD1F63">
            <w:pPr>
              <w:jc w:val="center"/>
            </w:pPr>
            <w:r w:rsidRPr="006E19C7">
              <w:t>16.6%</w:t>
            </w:r>
          </w:p>
        </w:tc>
        <w:tc>
          <w:tcPr>
            <w:tcW w:w="610" w:type="pct"/>
            <w:shd w:val="clear" w:color="auto" w:fill="auto"/>
            <w:noWrap/>
          </w:tcPr>
          <w:p w14:paraId="77581C32" w14:textId="77777777" w:rsidR="006B2325" w:rsidRPr="006E19C7" w:rsidRDefault="006B2325" w:rsidP="00CD1F63">
            <w:pPr>
              <w:jc w:val="center"/>
            </w:pPr>
            <w:r w:rsidRPr="006E19C7">
              <w:t>16.7%</w:t>
            </w:r>
          </w:p>
        </w:tc>
      </w:tr>
      <w:tr w:rsidR="006B2325" w:rsidRPr="006E19C7" w14:paraId="7F64C860" w14:textId="77777777" w:rsidTr="006B2325">
        <w:trPr>
          <w:trHeight w:val="295"/>
          <w:jc w:val="center"/>
        </w:trPr>
        <w:tc>
          <w:tcPr>
            <w:tcW w:w="1267" w:type="pct"/>
            <w:shd w:val="clear" w:color="auto" w:fill="auto"/>
            <w:noWrap/>
          </w:tcPr>
          <w:p w14:paraId="1F0CA17D" w14:textId="77777777" w:rsidR="006B2325" w:rsidRPr="006E19C7" w:rsidRDefault="006B2325" w:rsidP="00CD1F63">
            <w:r w:rsidRPr="006E19C7">
              <w:t>Location/ Teaching status</w:t>
            </w:r>
          </w:p>
        </w:tc>
        <w:tc>
          <w:tcPr>
            <w:tcW w:w="630" w:type="pct"/>
            <w:shd w:val="clear" w:color="auto" w:fill="auto"/>
            <w:noWrap/>
          </w:tcPr>
          <w:p w14:paraId="429C04B0" w14:textId="77777777" w:rsidR="006B2325" w:rsidRPr="006E19C7" w:rsidRDefault="006B2325" w:rsidP="00CD1F63">
            <w:pPr>
              <w:jc w:val="center"/>
            </w:pPr>
          </w:p>
        </w:tc>
        <w:tc>
          <w:tcPr>
            <w:tcW w:w="623" w:type="pct"/>
            <w:shd w:val="clear" w:color="auto" w:fill="auto"/>
            <w:noWrap/>
          </w:tcPr>
          <w:p w14:paraId="41CF42EA" w14:textId="77777777" w:rsidR="006B2325" w:rsidRPr="006E19C7" w:rsidRDefault="006B2325" w:rsidP="00CD1F63">
            <w:pPr>
              <w:jc w:val="center"/>
            </w:pPr>
          </w:p>
        </w:tc>
        <w:tc>
          <w:tcPr>
            <w:tcW w:w="624" w:type="pct"/>
            <w:shd w:val="clear" w:color="auto" w:fill="auto"/>
            <w:noWrap/>
          </w:tcPr>
          <w:p w14:paraId="055EAF2A" w14:textId="77777777" w:rsidR="006B2325" w:rsidRPr="006E19C7" w:rsidRDefault="006B2325" w:rsidP="00CD1F63">
            <w:pPr>
              <w:jc w:val="center"/>
            </w:pPr>
          </w:p>
        </w:tc>
        <w:tc>
          <w:tcPr>
            <w:tcW w:w="623" w:type="pct"/>
            <w:shd w:val="clear" w:color="auto" w:fill="auto"/>
            <w:noWrap/>
          </w:tcPr>
          <w:p w14:paraId="7178F489" w14:textId="77777777" w:rsidR="006B2325" w:rsidRPr="006E19C7" w:rsidRDefault="006B2325" w:rsidP="00CD1F63">
            <w:pPr>
              <w:jc w:val="center"/>
            </w:pPr>
          </w:p>
        </w:tc>
        <w:tc>
          <w:tcPr>
            <w:tcW w:w="623" w:type="pct"/>
            <w:shd w:val="clear" w:color="auto" w:fill="auto"/>
            <w:noWrap/>
          </w:tcPr>
          <w:p w14:paraId="6029C557" w14:textId="77777777" w:rsidR="006B2325" w:rsidRPr="006E19C7" w:rsidRDefault="006B2325" w:rsidP="00CD1F63">
            <w:pPr>
              <w:jc w:val="center"/>
            </w:pPr>
          </w:p>
        </w:tc>
        <w:tc>
          <w:tcPr>
            <w:tcW w:w="610" w:type="pct"/>
            <w:shd w:val="clear" w:color="auto" w:fill="auto"/>
            <w:noWrap/>
          </w:tcPr>
          <w:p w14:paraId="20F202DE" w14:textId="77777777" w:rsidR="006B2325" w:rsidRPr="006E19C7" w:rsidRDefault="006B2325" w:rsidP="00CD1F63">
            <w:pPr>
              <w:jc w:val="center"/>
            </w:pPr>
          </w:p>
        </w:tc>
      </w:tr>
      <w:tr w:rsidR="006B2325" w:rsidRPr="006E19C7" w14:paraId="746E276B" w14:textId="77777777" w:rsidTr="006B2325">
        <w:trPr>
          <w:trHeight w:val="295"/>
          <w:jc w:val="center"/>
        </w:trPr>
        <w:tc>
          <w:tcPr>
            <w:tcW w:w="1267" w:type="pct"/>
            <w:shd w:val="clear" w:color="auto" w:fill="auto"/>
            <w:noWrap/>
          </w:tcPr>
          <w:p w14:paraId="586800E3" w14:textId="77777777" w:rsidR="006B2325" w:rsidRPr="006E19C7" w:rsidRDefault="006B2325" w:rsidP="00CD1F63">
            <w:r w:rsidRPr="006E19C7">
              <w:t>Rural</w:t>
            </w:r>
          </w:p>
        </w:tc>
        <w:tc>
          <w:tcPr>
            <w:tcW w:w="630" w:type="pct"/>
            <w:shd w:val="clear" w:color="auto" w:fill="auto"/>
            <w:noWrap/>
          </w:tcPr>
          <w:p w14:paraId="28F6E19A" w14:textId="77777777" w:rsidR="006B2325" w:rsidRPr="006E19C7" w:rsidRDefault="006B2325" w:rsidP="00CD1F63">
            <w:pPr>
              <w:jc w:val="center"/>
            </w:pPr>
            <w:r w:rsidRPr="006E19C7">
              <w:t>5.2%</w:t>
            </w:r>
          </w:p>
        </w:tc>
        <w:tc>
          <w:tcPr>
            <w:tcW w:w="623" w:type="pct"/>
            <w:shd w:val="clear" w:color="auto" w:fill="auto"/>
            <w:noWrap/>
          </w:tcPr>
          <w:p w14:paraId="1814E14F" w14:textId="77777777" w:rsidR="006B2325" w:rsidRPr="006E19C7" w:rsidRDefault="006B2325" w:rsidP="00CD1F63">
            <w:pPr>
              <w:jc w:val="center"/>
            </w:pPr>
            <w:r w:rsidRPr="006E19C7">
              <w:t>4.4%</w:t>
            </w:r>
          </w:p>
        </w:tc>
        <w:tc>
          <w:tcPr>
            <w:tcW w:w="624" w:type="pct"/>
            <w:shd w:val="clear" w:color="auto" w:fill="auto"/>
            <w:noWrap/>
          </w:tcPr>
          <w:p w14:paraId="49B6329D" w14:textId="77777777" w:rsidR="006B2325" w:rsidRPr="006E19C7" w:rsidRDefault="006B2325" w:rsidP="00CD1F63">
            <w:pPr>
              <w:jc w:val="center"/>
            </w:pPr>
            <w:r w:rsidRPr="006E19C7">
              <w:t>7.8%</w:t>
            </w:r>
          </w:p>
        </w:tc>
        <w:tc>
          <w:tcPr>
            <w:tcW w:w="623" w:type="pct"/>
            <w:shd w:val="clear" w:color="auto" w:fill="auto"/>
            <w:noWrap/>
          </w:tcPr>
          <w:p w14:paraId="0EA80488" w14:textId="77777777" w:rsidR="006B2325" w:rsidRPr="006E19C7" w:rsidRDefault="006B2325" w:rsidP="00CD1F63">
            <w:pPr>
              <w:jc w:val="center"/>
            </w:pPr>
            <w:r w:rsidRPr="006E19C7">
              <w:t>10.1%</w:t>
            </w:r>
          </w:p>
        </w:tc>
        <w:tc>
          <w:tcPr>
            <w:tcW w:w="623" w:type="pct"/>
            <w:shd w:val="clear" w:color="auto" w:fill="auto"/>
            <w:noWrap/>
          </w:tcPr>
          <w:p w14:paraId="6B45F286" w14:textId="77777777" w:rsidR="006B2325" w:rsidRPr="006E19C7" w:rsidRDefault="006B2325" w:rsidP="00CD1F63">
            <w:pPr>
              <w:jc w:val="center"/>
            </w:pPr>
            <w:r w:rsidRPr="006E19C7">
              <w:t>6.8%</w:t>
            </w:r>
          </w:p>
        </w:tc>
        <w:tc>
          <w:tcPr>
            <w:tcW w:w="610" w:type="pct"/>
            <w:shd w:val="clear" w:color="auto" w:fill="auto"/>
            <w:noWrap/>
          </w:tcPr>
          <w:p w14:paraId="4B0AB27C" w14:textId="77777777" w:rsidR="006B2325" w:rsidRPr="006E19C7" w:rsidRDefault="006B2325" w:rsidP="00CD1F63">
            <w:pPr>
              <w:jc w:val="center"/>
            </w:pPr>
            <w:r w:rsidRPr="006E19C7">
              <w:t>5.7%</w:t>
            </w:r>
          </w:p>
        </w:tc>
      </w:tr>
      <w:tr w:rsidR="006B2325" w:rsidRPr="006E19C7" w14:paraId="0C39BAFE" w14:textId="77777777" w:rsidTr="006B2325">
        <w:trPr>
          <w:trHeight w:val="295"/>
          <w:jc w:val="center"/>
        </w:trPr>
        <w:tc>
          <w:tcPr>
            <w:tcW w:w="1267" w:type="pct"/>
            <w:shd w:val="clear" w:color="auto" w:fill="auto"/>
            <w:noWrap/>
          </w:tcPr>
          <w:p w14:paraId="40EB350C" w14:textId="77777777" w:rsidR="006B2325" w:rsidRPr="006E19C7" w:rsidRDefault="006B2325" w:rsidP="00CD1F63">
            <w:r w:rsidRPr="006E19C7">
              <w:t>Urban-non teaching</w:t>
            </w:r>
          </w:p>
        </w:tc>
        <w:tc>
          <w:tcPr>
            <w:tcW w:w="630" w:type="pct"/>
            <w:shd w:val="clear" w:color="auto" w:fill="auto"/>
            <w:noWrap/>
          </w:tcPr>
          <w:p w14:paraId="1A5EECE5" w14:textId="77777777" w:rsidR="006B2325" w:rsidRPr="006E19C7" w:rsidRDefault="006B2325" w:rsidP="00CD1F63">
            <w:pPr>
              <w:jc w:val="center"/>
            </w:pPr>
            <w:r w:rsidRPr="006E19C7">
              <w:t>38.2%</w:t>
            </w:r>
          </w:p>
        </w:tc>
        <w:tc>
          <w:tcPr>
            <w:tcW w:w="623" w:type="pct"/>
            <w:shd w:val="clear" w:color="auto" w:fill="auto"/>
            <w:noWrap/>
          </w:tcPr>
          <w:p w14:paraId="55FD2A9B" w14:textId="77777777" w:rsidR="006B2325" w:rsidRPr="006E19C7" w:rsidRDefault="006B2325" w:rsidP="00CD1F63">
            <w:pPr>
              <w:jc w:val="center"/>
            </w:pPr>
            <w:r w:rsidRPr="006E19C7">
              <w:t>39.6%</w:t>
            </w:r>
          </w:p>
        </w:tc>
        <w:tc>
          <w:tcPr>
            <w:tcW w:w="624" w:type="pct"/>
            <w:shd w:val="clear" w:color="auto" w:fill="auto"/>
            <w:noWrap/>
          </w:tcPr>
          <w:p w14:paraId="16748462" w14:textId="77777777" w:rsidR="006B2325" w:rsidRPr="006E19C7" w:rsidRDefault="006B2325" w:rsidP="00CD1F63">
            <w:pPr>
              <w:jc w:val="center"/>
            </w:pPr>
            <w:r w:rsidRPr="006E19C7">
              <w:t>40.5%</w:t>
            </w:r>
          </w:p>
        </w:tc>
        <w:tc>
          <w:tcPr>
            <w:tcW w:w="623" w:type="pct"/>
            <w:shd w:val="clear" w:color="auto" w:fill="auto"/>
            <w:noWrap/>
          </w:tcPr>
          <w:p w14:paraId="269BF7D6" w14:textId="77777777" w:rsidR="006B2325" w:rsidRPr="006E19C7" w:rsidRDefault="006B2325" w:rsidP="00CD1F63">
            <w:pPr>
              <w:jc w:val="center"/>
            </w:pPr>
            <w:r w:rsidRPr="006E19C7">
              <w:t>40.3%</w:t>
            </w:r>
          </w:p>
        </w:tc>
        <w:tc>
          <w:tcPr>
            <w:tcW w:w="623" w:type="pct"/>
            <w:shd w:val="clear" w:color="auto" w:fill="auto"/>
            <w:noWrap/>
          </w:tcPr>
          <w:p w14:paraId="6368BC56" w14:textId="77777777" w:rsidR="006B2325" w:rsidRPr="006E19C7" w:rsidRDefault="006B2325" w:rsidP="00CD1F63">
            <w:pPr>
              <w:jc w:val="center"/>
            </w:pPr>
            <w:r w:rsidRPr="006E19C7">
              <w:t>38.2%</w:t>
            </w:r>
          </w:p>
        </w:tc>
        <w:tc>
          <w:tcPr>
            <w:tcW w:w="610" w:type="pct"/>
            <w:shd w:val="clear" w:color="auto" w:fill="auto"/>
            <w:noWrap/>
          </w:tcPr>
          <w:p w14:paraId="69F23720" w14:textId="77777777" w:rsidR="006B2325" w:rsidRPr="006E19C7" w:rsidRDefault="006B2325" w:rsidP="00CD1F63">
            <w:pPr>
              <w:jc w:val="center"/>
            </w:pPr>
            <w:r w:rsidRPr="006E19C7">
              <w:t>27.5%</w:t>
            </w:r>
          </w:p>
        </w:tc>
      </w:tr>
      <w:tr w:rsidR="006B2325" w:rsidRPr="006E19C7" w14:paraId="4DF1548F" w14:textId="77777777" w:rsidTr="006B2325">
        <w:trPr>
          <w:trHeight w:val="295"/>
          <w:jc w:val="center"/>
        </w:trPr>
        <w:tc>
          <w:tcPr>
            <w:tcW w:w="1267" w:type="pct"/>
            <w:shd w:val="clear" w:color="auto" w:fill="auto"/>
            <w:noWrap/>
          </w:tcPr>
          <w:p w14:paraId="1DC75920" w14:textId="77777777" w:rsidR="006B2325" w:rsidRPr="006E19C7" w:rsidRDefault="006B2325" w:rsidP="00CD1F63">
            <w:r w:rsidRPr="006E19C7">
              <w:t>Urban- teaching</w:t>
            </w:r>
          </w:p>
        </w:tc>
        <w:tc>
          <w:tcPr>
            <w:tcW w:w="630" w:type="pct"/>
            <w:shd w:val="clear" w:color="auto" w:fill="auto"/>
            <w:noWrap/>
          </w:tcPr>
          <w:p w14:paraId="03B2D29B" w14:textId="77777777" w:rsidR="006B2325" w:rsidRPr="006E19C7" w:rsidRDefault="006B2325" w:rsidP="00CD1F63">
            <w:pPr>
              <w:jc w:val="center"/>
            </w:pPr>
            <w:r w:rsidRPr="006E19C7">
              <w:t>56.6%</w:t>
            </w:r>
          </w:p>
        </w:tc>
        <w:tc>
          <w:tcPr>
            <w:tcW w:w="623" w:type="pct"/>
            <w:shd w:val="clear" w:color="auto" w:fill="auto"/>
            <w:noWrap/>
          </w:tcPr>
          <w:p w14:paraId="67BA0179" w14:textId="77777777" w:rsidR="006B2325" w:rsidRPr="006E19C7" w:rsidRDefault="006B2325" w:rsidP="00CD1F63">
            <w:pPr>
              <w:jc w:val="center"/>
            </w:pPr>
            <w:r w:rsidRPr="006E19C7">
              <w:t>56.0%</w:t>
            </w:r>
          </w:p>
        </w:tc>
        <w:tc>
          <w:tcPr>
            <w:tcW w:w="624" w:type="pct"/>
            <w:shd w:val="clear" w:color="auto" w:fill="auto"/>
            <w:noWrap/>
          </w:tcPr>
          <w:p w14:paraId="145BFA6B" w14:textId="77777777" w:rsidR="006B2325" w:rsidRPr="006E19C7" w:rsidRDefault="006B2325" w:rsidP="00CD1F63">
            <w:pPr>
              <w:jc w:val="center"/>
            </w:pPr>
            <w:r w:rsidRPr="006E19C7">
              <w:t>51.7%</w:t>
            </w:r>
          </w:p>
        </w:tc>
        <w:tc>
          <w:tcPr>
            <w:tcW w:w="623" w:type="pct"/>
            <w:shd w:val="clear" w:color="auto" w:fill="auto"/>
            <w:noWrap/>
          </w:tcPr>
          <w:p w14:paraId="23CE2BE6" w14:textId="77777777" w:rsidR="006B2325" w:rsidRPr="006E19C7" w:rsidRDefault="006B2325" w:rsidP="00CD1F63">
            <w:pPr>
              <w:jc w:val="center"/>
            </w:pPr>
            <w:r w:rsidRPr="006E19C7">
              <w:t>49.6%</w:t>
            </w:r>
          </w:p>
        </w:tc>
        <w:tc>
          <w:tcPr>
            <w:tcW w:w="623" w:type="pct"/>
            <w:shd w:val="clear" w:color="auto" w:fill="auto"/>
            <w:noWrap/>
          </w:tcPr>
          <w:p w14:paraId="68A667B9" w14:textId="77777777" w:rsidR="006B2325" w:rsidRPr="006E19C7" w:rsidRDefault="006B2325" w:rsidP="00CD1F63">
            <w:pPr>
              <w:jc w:val="center"/>
            </w:pPr>
            <w:r w:rsidRPr="006E19C7">
              <w:t>55.0%</w:t>
            </w:r>
          </w:p>
        </w:tc>
        <w:tc>
          <w:tcPr>
            <w:tcW w:w="610" w:type="pct"/>
            <w:shd w:val="clear" w:color="auto" w:fill="auto"/>
            <w:noWrap/>
          </w:tcPr>
          <w:p w14:paraId="60CDB04D" w14:textId="77777777" w:rsidR="006B2325" w:rsidRPr="006E19C7" w:rsidRDefault="006B2325" w:rsidP="00CD1F63">
            <w:pPr>
              <w:jc w:val="center"/>
            </w:pPr>
            <w:r w:rsidRPr="006E19C7">
              <w:t>66.8%</w:t>
            </w:r>
          </w:p>
        </w:tc>
      </w:tr>
      <w:tr w:rsidR="006B2325" w:rsidRPr="006E19C7" w14:paraId="30910EA8" w14:textId="77777777" w:rsidTr="006B2325">
        <w:trPr>
          <w:trHeight w:val="295"/>
          <w:jc w:val="center"/>
        </w:trPr>
        <w:tc>
          <w:tcPr>
            <w:tcW w:w="1267" w:type="pct"/>
            <w:shd w:val="clear" w:color="auto" w:fill="auto"/>
            <w:noWrap/>
          </w:tcPr>
          <w:p w14:paraId="3E45E2F1" w14:textId="77777777" w:rsidR="006B2325" w:rsidRPr="006E19C7" w:rsidRDefault="006B2325" w:rsidP="00CD1F63">
            <w:r w:rsidRPr="006E19C7">
              <w:t>Length of stay, Median (IQR)</w:t>
            </w:r>
          </w:p>
        </w:tc>
        <w:tc>
          <w:tcPr>
            <w:tcW w:w="630" w:type="pct"/>
            <w:shd w:val="clear" w:color="auto" w:fill="auto"/>
            <w:noWrap/>
          </w:tcPr>
          <w:p w14:paraId="1A200E18" w14:textId="77777777" w:rsidR="006B2325" w:rsidRPr="006E19C7" w:rsidRDefault="006B2325" w:rsidP="00CD1F63">
            <w:pPr>
              <w:jc w:val="center"/>
            </w:pPr>
            <w:r w:rsidRPr="006E19C7">
              <w:t>4(2-7)</w:t>
            </w:r>
          </w:p>
        </w:tc>
        <w:tc>
          <w:tcPr>
            <w:tcW w:w="623" w:type="pct"/>
            <w:shd w:val="clear" w:color="auto" w:fill="auto"/>
            <w:noWrap/>
          </w:tcPr>
          <w:p w14:paraId="7F5AD532" w14:textId="77777777" w:rsidR="006B2325" w:rsidRPr="006E19C7" w:rsidRDefault="006B2325" w:rsidP="00CD1F63">
            <w:pPr>
              <w:jc w:val="center"/>
            </w:pPr>
            <w:r w:rsidRPr="006E19C7">
              <w:t>3 (2-6)</w:t>
            </w:r>
          </w:p>
        </w:tc>
        <w:tc>
          <w:tcPr>
            <w:tcW w:w="624" w:type="pct"/>
            <w:shd w:val="clear" w:color="auto" w:fill="auto"/>
            <w:noWrap/>
          </w:tcPr>
          <w:p w14:paraId="765CB91A" w14:textId="77777777" w:rsidR="006B2325" w:rsidRPr="006E19C7" w:rsidRDefault="006B2325" w:rsidP="00CD1F63">
            <w:pPr>
              <w:jc w:val="center"/>
            </w:pPr>
            <w:r w:rsidRPr="006E19C7">
              <w:t>3 (2-6)</w:t>
            </w:r>
          </w:p>
        </w:tc>
        <w:tc>
          <w:tcPr>
            <w:tcW w:w="623" w:type="pct"/>
            <w:shd w:val="clear" w:color="auto" w:fill="auto"/>
            <w:noWrap/>
          </w:tcPr>
          <w:p w14:paraId="5878F45D" w14:textId="77777777" w:rsidR="006B2325" w:rsidRPr="006E19C7" w:rsidRDefault="006B2325" w:rsidP="00CD1F63">
            <w:pPr>
              <w:jc w:val="center"/>
            </w:pPr>
            <w:r w:rsidRPr="006E19C7">
              <w:t>3 (2-6)</w:t>
            </w:r>
          </w:p>
        </w:tc>
        <w:tc>
          <w:tcPr>
            <w:tcW w:w="623" w:type="pct"/>
            <w:shd w:val="clear" w:color="auto" w:fill="auto"/>
            <w:noWrap/>
          </w:tcPr>
          <w:p w14:paraId="3F3B68FE" w14:textId="77777777" w:rsidR="006B2325" w:rsidRPr="006E19C7" w:rsidRDefault="006B2325" w:rsidP="00CD1F63">
            <w:pPr>
              <w:jc w:val="center"/>
            </w:pPr>
            <w:r w:rsidRPr="006E19C7">
              <w:t>3 (2-6)</w:t>
            </w:r>
          </w:p>
        </w:tc>
        <w:tc>
          <w:tcPr>
            <w:tcW w:w="610" w:type="pct"/>
            <w:shd w:val="clear" w:color="auto" w:fill="auto"/>
            <w:noWrap/>
          </w:tcPr>
          <w:p w14:paraId="241ABB52" w14:textId="77777777" w:rsidR="006B2325" w:rsidRPr="006E19C7" w:rsidRDefault="006B2325" w:rsidP="00CD1F63">
            <w:pPr>
              <w:jc w:val="center"/>
            </w:pPr>
            <w:r w:rsidRPr="006E19C7">
              <w:t>3 (2-6)</w:t>
            </w:r>
          </w:p>
        </w:tc>
      </w:tr>
      <w:tr w:rsidR="006B2325" w:rsidRPr="006E19C7" w14:paraId="576603A8" w14:textId="77777777" w:rsidTr="006B2325">
        <w:trPr>
          <w:trHeight w:val="295"/>
          <w:jc w:val="center"/>
        </w:trPr>
        <w:tc>
          <w:tcPr>
            <w:tcW w:w="1267" w:type="pct"/>
            <w:shd w:val="clear" w:color="auto" w:fill="auto"/>
            <w:noWrap/>
          </w:tcPr>
          <w:p w14:paraId="47EC2304" w14:textId="77777777" w:rsidR="006B2325" w:rsidRPr="006E19C7" w:rsidRDefault="006B2325" w:rsidP="00CD1F63">
            <w:r w:rsidRPr="006E19C7">
              <w:t>Total charge,$, Median (IQR)</w:t>
            </w:r>
          </w:p>
        </w:tc>
        <w:tc>
          <w:tcPr>
            <w:tcW w:w="630" w:type="pct"/>
            <w:shd w:val="clear" w:color="auto" w:fill="auto"/>
            <w:noWrap/>
          </w:tcPr>
          <w:p w14:paraId="49081E14" w14:textId="77777777" w:rsidR="006B2325" w:rsidRPr="006E19C7" w:rsidRDefault="006B2325" w:rsidP="00CD1F63">
            <w:pPr>
              <w:jc w:val="center"/>
            </w:pPr>
            <w:r w:rsidRPr="006E19C7">
              <w:t>39109 (24353-64456)</w:t>
            </w:r>
          </w:p>
        </w:tc>
        <w:tc>
          <w:tcPr>
            <w:tcW w:w="623" w:type="pct"/>
            <w:shd w:val="clear" w:color="auto" w:fill="auto"/>
            <w:noWrap/>
          </w:tcPr>
          <w:p w14:paraId="0296B496" w14:textId="77777777" w:rsidR="006B2325" w:rsidRPr="006E19C7" w:rsidRDefault="006B2325" w:rsidP="00CD1F63">
            <w:pPr>
              <w:jc w:val="center"/>
            </w:pPr>
            <w:r w:rsidRPr="006E19C7">
              <w:t>44175 (27482-71955)</w:t>
            </w:r>
          </w:p>
        </w:tc>
        <w:tc>
          <w:tcPr>
            <w:tcW w:w="624" w:type="pct"/>
            <w:shd w:val="clear" w:color="auto" w:fill="auto"/>
            <w:noWrap/>
          </w:tcPr>
          <w:p w14:paraId="4779E1C9" w14:textId="77777777" w:rsidR="006B2325" w:rsidRPr="006E19C7" w:rsidRDefault="006B2325" w:rsidP="00CD1F63">
            <w:pPr>
              <w:jc w:val="center"/>
            </w:pPr>
            <w:r w:rsidRPr="006E19C7">
              <w:t>49439 (31005-81857)</w:t>
            </w:r>
          </w:p>
        </w:tc>
        <w:tc>
          <w:tcPr>
            <w:tcW w:w="623" w:type="pct"/>
            <w:shd w:val="clear" w:color="auto" w:fill="auto"/>
            <w:noWrap/>
          </w:tcPr>
          <w:p w14:paraId="522F38B0" w14:textId="77777777" w:rsidR="006B2325" w:rsidRPr="006E19C7" w:rsidRDefault="006B2325" w:rsidP="00CD1F63">
            <w:pPr>
              <w:jc w:val="center"/>
            </w:pPr>
            <w:r w:rsidRPr="006E19C7">
              <w:t>53105 (33083-88071)</w:t>
            </w:r>
          </w:p>
        </w:tc>
        <w:tc>
          <w:tcPr>
            <w:tcW w:w="623" w:type="pct"/>
            <w:shd w:val="clear" w:color="auto" w:fill="auto"/>
            <w:noWrap/>
          </w:tcPr>
          <w:p w14:paraId="7A4D82CB" w14:textId="77777777" w:rsidR="006B2325" w:rsidRPr="006E19C7" w:rsidRDefault="006B2325" w:rsidP="00CD1F63">
            <w:pPr>
              <w:jc w:val="center"/>
            </w:pPr>
            <w:r w:rsidRPr="006E19C7">
              <w:t>57393 (36054-94376)</w:t>
            </w:r>
          </w:p>
        </w:tc>
        <w:tc>
          <w:tcPr>
            <w:tcW w:w="610" w:type="pct"/>
            <w:shd w:val="clear" w:color="auto" w:fill="auto"/>
            <w:noWrap/>
          </w:tcPr>
          <w:p w14:paraId="279D44D2" w14:textId="77777777" w:rsidR="006B2325" w:rsidRPr="006E19C7" w:rsidRDefault="006B2325" w:rsidP="00CD1F63">
            <w:pPr>
              <w:jc w:val="center"/>
            </w:pPr>
            <w:r w:rsidRPr="006E19C7">
              <w:t>64487 (40537-105371)</w:t>
            </w:r>
          </w:p>
        </w:tc>
      </w:tr>
      <w:tr w:rsidR="006B2325" w:rsidRPr="006E19C7" w14:paraId="09CA8F74" w14:textId="77777777" w:rsidTr="006B2325">
        <w:trPr>
          <w:trHeight w:val="295"/>
          <w:jc w:val="center"/>
        </w:trPr>
        <w:tc>
          <w:tcPr>
            <w:tcW w:w="1267" w:type="pct"/>
            <w:shd w:val="clear" w:color="auto" w:fill="auto"/>
            <w:noWrap/>
          </w:tcPr>
          <w:p w14:paraId="7FA715ED" w14:textId="77777777" w:rsidR="006B2325" w:rsidRPr="006E19C7" w:rsidRDefault="006B2325" w:rsidP="00CD1F63">
            <w:r w:rsidRPr="006E19C7">
              <w:t>Bleeding complications</w:t>
            </w:r>
          </w:p>
        </w:tc>
        <w:tc>
          <w:tcPr>
            <w:tcW w:w="630" w:type="pct"/>
            <w:shd w:val="clear" w:color="auto" w:fill="auto"/>
            <w:noWrap/>
          </w:tcPr>
          <w:p w14:paraId="48011364" w14:textId="77777777" w:rsidR="006B2325" w:rsidRPr="006E19C7" w:rsidRDefault="006B2325" w:rsidP="00CD1F63">
            <w:pPr>
              <w:jc w:val="center"/>
            </w:pPr>
            <w:r w:rsidRPr="006E19C7">
              <w:t>11.5%</w:t>
            </w:r>
          </w:p>
        </w:tc>
        <w:tc>
          <w:tcPr>
            <w:tcW w:w="623" w:type="pct"/>
            <w:shd w:val="clear" w:color="auto" w:fill="auto"/>
            <w:noWrap/>
          </w:tcPr>
          <w:p w14:paraId="18FAD377" w14:textId="77777777" w:rsidR="006B2325" w:rsidRPr="006E19C7" w:rsidRDefault="006B2325" w:rsidP="00CD1F63">
            <w:pPr>
              <w:jc w:val="center"/>
            </w:pPr>
            <w:r w:rsidRPr="006E19C7">
              <w:t>11.3%</w:t>
            </w:r>
          </w:p>
        </w:tc>
        <w:tc>
          <w:tcPr>
            <w:tcW w:w="624" w:type="pct"/>
            <w:shd w:val="clear" w:color="auto" w:fill="auto"/>
            <w:noWrap/>
          </w:tcPr>
          <w:p w14:paraId="37426C1D" w14:textId="77777777" w:rsidR="006B2325" w:rsidRPr="006E19C7" w:rsidRDefault="006B2325" w:rsidP="00CD1F63">
            <w:pPr>
              <w:jc w:val="center"/>
            </w:pPr>
            <w:r w:rsidRPr="006E19C7">
              <w:t>11.7%</w:t>
            </w:r>
          </w:p>
        </w:tc>
        <w:tc>
          <w:tcPr>
            <w:tcW w:w="623" w:type="pct"/>
            <w:shd w:val="clear" w:color="auto" w:fill="auto"/>
            <w:noWrap/>
          </w:tcPr>
          <w:p w14:paraId="7D787841" w14:textId="77777777" w:rsidR="006B2325" w:rsidRPr="006E19C7" w:rsidRDefault="006B2325" w:rsidP="00CD1F63">
            <w:pPr>
              <w:jc w:val="center"/>
            </w:pPr>
            <w:r w:rsidRPr="006E19C7">
              <w:t>10.5%</w:t>
            </w:r>
          </w:p>
        </w:tc>
        <w:tc>
          <w:tcPr>
            <w:tcW w:w="623" w:type="pct"/>
            <w:shd w:val="clear" w:color="auto" w:fill="auto"/>
            <w:noWrap/>
          </w:tcPr>
          <w:p w14:paraId="4B132E0E" w14:textId="77777777" w:rsidR="006B2325" w:rsidRPr="006E19C7" w:rsidRDefault="006B2325" w:rsidP="00CD1F63">
            <w:pPr>
              <w:jc w:val="center"/>
            </w:pPr>
            <w:r w:rsidRPr="006E19C7">
              <w:t>10.0%</w:t>
            </w:r>
          </w:p>
        </w:tc>
        <w:tc>
          <w:tcPr>
            <w:tcW w:w="610" w:type="pct"/>
            <w:shd w:val="clear" w:color="auto" w:fill="auto"/>
            <w:noWrap/>
          </w:tcPr>
          <w:p w14:paraId="17B159B1" w14:textId="77777777" w:rsidR="006B2325" w:rsidRPr="006E19C7" w:rsidRDefault="006B2325" w:rsidP="00CD1F63">
            <w:pPr>
              <w:jc w:val="center"/>
            </w:pPr>
            <w:r w:rsidRPr="006E19C7">
              <w:t>8.5%</w:t>
            </w:r>
          </w:p>
        </w:tc>
      </w:tr>
      <w:tr w:rsidR="006B2325" w:rsidRPr="006E19C7" w14:paraId="66EBBF67" w14:textId="77777777" w:rsidTr="006B2325">
        <w:trPr>
          <w:trHeight w:val="295"/>
          <w:jc w:val="center"/>
        </w:trPr>
        <w:tc>
          <w:tcPr>
            <w:tcW w:w="1267" w:type="pct"/>
            <w:shd w:val="clear" w:color="auto" w:fill="auto"/>
            <w:noWrap/>
          </w:tcPr>
          <w:p w14:paraId="3AEE18CD" w14:textId="77777777" w:rsidR="006B2325" w:rsidRPr="006E19C7" w:rsidRDefault="006B2325" w:rsidP="00CD1F63">
            <w:r w:rsidRPr="006E19C7">
              <w:t>Vascular complications</w:t>
            </w:r>
          </w:p>
        </w:tc>
        <w:tc>
          <w:tcPr>
            <w:tcW w:w="630" w:type="pct"/>
            <w:shd w:val="clear" w:color="auto" w:fill="auto"/>
            <w:noWrap/>
          </w:tcPr>
          <w:p w14:paraId="5B3A4B22" w14:textId="77777777" w:rsidR="006B2325" w:rsidRPr="006E19C7" w:rsidRDefault="006B2325" w:rsidP="00CD1F63">
            <w:pPr>
              <w:jc w:val="center"/>
            </w:pPr>
            <w:r w:rsidRPr="006E19C7">
              <w:t>1.4%</w:t>
            </w:r>
          </w:p>
        </w:tc>
        <w:tc>
          <w:tcPr>
            <w:tcW w:w="623" w:type="pct"/>
            <w:shd w:val="clear" w:color="auto" w:fill="auto"/>
            <w:noWrap/>
          </w:tcPr>
          <w:p w14:paraId="3E2C827C" w14:textId="77777777" w:rsidR="006B2325" w:rsidRPr="006E19C7" w:rsidRDefault="006B2325" w:rsidP="00CD1F63">
            <w:pPr>
              <w:jc w:val="center"/>
            </w:pPr>
            <w:r w:rsidRPr="006E19C7">
              <w:t>1.5%</w:t>
            </w:r>
          </w:p>
        </w:tc>
        <w:tc>
          <w:tcPr>
            <w:tcW w:w="624" w:type="pct"/>
            <w:shd w:val="clear" w:color="auto" w:fill="auto"/>
            <w:noWrap/>
          </w:tcPr>
          <w:p w14:paraId="49BA6B12" w14:textId="77777777" w:rsidR="006B2325" w:rsidRPr="006E19C7" w:rsidRDefault="006B2325" w:rsidP="00CD1F63">
            <w:pPr>
              <w:jc w:val="center"/>
            </w:pPr>
            <w:r w:rsidRPr="006E19C7">
              <w:t>1.5%</w:t>
            </w:r>
          </w:p>
        </w:tc>
        <w:tc>
          <w:tcPr>
            <w:tcW w:w="623" w:type="pct"/>
            <w:shd w:val="clear" w:color="auto" w:fill="auto"/>
            <w:noWrap/>
          </w:tcPr>
          <w:p w14:paraId="16598BC3" w14:textId="77777777" w:rsidR="006B2325" w:rsidRPr="006E19C7" w:rsidRDefault="006B2325" w:rsidP="00CD1F63">
            <w:pPr>
              <w:jc w:val="center"/>
            </w:pPr>
            <w:r w:rsidRPr="006E19C7">
              <w:t>1.1%</w:t>
            </w:r>
          </w:p>
        </w:tc>
        <w:tc>
          <w:tcPr>
            <w:tcW w:w="623" w:type="pct"/>
            <w:shd w:val="clear" w:color="auto" w:fill="auto"/>
            <w:noWrap/>
          </w:tcPr>
          <w:p w14:paraId="0E34E084" w14:textId="77777777" w:rsidR="006B2325" w:rsidRPr="006E19C7" w:rsidRDefault="006B2325" w:rsidP="00CD1F63">
            <w:pPr>
              <w:jc w:val="center"/>
            </w:pPr>
            <w:r w:rsidRPr="006E19C7">
              <w:t>1.1%</w:t>
            </w:r>
          </w:p>
        </w:tc>
        <w:tc>
          <w:tcPr>
            <w:tcW w:w="610" w:type="pct"/>
            <w:shd w:val="clear" w:color="auto" w:fill="auto"/>
            <w:noWrap/>
          </w:tcPr>
          <w:p w14:paraId="1ACA88B8" w14:textId="77777777" w:rsidR="006B2325" w:rsidRPr="006E19C7" w:rsidRDefault="006B2325" w:rsidP="00CD1F63">
            <w:pPr>
              <w:jc w:val="center"/>
            </w:pPr>
            <w:r w:rsidRPr="006E19C7">
              <w:t>1.1%</w:t>
            </w:r>
          </w:p>
        </w:tc>
      </w:tr>
      <w:tr w:rsidR="006B2325" w:rsidRPr="006E19C7" w14:paraId="5A53DF3C" w14:textId="77777777" w:rsidTr="006B2325">
        <w:trPr>
          <w:trHeight w:val="295"/>
          <w:jc w:val="center"/>
        </w:trPr>
        <w:tc>
          <w:tcPr>
            <w:tcW w:w="1267" w:type="pct"/>
            <w:shd w:val="clear" w:color="auto" w:fill="auto"/>
            <w:noWrap/>
          </w:tcPr>
          <w:p w14:paraId="7D1AB3F9" w14:textId="77777777" w:rsidR="006B2325" w:rsidRPr="006E19C7" w:rsidRDefault="006B2325" w:rsidP="00CD1F63">
            <w:r w:rsidRPr="006E19C7">
              <w:t>Cardiac complication</w:t>
            </w:r>
          </w:p>
        </w:tc>
        <w:tc>
          <w:tcPr>
            <w:tcW w:w="630" w:type="pct"/>
            <w:shd w:val="clear" w:color="auto" w:fill="auto"/>
            <w:noWrap/>
          </w:tcPr>
          <w:p w14:paraId="04774455" w14:textId="77777777" w:rsidR="006B2325" w:rsidRPr="006E19C7" w:rsidRDefault="006B2325" w:rsidP="00CD1F63">
            <w:pPr>
              <w:jc w:val="center"/>
            </w:pPr>
            <w:r w:rsidRPr="006E19C7">
              <w:t>2.5%</w:t>
            </w:r>
          </w:p>
        </w:tc>
        <w:tc>
          <w:tcPr>
            <w:tcW w:w="623" w:type="pct"/>
            <w:shd w:val="clear" w:color="auto" w:fill="auto"/>
            <w:noWrap/>
          </w:tcPr>
          <w:p w14:paraId="04634DA6" w14:textId="77777777" w:rsidR="006B2325" w:rsidRPr="006E19C7" w:rsidRDefault="006B2325" w:rsidP="00CD1F63">
            <w:pPr>
              <w:jc w:val="center"/>
            </w:pPr>
            <w:r w:rsidRPr="006E19C7">
              <w:t>2.3%</w:t>
            </w:r>
          </w:p>
        </w:tc>
        <w:tc>
          <w:tcPr>
            <w:tcW w:w="624" w:type="pct"/>
            <w:shd w:val="clear" w:color="auto" w:fill="auto"/>
            <w:noWrap/>
          </w:tcPr>
          <w:p w14:paraId="40DB21AC" w14:textId="77777777" w:rsidR="006B2325" w:rsidRPr="006E19C7" w:rsidRDefault="006B2325" w:rsidP="00CD1F63">
            <w:pPr>
              <w:jc w:val="center"/>
            </w:pPr>
            <w:r w:rsidRPr="006E19C7">
              <w:t>2.6%</w:t>
            </w:r>
          </w:p>
        </w:tc>
        <w:tc>
          <w:tcPr>
            <w:tcW w:w="623" w:type="pct"/>
            <w:shd w:val="clear" w:color="auto" w:fill="auto"/>
            <w:noWrap/>
          </w:tcPr>
          <w:p w14:paraId="0703428D" w14:textId="77777777" w:rsidR="006B2325" w:rsidRPr="006E19C7" w:rsidRDefault="006B2325" w:rsidP="00CD1F63">
            <w:pPr>
              <w:jc w:val="center"/>
            </w:pPr>
            <w:r w:rsidRPr="006E19C7">
              <w:t>2.0%</w:t>
            </w:r>
          </w:p>
        </w:tc>
        <w:tc>
          <w:tcPr>
            <w:tcW w:w="623" w:type="pct"/>
            <w:shd w:val="clear" w:color="auto" w:fill="auto"/>
            <w:noWrap/>
          </w:tcPr>
          <w:p w14:paraId="23D93333" w14:textId="77777777" w:rsidR="006B2325" w:rsidRPr="006E19C7" w:rsidRDefault="006B2325" w:rsidP="00CD1F63">
            <w:pPr>
              <w:jc w:val="center"/>
            </w:pPr>
            <w:r w:rsidRPr="006E19C7">
              <w:t>1.8%</w:t>
            </w:r>
          </w:p>
        </w:tc>
        <w:tc>
          <w:tcPr>
            <w:tcW w:w="610" w:type="pct"/>
            <w:shd w:val="clear" w:color="auto" w:fill="auto"/>
            <w:noWrap/>
          </w:tcPr>
          <w:p w14:paraId="080C48DC" w14:textId="77777777" w:rsidR="006B2325" w:rsidRPr="006E19C7" w:rsidRDefault="006B2325" w:rsidP="00CD1F63">
            <w:pPr>
              <w:jc w:val="center"/>
            </w:pPr>
            <w:r w:rsidRPr="006E19C7">
              <w:t>1.9%</w:t>
            </w:r>
          </w:p>
        </w:tc>
      </w:tr>
      <w:tr w:rsidR="006B2325" w:rsidRPr="006E19C7" w14:paraId="38452C05" w14:textId="77777777" w:rsidTr="006B2325">
        <w:trPr>
          <w:trHeight w:val="295"/>
          <w:jc w:val="center"/>
        </w:trPr>
        <w:tc>
          <w:tcPr>
            <w:tcW w:w="1267" w:type="pct"/>
            <w:tcBorders>
              <w:bottom w:val="single" w:sz="4" w:space="0" w:color="auto"/>
            </w:tcBorders>
            <w:shd w:val="clear" w:color="auto" w:fill="auto"/>
            <w:noWrap/>
          </w:tcPr>
          <w:p w14:paraId="5EA7ED4B" w14:textId="77777777" w:rsidR="006B2325" w:rsidRPr="006E19C7" w:rsidRDefault="006B2325" w:rsidP="00CD1F63">
            <w:r w:rsidRPr="006E19C7">
              <w:t>In-hospital mortality</w:t>
            </w:r>
          </w:p>
        </w:tc>
        <w:tc>
          <w:tcPr>
            <w:tcW w:w="630" w:type="pct"/>
            <w:tcBorders>
              <w:bottom w:val="single" w:sz="4" w:space="0" w:color="auto"/>
            </w:tcBorders>
            <w:shd w:val="clear" w:color="auto" w:fill="auto"/>
            <w:noWrap/>
          </w:tcPr>
          <w:p w14:paraId="6B4730AF" w14:textId="77777777" w:rsidR="006B2325" w:rsidRPr="006E19C7" w:rsidRDefault="006B2325" w:rsidP="00CD1F63">
            <w:pPr>
              <w:jc w:val="center"/>
            </w:pPr>
            <w:r w:rsidRPr="006E19C7">
              <w:t>2.2%</w:t>
            </w:r>
          </w:p>
        </w:tc>
        <w:tc>
          <w:tcPr>
            <w:tcW w:w="623" w:type="pct"/>
            <w:tcBorders>
              <w:bottom w:val="single" w:sz="4" w:space="0" w:color="auto"/>
            </w:tcBorders>
            <w:shd w:val="clear" w:color="auto" w:fill="auto"/>
            <w:noWrap/>
          </w:tcPr>
          <w:p w14:paraId="5FD6DB6C" w14:textId="77777777" w:rsidR="006B2325" w:rsidRPr="006E19C7" w:rsidRDefault="006B2325" w:rsidP="00CD1F63">
            <w:pPr>
              <w:jc w:val="center"/>
            </w:pPr>
            <w:r w:rsidRPr="006E19C7">
              <w:t>2.0%</w:t>
            </w:r>
          </w:p>
        </w:tc>
        <w:tc>
          <w:tcPr>
            <w:tcW w:w="624" w:type="pct"/>
            <w:tcBorders>
              <w:bottom w:val="single" w:sz="4" w:space="0" w:color="auto"/>
            </w:tcBorders>
            <w:shd w:val="clear" w:color="auto" w:fill="auto"/>
            <w:noWrap/>
          </w:tcPr>
          <w:p w14:paraId="091EF965" w14:textId="77777777" w:rsidR="006B2325" w:rsidRPr="006E19C7" w:rsidRDefault="006B2325" w:rsidP="00CD1F63">
            <w:pPr>
              <w:jc w:val="center"/>
            </w:pPr>
            <w:r w:rsidRPr="006E19C7">
              <w:t>2.0%</w:t>
            </w:r>
          </w:p>
        </w:tc>
        <w:tc>
          <w:tcPr>
            <w:tcW w:w="623" w:type="pct"/>
            <w:tcBorders>
              <w:bottom w:val="single" w:sz="4" w:space="0" w:color="auto"/>
            </w:tcBorders>
            <w:shd w:val="clear" w:color="auto" w:fill="auto"/>
            <w:noWrap/>
          </w:tcPr>
          <w:p w14:paraId="662E4A5E" w14:textId="77777777" w:rsidR="006B2325" w:rsidRPr="006E19C7" w:rsidRDefault="006B2325" w:rsidP="00CD1F63">
            <w:pPr>
              <w:jc w:val="center"/>
            </w:pPr>
            <w:r w:rsidRPr="006E19C7">
              <w:t>1.8%</w:t>
            </w:r>
          </w:p>
        </w:tc>
        <w:tc>
          <w:tcPr>
            <w:tcW w:w="623" w:type="pct"/>
            <w:tcBorders>
              <w:bottom w:val="single" w:sz="4" w:space="0" w:color="auto"/>
            </w:tcBorders>
            <w:shd w:val="clear" w:color="auto" w:fill="auto"/>
            <w:noWrap/>
          </w:tcPr>
          <w:p w14:paraId="111940F4" w14:textId="77777777" w:rsidR="006B2325" w:rsidRPr="006E19C7" w:rsidRDefault="006B2325" w:rsidP="00CD1F63">
            <w:pPr>
              <w:jc w:val="center"/>
            </w:pPr>
            <w:r w:rsidRPr="006E19C7">
              <w:t>1.8%</w:t>
            </w:r>
          </w:p>
        </w:tc>
        <w:tc>
          <w:tcPr>
            <w:tcW w:w="610" w:type="pct"/>
            <w:tcBorders>
              <w:bottom w:val="single" w:sz="4" w:space="0" w:color="auto"/>
            </w:tcBorders>
            <w:shd w:val="clear" w:color="auto" w:fill="auto"/>
            <w:noWrap/>
          </w:tcPr>
          <w:p w14:paraId="20DF7982" w14:textId="77777777" w:rsidR="006B2325" w:rsidRPr="006E19C7" w:rsidRDefault="006B2325" w:rsidP="00CD1F63">
            <w:pPr>
              <w:jc w:val="center"/>
            </w:pPr>
            <w:r w:rsidRPr="006E19C7">
              <w:t>1.9%</w:t>
            </w:r>
          </w:p>
        </w:tc>
      </w:tr>
    </w:tbl>
    <w:p w14:paraId="50B693B5" w14:textId="77777777" w:rsidR="00D17BB4" w:rsidRPr="006E19C7" w:rsidRDefault="00D17BB4" w:rsidP="00D17BB4"/>
    <w:p w14:paraId="074D6312" w14:textId="17F41A25" w:rsidR="00D17BB4" w:rsidRPr="006E19C7" w:rsidRDefault="00BA3A74" w:rsidP="00D17BB4">
      <w:pPr>
        <w:rPr>
          <w:rFonts w:ascii="Times New Roman" w:hAnsi="Times New Roman" w:cs="Times New Roman"/>
          <w:sz w:val="24"/>
          <w:szCs w:val="24"/>
        </w:rPr>
      </w:pPr>
      <w:r w:rsidRPr="006E19C7">
        <w:rPr>
          <w:rFonts w:ascii="Times New Roman" w:hAnsi="Times New Roman" w:cs="Times New Roman"/>
          <w:sz w:val="24"/>
          <w:szCs w:val="24"/>
        </w:rPr>
        <w:t>Table 3</w:t>
      </w:r>
      <w:r w:rsidR="00D17BB4" w:rsidRPr="006E19C7">
        <w:rPr>
          <w:rFonts w:ascii="Times New Roman" w:hAnsi="Times New Roman" w:cs="Times New Roman"/>
          <w:sz w:val="24"/>
          <w:szCs w:val="24"/>
        </w:rPr>
        <w:t>: Demographics of patients not receiving coronary angiogram for each year included in the study, from 2004 – 2014.</w:t>
      </w:r>
    </w:p>
    <w:tbl>
      <w:tblPr>
        <w:tblStyle w:val="TableGrid"/>
        <w:tblW w:w="484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6"/>
        <w:gridCol w:w="1102"/>
        <w:gridCol w:w="1089"/>
        <w:gridCol w:w="1091"/>
        <w:gridCol w:w="1089"/>
        <w:gridCol w:w="1089"/>
        <w:gridCol w:w="1067"/>
      </w:tblGrid>
      <w:tr w:rsidR="006B2325" w:rsidRPr="006E19C7" w14:paraId="0083742F" w14:textId="77777777" w:rsidTr="001414FD">
        <w:trPr>
          <w:trHeight w:val="290"/>
          <w:jc w:val="center"/>
        </w:trPr>
        <w:tc>
          <w:tcPr>
            <w:tcW w:w="1267" w:type="pct"/>
            <w:tcBorders>
              <w:top w:val="single" w:sz="4" w:space="0" w:color="auto"/>
            </w:tcBorders>
            <w:shd w:val="clear" w:color="auto" w:fill="auto"/>
            <w:noWrap/>
          </w:tcPr>
          <w:p w14:paraId="3EDE54A0" w14:textId="77777777" w:rsidR="006B2325" w:rsidRPr="006E19C7" w:rsidRDefault="006B2325" w:rsidP="00CD1F63"/>
        </w:tc>
        <w:tc>
          <w:tcPr>
            <w:tcW w:w="630" w:type="pct"/>
            <w:tcBorders>
              <w:top w:val="single" w:sz="4" w:space="0" w:color="auto"/>
            </w:tcBorders>
            <w:shd w:val="clear" w:color="auto" w:fill="auto"/>
            <w:noWrap/>
          </w:tcPr>
          <w:p w14:paraId="7261429B" w14:textId="77777777" w:rsidR="006B2325" w:rsidRPr="006E19C7" w:rsidRDefault="006B2325" w:rsidP="00CD1F63">
            <w:pPr>
              <w:jc w:val="center"/>
            </w:pPr>
            <w:r w:rsidRPr="006E19C7">
              <w:t>2004</w:t>
            </w:r>
          </w:p>
        </w:tc>
        <w:tc>
          <w:tcPr>
            <w:tcW w:w="623" w:type="pct"/>
            <w:tcBorders>
              <w:top w:val="single" w:sz="4" w:space="0" w:color="auto"/>
            </w:tcBorders>
            <w:shd w:val="clear" w:color="auto" w:fill="auto"/>
            <w:noWrap/>
          </w:tcPr>
          <w:p w14:paraId="3219160B" w14:textId="77777777" w:rsidR="006B2325" w:rsidRPr="006E19C7" w:rsidRDefault="006B2325" w:rsidP="00CD1F63">
            <w:pPr>
              <w:jc w:val="center"/>
            </w:pPr>
            <w:r w:rsidRPr="006E19C7">
              <w:t>2006</w:t>
            </w:r>
          </w:p>
        </w:tc>
        <w:tc>
          <w:tcPr>
            <w:tcW w:w="624" w:type="pct"/>
            <w:tcBorders>
              <w:top w:val="single" w:sz="4" w:space="0" w:color="auto"/>
            </w:tcBorders>
            <w:shd w:val="clear" w:color="auto" w:fill="auto"/>
            <w:noWrap/>
          </w:tcPr>
          <w:p w14:paraId="5BC82613" w14:textId="77777777" w:rsidR="006B2325" w:rsidRPr="006E19C7" w:rsidRDefault="006B2325" w:rsidP="00CD1F63">
            <w:pPr>
              <w:jc w:val="center"/>
            </w:pPr>
            <w:r w:rsidRPr="006E19C7">
              <w:t>2008</w:t>
            </w:r>
          </w:p>
        </w:tc>
        <w:tc>
          <w:tcPr>
            <w:tcW w:w="623" w:type="pct"/>
            <w:tcBorders>
              <w:top w:val="single" w:sz="4" w:space="0" w:color="auto"/>
            </w:tcBorders>
            <w:shd w:val="clear" w:color="auto" w:fill="auto"/>
            <w:noWrap/>
          </w:tcPr>
          <w:p w14:paraId="76A73AB6" w14:textId="77777777" w:rsidR="006B2325" w:rsidRPr="006E19C7" w:rsidRDefault="006B2325" w:rsidP="00CD1F63">
            <w:pPr>
              <w:jc w:val="center"/>
            </w:pPr>
            <w:r w:rsidRPr="006E19C7">
              <w:t>2010</w:t>
            </w:r>
          </w:p>
        </w:tc>
        <w:tc>
          <w:tcPr>
            <w:tcW w:w="623" w:type="pct"/>
            <w:tcBorders>
              <w:top w:val="single" w:sz="4" w:space="0" w:color="auto"/>
            </w:tcBorders>
            <w:shd w:val="clear" w:color="auto" w:fill="auto"/>
            <w:noWrap/>
          </w:tcPr>
          <w:p w14:paraId="59036A89" w14:textId="77777777" w:rsidR="006B2325" w:rsidRPr="006E19C7" w:rsidRDefault="006B2325" w:rsidP="00CD1F63">
            <w:pPr>
              <w:jc w:val="center"/>
            </w:pPr>
            <w:r w:rsidRPr="006E19C7">
              <w:t>2012</w:t>
            </w:r>
          </w:p>
        </w:tc>
        <w:tc>
          <w:tcPr>
            <w:tcW w:w="610" w:type="pct"/>
            <w:tcBorders>
              <w:top w:val="single" w:sz="4" w:space="0" w:color="auto"/>
            </w:tcBorders>
            <w:shd w:val="clear" w:color="auto" w:fill="auto"/>
            <w:noWrap/>
          </w:tcPr>
          <w:p w14:paraId="6CEAA331" w14:textId="77777777" w:rsidR="006B2325" w:rsidRPr="006E19C7" w:rsidRDefault="006B2325" w:rsidP="00CD1F63">
            <w:pPr>
              <w:jc w:val="center"/>
            </w:pPr>
            <w:r w:rsidRPr="006E19C7">
              <w:t>2014</w:t>
            </w:r>
          </w:p>
        </w:tc>
      </w:tr>
      <w:tr w:rsidR="006B2325" w:rsidRPr="006E19C7" w14:paraId="7CF5041C" w14:textId="77777777" w:rsidTr="001414FD">
        <w:trPr>
          <w:trHeight w:val="290"/>
          <w:jc w:val="center"/>
        </w:trPr>
        <w:tc>
          <w:tcPr>
            <w:tcW w:w="1267" w:type="pct"/>
            <w:tcBorders>
              <w:bottom w:val="single" w:sz="4" w:space="0" w:color="auto"/>
            </w:tcBorders>
            <w:shd w:val="clear" w:color="auto" w:fill="auto"/>
            <w:noWrap/>
          </w:tcPr>
          <w:p w14:paraId="4E0CD968" w14:textId="77777777" w:rsidR="006B2325" w:rsidRPr="006E19C7" w:rsidRDefault="006B2325" w:rsidP="00CD1F63">
            <w:r w:rsidRPr="006E19C7">
              <w:t>Number of Cases</w:t>
            </w:r>
          </w:p>
        </w:tc>
        <w:tc>
          <w:tcPr>
            <w:tcW w:w="630" w:type="pct"/>
            <w:tcBorders>
              <w:bottom w:val="single" w:sz="4" w:space="0" w:color="auto"/>
            </w:tcBorders>
            <w:shd w:val="clear" w:color="auto" w:fill="auto"/>
            <w:noWrap/>
            <w:vAlign w:val="bottom"/>
          </w:tcPr>
          <w:p w14:paraId="5DFD5CAC" w14:textId="77777777" w:rsidR="006B2325" w:rsidRPr="006E19C7" w:rsidRDefault="006B2325" w:rsidP="00CD1F63">
            <w:pPr>
              <w:jc w:val="center"/>
              <w:rPr>
                <w:rFonts w:ascii="Calibri" w:hAnsi="Calibri"/>
              </w:rPr>
            </w:pPr>
            <w:r w:rsidRPr="006E19C7">
              <w:rPr>
                <w:rFonts w:ascii="Calibri" w:hAnsi="Calibri"/>
              </w:rPr>
              <w:t>207,084</w:t>
            </w:r>
          </w:p>
        </w:tc>
        <w:tc>
          <w:tcPr>
            <w:tcW w:w="623" w:type="pct"/>
            <w:tcBorders>
              <w:bottom w:val="single" w:sz="4" w:space="0" w:color="auto"/>
            </w:tcBorders>
            <w:shd w:val="clear" w:color="auto" w:fill="auto"/>
            <w:noWrap/>
            <w:vAlign w:val="bottom"/>
          </w:tcPr>
          <w:p w14:paraId="32FC63D5" w14:textId="77777777" w:rsidR="006B2325" w:rsidRPr="006E19C7" w:rsidRDefault="006B2325" w:rsidP="00CD1F63">
            <w:pPr>
              <w:jc w:val="center"/>
              <w:rPr>
                <w:rFonts w:ascii="Calibri" w:hAnsi="Calibri"/>
              </w:rPr>
            </w:pPr>
            <w:r w:rsidRPr="006E19C7">
              <w:rPr>
                <w:rFonts w:ascii="Calibri" w:hAnsi="Calibri"/>
              </w:rPr>
              <w:t>184,979</w:t>
            </w:r>
          </w:p>
        </w:tc>
        <w:tc>
          <w:tcPr>
            <w:tcW w:w="624" w:type="pct"/>
            <w:tcBorders>
              <w:bottom w:val="single" w:sz="4" w:space="0" w:color="auto"/>
            </w:tcBorders>
            <w:shd w:val="clear" w:color="auto" w:fill="auto"/>
            <w:noWrap/>
            <w:vAlign w:val="bottom"/>
          </w:tcPr>
          <w:p w14:paraId="565F49FA" w14:textId="77777777" w:rsidR="006B2325" w:rsidRPr="006E19C7" w:rsidRDefault="006B2325" w:rsidP="00CD1F63">
            <w:pPr>
              <w:jc w:val="center"/>
              <w:rPr>
                <w:rFonts w:ascii="Calibri" w:hAnsi="Calibri"/>
              </w:rPr>
            </w:pPr>
            <w:r w:rsidRPr="006E19C7">
              <w:rPr>
                <w:rFonts w:ascii="Calibri" w:hAnsi="Calibri"/>
              </w:rPr>
              <w:t>182,214</w:t>
            </w:r>
          </w:p>
        </w:tc>
        <w:tc>
          <w:tcPr>
            <w:tcW w:w="623" w:type="pct"/>
            <w:tcBorders>
              <w:bottom w:val="single" w:sz="4" w:space="0" w:color="auto"/>
            </w:tcBorders>
            <w:shd w:val="clear" w:color="auto" w:fill="auto"/>
            <w:noWrap/>
            <w:vAlign w:val="bottom"/>
          </w:tcPr>
          <w:p w14:paraId="160DDA0B" w14:textId="77777777" w:rsidR="006B2325" w:rsidRPr="006E19C7" w:rsidRDefault="006B2325" w:rsidP="00CD1F63">
            <w:pPr>
              <w:jc w:val="center"/>
              <w:rPr>
                <w:rFonts w:ascii="Calibri" w:hAnsi="Calibri"/>
              </w:rPr>
            </w:pPr>
            <w:r w:rsidRPr="006E19C7">
              <w:rPr>
                <w:rFonts w:ascii="Calibri" w:hAnsi="Calibri"/>
              </w:rPr>
              <w:t>158,144</w:t>
            </w:r>
          </w:p>
        </w:tc>
        <w:tc>
          <w:tcPr>
            <w:tcW w:w="623" w:type="pct"/>
            <w:tcBorders>
              <w:bottom w:val="single" w:sz="4" w:space="0" w:color="auto"/>
            </w:tcBorders>
            <w:shd w:val="clear" w:color="auto" w:fill="auto"/>
            <w:noWrap/>
            <w:vAlign w:val="bottom"/>
          </w:tcPr>
          <w:p w14:paraId="415A92C2" w14:textId="77777777" w:rsidR="006B2325" w:rsidRPr="006E19C7" w:rsidRDefault="006B2325" w:rsidP="00CD1F63">
            <w:pPr>
              <w:jc w:val="center"/>
              <w:rPr>
                <w:rFonts w:ascii="Calibri" w:hAnsi="Calibri"/>
              </w:rPr>
            </w:pPr>
            <w:r w:rsidRPr="006E19C7">
              <w:rPr>
                <w:rFonts w:ascii="Calibri" w:hAnsi="Calibri"/>
              </w:rPr>
              <w:t>148,900</w:t>
            </w:r>
          </w:p>
        </w:tc>
        <w:tc>
          <w:tcPr>
            <w:tcW w:w="610" w:type="pct"/>
            <w:tcBorders>
              <w:bottom w:val="single" w:sz="4" w:space="0" w:color="auto"/>
            </w:tcBorders>
            <w:shd w:val="clear" w:color="auto" w:fill="auto"/>
            <w:noWrap/>
            <w:vAlign w:val="bottom"/>
          </w:tcPr>
          <w:p w14:paraId="4ECF2CC3" w14:textId="77777777" w:rsidR="006B2325" w:rsidRPr="006E19C7" w:rsidRDefault="006B2325" w:rsidP="00CD1F63">
            <w:pPr>
              <w:jc w:val="center"/>
              <w:rPr>
                <w:rFonts w:ascii="Calibri" w:hAnsi="Calibri"/>
              </w:rPr>
            </w:pPr>
            <w:r w:rsidRPr="006E19C7">
              <w:rPr>
                <w:rFonts w:ascii="Calibri" w:hAnsi="Calibri"/>
              </w:rPr>
              <w:t>142,455</w:t>
            </w:r>
          </w:p>
        </w:tc>
      </w:tr>
      <w:tr w:rsidR="006B2325" w:rsidRPr="006E19C7" w14:paraId="7CCBED23" w14:textId="77777777" w:rsidTr="001414FD">
        <w:trPr>
          <w:trHeight w:val="290"/>
          <w:jc w:val="center"/>
        </w:trPr>
        <w:tc>
          <w:tcPr>
            <w:tcW w:w="1267" w:type="pct"/>
            <w:tcBorders>
              <w:top w:val="single" w:sz="4" w:space="0" w:color="auto"/>
            </w:tcBorders>
            <w:shd w:val="clear" w:color="auto" w:fill="auto"/>
            <w:noWrap/>
          </w:tcPr>
          <w:p w14:paraId="5EABAD1E" w14:textId="77777777" w:rsidR="006B2325" w:rsidRPr="006E19C7" w:rsidRDefault="006B2325" w:rsidP="00CD1F63">
            <w:r w:rsidRPr="006E19C7">
              <w:t>Age (year), Median IRQ</w:t>
            </w:r>
          </w:p>
        </w:tc>
        <w:tc>
          <w:tcPr>
            <w:tcW w:w="630" w:type="pct"/>
            <w:tcBorders>
              <w:top w:val="single" w:sz="4" w:space="0" w:color="auto"/>
            </w:tcBorders>
            <w:shd w:val="clear" w:color="auto" w:fill="auto"/>
            <w:noWrap/>
          </w:tcPr>
          <w:p w14:paraId="7B1D36FB" w14:textId="77777777" w:rsidR="006B2325" w:rsidRPr="006E19C7" w:rsidRDefault="006B2325" w:rsidP="00CD1F63">
            <w:pPr>
              <w:jc w:val="center"/>
            </w:pPr>
            <w:r w:rsidRPr="006E19C7">
              <w:t>75(61-84)</w:t>
            </w:r>
          </w:p>
        </w:tc>
        <w:tc>
          <w:tcPr>
            <w:tcW w:w="623" w:type="pct"/>
            <w:tcBorders>
              <w:top w:val="single" w:sz="4" w:space="0" w:color="auto"/>
            </w:tcBorders>
            <w:shd w:val="clear" w:color="auto" w:fill="auto"/>
            <w:noWrap/>
          </w:tcPr>
          <w:p w14:paraId="01BD179E" w14:textId="77777777" w:rsidR="006B2325" w:rsidRPr="006E19C7" w:rsidRDefault="006B2325" w:rsidP="00CD1F63">
            <w:pPr>
              <w:jc w:val="center"/>
            </w:pPr>
            <w:r w:rsidRPr="006E19C7">
              <w:t>76(62-84)</w:t>
            </w:r>
          </w:p>
        </w:tc>
        <w:tc>
          <w:tcPr>
            <w:tcW w:w="624" w:type="pct"/>
            <w:tcBorders>
              <w:top w:val="single" w:sz="4" w:space="0" w:color="auto"/>
            </w:tcBorders>
            <w:shd w:val="clear" w:color="auto" w:fill="auto"/>
            <w:noWrap/>
          </w:tcPr>
          <w:p w14:paraId="0047D8D6" w14:textId="77777777" w:rsidR="006B2325" w:rsidRPr="006E19C7" w:rsidRDefault="006B2325" w:rsidP="00CD1F63">
            <w:pPr>
              <w:jc w:val="center"/>
            </w:pPr>
            <w:r w:rsidRPr="006E19C7">
              <w:t>77 (64-86)</w:t>
            </w:r>
          </w:p>
        </w:tc>
        <w:tc>
          <w:tcPr>
            <w:tcW w:w="623" w:type="pct"/>
            <w:tcBorders>
              <w:top w:val="single" w:sz="4" w:space="0" w:color="auto"/>
            </w:tcBorders>
            <w:shd w:val="clear" w:color="auto" w:fill="auto"/>
            <w:noWrap/>
          </w:tcPr>
          <w:p w14:paraId="086676D1" w14:textId="77777777" w:rsidR="006B2325" w:rsidRPr="006E19C7" w:rsidRDefault="006B2325" w:rsidP="00CD1F63">
            <w:pPr>
              <w:jc w:val="center"/>
            </w:pPr>
            <w:r w:rsidRPr="006E19C7">
              <w:t>77 (64-86)</w:t>
            </w:r>
          </w:p>
        </w:tc>
        <w:tc>
          <w:tcPr>
            <w:tcW w:w="623" w:type="pct"/>
            <w:tcBorders>
              <w:top w:val="single" w:sz="4" w:space="0" w:color="auto"/>
            </w:tcBorders>
            <w:shd w:val="clear" w:color="auto" w:fill="auto"/>
            <w:noWrap/>
          </w:tcPr>
          <w:p w14:paraId="4B266F8E" w14:textId="77777777" w:rsidR="006B2325" w:rsidRPr="006E19C7" w:rsidRDefault="006B2325" w:rsidP="00CD1F63">
            <w:pPr>
              <w:jc w:val="center"/>
            </w:pPr>
            <w:r w:rsidRPr="006E19C7">
              <w:t>77 (64-86)</w:t>
            </w:r>
          </w:p>
        </w:tc>
        <w:tc>
          <w:tcPr>
            <w:tcW w:w="610" w:type="pct"/>
            <w:tcBorders>
              <w:top w:val="single" w:sz="4" w:space="0" w:color="auto"/>
            </w:tcBorders>
            <w:shd w:val="clear" w:color="auto" w:fill="auto"/>
            <w:noWrap/>
          </w:tcPr>
          <w:p w14:paraId="38F3D1FF" w14:textId="77777777" w:rsidR="006B2325" w:rsidRPr="006E19C7" w:rsidRDefault="006B2325" w:rsidP="00CD1F63">
            <w:pPr>
              <w:jc w:val="center"/>
            </w:pPr>
            <w:r w:rsidRPr="006E19C7">
              <w:t>76 (64-86)</w:t>
            </w:r>
          </w:p>
        </w:tc>
      </w:tr>
      <w:tr w:rsidR="006B2325" w:rsidRPr="006E19C7" w14:paraId="37ED8DF6" w14:textId="77777777" w:rsidTr="001414FD">
        <w:trPr>
          <w:trHeight w:val="290"/>
          <w:jc w:val="center"/>
        </w:trPr>
        <w:tc>
          <w:tcPr>
            <w:tcW w:w="1267" w:type="pct"/>
            <w:shd w:val="clear" w:color="auto" w:fill="auto"/>
            <w:noWrap/>
          </w:tcPr>
          <w:p w14:paraId="36555F30" w14:textId="77777777" w:rsidR="006B2325" w:rsidRPr="006E19C7" w:rsidRDefault="006B2325" w:rsidP="00CD1F63">
            <w:r w:rsidRPr="006E19C7">
              <w:t>Men %</w:t>
            </w:r>
          </w:p>
        </w:tc>
        <w:tc>
          <w:tcPr>
            <w:tcW w:w="630" w:type="pct"/>
            <w:shd w:val="clear" w:color="auto" w:fill="auto"/>
            <w:noWrap/>
          </w:tcPr>
          <w:p w14:paraId="04317781" w14:textId="77777777" w:rsidR="006B2325" w:rsidRPr="006E19C7" w:rsidRDefault="006B2325" w:rsidP="00CD1F63">
            <w:pPr>
              <w:jc w:val="center"/>
            </w:pPr>
            <w:r w:rsidRPr="006E19C7">
              <w:t>49.0%</w:t>
            </w:r>
          </w:p>
        </w:tc>
        <w:tc>
          <w:tcPr>
            <w:tcW w:w="623" w:type="pct"/>
            <w:shd w:val="clear" w:color="auto" w:fill="auto"/>
            <w:noWrap/>
          </w:tcPr>
          <w:p w14:paraId="4D22EEDC" w14:textId="77777777" w:rsidR="006B2325" w:rsidRPr="006E19C7" w:rsidRDefault="006B2325" w:rsidP="00CD1F63">
            <w:pPr>
              <w:jc w:val="center"/>
            </w:pPr>
            <w:r w:rsidRPr="006E19C7">
              <w:t>49.4%</w:t>
            </w:r>
          </w:p>
        </w:tc>
        <w:tc>
          <w:tcPr>
            <w:tcW w:w="624" w:type="pct"/>
            <w:shd w:val="clear" w:color="auto" w:fill="auto"/>
            <w:noWrap/>
          </w:tcPr>
          <w:p w14:paraId="326B275C" w14:textId="77777777" w:rsidR="006B2325" w:rsidRPr="006E19C7" w:rsidRDefault="006B2325" w:rsidP="00CD1F63">
            <w:pPr>
              <w:jc w:val="center"/>
            </w:pPr>
            <w:r w:rsidRPr="006E19C7">
              <w:t>49.3%</w:t>
            </w:r>
          </w:p>
        </w:tc>
        <w:tc>
          <w:tcPr>
            <w:tcW w:w="623" w:type="pct"/>
            <w:shd w:val="clear" w:color="auto" w:fill="auto"/>
            <w:noWrap/>
          </w:tcPr>
          <w:p w14:paraId="31CEBE6E" w14:textId="77777777" w:rsidR="006B2325" w:rsidRPr="006E19C7" w:rsidRDefault="006B2325" w:rsidP="00CD1F63">
            <w:pPr>
              <w:jc w:val="center"/>
            </w:pPr>
            <w:r w:rsidRPr="006E19C7">
              <w:t>49.3%</w:t>
            </w:r>
          </w:p>
        </w:tc>
        <w:tc>
          <w:tcPr>
            <w:tcW w:w="623" w:type="pct"/>
            <w:shd w:val="clear" w:color="auto" w:fill="auto"/>
            <w:noWrap/>
          </w:tcPr>
          <w:p w14:paraId="4B058771" w14:textId="77777777" w:rsidR="006B2325" w:rsidRPr="006E19C7" w:rsidRDefault="006B2325" w:rsidP="00CD1F63">
            <w:pPr>
              <w:jc w:val="center"/>
            </w:pPr>
            <w:r w:rsidRPr="006E19C7">
              <w:t>50.0%</w:t>
            </w:r>
          </w:p>
        </w:tc>
        <w:tc>
          <w:tcPr>
            <w:tcW w:w="610" w:type="pct"/>
            <w:shd w:val="clear" w:color="auto" w:fill="auto"/>
            <w:noWrap/>
          </w:tcPr>
          <w:p w14:paraId="18420604" w14:textId="77777777" w:rsidR="006B2325" w:rsidRPr="006E19C7" w:rsidRDefault="006B2325" w:rsidP="00CD1F63">
            <w:pPr>
              <w:jc w:val="center"/>
            </w:pPr>
            <w:r w:rsidRPr="006E19C7">
              <w:t>51.2%</w:t>
            </w:r>
          </w:p>
        </w:tc>
      </w:tr>
      <w:tr w:rsidR="006B2325" w:rsidRPr="006E19C7" w14:paraId="1E517B6D" w14:textId="77777777" w:rsidTr="001414FD">
        <w:trPr>
          <w:trHeight w:val="290"/>
          <w:jc w:val="center"/>
        </w:trPr>
        <w:tc>
          <w:tcPr>
            <w:tcW w:w="1267" w:type="pct"/>
            <w:shd w:val="clear" w:color="auto" w:fill="auto"/>
            <w:noWrap/>
          </w:tcPr>
          <w:p w14:paraId="2F6BED49" w14:textId="77777777" w:rsidR="006B2325" w:rsidRPr="006E19C7" w:rsidRDefault="006B2325" w:rsidP="00CD1F63">
            <w:r w:rsidRPr="006E19C7">
              <w:t>Ethnicity</w:t>
            </w:r>
          </w:p>
        </w:tc>
        <w:tc>
          <w:tcPr>
            <w:tcW w:w="630" w:type="pct"/>
            <w:shd w:val="clear" w:color="auto" w:fill="auto"/>
            <w:noWrap/>
            <w:vAlign w:val="bottom"/>
          </w:tcPr>
          <w:p w14:paraId="5A7AD7F8" w14:textId="77777777" w:rsidR="006B2325" w:rsidRPr="006E19C7" w:rsidRDefault="006B2325" w:rsidP="00CD1F63">
            <w:pPr>
              <w:jc w:val="center"/>
              <w:rPr>
                <w:rFonts w:ascii="Calibri" w:hAnsi="Calibri"/>
              </w:rPr>
            </w:pPr>
          </w:p>
        </w:tc>
        <w:tc>
          <w:tcPr>
            <w:tcW w:w="623" w:type="pct"/>
            <w:shd w:val="clear" w:color="auto" w:fill="auto"/>
            <w:noWrap/>
            <w:vAlign w:val="bottom"/>
          </w:tcPr>
          <w:p w14:paraId="0E011CBB" w14:textId="77777777" w:rsidR="006B2325" w:rsidRPr="006E19C7" w:rsidRDefault="006B2325" w:rsidP="00CD1F63">
            <w:pPr>
              <w:jc w:val="center"/>
              <w:rPr>
                <w:rFonts w:ascii="Calibri" w:hAnsi="Calibri"/>
              </w:rPr>
            </w:pPr>
          </w:p>
        </w:tc>
        <w:tc>
          <w:tcPr>
            <w:tcW w:w="624" w:type="pct"/>
            <w:shd w:val="clear" w:color="auto" w:fill="auto"/>
            <w:noWrap/>
            <w:vAlign w:val="bottom"/>
          </w:tcPr>
          <w:p w14:paraId="3A2210B8" w14:textId="77777777" w:rsidR="006B2325" w:rsidRPr="006E19C7" w:rsidRDefault="006B2325" w:rsidP="00CD1F63">
            <w:pPr>
              <w:jc w:val="center"/>
              <w:rPr>
                <w:rFonts w:ascii="Calibri" w:hAnsi="Calibri"/>
              </w:rPr>
            </w:pPr>
          </w:p>
        </w:tc>
        <w:tc>
          <w:tcPr>
            <w:tcW w:w="623" w:type="pct"/>
            <w:shd w:val="clear" w:color="auto" w:fill="auto"/>
            <w:noWrap/>
            <w:vAlign w:val="bottom"/>
          </w:tcPr>
          <w:p w14:paraId="3507E4C1" w14:textId="77777777" w:rsidR="006B2325" w:rsidRPr="006E19C7" w:rsidRDefault="006B2325" w:rsidP="00CD1F63">
            <w:pPr>
              <w:jc w:val="center"/>
              <w:rPr>
                <w:rFonts w:ascii="Calibri" w:hAnsi="Calibri"/>
              </w:rPr>
            </w:pPr>
          </w:p>
        </w:tc>
        <w:tc>
          <w:tcPr>
            <w:tcW w:w="623" w:type="pct"/>
            <w:shd w:val="clear" w:color="auto" w:fill="auto"/>
            <w:noWrap/>
            <w:vAlign w:val="bottom"/>
          </w:tcPr>
          <w:p w14:paraId="3CFCF004" w14:textId="77777777" w:rsidR="006B2325" w:rsidRPr="006E19C7" w:rsidRDefault="006B2325" w:rsidP="00CD1F63">
            <w:pPr>
              <w:jc w:val="center"/>
              <w:rPr>
                <w:rFonts w:ascii="Calibri" w:hAnsi="Calibri"/>
              </w:rPr>
            </w:pPr>
          </w:p>
        </w:tc>
        <w:tc>
          <w:tcPr>
            <w:tcW w:w="610" w:type="pct"/>
            <w:shd w:val="clear" w:color="auto" w:fill="auto"/>
            <w:noWrap/>
            <w:vAlign w:val="bottom"/>
          </w:tcPr>
          <w:p w14:paraId="1AFE06A4" w14:textId="77777777" w:rsidR="006B2325" w:rsidRPr="006E19C7" w:rsidRDefault="006B2325" w:rsidP="00CD1F63">
            <w:pPr>
              <w:jc w:val="center"/>
              <w:rPr>
                <w:rFonts w:ascii="Calibri" w:hAnsi="Calibri"/>
              </w:rPr>
            </w:pPr>
          </w:p>
        </w:tc>
      </w:tr>
      <w:tr w:rsidR="006B2325" w:rsidRPr="006E19C7" w14:paraId="7B0FE1FB" w14:textId="77777777" w:rsidTr="001414FD">
        <w:trPr>
          <w:trHeight w:val="290"/>
          <w:jc w:val="center"/>
        </w:trPr>
        <w:tc>
          <w:tcPr>
            <w:tcW w:w="1267" w:type="pct"/>
            <w:shd w:val="clear" w:color="auto" w:fill="auto"/>
            <w:noWrap/>
          </w:tcPr>
          <w:p w14:paraId="36F8C0C4" w14:textId="77777777" w:rsidR="006B2325" w:rsidRPr="006E19C7" w:rsidRDefault="006B2325" w:rsidP="00CD1F63">
            <w:r w:rsidRPr="006E19C7">
              <w:t>White</w:t>
            </w:r>
          </w:p>
        </w:tc>
        <w:tc>
          <w:tcPr>
            <w:tcW w:w="630" w:type="pct"/>
            <w:shd w:val="clear" w:color="auto" w:fill="auto"/>
            <w:noWrap/>
            <w:vAlign w:val="bottom"/>
          </w:tcPr>
          <w:p w14:paraId="0007F394" w14:textId="77777777" w:rsidR="006B2325" w:rsidRPr="006E19C7" w:rsidRDefault="006B2325" w:rsidP="00CD1F63">
            <w:pPr>
              <w:jc w:val="center"/>
              <w:rPr>
                <w:rFonts w:ascii="Calibri" w:hAnsi="Calibri"/>
              </w:rPr>
            </w:pPr>
            <w:r w:rsidRPr="006E19C7">
              <w:rPr>
                <w:rFonts w:ascii="Calibri" w:hAnsi="Calibri"/>
              </w:rPr>
              <w:t>56.6%</w:t>
            </w:r>
          </w:p>
        </w:tc>
        <w:tc>
          <w:tcPr>
            <w:tcW w:w="623" w:type="pct"/>
            <w:shd w:val="clear" w:color="auto" w:fill="auto"/>
            <w:noWrap/>
            <w:vAlign w:val="bottom"/>
          </w:tcPr>
          <w:p w14:paraId="5315037E" w14:textId="77777777" w:rsidR="006B2325" w:rsidRPr="006E19C7" w:rsidRDefault="006B2325" w:rsidP="00CD1F63">
            <w:pPr>
              <w:jc w:val="center"/>
              <w:rPr>
                <w:rFonts w:ascii="Calibri" w:hAnsi="Calibri"/>
              </w:rPr>
            </w:pPr>
            <w:r w:rsidRPr="006E19C7">
              <w:rPr>
                <w:rFonts w:ascii="Calibri" w:hAnsi="Calibri"/>
              </w:rPr>
              <w:t>57.2%</w:t>
            </w:r>
          </w:p>
        </w:tc>
        <w:tc>
          <w:tcPr>
            <w:tcW w:w="624" w:type="pct"/>
            <w:shd w:val="clear" w:color="auto" w:fill="auto"/>
            <w:noWrap/>
            <w:vAlign w:val="bottom"/>
          </w:tcPr>
          <w:p w14:paraId="2917CC35" w14:textId="77777777" w:rsidR="006B2325" w:rsidRPr="006E19C7" w:rsidRDefault="006B2325" w:rsidP="00CD1F63">
            <w:pPr>
              <w:jc w:val="center"/>
              <w:rPr>
                <w:rFonts w:ascii="Calibri" w:hAnsi="Calibri"/>
              </w:rPr>
            </w:pPr>
            <w:r w:rsidRPr="006E19C7">
              <w:rPr>
                <w:rFonts w:ascii="Calibri" w:hAnsi="Calibri"/>
              </w:rPr>
              <w:t>62.7%</w:t>
            </w:r>
          </w:p>
        </w:tc>
        <w:tc>
          <w:tcPr>
            <w:tcW w:w="623" w:type="pct"/>
            <w:shd w:val="clear" w:color="auto" w:fill="auto"/>
            <w:noWrap/>
            <w:vAlign w:val="bottom"/>
          </w:tcPr>
          <w:p w14:paraId="0D0083F4" w14:textId="77777777" w:rsidR="006B2325" w:rsidRPr="006E19C7" w:rsidRDefault="006B2325" w:rsidP="00CD1F63">
            <w:pPr>
              <w:jc w:val="center"/>
              <w:rPr>
                <w:rFonts w:ascii="Calibri" w:hAnsi="Calibri"/>
              </w:rPr>
            </w:pPr>
            <w:r w:rsidRPr="006E19C7">
              <w:rPr>
                <w:rFonts w:ascii="Calibri" w:hAnsi="Calibri"/>
              </w:rPr>
              <w:t>65.5%</w:t>
            </w:r>
          </w:p>
        </w:tc>
        <w:tc>
          <w:tcPr>
            <w:tcW w:w="623" w:type="pct"/>
            <w:shd w:val="clear" w:color="auto" w:fill="auto"/>
            <w:noWrap/>
            <w:vAlign w:val="bottom"/>
          </w:tcPr>
          <w:p w14:paraId="1D38B613" w14:textId="77777777" w:rsidR="006B2325" w:rsidRPr="006E19C7" w:rsidRDefault="006B2325" w:rsidP="00CD1F63">
            <w:pPr>
              <w:jc w:val="center"/>
              <w:rPr>
                <w:rFonts w:ascii="Calibri" w:hAnsi="Calibri"/>
              </w:rPr>
            </w:pPr>
            <w:r w:rsidRPr="006E19C7">
              <w:rPr>
                <w:rFonts w:ascii="Calibri" w:hAnsi="Calibri"/>
              </w:rPr>
              <w:t>71.1%</w:t>
            </w:r>
          </w:p>
        </w:tc>
        <w:tc>
          <w:tcPr>
            <w:tcW w:w="610" w:type="pct"/>
            <w:shd w:val="clear" w:color="auto" w:fill="auto"/>
            <w:noWrap/>
            <w:vAlign w:val="bottom"/>
          </w:tcPr>
          <w:p w14:paraId="5C566FE7" w14:textId="77777777" w:rsidR="006B2325" w:rsidRPr="006E19C7" w:rsidRDefault="006B2325" w:rsidP="00CD1F63">
            <w:pPr>
              <w:jc w:val="center"/>
              <w:rPr>
                <w:rFonts w:ascii="Calibri" w:hAnsi="Calibri"/>
              </w:rPr>
            </w:pPr>
            <w:r w:rsidRPr="006E19C7">
              <w:rPr>
                <w:rFonts w:ascii="Calibri" w:hAnsi="Calibri"/>
              </w:rPr>
              <w:t>70.9%</w:t>
            </w:r>
          </w:p>
        </w:tc>
      </w:tr>
      <w:tr w:rsidR="006B2325" w:rsidRPr="006E19C7" w14:paraId="636D8A18" w14:textId="77777777" w:rsidTr="001414FD">
        <w:trPr>
          <w:trHeight w:val="290"/>
          <w:jc w:val="center"/>
        </w:trPr>
        <w:tc>
          <w:tcPr>
            <w:tcW w:w="1267" w:type="pct"/>
            <w:shd w:val="clear" w:color="auto" w:fill="auto"/>
            <w:noWrap/>
          </w:tcPr>
          <w:p w14:paraId="2B5D5E0F" w14:textId="77777777" w:rsidR="006B2325" w:rsidRPr="006E19C7" w:rsidRDefault="006B2325" w:rsidP="00CD1F63">
            <w:r w:rsidRPr="006E19C7">
              <w:t>Black</w:t>
            </w:r>
          </w:p>
        </w:tc>
        <w:tc>
          <w:tcPr>
            <w:tcW w:w="630" w:type="pct"/>
            <w:shd w:val="clear" w:color="auto" w:fill="auto"/>
            <w:noWrap/>
            <w:vAlign w:val="bottom"/>
          </w:tcPr>
          <w:p w14:paraId="37EE334D" w14:textId="77777777" w:rsidR="006B2325" w:rsidRPr="006E19C7" w:rsidRDefault="006B2325" w:rsidP="00CD1F63">
            <w:pPr>
              <w:jc w:val="center"/>
              <w:rPr>
                <w:rFonts w:ascii="Calibri" w:hAnsi="Calibri"/>
              </w:rPr>
            </w:pPr>
            <w:r w:rsidRPr="006E19C7">
              <w:rPr>
                <w:rFonts w:ascii="Calibri" w:hAnsi="Calibri"/>
              </w:rPr>
              <w:t>9.4%</w:t>
            </w:r>
          </w:p>
        </w:tc>
        <w:tc>
          <w:tcPr>
            <w:tcW w:w="623" w:type="pct"/>
            <w:shd w:val="clear" w:color="auto" w:fill="auto"/>
            <w:noWrap/>
            <w:vAlign w:val="bottom"/>
          </w:tcPr>
          <w:p w14:paraId="62D1B178" w14:textId="77777777" w:rsidR="006B2325" w:rsidRPr="006E19C7" w:rsidRDefault="006B2325" w:rsidP="00CD1F63">
            <w:pPr>
              <w:jc w:val="center"/>
              <w:rPr>
                <w:rFonts w:ascii="Calibri" w:hAnsi="Calibri"/>
              </w:rPr>
            </w:pPr>
            <w:r w:rsidRPr="006E19C7">
              <w:rPr>
                <w:rFonts w:ascii="Calibri" w:hAnsi="Calibri"/>
              </w:rPr>
              <w:t>8.7%</w:t>
            </w:r>
          </w:p>
        </w:tc>
        <w:tc>
          <w:tcPr>
            <w:tcW w:w="624" w:type="pct"/>
            <w:shd w:val="clear" w:color="auto" w:fill="auto"/>
            <w:noWrap/>
            <w:vAlign w:val="bottom"/>
          </w:tcPr>
          <w:p w14:paraId="7F062512" w14:textId="77777777" w:rsidR="006B2325" w:rsidRPr="006E19C7" w:rsidRDefault="006B2325" w:rsidP="00CD1F63">
            <w:pPr>
              <w:jc w:val="center"/>
              <w:rPr>
                <w:rFonts w:ascii="Calibri" w:hAnsi="Calibri"/>
              </w:rPr>
            </w:pPr>
            <w:r w:rsidRPr="006E19C7">
              <w:rPr>
                <w:rFonts w:ascii="Calibri" w:hAnsi="Calibri"/>
              </w:rPr>
              <w:t>8.5%</w:t>
            </w:r>
          </w:p>
        </w:tc>
        <w:tc>
          <w:tcPr>
            <w:tcW w:w="623" w:type="pct"/>
            <w:shd w:val="clear" w:color="auto" w:fill="auto"/>
            <w:noWrap/>
            <w:vAlign w:val="bottom"/>
          </w:tcPr>
          <w:p w14:paraId="21FD3DE9" w14:textId="77777777" w:rsidR="006B2325" w:rsidRPr="006E19C7" w:rsidRDefault="006B2325" w:rsidP="00CD1F63">
            <w:pPr>
              <w:jc w:val="center"/>
              <w:rPr>
                <w:rFonts w:ascii="Calibri" w:hAnsi="Calibri"/>
              </w:rPr>
            </w:pPr>
            <w:r w:rsidRPr="006E19C7">
              <w:rPr>
                <w:rFonts w:ascii="Calibri" w:hAnsi="Calibri"/>
              </w:rPr>
              <w:t>12.4%</w:t>
            </w:r>
          </w:p>
        </w:tc>
        <w:tc>
          <w:tcPr>
            <w:tcW w:w="623" w:type="pct"/>
            <w:shd w:val="clear" w:color="auto" w:fill="auto"/>
            <w:noWrap/>
            <w:vAlign w:val="bottom"/>
          </w:tcPr>
          <w:p w14:paraId="397E3618" w14:textId="77777777" w:rsidR="006B2325" w:rsidRPr="006E19C7" w:rsidRDefault="006B2325" w:rsidP="00CD1F63">
            <w:pPr>
              <w:jc w:val="center"/>
              <w:rPr>
                <w:rFonts w:ascii="Calibri" w:hAnsi="Calibri"/>
              </w:rPr>
            </w:pPr>
            <w:r w:rsidRPr="006E19C7">
              <w:rPr>
                <w:rFonts w:ascii="Calibri" w:hAnsi="Calibri"/>
              </w:rPr>
              <w:t>11.3%</w:t>
            </w:r>
          </w:p>
        </w:tc>
        <w:tc>
          <w:tcPr>
            <w:tcW w:w="610" w:type="pct"/>
            <w:shd w:val="clear" w:color="auto" w:fill="auto"/>
            <w:noWrap/>
            <w:vAlign w:val="bottom"/>
          </w:tcPr>
          <w:p w14:paraId="7A888BF1" w14:textId="77777777" w:rsidR="006B2325" w:rsidRPr="006E19C7" w:rsidRDefault="006B2325" w:rsidP="00CD1F63">
            <w:pPr>
              <w:jc w:val="center"/>
              <w:rPr>
                <w:rFonts w:ascii="Calibri" w:hAnsi="Calibri"/>
              </w:rPr>
            </w:pPr>
            <w:r w:rsidRPr="006E19C7">
              <w:rPr>
                <w:rFonts w:ascii="Calibri" w:hAnsi="Calibri"/>
              </w:rPr>
              <w:t>12.1%</w:t>
            </w:r>
          </w:p>
        </w:tc>
      </w:tr>
      <w:tr w:rsidR="006B2325" w:rsidRPr="006E19C7" w14:paraId="04F198F1" w14:textId="77777777" w:rsidTr="001414FD">
        <w:trPr>
          <w:trHeight w:val="290"/>
          <w:jc w:val="center"/>
        </w:trPr>
        <w:tc>
          <w:tcPr>
            <w:tcW w:w="1267" w:type="pct"/>
            <w:shd w:val="clear" w:color="auto" w:fill="auto"/>
            <w:noWrap/>
          </w:tcPr>
          <w:p w14:paraId="7C57AA22" w14:textId="77777777" w:rsidR="006B2325" w:rsidRPr="006E19C7" w:rsidRDefault="006B2325" w:rsidP="00CD1F63">
            <w:r w:rsidRPr="006E19C7">
              <w:t>Hispanic</w:t>
            </w:r>
          </w:p>
        </w:tc>
        <w:tc>
          <w:tcPr>
            <w:tcW w:w="630" w:type="pct"/>
            <w:shd w:val="clear" w:color="auto" w:fill="auto"/>
            <w:noWrap/>
            <w:vAlign w:val="bottom"/>
          </w:tcPr>
          <w:p w14:paraId="4A26DE60" w14:textId="77777777" w:rsidR="006B2325" w:rsidRPr="006E19C7" w:rsidRDefault="006B2325" w:rsidP="00CD1F63">
            <w:pPr>
              <w:jc w:val="center"/>
              <w:rPr>
                <w:rFonts w:ascii="Calibri" w:hAnsi="Calibri"/>
              </w:rPr>
            </w:pPr>
            <w:r w:rsidRPr="006E19C7">
              <w:rPr>
                <w:rFonts w:ascii="Calibri" w:hAnsi="Calibri"/>
              </w:rPr>
              <w:t>5.8%</w:t>
            </w:r>
          </w:p>
        </w:tc>
        <w:tc>
          <w:tcPr>
            <w:tcW w:w="623" w:type="pct"/>
            <w:shd w:val="clear" w:color="auto" w:fill="auto"/>
            <w:noWrap/>
            <w:vAlign w:val="bottom"/>
          </w:tcPr>
          <w:p w14:paraId="0BAFD489" w14:textId="77777777" w:rsidR="006B2325" w:rsidRPr="006E19C7" w:rsidRDefault="006B2325" w:rsidP="00CD1F63">
            <w:pPr>
              <w:jc w:val="center"/>
              <w:rPr>
                <w:rFonts w:ascii="Calibri" w:hAnsi="Calibri"/>
              </w:rPr>
            </w:pPr>
            <w:r w:rsidRPr="006E19C7">
              <w:rPr>
                <w:rFonts w:ascii="Calibri" w:hAnsi="Calibri"/>
              </w:rPr>
              <w:t>6.9%</w:t>
            </w:r>
          </w:p>
        </w:tc>
        <w:tc>
          <w:tcPr>
            <w:tcW w:w="624" w:type="pct"/>
            <w:shd w:val="clear" w:color="auto" w:fill="auto"/>
            <w:noWrap/>
            <w:vAlign w:val="bottom"/>
          </w:tcPr>
          <w:p w14:paraId="0D5F66DB" w14:textId="77777777" w:rsidR="006B2325" w:rsidRPr="006E19C7" w:rsidRDefault="006B2325" w:rsidP="00CD1F63">
            <w:pPr>
              <w:jc w:val="center"/>
              <w:rPr>
                <w:rFonts w:ascii="Calibri" w:hAnsi="Calibri"/>
              </w:rPr>
            </w:pPr>
            <w:r w:rsidRPr="006E19C7">
              <w:rPr>
                <w:rFonts w:ascii="Calibri" w:hAnsi="Calibri"/>
              </w:rPr>
              <w:t>5.5%</w:t>
            </w:r>
          </w:p>
        </w:tc>
        <w:tc>
          <w:tcPr>
            <w:tcW w:w="623" w:type="pct"/>
            <w:shd w:val="clear" w:color="auto" w:fill="auto"/>
            <w:noWrap/>
            <w:vAlign w:val="bottom"/>
          </w:tcPr>
          <w:p w14:paraId="44E68DCE" w14:textId="77777777" w:rsidR="006B2325" w:rsidRPr="006E19C7" w:rsidRDefault="006B2325" w:rsidP="00CD1F63">
            <w:pPr>
              <w:jc w:val="center"/>
              <w:rPr>
                <w:rFonts w:ascii="Calibri" w:hAnsi="Calibri"/>
              </w:rPr>
            </w:pPr>
            <w:r w:rsidRPr="006E19C7">
              <w:rPr>
                <w:rFonts w:ascii="Calibri" w:hAnsi="Calibri"/>
              </w:rPr>
              <w:t>6.2%</w:t>
            </w:r>
          </w:p>
        </w:tc>
        <w:tc>
          <w:tcPr>
            <w:tcW w:w="623" w:type="pct"/>
            <w:shd w:val="clear" w:color="auto" w:fill="auto"/>
            <w:noWrap/>
            <w:vAlign w:val="bottom"/>
          </w:tcPr>
          <w:p w14:paraId="76E12943" w14:textId="77777777" w:rsidR="006B2325" w:rsidRPr="006E19C7" w:rsidRDefault="006B2325" w:rsidP="00CD1F63">
            <w:pPr>
              <w:jc w:val="center"/>
              <w:rPr>
                <w:rFonts w:ascii="Calibri" w:hAnsi="Calibri"/>
              </w:rPr>
            </w:pPr>
            <w:r w:rsidRPr="006E19C7">
              <w:rPr>
                <w:rFonts w:ascii="Calibri" w:hAnsi="Calibri"/>
              </w:rPr>
              <w:t>7.4%</w:t>
            </w:r>
          </w:p>
        </w:tc>
        <w:tc>
          <w:tcPr>
            <w:tcW w:w="610" w:type="pct"/>
            <w:shd w:val="clear" w:color="auto" w:fill="auto"/>
            <w:noWrap/>
            <w:vAlign w:val="bottom"/>
          </w:tcPr>
          <w:p w14:paraId="054A0D6C" w14:textId="77777777" w:rsidR="006B2325" w:rsidRPr="006E19C7" w:rsidRDefault="006B2325" w:rsidP="00CD1F63">
            <w:pPr>
              <w:jc w:val="center"/>
              <w:rPr>
                <w:rFonts w:ascii="Calibri" w:hAnsi="Calibri"/>
              </w:rPr>
            </w:pPr>
            <w:r w:rsidRPr="006E19C7">
              <w:rPr>
                <w:rFonts w:ascii="Calibri" w:hAnsi="Calibri"/>
              </w:rPr>
              <w:t>7.5%</w:t>
            </w:r>
          </w:p>
        </w:tc>
      </w:tr>
      <w:tr w:rsidR="006B2325" w:rsidRPr="006E19C7" w14:paraId="42C4DC06" w14:textId="77777777" w:rsidTr="001414FD">
        <w:trPr>
          <w:trHeight w:val="290"/>
          <w:jc w:val="center"/>
        </w:trPr>
        <w:tc>
          <w:tcPr>
            <w:tcW w:w="1267" w:type="pct"/>
            <w:shd w:val="clear" w:color="auto" w:fill="auto"/>
            <w:noWrap/>
          </w:tcPr>
          <w:p w14:paraId="43850B93" w14:textId="77777777" w:rsidR="006B2325" w:rsidRPr="006E19C7" w:rsidRDefault="006B2325" w:rsidP="00CD1F63">
            <w:r w:rsidRPr="006E19C7">
              <w:t>Asian/Pacific Islander</w:t>
            </w:r>
          </w:p>
        </w:tc>
        <w:tc>
          <w:tcPr>
            <w:tcW w:w="630" w:type="pct"/>
            <w:shd w:val="clear" w:color="auto" w:fill="auto"/>
            <w:noWrap/>
            <w:vAlign w:val="bottom"/>
          </w:tcPr>
          <w:p w14:paraId="6219DED1" w14:textId="77777777" w:rsidR="006B2325" w:rsidRPr="006E19C7" w:rsidRDefault="006B2325" w:rsidP="00CD1F63">
            <w:pPr>
              <w:jc w:val="center"/>
              <w:rPr>
                <w:rFonts w:ascii="Calibri" w:hAnsi="Calibri"/>
              </w:rPr>
            </w:pPr>
            <w:r w:rsidRPr="006E19C7">
              <w:rPr>
                <w:rFonts w:ascii="Calibri" w:hAnsi="Calibri"/>
              </w:rPr>
              <w:t>1.5%</w:t>
            </w:r>
          </w:p>
        </w:tc>
        <w:tc>
          <w:tcPr>
            <w:tcW w:w="623" w:type="pct"/>
            <w:shd w:val="clear" w:color="auto" w:fill="auto"/>
            <w:noWrap/>
            <w:vAlign w:val="bottom"/>
          </w:tcPr>
          <w:p w14:paraId="4BBB87A1" w14:textId="77777777" w:rsidR="006B2325" w:rsidRPr="006E19C7" w:rsidRDefault="006B2325" w:rsidP="00CD1F63">
            <w:pPr>
              <w:jc w:val="center"/>
              <w:rPr>
                <w:rFonts w:ascii="Calibri" w:hAnsi="Calibri"/>
              </w:rPr>
            </w:pPr>
            <w:r w:rsidRPr="006E19C7">
              <w:rPr>
                <w:rFonts w:ascii="Calibri" w:hAnsi="Calibri"/>
              </w:rPr>
              <w:t>1.7%</w:t>
            </w:r>
          </w:p>
        </w:tc>
        <w:tc>
          <w:tcPr>
            <w:tcW w:w="624" w:type="pct"/>
            <w:shd w:val="clear" w:color="auto" w:fill="auto"/>
            <w:noWrap/>
            <w:vAlign w:val="bottom"/>
          </w:tcPr>
          <w:p w14:paraId="197D574F" w14:textId="77777777" w:rsidR="006B2325" w:rsidRPr="006E19C7" w:rsidRDefault="006B2325" w:rsidP="00CD1F63">
            <w:pPr>
              <w:jc w:val="center"/>
              <w:rPr>
                <w:rFonts w:ascii="Calibri" w:hAnsi="Calibri"/>
              </w:rPr>
            </w:pPr>
            <w:r w:rsidRPr="006E19C7">
              <w:rPr>
                <w:rFonts w:ascii="Calibri" w:hAnsi="Calibri"/>
              </w:rPr>
              <w:t>1.8%</w:t>
            </w:r>
          </w:p>
        </w:tc>
        <w:tc>
          <w:tcPr>
            <w:tcW w:w="623" w:type="pct"/>
            <w:shd w:val="clear" w:color="auto" w:fill="auto"/>
            <w:noWrap/>
            <w:vAlign w:val="bottom"/>
          </w:tcPr>
          <w:p w14:paraId="0C380B5E" w14:textId="77777777" w:rsidR="006B2325" w:rsidRPr="006E19C7" w:rsidRDefault="006B2325" w:rsidP="00CD1F63">
            <w:pPr>
              <w:jc w:val="center"/>
              <w:rPr>
                <w:rFonts w:ascii="Calibri" w:hAnsi="Calibri"/>
              </w:rPr>
            </w:pPr>
            <w:r w:rsidRPr="006E19C7">
              <w:rPr>
                <w:rFonts w:ascii="Calibri" w:hAnsi="Calibri"/>
              </w:rPr>
              <w:t>2.3%</w:t>
            </w:r>
          </w:p>
        </w:tc>
        <w:tc>
          <w:tcPr>
            <w:tcW w:w="623" w:type="pct"/>
            <w:shd w:val="clear" w:color="auto" w:fill="auto"/>
            <w:noWrap/>
            <w:vAlign w:val="bottom"/>
          </w:tcPr>
          <w:p w14:paraId="1E33CD00" w14:textId="77777777" w:rsidR="006B2325" w:rsidRPr="006E19C7" w:rsidRDefault="006B2325" w:rsidP="00CD1F63">
            <w:pPr>
              <w:jc w:val="center"/>
              <w:rPr>
                <w:rFonts w:ascii="Calibri" w:hAnsi="Calibri"/>
              </w:rPr>
            </w:pPr>
            <w:r w:rsidRPr="006E19C7">
              <w:rPr>
                <w:rFonts w:ascii="Calibri" w:hAnsi="Calibri"/>
              </w:rPr>
              <w:t>2.3%</w:t>
            </w:r>
          </w:p>
        </w:tc>
        <w:tc>
          <w:tcPr>
            <w:tcW w:w="610" w:type="pct"/>
            <w:shd w:val="clear" w:color="auto" w:fill="auto"/>
            <w:noWrap/>
            <w:vAlign w:val="bottom"/>
          </w:tcPr>
          <w:p w14:paraId="3DB4238E" w14:textId="77777777" w:rsidR="006B2325" w:rsidRPr="006E19C7" w:rsidRDefault="006B2325" w:rsidP="00CD1F63">
            <w:pPr>
              <w:jc w:val="center"/>
              <w:rPr>
                <w:rFonts w:ascii="Calibri" w:hAnsi="Calibri"/>
              </w:rPr>
            </w:pPr>
            <w:r w:rsidRPr="006E19C7">
              <w:rPr>
                <w:rFonts w:ascii="Calibri" w:hAnsi="Calibri"/>
              </w:rPr>
              <w:t>2.1%</w:t>
            </w:r>
          </w:p>
        </w:tc>
      </w:tr>
      <w:tr w:rsidR="006B2325" w:rsidRPr="006E19C7" w14:paraId="497C6AA9" w14:textId="77777777" w:rsidTr="001414FD">
        <w:trPr>
          <w:trHeight w:val="290"/>
          <w:jc w:val="center"/>
        </w:trPr>
        <w:tc>
          <w:tcPr>
            <w:tcW w:w="1267" w:type="pct"/>
            <w:shd w:val="clear" w:color="auto" w:fill="auto"/>
            <w:noWrap/>
          </w:tcPr>
          <w:p w14:paraId="15399911" w14:textId="77777777" w:rsidR="006B2325" w:rsidRPr="006E19C7" w:rsidRDefault="006B2325" w:rsidP="00CD1F63">
            <w:r w:rsidRPr="006E19C7">
              <w:t>Native American</w:t>
            </w:r>
          </w:p>
        </w:tc>
        <w:tc>
          <w:tcPr>
            <w:tcW w:w="630" w:type="pct"/>
            <w:shd w:val="clear" w:color="auto" w:fill="auto"/>
            <w:noWrap/>
            <w:vAlign w:val="bottom"/>
          </w:tcPr>
          <w:p w14:paraId="5DB1CE35" w14:textId="77777777" w:rsidR="006B2325" w:rsidRPr="006E19C7" w:rsidRDefault="006B2325" w:rsidP="00CD1F63">
            <w:pPr>
              <w:jc w:val="center"/>
              <w:rPr>
                <w:rFonts w:ascii="Calibri" w:hAnsi="Calibri"/>
              </w:rPr>
            </w:pPr>
            <w:r w:rsidRPr="006E19C7">
              <w:rPr>
                <w:rFonts w:ascii="Calibri" w:hAnsi="Calibri"/>
              </w:rPr>
              <w:t>0.3%</w:t>
            </w:r>
          </w:p>
        </w:tc>
        <w:tc>
          <w:tcPr>
            <w:tcW w:w="623" w:type="pct"/>
            <w:shd w:val="clear" w:color="auto" w:fill="auto"/>
            <w:noWrap/>
            <w:vAlign w:val="bottom"/>
          </w:tcPr>
          <w:p w14:paraId="10653C67" w14:textId="77777777" w:rsidR="006B2325" w:rsidRPr="006E19C7" w:rsidRDefault="006B2325" w:rsidP="00CD1F63">
            <w:pPr>
              <w:jc w:val="center"/>
              <w:rPr>
                <w:rFonts w:ascii="Calibri" w:hAnsi="Calibri"/>
              </w:rPr>
            </w:pPr>
            <w:r w:rsidRPr="006E19C7">
              <w:rPr>
                <w:rFonts w:ascii="Calibri" w:hAnsi="Calibri"/>
              </w:rPr>
              <w:t>0.4%</w:t>
            </w:r>
          </w:p>
        </w:tc>
        <w:tc>
          <w:tcPr>
            <w:tcW w:w="624" w:type="pct"/>
            <w:shd w:val="clear" w:color="auto" w:fill="auto"/>
            <w:noWrap/>
            <w:vAlign w:val="bottom"/>
          </w:tcPr>
          <w:p w14:paraId="0169C24F" w14:textId="77777777" w:rsidR="006B2325" w:rsidRPr="006E19C7" w:rsidRDefault="006B2325" w:rsidP="00CD1F63">
            <w:pPr>
              <w:jc w:val="center"/>
              <w:rPr>
                <w:rFonts w:ascii="Calibri" w:hAnsi="Calibri"/>
              </w:rPr>
            </w:pPr>
            <w:r w:rsidRPr="006E19C7">
              <w:rPr>
                <w:rFonts w:ascii="Calibri" w:hAnsi="Calibri"/>
              </w:rPr>
              <w:t>0.5%</w:t>
            </w:r>
          </w:p>
        </w:tc>
        <w:tc>
          <w:tcPr>
            <w:tcW w:w="623" w:type="pct"/>
            <w:shd w:val="clear" w:color="auto" w:fill="auto"/>
            <w:noWrap/>
            <w:vAlign w:val="bottom"/>
          </w:tcPr>
          <w:p w14:paraId="04C2EF47" w14:textId="77777777" w:rsidR="006B2325" w:rsidRPr="006E19C7" w:rsidRDefault="006B2325" w:rsidP="00CD1F63">
            <w:pPr>
              <w:jc w:val="center"/>
              <w:rPr>
                <w:rFonts w:ascii="Calibri" w:hAnsi="Calibri"/>
              </w:rPr>
            </w:pPr>
            <w:r w:rsidRPr="006E19C7">
              <w:rPr>
                <w:rFonts w:ascii="Calibri" w:hAnsi="Calibri"/>
              </w:rPr>
              <w:t>0.6%</w:t>
            </w:r>
          </w:p>
        </w:tc>
        <w:tc>
          <w:tcPr>
            <w:tcW w:w="623" w:type="pct"/>
            <w:shd w:val="clear" w:color="auto" w:fill="auto"/>
            <w:noWrap/>
            <w:vAlign w:val="bottom"/>
          </w:tcPr>
          <w:p w14:paraId="5FE0030D" w14:textId="77777777" w:rsidR="006B2325" w:rsidRPr="006E19C7" w:rsidRDefault="006B2325" w:rsidP="00CD1F63">
            <w:pPr>
              <w:jc w:val="center"/>
              <w:rPr>
                <w:rFonts w:ascii="Calibri" w:hAnsi="Calibri"/>
              </w:rPr>
            </w:pPr>
            <w:r w:rsidRPr="006E19C7">
              <w:rPr>
                <w:rFonts w:ascii="Calibri" w:hAnsi="Calibri"/>
              </w:rPr>
              <w:t>0.5%</w:t>
            </w:r>
          </w:p>
        </w:tc>
        <w:tc>
          <w:tcPr>
            <w:tcW w:w="610" w:type="pct"/>
            <w:shd w:val="clear" w:color="auto" w:fill="auto"/>
            <w:noWrap/>
            <w:vAlign w:val="bottom"/>
          </w:tcPr>
          <w:p w14:paraId="08F210D5" w14:textId="77777777" w:rsidR="006B2325" w:rsidRPr="006E19C7" w:rsidRDefault="006B2325" w:rsidP="00CD1F63">
            <w:pPr>
              <w:jc w:val="center"/>
              <w:rPr>
                <w:rFonts w:ascii="Calibri" w:hAnsi="Calibri"/>
              </w:rPr>
            </w:pPr>
            <w:r w:rsidRPr="006E19C7">
              <w:rPr>
                <w:rFonts w:ascii="Calibri" w:hAnsi="Calibri"/>
              </w:rPr>
              <w:t>0.5%</w:t>
            </w:r>
          </w:p>
        </w:tc>
      </w:tr>
      <w:tr w:rsidR="006B2325" w:rsidRPr="006E19C7" w14:paraId="28D65E79" w14:textId="77777777" w:rsidTr="001414FD">
        <w:trPr>
          <w:trHeight w:val="290"/>
          <w:jc w:val="center"/>
        </w:trPr>
        <w:tc>
          <w:tcPr>
            <w:tcW w:w="1267" w:type="pct"/>
            <w:shd w:val="clear" w:color="auto" w:fill="auto"/>
            <w:noWrap/>
          </w:tcPr>
          <w:p w14:paraId="4514A079" w14:textId="77777777" w:rsidR="006B2325" w:rsidRPr="006E19C7" w:rsidRDefault="006B2325" w:rsidP="00CD1F63">
            <w:r w:rsidRPr="006E19C7">
              <w:t>Other</w:t>
            </w:r>
          </w:p>
        </w:tc>
        <w:tc>
          <w:tcPr>
            <w:tcW w:w="630" w:type="pct"/>
            <w:shd w:val="clear" w:color="auto" w:fill="auto"/>
            <w:noWrap/>
            <w:vAlign w:val="bottom"/>
          </w:tcPr>
          <w:p w14:paraId="435D1BF2" w14:textId="77777777" w:rsidR="006B2325" w:rsidRPr="006E19C7" w:rsidRDefault="006B2325" w:rsidP="00CD1F63">
            <w:pPr>
              <w:jc w:val="center"/>
              <w:rPr>
                <w:rFonts w:ascii="Calibri" w:hAnsi="Calibri"/>
              </w:rPr>
            </w:pPr>
            <w:r w:rsidRPr="006E19C7">
              <w:rPr>
                <w:rFonts w:ascii="Calibri" w:hAnsi="Calibri"/>
              </w:rPr>
              <w:t>1.9%</w:t>
            </w:r>
          </w:p>
        </w:tc>
        <w:tc>
          <w:tcPr>
            <w:tcW w:w="623" w:type="pct"/>
            <w:shd w:val="clear" w:color="auto" w:fill="auto"/>
            <w:noWrap/>
            <w:vAlign w:val="bottom"/>
          </w:tcPr>
          <w:p w14:paraId="0D35CFD5" w14:textId="77777777" w:rsidR="006B2325" w:rsidRPr="006E19C7" w:rsidRDefault="006B2325" w:rsidP="00CD1F63">
            <w:pPr>
              <w:jc w:val="center"/>
              <w:rPr>
                <w:rFonts w:ascii="Calibri" w:hAnsi="Calibri"/>
              </w:rPr>
            </w:pPr>
            <w:r w:rsidRPr="006E19C7">
              <w:rPr>
                <w:rFonts w:ascii="Calibri" w:hAnsi="Calibri"/>
              </w:rPr>
              <w:t>1.5%</w:t>
            </w:r>
          </w:p>
        </w:tc>
        <w:tc>
          <w:tcPr>
            <w:tcW w:w="624" w:type="pct"/>
            <w:shd w:val="clear" w:color="auto" w:fill="auto"/>
            <w:noWrap/>
            <w:vAlign w:val="bottom"/>
          </w:tcPr>
          <w:p w14:paraId="2248C2FC" w14:textId="77777777" w:rsidR="006B2325" w:rsidRPr="006E19C7" w:rsidRDefault="006B2325" w:rsidP="00CD1F63">
            <w:pPr>
              <w:jc w:val="center"/>
              <w:rPr>
                <w:rFonts w:ascii="Calibri" w:hAnsi="Calibri"/>
              </w:rPr>
            </w:pPr>
            <w:r w:rsidRPr="006E19C7">
              <w:rPr>
                <w:rFonts w:ascii="Calibri" w:hAnsi="Calibri"/>
              </w:rPr>
              <w:t>2.3%</w:t>
            </w:r>
          </w:p>
        </w:tc>
        <w:tc>
          <w:tcPr>
            <w:tcW w:w="623" w:type="pct"/>
            <w:shd w:val="clear" w:color="auto" w:fill="auto"/>
            <w:noWrap/>
            <w:vAlign w:val="bottom"/>
          </w:tcPr>
          <w:p w14:paraId="5DA5FF7A" w14:textId="77777777" w:rsidR="006B2325" w:rsidRPr="006E19C7" w:rsidRDefault="006B2325" w:rsidP="00CD1F63">
            <w:pPr>
              <w:jc w:val="center"/>
              <w:rPr>
                <w:rFonts w:ascii="Calibri" w:hAnsi="Calibri"/>
              </w:rPr>
            </w:pPr>
            <w:r w:rsidRPr="006E19C7">
              <w:rPr>
                <w:rFonts w:ascii="Calibri" w:hAnsi="Calibri"/>
              </w:rPr>
              <w:t>2.1%</w:t>
            </w:r>
          </w:p>
        </w:tc>
        <w:tc>
          <w:tcPr>
            <w:tcW w:w="623" w:type="pct"/>
            <w:shd w:val="clear" w:color="auto" w:fill="auto"/>
            <w:noWrap/>
            <w:vAlign w:val="bottom"/>
          </w:tcPr>
          <w:p w14:paraId="69B32B51" w14:textId="77777777" w:rsidR="006B2325" w:rsidRPr="006E19C7" w:rsidRDefault="006B2325" w:rsidP="00CD1F63">
            <w:pPr>
              <w:jc w:val="center"/>
              <w:rPr>
                <w:rFonts w:ascii="Calibri" w:hAnsi="Calibri"/>
              </w:rPr>
            </w:pPr>
            <w:r w:rsidRPr="006E19C7">
              <w:rPr>
                <w:rFonts w:ascii="Calibri" w:hAnsi="Calibri"/>
              </w:rPr>
              <w:t>2.6%</w:t>
            </w:r>
          </w:p>
        </w:tc>
        <w:tc>
          <w:tcPr>
            <w:tcW w:w="610" w:type="pct"/>
            <w:shd w:val="clear" w:color="auto" w:fill="auto"/>
            <w:noWrap/>
            <w:vAlign w:val="bottom"/>
          </w:tcPr>
          <w:p w14:paraId="02BD0786" w14:textId="77777777" w:rsidR="006B2325" w:rsidRPr="006E19C7" w:rsidRDefault="006B2325" w:rsidP="00CD1F63">
            <w:pPr>
              <w:jc w:val="center"/>
              <w:rPr>
                <w:rFonts w:ascii="Calibri" w:hAnsi="Calibri"/>
              </w:rPr>
            </w:pPr>
            <w:r w:rsidRPr="006E19C7">
              <w:rPr>
                <w:rFonts w:ascii="Calibri" w:hAnsi="Calibri"/>
              </w:rPr>
              <w:t>2.6%</w:t>
            </w:r>
          </w:p>
        </w:tc>
      </w:tr>
      <w:tr w:rsidR="006B2325" w:rsidRPr="006E19C7" w14:paraId="514BF7F7" w14:textId="77777777" w:rsidTr="001414FD">
        <w:trPr>
          <w:trHeight w:val="290"/>
          <w:jc w:val="center"/>
        </w:trPr>
        <w:tc>
          <w:tcPr>
            <w:tcW w:w="1267" w:type="pct"/>
            <w:shd w:val="clear" w:color="auto" w:fill="auto"/>
            <w:noWrap/>
          </w:tcPr>
          <w:p w14:paraId="42F303AD" w14:textId="77777777" w:rsidR="006B2325" w:rsidRPr="006E19C7" w:rsidRDefault="006B2325" w:rsidP="00CD1F63">
            <w:r w:rsidRPr="006E19C7">
              <w:t>Missing Race</w:t>
            </w:r>
          </w:p>
        </w:tc>
        <w:tc>
          <w:tcPr>
            <w:tcW w:w="630" w:type="pct"/>
            <w:shd w:val="clear" w:color="auto" w:fill="auto"/>
            <w:noWrap/>
            <w:vAlign w:val="bottom"/>
          </w:tcPr>
          <w:p w14:paraId="7FE0EBC5" w14:textId="77777777" w:rsidR="006B2325" w:rsidRPr="006E19C7" w:rsidRDefault="006B2325" w:rsidP="00CD1F63">
            <w:pPr>
              <w:jc w:val="center"/>
              <w:rPr>
                <w:rFonts w:ascii="Calibri" w:hAnsi="Calibri"/>
              </w:rPr>
            </w:pPr>
            <w:r w:rsidRPr="006E19C7">
              <w:rPr>
                <w:rFonts w:ascii="Calibri" w:hAnsi="Calibri"/>
              </w:rPr>
              <w:t>24.5%</w:t>
            </w:r>
          </w:p>
        </w:tc>
        <w:tc>
          <w:tcPr>
            <w:tcW w:w="623" w:type="pct"/>
            <w:shd w:val="clear" w:color="auto" w:fill="auto"/>
            <w:noWrap/>
            <w:vAlign w:val="bottom"/>
          </w:tcPr>
          <w:p w14:paraId="13134FA9" w14:textId="77777777" w:rsidR="006B2325" w:rsidRPr="006E19C7" w:rsidRDefault="006B2325" w:rsidP="00CD1F63">
            <w:pPr>
              <w:jc w:val="center"/>
              <w:rPr>
                <w:rFonts w:ascii="Calibri" w:hAnsi="Calibri"/>
              </w:rPr>
            </w:pPr>
            <w:r w:rsidRPr="006E19C7">
              <w:rPr>
                <w:rFonts w:ascii="Calibri" w:hAnsi="Calibri"/>
              </w:rPr>
              <w:t>23.6%</w:t>
            </w:r>
          </w:p>
        </w:tc>
        <w:tc>
          <w:tcPr>
            <w:tcW w:w="624" w:type="pct"/>
            <w:shd w:val="clear" w:color="auto" w:fill="auto"/>
            <w:noWrap/>
            <w:vAlign w:val="bottom"/>
          </w:tcPr>
          <w:p w14:paraId="48C8F869" w14:textId="77777777" w:rsidR="006B2325" w:rsidRPr="006E19C7" w:rsidRDefault="006B2325" w:rsidP="00CD1F63">
            <w:pPr>
              <w:jc w:val="center"/>
              <w:rPr>
                <w:rFonts w:ascii="Calibri" w:hAnsi="Calibri"/>
              </w:rPr>
            </w:pPr>
            <w:r w:rsidRPr="006E19C7">
              <w:rPr>
                <w:rFonts w:ascii="Calibri" w:hAnsi="Calibri"/>
              </w:rPr>
              <w:t>18.6%</w:t>
            </w:r>
          </w:p>
        </w:tc>
        <w:tc>
          <w:tcPr>
            <w:tcW w:w="623" w:type="pct"/>
            <w:shd w:val="clear" w:color="auto" w:fill="auto"/>
            <w:noWrap/>
            <w:vAlign w:val="bottom"/>
          </w:tcPr>
          <w:p w14:paraId="3D22CA6A" w14:textId="77777777" w:rsidR="006B2325" w:rsidRPr="006E19C7" w:rsidRDefault="006B2325" w:rsidP="00CD1F63">
            <w:pPr>
              <w:jc w:val="center"/>
              <w:rPr>
                <w:rFonts w:ascii="Calibri" w:hAnsi="Calibri"/>
              </w:rPr>
            </w:pPr>
            <w:r w:rsidRPr="006E19C7">
              <w:rPr>
                <w:rFonts w:ascii="Calibri" w:hAnsi="Calibri"/>
              </w:rPr>
              <w:t>10.8%</w:t>
            </w:r>
          </w:p>
        </w:tc>
        <w:tc>
          <w:tcPr>
            <w:tcW w:w="623" w:type="pct"/>
            <w:shd w:val="clear" w:color="auto" w:fill="auto"/>
            <w:noWrap/>
            <w:vAlign w:val="bottom"/>
          </w:tcPr>
          <w:p w14:paraId="1A7B3552" w14:textId="77777777" w:rsidR="006B2325" w:rsidRPr="006E19C7" w:rsidRDefault="006B2325" w:rsidP="00CD1F63">
            <w:pPr>
              <w:jc w:val="center"/>
              <w:rPr>
                <w:rFonts w:ascii="Calibri" w:hAnsi="Calibri"/>
              </w:rPr>
            </w:pPr>
            <w:r w:rsidRPr="006E19C7">
              <w:rPr>
                <w:rFonts w:ascii="Calibri" w:hAnsi="Calibri"/>
              </w:rPr>
              <w:t>4.7%</w:t>
            </w:r>
          </w:p>
        </w:tc>
        <w:tc>
          <w:tcPr>
            <w:tcW w:w="610" w:type="pct"/>
            <w:shd w:val="clear" w:color="auto" w:fill="auto"/>
            <w:noWrap/>
            <w:vAlign w:val="bottom"/>
          </w:tcPr>
          <w:p w14:paraId="7850DD70" w14:textId="77777777" w:rsidR="006B2325" w:rsidRPr="006E19C7" w:rsidRDefault="006B2325" w:rsidP="00CD1F63">
            <w:pPr>
              <w:jc w:val="center"/>
              <w:rPr>
                <w:rFonts w:ascii="Calibri" w:hAnsi="Calibri"/>
              </w:rPr>
            </w:pPr>
            <w:r w:rsidRPr="006E19C7">
              <w:rPr>
                <w:rFonts w:ascii="Calibri" w:hAnsi="Calibri"/>
              </w:rPr>
              <w:t>4.3%</w:t>
            </w:r>
          </w:p>
        </w:tc>
      </w:tr>
      <w:tr w:rsidR="006B2325" w:rsidRPr="006E19C7" w14:paraId="24254586" w14:textId="77777777" w:rsidTr="001414FD">
        <w:trPr>
          <w:trHeight w:val="290"/>
          <w:jc w:val="center"/>
        </w:trPr>
        <w:tc>
          <w:tcPr>
            <w:tcW w:w="1267" w:type="pct"/>
            <w:shd w:val="clear" w:color="auto" w:fill="auto"/>
            <w:noWrap/>
          </w:tcPr>
          <w:p w14:paraId="6A749652" w14:textId="77777777" w:rsidR="006B2325" w:rsidRPr="006E19C7" w:rsidRDefault="006B2325" w:rsidP="00CD1F63">
            <w:r w:rsidRPr="006E19C7">
              <w:t>Weekend admission</w:t>
            </w:r>
          </w:p>
        </w:tc>
        <w:tc>
          <w:tcPr>
            <w:tcW w:w="630" w:type="pct"/>
            <w:shd w:val="clear" w:color="auto" w:fill="auto"/>
            <w:noWrap/>
          </w:tcPr>
          <w:p w14:paraId="15B7AE98" w14:textId="77777777" w:rsidR="006B2325" w:rsidRPr="006E19C7" w:rsidRDefault="006B2325" w:rsidP="00CD1F63">
            <w:pPr>
              <w:jc w:val="center"/>
            </w:pPr>
            <w:r w:rsidRPr="006E19C7">
              <w:t>26.6%</w:t>
            </w:r>
          </w:p>
        </w:tc>
        <w:tc>
          <w:tcPr>
            <w:tcW w:w="623" w:type="pct"/>
            <w:shd w:val="clear" w:color="auto" w:fill="auto"/>
            <w:noWrap/>
          </w:tcPr>
          <w:p w14:paraId="370AE05F" w14:textId="77777777" w:rsidR="006B2325" w:rsidRPr="006E19C7" w:rsidRDefault="006B2325" w:rsidP="00CD1F63">
            <w:pPr>
              <w:jc w:val="center"/>
            </w:pPr>
            <w:r w:rsidRPr="006E19C7">
              <w:t>26.0%</w:t>
            </w:r>
          </w:p>
        </w:tc>
        <w:tc>
          <w:tcPr>
            <w:tcW w:w="624" w:type="pct"/>
            <w:shd w:val="clear" w:color="auto" w:fill="auto"/>
            <w:noWrap/>
          </w:tcPr>
          <w:p w14:paraId="549894F9" w14:textId="77777777" w:rsidR="006B2325" w:rsidRPr="006E19C7" w:rsidRDefault="006B2325" w:rsidP="00CD1F63">
            <w:pPr>
              <w:jc w:val="center"/>
            </w:pPr>
            <w:r w:rsidRPr="006E19C7">
              <w:t>27.2%</w:t>
            </w:r>
          </w:p>
        </w:tc>
        <w:tc>
          <w:tcPr>
            <w:tcW w:w="623" w:type="pct"/>
            <w:shd w:val="clear" w:color="auto" w:fill="auto"/>
            <w:noWrap/>
          </w:tcPr>
          <w:p w14:paraId="6FBF7BB0" w14:textId="77777777" w:rsidR="006B2325" w:rsidRPr="006E19C7" w:rsidRDefault="006B2325" w:rsidP="00CD1F63">
            <w:pPr>
              <w:jc w:val="center"/>
            </w:pPr>
            <w:r w:rsidRPr="006E19C7">
              <w:t>27.3%</w:t>
            </w:r>
          </w:p>
        </w:tc>
        <w:tc>
          <w:tcPr>
            <w:tcW w:w="623" w:type="pct"/>
            <w:shd w:val="clear" w:color="auto" w:fill="auto"/>
            <w:noWrap/>
          </w:tcPr>
          <w:p w14:paraId="2DAD4D85" w14:textId="77777777" w:rsidR="006B2325" w:rsidRPr="006E19C7" w:rsidRDefault="006B2325" w:rsidP="00CD1F63">
            <w:pPr>
              <w:jc w:val="center"/>
            </w:pPr>
            <w:r w:rsidRPr="006E19C7">
              <w:t>26.5%</w:t>
            </w:r>
          </w:p>
        </w:tc>
        <w:tc>
          <w:tcPr>
            <w:tcW w:w="610" w:type="pct"/>
            <w:shd w:val="clear" w:color="auto" w:fill="auto"/>
            <w:noWrap/>
          </w:tcPr>
          <w:p w14:paraId="148A993C" w14:textId="77777777" w:rsidR="006B2325" w:rsidRPr="006E19C7" w:rsidRDefault="006B2325" w:rsidP="00CD1F63">
            <w:pPr>
              <w:jc w:val="center"/>
            </w:pPr>
            <w:r w:rsidRPr="006E19C7">
              <w:t>26.9%</w:t>
            </w:r>
          </w:p>
        </w:tc>
      </w:tr>
      <w:tr w:rsidR="006B2325" w:rsidRPr="006E19C7" w14:paraId="491EB8F9" w14:textId="77777777" w:rsidTr="001414FD">
        <w:trPr>
          <w:trHeight w:val="290"/>
          <w:jc w:val="center"/>
        </w:trPr>
        <w:tc>
          <w:tcPr>
            <w:tcW w:w="1267" w:type="pct"/>
            <w:shd w:val="clear" w:color="auto" w:fill="auto"/>
            <w:noWrap/>
          </w:tcPr>
          <w:p w14:paraId="44E8FE65" w14:textId="77777777" w:rsidR="006B2325" w:rsidRPr="006E19C7" w:rsidRDefault="006B2325" w:rsidP="00CD1F63">
            <w:r w:rsidRPr="006E19C7">
              <w:t>Primary expected payer, %</w:t>
            </w:r>
          </w:p>
        </w:tc>
        <w:tc>
          <w:tcPr>
            <w:tcW w:w="630" w:type="pct"/>
            <w:shd w:val="clear" w:color="auto" w:fill="auto"/>
            <w:noWrap/>
          </w:tcPr>
          <w:p w14:paraId="397444EE" w14:textId="77777777" w:rsidR="006B2325" w:rsidRPr="006E19C7" w:rsidRDefault="006B2325" w:rsidP="00CD1F63">
            <w:pPr>
              <w:jc w:val="center"/>
            </w:pPr>
          </w:p>
        </w:tc>
        <w:tc>
          <w:tcPr>
            <w:tcW w:w="623" w:type="pct"/>
            <w:shd w:val="clear" w:color="auto" w:fill="auto"/>
            <w:noWrap/>
          </w:tcPr>
          <w:p w14:paraId="5B806E28" w14:textId="77777777" w:rsidR="006B2325" w:rsidRPr="006E19C7" w:rsidRDefault="006B2325" w:rsidP="00CD1F63">
            <w:pPr>
              <w:jc w:val="center"/>
            </w:pPr>
          </w:p>
        </w:tc>
        <w:tc>
          <w:tcPr>
            <w:tcW w:w="624" w:type="pct"/>
            <w:shd w:val="clear" w:color="auto" w:fill="auto"/>
            <w:noWrap/>
          </w:tcPr>
          <w:p w14:paraId="781E4389" w14:textId="77777777" w:rsidR="006B2325" w:rsidRPr="006E19C7" w:rsidRDefault="006B2325" w:rsidP="00CD1F63">
            <w:pPr>
              <w:jc w:val="center"/>
            </w:pPr>
          </w:p>
        </w:tc>
        <w:tc>
          <w:tcPr>
            <w:tcW w:w="623" w:type="pct"/>
            <w:shd w:val="clear" w:color="auto" w:fill="auto"/>
            <w:noWrap/>
          </w:tcPr>
          <w:p w14:paraId="117C0C9F" w14:textId="77777777" w:rsidR="006B2325" w:rsidRPr="006E19C7" w:rsidRDefault="006B2325" w:rsidP="00CD1F63">
            <w:pPr>
              <w:jc w:val="center"/>
            </w:pPr>
          </w:p>
        </w:tc>
        <w:tc>
          <w:tcPr>
            <w:tcW w:w="623" w:type="pct"/>
            <w:shd w:val="clear" w:color="auto" w:fill="auto"/>
            <w:noWrap/>
          </w:tcPr>
          <w:p w14:paraId="29BCE945" w14:textId="77777777" w:rsidR="006B2325" w:rsidRPr="006E19C7" w:rsidRDefault="006B2325" w:rsidP="00CD1F63">
            <w:pPr>
              <w:jc w:val="center"/>
            </w:pPr>
          </w:p>
        </w:tc>
        <w:tc>
          <w:tcPr>
            <w:tcW w:w="610" w:type="pct"/>
            <w:shd w:val="clear" w:color="auto" w:fill="auto"/>
            <w:noWrap/>
          </w:tcPr>
          <w:p w14:paraId="74E67B8D" w14:textId="77777777" w:rsidR="006B2325" w:rsidRPr="006E19C7" w:rsidRDefault="006B2325" w:rsidP="00CD1F63">
            <w:pPr>
              <w:jc w:val="center"/>
            </w:pPr>
          </w:p>
        </w:tc>
      </w:tr>
      <w:tr w:rsidR="006B2325" w:rsidRPr="006E19C7" w14:paraId="1317F3D4" w14:textId="77777777" w:rsidTr="001414FD">
        <w:trPr>
          <w:trHeight w:val="290"/>
          <w:jc w:val="center"/>
        </w:trPr>
        <w:tc>
          <w:tcPr>
            <w:tcW w:w="1267" w:type="pct"/>
            <w:shd w:val="clear" w:color="auto" w:fill="auto"/>
            <w:noWrap/>
          </w:tcPr>
          <w:p w14:paraId="3AAAFFE6" w14:textId="77777777" w:rsidR="006B2325" w:rsidRPr="006E19C7" w:rsidRDefault="006B2325" w:rsidP="00CD1F63">
            <w:r w:rsidRPr="006E19C7">
              <w:t>Medicare</w:t>
            </w:r>
          </w:p>
        </w:tc>
        <w:tc>
          <w:tcPr>
            <w:tcW w:w="630" w:type="pct"/>
            <w:shd w:val="clear" w:color="auto" w:fill="auto"/>
            <w:noWrap/>
          </w:tcPr>
          <w:p w14:paraId="4D27F36B" w14:textId="77777777" w:rsidR="006B2325" w:rsidRPr="006E19C7" w:rsidRDefault="006B2325" w:rsidP="00CD1F63">
            <w:pPr>
              <w:jc w:val="center"/>
            </w:pPr>
            <w:r w:rsidRPr="006E19C7">
              <w:t>68.6%</w:t>
            </w:r>
          </w:p>
        </w:tc>
        <w:tc>
          <w:tcPr>
            <w:tcW w:w="623" w:type="pct"/>
            <w:shd w:val="clear" w:color="auto" w:fill="auto"/>
            <w:noWrap/>
          </w:tcPr>
          <w:p w14:paraId="2069A099" w14:textId="77777777" w:rsidR="006B2325" w:rsidRPr="006E19C7" w:rsidRDefault="006B2325" w:rsidP="00CD1F63">
            <w:pPr>
              <w:jc w:val="center"/>
            </w:pPr>
            <w:r w:rsidRPr="006E19C7">
              <w:t>70.5%</w:t>
            </w:r>
          </w:p>
        </w:tc>
        <w:tc>
          <w:tcPr>
            <w:tcW w:w="624" w:type="pct"/>
            <w:shd w:val="clear" w:color="auto" w:fill="auto"/>
            <w:noWrap/>
          </w:tcPr>
          <w:p w14:paraId="123C885C" w14:textId="77777777" w:rsidR="006B2325" w:rsidRPr="006E19C7" w:rsidRDefault="006B2325" w:rsidP="00CD1F63">
            <w:pPr>
              <w:jc w:val="center"/>
            </w:pPr>
            <w:r w:rsidRPr="006E19C7">
              <w:t>72.0%</w:t>
            </w:r>
          </w:p>
        </w:tc>
        <w:tc>
          <w:tcPr>
            <w:tcW w:w="623" w:type="pct"/>
            <w:shd w:val="clear" w:color="auto" w:fill="auto"/>
            <w:noWrap/>
          </w:tcPr>
          <w:p w14:paraId="5FB73419" w14:textId="77777777" w:rsidR="006B2325" w:rsidRPr="006E19C7" w:rsidRDefault="006B2325" w:rsidP="00CD1F63">
            <w:pPr>
              <w:jc w:val="center"/>
            </w:pPr>
            <w:r w:rsidRPr="006E19C7">
              <w:t>72.9%</w:t>
            </w:r>
          </w:p>
        </w:tc>
        <w:tc>
          <w:tcPr>
            <w:tcW w:w="623" w:type="pct"/>
            <w:shd w:val="clear" w:color="auto" w:fill="auto"/>
            <w:noWrap/>
          </w:tcPr>
          <w:p w14:paraId="1FC60493" w14:textId="77777777" w:rsidR="006B2325" w:rsidRPr="006E19C7" w:rsidRDefault="006B2325" w:rsidP="00CD1F63">
            <w:pPr>
              <w:jc w:val="center"/>
            </w:pPr>
            <w:r w:rsidRPr="006E19C7">
              <w:t>75.1%</w:t>
            </w:r>
          </w:p>
        </w:tc>
        <w:tc>
          <w:tcPr>
            <w:tcW w:w="610" w:type="pct"/>
            <w:shd w:val="clear" w:color="auto" w:fill="auto"/>
            <w:noWrap/>
          </w:tcPr>
          <w:p w14:paraId="405EE22F" w14:textId="77777777" w:rsidR="006B2325" w:rsidRPr="006E19C7" w:rsidRDefault="006B2325" w:rsidP="00CD1F63">
            <w:pPr>
              <w:jc w:val="center"/>
            </w:pPr>
            <w:r w:rsidRPr="006E19C7">
              <w:t>74.4%</w:t>
            </w:r>
          </w:p>
        </w:tc>
      </w:tr>
      <w:tr w:rsidR="006B2325" w:rsidRPr="006E19C7" w14:paraId="74B953BE" w14:textId="77777777" w:rsidTr="001414FD">
        <w:trPr>
          <w:trHeight w:val="290"/>
          <w:jc w:val="center"/>
        </w:trPr>
        <w:tc>
          <w:tcPr>
            <w:tcW w:w="1267" w:type="pct"/>
            <w:shd w:val="clear" w:color="auto" w:fill="auto"/>
            <w:noWrap/>
          </w:tcPr>
          <w:p w14:paraId="18F1BBD3" w14:textId="77777777" w:rsidR="006B2325" w:rsidRPr="006E19C7" w:rsidRDefault="006B2325" w:rsidP="00CD1F63">
            <w:r w:rsidRPr="006E19C7">
              <w:t>Medicaid</w:t>
            </w:r>
          </w:p>
        </w:tc>
        <w:tc>
          <w:tcPr>
            <w:tcW w:w="630" w:type="pct"/>
            <w:shd w:val="clear" w:color="auto" w:fill="auto"/>
            <w:noWrap/>
          </w:tcPr>
          <w:p w14:paraId="0CBF3CC9" w14:textId="77777777" w:rsidR="006B2325" w:rsidRPr="006E19C7" w:rsidRDefault="006B2325" w:rsidP="00CD1F63">
            <w:pPr>
              <w:jc w:val="center"/>
            </w:pPr>
            <w:r w:rsidRPr="006E19C7">
              <w:t>6.0%</w:t>
            </w:r>
          </w:p>
        </w:tc>
        <w:tc>
          <w:tcPr>
            <w:tcW w:w="623" w:type="pct"/>
            <w:shd w:val="clear" w:color="auto" w:fill="auto"/>
            <w:noWrap/>
          </w:tcPr>
          <w:p w14:paraId="4BBF0F20" w14:textId="77777777" w:rsidR="006B2325" w:rsidRPr="006E19C7" w:rsidRDefault="006B2325" w:rsidP="00CD1F63">
            <w:pPr>
              <w:jc w:val="center"/>
            </w:pPr>
            <w:r w:rsidRPr="006E19C7">
              <w:t>5.2%</w:t>
            </w:r>
          </w:p>
        </w:tc>
        <w:tc>
          <w:tcPr>
            <w:tcW w:w="624" w:type="pct"/>
            <w:shd w:val="clear" w:color="auto" w:fill="auto"/>
            <w:noWrap/>
          </w:tcPr>
          <w:p w14:paraId="47DBF63D" w14:textId="77777777" w:rsidR="006B2325" w:rsidRPr="006E19C7" w:rsidRDefault="006B2325" w:rsidP="00CD1F63">
            <w:pPr>
              <w:jc w:val="center"/>
            </w:pPr>
            <w:r w:rsidRPr="006E19C7">
              <w:t>5.5%</w:t>
            </w:r>
          </w:p>
        </w:tc>
        <w:tc>
          <w:tcPr>
            <w:tcW w:w="623" w:type="pct"/>
            <w:shd w:val="clear" w:color="auto" w:fill="auto"/>
            <w:noWrap/>
          </w:tcPr>
          <w:p w14:paraId="0EDF8B62" w14:textId="77777777" w:rsidR="006B2325" w:rsidRPr="006E19C7" w:rsidRDefault="006B2325" w:rsidP="00CD1F63">
            <w:pPr>
              <w:jc w:val="center"/>
            </w:pPr>
            <w:r w:rsidRPr="006E19C7">
              <w:t>5.8%</w:t>
            </w:r>
          </w:p>
        </w:tc>
        <w:tc>
          <w:tcPr>
            <w:tcW w:w="623" w:type="pct"/>
            <w:shd w:val="clear" w:color="auto" w:fill="auto"/>
            <w:noWrap/>
          </w:tcPr>
          <w:p w14:paraId="72FFD21B" w14:textId="77777777" w:rsidR="006B2325" w:rsidRPr="006E19C7" w:rsidRDefault="006B2325" w:rsidP="00CD1F63">
            <w:pPr>
              <w:jc w:val="center"/>
            </w:pPr>
            <w:r w:rsidRPr="006E19C7">
              <w:t>6.1%</w:t>
            </w:r>
          </w:p>
        </w:tc>
        <w:tc>
          <w:tcPr>
            <w:tcW w:w="610" w:type="pct"/>
            <w:shd w:val="clear" w:color="auto" w:fill="auto"/>
            <w:noWrap/>
          </w:tcPr>
          <w:p w14:paraId="4B436CFF" w14:textId="77777777" w:rsidR="006B2325" w:rsidRPr="006E19C7" w:rsidRDefault="006B2325" w:rsidP="00CD1F63">
            <w:pPr>
              <w:jc w:val="center"/>
            </w:pPr>
            <w:r w:rsidRPr="006E19C7">
              <w:t>7.5%</w:t>
            </w:r>
          </w:p>
        </w:tc>
      </w:tr>
      <w:tr w:rsidR="006B2325" w:rsidRPr="006E19C7" w14:paraId="2DCBF853" w14:textId="77777777" w:rsidTr="001414FD">
        <w:trPr>
          <w:trHeight w:val="290"/>
          <w:jc w:val="center"/>
        </w:trPr>
        <w:tc>
          <w:tcPr>
            <w:tcW w:w="1267" w:type="pct"/>
            <w:shd w:val="clear" w:color="auto" w:fill="auto"/>
            <w:noWrap/>
          </w:tcPr>
          <w:p w14:paraId="04CE8974" w14:textId="77777777" w:rsidR="006B2325" w:rsidRPr="006E19C7" w:rsidRDefault="006B2325" w:rsidP="00CD1F63">
            <w:r w:rsidRPr="006E19C7">
              <w:t>Private Insurance</w:t>
            </w:r>
          </w:p>
        </w:tc>
        <w:tc>
          <w:tcPr>
            <w:tcW w:w="630" w:type="pct"/>
            <w:shd w:val="clear" w:color="auto" w:fill="auto"/>
            <w:noWrap/>
          </w:tcPr>
          <w:p w14:paraId="027BCA23" w14:textId="77777777" w:rsidR="006B2325" w:rsidRPr="006E19C7" w:rsidRDefault="006B2325" w:rsidP="00CD1F63">
            <w:pPr>
              <w:jc w:val="center"/>
            </w:pPr>
            <w:r w:rsidRPr="006E19C7">
              <w:t>19.4%</w:t>
            </w:r>
          </w:p>
        </w:tc>
        <w:tc>
          <w:tcPr>
            <w:tcW w:w="623" w:type="pct"/>
            <w:shd w:val="clear" w:color="auto" w:fill="auto"/>
            <w:noWrap/>
          </w:tcPr>
          <w:p w14:paraId="26D8D8FD" w14:textId="77777777" w:rsidR="006B2325" w:rsidRPr="006E19C7" w:rsidRDefault="006B2325" w:rsidP="00CD1F63">
            <w:pPr>
              <w:jc w:val="center"/>
            </w:pPr>
            <w:r w:rsidRPr="006E19C7">
              <w:t>18.2%</w:t>
            </w:r>
          </w:p>
        </w:tc>
        <w:tc>
          <w:tcPr>
            <w:tcW w:w="624" w:type="pct"/>
            <w:shd w:val="clear" w:color="auto" w:fill="auto"/>
            <w:noWrap/>
          </w:tcPr>
          <w:p w14:paraId="4060BECF" w14:textId="77777777" w:rsidR="006B2325" w:rsidRPr="006E19C7" w:rsidRDefault="006B2325" w:rsidP="00CD1F63">
            <w:pPr>
              <w:jc w:val="center"/>
            </w:pPr>
            <w:r w:rsidRPr="006E19C7">
              <w:t>17.1%</w:t>
            </w:r>
          </w:p>
        </w:tc>
        <w:tc>
          <w:tcPr>
            <w:tcW w:w="623" w:type="pct"/>
            <w:shd w:val="clear" w:color="auto" w:fill="auto"/>
            <w:noWrap/>
          </w:tcPr>
          <w:p w14:paraId="3650CDF2" w14:textId="77777777" w:rsidR="006B2325" w:rsidRPr="006E19C7" w:rsidRDefault="006B2325" w:rsidP="00CD1F63">
            <w:pPr>
              <w:jc w:val="center"/>
            </w:pPr>
            <w:r w:rsidRPr="006E19C7">
              <w:t>15.1%</w:t>
            </w:r>
          </w:p>
        </w:tc>
        <w:tc>
          <w:tcPr>
            <w:tcW w:w="623" w:type="pct"/>
            <w:shd w:val="clear" w:color="auto" w:fill="auto"/>
            <w:noWrap/>
          </w:tcPr>
          <w:p w14:paraId="041F528D" w14:textId="77777777" w:rsidR="006B2325" w:rsidRPr="006E19C7" w:rsidRDefault="006B2325" w:rsidP="00CD1F63">
            <w:pPr>
              <w:jc w:val="center"/>
            </w:pPr>
            <w:r w:rsidRPr="006E19C7">
              <w:t>13.0%</w:t>
            </w:r>
          </w:p>
        </w:tc>
        <w:tc>
          <w:tcPr>
            <w:tcW w:w="610" w:type="pct"/>
            <w:shd w:val="clear" w:color="auto" w:fill="auto"/>
            <w:noWrap/>
          </w:tcPr>
          <w:p w14:paraId="056FD1B0" w14:textId="77777777" w:rsidR="006B2325" w:rsidRPr="006E19C7" w:rsidRDefault="006B2325" w:rsidP="00CD1F63">
            <w:pPr>
              <w:jc w:val="center"/>
            </w:pPr>
            <w:r w:rsidRPr="006E19C7">
              <w:t>13.3%</w:t>
            </w:r>
          </w:p>
        </w:tc>
      </w:tr>
      <w:tr w:rsidR="006B2325" w:rsidRPr="006E19C7" w14:paraId="35EDA276" w14:textId="77777777" w:rsidTr="001414FD">
        <w:trPr>
          <w:trHeight w:val="290"/>
          <w:jc w:val="center"/>
        </w:trPr>
        <w:tc>
          <w:tcPr>
            <w:tcW w:w="1267" w:type="pct"/>
            <w:shd w:val="clear" w:color="auto" w:fill="auto"/>
            <w:noWrap/>
          </w:tcPr>
          <w:p w14:paraId="05024227" w14:textId="77777777" w:rsidR="006B2325" w:rsidRPr="006E19C7" w:rsidRDefault="006B2325" w:rsidP="00CD1F63">
            <w:r w:rsidRPr="006E19C7">
              <w:t>Self-pay</w:t>
            </w:r>
          </w:p>
        </w:tc>
        <w:tc>
          <w:tcPr>
            <w:tcW w:w="630" w:type="pct"/>
            <w:shd w:val="clear" w:color="auto" w:fill="auto"/>
            <w:noWrap/>
          </w:tcPr>
          <w:p w14:paraId="42B075E9" w14:textId="77777777" w:rsidR="006B2325" w:rsidRPr="006E19C7" w:rsidRDefault="006B2325" w:rsidP="00CD1F63">
            <w:pPr>
              <w:jc w:val="center"/>
            </w:pPr>
            <w:r w:rsidRPr="006E19C7">
              <w:t>4.0%</w:t>
            </w:r>
          </w:p>
        </w:tc>
        <w:tc>
          <w:tcPr>
            <w:tcW w:w="623" w:type="pct"/>
            <w:shd w:val="clear" w:color="auto" w:fill="auto"/>
            <w:noWrap/>
          </w:tcPr>
          <w:p w14:paraId="7E706F62" w14:textId="77777777" w:rsidR="006B2325" w:rsidRPr="006E19C7" w:rsidRDefault="006B2325" w:rsidP="00CD1F63">
            <w:pPr>
              <w:jc w:val="center"/>
            </w:pPr>
            <w:r w:rsidRPr="006E19C7">
              <w:t>4.0%</w:t>
            </w:r>
          </w:p>
        </w:tc>
        <w:tc>
          <w:tcPr>
            <w:tcW w:w="624" w:type="pct"/>
            <w:shd w:val="clear" w:color="auto" w:fill="auto"/>
            <w:noWrap/>
          </w:tcPr>
          <w:p w14:paraId="27662211" w14:textId="77777777" w:rsidR="006B2325" w:rsidRPr="006E19C7" w:rsidRDefault="006B2325" w:rsidP="00CD1F63">
            <w:pPr>
              <w:jc w:val="center"/>
            </w:pPr>
            <w:r w:rsidRPr="006E19C7">
              <w:t>3.1%</w:t>
            </w:r>
          </w:p>
        </w:tc>
        <w:tc>
          <w:tcPr>
            <w:tcW w:w="623" w:type="pct"/>
            <w:shd w:val="clear" w:color="auto" w:fill="auto"/>
            <w:noWrap/>
          </w:tcPr>
          <w:p w14:paraId="6BE658B4" w14:textId="77777777" w:rsidR="006B2325" w:rsidRPr="006E19C7" w:rsidRDefault="006B2325" w:rsidP="00CD1F63">
            <w:pPr>
              <w:jc w:val="center"/>
            </w:pPr>
            <w:r w:rsidRPr="006E19C7">
              <w:t>3.7%</w:t>
            </w:r>
          </w:p>
        </w:tc>
        <w:tc>
          <w:tcPr>
            <w:tcW w:w="623" w:type="pct"/>
            <w:shd w:val="clear" w:color="auto" w:fill="auto"/>
            <w:noWrap/>
          </w:tcPr>
          <w:p w14:paraId="523C3663" w14:textId="77777777" w:rsidR="006B2325" w:rsidRPr="006E19C7" w:rsidRDefault="006B2325" w:rsidP="00CD1F63">
            <w:pPr>
              <w:jc w:val="center"/>
            </w:pPr>
            <w:r w:rsidRPr="006E19C7">
              <w:t>3.6%</w:t>
            </w:r>
          </w:p>
        </w:tc>
        <w:tc>
          <w:tcPr>
            <w:tcW w:w="610" w:type="pct"/>
            <w:shd w:val="clear" w:color="auto" w:fill="auto"/>
            <w:noWrap/>
          </w:tcPr>
          <w:p w14:paraId="60EB1767" w14:textId="77777777" w:rsidR="006B2325" w:rsidRPr="006E19C7" w:rsidRDefault="006B2325" w:rsidP="00CD1F63">
            <w:pPr>
              <w:jc w:val="center"/>
            </w:pPr>
            <w:r w:rsidRPr="006E19C7">
              <w:t>2.8%</w:t>
            </w:r>
          </w:p>
        </w:tc>
      </w:tr>
      <w:tr w:rsidR="006B2325" w:rsidRPr="006E19C7" w14:paraId="74415EEC" w14:textId="77777777" w:rsidTr="001414FD">
        <w:trPr>
          <w:trHeight w:val="290"/>
          <w:jc w:val="center"/>
        </w:trPr>
        <w:tc>
          <w:tcPr>
            <w:tcW w:w="1267" w:type="pct"/>
            <w:shd w:val="clear" w:color="auto" w:fill="auto"/>
            <w:noWrap/>
          </w:tcPr>
          <w:p w14:paraId="787E4CC0" w14:textId="77777777" w:rsidR="006B2325" w:rsidRPr="006E19C7" w:rsidRDefault="006B2325" w:rsidP="00CD1F63">
            <w:r w:rsidRPr="006E19C7">
              <w:t>No charge</w:t>
            </w:r>
          </w:p>
        </w:tc>
        <w:tc>
          <w:tcPr>
            <w:tcW w:w="630" w:type="pct"/>
            <w:shd w:val="clear" w:color="auto" w:fill="auto"/>
            <w:noWrap/>
          </w:tcPr>
          <w:p w14:paraId="20535152" w14:textId="77777777" w:rsidR="006B2325" w:rsidRPr="006E19C7" w:rsidRDefault="006B2325" w:rsidP="00CD1F63">
            <w:pPr>
              <w:jc w:val="center"/>
            </w:pPr>
            <w:r w:rsidRPr="006E19C7">
              <w:t>0.3%</w:t>
            </w:r>
          </w:p>
        </w:tc>
        <w:tc>
          <w:tcPr>
            <w:tcW w:w="623" w:type="pct"/>
            <w:shd w:val="clear" w:color="auto" w:fill="auto"/>
            <w:noWrap/>
          </w:tcPr>
          <w:p w14:paraId="7E9CA598" w14:textId="77777777" w:rsidR="006B2325" w:rsidRPr="006E19C7" w:rsidRDefault="006B2325" w:rsidP="00CD1F63">
            <w:pPr>
              <w:jc w:val="center"/>
            </w:pPr>
            <w:r w:rsidRPr="006E19C7">
              <w:t>0.3%</w:t>
            </w:r>
          </w:p>
        </w:tc>
        <w:tc>
          <w:tcPr>
            <w:tcW w:w="624" w:type="pct"/>
            <w:shd w:val="clear" w:color="auto" w:fill="auto"/>
            <w:noWrap/>
          </w:tcPr>
          <w:p w14:paraId="6D21FF42" w14:textId="77777777" w:rsidR="006B2325" w:rsidRPr="006E19C7" w:rsidRDefault="006B2325" w:rsidP="00CD1F63">
            <w:pPr>
              <w:jc w:val="center"/>
            </w:pPr>
            <w:r w:rsidRPr="006E19C7">
              <w:t>0.2%</w:t>
            </w:r>
          </w:p>
        </w:tc>
        <w:tc>
          <w:tcPr>
            <w:tcW w:w="623" w:type="pct"/>
            <w:shd w:val="clear" w:color="auto" w:fill="auto"/>
            <w:noWrap/>
          </w:tcPr>
          <w:p w14:paraId="61FFE3BB" w14:textId="77777777" w:rsidR="006B2325" w:rsidRPr="006E19C7" w:rsidRDefault="006B2325" w:rsidP="00CD1F63">
            <w:pPr>
              <w:jc w:val="center"/>
            </w:pPr>
            <w:r w:rsidRPr="006E19C7">
              <w:t>0.4%</w:t>
            </w:r>
          </w:p>
        </w:tc>
        <w:tc>
          <w:tcPr>
            <w:tcW w:w="623" w:type="pct"/>
            <w:shd w:val="clear" w:color="auto" w:fill="auto"/>
            <w:noWrap/>
          </w:tcPr>
          <w:p w14:paraId="44A34FD5" w14:textId="77777777" w:rsidR="006B2325" w:rsidRPr="006E19C7" w:rsidRDefault="006B2325" w:rsidP="00CD1F63">
            <w:pPr>
              <w:jc w:val="center"/>
            </w:pPr>
            <w:r w:rsidRPr="006E19C7">
              <w:t>0.3%</w:t>
            </w:r>
          </w:p>
        </w:tc>
        <w:tc>
          <w:tcPr>
            <w:tcW w:w="610" w:type="pct"/>
            <w:shd w:val="clear" w:color="auto" w:fill="auto"/>
            <w:noWrap/>
          </w:tcPr>
          <w:p w14:paraId="075C1FEC" w14:textId="77777777" w:rsidR="006B2325" w:rsidRPr="006E19C7" w:rsidRDefault="006B2325" w:rsidP="00CD1F63">
            <w:pPr>
              <w:jc w:val="center"/>
            </w:pPr>
            <w:r w:rsidRPr="006E19C7">
              <w:t>0.3%</w:t>
            </w:r>
          </w:p>
        </w:tc>
      </w:tr>
      <w:tr w:rsidR="006B2325" w:rsidRPr="006E19C7" w14:paraId="71860BDB" w14:textId="77777777" w:rsidTr="001414FD">
        <w:trPr>
          <w:trHeight w:val="290"/>
          <w:jc w:val="center"/>
        </w:trPr>
        <w:tc>
          <w:tcPr>
            <w:tcW w:w="1267" w:type="pct"/>
            <w:shd w:val="clear" w:color="auto" w:fill="auto"/>
            <w:noWrap/>
          </w:tcPr>
          <w:p w14:paraId="0AE37ACD" w14:textId="77777777" w:rsidR="006B2325" w:rsidRPr="006E19C7" w:rsidRDefault="006B2325" w:rsidP="00CD1F63">
            <w:r w:rsidRPr="006E19C7">
              <w:t>other</w:t>
            </w:r>
          </w:p>
        </w:tc>
        <w:tc>
          <w:tcPr>
            <w:tcW w:w="630" w:type="pct"/>
            <w:shd w:val="clear" w:color="auto" w:fill="auto"/>
            <w:noWrap/>
          </w:tcPr>
          <w:p w14:paraId="53EAAFB6" w14:textId="77777777" w:rsidR="006B2325" w:rsidRPr="006E19C7" w:rsidRDefault="006B2325" w:rsidP="00CD1F63">
            <w:pPr>
              <w:jc w:val="center"/>
            </w:pPr>
            <w:r w:rsidRPr="006E19C7">
              <w:t>1.8%</w:t>
            </w:r>
          </w:p>
        </w:tc>
        <w:tc>
          <w:tcPr>
            <w:tcW w:w="623" w:type="pct"/>
            <w:shd w:val="clear" w:color="auto" w:fill="auto"/>
            <w:noWrap/>
          </w:tcPr>
          <w:p w14:paraId="266A8071" w14:textId="77777777" w:rsidR="006B2325" w:rsidRPr="006E19C7" w:rsidRDefault="006B2325" w:rsidP="00CD1F63">
            <w:pPr>
              <w:jc w:val="center"/>
            </w:pPr>
            <w:r w:rsidRPr="006E19C7">
              <w:t>1.8%</w:t>
            </w:r>
          </w:p>
        </w:tc>
        <w:tc>
          <w:tcPr>
            <w:tcW w:w="624" w:type="pct"/>
            <w:shd w:val="clear" w:color="auto" w:fill="auto"/>
            <w:noWrap/>
          </w:tcPr>
          <w:p w14:paraId="29E92ED9" w14:textId="77777777" w:rsidR="006B2325" w:rsidRPr="006E19C7" w:rsidRDefault="006B2325" w:rsidP="00CD1F63">
            <w:pPr>
              <w:jc w:val="center"/>
            </w:pPr>
            <w:r w:rsidRPr="006E19C7">
              <w:t>2.1%</w:t>
            </w:r>
          </w:p>
        </w:tc>
        <w:tc>
          <w:tcPr>
            <w:tcW w:w="623" w:type="pct"/>
            <w:shd w:val="clear" w:color="auto" w:fill="auto"/>
            <w:noWrap/>
          </w:tcPr>
          <w:p w14:paraId="1539B7D6" w14:textId="77777777" w:rsidR="006B2325" w:rsidRPr="006E19C7" w:rsidRDefault="006B2325" w:rsidP="00CD1F63">
            <w:pPr>
              <w:jc w:val="center"/>
            </w:pPr>
            <w:r w:rsidRPr="006E19C7">
              <w:t>2.0%</w:t>
            </w:r>
          </w:p>
        </w:tc>
        <w:tc>
          <w:tcPr>
            <w:tcW w:w="623" w:type="pct"/>
            <w:shd w:val="clear" w:color="auto" w:fill="auto"/>
            <w:noWrap/>
          </w:tcPr>
          <w:p w14:paraId="6EDFF791" w14:textId="77777777" w:rsidR="006B2325" w:rsidRPr="006E19C7" w:rsidRDefault="006B2325" w:rsidP="00CD1F63">
            <w:pPr>
              <w:jc w:val="center"/>
            </w:pPr>
            <w:r w:rsidRPr="006E19C7">
              <w:t>1.9%</w:t>
            </w:r>
          </w:p>
        </w:tc>
        <w:tc>
          <w:tcPr>
            <w:tcW w:w="610" w:type="pct"/>
            <w:shd w:val="clear" w:color="auto" w:fill="auto"/>
            <w:noWrap/>
          </w:tcPr>
          <w:p w14:paraId="4A747A56" w14:textId="77777777" w:rsidR="006B2325" w:rsidRPr="006E19C7" w:rsidRDefault="006B2325" w:rsidP="00CD1F63">
            <w:pPr>
              <w:jc w:val="center"/>
            </w:pPr>
            <w:r w:rsidRPr="006E19C7">
              <w:t>1.7%</w:t>
            </w:r>
          </w:p>
        </w:tc>
      </w:tr>
      <w:tr w:rsidR="006B2325" w:rsidRPr="006E19C7" w14:paraId="6A78E785" w14:textId="77777777" w:rsidTr="001414FD">
        <w:trPr>
          <w:trHeight w:val="290"/>
          <w:jc w:val="center"/>
        </w:trPr>
        <w:tc>
          <w:tcPr>
            <w:tcW w:w="1267" w:type="pct"/>
            <w:shd w:val="clear" w:color="auto" w:fill="auto"/>
            <w:noWrap/>
          </w:tcPr>
          <w:p w14:paraId="3E81CFDD" w14:textId="77777777" w:rsidR="006B2325" w:rsidRPr="006E19C7" w:rsidRDefault="006B2325" w:rsidP="00CD1F63">
            <w:r w:rsidRPr="006E19C7">
              <w:t>Median Household Income (percentile</w:t>
            </w:r>
          </w:p>
        </w:tc>
        <w:tc>
          <w:tcPr>
            <w:tcW w:w="630" w:type="pct"/>
            <w:shd w:val="clear" w:color="auto" w:fill="auto"/>
            <w:noWrap/>
          </w:tcPr>
          <w:p w14:paraId="15101C24" w14:textId="77777777" w:rsidR="006B2325" w:rsidRPr="006E19C7" w:rsidRDefault="006B2325" w:rsidP="00CD1F63">
            <w:pPr>
              <w:jc w:val="center"/>
            </w:pPr>
          </w:p>
        </w:tc>
        <w:tc>
          <w:tcPr>
            <w:tcW w:w="623" w:type="pct"/>
            <w:shd w:val="clear" w:color="auto" w:fill="auto"/>
            <w:noWrap/>
          </w:tcPr>
          <w:p w14:paraId="753A4EDD" w14:textId="77777777" w:rsidR="006B2325" w:rsidRPr="006E19C7" w:rsidRDefault="006B2325" w:rsidP="00CD1F63">
            <w:pPr>
              <w:jc w:val="center"/>
            </w:pPr>
          </w:p>
        </w:tc>
        <w:tc>
          <w:tcPr>
            <w:tcW w:w="624" w:type="pct"/>
            <w:shd w:val="clear" w:color="auto" w:fill="auto"/>
            <w:noWrap/>
          </w:tcPr>
          <w:p w14:paraId="1A392207" w14:textId="77777777" w:rsidR="006B2325" w:rsidRPr="006E19C7" w:rsidRDefault="006B2325" w:rsidP="00CD1F63">
            <w:pPr>
              <w:jc w:val="center"/>
            </w:pPr>
          </w:p>
        </w:tc>
        <w:tc>
          <w:tcPr>
            <w:tcW w:w="623" w:type="pct"/>
            <w:shd w:val="clear" w:color="auto" w:fill="auto"/>
            <w:noWrap/>
          </w:tcPr>
          <w:p w14:paraId="1CDB1F7B" w14:textId="77777777" w:rsidR="006B2325" w:rsidRPr="006E19C7" w:rsidRDefault="006B2325" w:rsidP="00CD1F63">
            <w:pPr>
              <w:jc w:val="center"/>
            </w:pPr>
          </w:p>
        </w:tc>
        <w:tc>
          <w:tcPr>
            <w:tcW w:w="623" w:type="pct"/>
            <w:shd w:val="clear" w:color="auto" w:fill="auto"/>
            <w:noWrap/>
          </w:tcPr>
          <w:p w14:paraId="27255BFC" w14:textId="77777777" w:rsidR="006B2325" w:rsidRPr="006E19C7" w:rsidRDefault="006B2325" w:rsidP="00CD1F63">
            <w:pPr>
              <w:jc w:val="center"/>
            </w:pPr>
          </w:p>
        </w:tc>
        <w:tc>
          <w:tcPr>
            <w:tcW w:w="610" w:type="pct"/>
            <w:shd w:val="clear" w:color="auto" w:fill="auto"/>
            <w:noWrap/>
          </w:tcPr>
          <w:p w14:paraId="3416D1BC" w14:textId="77777777" w:rsidR="006B2325" w:rsidRPr="006E19C7" w:rsidRDefault="006B2325" w:rsidP="00CD1F63">
            <w:pPr>
              <w:jc w:val="center"/>
            </w:pPr>
          </w:p>
        </w:tc>
      </w:tr>
      <w:tr w:rsidR="006B2325" w:rsidRPr="006E19C7" w14:paraId="171D87A7" w14:textId="77777777" w:rsidTr="001414FD">
        <w:trPr>
          <w:trHeight w:val="290"/>
          <w:jc w:val="center"/>
        </w:trPr>
        <w:tc>
          <w:tcPr>
            <w:tcW w:w="1267" w:type="pct"/>
            <w:shd w:val="clear" w:color="auto" w:fill="auto"/>
            <w:noWrap/>
          </w:tcPr>
          <w:p w14:paraId="3B56CB6F" w14:textId="77777777" w:rsidR="006B2325" w:rsidRPr="006E19C7" w:rsidRDefault="006B2325" w:rsidP="00CD1F63">
            <w:r w:rsidRPr="006E19C7">
              <w:t>0-25</w:t>
            </w:r>
            <w:r w:rsidRPr="006E19C7">
              <w:rPr>
                <w:vertAlign w:val="superscript"/>
              </w:rPr>
              <w:t>th</w:t>
            </w:r>
          </w:p>
        </w:tc>
        <w:tc>
          <w:tcPr>
            <w:tcW w:w="630" w:type="pct"/>
            <w:shd w:val="clear" w:color="auto" w:fill="auto"/>
            <w:noWrap/>
          </w:tcPr>
          <w:p w14:paraId="0BC72D4E" w14:textId="77777777" w:rsidR="006B2325" w:rsidRPr="006E19C7" w:rsidRDefault="006B2325" w:rsidP="00CD1F63">
            <w:pPr>
              <w:jc w:val="center"/>
            </w:pPr>
            <w:r w:rsidRPr="006E19C7">
              <w:t>31.1%</w:t>
            </w:r>
          </w:p>
        </w:tc>
        <w:tc>
          <w:tcPr>
            <w:tcW w:w="623" w:type="pct"/>
            <w:shd w:val="clear" w:color="auto" w:fill="auto"/>
            <w:noWrap/>
          </w:tcPr>
          <w:p w14:paraId="71637D13" w14:textId="77777777" w:rsidR="006B2325" w:rsidRPr="006E19C7" w:rsidRDefault="006B2325" w:rsidP="00CD1F63">
            <w:pPr>
              <w:jc w:val="center"/>
            </w:pPr>
            <w:r w:rsidRPr="006E19C7">
              <w:t>30.1%</w:t>
            </w:r>
          </w:p>
        </w:tc>
        <w:tc>
          <w:tcPr>
            <w:tcW w:w="624" w:type="pct"/>
            <w:shd w:val="clear" w:color="auto" w:fill="auto"/>
            <w:noWrap/>
          </w:tcPr>
          <w:p w14:paraId="06CDDECD" w14:textId="77777777" w:rsidR="006B2325" w:rsidRPr="006E19C7" w:rsidRDefault="006B2325" w:rsidP="00CD1F63">
            <w:pPr>
              <w:jc w:val="center"/>
            </w:pPr>
            <w:r w:rsidRPr="006E19C7">
              <w:t>28.9%</w:t>
            </w:r>
          </w:p>
        </w:tc>
        <w:tc>
          <w:tcPr>
            <w:tcW w:w="623" w:type="pct"/>
            <w:shd w:val="clear" w:color="auto" w:fill="auto"/>
            <w:noWrap/>
          </w:tcPr>
          <w:p w14:paraId="63737CA9" w14:textId="77777777" w:rsidR="006B2325" w:rsidRPr="006E19C7" w:rsidRDefault="006B2325" w:rsidP="00CD1F63">
            <w:pPr>
              <w:jc w:val="center"/>
            </w:pPr>
            <w:r w:rsidRPr="006E19C7">
              <w:t>30.5%</w:t>
            </w:r>
          </w:p>
        </w:tc>
        <w:tc>
          <w:tcPr>
            <w:tcW w:w="623" w:type="pct"/>
            <w:shd w:val="clear" w:color="auto" w:fill="auto"/>
            <w:noWrap/>
          </w:tcPr>
          <w:p w14:paraId="035B309D" w14:textId="77777777" w:rsidR="006B2325" w:rsidRPr="006E19C7" w:rsidRDefault="006B2325" w:rsidP="00CD1F63">
            <w:pPr>
              <w:jc w:val="center"/>
            </w:pPr>
            <w:r w:rsidRPr="006E19C7">
              <w:t>31.7%</w:t>
            </w:r>
          </w:p>
        </w:tc>
        <w:tc>
          <w:tcPr>
            <w:tcW w:w="610" w:type="pct"/>
            <w:shd w:val="clear" w:color="auto" w:fill="auto"/>
            <w:noWrap/>
          </w:tcPr>
          <w:p w14:paraId="1C6CDB15" w14:textId="77777777" w:rsidR="006B2325" w:rsidRPr="006E19C7" w:rsidRDefault="006B2325" w:rsidP="00CD1F63">
            <w:pPr>
              <w:jc w:val="center"/>
            </w:pPr>
            <w:r w:rsidRPr="006E19C7">
              <w:t>30.3%</w:t>
            </w:r>
          </w:p>
        </w:tc>
      </w:tr>
      <w:tr w:rsidR="006B2325" w:rsidRPr="006E19C7" w14:paraId="589F0DCA" w14:textId="77777777" w:rsidTr="001414FD">
        <w:trPr>
          <w:trHeight w:val="290"/>
          <w:jc w:val="center"/>
        </w:trPr>
        <w:tc>
          <w:tcPr>
            <w:tcW w:w="1267" w:type="pct"/>
            <w:shd w:val="clear" w:color="auto" w:fill="auto"/>
            <w:noWrap/>
          </w:tcPr>
          <w:p w14:paraId="62E9CF08" w14:textId="77777777" w:rsidR="006B2325" w:rsidRPr="006E19C7" w:rsidRDefault="006B2325" w:rsidP="00CD1F63">
            <w:r w:rsidRPr="006E19C7">
              <w:lastRenderedPageBreak/>
              <w:t>26-50</w:t>
            </w:r>
            <w:r w:rsidRPr="006E19C7">
              <w:rPr>
                <w:vertAlign w:val="superscript"/>
              </w:rPr>
              <w:t>th</w:t>
            </w:r>
          </w:p>
        </w:tc>
        <w:tc>
          <w:tcPr>
            <w:tcW w:w="630" w:type="pct"/>
            <w:shd w:val="clear" w:color="auto" w:fill="auto"/>
            <w:noWrap/>
          </w:tcPr>
          <w:p w14:paraId="3EB85D0B" w14:textId="77777777" w:rsidR="006B2325" w:rsidRPr="006E19C7" w:rsidRDefault="006B2325" w:rsidP="00CD1F63">
            <w:pPr>
              <w:jc w:val="center"/>
            </w:pPr>
            <w:r w:rsidRPr="006E19C7">
              <w:t>27.8%</w:t>
            </w:r>
          </w:p>
        </w:tc>
        <w:tc>
          <w:tcPr>
            <w:tcW w:w="623" w:type="pct"/>
            <w:shd w:val="clear" w:color="auto" w:fill="auto"/>
            <w:noWrap/>
          </w:tcPr>
          <w:p w14:paraId="539B5816" w14:textId="77777777" w:rsidR="006B2325" w:rsidRPr="006E19C7" w:rsidRDefault="006B2325" w:rsidP="00CD1F63">
            <w:pPr>
              <w:jc w:val="center"/>
            </w:pPr>
            <w:r w:rsidRPr="006E19C7">
              <w:t>26.7%</w:t>
            </w:r>
          </w:p>
        </w:tc>
        <w:tc>
          <w:tcPr>
            <w:tcW w:w="624" w:type="pct"/>
            <w:shd w:val="clear" w:color="auto" w:fill="auto"/>
            <w:noWrap/>
          </w:tcPr>
          <w:p w14:paraId="556F23E8" w14:textId="77777777" w:rsidR="006B2325" w:rsidRPr="006E19C7" w:rsidRDefault="006B2325" w:rsidP="00CD1F63">
            <w:pPr>
              <w:jc w:val="center"/>
            </w:pPr>
            <w:r w:rsidRPr="006E19C7">
              <w:t>28.5%</w:t>
            </w:r>
          </w:p>
        </w:tc>
        <w:tc>
          <w:tcPr>
            <w:tcW w:w="623" w:type="pct"/>
            <w:shd w:val="clear" w:color="auto" w:fill="auto"/>
            <w:noWrap/>
          </w:tcPr>
          <w:p w14:paraId="4E88EE4A" w14:textId="77777777" w:rsidR="006B2325" w:rsidRPr="006E19C7" w:rsidRDefault="006B2325" w:rsidP="00CD1F63">
            <w:pPr>
              <w:jc w:val="center"/>
            </w:pPr>
            <w:r w:rsidRPr="006E19C7">
              <w:t>26.9%</w:t>
            </w:r>
          </w:p>
        </w:tc>
        <w:tc>
          <w:tcPr>
            <w:tcW w:w="623" w:type="pct"/>
            <w:shd w:val="clear" w:color="auto" w:fill="auto"/>
            <w:noWrap/>
          </w:tcPr>
          <w:p w14:paraId="55FDFE7F" w14:textId="77777777" w:rsidR="006B2325" w:rsidRPr="006E19C7" w:rsidRDefault="006B2325" w:rsidP="00CD1F63">
            <w:pPr>
              <w:jc w:val="center"/>
            </w:pPr>
            <w:r w:rsidRPr="006E19C7">
              <w:t>25.6%</w:t>
            </w:r>
          </w:p>
        </w:tc>
        <w:tc>
          <w:tcPr>
            <w:tcW w:w="610" w:type="pct"/>
            <w:shd w:val="clear" w:color="auto" w:fill="auto"/>
            <w:noWrap/>
          </w:tcPr>
          <w:p w14:paraId="3C926E52" w14:textId="77777777" w:rsidR="006B2325" w:rsidRPr="006E19C7" w:rsidRDefault="006B2325" w:rsidP="00CD1F63">
            <w:pPr>
              <w:jc w:val="center"/>
            </w:pPr>
            <w:r w:rsidRPr="006E19C7">
              <w:t>27.0%</w:t>
            </w:r>
          </w:p>
        </w:tc>
      </w:tr>
      <w:tr w:rsidR="006B2325" w:rsidRPr="006E19C7" w14:paraId="7059C4C1" w14:textId="77777777" w:rsidTr="001414FD">
        <w:trPr>
          <w:trHeight w:val="290"/>
          <w:jc w:val="center"/>
        </w:trPr>
        <w:tc>
          <w:tcPr>
            <w:tcW w:w="1267" w:type="pct"/>
            <w:shd w:val="clear" w:color="auto" w:fill="auto"/>
            <w:noWrap/>
          </w:tcPr>
          <w:p w14:paraId="68E0DB97" w14:textId="77777777" w:rsidR="006B2325" w:rsidRPr="006E19C7" w:rsidRDefault="006B2325" w:rsidP="00CD1F63">
            <w:r w:rsidRPr="006E19C7">
              <w:t>51-75</w:t>
            </w:r>
            <w:r w:rsidRPr="006E19C7">
              <w:rPr>
                <w:vertAlign w:val="superscript"/>
              </w:rPr>
              <w:t>th</w:t>
            </w:r>
          </w:p>
        </w:tc>
        <w:tc>
          <w:tcPr>
            <w:tcW w:w="630" w:type="pct"/>
            <w:shd w:val="clear" w:color="auto" w:fill="auto"/>
            <w:noWrap/>
          </w:tcPr>
          <w:p w14:paraId="15552E90" w14:textId="77777777" w:rsidR="006B2325" w:rsidRPr="006E19C7" w:rsidRDefault="006B2325" w:rsidP="00CD1F63">
            <w:pPr>
              <w:jc w:val="center"/>
            </w:pPr>
            <w:r w:rsidRPr="006E19C7">
              <w:t>21.2%</w:t>
            </w:r>
          </w:p>
        </w:tc>
        <w:tc>
          <w:tcPr>
            <w:tcW w:w="623" w:type="pct"/>
            <w:shd w:val="clear" w:color="auto" w:fill="auto"/>
            <w:noWrap/>
          </w:tcPr>
          <w:p w14:paraId="02E315D8" w14:textId="77777777" w:rsidR="006B2325" w:rsidRPr="006E19C7" w:rsidRDefault="006B2325" w:rsidP="00CD1F63">
            <w:pPr>
              <w:jc w:val="center"/>
            </w:pPr>
            <w:r w:rsidRPr="006E19C7">
              <w:t>22.3%</w:t>
            </w:r>
          </w:p>
        </w:tc>
        <w:tc>
          <w:tcPr>
            <w:tcW w:w="624" w:type="pct"/>
            <w:shd w:val="clear" w:color="auto" w:fill="auto"/>
            <w:noWrap/>
          </w:tcPr>
          <w:p w14:paraId="3E08A070" w14:textId="77777777" w:rsidR="006B2325" w:rsidRPr="006E19C7" w:rsidRDefault="006B2325" w:rsidP="00CD1F63">
            <w:pPr>
              <w:jc w:val="center"/>
            </w:pPr>
            <w:r w:rsidRPr="006E19C7">
              <w:t>21.8%</w:t>
            </w:r>
          </w:p>
        </w:tc>
        <w:tc>
          <w:tcPr>
            <w:tcW w:w="623" w:type="pct"/>
            <w:shd w:val="clear" w:color="auto" w:fill="auto"/>
            <w:noWrap/>
          </w:tcPr>
          <w:p w14:paraId="4D1BAF1F" w14:textId="77777777" w:rsidR="006B2325" w:rsidRPr="006E19C7" w:rsidRDefault="006B2325" w:rsidP="00CD1F63">
            <w:pPr>
              <w:jc w:val="center"/>
            </w:pPr>
            <w:r w:rsidRPr="006E19C7">
              <w:t>23.2%</w:t>
            </w:r>
          </w:p>
        </w:tc>
        <w:tc>
          <w:tcPr>
            <w:tcW w:w="623" w:type="pct"/>
            <w:shd w:val="clear" w:color="auto" w:fill="auto"/>
            <w:noWrap/>
          </w:tcPr>
          <w:p w14:paraId="150D02EE" w14:textId="77777777" w:rsidR="006B2325" w:rsidRPr="006E19C7" w:rsidRDefault="006B2325" w:rsidP="00CD1F63">
            <w:pPr>
              <w:jc w:val="center"/>
            </w:pPr>
            <w:r w:rsidRPr="006E19C7">
              <w:t>22.6%</w:t>
            </w:r>
          </w:p>
        </w:tc>
        <w:tc>
          <w:tcPr>
            <w:tcW w:w="610" w:type="pct"/>
            <w:shd w:val="clear" w:color="auto" w:fill="auto"/>
            <w:noWrap/>
          </w:tcPr>
          <w:p w14:paraId="4C158345" w14:textId="77777777" w:rsidR="006B2325" w:rsidRPr="006E19C7" w:rsidRDefault="006B2325" w:rsidP="00CD1F63">
            <w:pPr>
              <w:jc w:val="center"/>
            </w:pPr>
            <w:r w:rsidRPr="006E19C7">
              <w:t>22.7%</w:t>
            </w:r>
          </w:p>
        </w:tc>
      </w:tr>
      <w:tr w:rsidR="006B2325" w:rsidRPr="006E19C7" w14:paraId="5FA05442" w14:textId="77777777" w:rsidTr="001414FD">
        <w:trPr>
          <w:trHeight w:val="290"/>
          <w:jc w:val="center"/>
        </w:trPr>
        <w:tc>
          <w:tcPr>
            <w:tcW w:w="1267" w:type="pct"/>
            <w:shd w:val="clear" w:color="auto" w:fill="auto"/>
            <w:noWrap/>
          </w:tcPr>
          <w:p w14:paraId="3EDE2663" w14:textId="77777777" w:rsidR="006B2325" w:rsidRPr="006E19C7" w:rsidRDefault="006B2325" w:rsidP="00CD1F63">
            <w:r w:rsidRPr="006E19C7">
              <w:t>76-100</w:t>
            </w:r>
            <w:r w:rsidRPr="006E19C7">
              <w:rPr>
                <w:vertAlign w:val="superscript"/>
              </w:rPr>
              <w:t>th</w:t>
            </w:r>
          </w:p>
        </w:tc>
        <w:tc>
          <w:tcPr>
            <w:tcW w:w="630" w:type="pct"/>
            <w:shd w:val="clear" w:color="auto" w:fill="auto"/>
            <w:noWrap/>
          </w:tcPr>
          <w:p w14:paraId="6B736A9F" w14:textId="77777777" w:rsidR="006B2325" w:rsidRPr="006E19C7" w:rsidRDefault="006B2325" w:rsidP="00CD1F63">
            <w:pPr>
              <w:jc w:val="center"/>
            </w:pPr>
            <w:r w:rsidRPr="006E19C7">
              <w:t>20.0%</w:t>
            </w:r>
          </w:p>
        </w:tc>
        <w:tc>
          <w:tcPr>
            <w:tcW w:w="623" w:type="pct"/>
            <w:shd w:val="clear" w:color="auto" w:fill="auto"/>
            <w:noWrap/>
          </w:tcPr>
          <w:p w14:paraId="13AB85C2" w14:textId="77777777" w:rsidR="006B2325" w:rsidRPr="006E19C7" w:rsidRDefault="006B2325" w:rsidP="00CD1F63">
            <w:pPr>
              <w:jc w:val="center"/>
            </w:pPr>
            <w:r w:rsidRPr="006E19C7">
              <w:t>20.9%</w:t>
            </w:r>
          </w:p>
        </w:tc>
        <w:tc>
          <w:tcPr>
            <w:tcW w:w="624" w:type="pct"/>
            <w:shd w:val="clear" w:color="auto" w:fill="auto"/>
            <w:noWrap/>
          </w:tcPr>
          <w:p w14:paraId="7DB15B31" w14:textId="77777777" w:rsidR="006B2325" w:rsidRPr="006E19C7" w:rsidRDefault="006B2325" w:rsidP="00CD1F63">
            <w:pPr>
              <w:jc w:val="center"/>
            </w:pPr>
            <w:r w:rsidRPr="006E19C7">
              <w:t>20.8%</w:t>
            </w:r>
          </w:p>
        </w:tc>
        <w:tc>
          <w:tcPr>
            <w:tcW w:w="623" w:type="pct"/>
            <w:shd w:val="clear" w:color="auto" w:fill="auto"/>
            <w:noWrap/>
          </w:tcPr>
          <w:p w14:paraId="7CD9388E" w14:textId="77777777" w:rsidR="006B2325" w:rsidRPr="006E19C7" w:rsidRDefault="006B2325" w:rsidP="00CD1F63">
            <w:pPr>
              <w:jc w:val="center"/>
            </w:pPr>
            <w:r w:rsidRPr="006E19C7">
              <w:t>19.4%</w:t>
            </w:r>
          </w:p>
        </w:tc>
        <w:tc>
          <w:tcPr>
            <w:tcW w:w="623" w:type="pct"/>
            <w:shd w:val="clear" w:color="auto" w:fill="auto"/>
            <w:noWrap/>
          </w:tcPr>
          <w:p w14:paraId="3BB46732" w14:textId="77777777" w:rsidR="006B2325" w:rsidRPr="006E19C7" w:rsidRDefault="006B2325" w:rsidP="00CD1F63">
            <w:pPr>
              <w:jc w:val="center"/>
            </w:pPr>
            <w:r w:rsidRPr="006E19C7">
              <w:t>20.1%</w:t>
            </w:r>
          </w:p>
        </w:tc>
        <w:tc>
          <w:tcPr>
            <w:tcW w:w="610" w:type="pct"/>
            <w:shd w:val="clear" w:color="auto" w:fill="auto"/>
            <w:noWrap/>
          </w:tcPr>
          <w:p w14:paraId="5DAA0C22" w14:textId="77777777" w:rsidR="006B2325" w:rsidRPr="006E19C7" w:rsidRDefault="006B2325" w:rsidP="00CD1F63">
            <w:pPr>
              <w:jc w:val="center"/>
            </w:pPr>
            <w:r w:rsidRPr="006E19C7">
              <w:t>20.0%</w:t>
            </w:r>
          </w:p>
        </w:tc>
      </w:tr>
      <w:tr w:rsidR="006B2325" w:rsidRPr="006E19C7" w14:paraId="64C1F518" w14:textId="77777777" w:rsidTr="001414FD">
        <w:trPr>
          <w:trHeight w:val="290"/>
          <w:jc w:val="center"/>
        </w:trPr>
        <w:tc>
          <w:tcPr>
            <w:tcW w:w="1267" w:type="pct"/>
            <w:shd w:val="clear" w:color="auto" w:fill="auto"/>
            <w:noWrap/>
          </w:tcPr>
          <w:p w14:paraId="24CD5500" w14:textId="77777777" w:rsidR="006B2325" w:rsidRPr="006E19C7" w:rsidRDefault="006B2325" w:rsidP="00CD1F63">
            <w:r w:rsidRPr="006E19C7">
              <w:t>Comorbidities, %</w:t>
            </w:r>
          </w:p>
        </w:tc>
        <w:tc>
          <w:tcPr>
            <w:tcW w:w="630" w:type="pct"/>
            <w:shd w:val="clear" w:color="auto" w:fill="auto"/>
            <w:noWrap/>
          </w:tcPr>
          <w:p w14:paraId="74429F7D" w14:textId="77777777" w:rsidR="006B2325" w:rsidRPr="006E19C7" w:rsidRDefault="006B2325" w:rsidP="00CD1F63">
            <w:pPr>
              <w:jc w:val="center"/>
            </w:pPr>
          </w:p>
        </w:tc>
        <w:tc>
          <w:tcPr>
            <w:tcW w:w="623" w:type="pct"/>
            <w:shd w:val="clear" w:color="auto" w:fill="auto"/>
            <w:noWrap/>
          </w:tcPr>
          <w:p w14:paraId="412E00AA" w14:textId="77777777" w:rsidR="006B2325" w:rsidRPr="006E19C7" w:rsidRDefault="006B2325" w:rsidP="00CD1F63">
            <w:pPr>
              <w:jc w:val="center"/>
            </w:pPr>
          </w:p>
        </w:tc>
        <w:tc>
          <w:tcPr>
            <w:tcW w:w="624" w:type="pct"/>
            <w:shd w:val="clear" w:color="auto" w:fill="auto"/>
            <w:noWrap/>
          </w:tcPr>
          <w:p w14:paraId="4D4EB16F" w14:textId="77777777" w:rsidR="006B2325" w:rsidRPr="006E19C7" w:rsidRDefault="006B2325" w:rsidP="00CD1F63">
            <w:pPr>
              <w:jc w:val="center"/>
            </w:pPr>
          </w:p>
        </w:tc>
        <w:tc>
          <w:tcPr>
            <w:tcW w:w="623" w:type="pct"/>
            <w:shd w:val="clear" w:color="auto" w:fill="auto"/>
            <w:noWrap/>
          </w:tcPr>
          <w:p w14:paraId="2DE3D63C" w14:textId="77777777" w:rsidR="006B2325" w:rsidRPr="006E19C7" w:rsidRDefault="006B2325" w:rsidP="00CD1F63">
            <w:pPr>
              <w:jc w:val="center"/>
            </w:pPr>
          </w:p>
        </w:tc>
        <w:tc>
          <w:tcPr>
            <w:tcW w:w="623" w:type="pct"/>
            <w:shd w:val="clear" w:color="auto" w:fill="auto"/>
            <w:noWrap/>
          </w:tcPr>
          <w:p w14:paraId="1607C997" w14:textId="77777777" w:rsidR="006B2325" w:rsidRPr="006E19C7" w:rsidRDefault="006B2325" w:rsidP="00CD1F63">
            <w:pPr>
              <w:jc w:val="center"/>
            </w:pPr>
          </w:p>
        </w:tc>
        <w:tc>
          <w:tcPr>
            <w:tcW w:w="610" w:type="pct"/>
            <w:shd w:val="clear" w:color="auto" w:fill="auto"/>
            <w:noWrap/>
          </w:tcPr>
          <w:p w14:paraId="382B0094" w14:textId="77777777" w:rsidR="006B2325" w:rsidRPr="006E19C7" w:rsidRDefault="006B2325" w:rsidP="00CD1F63">
            <w:pPr>
              <w:jc w:val="center"/>
            </w:pPr>
          </w:p>
        </w:tc>
      </w:tr>
      <w:tr w:rsidR="006B2325" w:rsidRPr="006E19C7" w14:paraId="46EEB519" w14:textId="77777777" w:rsidTr="001414FD">
        <w:trPr>
          <w:trHeight w:val="290"/>
          <w:jc w:val="center"/>
        </w:trPr>
        <w:tc>
          <w:tcPr>
            <w:tcW w:w="1267" w:type="pct"/>
            <w:shd w:val="clear" w:color="auto" w:fill="auto"/>
            <w:noWrap/>
          </w:tcPr>
          <w:p w14:paraId="7FE496EC" w14:textId="77777777" w:rsidR="006B2325" w:rsidRPr="006E19C7" w:rsidRDefault="006B2325" w:rsidP="00CD1F63">
            <w:pPr>
              <w:rPr>
                <w:color w:val="000000" w:themeColor="text1"/>
              </w:rPr>
            </w:pPr>
            <w:r w:rsidRPr="006E19C7">
              <w:rPr>
                <w:color w:val="000000" w:themeColor="text1"/>
              </w:rPr>
              <w:t>Dyslipidaemia</w:t>
            </w:r>
          </w:p>
        </w:tc>
        <w:tc>
          <w:tcPr>
            <w:tcW w:w="630" w:type="pct"/>
            <w:shd w:val="clear" w:color="auto" w:fill="auto"/>
            <w:noWrap/>
          </w:tcPr>
          <w:p w14:paraId="7F7EC993" w14:textId="77777777" w:rsidR="006B2325" w:rsidRPr="006E19C7" w:rsidRDefault="006B2325" w:rsidP="00CD1F63">
            <w:pPr>
              <w:jc w:val="center"/>
            </w:pPr>
            <w:r w:rsidRPr="006E19C7">
              <w:t>28.6%</w:t>
            </w:r>
          </w:p>
        </w:tc>
        <w:tc>
          <w:tcPr>
            <w:tcW w:w="623" w:type="pct"/>
            <w:shd w:val="clear" w:color="auto" w:fill="auto"/>
            <w:noWrap/>
          </w:tcPr>
          <w:p w14:paraId="5781D4EA" w14:textId="77777777" w:rsidR="006B2325" w:rsidRPr="006E19C7" w:rsidRDefault="006B2325" w:rsidP="00CD1F63">
            <w:pPr>
              <w:jc w:val="center"/>
            </w:pPr>
            <w:r w:rsidRPr="006E19C7">
              <w:t>32.3%</w:t>
            </w:r>
          </w:p>
        </w:tc>
        <w:tc>
          <w:tcPr>
            <w:tcW w:w="624" w:type="pct"/>
            <w:shd w:val="clear" w:color="auto" w:fill="auto"/>
            <w:noWrap/>
          </w:tcPr>
          <w:p w14:paraId="54545A87" w14:textId="77777777" w:rsidR="006B2325" w:rsidRPr="006E19C7" w:rsidRDefault="006B2325" w:rsidP="00CD1F63">
            <w:pPr>
              <w:jc w:val="center"/>
            </w:pPr>
            <w:r w:rsidRPr="006E19C7">
              <w:t>35.5%</w:t>
            </w:r>
          </w:p>
        </w:tc>
        <w:tc>
          <w:tcPr>
            <w:tcW w:w="623" w:type="pct"/>
            <w:shd w:val="clear" w:color="auto" w:fill="auto"/>
            <w:noWrap/>
          </w:tcPr>
          <w:p w14:paraId="022AFA07" w14:textId="77777777" w:rsidR="006B2325" w:rsidRPr="006E19C7" w:rsidRDefault="006B2325" w:rsidP="00CD1F63">
            <w:pPr>
              <w:jc w:val="center"/>
            </w:pPr>
            <w:r w:rsidRPr="006E19C7">
              <w:t>40.4%</w:t>
            </w:r>
          </w:p>
        </w:tc>
        <w:tc>
          <w:tcPr>
            <w:tcW w:w="623" w:type="pct"/>
            <w:shd w:val="clear" w:color="auto" w:fill="auto"/>
            <w:noWrap/>
          </w:tcPr>
          <w:p w14:paraId="6D21C3E5" w14:textId="77777777" w:rsidR="006B2325" w:rsidRPr="006E19C7" w:rsidRDefault="006B2325" w:rsidP="00CD1F63">
            <w:pPr>
              <w:jc w:val="center"/>
            </w:pPr>
            <w:r w:rsidRPr="006E19C7">
              <w:t>44.9%</w:t>
            </w:r>
          </w:p>
        </w:tc>
        <w:tc>
          <w:tcPr>
            <w:tcW w:w="610" w:type="pct"/>
            <w:shd w:val="clear" w:color="auto" w:fill="auto"/>
            <w:noWrap/>
          </w:tcPr>
          <w:p w14:paraId="185318E5" w14:textId="77777777" w:rsidR="006B2325" w:rsidRPr="006E19C7" w:rsidRDefault="006B2325" w:rsidP="00CD1F63">
            <w:pPr>
              <w:jc w:val="center"/>
            </w:pPr>
            <w:r w:rsidRPr="006E19C7">
              <w:t>46.8%</w:t>
            </w:r>
          </w:p>
        </w:tc>
      </w:tr>
      <w:tr w:rsidR="006B2325" w:rsidRPr="006E19C7" w14:paraId="3C969061" w14:textId="77777777" w:rsidTr="001414FD">
        <w:trPr>
          <w:trHeight w:val="290"/>
          <w:jc w:val="center"/>
        </w:trPr>
        <w:tc>
          <w:tcPr>
            <w:tcW w:w="1267" w:type="pct"/>
            <w:shd w:val="clear" w:color="auto" w:fill="auto"/>
            <w:noWrap/>
          </w:tcPr>
          <w:p w14:paraId="4EA66ADB" w14:textId="77777777" w:rsidR="006B2325" w:rsidRPr="006E19C7" w:rsidRDefault="006B2325" w:rsidP="00CD1F63">
            <w:pPr>
              <w:rPr>
                <w:color w:val="000000" w:themeColor="text1"/>
              </w:rPr>
            </w:pPr>
            <w:r w:rsidRPr="006E19C7">
              <w:rPr>
                <w:color w:val="000000" w:themeColor="text1"/>
              </w:rPr>
              <w:t>Smoking</w:t>
            </w:r>
          </w:p>
        </w:tc>
        <w:tc>
          <w:tcPr>
            <w:tcW w:w="630" w:type="pct"/>
            <w:shd w:val="clear" w:color="auto" w:fill="auto"/>
            <w:noWrap/>
          </w:tcPr>
          <w:p w14:paraId="615E272D" w14:textId="77777777" w:rsidR="006B2325" w:rsidRPr="006E19C7" w:rsidRDefault="006B2325" w:rsidP="00CD1F63">
            <w:pPr>
              <w:jc w:val="center"/>
            </w:pPr>
            <w:r w:rsidRPr="006E19C7">
              <w:t>15.3%</w:t>
            </w:r>
          </w:p>
        </w:tc>
        <w:tc>
          <w:tcPr>
            <w:tcW w:w="623" w:type="pct"/>
            <w:shd w:val="clear" w:color="auto" w:fill="auto"/>
            <w:noWrap/>
          </w:tcPr>
          <w:p w14:paraId="6C902B08" w14:textId="77777777" w:rsidR="006B2325" w:rsidRPr="006E19C7" w:rsidRDefault="006B2325" w:rsidP="00CD1F63">
            <w:pPr>
              <w:jc w:val="center"/>
            </w:pPr>
            <w:r w:rsidRPr="006E19C7">
              <w:t>17.9%</w:t>
            </w:r>
          </w:p>
        </w:tc>
        <w:tc>
          <w:tcPr>
            <w:tcW w:w="624" w:type="pct"/>
            <w:shd w:val="clear" w:color="auto" w:fill="auto"/>
            <w:noWrap/>
          </w:tcPr>
          <w:p w14:paraId="4C1B5529" w14:textId="77777777" w:rsidR="006B2325" w:rsidRPr="006E19C7" w:rsidRDefault="006B2325" w:rsidP="00CD1F63">
            <w:pPr>
              <w:jc w:val="center"/>
            </w:pPr>
            <w:r w:rsidRPr="006E19C7">
              <w:t>19.3%</w:t>
            </w:r>
          </w:p>
        </w:tc>
        <w:tc>
          <w:tcPr>
            <w:tcW w:w="623" w:type="pct"/>
            <w:shd w:val="clear" w:color="auto" w:fill="auto"/>
            <w:noWrap/>
          </w:tcPr>
          <w:p w14:paraId="1E0DF48E" w14:textId="77777777" w:rsidR="006B2325" w:rsidRPr="006E19C7" w:rsidRDefault="006B2325" w:rsidP="00CD1F63">
            <w:pPr>
              <w:jc w:val="center"/>
            </w:pPr>
            <w:r w:rsidRPr="006E19C7">
              <w:t>24.1%</w:t>
            </w:r>
          </w:p>
        </w:tc>
        <w:tc>
          <w:tcPr>
            <w:tcW w:w="623" w:type="pct"/>
            <w:shd w:val="clear" w:color="auto" w:fill="auto"/>
            <w:noWrap/>
          </w:tcPr>
          <w:p w14:paraId="77A48DBC" w14:textId="77777777" w:rsidR="006B2325" w:rsidRPr="006E19C7" w:rsidRDefault="006B2325" w:rsidP="00CD1F63">
            <w:pPr>
              <w:jc w:val="center"/>
            </w:pPr>
            <w:r w:rsidRPr="006E19C7">
              <w:t>27.9%</w:t>
            </w:r>
          </w:p>
        </w:tc>
        <w:tc>
          <w:tcPr>
            <w:tcW w:w="610" w:type="pct"/>
            <w:shd w:val="clear" w:color="auto" w:fill="auto"/>
            <w:noWrap/>
          </w:tcPr>
          <w:p w14:paraId="33E03D25" w14:textId="77777777" w:rsidR="006B2325" w:rsidRPr="006E19C7" w:rsidRDefault="006B2325" w:rsidP="00CD1F63">
            <w:pPr>
              <w:jc w:val="center"/>
            </w:pPr>
            <w:r w:rsidRPr="006E19C7">
              <w:t>33.9%</w:t>
            </w:r>
          </w:p>
        </w:tc>
      </w:tr>
      <w:tr w:rsidR="006B2325" w:rsidRPr="006E19C7" w14:paraId="145EEFA8" w14:textId="77777777" w:rsidTr="001414FD">
        <w:trPr>
          <w:trHeight w:val="290"/>
          <w:jc w:val="center"/>
        </w:trPr>
        <w:tc>
          <w:tcPr>
            <w:tcW w:w="1267" w:type="pct"/>
            <w:shd w:val="clear" w:color="auto" w:fill="auto"/>
            <w:noWrap/>
          </w:tcPr>
          <w:p w14:paraId="772DAE34" w14:textId="77777777" w:rsidR="006B2325" w:rsidRPr="006E19C7" w:rsidRDefault="006B2325" w:rsidP="00CD1F63">
            <w:r w:rsidRPr="006E19C7">
              <w:t>Previous AMI</w:t>
            </w:r>
          </w:p>
        </w:tc>
        <w:tc>
          <w:tcPr>
            <w:tcW w:w="630" w:type="pct"/>
            <w:shd w:val="clear" w:color="auto" w:fill="auto"/>
            <w:noWrap/>
          </w:tcPr>
          <w:p w14:paraId="2E810058" w14:textId="77777777" w:rsidR="006B2325" w:rsidRPr="006E19C7" w:rsidRDefault="006B2325" w:rsidP="00CD1F63">
            <w:pPr>
              <w:jc w:val="center"/>
            </w:pPr>
            <w:r w:rsidRPr="006E19C7">
              <w:t>7.3%</w:t>
            </w:r>
          </w:p>
        </w:tc>
        <w:tc>
          <w:tcPr>
            <w:tcW w:w="623" w:type="pct"/>
            <w:shd w:val="clear" w:color="auto" w:fill="auto"/>
            <w:noWrap/>
          </w:tcPr>
          <w:p w14:paraId="1117DDAF" w14:textId="77777777" w:rsidR="006B2325" w:rsidRPr="006E19C7" w:rsidRDefault="006B2325" w:rsidP="00CD1F63">
            <w:pPr>
              <w:jc w:val="center"/>
            </w:pPr>
            <w:r w:rsidRPr="006E19C7">
              <w:t>7.8%</w:t>
            </w:r>
          </w:p>
        </w:tc>
        <w:tc>
          <w:tcPr>
            <w:tcW w:w="624" w:type="pct"/>
            <w:shd w:val="clear" w:color="auto" w:fill="auto"/>
            <w:noWrap/>
          </w:tcPr>
          <w:p w14:paraId="2F1AC1CE" w14:textId="77777777" w:rsidR="006B2325" w:rsidRPr="006E19C7" w:rsidRDefault="006B2325" w:rsidP="00CD1F63">
            <w:pPr>
              <w:jc w:val="center"/>
            </w:pPr>
            <w:r w:rsidRPr="006E19C7">
              <w:t>8.4%</w:t>
            </w:r>
          </w:p>
        </w:tc>
        <w:tc>
          <w:tcPr>
            <w:tcW w:w="623" w:type="pct"/>
            <w:shd w:val="clear" w:color="auto" w:fill="auto"/>
            <w:noWrap/>
          </w:tcPr>
          <w:p w14:paraId="325E64F4" w14:textId="77777777" w:rsidR="006B2325" w:rsidRPr="006E19C7" w:rsidRDefault="006B2325" w:rsidP="00CD1F63">
            <w:pPr>
              <w:jc w:val="center"/>
            </w:pPr>
            <w:r w:rsidRPr="006E19C7">
              <w:t>10.6%</w:t>
            </w:r>
          </w:p>
        </w:tc>
        <w:tc>
          <w:tcPr>
            <w:tcW w:w="623" w:type="pct"/>
            <w:shd w:val="clear" w:color="auto" w:fill="auto"/>
            <w:noWrap/>
          </w:tcPr>
          <w:p w14:paraId="26DF6777" w14:textId="77777777" w:rsidR="006B2325" w:rsidRPr="006E19C7" w:rsidRDefault="006B2325" w:rsidP="00CD1F63">
            <w:pPr>
              <w:jc w:val="center"/>
            </w:pPr>
            <w:r w:rsidRPr="006E19C7">
              <w:t>11.7%</w:t>
            </w:r>
          </w:p>
        </w:tc>
        <w:tc>
          <w:tcPr>
            <w:tcW w:w="610" w:type="pct"/>
            <w:shd w:val="clear" w:color="auto" w:fill="auto"/>
            <w:noWrap/>
          </w:tcPr>
          <w:p w14:paraId="4DB0D818" w14:textId="77777777" w:rsidR="006B2325" w:rsidRPr="006E19C7" w:rsidRDefault="006B2325" w:rsidP="00CD1F63">
            <w:pPr>
              <w:jc w:val="center"/>
            </w:pPr>
            <w:r w:rsidRPr="006E19C7">
              <w:t>11.9%</w:t>
            </w:r>
          </w:p>
        </w:tc>
      </w:tr>
      <w:tr w:rsidR="006B2325" w:rsidRPr="006E19C7" w14:paraId="1D9873FA" w14:textId="77777777" w:rsidTr="001414FD">
        <w:trPr>
          <w:trHeight w:val="290"/>
          <w:jc w:val="center"/>
        </w:trPr>
        <w:tc>
          <w:tcPr>
            <w:tcW w:w="1267" w:type="pct"/>
            <w:shd w:val="clear" w:color="auto" w:fill="auto"/>
            <w:noWrap/>
          </w:tcPr>
          <w:p w14:paraId="191CB8D4" w14:textId="77777777" w:rsidR="006B2325" w:rsidRPr="006E19C7" w:rsidRDefault="006B2325" w:rsidP="00CD1F63">
            <w:r w:rsidRPr="006E19C7">
              <w:t>History of IHD</w:t>
            </w:r>
          </w:p>
        </w:tc>
        <w:tc>
          <w:tcPr>
            <w:tcW w:w="630" w:type="pct"/>
            <w:shd w:val="clear" w:color="auto" w:fill="auto"/>
            <w:noWrap/>
          </w:tcPr>
          <w:p w14:paraId="7DEB6AB6" w14:textId="77777777" w:rsidR="006B2325" w:rsidRPr="006E19C7" w:rsidRDefault="006B2325" w:rsidP="00CD1F63">
            <w:pPr>
              <w:jc w:val="center"/>
            </w:pPr>
            <w:r w:rsidRPr="006E19C7">
              <w:t>36.2%</w:t>
            </w:r>
          </w:p>
        </w:tc>
        <w:tc>
          <w:tcPr>
            <w:tcW w:w="623" w:type="pct"/>
            <w:shd w:val="clear" w:color="auto" w:fill="auto"/>
            <w:noWrap/>
          </w:tcPr>
          <w:p w14:paraId="364A8B89" w14:textId="77777777" w:rsidR="006B2325" w:rsidRPr="006E19C7" w:rsidRDefault="006B2325" w:rsidP="00CD1F63">
            <w:pPr>
              <w:jc w:val="center"/>
            </w:pPr>
            <w:r w:rsidRPr="006E19C7">
              <w:t>38.7%</w:t>
            </w:r>
          </w:p>
        </w:tc>
        <w:tc>
          <w:tcPr>
            <w:tcW w:w="624" w:type="pct"/>
            <w:shd w:val="clear" w:color="auto" w:fill="auto"/>
            <w:noWrap/>
          </w:tcPr>
          <w:p w14:paraId="497A2AB7" w14:textId="77777777" w:rsidR="006B2325" w:rsidRPr="006E19C7" w:rsidRDefault="006B2325" w:rsidP="00CD1F63">
            <w:pPr>
              <w:jc w:val="center"/>
            </w:pPr>
            <w:r w:rsidRPr="006E19C7">
              <w:t>42.1%</w:t>
            </w:r>
          </w:p>
        </w:tc>
        <w:tc>
          <w:tcPr>
            <w:tcW w:w="623" w:type="pct"/>
            <w:shd w:val="clear" w:color="auto" w:fill="auto"/>
            <w:noWrap/>
          </w:tcPr>
          <w:p w14:paraId="2908FA9D" w14:textId="77777777" w:rsidR="006B2325" w:rsidRPr="006E19C7" w:rsidRDefault="006B2325" w:rsidP="00CD1F63">
            <w:pPr>
              <w:jc w:val="center"/>
            </w:pPr>
            <w:r w:rsidRPr="006E19C7">
              <w:t>44.7%</w:t>
            </w:r>
          </w:p>
        </w:tc>
        <w:tc>
          <w:tcPr>
            <w:tcW w:w="623" w:type="pct"/>
            <w:shd w:val="clear" w:color="auto" w:fill="auto"/>
            <w:noWrap/>
          </w:tcPr>
          <w:p w14:paraId="37C5C0C7" w14:textId="77777777" w:rsidR="006B2325" w:rsidRPr="006E19C7" w:rsidRDefault="006B2325" w:rsidP="00CD1F63">
            <w:pPr>
              <w:jc w:val="center"/>
            </w:pPr>
            <w:r w:rsidRPr="006E19C7">
              <w:t>47.7%</w:t>
            </w:r>
          </w:p>
        </w:tc>
        <w:tc>
          <w:tcPr>
            <w:tcW w:w="610" w:type="pct"/>
            <w:shd w:val="clear" w:color="auto" w:fill="auto"/>
            <w:noWrap/>
          </w:tcPr>
          <w:p w14:paraId="57DEE8DE" w14:textId="77777777" w:rsidR="006B2325" w:rsidRPr="006E19C7" w:rsidRDefault="006B2325" w:rsidP="00CD1F63">
            <w:pPr>
              <w:jc w:val="center"/>
            </w:pPr>
            <w:r w:rsidRPr="006E19C7">
              <w:t>47.9%</w:t>
            </w:r>
          </w:p>
        </w:tc>
      </w:tr>
      <w:tr w:rsidR="006B2325" w:rsidRPr="006E19C7" w14:paraId="4ABBAD32" w14:textId="77777777" w:rsidTr="001414FD">
        <w:trPr>
          <w:trHeight w:val="290"/>
          <w:jc w:val="center"/>
        </w:trPr>
        <w:tc>
          <w:tcPr>
            <w:tcW w:w="1267" w:type="pct"/>
            <w:shd w:val="clear" w:color="auto" w:fill="auto"/>
            <w:noWrap/>
          </w:tcPr>
          <w:p w14:paraId="7CA603CD" w14:textId="77777777" w:rsidR="006B2325" w:rsidRPr="006E19C7" w:rsidRDefault="006B2325" w:rsidP="00CD1F63">
            <w:r w:rsidRPr="006E19C7">
              <w:t>Previous PCI</w:t>
            </w:r>
          </w:p>
        </w:tc>
        <w:tc>
          <w:tcPr>
            <w:tcW w:w="630" w:type="pct"/>
            <w:shd w:val="clear" w:color="auto" w:fill="auto"/>
            <w:noWrap/>
          </w:tcPr>
          <w:p w14:paraId="07ECC257" w14:textId="77777777" w:rsidR="006B2325" w:rsidRPr="006E19C7" w:rsidRDefault="006B2325" w:rsidP="00CD1F63">
            <w:pPr>
              <w:jc w:val="center"/>
            </w:pPr>
            <w:r w:rsidRPr="006E19C7">
              <w:t>4.6%</w:t>
            </w:r>
          </w:p>
        </w:tc>
        <w:tc>
          <w:tcPr>
            <w:tcW w:w="623" w:type="pct"/>
            <w:shd w:val="clear" w:color="auto" w:fill="auto"/>
            <w:noWrap/>
          </w:tcPr>
          <w:p w14:paraId="0A36940B" w14:textId="77777777" w:rsidR="006B2325" w:rsidRPr="006E19C7" w:rsidRDefault="006B2325" w:rsidP="00CD1F63">
            <w:pPr>
              <w:jc w:val="center"/>
            </w:pPr>
            <w:r w:rsidRPr="006E19C7">
              <w:t>5.1%</w:t>
            </w:r>
          </w:p>
        </w:tc>
        <w:tc>
          <w:tcPr>
            <w:tcW w:w="624" w:type="pct"/>
            <w:shd w:val="clear" w:color="auto" w:fill="auto"/>
            <w:noWrap/>
          </w:tcPr>
          <w:p w14:paraId="4BCF0675" w14:textId="77777777" w:rsidR="006B2325" w:rsidRPr="006E19C7" w:rsidRDefault="006B2325" w:rsidP="00CD1F63">
            <w:pPr>
              <w:jc w:val="center"/>
            </w:pPr>
            <w:r w:rsidRPr="006E19C7">
              <w:t>6.3%</w:t>
            </w:r>
          </w:p>
        </w:tc>
        <w:tc>
          <w:tcPr>
            <w:tcW w:w="623" w:type="pct"/>
            <w:shd w:val="clear" w:color="auto" w:fill="auto"/>
            <w:noWrap/>
          </w:tcPr>
          <w:p w14:paraId="4F8F474B" w14:textId="77777777" w:rsidR="006B2325" w:rsidRPr="006E19C7" w:rsidRDefault="006B2325" w:rsidP="00CD1F63">
            <w:pPr>
              <w:jc w:val="center"/>
            </w:pPr>
            <w:r w:rsidRPr="006E19C7">
              <w:t>8.6%</w:t>
            </w:r>
          </w:p>
        </w:tc>
        <w:tc>
          <w:tcPr>
            <w:tcW w:w="623" w:type="pct"/>
            <w:shd w:val="clear" w:color="auto" w:fill="auto"/>
            <w:noWrap/>
          </w:tcPr>
          <w:p w14:paraId="4068DD8A" w14:textId="77777777" w:rsidR="006B2325" w:rsidRPr="006E19C7" w:rsidRDefault="006B2325" w:rsidP="00CD1F63">
            <w:pPr>
              <w:jc w:val="center"/>
            </w:pPr>
            <w:r w:rsidRPr="006E19C7">
              <w:t>11.0%</w:t>
            </w:r>
          </w:p>
        </w:tc>
        <w:tc>
          <w:tcPr>
            <w:tcW w:w="610" w:type="pct"/>
            <w:shd w:val="clear" w:color="auto" w:fill="auto"/>
            <w:noWrap/>
          </w:tcPr>
          <w:p w14:paraId="52921EFD" w14:textId="77777777" w:rsidR="006B2325" w:rsidRPr="006E19C7" w:rsidRDefault="006B2325" w:rsidP="00CD1F63">
            <w:pPr>
              <w:jc w:val="center"/>
            </w:pPr>
            <w:r w:rsidRPr="006E19C7">
              <w:t>12.4%</w:t>
            </w:r>
          </w:p>
        </w:tc>
      </w:tr>
      <w:tr w:rsidR="006B2325" w:rsidRPr="006E19C7" w14:paraId="0A73FD29" w14:textId="77777777" w:rsidTr="001414FD">
        <w:trPr>
          <w:trHeight w:val="290"/>
          <w:jc w:val="center"/>
        </w:trPr>
        <w:tc>
          <w:tcPr>
            <w:tcW w:w="1267" w:type="pct"/>
            <w:shd w:val="clear" w:color="auto" w:fill="auto"/>
            <w:noWrap/>
          </w:tcPr>
          <w:p w14:paraId="1CF0367A" w14:textId="77777777" w:rsidR="006B2325" w:rsidRPr="006E19C7" w:rsidRDefault="006B2325" w:rsidP="00CD1F63">
            <w:r w:rsidRPr="006E19C7">
              <w:t>Previous CABG</w:t>
            </w:r>
          </w:p>
        </w:tc>
        <w:tc>
          <w:tcPr>
            <w:tcW w:w="630" w:type="pct"/>
            <w:shd w:val="clear" w:color="auto" w:fill="auto"/>
            <w:noWrap/>
          </w:tcPr>
          <w:p w14:paraId="46669B98" w14:textId="77777777" w:rsidR="006B2325" w:rsidRPr="006E19C7" w:rsidRDefault="006B2325" w:rsidP="00CD1F63">
            <w:pPr>
              <w:jc w:val="center"/>
            </w:pPr>
            <w:r w:rsidRPr="006E19C7">
              <w:t>8.4%</w:t>
            </w:r>
          </w:p>
        </w:tc>
        <w:tc>
          <w:tcPr>
            <w:tcW w:w="623" w:type="pct"/>
            <w:shd w:val="clear" w:color="auto" w:fill="auto"/>
            <w:noWrap/>
          </w:tcPr>
          <w:p w14:paraId="6DBCD76B" w14:textId="77777777" w:rsidR="006B2325" w:rsidRPr="006E19C7" w:rsidRDefault="006B2325" w:rsidP="00CD1F63">
            <w:pPr>
              <w:jc w:val="center"/>
            </w:pPr>
            <w:r w:rsidRPr="006E19C7">
              <w:t>8.6%</w:t>
            </w:r>
          </w:p>
        </w:tc>
        <w:tc>
          <w:tcPr>
            <w:tcW w:w="624" w:type="pct"/>
            <w:shd w:val="clear" w:color="auto" w:fill="auto"/>
            <w:noWrap/>
          </w:tcPr>
          <w:p w14:paraId="408D231A" w14:textId="77777777" w:rsidR="006B2325" w:rsidRPr="006E19C7" w:rsidRDefault="006B2325" w:rsidP="00CD1F63">
            <w:pPr>
              <w:jc w:val="center"/>
            </w:pPr>
            <w:r w:rsidRPr="006E19C7">
              <w:t>8.9%</w:t>
            </w:r>
          </w:p>
        </w:tc>
        <w:tc>
          <w:tcPr>
            <w:tcW w:w="623" w:type="pct"/>
            <w:shd w:val="clear" w:color="auto" w:fill="auto"/>
            <w:noWrap/>
          </w:tcPr>
          <w:p w14:paraId="69BBDC56" w14:textId="77777777" w:rsidR="006B2325" w:rsidRPr="006E19C7" w:rsidRDefault="006B2325" w:rsidP="00CD1F63">
            <w:pPr>
              <w:jc w:val="center"/>
            </w:pPr>
            <w:r w:rsidRPr="006E19C7">
              <w:t>10.7%</w:t>
            </w:r>
          </w:p>
        </w:tc>
        <w:tc>
          <w:tcPr>
            <w:tcW w:w="623" w:type="pct"/>
            <w:shd w:val="clear" w:color="auto" w:fill="auto"/>
            <w:noWrap/>
          </w:tcPr>
          <w:p w14:paraId="230C7D9B" w14:textId="77777777" w:rsidR="006B2325" w:rsidRPr="006E19C7" w:rsidRDefault="006B2325" w:rsidP="00CD1F63">
            <w:pPr>
              <w:jc w:val="center"/>
            </w:pPr>
            <w:r w:rsidRPr="006E19C7">
              <w:t>11.9%</w:t>
            </w:r>
          </w:p>
        </w:tc>
        <w:tc>
          <w:tcPr>
            <w:tcW w:w="610" w:type="pct"/>
            <w:shd w:val="clear" w:color="auto" w:fill="auto"/>
            <w:noWrap/>
          </w:tcPr>
          <w:p w14:paraId="50DB5C62" w14:textId="77777777" w:rsidR="006B2325" w:rsidRPr="006E19C7" w:rsidRDefault="006B2325" w:rsidP="00CD1F63">
            <w:pPr>
              <w:jc w:val="center"/>
            </w:pPr>
            <w:r w:rsidRPr="006E19C7">
              <w:t>12.5%</w:t>
            </w:r>
          </w:p>
        </w:tc>
      </w:tr>
      <w:tr w:rsidR="006B2325" w:rsidRPr="006E19C7" w14:paraId="3DBC7BB0" w14:textId="77777777" w:rsidTr="001414FD">
        <w:trPr>
          <w:trHeight w:val="290"/>
          <w:jc w:val="center"/>
        </w:trPr>
        <w:tc>
          <w:tcPr>
            <w:tcW w:w="1267" w:type="pct"/>
            <w:shd w:val="clear" w:color="auto" w:fill="auto"/>
            <w:noWrap/>
          </w:tcPr>
          <w:p w14:paraId="1EC3D468" w14:textId="77777777" w:rsidR="006B2325" w:rsidRPr="006E19C7" w:rsidRDefault="006B2325" w:rsidP="00CD1F63">
            <w:r w:rsidRPr="006E19C7">
              <w:t>Previous CVA</w:t>
            </w:r>
          </w:p>
        </w:tc>
        <w:tc>
          <w:tcPr>
            <w:tcW w:w="630" w:type="pct"/>
            <w:shd w:val="clear" w:color="auto" w:fill="auto"/>
            <w:noWrap/>
          </w:tcPr>
          <w:p w14:paraId="59B84A55" w14:textId="77777777" w:rsidR="006B2325" w:rsidRPr="006E19C7" w:rsidRDefault="006B2325" w:rsidP="00CD1F63">
            <w:pPr>
              <w:jc w:val="center"/>
            </w:pPr>
            <w:r w:rsidRPr="006E19C7">
              <w:t>No data</w:t>
            </w:r>
          </w:p>
        </w:tc>
        <w:tc>
          <w:tcPr>
            <w:tcW w:w="623" w:type="pct"/>
            <w:shd w:val="clear" w:color="auto" w:fill="auto"/>
            <w:noWrap/>
          </w:tcPr>
          <w:p w14:paraId="7A16CDF4" w14:textId="77777777" w:rsidR="006B2325" w:rsidRPr="006E19C7" w:rsidRDefault="006B2325" w:rsidP="00CD1F63">
            <w:pPr>
              <w:jc w:val="center"/>
            </w:pPr>
            <w:r w:rsidRPr="006E19C7">
              <w:t>No data</w:t>
            </w:r>
          </w:p>
        </w:tc>
        <w:tc>
          <w:tcPr>
            <w:tcW w:w="624" w:type="pct"/>
            <w:shd w:val="clear" w:color="auto" w:fill="auto"/>
            <w:noWrap/>
          </w:tcPr>
          <w:p w14:paraId="7DA02043" w14:textId="77777777" w:rsidR="006B2325" w:rsidRPr="006E19C7" w:rsidRDefault="006B2325" w:rsidP="00CD1F63">
            <w:pPr>
              <w:jc w:val="center"/>
            </w:pPr>
            <w:r w:rsidRPr="006E19C7">
              <w:t>3.8%</w:t>
            </w:r>
          </w:p>
        </w:tc>
        <w:tc>
          <w:tcPr>
            <w:tcW w:w="623" w:type="pct"/>
            <w:shd w:val="clear" w:color="auto" w:fill="auto"/>
            <w:noWrap/>
          </w:tcPr>
          <w:p w14:paraId="16FF578F" w14:textId="77777777" w:rsidR="006B2325" w:rsidRPr="006E19C7" w:rsidRDefault="006B2325" w:rsidP="00CD1F63">
            <w:pPr>
              <w:jc w:val="center"/>
            </w:pPr>
            <w:r w:rsidRPr="006E19C7">
              <w:t>6.5%</w:t>
            </w:r>
          </w:p>
        </w:tc>
        <w:tc>
          <w:tcPr>
            <w:tcW w:w="623" w:type="pct"/>
            <w:shd w:val="clear" w:color="auto" w:fill="auto"/>
            <w:noWrap/>
          </w:tcPr>
          <w:p w14:paraId="068EF731" w14:textId="77777777" w:rsidR="006B2325" w:rsidRPr="006E19C7" w:rsidRDefault="006B2325" w:rsidP="00CD1F63">
            <w:pPr>
              <w:jc w:val="center"/>
            </w:pPr>
            <w:r w:rsidRPr="006E19C7">
              <w:t>7.6%</w:t>
            </w:r>
          </w:p>
        </w:tc>
        <w:tc>
          <w:tcPr>
            <w:tcW w:w="610" w:type="pct"/>
            <w:shd w:val="clear" w:color="auto" w:fill="auto"/>
            <w:noWrap/>
          </w:tcPr>
          <w:p w14:paraId="6873CE41" w14:textId="77777777" w:rsidR="006B2325" w:rsidRPr="006E19C7" w:rsidRDefault="006B2325" w:rsidP="00CD1F63">
            <w:pPr>
              <w:jc w:val="center"/>
            </w:pPr>
            <w:r w:rsidRPr="006E19C7">
              <w:t>8.6%</w:t>
            </w:r>
          </w:p>
        </w:tc>
      </w:tr>
      <w:tr w:rsidR="006B2325" w:rsidRPr="006E19C7" w14:paraId="48B6F9AC" w14:textId="77777777" w:rsidTr="001414FD">
        <w:trPr>
          <w:trHeight w:val="290"/>
          <w:jc w:val="center"/>
        </w:trPr>
        <w:tc>
          <w:tcPr>
            <w:tcW w:w="1267" w:type="pct"/>
            <w:shd w:val="clear" w:color="auto" w:fill="auto"/>
            <w:noWrap/>
          </w:tcPr>
          <w:p w14:paraId="02E1F43F" w14:textId="77777777" w:rsidR="006B2325" w:rsidRPr="006E19C7" w:rsidRDefault="006B2325" w:rsidP="00CD1F63">
            <w:r w:rsidRPr="006E19C7">
              <w:t>Family history of CAD</w:t>
            </w:r>
          </w:p>
        </w:tc>
        <w:tc>
          <w:tcPr>
            <w:tcW w:w="630" w:type="pct"/>
            <w:shd w:val="clear" w:color="auto" w:fill="auto"/>
            <w:noWrap/>
          </w:tcPr>
          <w:p w14:paraId="3163B82E" w14:textId="77777777" w:rsidR="006B2325" w:rsidRPr="006E19C7" w:rsidRDefault="006B2325" w:rsidP="00CD1F63">
            <w:pPr>
              <w:jc w:val="center"/>
            </w:pPr>
            <w:r w:rsidRPr="006E19C7">
              <w:t>2.6%</w:t>
            </w:r>
          </w:p>
        </w:tc>
        <w:tc>
          <w:tcPr>
            <w:tcW w:w="623" w:type="pct"/>
            <w:shd w:val="clear" w:color="auto" w:fill="auto"/>
            <w:noWrap/>
          </w:tcPr>
          <w:p w14:paraId="0B134584" w14:textId="77777777" w:rsidR="006B2325" w:rsidRPr="006E19C7" w:rsidRDefault="006B2325" w:rsidP="00CD1F63">
            <w:pPr>
              <w:jc w:val="center"/>
            </w:pPr>
            <w:r w:rsidRPr="006E19C7">
              <w:t>2.8%</w:t>
            </w:r>
          </w:p>
        </w:tc>
        <w:tc>
          <w:tcPr>
            <w:tcW w:w="624" w:type="pct"/>
            <w:shd w:val="clear" w:color="auto" w:fill="auto"/>
            <w:noWrap/>
          </w:tcPr>
          <w:p w14:paraId="3143925B" w14:textId="77777777" w:rsidR="006B2325" w:rsidRPr="006E19C7" w:rsidRDefault="006B2325" w:rsidP="00CD1F63">
            <w:pPr>
              <w:jc w:val="center"/>
            </w:pPr>
            <w:r w:rsidRPr="006E19C7">
              <w:t>2.9%</w:t>
            </w:r>
          </w:p>
        </w:tc>
        <w:tc>
          <w:tcPr>
            <w:tcW w:w="623" w:type="pct"/>
            <w:shd w:val="clear" w:color="auto" w:fill="auto"/>
            <w:noWrap/>
          </w:tcPr>
          <w:p w14:paraId="5F140DFC" w14:textId="77777777" w:rsidR="006B2325" w:rsidRPr="006E19C7" w:rsidRDefault="006B2325" w:rsidP="00CD1F63">
            <w:pPr>
              <w:jc w:val="center"/>
            </w:pPr>
            <w:r w:rsidRPr="006E19C7">
              <w:t>3.7%</w:t>
            </w:r>
          </w:p>
        </w:tc>
        <w:tc>
          <w:tcPr>
            <w:tcW w:w="623" w:type="pct"/>
            <w:shd w:val="clear" w:color="auto" w:fill="auto"/>
            <w:noWrap/>
          </w:tcPr>
          <w:p w14:paraId="2C486A68" w14:textId="77777777" w:rsidR="006B2325" w:rsidRPr="006E19C7" w:rsidRDefault="006B2325" w:rsidP="00CD1F63">
            <w:pPr>
              <w:jc w:val="center"/>
            </w:pPr>
            <w:r w:rsidRPr="006E19C7">
              <w:t>3.9%</w:t>
            </w:r>
          </w:p>
        </w:tc>
        <w:tc>
          <w:tcPr>
            <w:tcW w:w="610" w:type="pct"/>
            <w:shd w:val="clear" w:color="auto" w:fill="auto"/>
            <w:noWrap/>
          </w:tcPr>
          <w:p w14:paraId="7CD9C066" w14:textId="77777777" w:rsidR="006B2325" w:rsidRPr="006E19C7" w:rsidRDefault="006B2325" w:rsidP="00CD1F63">
            <w:pPr>
              <w:jc w:val="center"/>
            </w:pPr>
            <w:r w:rsidRPr="006E19C7">
              <w:t>4.5%</w:t>
            </w:r>
          </w:p>
        </w:tc>
      </w:tr>
      <w:tr w:rsidR="006B2325" w:rsidRPr="006E19C7" w14:paraId="039D480E" w14:textId="77777777" w:rsidTr="001414FD">
        <w:trPr>
          <w:trHeight w:val="290"/>
          <w:jc w:val="center"/>
        </w:trPr>
        <w:tc>
          <w:tcPr>
            <w:tcW w:w="1267" w:type="pct"/>
            <w:shd w:val="clear" w:color="auto" w:fill="auto"/>
            <w:noWrap/>
          </w:tcPr>
          <w:p w14:paraId="2E9515A0" w14:textId="77777777" w:rsidR="006B2325" w:rsidRPr="006E19C7" w:rsidRDefault="006B2325" w:rsidP="00CD1F63">
            <w:proofErr w:type="spellStart"/>
            <w:r w:rsidRPr="006E19C7">
              <w:t>Valvular</w:t>
            </w:r>
            <w:proofErr w:type="spellEnd"/>
            <w:r w:rsidRPr="006E19C7">
              <w:t xml:space="preserve"> heart disease</w:t>
            </w:r>
          </w:p>
        </w:tc>
        <w:tc>
          <w:tcPr>
            <w:tcW w:w="630" w:type="pct"/>
            <w:shd w:val="clear" w:color="auto" w:fill="auto"/>
            <w:noWrap/>
          </w:tcPr>
          <w:p w14:paraId="286B624F" w14:textId="77777777" w:rsidR="006B2325" w:rsidRPr="006E19C7" w:rsidRDefault="006B2325" w:rsidP="00CD1F63">
            <w:pPr>
              <w:jc w:val="center"/>
            </w:pPr>
            <w:r w:rsidRPr="006E19C7">
              <w:t>0.3%</w:t>
            </w:r>
          </w:p>
        </w:tc>
        <w:tc>
          <w:tcPr>
            <w:tcW w:w="623" w:type="pct"/>
            <w:shd w:val="clear" w:color="auto" w:fill="auto"/>
            <w:noWrap/>
          </w:tcPr>
          <w:p w14:paraId="3C59BF08" w14:textId="77777777" w:rsidR="006B2325" w:rsidRPr="006E19C7" w:rsidRDefault="006B2325" w:rsidP="00CD1F63">
            <w:pPr>
              <w:jc w:val="center"/>
            </w:pPr>
            <w:r w:rsidRPr="006E19C7">
              <w:t>0.4%</w:t>
            </w:r>
          </w:p>
        </w:tc>
        <w:tc>
          <w:tcPr>
            <w:tcW w:w="624" w:type="pct"/>
            <w:shd w:val="clear" w:color="auto" w:fill="auto"/>
            <w:noWrap/>
          </w:tcPr>
          <w:p w14:paraId="2C0CB279" w14:textId="77777777" w:rsidR="006B2325" w:rsidRPr="006E19C7" w:rsidRDefault="006B2325" w:rsidP="00CD1F63">
            <w:pPr>
              <w:jc w:val="center"/>
            </w:pPr>
            <w:r w:rsidRPr="006E19C7">
              <w:t>0.4%</w:t>
            </w:r>
          </w:p>
        </w:tc>
        <w:tc>
          <w:tcPr>
            <w:tcW w:w="623" w:type="pct"/>
            <w:shd w:val="clear" w:color="auto" w:fill="auto"/>
            <w:noWrap/>
          </w:tcPr>
          <w:p w14:paraId="4E7E3DE8" w14:textId="77777777" w:rsidR="006B2325" w:rsidRPr="006E19C7" w:rsidRDefault="006B2325" w:rsidP="00CD1F63">
            <w:pPr>
              <w:jc w:val="center"/>
            </w:pPr>
            <w:r w:rsidRPr="006E19C7">
              <w:t>0.5%</w:t>
            </w:r>
          </w:p>
        </w:tc>
        <w:tc>
          <w:tcPr>
            <w:tcW w:w="623" w:type="pct"/>
            <w:shd w:val="clear" w:color="auto" w:fill="auto"/>
            <w:noWrap/>
          </w:tcPr>
          <w:p w14:paraId="64D3381A" w14:textId="77777777" w:rsidR="006B2325" w:rsidRPr="006E19C7" w:rsidRDefault="006B2325" w:rsidP="00CD1F63">
            <w:pPr>
              <w:jc w:val="center"/>
            </w:pPr>
            <w:r w:rsidRPr="006E19C7">
              <w:t>0.5%</w:t>
            </w:r>
          </w:p>
        </w:tc>
        <w:tc>
          <w:tcPr>
            <w:tcW w:w="610" w:type="pct"/>
            <w:shd w:val="clear" w:color="auto" w:fill="auto"/>
            <w:noWrap/>
          </w:tcPr>
          <w:p w14:paraId="5373269D" w14:textId="77777777" w:rsidR="006B2325" w:rsidRPr="006E19C7" w:rsidRDefault="006B2325" w:rsidP="00CD1F63">
            <w:pPr>
              <w:jc w:val="center"/>
            </w:pPr>
            <w:r w:rsidRPr="006E19C7">
              <w:t>0.3%</w:t>
            </w:r>
          </w:p>
        </w:tc>
      </w:tr>
      <w:tr w:rsidR="006B2325" w:rsidRPr="006E19C7" w14:paraId="258CF4A1" w14:textId="77777777" w:rsidTr="001414FD">
        <w:trPr>
          <w:trHeight w:val="290"/>
          <w:jc w:val="center"/>
        </w:trPr>
        <w:tc>
          <w:tcPr>
            <w:tcW w:w="1267" w:type="pct"/>
            <w:shd w:val="clear" w:color="auto" w:fill="auto"/>
            <w:noWrap/>
          </w:tcPr>
          <w:p w14:paraId="43E1ED98" w14:textId="77777777" w:rsidR="006B2325" w:rsidRPr="006E19C7" w:rsidRDefault="006B2325" w:rsidP="00CD1F63">
            <w:r w:rsidRPr="006E19C7">
              <w:t>Peripheral vascular disease</w:t>
            </w:r>
          </w:p>
        </w:tc>
        <w:tc>
          <w:tcPr>
            <w:tcW w:w="630" w:type="pct"/>
            <w:shd w:val="clear" w:color="auto" w:fill="auto"/>
            <w:noWrap/>
          </w:tcPr>
          <w:p w14:paraId="4D64B603" w14:textId="77777777" w:rsidR="006B2325" w:rsidRPr="006E19C7" w:rsidRDefault="006B2325" w:rsidP="00CD1F63">
            <w:pPr>
              <w:jc w:val="center"/>
            </w:pPr>
            <w:r w:rsidRPr="006E19C7">
              <w:t>8.4%</w:t>
            </w:r>
          </w:p>
        </w:tc>
        <w:tc>
          <w:tcPr>
            <w:tcW w:w="623" w:type="pct"/>
            <w:shd w:val="clear" w:color="auto" w:fill="auto"/>
            <w:noWrap/>
          </w:tcPr>
          <w:p w14:paraId="509E5F8E" w14:textId="77777777" w:rsidR="006B2325" w:rsidRPr="006E19C7" w:rsidRDefault="006B2325" w:rsidP="00CD1F63">
            <w:pPr>
              <w:jc w:val="center"/>
            </w:pPr>
            <w:r w:rsidRPr="006E19C7">
              <w:t>9.4%</w:t>
            </w:r>
          </w:p>
        </w:tc>
        <w:tc>
          <w:tcPr>
            <w:tcW w:w="624" w:type="pct"/>
            <w:shd w:val="clear" w:color="auto" w:fill="auto"/>
            <w:noWrap/>
          </w:tcPr>
          <w:p w14:paraId="21DED005" w14:textId="77777777" w:rsidR="006B2325" w:rsidRPr="006E19C7" w:rsidRDefault="006B2325" w:rsidP="00CD1F63">
            <w:pPr>
              <w:jc w:val="center"/>
            </w:pPr>
            <w:r w:rsidRPr="006E19C7">
              <w:t>11.3%</w:t>
            </w:r>
          </w:p>
        </w:tc>
        <w:tc>
          <w:tcPr>
            <w:tcW w:w="623" w:type="pct"/>
            <w:shd w:val="clear" w:color="auto" w:fill="auto"/>
            <w:noWrap/>
          </w:tcPr>
          <w:p w14:paraId="393FDB5F" w14:textId="77777777" w:rsidR="006B2325" w:rsidRPr="006E19C7" w:rsidRDefault="006B2325" w:rsidP="00CD1F63">
            <w:pPr>
              <w:jc w:val="center"/>
            </w:pPr>
            <w:r w:rsidRPr="006E19C7">
              <w:t>12.5%</w:t>
            </w:r>
          </w:p>
        </w:tc>
        <w:tc>
          <w:tcPr>
            <w:tcW w:w="623" w:type="pct"/>
            <w:shd w:val="clear" w:color="auto" w:fill="auto"/>
            <w:noWrap/>
          </w:tcPr>
          <w:p w14:paraId="7401D6A5" w14:textId="77777777" w:rsidR="006B2325" w:rsidRPr="006E19C7" w:rsidRDefault="006B2325" w:rsidP="00CD1F63">
            <w:pPr>
              <w:jc w:val="center"/>
            </w:pPr>
            <w:r w:rsidRPr="006E19C7">
              <w:t>13.8%</w:t>
            </w:r>
          </w:p>
        </w:tc>
        <w:tc>
          <w:tcPr>
            <w:tcW w:w="610" w:type="pct"/>
            <w:shd w:val="clear" w:color="auto" w:fill="auto"/>
            <w:noWrap/>
          </w:tcPr>
          <w:p w14:paraId="27EF61F0" w14:textId="77777777" w:rsidR="006B2325" w:rsidRPr="006E19C7" w:rsidRDefault="006B2325" w:rsidP="00CD1F63">
            <w:pPr>
              <w:jc w:val="center"/>
            </w:pPr>
            <w:r w:rsidRPr="006E19C7">
              <w:t>14.6%</w:t>
            </w:r>
          </w:p>
        </w:tc>
      </w:tr>
      <w:tr w:rsidR="006B2325" w:rsidRPr="006E19C7" w14:paraId="2E358B10" w14:textId="77777777" w:rsidTr="001414FD">
        <w:trPr>
          <w:trHeight w:val="290"/>
          <w:jc w:val="center"/>
        </w:trPr>
        <w:tc>
          <w:tcPr>
            <w:tcW w:w="1267" w:type="pct"/>
            <w:shd w:val="clear" w:color="auto" w:fill="auto"/>
            <w:noWrap/>
          </w:tcPr>
          <w:p w14:paraId="2B91800F" w14:textId="77777777" w:rsidR="006B2325" w:rsidRPr="006E19C7" w:rsidRDefault="006B2325" w:rsidP="00CD1F63">
            <w:r w:rsidRPr="006E19C7">
              <w:t>Use of assist devise or IABP</w:t>
            </w:r>
          </w:p>
        </w:tc>
        <w:tc>
          <w:tcPr>
            <w:tcW w:w="630" w:type="pct"/>
            <w:shd w:val="clear" w:color="auto" w:fill="auto"/>
            <w:noWrap/>
          </w:tcPr>
          <w:p w14:paraId="07EA8270" w14:textId="77777777" w:rsidR="006B2325" w:rsidRPr="006E19C7" w:rsidRDefault="006B2325" w:rsidP="00CD1F63">
            <w:pPr>
              <w:jc w:val="center"/>
            </w:pPr>
            <w:r w:rsidRPr="006E19C7">
              <w:t>0.3%</w:t>
            </w:r>
          </w:p>
        </w:tc>
        <w:tc>
          <w:tcPr>
            <w:tcW w:w="623" w:type="pct"/>
            <w:shd w:val="clear" w:color="auto" w:fill="auto"/>
            <w:noWrap/>
          </w:tcPr>
          <w:p w14:paraId="2E846153" w14:textId="77777777" w:rsidR="006B2325" w:rsidRPr="006E19C7" w:rsidRDefault="006B2325" w:rsidP="00CD1F63">
            <w:pPr>
              <w:jc w:val="center"/>
            </w:pPr>
            <w:r w:rsidRPr="006E19C7">
              <w:t>0.5%</w:t>
            </w:r>
          </w:p>
        </w:tc>
        <w:tc>
          <w:tcPr>
            <w:tcW w:w="624" w:type="pct"/>
            <w:shd w:val="clear" w:color="auto" w:fill="auto"/>
            <w:noWrap/>
          </w:tcPr>
          <w:p w14:paraId="5327A291" w14:textId="77777777" w:rsidR="006B2325" w:rsidRPr="006E19C7" w:rsidRDefault="006B2325" w:rsidP="00CD1F63">
            <w:pPr>
              <w:jc w:val="center"/>
            </w:pPr>
            <w:r w:rsidRPr="006E19C7">
              <w:t>0.5%</w:t>
            </w:r>
          </w:p>
        </w:tc>
        <w:tc>
          <w:tcPr>
            <w:tcW w:w="623" w:type="pct"/>
            <w:shd w:val="clear" w:color="auto" w:fill="auto"/>
            <w:noWrap/>
          </w:tcPr>
          <w:p w14:paraId="0601315E" w14:textId="77777777" w:rsidR="006B2325" w:rsidRPr="006E19C7" w:rsidRDefault="006B2325" w:rsidP="00CD1F63">
            <w:pPr>
              <w:jc w:val="center"/>
            </w:pPr>
            <w:r w:rsidRPr="006E19C7">
              <w:t>0.4%</w:t>
            </w:r>
          </w:p>
        </w:tc>
        <w:tc>
          <w:tcPr>
            <w:tcW w:w="623" w:type="pct"/>
            <w:shd w:val="clear" w:color="auto" w:fill="auto"/>
            <w:noWrap/>
          </w:tcPr>
          <w:p w14:paraId="13F7D3A1" w14:textId="77777777" w:rsidR="006B2325" w:rsidRPr="006E19C7" w:rsidRDefault="006B2325" w:rsidP="00CD1F63">
            <w:pPr>
              <w:jc w:val="center"/>
            </w:pPr>
            <w:r w:rsidRPr="006E19C7">
              <w:t>0.7%</w:t>
            </w:r>
          </w:p>
        </w:tc>
        <w:tc>
          <w:tcPr>
            <w:tcW w:w="610" w:type="pct"/>
            <w:shd w:val="clear" w:color="auto" w:fill="auto"/>
            <w:noWrap/>
          </w:tcPr>
          <w:p w14:paraId="01261D0F" w14:textId="77777777" w:rsidR="006B2325" w:rsidRPr="006E19C7" w:rsidRDefault="006B2325" w:rsidP="00CD1F63">
            <w:pPr>
              <w:jc w:val="center"/>
            </w:pPr>
            <w:r w:rsidRPr="006E19C7">
              <w:t>0.9%</w:t>
            </w:r>
          </w:p>
        </w:tc>
      </w:tr>
      <w:tr w:rsidR="006B2325" w:rsidRPr="006E19C7" w14:paraId="3F03E2FE" w14:textId="77777777" w:rsidTr="001414FD">
        <w:trPr>
          <w:trHeight w:val="290"/>
          <w:jc w:val="center"/>
        </w:trPr>
        <w:tc>
          <w:tcPr>
            <w:tcW w:w="1267" w:type="pct"/>
            <w:shd w:val="clear" w:color="auto" w:fill="auto"/>
            <w:noWrap/>
          </w:tcPr>
          <w:p w14:paraId="5724AAA5" w14:textId="77777777" w:rsidR="006B2325" w:rsidRPr="006E19C7" w:rsidRDefault="006B2325" w:rsidP="00CD1F63">
            <w:r w:rsidRPr="006E19C7">
              <w:t>Shock</w:t>
            </w:r>
          </w:p>
        </w:tc>
        <w:tc>
          <w:tcPr>
            <w:tcW w:w="630" w:type="pct"/>
            <w:shd w:val="clear" w:color="auto" w:fill="auto"/>
            <w:noWrap/>
          </w:tcPr>
          <w:p w14:paraId="34B36C5F" w14:textId="77777777" w:rsidR="006B2325" w:rsidRPr="006E19C7" w:rsidRDefault="006B2325" w:rsidP="00CD1F63">
            <w:pPr>
              <w:jc w:val="center"/>
            </w:pPr>
            <w:r w:rsidRPr="006E19C7">
              <w:t>1.6%</w:t>
            </w:r>
          </w:p>
        </w:tc>
        <w:tc>
          <w:tcPr>
            <w:tcW w:w="623" w:type="pct"/>
            <w:shd w:val="clear" w:color="auto" w:fill="auto"/>
            <w:noWrap/>
          </w:tcPr>
          <w:p w14:paraId="651EB4E0" w14:textId="77777777" w:rsidR="006B2325" w:rsidRPr="006E19C7" w:rsidRDefault="006B2325" w:rsidP="00CD1F63">
            <w:pPr>
              <w:jc w:val="center"/>
            </w:pPr>
            <w:r w:rsidRPr="006E19C7">
              <w:t>1.7%</w:t>
            </w:r>
          </w:p>
        </w:tc>
        <w:tc>
          <w:tcPr>
            <w:tcW w:w="624" w:type="pct"/>
            <w:shd w:val="clear" w:color="auto" w:fill="auto"/>
            <w:noWrap/>
          </w:tcPr>
          <w:p w14:paraId="3B549CD5" w14:textId="77777777" w:rsidR="006B2325" w:rsidRPr="006E19C7" w:rsidRDefault="006B2325" w:rsidP="00CD1F63">
            <w:pPr>
              <w:jc w:val="center"/>
            </w:pPr>
            <w:r w:rsidRPr="006E19C7">
              <w:t>1.7%</w:t>
            </w:r>
          </w:p>
        </w:tc>
        <w:tc>
          <w:tcPr>
            <w:tcW w:w="623" w:type="pct"/>
            <w:shd w:val="clear" w:color="auto" w:fill="auto"/>
            <w:noWrap/>
          </w:tcPr>
          <w:p w14:paraId="111458CD" w14:textId="77777777" w:rsidR="006B2325" w:rsidRPr="006E19C7" w:rsidRDefault="006B2325" w:rsidP="00CD1F63">
            <w:pPr>
              <w:jc w:val="center"/>
            </w:pPr>
            <w:r w:rsidRPr="006E19C7">
              <w:t>2.2%</w:t>
            </w:r>
          </w:p>
        </w:tc>
        <w:tc>
          <w:tcPr>
            <w:tcW w:w="623" w:type="pct"/>
            <w:shd w:val="clear" w:color="auto" w:fill="auto"/>
            <w:noWrap/>
          </w:tcPr>
          <w:p w14:paraId="04ACF1B7" w14:textId="77777777" w:rsidR="006B2325" w:rsidRPr="006E19C7" w:rsidRDefault="006B2325" w:rsidP="00CD1F63">
            <w:pPr>
              <w:jc w:val="center"/>
            </w:pPr>
            <w:r w:rsidRPr="006E19C7">
              <w:t>2.9%</w:t>
            </w:r>
          </w:p>
        </w:tc>
        <w:tc>
          <w:tcPr>
            <w:tcW w:w="610" w:type="pct"/>
            <w:shd w:val="clear" w:color="auto" w:fill="auto"/>
            <w:noWrap/>
          </w:tcPr>
          <w:p w14:paraId="18458B76" w14:textId="77777777" w:rsidR="006B2325" w:rsidRPr="006E19C7" w:rsidRDefault="006B2325" w:rsidP="00CD1F63">
            <w:pPr>
              <w:jc w:val="center"/>
            </w:pPr>
            <w:r w:rsidRPr="006E19C7">
              <w:t>3.4%</w:t>
            </w:r>
          </w:p>
        </w:tc>
      </w:tr>
      <w:tr w:rsidR="006B2325" w:rsidRPr="006E19C7" w14:paraId="12F494D3" w14:textId="77777777" w:rsidTr="001414FD">
        <w:trPr>
          <w:trHeight w:val="290"/>
          <w:jc w:val="center"/>
        </w:trPr>
        <w:tc>
          <w:tcPr>
            <w:tcW w:w="1267" w:type="pct"/>
            <w:shd w:val="clear" w:color="auto" w:fill="auto"/>
            <w:noWrap/>
          </w:tcPr>
          <w:p w14:paraId="1327FBCC" w14:textId="77777777" w:rsidR="006B2325" w:rsidRPr="006E19C7" w:rsidRDefault="006B2325" w:rsidP="00CD1F63">
            <w:r w:rsidRPr="006E19C7">
              <w:t>AIDS</w:t>
            </w:r>
          </w:p>
        </w:tc>
        <w:tc>
          <w:tcPr>
            <w:tcW w:w="630" w:type="pct"/>
            <w:shd w:val="clear" w:color="auto" w:fill="auto"/>
            <w:noWrap/>
          </w:tcPr>
          <w:p w14:paraId="7FF38C8F" w14:textId="77777777" w:rsidR="006B2325" w:rsidRPr="006E19C7" w:rsidRDefault="006B2325" w:rsidP="00CD1F63">
            <w:pPr>
              <w:jc w:val="center"/>
            </w:pPr>
            <w:r w:rsidRPr="006E19C7">
              <w:t>0.14%</w:t>
            </w:r>
          </w:p>
        </w:tc>
        <w:tc>
          <w:tcPr>
            <w:tcW w:w="623" w:type="pct"/>
            <w:shd w:val="clear" w:color="auto" w:fill="auto"/>
            <w:noWrap/>
          </w:tcPr>
          <w:p w14:paraId="4AFC31CF" w14:textId="77777777" w:rsidR="006B2325" w:rsidRPr="006E19C7" w:rsidRDefault="006B2325" w:rsidP="00CD1F63">
            <w:pPr>
              <w:jc w:val="center"/>
            </w:pPr>
            <w:r w:rsidRPr="006E19C7">
              <w:t>0.08%</w:t>
            </w:r>
          </w:p>
        </w:tc>
        <w:tc>
          <w:tcPr>
            <w:tcW w:w="624" w:type="pct"/>
            <w:shd w:val="clear" w:color="auto" w:fill="auto"/>
            <w:noWrap/>
          </w:tcPr>
          <w:p w14:paraId="1D58E105" w14:textId="77777777" w:rsidR="006B2325" w:rsidRPr="006E19C7" w:rsidRDefault="006B2325" w:rsidP="00CD1F63">
            <w:pPr>
              <w:jc w:val="center"/>
            </w:pPr>
            <w:r w:rsidRPr="006E19C7">
              <w:t>0.12%</w:t>
            </w:r>
          </w:p>
        </w:tc>
        <w:tc>
          <w:tcPr>
            <w:tcW w:w="623" w:type="pct"/>
            <w:shd w:val="clear" w:color="auto" w:fill="auto"/>
            <w:noWrap/>
          </w:tcPr>
          <w:p w14:paraId="7A732B0E" w14:textId="77777777" w:rsidR="006B2325" w:rsidRPr="006E19C7" w:rsidRDefault="006B2325" w:rsidP="00CD1F63">
            <w:pPr>
              <w:jc w:val="center"/>
            </w:pPr>
            <w:r w:rsidRPr="006E19C7">
              <w:t>0.15%</w:t>
            </w:r>
          </w:p>
        </w:tc>
        <w:tc>
          <w:tcPr>
            <w:tcW w:w="623" w:type="pct"/>
            <w:shd w:val="clear" w:color="auto" w:fill="auto"/>
            <w:noWrap/>
          </w:tcPr>
          <w:p w14:paraId="6CF74651" w14:textId="77777777" w:rsidR="006B2325" w:rsidRPr="006E19C7" w:rsidRDefault="006B2325" w:rsidP="00CD1F63">
            <w:pPr>
              <w:jc w:val="center"/>
            </w:pPr>
            <w:r w:rsidRPr="006E19C7">
              <w:t>0.11%</w:t>
            </w:r>
          </w:p>
        </w:tc>
        <w:tc>
          <w:tcPr>
            <w:tcW w:w="610" w:type="pct"/>
            <w:shd w:val="clear" w:color="auto" w:fill="auto"/>
            <w:noWrap/>
          </w:tcPr>
          <w:p w14:paraId="04B4462B" w14:textId="77777777" w:rsidR="006B2325" w:rsidRPr="006E19C7" w:rsidRDefault="006B2325" w:rsidP="00CD1F63">
            <w:pPr>
              <w:jc w:val="center"/>
            </w:pPr>
            <w:r w:rsidRPr="006E19C7">
              <w:t>0.15%</w:t>
            </w:r>
          </w:p>
        </w:tc>
      </w:tr>
      <w:tr w:rsidR="006B2325" w:rsidRPr="006E19C7" w14:paraId="01B10D9E" w14:textId="77777777" w:rsidTr="001414FD">
        <w:trPr>
          <w:trHeight w:val="290"/>
          <w:jc w:val="center"/>
        </w:trPr>
        <w:tc>
          <w:tcPr>
            <w:tcW w:w="1267" w:type="pct"/>
            <w:shd w:val="clear" w:color="auto" w:fill="auto"/>
            <w:noWrap/>
          </w:tcPr>
          <w:p w14:paraId="4BFE14C7" w14:textId="77777777" w:rsidR="006B2325" w:rsidRPr="006E19C7" w:rsidRDefault="006B2325" w:rsidP="00CD1F63">
            <w:r w:rsidRPr="006E19C7">
              <w:t>Alcohol abuse</w:t>
            </w:r>
          </w:p>
        </w:tc>
        <w:tc>
          <w:tcPr>
            <w:tcW w:w="630" w:type="pct"/>
            <w:shd w:val="clear" w:color="auto" w:fill="auto"/>
            <w:noWrap/>
          </w:tcPr>
          <w:p w14:paraId="6D7003FC" w14:textId="77777777" w:rsidR="006B2325" w:rsidRPr="006E19C7" w:rsidRDefault="006B2325" w:rsidP="00CD1F63">
            <w:pPr>
              <w:jc w:val="center"/>
            </w:pPr>
            <w:r w:rsidRPr="006E19C7">
              <w:t>2.0%</w:t>
            </w:r>
          </w:p>
        </w:tc>
        <w:tc>
          <w:tcPr>
            <w:tcW w:w="623" w:type="pct"/>
            <w:shd w:val="clear" w:color="auto" w:fill="auto"/>
            <w:noWrap/>
          </w:tcPr>
          <w:p w14:paraId="6142CEAB" w14:textId="77777777" w:rsidR="006B2325" w:rsidRPr="006E19C7" w:rsidRDefault="006B2325" w:rsidP="00CD1F63">
            <w:pPr>
              <w:jc w:val="center"/>
            </w:pPr>
            <w:r w:rsidRPr="006E19C7">
              <w:t>2.2%</w:t>
            </w:r>
          </w:p>
        </w:tc>
        <w:tc>
          <w:tcPr>
            <w:tcW w:w="624" w:type="pct"/>
            <w:shd w:val="clear" w:color="auto" w:fill="auto"/>
            <w:noWrap/>
          </w:tcPr>
          <w:p w14:paraId="125D4301" w14:textId="77777777" w:rsidR="006B2325" w:rsidRPr="006E19C7" w:rsidRDefault="006B2325" w:rsidP="00CD1F63">
            <w:pPr>
              <w:jc w:val="center"/>
            </w:pPr>
            <w:r w:rsidRPr="006E19C7">
              <w:t>2.4%</w:t>
            </w:r>
          </w:p>
        </w:tc>
        <w:tc>
          <w:tcPr>
            <w:tcW w:w="623" w:type="pct"/>
            <w:shd w:val="clear" w:color="auto" w:fill="auto"/>
            <w:noWrap/>
          </w:tcPr>
          <w:p w14:paraId="1AEF2C12" w14:textId="77777777" w:rsidR="006B2325" w:rsidRPr="006E19C7" w:rsidRDefault="006B2325" w:rsidP="00CD1F63">
            <w:pPr>
              <w:jc w:val="center"/>
            </w:pPr>
            <w:r w:rsidRPr="006E19C7">
              <w:t>2.4%</w:t>
            </w:r>
          </w:p>
        </w:tc>
        <w:tc>
          <w:tcPr>
            <w:tcW w:w="623" w:type="pct"/>
            <w:shd w:val="clear" w:color="auto" w:fill="auto"/>
            <w:noWrap/>
          </w:tcPr>
          <w:p w14:paraId="49845D4B" w14:textId="77777777" w:rsidR="006B2325" w:rsidRPr="006E19C7" w:rsidRDefault="006B2325" w:rsidP="00CD1F63">
            <w:pPr>
              <w:jc w:val="center"/>
            </w:pPr>
            <w:r w:rsidRPr="006E19C7">
              <w:t>2.7%</w:t>
            </w:r>
          </w:p>
        </w:tc>
        <w:tc>
          <w:tcPr>
            <w:tcW w:w="610" w:type="pct"/>
            <w:shd w:val="clear" w:color="auto" w:fill="auto"/>
            <w:noWrap/>
          </w:tcPr>
          <w:p w14:paraId="5A40C421" w14:textId="77777777" w:rsidR="006B2325" w:rsidRPr="006E19C7" w:rsidRDefault="006B2325" w:rsidP="00CD1F63">
            <w:pPr>
              <w:jc w:val="center"/>
            </w:pPr>
            <w:r w:rsidRPr="006E19C7">
              <w:t>2.9%</w:t>
            </w:r>
          </w:p>
        </w:tc>
      </w:tr>
      <w:tr w:rsidR="006B2325" w:rsidRPr="006E19C7" w14:paraId="0D4515EB" w14:textId="77777777" w:rsidTr="001414FD">
        <w:trPr>
          <w:trHeight w:val="290"/>
          <w:jc w:val="center"/>
        </w:trPr>
        <w:tc>
          <w:tcPr>
            <w:tcW w:w="1267" w:type="pct"/>
            <w:shd w:val="clear" w:color="auto" w:fill="auto"/>
            <w:noWrap/>
          </w:tcPr>
          <w:p w14:paraId="006421E5" w14:textId="77777777" w:rsidR="006B2325" w:rsidRPr="006E19C7" w:rsidRDefault="006B2325" w:rsidP="00CD1F63">
            <w:r w:rsidRPr="006E19C7">
              <w:t>Deficiency anaemias</w:t>
            </w:r>
          </w:p>
        </w:tc>
        <w:tc>
          <w:tcPr>
            <w:tcW w:w="630" w:type="pct"/>
            <w:shd w:val="clear" w:color="auto" w:fill="auto"/>
            <w:noWrap/>
          </w:tcPr>
          <w:p w14:paraId="1C750A37" w14:textId="77777777" w:rsidR="006B2325" w:rsidRPr="006E19C7" w:rsidRDefault="006B2325" w:rsidP="00CD1F63">
            <w:pPr>
              <w:jc w:val="center"/>
            </w:pPr>
            <w:r w:rsidRPr="006E19C7">
              <w:t>13.9%</w:t>
            </w:r>
          </w:p>
        </w:tc>
        <w:tc>
          <w:tcPr>
            <w:tcW w:w="623" w:type="pct"/>
            <w:shd w:val="clear" w:color="auto" w:fill="auto"/>
            <w:noWrap/>
          </w:tcPr>
          <w:p w14:paraId="44508458" w14:textId="77777777" w:rsidR="006B2325" w:rsidRPr="006E19C7" w:rsidRDefault="006B2325" w:rsidP="00CD1F63">
            <w:pPr>
              <w:jc w:val="center"/>
            </w:pPr>
            <w:r w:rsidRPr="006E19C7">
              <w:t>15.7%</w:t>
            </w:r>
          </w:p>
        </w:tc>
        <w:tc>
          <w:tcPr>
            <w:tcW w:w="624" w:type="pct"/>
            <w:shd w:val="clear" w:color="auto" w:fill="auto"/>
            <w:noWrap/>
          </w:tcPr>
          <w:p w14:paraId="64070453" w14:textId="77777777" w:rsidR="006B2325" w:rsidRPr="006E19C7" w:rsidRDefault="006B2325" w:rsidP="00CD1F63">
            <w:pPr>
              <w:jc w:val="center"/>
            </w:pPr>
            <w:r w:rsidRPr="006E19C7">
              <w:t>20.9%</w:t>
            </w:r>
          </w:p>
        </w:tc>
        <w:tc>
          <w:tcPr>
            <w:tcW w:w="623" w:type="pct"/>
            <w:shd w:val="clear" w:color="auto" w:fill="auto"/>
            <w:noWrap/>
          </w:tcPr>
          <w:p w14:paraId="684CA3D5" w14:textId="77777777" w:rsidR="006B2325" w:rsidRPr="006E19C7" w:rsidRDefault="006B2325" w:rsidP="00CD1F63">
            <w:pPr>
              <w:jc w:val="center"/>
            </w:pPr>
            <w:r w:rsidRPr="006E19C7">
              <w:t>22.7%</w:t>
            </w:r>
          </w:p>
        </w:tc>
        <w:tc>
          <w:tcPr>
            <w:tcW w:w="623" w:type="pct"/>
            <w:shd w:val="clear" w:color="auto" w:fill="auto"/>
            <w:noWrap/>
          </w:tcPr>
          <w:p w14:paraId="35927C96" w14:textId="77777777" w:rsidR="006B2325" w:rsidRPr="006E19C7" w:rsidRDefault="006B2325" w:rsidP="00CD1F63">
            <w:pPr>
              <w:jc w:val="center"/>
            </w:pPr>
            <w:r w:rsidRPr="006E19C7">
              <w:t>25.3%</w:t>
            </w:r>
          </w:p>
        </w:tc>
        <w:tc>
          <w:tcPr>
            <w:tcW w:w="610" w:type="pct"/>
            <w:shd w:val="clear" w:color="auto" w:fill="auto"/>
            <w:noWrap/>
          </w:tcPr>
          <w:p w14:paraId="6BF41135" w14:textId="77777777" w:rsidR="006B2325" w:rsidRPr="006E19C7" w:rsidRDefault="006B2325" w:rsidP="00CD1F63">
            <w:pPr>
              <w:jc w:val="center"/>
            </w:pPr>
            <w:r w:rsidRPr="006E19C7">
              <w:t>25.1%</w:t>
            </w:r>
          </w:p>
        </w:tc>
      </w:tr>
      <w:tr w:rsidR="006B2325" w:rsidRPr="006E19C7" w14:paraId="5E39971E" w14:textId="77777777" w:rsidTr="001414FD">
        <w:trPr>
          <w:trHeight w:val="290"/>
          <w:jc w:val="center"/>
        </w:trPr>
        <w:tc>
          <w:tcPr>
            <w:tcW w:w="1267" w:type="pct"/>
            <w:shd w:val="clear" w:color="auto" w:fill="auto"/>
            <w:noWrap/>
          </w:tcPr>
          <w:p w14:paraId="2E668EFF" w14:textId="77777777" w:rsidR="006B2325" w:rsidRPr="006E19C7" w:rsidRDefault="006B2325" w:rsidP="00CD1F63">
            <w:r w:rsidRPr="006E19C7">
              <w:t>Chronic Blood loss anaemia</w:t>
            </w:r>
          </w:p>
        </w:tc>
        <w:tc>
          <w:tcPr>
            <w:tcW w:w="630" w:type="pct"/>
            <w:shd w:val="clear" w:color="auto" w:fill="auto"/>
            <w:noWrap/>
          </w:tcPr>
          <w:p w14:paraId="2F889013" w14:textId="77777777" w:rsidR="006B2325" w:rsidRPr="006E19C7" w:rsidRDefault="006B2325" w:rsidP="00CD1F63">
            <w:pPr>
              <w:jc w:val="center"/>
            </w:pPr>
            <w:r w:rsidRPr="006E19C7">
              <w:t>1.9%</w:t>
            </w:r>
          </w:p>
        </w:tc>
        <w:tc>
          <w:tcPr>
            <w:tcW w:w="623" w:type="pct"/>
            <w:shd w:val="clear" w:color="auto" w:fill="auto"/>
            <w:noWrap/>
          </w:tcPr>
          <w:p w14:paraId="55CFA75B" w14:textId="77777777" w:rsidR="006B2325" w:rsidRPr="006E19C7" w:rsidRDefault="006B2325" w:rsidP="00CD1F63">
            <w:pPr>
              <w:jc w:val="center"/>
            </w:pPr>
            <w:r w:rsidRPr="006E19C7">
              <w:t>2.0%</w:t>
            </w:r>
          </w:p>
        </w:tc>
        <w:tc>
          <w:tcPr>
            <w:tcW w:w="624" w:type="pct"/>
            <w:shd w:val="clear" w:color="auto" w:fill="auto"/>
            <w:noWrap/>
          </w:tcPr>
          <w:p w14:paraId="2843C2F9" w14:textId="77777777" w:rsidR="006B2325" w:rsidRPr="006E19C7" w:rsidRDefault="006B2325" w:rsidP="00CD1F63">
            <w:pPr>
              <w:jc w:val="center"/>
            </w:pPr>
            <w:r w:rsidRPr="006E19C7">
              <w:t>1.6%</w:t>
            </w:r>
          </w:p>
        </w:tc>
        <w:tc>
          <w:tcPr>
            <w:tcW w:w="623" w:type="pct"/>
            <w:shd w:val="clear" w:color="auto" w:fill="auto"/>
            <w:noWrap/>
          </w:tcPr>
          <w:p w14:paraId="4B93FBFA" w14:textId="77777777" w:rsidR="006B2325" w:rsidRPr="006E19C7" w:rsidRDefault="006B2325" w:rsidP="00CD1F63">
            <w:pPr>
              <w:jc w:val="center"/>
            </w:pPr>
            <w:r w:rsidRPr="006E19C7">
              <w:t>1.4%</w:t>
            </w:r>
          </w:p>
        </w:tc>
        <w:tc>
          <w:tcPr>
            <w:tcW w:w="623" w:type="pct"/>
            <w:shd w:val="clear" w:color="auto" w:fill="auto"/>
            <w:noWrap/>
          </w:tcPr>
          <w:p w14:paraId="515C0199" w14:textId="77777777" w:rsidR="006B2325" w:rsidRPr="006E19C7" w:rsidRDefault="006B2325" w:rsidP="00CD1F63">
            <w:pPr>
              <w:jc w:val="center"/>
            </w:pPr>
            <w:r w:rsidRPr="006E19C7">
              <w:t>1.3%</w:t>
            </w:r>
          </w:p>
        </w:tc>
        <w:tc>
          <w:tcPr>
            <w:tcW w:w="610" w:type="pct"/>
            <w:shd w:val="clear" w:color="auto" w:fill="auto"/>
            <w:noWrap/>
          </w:tcPr>
          <w:p w14:paraId="572C6C0A" w14:textId="77777777" w:rsidR="006B2325" w:rsidRPr="006E19C7" w:rsidRDefault="006B2325" w:rsidP="00CD1F63">
            <w:pPr>
              <w:jc w:val="center"/>
            </w:pPr>
            <w:r w:rsidRPr="006E19C7">
              <w:t>1.1%</w:t>
            </w:r>
          </w:p>
        </w:tc>
      </w:tr>
      <w:tr w:rsidR="006B2325" w:rsidRPr="006E19C7" w14:paraId="7B5EDBB8" w14:textId="77777777" w:rsidTr="001414FD">
        <w:trPr>
          <w:trHeight w:val="290"/>
          <w:jc w:val="center"/>
        </w:trPr>
        <w:tc>
          <w:tcPr>
            <w:tcW w:w="1267" w:type="pct"/>
            <w:shd w:val="clear" w:color="auto" w:fill="auto"/>
            <w:noWrap/>
          </w:tcPr>
          <w:p w14:paraId="626751C8" w14:textId="77777777" w:rsidR="006B2325" w:rsidRPr="006E19C7" w:rsidRDefault="006B2325" w:rsidP="00CD1F63">
            <w:r w:rsidRPr="006E19C7">
              <w:t>RA/collagen vascular</w:t>
            </w:r>
          </w:p>
          <w:p w14:paraId="30B95779" w14:textId="77777777" w:rsidR="006B2325" w:rsidRPr="006E19C7" w:rsidRDefault="006B2325" w:rsidP="00CD1F63">
            <w:r w:rsidRPr="006E19C7">
              <w:t>diseases</w:t>
            </w:r>
          </w:p>
        </w:tc>
        <w:tc>
          <w:tcPr>
            <w:tcW w:w="630" w:type="pct"/>
            <w:shd w:val="clear" w:color="auto" w:fill="auto"/>
            <w:noWrap/>
          </w:tcPr>
          <w:p w14:paraId="515D936C" w14:textId="77777777" w:rsidR="006B2325" w:rsidRPr="006E19C7" w:rsidRDefault="006B2325" w:rsidP="00CD1F63">
            <w:pPr>
              <w:jc w:val="center"/>
            </w:pPr>
            <w:r w:rsidRPr="006E19C7">
              <w:t>1.8%</w:t>
            </w:r>
          </w:p>
        </w:tc>
        <w:tc>
          <w:tcPr>
            <w:tcW w:w="623" w:type="pct"/>
            <w:shd w:val="clear" w:color="auto" w:fill="auto"/>
            <w:noWrap/>
          </w:tcPr>
          <w:p w14:paraId="6C77F1F7" w14:textId="77777777" w:rsidR="006B2325" w:rsidRPr="006E19C7" w:rsidRDefault="006B2325" w:rsidP="00CD1F63">
            <w:pPr>
              <w:jc w:val="center"/>
            </w:pPr>
            <w:r w:rsidRPr="006E19C7">
              <w:t>2.0%</w:t>
            </w:r>
          </w:p>
        </w:tc>
        <w:tc>
          <w:tcPr>
            <w:tcW w:w="624" w:type="pct"/>
            <w:shd w:val="clear" w:color="auto" w:fill="auto"/>
            <w:noWrap/>
          </w:tcPr>
          <w:p w14:paraId="6AA2A3B6" w14:textId="77777777" w:rsidR="006B2325" w:rsidRPr="006E19C7" w:rsidRDefault="006B2325" w:rsidP="00CD1F63">
            <w:pPr>
              <w:jc w:val="center"/>
            </w:pPr>
            <w:r w:rsidRPr="006E19C7">
              <w:t>2.3%</w:t>
            </w:r>
          </w:p>
        </w:tc>
        <w:tc>
          <w:tcPr>
            <w:tcW w:w="623" w:type="pct"/>
            <w:shd w:val="clear" w:color="auto" w:fill="auto"/>
            <w:noWrap/>
          </w:tcPr>
          <w:p w14:paraId="5C19251B" w14:textId="77777777" w:rsidR="006B2325" w:rsidRPr="006E19C7" w:rsidRDefault="006B2325" w:rsidP="00CD1F63">
            <w:pPr>
              <w:jc w:val="center"/>
            </w:pPr>
            <w:r w:rsidRPr="006E19C7">
              <w:t>2.7%</w:t>
            </w:r>
          </w:p>
        </w:tc>
        <w:tc>
          <w:tcPr>
            <w:tcW w:w="623" w:type="pct"/>
            <w:shd w:val="clear" w:color="auto" w:fill="auto"/>
            <w:noWrap/>
          </w:tcPr>
          <w:p w14:paraId="705E0D0E" w14:textId="77777777" w:rsidR="006B2325" w:rsidRPr="006E19C7" w:rsidRDefault="006B2325" w:rsidP="00CD1F63">
            <w:pPr>
              <w:jc w:val="center"/>
            </w:pPr>
            <w:r w:rsidRPr="006E19C7">
              <w:t>2.8%</w:t>
            </w:r>
          </w:p>
        </w:tc>
        <w:tc>
          <w:tcPr>
            <w:tcW w:w="610" w:type="pct"/>
            <w:shd w:val="clear" w:color="auto" w:fill="auto"/>
            <w:noWrap/>
          </w:tcPr>
          <w:p w14:paraId="09A433AB" w14:textId="77777777" w:rsidR="006B2325" w:rsidRPr="006E19C7" w:rsidRDefault="006B2325" w:rsidP="00CD1F63">
            <w:pPr>
              <w:jc w:val="center"/>
            </w:pPr>
            <w:r w:rsidRPr="006E19C7">
              <w:t>2.9%</w:t>
            </w:r>
          </w:p>
        </w:tc>
      </w:tr>
      <w:tr w:rsidR="006B2325" w:rsidRPr="006E19C7" w14:paraId="0546EEA6" w14:textId="77777777" w:rsidTr="001414FD">
        <w:trPr>
          <w:trHeight w:val="290"/>
          <w:jc w:val="center"/>
        </w:trPr>
        <w:tc>
          <w:tcPr>
            <w:tcW w:w="1267" w:type="pct"/>
            <w:shd w:val="clear" w:color="auto" w:fill="auto"/>
            <w:noWrap/>
          </w:tcPr>
          <w:p w14:paraId="01200F51" w14:textId="77777777" w:rsidR="006B2325" w:rsidRPr="006E19C7" w:rsidRDefault="006B2325" w:rsidP="00CD1F63">
            <w:r w:rsidRPr="006E19C7">
              <w:t>Congestive heart failure</w:t>
            </w:r>
          </w:p>
        </w:tc>
        <w:tc>
          <w:tcPr>
            <w:tcW w:w="630" w:type="pct"/>
            <w:shd w:val="clear" w:color="auto" w:fill="auto"/>
            <w:noWrap/>
          </w:tcPr>
          <w:p w14:paraId="45F85870" w14:textId="77777777" w:rsidR="006B2325" w:rsidRPr="006E19C7" w:rsidRDefault="006B2325" w:rsidP="00CD1F63">
            <w:pPr>
              <w:jc w:val="center"/>
            </w:pPr>
            <w:r w:rsidRPr="006E19C7">
              <w:t>1.3%</w:t>
            </w:r>
          </w:p>
        </w:tc>
        <w:tc>
          <w:tcPr>
            <w:tcW w:w="623" w:type="pct"/>
            <w:shd w:val="clear" w:color="auto" w:fill="auto"/>
            <w:noWrap/>
          </w:tcPr>
          <w:p w14:paraId="4C0B687F" w14:textId="77777777" w:rsidR="006B2325" w:rsidRPr="006E19C7" w:rsidRDefault="006B2325" w:rsidP="00CD1F63">
            <w:pPr>
              <w:jc w:val="center"/>
            </w:pPr>
            <w:r w:rsidRPr="006E19C7">
              <w:t>1.0%</w:t>
            </w:r>
          </w:p>
        </w:tc>
        <w:tc>
          <w:tcPr>
            <w:tcW w:w="624" w:type="pct"/>
            <w:shd w:val="clear" w:color="auto" w:fill="auto"/>
            <w:noWrap/>
          </w:tcPr>
          <w:p w14:paraId="6C1D1424" w14:textId="77777777" w:rsidR="006B2325" w:rsidRPr="006E19C7" w:rsidRDefault="006B2325" w:rsidP="00CD1F63">
            <w:pPr>
              <w:jc w:val="center"/>
            </w:pPr>
            <w:r w:rsidRPr="006E19C7">
              <w:t>1.3%</w:t>
            </w:r>
          </w:p>
        </w:tc>
        <w:tc>
          <w:tcPr>
            <w:tcW w:w="623" w:type="pct"/>
            <w:shd w:val="clear" w:color="auto" w:fill="auto"/>
            <w:noWrap/>
          </w:tcPr>
          <w:p w14:paraId="7201050A" w14:textId="77777777" w:rsidR="006B2325" w:rsidRPr="006E19C7" w:rsidRDefault="006B2325" w:rsidP="00CD1F63">
            <w:pPr>
              <w:jc w:val="center"/>
            </w:pPr>
            <w:r w:rsidRPr="006E19C7">
              <w:t>1.6%</w:t>
            </w:r>
          </w:p>
        </w:tc>
        <w:tc>
          <w:tcPr>
            <w:tcW w:w="623" w:type="pct"/>
            <w:shd w:val="clear" w:color="auto" w:fill="auto"/>
            <w:noWrap/>
          </w:tcPr>
          <w:p w14:paraId="12872D90" w14:textId="77777777" w:rsidR="006B2325" w:rsidRPr="006E19C7" w:rsidRDefault="006B2325" w:rsidP="00CD1F63">
            <w:pPr>
              <w:jc w:val="center"/>
            </w:pPr>
            <w:r w:rsidRPr="006E19C7">
              <w:t>1.2%</w:t>
            </w:r>
          </w:p>
        </w:tc>
        <w:tc>
          <w:tcPr>
            <w:tcW w:w="610" w:type="pct"/>
            <w:shd w:val="clear" w:color="auto" w:fill="auto"/>
            <w:noWrap/>
          </w:tcPr>
          <w:p w14:paraId="7830DACD" w14:textId="77777777" w:rsidR="006B2325" w:rsidRPr="006E19C7" w:rsidRDefault="006B2325" w:rsidP="00CD1F63">
            <w:pPr>
              <w:jc w:val="center"/>
            </w:pPr>
            <w:r w:rsidRPr="006E19C7">
              <w:t>1.2%</w:t>
            </w:r>
          </w:p>
        </w:tc>
      </w:tr>
      <w:tr w:rsidR="006B2325" w:rsidRPr="006E19C7" w14:paraId="32505351" w14:textId="77777777" w:rsidTr="001414FD">
        <w:trPr>
          <w:trHeight w:val="290"/>
          <w:jc w:val="center"/>
        </w:trPr>
        <w:tc>
          <w:tcPr>
            <w:tcW w:w="1267" w:type="pct"/>
            <w:shd w:val="clear" w:color="auto" w:fill="auto"/>
            <w:noWrap/>
          </w:tcPr>
          <w:p w14:paraId="0D3E19AB" w14:textId="77777777" w:rsidR="006B2325" w:rsidRPr="006E19C7" w:rsidRDefault="006B2325" w:rsidP="00CD1F63">
            <w:r w:rsidRPr="006E19C7">
              <w:t>Chronic pulmonary disease</w:t>
            </w:r>
          </w:p>
        </w:tc>
        <w:tc>
          <w:tcPr>
            <w:tcW w:w="630" w:type="pct"/>
            <w:shd w:val="clear" w:color="auto" w:fill="auto"/>
            <w:noWrap/>
          </w:tcPr>
          <w:p w14:paraId="226B73EA" w14:textId="77777777" w:rsidR="006B2325" w:rsidRPr="006E19C7" w:rsidRDefault="006B2325" w:rsidP="00CD1F63">
            <w:pPr>
              <w:jc w:val="center"/>
            </w:pPr>
            <w:r w:rsidRPr="006E19C7">
              <w:t>23.5%</w:t>
            </w:r>
          </w:p>
        </w:tc>
        <w:tc>
          <w:tcPr>
            <w:tcW w:w="623" w:type="pct"/>
            <w:shd w:val="clear" w:color="auto" w:fill="auto"/>
            <w:noWrap/>
          </w:tcPr>
          <w:p w14:paraId="3B12177E" w14:textId="77777777" w:rsidR="006B2325" w:rsidRPr="006E19C7" w:rsidRDefault="006B2325" w:rsidP="00CD1F63">
            <w:pPr>
              <w:jc w:val="center"/>
            </w:pPr>
            <w:r w:rsidRPr="006E19C7">
              <w:t>24.9%</w:t>
            </w:r>
          </w:p>
        </w:tc>
        <w:tc>
          <w:tcPr>
            <w:tcW w:w="624" w:type="pct"/>
            <w:shd w:val="clear" w:color="auto" w:fill="auto"/>
            <w:noWrap/>
          </w:tcPr>
          <w:p w14:paraId="11994B54" w14:textId="77777777" w:rsidR="006B2325" w:rsidRPr="006E19C7" w:rsidRDefault="006B2325" w:rsidP="00CD1F63">
            <w:pPr>
              <w:jc w:val="center"/>
            </w:pPr>
            <w:r w:rsidRPr="006E19C7">
              <w:t>24.9%</w:t>
            </w:r>
          </w:p>
        </w:tc>
        <w:tc>
          <w:tcPr>
            <w:tcW w:w="623" w:type="pct"/>
            <w:shd w:val="clear" w:color="auto" w:fill="auto"/>
            <w:noWrap/>
          </w:tcPr>
          <w:p w14:paraId="2A06E683" w14:textId="77777777" w:rsidR="006B2325" w:rsidRPr="006E19C7" w:rsidRDefault="006B2325" w:rsidP="00CD1F63">
            <w:pPr>
              <w:jc w:val="center"/>
            </w:pPr>
            <w:r w:rsidRPr="006E19C7">
              <w:t>24.9%</w:t>
            </w:r>
          </w:p>
        </w:tc>
        <w:tc>
          <w:tcPr>
            <w:tcW w:w="623" w:type="pct"/>
            <w:shd w:val="clear" w:color="auto" w:fill="auto"/>
            <w:noWrap/>
          </w:tcPr>
          <w:p w14:paraId="76D5301E" w14:textId="77777777" w:rsidR="006B2325" w:rsidRPr="006E19C7" w:rsidRDefault="006B2325" w:rsidP="00CD1F63">
            <w:pPr>
              <w:jc w:val="center"/>
            </w:pPr>
            <w:r w:rsidRPr="006E19C7">
              <w:t>26.7%</w:t>
            </w:r>
          </w:p>
        </w:tc>
        <w:tc>
          <w:tcPr>
            <w:tcW w:w="610" w:type="pct"/>
            <w:shd w:val="clear" w:color="auto" w:fill="auto"/>
            <w:noWrap/>
          </w:tcPr>
          <w:p w14:paraId="081BEC99" w14:textId="77777777" w:rsidR="006B2325" w:rsidRPr="006E19C7" w:rsidRDefault="006B2325" w:rsidP="00CD1F63">
            <w:pPr>
              <w:jc w:val="center"/>
            </w:pPr>
            <w:r w:rsidRPr="006E19C7">
              <w:t>27.0%</w:t>
            </w:r>
          </w:p>
        </w:tc>
      </w:tr>
      <w:tr w:rsidR="006B2325" w:rsidRPr="006E19C7" w14:paraId="6321664E" w14:textId="77777777" w:rsidTr="001414FD">
        <w:trPr>
          <w:trHeight w:val="290"/>
          <w:jc w:val="center"/>
        </w:trPr>
        <w:tc>
          <w:tcPr>
            <w:tcW w:w="1267" w:type="pct"/>
            <w:shd w:val="clear" w:color="auto" w:fill="auto"/>
            <w:noWrap/>
          </w:tcPr>
          <w:p w14:paraId="4E992AEF" w14:textId="77777777" w:rsidR="006B2325" w:rsidRPr="006E19C7" w:rsidRDefault="006B2325" w:rsidP="00CD1F63">
            <w:r w:rsidRPr="006E19C7">
              <w:t>Coagulopathy</w:t>
            </w:r>
          </w:p>
        </w:tc>
        <w:tc>
          <w:tcPr>
            <w:tcW w:w="630" w:type="pct"/>
            <w:shd w:val="clear" w:color="auto" w:fill="auto"/>
            <w:noWrap/>
          </w:tcPr>
          <w:p w14:paraId="6510EADD" w14:textId="77777777" w:rsidR="006B2325" w:rsidRPr="006E19C7" w:rsidRDefault="006B2325" w:rsidP="00CD1F63">
            <w:pPr>
              <w:jc w:val="center"/>
            </w:pPr>
            <w:r w:rsidRPr="006E19C7">
              <w:t>2.8%</w:t>
            </w:r>
          </w:p>
        </w:tc>
        <w:tc>
          <w:tcPr>
            <w:tcW w:w="623" w:type="pct"/>
            <w:shd w:val="clear" w:color="auto" w:fill="auto"/>
            <w:noWrap/>
          </w:tcPr>
          <w:p w14:paraId="3D13F2FA" w14:textId="77777777" w:rsidR="006B2325" w:rsidRPr="006E19C7" w:rsidRDefault="006B2325" w:rsidP="00CD1F63">
            <w:pPr>
              <w:jc w:val="center"/>
            </w:pPr>
            <w:r w:rsidRPr="006E19C7">
              <w:t>3.2%</w:t>
            </w:r>
          </w:p>
        </w:tc>
        <w:tc>
          <w:tcPr>
            <w:tcW w:w="624" w:type="pct"/>
            <w:shd w:val="clear" w:color="auto" w:fill="auto"/>
            <w:noWrap/>
          </w:tcPr>
          <w:p w14:paraId="2D89BAA2" w14:textId="77777777" w:rsidR="006B2325" w:rsidRPr="006E19C7" w:rsidRDefault="006B2325" w:rsidP="00CD1F63">
            <w:pPr>
              <w:jc w:val="center"/>
            </w:pPr>
            <w:r w:rsidRPr="006E19C7">
              <w:t>3.7%</w:t>
            </w:r>
          </w:p>
        </w:tc>
        <w:tc>
          <w:tcPr>
            <w:tcW w:w="623" w:type="pct"/>
            <w:shd w:val="clear" w:color="auto" w:fill="auto"/>
            <w:noWrap/>
          </w:tcPr>
          <w:p w14:paraId="2D244124" w14:textId="77777777" w:rsidR="006B2325" w:rsidRPr="006E19C7" w:rsidRDefault="006B2325" w:rsidP="00CD1F63">
            <w:pPr>
              <w:jc w:val="center"/>
            </w:pPr>
            <w:r w:rsidRPr="006E19C7">
              <w:t>4.6%</w:t>
            </w:r>
          </w:p>
        </w:tc>
        <w:tc>
          <w:tcPr>
            <w:tcW w:w="623" w:type="pct"/>
            <w:shd w:val="clear" w:color="auto" w:fill="auto"/>
            <w:noWrap/>
          </w:tcPr>
          <w:p w14:paraId="59C38030" w14:textId="77777777" w:rsidR="006B2325" w:rsidRPr="006E19C7" w:rsidRDefault="006B2325" w:rsidP="00CD1F63">
            <w:pPr>
              <w:jc w:val="center"/>
            </w:pPr>
            <w:r w:rsidRPr="006E19C7">
              <w:t>6.1%</w:t>
            </w:r>
          </w:p>
        </w:tc>
        <w:tc>
          <w:tcPr>
            <w:tcW w:w="610" w:type="pct"/>
            <w:shd w:val="clear" w:color="auto" w:fill="auto"/>
            <w:noWrap/>
          </w:tcPr>
          <w:p w14:paraId="3F59626B" w14:textId="77777777" w:rsidR="006B2325" w:rsidRPr="006E19C7" w:rsidRDefault="006B2325" w:rsidP="00CD1F63">
            <w:pPr>
              <w:jc w:val="center"/>
            </w:pPr>
            <w:r w:rsidRPr="006E19C7">
              <w:t>6.7%</w:t>
            </w:r>
          </w:p>
        </w:tc>
      </w:tr>
      <w:tr w:rsidR="006B2325" w:rsidRPr="006E19C7" w14:paraId="38A18BF8" w14:textId="77777777" w:rsidTr="001414FD">
        <w:trPr>
          <w:trHeight w:val="290"/>
          <w:jc w:val="center"/>
        </w:trPr>
        <w:tc>
          <w:tcPr>
            <w:tcW w:w="1267" w:type="pct"/>
            <w:shd w:val="clear" w:color="auto" w:fill="auto"/>
            <w:noWrap/>
          </w:tcPr>
          <w:p w14:paraId="135EAA76" w14:textId="77777777" w:rsidR="006B2325" w:rsidRPr="006E19C7" w:rsidRDefault="006B2325" w:rsidP="00CD1F63">
            <w:r w:rsidRPr="006E19C7">
              <w:t>Depression</w:t>
            </w:r>
          </w:p>
        </w:tc>
        <w:tc>
          <w:tcPr>
            <w:tcW w:w="630" w:type="pct"/>
            <w:shd w:val="clear" w:color="auto" w:fill="auto"/>
            <w:noWrap/>
          </w:tcPr>
          <w:p w14:paraId="31BE2877" w14:textId="77777777" w:rsidR="006B2325" w:rsidRPr="006E19C7" w:rsidRDefault="006B2325" w:rsidP="00CD1F63">
            <w:pPr>
              <w:jc w:val="center"/>
            </w:pPr>
            <w:r w:rsidRPr="006E19C7">
              <w:t>5.4%</w:t>
            </w:r>
          </w:p>
        </w:tc>
        <w:tc>
          <w:tcPr>
            <w:tcW w:w="623" w:type="pct"/>
            <w:shd w:val="clear" w:color="auto" w:fill="auto"/>
            <w:noWrap/>
          </w:tcPr>
          <w:p w14:paraId="4BBCCDF4" w14:textId="77777777" w:rsidR="006B2325" w:rsidRPr="006E19C7" w:rsidRDefault="006B2325" w:rsidP="00CD1F63">
            <w:pPr>
              <w:jc w:val="center"/>
            </w:pPr>
            <w:r w:rsidRPr="006E19C7">
              <w:t>6.3%</w:t>
            </w:r>
          </w:p>
        </w:tc>
        <w:tc>
          <w:tcPr>
            <w:tcW w:w="624" w:type="pct"/>
            <w:shd w:val="clear" w:color="auto" w:fill="auto"/>
            <w:noWrap/>
          </w:tcPr>
          <w:p w14:paraId="20BDA7D7" w14:textId="77777777" w:rsidR="006B2325" w:rsidRPr="006E19C7" w:rsidRDefault="006B2325" w:rsidP="00CD1F63">
            <w:pPr>
              <w:jc w:val="center"/>
            </w:pPr>
            <w:r w:rsidRPr="006E19C7">
              <w:t>7.8%</w:t>
            </w:r>
          </w:p>
        </w:tc>
        <w:tc>
          <w:tcPr>
            <w:tcW w:w="623" w:type="pct"/>
            <w:shd w:val="clear" w:color="auto" w:fill="auto"/>
            <w:noWrap/>
          </w:tcPr>
          <w:p w14:paraId="78195D55" w14:textId="77777777" w:rsidR="006B2325" w:rsidRPr="006E19C7" w:rsidRDefault="006B2325" w:rsidP="00CD1F63">
            <w:pPr>
              <w:jc w:val="center"/>
            </w:pPr>
            <w:r w:rsidRPr="006E19C7">
              <w:t>8.6%</w:t>
            </w:r>
          </w:p>
        </w:tc>
        <w:tc>
          <w:tcPr>
            <w:tcW w:w="623" w:type="pct"/>
            <w:shd w:val="clear" w:color="auto" w:fill="auto"/>
            <w:noWrap/>
          </w:tcPr>
          <w:p w14:paraId="2BD73EBA" w14:textId="77777777" w:rsidR="006B2325" w:rsidRPr="006E19C7" w:rsidRDefault="006B2325" w:rsidP="00CD1F63">
            <w:pPr>
              <w:jc w:val="center"/>
            </w:pPr>
            <w:r w:rsidRPr="006E19C7">
              <w:t>9.6%</w:t>
            </w:r>
          </w:p>
        </w:tc>
        <w:tc>
          <w:tcPr>
            <w:tcW w:w="610" w:type="pct"/>
            <w:shd w:val="clear" w:color="auto" w:fill="auto"/>
            <w:noWrap/>
          </w:tcPr>
          <w:p w14:paraId="16AE528C" w14:textId="77777777" w:rsidR="006B2325" w:rsidRPr="006E19C7" w:rsidRDefault="006B2325" w:rsidP="00CD1F63">
            <w:pPr>
              <w:jc w:val="center"/>
            </w:pPr>
            <w:r w:rsidRPr="006E19C7">
              <w:t>10.1%</w:t>
            </w:r>
          </w:p>
        </w:tc>
      </w:tr>
      <w:tr w:rsidR="006B2325" w:rsidRPr="006E19C7" w14:paraId="34382377" w14:textId="77777777" w:rsidTr="001414FD">
        <w:trPr>
          <w:trHeight w:val="290"/>
          <w:jc w:val="center"/>
        </w:trPr>
        <w:tc>
          <w:tcPr>
            <w:tcW w:w="1267" w:type="pct"/>
            <w:shd w:val="clear" w:color="auto" w:fill="auto"/>
            <w:noWrap/>
          </w:tcPr>
          <w:p w14:paraId="28836B08" w14:textId="77777777" w:rsidR="006B2325" w:rsidRPr="006E19C7" w:rsidRDefault="006B2325" w:rsidP="00CD1F63">
            <w:r w:rsidRPr="006E19C7">
              <w:t>Diabetes</w:t>
            </w:r>
          </w:p>
        </w:tc>
        <w:tc>
          <w:tcPr>
            <w:tcW w:w="630" w:type="pct"/>
            <w:shd w:val="clear" w:color="auto" w:fill="auto"/>
            <w:noWrap/>
          </w:tcPr>
          <w:p w14:paraId="54ADE5C0" w14:textId="77777777" w:rsidR="006B2325" w:rsidRPr="006E19C7" w:rsidRDefault="006B2325" w:rsidP="00CD1F63">
            <w:pPr>
              <w:jc w:val="center"/>
            </w:pPr>
            <w:r w:rsidRPr="006E19C7">
              <w:t>27.2%</w:t>
            </w:r>
          </w:p>
        </w:tc>
        <w:tc>
          <w:tcPr>
            <w:tcW w:w="623" w:type="pct"/>
            <w:shd w:val="clear" w:color="auto" w:fill="auto"/>
            <w:noWrap/>
          </w:tcPr>
          <w:p w14:paraId="61EE9195" w14:textId="77777777" w:rsidR="006B2325" w:rsidRPr="006E19C7" w:rsidRDefault="006B2325" w:rsidP="00CD1F63">
            <w:pPr>
              <w:jc w:val="center"/>
            </w:pPr>
            <w:r w:rsidRPr="006E19C7">
              <w:t>28.4%</w:t>
            </w:r>
          </w:p>
        </w:tc>
        <w:tc>
          <w:tcPr>
            <w:tcW w:w="624" w:type="pct"/>
            <w:shd w:val="clear" w:color="auto" w:fill="auto"/>
            <w:noWrap/>
          </w:tcPr>
          <w:p w14:paraId="6948511C" w14:textId="77777777" w:rsidR="006B2325" w:rsidRPr="006E19C7" w:rsidRDefault="006B2325" w:rsidP="00CD1F63">
            <w:pPr>
              <w:jc w:val="center"/>
            </w:pPr>
            <w:r w:rsidRPr="006E19C7">
              <w:t>29.7%</w:t>
            </w:r>
          </w:p>
        </w:tc>
        <w:tc>
          <w:tcPr>
            <w:tcW w:w="623" w:type="pct"/>
            <w:shd w:val="clear" w:color="auto" w:fill="auto"/>
            <w:noWrap/>
          </w:tcPr>
          <w:p w14:paraId="7819318A" w14:textId="77777777" w:rsidR="006B2325" w:rsidRPr="006E19C7" w:rsidRDefault="006B2325" w:rsidP="00CD1F63">
            <w:pPr>
              <w:jc w:val="center"/>
            </w:pPr>
            <w:r w:rsidRPr="006E19C7">
              <w:t>31.1%</w:t>
            </w:r>
          </w:p>
        </w:tc>
        <w:tc>
          <w:tcPr>
            <w:tcW w:w="623" w:type="pct"/>
            <w:shd w:val="clear" w:color="auto" w:fill="auto"/>
            <w:noWrap/>
          </w:tcPr>
          <w:p w14:paraId="67B45FB8" w14:textId="77777777" w:rsidR="006B2325" w:rsidRPr="006E19C7" w:rsidRDefault="006B2325" w:rsidP="00CD1F63">
            <w:pPr>
              <w:jc w:val="center"/>
            </w:pPr>
            <w:r w:rsidRPr="006E19C7">
              <w:t>32.7%</w:t>
            </w:r>
          </w:p>
        </w:tc>
        <w:tc>
          <w:tcPr>
            <w:tcW w:w="610" w:type="pct"/>
            <w:shd w:val="clear" w:color="auto" w:fill="auto"/>
            <w:noWrap/>
          </w:tcPr>
          <w:p w14:paraId="711E588E" w14:textId="77777777" w:rsidR="006B2325" w:rsidRPr="006E19C7" w:rsidRDefault="006B2325" w:rsidP="00CD1F63">
            <w:pPr>
              <w:jc w:val="center"/>
            </w:pPr>
            <w:r w:rsidRPr="006E19C7">
              <w:t>33.2%</w:t>
            </w:r>
          </w:p>
        </w:tc>
      </w:tr>
      <w:tr w:rsidR="006B2325" w:rsidRPr="006E19C7" w14:paraId="6C3DFEA0" w14:textId="77777777" w:rsidTr="001414FD">
        <w:trPr>
          <w:trHeight w:val="290"/>
          <w:jc w:val="center"/>
        </w:trPr>
        <w:tc>
          <w:tcPr>
            <w:tcW w:w="1267" w:type="pct"/>
            <w:shd w:val="clear" w:color="auto" w:fill="auto"/>
            <w:noWrap/>
          </w:tcPr>
          <w:p w14:paraId="68B56B03" w14:textId="77777777" w:rsidR="006B2325" w:rsidRPr="006E19C7" w:rsidRDefault="006B2325" w:rsidP="00CD1F63">
            <w:r w:rsidRPr="006E19C7">
              <w:t>Diabetes with complications</w:t>
            </w:r>
          </w:p>
        </w:tc>
        <w:tc>
          <w:tcPr>
            <w:tcW w:w="630" w:type="pct"/>
            <w:shd w:val="clear" w:color="auto" w:fill="auto"/>
            <w:noWrap/>
          </w:tcPr>
          <w:p w14:paraId="12D749AE" w14:textId="77777777" w:rsidR="006B2325" w:rsidRPr="006E19C7" w:rsidRDefault="006B2325" w:rsidP="00CD1F63">
            <w:pPr>
              <w:jc w:val="center"/>
            </w:pPr>
            <w:r w:rsidRPr="006E19C7">
              <w:t>5.9%</w:t>
            </w:r>
          </w:p>
        </w:tc>
        <w:tc>
          <w:tcPr>
            <w:tcW w:w="623" w:type="pct"/>
            <w:shd w:val="clear" w:color="auto" w:fill="auto"/>
            <w:noWrap/>
          </w:tcPr>
          <w:p w14:paraId="6BF8F755" w14:textId="77777777" w:rsidR="006B2325" w:rsidRPr="006E19C7" w:rsidRDefault="006B2325" w:rsidP="00CD1F63">
            <w:pPr>
              <w:jc w:val="center"/>
            </w:pPr>
            <w:r w:rsidRPr="006E19C7">
              <w:t>6.4%</w:t>
            </w:r>
          </w:p>
        </w:tc>
        <w:tc>
          <w:tcPr>
            <w:tcW w:w="624" w:type="pct"/>
            <w:shd w:val="clear" w:color="auto" w:fill="auto"/>
            <w:noWrap/>
          </w:tcPr>
          <w:p w14:paraId="20D9EB92" w14:textId="77777777" w:rsidR="006B2325" w:rsidRPr="006E19C7" w:rsidRDefault="006B2325" w:rsidP="00CD1F63">
            <w:pPr>
              <w:jc w:val="center"/>
            </w:pPr>
            <w:r w:rsidRPr="006E19C7">
              <w:t>7.3%</w:t>
            </w:r>
          </w:p>
        </w:tc>
        <w:tc>
          <w:tcPr>
            <w:tcW w:w="623" w:type="pct"/>
            <w:shd w:val="clear" w:color="auto" w:fill="auto"/>
            <w:noWrap/>
          </w:tcPr>
          <w:p w14:paraId="1EA219B3" w14:textId="77777777" w:rsidR="006B2325" w:rsidRPr="006E19C7" w:rsidRDefault="006B2325" w:rsidP="00CD1F63">
            <w:pPr>
              <w:jc w:val="center"/>
            </w:pPr>
            <w:r w:rsidRPr="006E19C7">
              <w:t>7.6%</w:t>
            </w:r>
          </w:p>
        </w:tc>
        <w:tc>
          <w:tcPr>
            <w:tcW w:w="623" w:type="pct"/>
            <w:shd w:val="clear" w:color="auto" w:fill="auto"/>
            <w:noWrap/>
          </w:tcPr>
          <w:p w14:paraId="3ADD6A36" w14:textId="77777777" w:rsidR="006B2325" w:rsidRPr="006E19C7" w:rsidRDefault="006B2325" w:rsidP="00CD1F63">
            <w:pPr>
              <w:jc w:val="center"/>
            </w:pPr>
            <w:r w:rsidRPr="006E19C7">
              <w:t>8.5%</w:t>
            </w:r>
          </w:p>
        </w:tc>
        <w:tc>
          <w:tcPr>
            <w:tcW w:w="610" w:type="pct"/>
            <w:shd w:val="clear" w:color="auto" w:fill="auto"/>
            <w:noWrap/>
          </w:tcPr>
          <w:p w14:paraId="529D010C" w14:textId="77777777" w:rsidR="006B2325" w:rsidRPr="006E19C7" w:rsidRDefault="006B2325" w:rsidP="00CD1F63">
            <w:pPr>
              <w:jc w:val="center"/>
            </w:pPr>
            <w:r w:rsidRPr="006E19C7">
              <w:t>9.7%</w:t>
            </w:r>
          </w:p>
        </w:tc>
      </w:tr>
      <w:tr w:rsidR="006B2325" w:rsidRPr="006E19C7" w14:paraId="57B8916C" w14:textId="77777777" w:rsidTr="001414FD">
        <w:trPr>
          <w:trHeight w:val="290"/>
          <w:jc w:val="center"/>
        </w:trPr>
        <w:tc>
          <w:tcPr>
            <w:tcW w:w="1267" w:type="pct"/>
            <w:shd w:val="clear" w:color="auto" w:fill="auto"/>
            <w:noWrap/>
          </w:tcPr>
          <w:p w14:paraId="215E3517" w14:textId="77777777" w:rsidR="006B2325" w:rsidRPr="006E19C7" w:rsidRDefault="006B2325" w:rsidP="00CD1F63">
            <w:r w:rsidRPr="006E19C7">
              <w:t>Drug abuse</w:t>
            </w:r>
          </w:p>
        </w:tc>
        <w:tc>
          <w:tcPr>
            <w:tcW w:w="630" w:type="pct"/>
            <w:shd w:val="clear" w:color="auto" w:fill="auto"/>
            <w:noWrap/>
          </w:tcPr>
          <w:p w14:paraId="36277BAA" w14:textId="77777777" w:rsidR="006B2325" w:rsidRPr="006E19C7" w:rsidRDefault="006B2325" w:rsidP="00CD1F63">
            <w:pPr>
              <w:jc w:val="center"/>
            </w:pPr>
            <w:r w:rsidRPr="006E19C7">
              <w:t>1.3%</w:t>
            </w:r>
          </w:p>
        </w:tc>
        <w:tc>
          <w:tcPr>
            <w:tcW w:w="623" w:type="pct"/>
            <w:shd w:val="clear" w:color="auto" w:fill="auto"/>
            <w:noWrap/>
          </w:tcPr>
          <w:p w14:paraId="141188B8" w14:textId="77777777" w:rsidR="006B2325" w:rsidRPr="006E19C7" w:rsidRDefault="006B2325" w:rsidP="00CD1F63">
            <w:pPr>
              <w:jc w:val="center"/>
            </w:pPr>
            <w:r w:rsidRPr="006E19C7">
              <w:t>1.6%</w:t>
            </w:r>
          </w:p>
        </w:tc>
        <w:tc>
          <w:tcPr>
            <w:tcW w:w="624" w:type="pct"/>
            <w:shd w:val="clear" w:color="auto" w:fill="auto"/>
            <w:noWrap/>
          </w:tcPr>
          <w:p w14:paraId="20A8D62D" w14:textId="77777777" w:rsidR="006B2325" w:rsidRPr="006E19C7" w:rsidRDefault="006B2325" w:rsidP="00CD1F63">
            <w:pPr>
              <w:jc w:val="center"/>
            </w:pPr>
            <w:r w:rsidRPr="006E19C7">
              <w:t>1.5%</w:t>
            </w:r>
          </w:p>
        </w:tc>
        <w:tc>
          <w:tcPr>
            <w:tcW w:w="623" w:type="pct"/>
            <w:shd w:val="clear" w:color="auto" w:fill="auto"/>
            <w:noWrap/>
          </w:tcPr>
          <w:p w14:paraId="4A6DADDB" w14:textId="77777777" w:rsidR="006B2325" w:rsidRPr="006E19C7" w:rsidRDefault="006B2325" w:rsidP="00CD1F63">
            <w:pPr>
              <w:jc w:val="center"/>
            </w:pPr>
            <w:r w:rsidRPr="006E19C7">
              <w:t>1.8%</w:t>
            </w:r>
          </w:p>
        </w:tc>
        <w:tc>
          <w:tcPr>
            <w:tcW w:w="623" w:type="pct"/>
            <w:shd w:val="clear" w:color="auto" w:fill="auto"/>
            <w:noWrap/>
          </w:tcPr>
          <w:p w14:paraId="3ED10462" w14:textId="77777777" w:rsidR="006B2325" w:rsidRPr="006E19C7" w:rsidRDefault="006B2325" w:rsidP="00CD1F63">
            <w:pPr>
              <w:jc w:val="center"/>
            </w:pPr>
            <w:r w:rsidRPr="006E19C7">
              <w:t>2.0%</w:t>
            </w:r>
          </w:p>
        </w:tc>
        <w:tc>
          <w:tcPr>
            <w:tcW w:w="610" w:type="pct"/>
            <w:shd w:val="clear" w:color="auto" w:fill="auto"/>
            <w:noWrap/>
          </w:tcPr>
          <w:p w14:paraId="250F518F" w14:textId="77777777" w:rsidR="006B2325" w:rsidRPr="006E19C7" w:rsidRDefault="006B2325" w:rsidP="00CD1F63">
            <w:pPr>
              <w:jc w:val="center"/>
            </w:pPr>
            <w:r w:rsidRPr="006E19C7">
              <w:t>2.6%</w:t>
            </w:r>
          </w:p>
        </w:tc>
      </w:tr>
      <w:tr w:rsidR="006B2325" w:rsidRPr="006E19C7" w14:paraId="14043956" w14:textId="77777777" w:rsidTr="001414FD">
        <w:trPr>
          <w:trHeight w:val="290"/>
          <w:jc w:val="center"/>
        </w:trPr>
        <w:tc>
          <w:tcPr>
            <w:tcW w:w="1267" w:type="pct"/>
            <w:shd w:val="clear" w:color="auto" w:fill="auto"/>
            <w:noWrap/>
          </w:tcPr>
          <w:p w14:paraId="5EAFB818" w14:textId="77777777" w:rsidR="006B2325" w:rsidRPr="006E19C7" w:rsidRDefault="006B2325" w:rsidP="00CD1F63">
            <w:r w:rsidRPr="006E19C7">
              <w:t>Hypertension</w:t>
            </w:r>
          </w:p>
        </w:tc>
        <w:tc>
          <w:tcPr>
            <w:tcW w:w="630" w:type="pct"/>
            <w:shd w:val="clear" w:color="auto" w:fill="auto"/>
            <w:noWrap/>
          </w:tcPr>
          <w:p w14:paraId="16366516" w14:textId="77777777" w:rsidR="006B2325" w:rsidRPr="006E19C7" w:rsidRDefault="006B2325" w:rsidP="00CD1F63">
            <w:pPr>
              <w:jc w:val="center"/>
            </w:pPr>
            <w:r w:rsidRPr="006E19C7">
              <w:t>59.1%</w:t>
            </w:r>
          </w:p>
        </w:tc>
        <w:tc>
          <w:tcPr>
            <w:tcW w:w="623" w:type="pct"/>
            <w:shd w:val="clear" w:color="auto" w:fill="auto"/>
            <w:noWrap/>
          </w:tcPr>
          <w:p w14:paraId="44901772" w14:textId="77777777" w:rsidR="006B2325" w:rsidRPr="006E19C7" w:rsidRDefault="006B2325" w:rsidP="00CD1F63">
            <w:pPr>
              <w:jc w:val="center"/>
            </w:pPr>
            <w:r w:rsidRPr="006E19C7">
              <w:t>63.5%</w:t>
            </w:r>
          </w:p>
        </w:tc>
        <w:tc>
          <w:tcPr>
            <w:tcW w:w="624" w:type="pct"/>
            <w:shd w:val="clear" w:color="auto" w:fill="auto"/>
            <w:noWrap/>
          </w:tcPr>
          <w:p w14:paraId="46708711" w14:textId="77777777" w:rsidR="006B2325" w:rsidRPr="006E19C7" w:rsidRDefault="006B2325" w:rsidP="00CD1F63">
            <w:pPr>
              <w:jc w:val="center"/>
            </w:pPr>
            <w:r w:rsidRPr="006E19C7">
              <w:t>67.6%</w:t>
            </w:r>
          </w:p>
        </w:tc>
        <w:tc>
          <w:tcPr>
            <w:tcW w:w="623" w:type="pct"/>
            <w:shd w:val="clear" w:color="auto" w:fill="auto"/>
            <w:noWrap/>
          </w:tcPr>
          <w:p w14:paraId="56B136E3" w14:textId="77777777" w:rsidR="006B2325" w:rsidRPr="006E19C7" w:rsidRDefault="006B2325" w:rsidP="00CD1F63">
            <w:pPr>
              <w:jc w:val="center"/>
            </w:pPr>
            <w:r w:rsidRPr="006E19C7">
              <w:t>71.4%</w:t>
            </w:r>
          </w:p>
        </w:tc>
        <w:tc>
          <w:tcPr>
            <w:tcW w:w="623" w:type="pct"/>
            <w:shd w:val="clear" w:color="auto" w:fill="auto"/>
            <w:noWrap/>
          </w:tcPr>
          <w:p w14:paraId="224514CB" w14:textId="77777777" w:rsidR="006B2325" w:rsidRPr="006E19C7" w:rsidRDefault="006B2325" w:rsidP="00CD1F63">
            <w:pPr>
              <w:jc w:val="center"/>
            </w:pPr>
            <w:r w:rsidRPr="006E19C7">
              <w:t>74.5%</w:t>
            </w:r>
          </w:p>
        </w:tc>
        <w:tc>
          <w:tcPr>
            <w:tcW w:w="610" w:type="pct"/>
            <w:shd w:val="clear" w:color="auto" w:fill="auto"/>
            <w:noWrap/>
          </w:tcPr>
          <w:p w14:paraId="3496B0AA" w14:textId="77777777" w:rsidR="006B2325" w:rsidRPr="006E19C7" w:rsidRDefault="006B2325" w:rsidP="00CD1F63">
            <w:pPr>
              <w:jc w:val="center"/>
            </w:pPr>
            <w:r w:rsidRPr="006E19C7">
              <w:t>76.4%</w:t>
            </w:r>
          </w:p>
        </w:tc>
      </w:tr>
      <w:tr w:rsidR="006B2325" w:rsidRPr="006E19C7" w14:paraId="5ADC45BC" w14:textId="77777777" w:rsidTr="001414FD">
        <w:trPr>
          <w:trHeight w:val="290"/>
          <w:jc w:val="center"/>
        </w:trPr>
        <w:tc>
          <w:tcPr>
            <w:tcW w:w="1267" w:type="pct"/>
            <w:shd w:val="clear" w:color="auto" w:fill="auto"/>
            <w:noWrap/>
          </w:tcPr>
          <w:p w14:paraId="011847FA" w14:textId="77777777" w:rsidR="006B2325" w:rsidRPr="006E19C7" w:rsidRDefault="006B2325" w:rsidP="00CD1F63">
            <w:r w:rsidRPr="006E19C7">
              <w:t>Hypothyroidism</w:t>
            </w:r>
          </w:p>
        </w:tc>
        <w:tc>
          <w:tcPr>
            <w:tcW w:w="630" w:type="pct"/>
            <w:shd w:val="clear" w:color="auto" w:fill="auto"/>
            <w:noWrap/>
          </w:tcPr>
          <w:p w14:paraId="1B8DE9FC" w14:textId="77777777" w:rsidR="006B2325" w:rsidRPr="006E19C7" w:rsidRDefault="006B2325" w:rsidP="00CD1F63">
            <w:pPr>
              <w:jc w:val="center"/>
            </w:pPr>
            <w:r w:rsidRPr="006E19C7">
              <w:t>9.0%</w:t>
            </w:r>
          </w:p>
        </w:tc>
        <w:tc>
          <w:tcPr>
            <w:tcW w:w="623" w:type="pct"/>
            <w:shd w:val="clear" w:color="auto" w:fill="auto"/>
            <w:noWrap/>
          </w:tcPr>
          <w:p w14:paraId="3A8ED78F" w14:textId="77777777" w:rsidR="006B2325" w:rsidRPr="006E19C7" w:rsidRDefault="006B2325" w:rsidP="00CD1F63">
            <w:pPr>
              <w:jc w:val="center"/>
            </w:pPr>
            <w:r w:rsidRPr="006E19C7">
              <w:t>10.3%</w:t>
            </w:r>
          </w:p>
        </w:tc>
        <w:tc>
          <w:tcPr>
            <w:tcW w:w="624" w:type="pct"/>
            <w:shd w:val="clear" w:color="auto" w:fill="auto"/>
            <w:noWrap/>
          </w:tcPr>
          <w:p w14:paraId="62C49B47" w14:textId="77777777" w:rsidR="006B2325" w:rsidRPr="006E19C7" w:rsidRDefault="006B2325" w:rsidP="00CD1F63">
            <w:pPr>
              <w:jc w:val="center"/>
            </w:pPr>
            <w:r w:rsidRPr="006E19C7">
              <w:t>12.7%</w:t>
            </w:r>
          </w:p>
        </w:tc>
        <w:tc>
          <w:tcPr>
            <w:tcW w:w="623" w:type="pct"/>
            <w:shd w:val="clear" w:color="auto" w:fill="auto"/>
            <w:noWrap/>
          </w:tcPr>
          <w:p w14:paraId="4BD0BD6E" w14:textId="77777777" w:rsidR="006B2325" w:rsidRPr="006E19C7" w:rsidRDefault="006B2325" w:rsidP="00CD1F63">
            <w:pPr>
              <w:jc w:val="center"/>
            </w:pPr>
            <w:r w:rsidRPr="006E19C7">
              <w:t>13.7%</w:t>
            </w:r>
          </w:p>
        </w:tc>
        <w:tc>
          <w:tcPr>
            <w:tcW w:w="623" w:type="pct"/>
            <w:shd w:val="clear" w:color="auto" w:fill="auto"/>
            <w:noWrap/>
          </w:tcPr>
          <w:p w14:paraId="762C4124" w14:textId="77777777" w:rsidR="006B2325" w:rsidRPr="006E19C7" w:rsidRDefault="006B2325" w:rsidP="00CD1F63">
            <w:pPr>
              <w:jc w:val="center"/>
            </w:pPr>
            <w:r w:rsidRPr="006E19C7">
              <w:t>15.7%</w:t>
            </w:r>
          </w:p>
        </w:tc>
        <w:tc>
          <w:tcPr>
            <w:tcW w:w="610" w:type="pct"/>
            <w:shd w:val="clear" w:color="auto" w:fill="auto"/>
            <w:noWrap/>
          </w:tcPr>
          <w:p w14:paraId="1CC8B534" w14:textId="77777777" w:rsidR="006B2325" w:rsidRPr="006E19C7" w:rsidRDefault="006B2325" w:rsidP="00CD1F63">
            <w:pPr>
              <w:jc w:val="center"/>
            </w:pPr>
            <w:r w:rsidRPr="006E19C7">
              <w:t>16.0%</w:t>
            </w:r>
          </w:p>
        </w:tc>
      </w:tr>
      <w:tr w:rsidR="006B2325" w:rsidRPr="006E19C7" w14:paraId="7DA12CC6" w14:textId="77777777" w:rsidTr="001414FD">
        <w:trPr>
          <w:trHeight w:val="290"/>
          <w:jc w:val="center"/>
        </w:trPr>
        <w:tc>
          <w:tcPr>
            <w:tcW w:w="1267" w:type="pct"/>
            <w:shd w:val="clear" w:color="auto" w:fill="auto"/>
            <w:noWrap/>
          </w:tcPr>
          <w:p w14:paraId="4F6C1FD4" w14:textId="77777777" w:rsidR="006B2325" w:rsidRPr="006E19C7" w:rsidRDefault="006B2325" w:rsidP="00CD1F63">
            <w:r w:rsidRPr="006E19C7">
              <w:t>Liver disease</w:t>
            </w:r>
          </w:p>
        </w:tc>
        <w:tc>
          <w:tcPr>
            <w:tcW w:w="630" w:type="pct"/>
            <w:shd w:val="clear" w:color="auto" w:fill="auto"/>
            <w:noWrap/>
          </w:tcPr>
          <w:p w14:paraId="020DDC64" w14:textId="77777777" w:rsidR="006B2325" w:rsidRPr="006E19C7" w:rsidRDefault="006B2325" w:rsidP="00CD1F63">
            <w:pPr>
              <w:jc w:val="center"/>
            </w:pPr>
            <w:r w:rsidRPr="006E19C7">
              <w:t>1.1%</w:t>
            </w:r>
          </w:p>
        </w:tc>
        <w:tc>
          <w:tcPr>
            <w:tcW w:w="623" w:type="pct"/>
            <w:shd w:val="clear" w:color="auto" w:fill="auto"/>
            <w:noWrap/>
          </w:tcPr>
          <w:p w14:paraId="09CA5ED0" w14:textId="77777777" w:rsidR="006B2325" w:rsidRPr="006E19C7" w:rsidRDefault="006B2325" w:rsidP="00CD1F63">
            <w:pPr>
              <w:jc w:val="center"/>
            </w:pPr>
            <w:r w:rsidRPr="006E19C7">
              <w:t>1.2%</w:t>
            </w:r>
          </w:p>
        </w:tc>
        <w:tc>
          <w:tcPr>
            <w:tcW w:w="624" w:type="pct"/>
            <w:shd w:val="clear" w:color="auto" w:fill="auto"/>
            <w:noWrap/>
          </w:tcPr>
          <w:p w14:paraId="33FDDDDA" w14:textId="77777777" w:rsidR="006B2325" w:rsidRPr="006E19C7" w:rsidRDefault="006B2325" w:rsidP="00CD1F63">
            <w:pPr>
              <w:jc w:val="center"/>
            </w:pPr>
            <w:r w:rsidRPr="006E19C7">
              <w:t>1.2%</w:t>
            </w:r>
          </w:p>
        </w:tc>
        <w:tc>
          <w:tcPr>
            <w:tcW w:w="623" w:type="pct"/>
            <w:shd w:val="clear" w:color="auto" w:fill="auto"/>
            <w:noWrap/>
          </w:tcPr>
          <w:p w14:paraId="5D10699B" w14:textId="77777777" w:rsidR="006B2325" w:rsidRPr="006E19C7" w:rsidRDefault="006B2325" w:rsidP="00CD1F63">
            <w:pPr>
              <w:jc w:val="center"/>
            </w:pPr>
            <w:r w:rsidRPr="006E19C7">
              <w:t>1.5%</w:t>
            </w:r>
          </w:p>
        </w:tc>
        <w:tc>
          <w:tcPr>
            <w:tcW w:w="623" w:type="pct"/>
            <w:shd w:val="clear" w:color="auto" w:fill="auto"/>
            <w:noWrap/>
          </w:tcPr>
          <w:p w14:paraId="599E4C30" w14:textId="77777777" w:rsidR="006B2325" w:rsidRPr="006E19C7" w:rsidRDefault="006B2325" w:rsidP="00CD1F63">
            <w:pPr>
              <w:jc w:val="center"/>
            </w:pPr>
            <w:r w:rsidRPr="006E19C7">
              <w:t>1.8%</w:t>
            </w:r>
          </w:p>
        </w:tc>
        <w:tc>
          <w:tcPr>
            <w:tcW w:w="610" w:type="pct"/>
            <w:shd w:val="clear" w:color="auto" w:fill="auto"/>
            <w:noWrap/>
          </w:tcPr>
          <w:p w14:paraId="5EE7CC9B" w14:textId="77777777" w:rsidR="006B2325" w:rsidRPr="006E19C7" w:rsidRDefault="006B2325" w:rsidP="00CD1F63">
            <w:pPr>
              <w:jc w:val="center"/>
            </w:pPr>
            <w:r w:rsidRPr="006E19C7">
              <w:t>2.2%</w:t>
            </w:r>
          </w:p>
        </w:tc>
      </w:tr>
      <w:tr w:rsidR="006B2325" w:rsidRPr="006E19C7" w14:paraId="56C8DA43" w14:textId="77777777" w:rsidTr="001414FD">
        <w:trPr>
          <w:trHeight w:val="290"/>
          <w:jc w:val="center"/>
        </w:trPr>
        <w:tc>
          <w:tcPr>
            <w:tcW w:w="1267" w:type="pct"/>
            <w:shd w:val="clear" w:color="auto" w:fill="auto"/>
            <w:noWrap/>
          </w:tcPr>
          <w:p w14:paraId="2B3F994C" w14:textId="77777777" w:rsidR="006B2325" w:rsidRPr="006E19C7" w:rsidRDefault="006B2325" w:rsidP="00CD1F63">
            <w:r w:rsidRPr="006E19C7">
              <w:t>Lymphomas</w:t>
            </w:r>
          </w:p>
        </w:tc>
        <w:tc>
          <w:tcPr>
            <w:tcW w:w="630" w:type="pct"/>
            <w:shd w:val="clear" w:color="auto" w:fill="auto"/>
            <w:noWrap/>
          </w:tcPr>
          <w:p w14:paraId="41E8CBB4" w14:textId="77777777" w:rsidR="006B2325" w:rsidRPr="006E19C7" w:rsidRDefault="006B2325" w:rsidP="00CD1F63">
            <w:pPr>
              <w:jc w:val="center"/>
            </w:pPr>
            <w:r w:rsidRPr="006E19C7">
              <w:t>0.5%</w:t>
            </w:r>
          </w:p>
        </w:tc>
        <w:tc>
          <w:tcPr>
            <w:tcW w:w="623" w:type="pct"/>
            <w:shd w:val="clear" w:color="auto" w:fill="auto"/>
            <w:noWrap/>
          </w:tcPr>
          <w:p w14:paraId="770C7601" w14:textId="77777777" w:rsidR="006B2325" w:rsidRPr="006E19C7" w:rsidRDefault="006B2325" w:rsidP="00CD1F63">
            <w:pPr>
              <w:jc w:val="center"/>
            </w:pPr>
            <w:r w:rsidRPr="006E19C7">
              <w:t>0.5%</w:t>
            </w:r>
          </w:p>
        </w:tc>
        <w:tc>
          <w:tcPr>
            <w:tcW w:w="624" w:type="pct"/>
            <w:shd w:val="clear" w:color="auto" w:fill="auto"/>
            <w:noWrap/>
          </w:tcPr>
          <w:p w14:paraId="1768AC87" w14:textId="77777777" w:rsidR="006B2325" w:rsidRPr="006E19C7" w:rsidRDefault="006B2325" w:rsidP="00CD1F63">
            <w:pPr>
              <w:jc w:val="center"/>
            </w:pPr>
            <w:r w:rsidRPr="006E19C7">
              <w:t>0.7%</w:t>
            </w:r>
          </w:p>
        </w:tc>
        <w:tc>
          <w:tcPr>
            <w:tcW w:w="623" w:type="pct"/>
            <w:shd w:val="clear" w:color="auto" w:fill="auto"/>
            <w:noWrap/>
          </w:tcPr>
          <w:p w14:paraId="578D4B5B" w14:textId="77777777" w:rsidR="006B2325" w:rsidRPr="006E19C7" w:rsidRDefault="006B2325" w:rsidP="00CD1F63">
            <w:pPr>
              <w:jc w:val="center"/>
            </w:pPr>
            <w:r w:rsidRPr="006E19C7">
              <w:t>0.7%</w:t>
            </w:r>
          </w:p>
        </w:tc>
        <w:tc>
          <w:tcPr>
            <w:tcW w:w="623" w:type="pct"/>
            <w:shd w:val="clear" w:color="auto" w:fill="auto"/>
            <w:noWrap/>
          </w:tcPr>
          <w:p w14:paraId="669C0BAE" w14:textId="77777777" w:rsidR="006B2325" w:rsidRPr="006E19C7" w:rsidRDefault="006B2325" w:rsidP="00CD1F63">
            <w:pPr>
              <w:jc w:val="center"/>
            </w:pPr>
            <w:r w:rsidRPr="006E19C7">
              <w:t>0.8%</w:t>
            </w:r>
          </w:p>
        </w:tc>
        <w:tc>
          <w:tcPr>
            <w:tcW w:w="610" w:type="pct"/>
            <w:shd w:val="clear" w:color="auto" w:fill="auto"/>
            <w:noWrap/>
          </w:tcPr>
          <w:p w14:paraId="3C48FAC3" w14:textId="77777777" w:rsidR="006B2325" w:rsidRPr="006E19C7" w:rsidRDefault="006B2325" w:rsidP="00CD1F63">
            <w:pPr>
              <w:jc w:val="center"/>
            </w:pPr>
            <w:r w:rsidRPr="006E19C7">
              <w:t>0.8%</w:t>
            </w:r>
          </w:p>
        </w:tc>
      </w:tr>
      <w:tr w:rsidR="006B2325" w:rsidRPr="006E19C7" w14:paraId="05E8F283" w14:textId="77777777" w:rsidTr="001414FD">
        <w:trPr>
          <w:trHeight w:val="290"/>
          <w:jc w:val="center"/>
        </w:trPr>
        <w:tc>
          <w:tcPr>
            <w:tcW w:w="1267" w:type="pct"/>
            <w:shd w:val="clear" w:color="auto" w:fill="auto"/>
            <w:noWrap/>
          </w:tcPr>
          <w:p w14:paraId="726A2ADB" w14:textId="77777777" w:rsidR="006B2325" w:rsidRPr="006E19C7" w:rsidRDefault="006B2325" w:rsidP="00CD1F63">
            <w:r w:rsidRPr="006E19C7">
              <w:t>Fluid and electrolyte disturbances</w:t>
            </w:r>
          </w:p>
        </w:tc>
        <w:tc>
          <w:tcPr>
            <w:tcW w:w="630" w:type="pct"/>
            <w:shd w:val="clear" w:color="auto" w:fill="auto"/>
            <w:noWrap/>
          </w:tcPr>
          <w:p w14:paraId="6DFB10B0" w14:textId="77777777" w:rsidR="006B2325" w:rsidRPr="006E19C7" w:rsidRDefault="006B2325" w:rsidP="00CD1F63">
            <w:pPr>
              <w:jc w:val="center"/>
            </w:pPr>
            <w:r w:rsidRPr="006E19C7">
              <w:t>19.3%</w:t>
            </w:r>
          </w:p>
        </w:tc>
        <w:tc>
          <w:tcPr>
            <w:tcW w:w="623" w:type="pct"/>
            <w:shd w:val="clear" w:color="auto" w:fill="auto"/>
            <w:noWrap/>
          </w:tcPr>
          <w:p w14:paraId="71C9D247" w14:textId="77777777" w:rsidR="006B2325" w:rsidRPr="006E19C7" w:rsidRDefault="006B2325" w:rsidP="00CD1F63">
            <w:pPr>
              <w:jc w:val="center"/>
            </w:pPr>
            <w:r w:rsidRPr="006E19C7">
              <w:t>21.5%</w:t>
            </w:r>
          </w:p>
        </w:tc>
        <w:tc>
          <w:tcPr>
            <w:tcW w:w="624" w:type="pct"/>
            <w:shd w:val="clear" w:color="auto" w:fill="auto"/>
            <w:noWrap/>
          </w:tcPr>
          <w:p w14:paraId="763F7236" w14:textId="77777777" w:rsidR="006B2325" w:rsidRPr="006E19C7" w:rsidRDefault="006B2325" w:rsidP="00CD1F63">
            <w:pPr>
              <w:jc w:val="center"/>
            </w:pPr>
            <w:r w:rsidRPr="006E19C7">
              <w:t>25.1%</w:t>
            </w:r>
          </w:p>
        </w:tc>
        <w:tc>
          <w:tcPr>
            <w:tcW w:w="623" w:type="pct"/>
            <w:shd w:val="clear" w:color="auto" w:fill="auto"/>
            <w:noWrap/>
          </w:tcPr>
          <w:p w14:paraId="4F5CD111" w14:textId="77777777" w:rsidR="006B2325" w:rsidRPr="006E19C7" w:rsidRDefault="006B2325" w:rsidP="00CD1F63">
            <w:pPr>
              <w:jc w:val="center"/>
            </w:pPr>
            <w:r w:rsidRPr="006E19C7">
              <w:t>26.1%</w:t>
            </w:r>
          </w:p>
        </w:tc>
        <w:tc>
          <w:tcPr>
            <w:tcW w:w="623" w:type="pct"/>
            <w:shd w:val="clear" w:color="auto" w:fill="auto"/>
            <w:noWrap/>
          </w:tcPr>
          <w:p w14:paraId="018E68BF" w14:textId="77777777" w:rsidR="006B2325" w:rsidRPr="006E19C7" w:rsidRDefault="006B2325" w:rsidP="00CD1F63">
            <w:pPr>
              <w:jc w:val="center"/>
            </w:pPr>
            <w:r w:rsidRPr="006E19C7">
              <w:t>29.1%</w:t>
            </w:r>
          </w:p>
        </w:tc>
        <w:tc>
          <w:tcPr>
            <w:tcW w:w="610" w:type="pct"/>
            <w:shd w:val="clear" w:color="auto" w:fill="auto"/>
            <w:noWrap/>
          </w:tcPr>
          <w:p w14:paraId="0CBB3B91" w14:textId="77777777" w:rsidR="006B2325" w:rsidRPr="006E19C7" w:rsidRDefault="006B2325" w:rsidP="00CD1F63">
            <w:pPr>
              <w:jc w:val="center"/>
            </w:pPr>
            <w:r w:rsidRPr="006E19C7">
              <w:t>30.8%</w:t>
            </w:r>
          </w:p>
        </w:tc>
      </w:tr>
      <w:tr w:rsidR="006B2325" w:rsidRPr="006E19C7" w14:paraId="66FC2E4A" w14:textId="77777777" w:rsidTr="001414FD">
        <w:trPr>
          <w:trHeight w:val="290"/>
          <w:jc w:val="center"/>
        </w:trPr>
        <w:tc>
          <w:tcPr>
            <w:tcW w:w="1267" w:type="pct"/>
            <w:shd w:val="clear" w:color="auto" w:fill="auto"/>
            <w:noWrap/>
          </w:tcPr>
          <w:p w14:paraId="54AC2DFB" w14:textId="77777777" w:rsidR="006B2325" w:rsidRPr="006E19C7" w:rsidRDefault="006B2325" w:rsidP="00CD1F63">
            <w:r w:rsidRPr="006E19C7">
              <w:t>Other neurological disorders</w:t>
            </w:r>
          </w:p>
        </w:tc>
        <w:tc>
          <w:tcPr>
            <w:tcW w:w="630" w:type="pct"/>
            <w:shd w:val="clear" w:color="auto" w:fill="auto"/>
            <w:noWrap/>
          </w:tcPr>
          <w:p w14:paraId="6C6CDE55" w14:textId="77777777" w:rsidR="006B2325" w:rsidRPr="006E19C7" w:rsidRDefault="006B2325" w:rsidP="00CD1F63">
            <w:pPr>
              <w:jc w:val="center"/>
            </w:pPr>
            <w:r w:rsidRPr="006E19C7">
              <w:t>7.0%</w:t>
            </w:r>
          </w:p>
        </w:tc>
        <w:tc>
          <w:tcPr>
            <w:tcW w:w="623" w:type="pct"/>
            <w:shd w:val="clear" w:color="auto" w:fill="auto"/>
            <w:noWrap/>
          </w:tcPr>
          <w:p w14:paraId="65DB50C6" w14:textId="77777777" w:rsidR="006B2325" w:rsidRPr="006E19C7" w:rsidRDefault="006B2325" w:rsidP="00CD1F63">
            <w:pPr>
              <w:jc w:val="center"/>
            </w:pPr>
            <w:r w:rsidRPr="006E19C7">
              <w:t>7.9%</w:t>
            </w:r>
          </w:p>
        </w:tc>
        <w:tc>
          <w:tcPr>
            <w:tcW w:w="624" w:type="pct"/>
            <w:shd w:val="clear" w:color="auto" w:fill="auto"/>
            <w:noWrap/>
          </w:tcPr>
          <w:p w14:paraId="60E3A6F7" w14:textId="77777777" w:rsidR="006B2325" w:rsidRPr="006E19C7" w:rsidRDefault="006B2325" w:rsidP="00CD1F63">
            <w:pPr>
              <w:jc w:val="center"/>
            </w:pPr>
            <w:r w:rsidRPr="006E19C7">
              <w:t>9.6%</w:t>
            </w:r>
          </w:p>
        </w:tc>
        <w:tc>
          <w:tcPr>
            <w:tcW w:w="623" w:type="pct"/>
            <w:shd w:val="clear" w:color="auto" w:fill="auto"/>
            <w:noWrap/>
          </w:tcPr>
          <w:p w14:paraId="61B26DB3" w14:textId="77777777" w:rsidR="006B2325" w:rsidRPr="006E19C7" w:rsidRDefault="006B2325" w:rsidP="00CD1F63">
            <w:pPr>
              <w:jc w:val="center"/>
            </w:pPr>
            <w:r w:rsidRPr="006E19C7">
              <w:t>10.0%</w:t>
            </w:r>
          </w:p>
        </w:tc>
        <w:tc>
          <w:tcPr>
            <w:tcW w:w="623" w:type="pct"/>
            <w:shd w:val="clear" w:color="auto" w:fill="auto"/>
            <w:noWrap/>
          </w:tcPr>
          <w:p w14:paraId="2278DBBD" w14:textId="77777777" w:rsidR="006B2325" w:rsidRPr="006E19C7" w:rsidRDefault="006B2325" w:rsidP="00CD1F63">
            <w:pPr>
              <w:jc w:val="center"/>
            </w:pPr>
            <w:r w:rsidRPr="006E19C7">
              <w:t>10.4%</w:t>
            </w:r>
          </w:p>
        </w:tc>
        <w:tc>
          <w:tcPr>
            <w:tcW w:w="610" w:type="pct"/>
            <w:shd w:val="clear" w:color="auto" w:fill="auto"/>
            <w:noWrap/>
          </w:tcPr>
          <w:p w14:paraId="43F69D45" w14:textId="77777777" w:rsidR="006B2325" w:rsidRPr="006E19C7" w:rsidRDefault="006B2325" w:rsidP="00CD1F63">
            <w:pPr>
              <w:jc w:val="center"/>
            </w:pPr>
            <w:r w:rsidRPr="006E19C7">
              <w:t>10.2%</w:t>
            </w:r>
          </w:p>
        </w:tc>
      </w:tr>
      <w:tr w:rsidR="006B2325" w:rsidRPr="006E19C7" w14:paraId="4D40A15C" w14:textId="77777777" w:rsidTr="001414FD">
        <w:trPr>
          <w:trHeight w:val="290"/>
          <w:jc w:val="center"/>
        </w:trPr>
        <w:tc>
          <w:tcPr>
            <w:tcW w:w="1267" w:type="pct"/>
            <w:shd w:val="clear" w:color="auto" w:fill="auto"/>
            <w:noWrap/>
          </w:tcPr>
          <w:p w14:paraId="7388BEFF" w14:textId="77777777" w:rsidR="006B2325" w:rsidRPr="006E19C7" w:rsidRDefault="006B2325" w:rsidP="00CD1F63">
            <w:r w:rsidRPr="006E19C7">
              <w:t>Obesity</w:t>
            </w:r>
          </w:p>
        </w:tc>
        <w:tc>
          <w:tcPr>
            <w:tcW w:w="630" w:type="pct"/>
            <w:shd w:val="clear" w:color="auto" w:fill="auto"/>
            <w:noWrap/>
          </w:tcPr>
          <w:p w14:paraId="60142EFA" w14:textId="77777777" w:rsidR="006B2325" w:rsidRPr="006E19C7" w:rsidRDefault="006B2325" w:rsidP="00CD1F63">
            <w:pPr>
              <w:jc w:val="center"/>
            </w:pPr>
            <w:r w:rsidRPr="006E19C7">
              <w:t>6.1%</w:t>
            </w:r>
          </w:p>
        </w:tc>
        <w:tc>
          <w:tcPr>
            <w:tcW w:w="623" w:type="pct"/>
            <w:shd w:val="clear" w:color="auto" w:fill="auto"/>
            <w:noWrap/>
          </w:tcPr>
          <w:p w14:paraId="1D2F46A7" w14:textId="77777777" w:rsidR="006B2325" w:rsidRPr="006E19C7" w:rsidRDefault="006B2325" w:rsidP="00CD1F63">
            <w:pPr>
              <w:jc w:val="center"/>
            </w:pPr>
            <w:r w:rsidRPr="006E19C7">
              <w:t>6.8%</w:t>
            </w:r>
          </w:p>
        </w:tc>
        <w:tc>
          <w:tcPr>
            <w:tcW w:w="624" w:type="pct"/>
            <w:shd w:val="clear" w:color="auto" w:fill="auto"/>
            <w:noWrap/>
          </w:tcPr>
          <w:p w14:paraId="201183DF" w14:textId="77777777" w:rsidR="006B2325" w:rsidRPr="006E19C7" w:rsidRDefault="006B2325" w:rsidP="00CD1F63">
            <w:pPr>
              <w:jc w:val="center"/>
            </w:pPr>
            <w:r w:rsidRPr="006E19C7">
              <w:t>8.5%</w:t>
            </w:r>
          </w:p>
        </w:tc>
        <w:tc>
          <w:tcPr>
            <w:tcW w:w="623" w:type="pct"/>
            <w:shd w:val="clear" w:color="auto" w:fill="auto"/>
            <w:noWrap/>
          </w:tcPr>
          <w:p w14:paraId="2CF360C3" w14:textId="77777777" w:rsidR="006B2325" w:rsidRPr="006E19C7" w:rsidRDefault="006B2325" w:rsidP="00CD1F63">
            <w:pPr>
              <w:jc w:val="center"/>
            </w:pPr>
            <w:r w:rsidRPr="006E19C7">
              <w:t>9.2%</w:t>
            </w:r>
          </w:p>
        </w:tc>
        <w:tc>
          <w:tcPr>
            <w:tcW w:w="623" w:type="pct"/>
            <w:shd w:val="clear" w:color="auto" w:fill="auto"/>
            <w:noWrap/>
          </w:tcPr>
          <w:p w14:paraId="50A1B3ED" w14:textId="77777777" w:rsidR="006B2325" w:rsidRPr="006E19C7" w:rsidRDefault="006B2325" w:rsidP="00CD1F63">
            <w:pPr>
              <w:jc w:val="center"/>
            </w:pPr>
            <w:r w:rsidRPr="006E19C7">
              <w:t>11.7%</w:t>
            </w:r>
          </w:p>
        </w:tc>
        <w:tc>
          <w:tcPr>
            <w:tcW w:w="610" w:type="pct"/>
            <w:shd w:val="clear" w:color="auto" w:fill="auto"/>
            <w:noWrap/>
          </w:tcPr>
          <w:p w14:paraId="67B2B117" w14:textId="77777777" w:rsidR="006B2325" w:rsidRPr="006E19C7" w:rsidRDefault="006B2325" w:rsidP="00CD1F63">
            <w:pPr>
              <w:jc w:val="center"/>
            </w:pPr>
            <w:r w:rsidRPr="006E19C7">
              <w:t>13.6%</w:t>
            </w:r>
          </w:p>
        </w:tc>
      </w:tr>
      <w:tr w:rsidR="006B2325" w:rsidRPr="006E19C7" w14:paraId="6C6B314C" w14:textId="77777777" w:rsidTr="001414FD">
        <w:trPr>
          <w:trHeight w:val="290"/>
          <w:jc w:val="center"/>
        </w:trPr>
        <w:tc>
          <w:tcPr>
            <w:tcW w:w="1267" w:type="pct"/>
            <w:shd w:val="clear" w:color="auto" w:fill="auto"/>
            <w:noWrap/>
          </w:tcPr>
          <w:p w14:paraId="437B36BD" w14:textId="77777777" w:rsidR="006B2325" w:rsidRPr="006E19C7" w:rsidRDefault="006B2325" w:rsidP="00CD1F63">
            <w:r w:rsidRPr="006E19C7">
              <w:t>Paralysis</w:t>
            </w:r>
          </w:p>
        </w:tc>
        <w:tc>
          <w:tcPr>
            <w:tcW w:w="630" w:type="pct"/>
            <w:shd w:val="clear" w:color="auto" w:fill="auto"/>
            <w:noWrap/>
          </w:tcPr>
          <w:p w14:paraId="68EFD536" w14:textId="77777777" w:rsidR="006B2325" w:rsidRPr="006E19C7" w:rsidRDefault="006B2325" w:rsidP="00CD1F63">
            <w:pPr>
              <w:jc w:val="center"/>
            </w:pPr>
            <w:r w:rsidRPr="006E19C7">
              <w:t>2.2%</w:t>
            </w:r>
          </w:p>
        </w:tc>
        <w:tc>
          <w:tcPr>
            <w:tcW w:w="623" w:type="pct"/>
            <w:shd w:val="clear" w:color="auto" w:fill="auto"/>
            <w:noWrap/>
          </w:tcPr>
          <w:p w14:paraId="717031BC" w14:textId="77777777" w:rsidR="006B2325" w:rsidRPr="006E19C7" w:rsidRDefault="006B2325" w:rsidP="00CD1F63">
            <w:pPr>
              <w:jc w:val="center"/>
            </w:pPr>
            <w:r w:rsidRPr="006E19C7">
              <w:t>2.3%</w:t>
            </w:r>
          </w:p>
        </w:tc>
        <w:tc>
          <w:tcPr>
            <w:tcW w:w="624" w:type="pct"/>
            <w:shd w:val="clear" w:color="auto" w:fill="auto"/>
            <w:noWrap/>
          </w:tcPr>
          <w:p w14:paraId="0A6A6F0B" w14:textId="77777777" w:rsidR="006B2325" w:rsidRPr="006E19C7" w:rsidRDefault="006B2325" w:rsidP="00CD1F63">
            <w:pPr>
              <w:jc w:val="center"/>
            </w:pPr>
            <w:r w:rsidRPr="006E19C7">
              <w:t>3.1%</w:t>
            </w:r>
          </w:p>
        </w:tc>
        <w:tc>
          <w:tcPr>
            <w:tcW w:w="623" w:type="pct"/>
            <w:shd w:val="clear" w:color="auto" w:fill="auto"/>
            <w:noWrap/>
          </w:tcPr>
          <w:p w14:paraId="23266E99" w14:textId="77777777" w:rsidR="006B2325" w:rsidRPr="006E19C7" w:rsidRDefault="006B2325" w:rsidP="00CD1F63">
            <w:pPr>
              <w:jc w:val="center"/>
            </w:pPr>
            <w:r w:rsidRPr="006E19C7">
              <w:t>2.8%</w:t>
            </w:r>
          </w:p>
        </w:tc>
        <w:tc>
          <w:tcPr>
            <w:tcW w:w="623" w:type="pct"/>
            <w:shd w:val="clear" w:color="auto" w:fill="auto"/>
            <w:noWrap/>
          </w:tcPr>
          <w:p w14:paraId="4C06A396" w14:textId="77777777" w:rsidR="006B2325" w:rsidRPr="006E19C7" w:rsidRDefault="006B2325" w:rsidP="00CD1F63">
            <w:pPr>
              <w:jc w:val="center"/>
            </w:pPr>
            <w:r w:rsidRPr="006E19C7">
              <w:t>2.7%</w:t>
            </w:r>
          </w:p>
        </w:tc>
        <w:tc>
          <w:tcPr>
            <w:tcW w:w="610" w:type="pct"/>
            <w:shd w:val="clear" w:color="auto" w:fill="auto"/>
            <w:noWrap/>
          </w:tcPr>
          <w:p w14:paraId="695E9446" w14:textId="77777777" w:rsidR="006B2325" w:rsidRPr="006E19C7" w:rsidRDefault="006B2325" w:rsidP="00CD1F63">
            <w:pPr>
              <w:jc w:val="center"/>
            </w:pPr>
            <w:r w:rsidRPr="006E19C7">
              <w:t>2.7%</w:t>
            </w:r>
          </w:p>
        </w:tc>
      </w:tr>
      <w:tr w:rsidR="006B2325" w:rsidRPr="006E19C7" w14:paraId="4ED28632" w14:textId="77777777" w:rsidTr="001414FD">
        <w:trPr>
          <w:trHeight w:val="290"/>
          <w:jc w:val="center"/>
        </w:trPr>
        <w:tc>
          <w:tcPr>
            <w:tcW w:w="1267" w:type="pct"/>
            <w:shd w:val="clear" w:color="auto" w:fill="auto"/>
            <w:noWrap/>
          </w:tcPr>
          <w:p w14:paraId="674F11B7" w14:textId="77777777" w:rsidR="006B2325" w:rsidRPr="006E19C7" w:rsidRDefault="006B2325" w:rsidP="00CD1F63">
            <w:r w:rsidRPr="006E19C7">
              <w:t>Psychoses</w:t>
            </w:r>
          </w:p>
        </w:tc>
        <w:tc>
          <w:tcPr>
            <w:tcW w:w="630" w:type="pct"/>
            <w:shd w:val="clear" w:color="auto" w:fill="auto"/>
            <w:noWrap/>
          </w:tcPr>
          <w:p w14:paraId="5F6782E7" w14:textId="77777777" w:rsidR="006B2325" w:rsidRPr="006E19C7" w:rsidRDefault="006B2325" w:rsidP="00CD1F63">
            <w:pPr>
              <w:jc w:val="center"/>
            </w:pPr>
            <w:r w:rsidRPr="006E19C7">
              <w:t>1.9%</w:t>
            </w:r>
          </w:p>
        </w:tc>
        <w:tc>
          <w:tcPr>
            <w:tcW w:w="623" w:type="pct"/>
            <w:shd w:val="clear" w:color="auto" w:fill="auto"/>
            <w:noWrap/>
          </w:tcPr>
          <w:p w14:paraId="5B95AB83" w14:textId="77777777" w:rsidR="006B2325" w:rsidRPr="006E19C7" w:rsidRDefault="006B2325" w:rsidP="00CD1F63">
            <w:pPr>
              <w:jc w:val="center"/>
            </w:pPr>
            <w:r w:rsidRPr="006E19C7">
              <w:t>2.1%</w:t>
            </w:r>
          </w:p>
        </w:tc>
        <w:tc>
          <w:tcPr>
            <w:tcW w:w="624" w:type="pct"/>
            <w:shd w:val="clear" w:color="auto" w:fill="auto"/>
            <w:noWrap/>
          </w:tcPr>
          <w:p w14:paraId="491E6F65" w14:textId="77777777" w:rsidR="006B2325" w:rsidRPr="006E19C7" w:rsidRDefault="006B2325" w:rsidP="00CD1F63">
            <w:pPr>
              <w:jc w:val="center"/>
            </w:pPr>
            <w:r w:rsidRPr="006E19C7">
              <w:t>2.7%</w:t>
            </w:r>
          </w:p>
        </w:tc>
        <w:tc>
          <w:tcPr>
            <w:tcW w:w="623" w:type="pct"/>
            <w:shd w:val="clear" w:color="auto" w:fill="auto"/>
            <w:noWrap/>
          </w:tcPr>
          <w:p w14:paraId="4D160B61" w14:textId="77777777" w:rsidR="006B2325" w:rsidRPr="006E19C7" w:rsidRDefault="006B2325" w:rsidP="00CD1F63">
            <w:pPr>
              <w:jc w:val="center"/>
            </w:pPr>
            <w:r w:rsidRPr="006E19C7">
              <w:t>3.1%</w:t>
            </w:r>
          </w:p>
        </w:tc>
        <w:tc>
          <w:tcPr>
            <w:tcW w:w="623" w:type="pct"/>
            <w:shd w:val="clear" w:color="auto" w:fill="auto"/>
            <w:noWrap/>
          </w:tcPr>
          <w:p w14:paraId="086430F2" w14:textId="77777777" w:rsidR="006B2325" w:rsidRPr="006E19C7" w:rsidRDefault="006B2325" w:rsidP="00CD1F63">
            <w:pPr>
              <w:jc w:val="center"/>
            </w:pPr>
            <w:r w:rsidRPr="006E19C7">
              <w:t>3.3%</w:t>
            </w:r>
          </w:p>
        </w:tc>
        <w:tc>
          <w:tcPr>
            <w:tcW w:w="610" w:type="pct"/>
            <w:shd w:val="clear" w:color="auto" w:fill="auto"/>
            <w:noWrap/>
          </w:tcPr>
          <w:p w14:paraId="20F0BEC0" w14:textId="77777777" w:rsidR="006B2325" w:rsidRPr="006E19C7" w:rsidRDefault="006B2325" w:rsidP="00CD1F63">
            <w:pPr>
              <w:jc w:val="center"/>
            </w:pPr>
            <w:r w:rsidRPr="006E19C7">
              <w:t>3.5%</w:t>
            </w:r>
          </w:p>
        </w:tc>
      </w:tr>
      <w:tr w:rsidR="006B2325" w:rsidRPr="006E19C7" w14:paraId="4692EAF4" w14:textId="77777777" w:rsidTr="001414FD">
        <w:trPr>
          <w:trHeight w:val="290"/>
          <w:jc w:val="center"/>
        </w:trPr>
        <w:tc>
          <w:tcPr>
            <w:tcW w:w="1267" w:type="pct"/>
            <w:shd w:val="clear" w:color="auto" w:fill="auto"/>
            <w:noWrap/>
          </w:tcPr>
          <w:p w14:paraId="7D72F9B6" w14:textId="77777777" w:rsidR="006B2325" w:rsidRPr="006E19C7" w:rsidRDefault="006B2325" w:rsidP="00CD1F63">
            <w:r w:rsidRPr="006E19C7">
              <w:t>Pulmonary circulation disorder</w:t>
            </w:r>
          </w:p>
        </w:tc>
        <w:tc>
          <w:tcPr>
            <w:tcW w:w="630" w:type="pct"/>
            <w:shd w:val="clear" w:color="auto" w:fill="auto"/>
            <w:noWrap/>
          </w:tcPr>
          <w:p w14:paraId="3EE2BB3F" w14:textId="77777777" w:rsidR="006B2325" w:rsidRPr="006E19C7" w:rsidRDefault="006B2325" w:rsidP="00CD1F63">
            <w:pPr>
              <w:jc w:val="center"/>
            </w:pPr>
            <w:r w:rsidRPr="006E19C7">
              <w:t>0.06%</w:t>
            </w:r>
          </w:p>
        </w:tc>
        <w:tc>
          <w:tcPr>
            <w:tcW w:w="623" w:type="pct"/>
            <w:shd w:val="clear" w:color="auto" w:fill="auto"/>
            <w:noWrap/>
          </w:tcPr>
          <w:p w14:paraId="0812801C" w14:textId="77777777" w:rsidR="006B2325" w:rsidRPr="006E19C7" w:rsidRDefault="006B2325" w:rsidP="00CD1F63">
            <w:pPr>
              <w:jc w:val="center"/>
            </w:pPr>
            <w:r w:rsidRPr="006E19C7">
              <w:t>0.06%</w:t>
            </w:r>
          </w:p>
        </w:tc>
        <w:tc>
          <w:tcPr>
            <w:tcW w:w="624" w:type="pct"/>
            <w:shd w:val="clear" w:color="auto" w:fill="auto"/>
            <w:noWrap/>
          </w:tcPr>
          <w:p w14:paraId="740503AD" w14:textId="77777777" w:rsidR="006B2325" w:rsidRPr="006E19C7" w:rsidRDefault="006B2325" w:rsidP="00CD1F63">
            <w:pPr>
              <w:jc w:val="center"/>
            </w:pPr>
            <w:r w:rsidRPr="006E19C7">
              <w:t>0.2%</w:t>
            </w:r>
          </w:p>
        </w:tc>
        <w:tc>
          <w:tcPr>
            <w:tcW w:w="623" w:type="pct"/>
            <w:shd w:val="clear" w:color="auto" w:fill="auto"/>
            <w:noWrap/>
          </w:tcPr>
          <w:p w14:paraId="477BB8FD" w14:textId="77777777" w:rsidR="006B2325" w:rsidRPr="006E19C7" w:rsidRDefault="006B2325" w:rsidP="00CD1F63">
            <w:pPr>
              <w:jc w:val="center"/>
            </w:pPr>
            <w:r w:rsidRPr="006E19C7">
              <w:t>0.2%</w:t>
            </w:r>
          </w:p>
        </w:tc>
        <w:tc>
          <w:tcPr>
            <w:tcW w:w="623" w:type="pct"/>
            <w:shd w:val="clear" w:color="auto" w:fill="auto"/>
            <w:noWrap/>
          </w:tcPr>
          <w:p w14:paraId="423D80CE" w14:textId="77777777" w:rsidR="006B2325" w:rsidRPr="006E19C7" w:rsidRDefault="006B2325" w:rsidP="00CD1F63">
            <w:pPr>
              <w:jc w:val="center"/>
            </w:pPr>
            <w:r w:rsidRPr="006E19C7">
              <w:t>0.2%</w:t>
            </w:r>
          </w:p>
        </w:tc>
        <w:tc>
          <w:tcPr>
            <w:tcW w:w="610" w:type="pct"/>
            <w:shd w:val="clear" w:color="auto" w:fill="auto"/>
            <w:noWrap/>
          </w:tcPr>
          <w:p w14:paraId="60981CBA" w14:textId="77777777" w:rsidR="006B2325" w:rsidRPr="006E19C7" w:rsidRDefault="006B2325" w:rsidP="00CD1F63">
            <w:pPr>
              <w:jc w:val="center"/>
            </w:pPr>
            <w:r w:rsidRPr="006E19C7">
              <w:t>0.2%</w:t>
            </w:r>
          </w:p>
        </w:tc>
      </w:tr>
      <w:tr w:rsidR="006B2325" w:rsidRPr="006E19C7" w14:paraId="2D6D604D" w14:textId="77777777" w:rsidTr="001414FD">
        <w:trPr>
          <w:trHeight w:val="290"/>
          <w:jc w:val="center"/>
        </w:trPr>
        <w:tc>
          <w:tcPr>
            <w:tcW w:w="1267" w:type="pct"/>
            <w:shd w:val="clear" w:color="auto" w:fill="auto"/>
            <w:noWrap/>
          </w:tcPr>
          <w:p w14:paraId="0D4C7540" w14:textId="77777777" w:rsidR="006B2325" w:rsidRPr="006E19C7" w:rsidRDefault="006B2325" w:rsidP="00CD1F63">
            <w:r w:rsidRPr="006E19C7">
              <w:t>Renal failure (chronic)</w:t>
            </w:r>
          </w:p>
        </w:tc>
        <w:tc>
          <w:tcPr>
            <w:tcW w:w="630" w:type="pct"/>
            <w:shd w:val="clear" w:color="auto" w:fill="auto"/>
            <w:noWrap/>
          </w:tcPr>
          <w:p w14:paraId="493ACD39" w14:textId="77777777" w:rsidR="006B2325" w:rsidRPr="006E19C7" w:rsidRDefault="006B2325" w:rsidP="00CD1F63">
            <w:pPr>
              <w:jc w:val="center"/>
            </w:pPr>
            <w:r w:rsidRPr="006E19C7">
              <w:t>10.8%</w:t>
            </w:r>
          </w:p>
        </w:tc>
        <w:tc>
          <w:tcPr>
            <w:tcW w:w="623" w:type="pct"/>
            <w:shd w:val="clear" w:color="auto" w:fill="auto"/>
            <w:noWrap/>
          </w:tcPr>
          <w:p w14:paraId="7CAD19B9" w14:textId="77777777" w:rsidR="006B2325" w:rsidRPr="006E19C7" w:rsidRDefault="006B2325" w:rsidP="00CD1F63">
            <w:pPr>
              <w:jc w:val="center"/>
            </w:pPr>
            <w:r w:rsidRPr="006E19C7">
              <w:t>21.1%</w:t>
            </w:r>
          </w:p>
        </w:tc>
        <w:tc>
          <w:tcPr>
            <w:tcW w:w="624" w:type="pct"/>
            <w:shd w:val="clear" w:color="auto" w:fill="auto"/>
            <w:noWrap/>
          </w:tcPr>
          <w:p w14:paraId="5A202AE0" w14:textId="77777777" w:rsidR="006B2325" w:rsidRPr="006E19C7" w:rsidRDefault="006B2325" w:rsidP="00CD1F63">
            <w:pPr>
              <w:jc w:val="center"/>
            </w:pPr>
            <w:r w:rsidRPr="006E19C7">
              <w:t>24.5%</w:t>
            </w:r>
          </w:p>
        </w:tc>
        <w:tc>
          <w:tcPr>
            <w:tcW w:w="623" w:type="pct"/>
            <w:shd w:val="clear" w:color="auto" w:fill="auto"/>
            <w:noWrap/>
          </w:tcPr>
          <w:p w14:paraId="36EBCA98" w14:textId="77777777" w:rsidR="006B2325" w:rsidRPr="006E19C7" w:rsidRDefault="006B2325" w:rsidP="00CD1F63">
            <w:pPr>
              <w:jc w:val="center"/>
            </w:pPr>
            <w:r w:rsidRPr="006E19C7">
              <w:t>29.1%</w:t>
            </w:r>
          </w:p>
        </w:tc>
        <w:tc>
          <w:tcPr>
            <w:tcW w:w="623" w:type="pct"/>
            <w:shd w:val="clear" w:color="auto" w:fill="auto"/>
            <w:noWrap/>
          </w:tcPr>
          <w:p w14:paraId="27DCE2A2" w14:textId="77777777" w:rsidR="006B2325" w:rsidRPr="006E19C7" w:rsidRDefault="006B2325" w:rsidP="00CD1F63">
            <w:pPr>
              <w:jc w:val="center"/>
            </w:pPr>
            <w:r w:rsidRPr="006E19C7">
              <w:t>32.4%</w:t>
            </w:r>
          </w:p>
        </w:tc>
        <w:tc>
          <w:tcPr>
            <w:tcW w:w="610" w:type="pct"/>
            <w:shd w:val="clear" w:color="auto" w:fill="auto"/>
            <w:noWrap/>
          </w:tcPr>
          <w:p w14:paraId="77B9C953" w14:textId="77777777" w:rsidR="006B2325" w:rsidRPr="006E19C7" w:rsidRDefault="006B2325" w:rsidP="00CD1F63">
            <w:pPr>
              <w:jc w:val="center"/>
            </w:pPr>
            <w:r w:rsidRPr="006E19C7">
              <w:t>34.0%</w:t>
            </w:r>
          </w:p>
        </w:tc>
      </w:tr>
      <w:tr w:rsidR="006B2325" w:rsidRPr="006E19C7" w14:paraId="0DB82084" w14:textId="77777777" w:rsidTr="001414FD">
        <w:trPr>
          <w:trHeight w:val="290"/>
          <w:jc w:val="center"/>
        </w:trPr>
        <w:tc>
          <w:tcPr>
            <w:tcW w:w="1267" w:type="pct"/>
            <w:shd w:val="clear" w:color="auto" w:fill="auto"/>
            <w:noWrap/>
          </w:tcPr>
          <w:p w14:paraId="58143A38" w14:textId="77777777" w:rsidR="006B2325" w:rsidRPr="006E19C7" w:rsidRDefault="006B2325" w:rsidP="00CD1F63">
            <w:r w:rsidRPr="006E19C7">
              <w:lastRenderedPageBreak/>
              <w:t>Peptic ulcer disease</w:t>
            </w:r>
          </w:p>
        </w:tc>
        <w:tc>
          <w:tcPr>
            <w:tcW w:w="630" w:type="pct"/>
            <w:shd w:val="clear" w:color="auto" w:fill="auto"/>
            <w:noWrap/>
          </w:tcPr>
          <w:p w14:paraId="1B0A64CA" w14:textId="77777777" w:rsidR="006B2325" w:rsidRPr="006E19C7" w:rsidRDefault="006B2325" w:rsidP="00CD1F63">
            <w:pPr>
              <w:jc w:val="center"/>
            </w:pPr>
            <w:r w:rsidRPr="006E19C7">
              <w:t>0.07%</w:t>
            </w:r>
          </w:p>
        </w:tc>
        <w:tc>
          <w:tcPr>
            <w:tcW w:w="623" w:type="pct"/>
            <w:shd w:val="clear" w:color="auto" w:fill="auto"/>
            <w:noWrap/>
          </w:tcPr>
          <w:p w14:paraId="61D4F4B5" w14:textId="77777777" w:rsidR="006B2325" w:rsidRPr="006E19C7" w:rsidRDefault="006B2325" w:rsidP="00CD1F63">
            <w:pPr>
              <w:jc w:val="center"/>
            </w:pPr>
            <w:r w:rsidRPr="006E19C7">
              <w:t>0.05%</w:t>
            </w:r>
          </w:p>
        </w:tc>
        <w:tc>
          <w:tcPr>
            <w:tcW w:w="624" w:type="pct"/>
            <w:shd w:val="clear" w:color="auto" w:fill="auto"/>
            <w:noWrap/>
          </w:tcPr>
          <w:p w14:paraId="7E2A088A" w14:textId="77777777" w:rsidR="006B2325" w:rsidRPr="006E19C7" w:rsidRDefault="006B2325" w:rsidP="00CD1F63">
            <w:pPr>
              <w:jc w:val="center"/>
            </w:pPr>
            <w:r w:rsidRPr="006E19C7">
              <w:t>0.04%</w:t>
            </w:r>
          </w:p>
        </w:tc>
        <w:tc>
          <w:tcPr>
            <w:tcW w:w="623" w:type="pct"/>
            <w:shd w:val="clear" w:color="auto" w:fill="auto"/>
            <w:noWrap/>
          </w:tcPr>
          <w:p w14:paraId="04B07764" w14:textId="77777777" w:rsidR="006B2325" w:rsidRPr="006E19C7" w:rsidRDefault="006B2325" w:rsidP="00CD1F63">
            <w:pPr>
              <w:jc w:val="center"/>
            </w:pPr>
            <w:r w:rsidRPr="006E19C7">
              <w:t>0.06%</w:t>
            </w:r>
          </w:p>
        </w:tc>
        <w:tc>
          <w:tcPr>
            <w:tcW w:w="623" w:type="pct"/>
            <w:shd w:val="clear" w:color="auto" w:fill="auto"/>
            <w:noWrap/>
          </w:tcPr>
          <w:p w14:paraId="4E971E47" w14:textId="77777777" w:rsidR="006B2325" w:rsidRPr="006E19C7" w:rsidRDefault="006B2325" w:rsidP="00CD1F63">
            <w:pPr>
              <w:jc w:val="center"/>
            </w:pPr>
            <w:r w:rsidRPr="006E19C7">
              <w:t>0.02%</w:t>
            </w:r>
          </w:p>
        </w:tc>
        <w:tc>
          <w:tcPr>
            <w:tcW w:w="610" w:type="pct"/>
            <w:shd w:val="clear" w:color="auto" w:fill="auto"/>
            <w:noWrap/>
          </w:tcPr>
          <w:p w14:paraId="15AC4AA4" w14:textId="77777777" w:rsidR="006B2325" w:rsidRPr="006E19C7" w:rsidRDefault="006B2325" w:rsidP="00CD1F63">
            <w:pPr>
              <w:jc w:val="center"/>
            </w:pPr>
            <w:r w:rsidRPr="006E19C7">
              <w:t>0.03%</w:t>
            </w:r>
          </w:p>
        </w:tc>
      </w:tr>
      <w:tr w:rsidR="006B2325" w:rsidRPr="006E19C7" w14:paraId="06E2353E" w14:textId="77777777" w:rsidTr="001414FD">
        <w:trPr>
          <w:trHeight w:val="290"/>
          <w:jc w:val="center"/>
        </w:trPr>
        <w:tc>
          <w:tcPr>
            <w:tcW w:w="1267" w:type="pct"/>
            <w:shd w:val="clear" w:color="auto" w:fill="auto"/>
            <w:noWrap/>
          </w:tcPr>
          <w:p w14:paraId="6BC41E80" w14:textId="77777777" w:rsidR="006B2325" w:rsidRPr="006E19C7" w:rsidRDefault="006B2325" w:rsidP="00CD1F63">
            <w:r w:rsidRPr="006E19C7">
              <w:t>Weight loss</w:t>
            </w:r>
          </w:p>
        </w:tc>
        <w:tc>
          <w:tcPr>
            <w:tcW w:w="630" w:type="pct"/>
            <w:shd w:val="clear" w:color="auto" w:fill="auto"/>
            <w:noWrap/>
          </w:tcPr>
          <w:p w14:paraId="5DD2F754" w14:textId="77777777" w:rsidR="006B2325" w:rsidRPr="006E19C7" w:rsidRDefault="006B2325" w:rsidP="00CD1F63">
            <w:pPr>
              <w:jc w:val="center"/>
            </w:pPr>
            <w:r w:rsidRPr="006E19C7">
              <w:t>1.8%</w:t>
            </w:r>
          </w:p>
        </w:tc>
        <w:tc>
          <w:tcPr>
            <w:tcW w:w="623" w:type="pct"/>
            <w:shd w:val="clear" w:color="auto" w:fill="auto"/>
            <w:noWrap/>
          </w:tcPr>
          <w:p w14:paraId="71556CEE" w14:textId="77777777" w:rsidR="006B2325" w:rsidRPr="006E19C7" w:rsidRDefault="006B2325" w:rsidP="00CD1F63">
            <w:pPr>
              <w:jc w:val="center"/>
            </w:pPr>
            <w:r w:rsidRPr="006E19C7">
              <w:t>1.9%</w:t>
            </w:r>
          </w:p>
        </w:tc>
        <w:tc>
          <w:tcPr>
            <w:tcW w:w="624" w:type="pct"/>
            <w:shd w:val="clear" w:color="auto" w:fill="auto"/>
            <w:noWrap/>
          </w:tcPr>
          <w:p w14:paraId="547F34D2" w14:textId="77777777" w:rsidR="006B2325" w:rsidRPr="006E19C7" w:rsidRDefault="006B2325" w:rsidP="00CD1F63">
            <w:pPr>
              <w:jc w:val="center"/>
            </w:pPr>
            <w:r w:rsidRPr="006E19C7">
              <w:t>3.1%</w:t>
            </w:r>
          </w:p>
        </w:tc>
        <w:tc>
          <w:tcPr>
            <w:tcW w:w="623" w:type="pct"/>
            <w:shd w:val="clear" w:color="auto" w:fill="auto"/>
            <w:noWrap/>
          </w:tcPr>
          <w:p w14:paraId="1D0B511C" w14:textId="77777777" w:rsidR="006B2325" w:rsidRPr="006E19C7" w:rsidRDefault="006B2325" w:rsidP="00CD1F63">
            <w:pPr>
              <w:jc w:val="center"/>
            </w:pPr>
            <w:r w:rsidRPr="006E19C7">
              <w:t>3.8%</w:t>
            </w:r>
          </w:p>
        </w:tc>
        <w:tc>
          <w:tcPr>
            <w:tcW w:w="623" w:type="pct"/>
            <w:shd w:val="clear" w:color="auto" w:fill="auto"/>
            <w:noWrap/>
          </w:tcPr>
          <w:p w14:paraId="0B552C34" w14:textId="77777777" w:rsidR="006B2325" w:rsidRPr="006E19C7" w:rsidRDefault="006B2325" w:rsidP="00CD1F63">
            <w:pPr>
              <w:jc w:val="center"/>
            </w:pPr>
            <w:r w:rsidRPr="006E19C7">
              <w:t>4.6%</w:t>
            </w:r>
          </w:p>
        </w:tc>
        <w:tc>
          <w:tcPr>
            <w:tcW w:w="610" w:type="pct"/>
            <w:shd w:val="clear" w:color="auto" w:fill="auto"/>
            <w:noWrap/>
          </w:tcPr>
          <w:p w14:paraId="16EFC195" w14:textId="77777777" w:rsidR="006B2325" w:rsidRPr="006E19C7" w:rsidRDefault="006B2325" w:rsidP="00CD1F63">
            <w:pPr>
              <w:jc w:val="center"/>
            </w:pPr>
            <w:r w:rsidRPr="006E19C7">
              <w:t>4.6%</w:t>
            </w:r>
          </w:p>
        </w:tc>
      </w:tr>
      <w:tr w:rsidR="006B2325" w:rsidRPr="006E19C7" w14:paraId="1779F487" w14:textId="77777777" w:rsidTr="001414FD">
        <w:trPr>
          <w:trHeight w:val="290"/>
          <w:jc w:val="center"/>
        </w:trPr>
        <w:tc>
          <w:tcPr>
            <w:tcW w:w="1267" w:type="pct"/>
            <w:shd w:val="clear" w:color="auto" w:fill="auto"/>
            <w:noWrap/>
          </w:tcPr>
          <w:p w14:paraId="2F214345" w14:textId="77777777" w:rsidR="006B2325" w:rsidRPr="006E19C7" w:rsidRDefault="006B2325" w:rsidP="00CD1F63">
            <w:r w:rsidRPr="006E19C7">
              <w:t>Solid tumour without Mets</w:t>
            </w:r>
          </w:p>
        </w:tc>
        <w:tc>
          <w:tcPr>
            <w:tcW w:w="630" w:type="pct"/>
            <w:shd w:val="clear" w:color="auto" w:fill="auto"/>
            <w:noWrap/>
          </w:tcPr>
          <w:p w14:paraId="2A1E8D4D" w14:textId="77777777" w:rsidR="006B2325" w:rsidRPr="006E19C7" w:rsidRDefault="006B2325" w:rsidP="00CD1F63">
            <w:pPr>
              <w:jc w:val="center"/>
            </w:pPr>
            <w:r w:rsidRPr="006E19C7">
              <w:t>1.7%</w:t>
            </w:r>
          </w:p>
        </w:tc>
        <w:tc>
          <w:tcPr>
            <w:tcW w:w="623" w:type="pct"/>
            <w:shd w:val="clear" w:color="auto" w:fill="auto"/>
            <w:noWrap/>
          </w:tcPr>
          <w:p w14:paraId="64095228" w14:textId="77777777" w:rsidR="006B2325" w:rsidRPr="006E19C7" w:rsidRDefault="006B2325" w:rsidP="00CD1F63">
            <w:pPr>
              <w:jc w:val="center"/>
            </w:pPr>
            <w:r w:rsidRPr="006E19C7">
              <w:t>1.8%</w:t>
            </w:r>
          </w:p>
        </w:tc>
        <w:tc>
          <w:tcPr>
            <w:tcW w:w="624" w:type="pct"/>
            <w:shd w:val="clear" w:color="auto" w:fill="auto"/>
            <w:noWrap/>
          </w:tcPr>
          <w:p w14:paraId="5A2F0D8B" w14:textId="77777777" w:rsidR="006B2325" w:rsidRPr="006E19C7" w:rsidRDefault="006B2325" w:rsidP="00CD1F63">
            <w:pPr>
              <w:jc w:val="center"/>
            </w:pPr>
            <w:r w:rsidRPr="006E19C7">
              <w:t>2.2%</w:t>
            </w:r>
          </w:p>
        </w:tc>
        <w:tc>
          <w:tcPr>
            <w:tcW w:w="623" w:type="pct"/>
            <w:shd w:val="clear" w:color="auto" w:fill="auto"/>
            <w:noWrap/>
          </w:tcPr>
          <w:p w14:paraId="33E5293A" w14:textId="77777777" w:rsidR="006B2325" w:rsidRPr="006E19C7" w:rsidRDefault="006B2325" w:rsidP="00CD1F63">
            <w:pPr>
              <w:jc w:val="center"/>
            </w:pPr>
            <w:r w:rsidRPr="006E19C7">
              <w:t>2.3%</w:t>
            </w:r>
          </w:p>
        </w:tc>
        <w:tc>
          <w:tcPr>
            <w:tcW w:w="623" w:type="pct"/>
            <w:shd w:val="clear" w:color="auto" w:fill="auto"/>
            <w:noWrap/>
          </w:tcPr>
          <w:p w14:paraId="2818E1AF" w14:textId="77777777" w:rsidR="006B2325" w:rsidRPr="006E19C7" w:rsidRDefault="006B2325" w:rsidP="00CD1F63">
            <w:pPr>
              <w:jc w:val="center"/>
            </w:pPr>
            <w:r w:rsidRPr="006E19C7">
              <w:t>2.2%</w:t>
            </w:r>
          </w:p>
        </w:tc>
        <w:tc>
          <w:tcPr>
            <w:tcW w:w="610" w:type="pct"/>
            <w:shd w:val="clear" w:color="auto" w:fill="auto"/>
            <w:noWrap/>
          </w:tcPr>
          <w:p w14:paraId="796AF65B" w14:textId="77777777" w:rsidR="006B2325" w:rsidRPr="006E19C7" w:rsidRDefault="006B2325" w:rsidP="00CD1F63">
            <w:pPr>
              <w:jc w:val="center"/>
            </w:pPr>
            <w:r w:rsidRPr="006E19C7">
              <w:t>2.2%</w:t>
            </w:r>
          </w:p>
        </w:tc>
      </w:tr>
      <w:tr w:rsidR="006B2325" w:rsidRPr="006E19C7" w14:paraId="3B5C813A" w14:textId="77777777" w:rsidTr="001414FD">
        <w:trPr>
          <w:trHeight w:val="290"/>
          <w:jc w:val="center"/>
        </w:trPr>
        <w:tc>
          <w:tcPr>
            <w:tcW w:w="1267" w:type="pct"/>
            <w:shd w:val="clear" w:color="auto" w:fill="auto"/>
            <w:noWrap/>
          </w:tcPr>
          <w:p w14:paraId="3CA68F13" w14:textId="77777777" w:rsidR="006B2325" w:rsidRPr="006E19C7" w:rsidRDefault="006B2325" w:rsidP="00CD1F63">
            <w:r w:rsidRPr="006E19C7">
              <w:t>Metastatic cancer</w:t>
            </w:r>
          </w:p>
        </w:tc>
        <w:tc>
          <w:tcPr>
            <w:tcW w:w="630" w:type="pct"/>
            <w:shd w:val="clear" w:color="auto" w:fill="auto"/>
            <w:noWrap/>
          </w:tcPr>
          <w:p w14:paraId="5CCB8FF0" w14:textId="77777777" w:rsidR="006B2325" w:rsidRPr="006E19C7" w:rsidRDefault="006B2325" w:rsidP="00CD1F63">
            <w:pPr>
              <w:jc w:val="center"/>
            </w:pPr>
            <w:r w:rsidRPr="006E19C7">
              <w:t>1.2%</w:t>
            </w:r>
          </w:p>
        </w:tc>
        <w:tc>
          <w:tcPr>
            <w:tcW w:w="623" w:type="pct"/>
            <w:shd w:val="clear" w:color="auto" w:fill="auto"/>
            <w:noWrap/>
          </w:tcPr>
          <w:p w14:paraId="0FCE96E0" w14:textId="77777777" w:rsidR="006B2325" w:rsidRPr="006E19C7" w:rsidRDefault="006B2325" w:rsidP="00CD1F63">
            <w:pPr>
              <w:jc w:val="center"/>
            </w:pPr>
            <w:r w:rsidRPr="006E19C7">
              <w:t>1.3%</w:t>
            </w:r>
          </w:p>
        </w:tc>
        <w:tc>
          <w:tcPr>
            <w:tcW w:w="624" w:type="pct"/>
            <w:shd w:val="clear" w:color="auto" w:fill="auto"/>
            <w:noWrap/>
          </w:tcPr>
          <w:p w14:paraId="30314070" w14:textId="77777777" w:rsidR="006B2325" w:rsidRPr="006E19C7" w:rsidRDefault="006B2325" w:rsidP="00CD1F63">
            <w:pPr>
              <w:jc w:val="center"/>
            </w:pPr>
            <w:r w:rsidRPr="006E19C7">
              <w:t>1.6%</w:t>
            </w:r>
          </w:p>
        </w:tc>
        <w:tc>
          <w:tcPr>
            <w:tcW w:w="623" w:type="pct"/>
            <w:shd w:val="clear" w:color="auto" w:fill="auto"/>
            <w:noWrap/>
          </w:tcPr>
          <w:p w14:paraId="4D802ADA" w14:textId="77777777" w:rsidR="006B2325" w:rsidRPr="006E19C7" w:rsidRDefault="006B2325" w:rsidP="00CD1F63">
            <w:pPr>
              <w:jc w:val="center"/>
            </w:pPr>
            <w:r w:rsidRPr="006E19C7">
              <w:t>1.5%</w:t>
            </w:r>
          </w:p>
        </w:tc>
        <w:tc>
          <w:tcPr>
            <w:tcW w:w="623" w:type="pct"/>
            <w:shd w:val="clear" w:color="auto" w:fill="auto"/>
            <w:noWrap/>
          </w:tcPr>
          <w:p w14:paraId="0D70D97E" w14:textId="77777777" w:rsidR="006B2325" w:rsidRPr="006E19C7" w:rsidRDefault="006B2325" w:rsidP="00CD1F63">
            <w:pPr>
              <w:jc w:val="center"/>
            </w:pPr>
            <w:r w:rsidRPr="006E19C7">
              <w:t>1.6%</w:t>
            </w:r>
          </w:p>
        </w:tc>
        <w:tc>
          <w:tcPr>
            <w:tcW w:w="610" w:type="pct"/>
            <w:shd w:val="clear" w:color="auto" w:fill="auto"/>
            <w:noWrap/>
          </w:tcPr>
          <w:p w14:paraId="6C881362" w14:textId="77777777" w:rsidR="006B2325" w:rsidRPr="006E19C7" w:rsidRDefault="006B2325" w:rsidP="00CD1F63">
            <w:pPr>
              <w:jc w:val="center"/>
            </w:pPr>
            <w:r w:rsidRPr="006E19C7">
              <w:t>1.8%</w:t>
            </w:r>
          </w:p>
        </w:tc>
      </w:tr>
      <w:tr w:rsidR="006B2325" w:rsidRPr="006E19C7" w14:paraId="1A48E889" w14:textId="77777777" w:rsidTr="001414FD">
        <w:trPr>
          <w:trHeight w:val="290"/>
          <w:jc w:val="center"/>
        </w:trPr>
        <w:tc>
          <w:tcPr>
            <w:tcW w:w="1267" w:type="pct"/>
            <w:shd w:val="clear" w:color="auto" w:fill="auto"/>
            <w:noWrap/>
          </w:tcPr>
          <w:p w14:paraId="66D653D4" w14:textId="77777777" w:rsidR="006B2325" w:rsidRPr="006E19C7" w:rsidRDefault="006B2325" w:rsidP="00CD1F63">
            <w:r w:rsidRPr="006E19C7">
              <w:t>Dementia</w:t>
            </w:r>
          </w:p>
        </w:tc>
        <w:tc>
          <w:tcPr>
            <w:tcW w:w="630" w:type="pct"/>
            <w:shd w:val="clear" w:color="auto" w:fill="auto"/>
            <w:noWrap/>
          </w:tcPr>
          <w:p w14:paraId="475AC9FA" w14:textId="77777777" w:rsidR="006B2325" w:rsidRPr="006E19C7" w:rsidRDefault="006B2325" w:rsidP="00CD1F63">
            <w:pPr>
              <w:jc w:val="center"/>
            </w:pPr>
            <w:r w:rsidRPr="006E19C7">
              <w:t>8.9%</w:t>
            </w:r>
          </w:p>
        </w:tc>
        <w:tc>
          <w:tcPr>
            <w:tcW w:w="623" w:type="pct"/>
            <w:shd w:val="clear" w:color="auto" w:fill="auto"/>
            <w:noWrap/>
          </w:tcPr>
          <w:p w14:paraId="76B254CE" w14:textId="77777777" w:rsidR="006B2325" w:rsidRPr="006E19C7" w:rsidRDefault="006B2325" w:rsidP="00CD1F63">
            <w:pPr>
              <w:jc w:val="center"/>
            </w:pPr>
            <w:r w:rsidRPr="006E19C7">
              <w:t>10.8%</w:t>
            </w:r>
          </w:p>
        </w:tc>
        <w:tc>
          <w:tcPr>
            <w:tcW w:w="624" w:type="pct"/>
            <w:shd w:val="clear" w:color="auto" w:fill="auto"/>
            <w:noWrap/>
          </w:tcPr>
          <w:p w14:paraId="04794467" w14:textId="77777777" w:rsidR="006B2325" w:rsidRPr="006E19C7" w:rsidRDefault="006B2325" w:rsidP="00CD1F63">
            <w:pPr>
              <w:jc w:val="center"/>
            </w:pPr>
            <w:r w:rsidRPr="006E19C7">
              <w:t>13.2%</w:t>
            </w:r>
          </w:p>
        </w:tc>
        <w:tc>
          <w:tcPr>
            <w:tcW w:w="623" w:type="pct"/>
            <w:shd w:val="clear" w:color="auto" w:fill="auto"/>
            <w:noWrap/>
          </w:tcPr>
          <w:p w14:paraId="6950B02E" w14:textId="77777777" w:rsidR="006B2325" w:rsidRPr="006E19C7" w:rsidRDefault="006B2325" w:rsidP="00CD1F63">
            <w:pPr>
              <w:jc w:val="center"/>
            </w:pPr>
            <w:r w:rsidRPr="006E19C7">
              <w:t>14.9%</w:t>
            </w:r>
          </w:p>
        </w:tc>
        <w:tc>
          <w:tcPr>
            <w:tcW w:w="623" w:type="pct"/>
            <w:shd w:val="clear" w:color="auto" w:fill="auto"/>
            <w:noWrap/>
          </w:tcPr>
          <w:p w14:paraId="728CC03A" w14:textId="77777777" w:rsidR="006B2325" w:rsidRPr="006E19C7" w:rsidRDefault="006B2325" w:rsidP="00CD1F63">
            <w:pPr>
              <w:jc w:val="center"/>
            </w:pPr>
            <w:r w:rsidRPr="006E19C7">
              <w:t>15.9%</w:t>
            </w:r>
          </w:p>
        </w:tc>
        <w:tc>
          <w:tcPr>
            <w:tcW w:w="610" w:type="pct"/>
            <w:shd w:val="clear" w:color="auto" w:fill="auto"/>
            <w:noWrap/>
          </w:tcPr>
          <w:p w14:paraId="434DC9F1" w14:textId="77777777" w:rsidR="006B2325" w:rsidRPr="006E19C7" w:rsidRDefault="006B2325" w:rsidP="00CD1F63">
            <w:pPr>
              <w:jc w:val="center"/>
            </w:pPr>
            <w:r w:rsidRPr="006E19C7">
              <w:t>15.4%</w:t>
            </w:r>
          </w:p>
        </w:tc>
      </w:tr>
      <w:tr w:rsidR="006B2325" w:rsidRPr="006E19C7" w14:paraId="6D3CF22B" w14:textId="77777777" w:rsidTr="001414FD">
        <w:trPr>
          <w:trHeight w:val="290"/>
          <w:jc w:val="center"/>
        </w:trPr>
        <w:tc>
          <w:tcPr>
            <w:tcW w:w="1267" w:type="pct"/>
            <w:shd w:val="clear" w:color="auto" w:fill="auto"/>
            <w:noWrap/>
          </w:tcPr>
          <w:p w14:paraId="7A0D9C45" w14:textId="77777777" w:rsidR="006B2325" w:rsidRPr="006E19C7" w:rsidRDefault="006B2325" w:rsidP="00CD1F63">
            <w:r w:rsidRPr="006E19C7">
              <w:t xml:space="preserve">Comorbidities - </w:t>
            </w:r>
            <w:proofErr w:type="spellStart"/>
            <w:r w:rsidRPr="006E19C7">
              <w:t>Charlson</w:t>
            </w:r>
            <w:proofErr w:type="spellEnd"/>
            <w:r w:rsidRPr="006E19C7">
              <w:t xml:space="preserve"> Comorbidity Index</w:t>
            </w:r>
          </w:p>
        </w:tc>
        <w:tc>
          <w:tcPr>
            <w:tcW w:w="630" w:type="pct"/>
            <w:shd w:val="clear" w:color="auto" w:fill="auto"/>
            <w:noWrap/>
          </w:tcPr>
          <w:p w14:paraId="7730EE5C" w14:textId="77777777" w:rsidR="006B2325" w:rsidRPr="006E19C7" w:rsidRDefault="006B2325" w:rsidP="00CD1F63">
            <w:pPr>
              <w:jc w:val="center"/>
            </w:pPr>
          </w:p>
        </w:tc>
        <w:tc>
          <w:tcPr>
            <w:tcW w:w="623" w:type="pct"/>
            <w:shd w:val="clear" w:color="auto" w:fill="auto"/>
            <w:noWrap/>
          </w:tcPr>
          <w:p w14:paraId="3577A7A1" w14:textId="77777777" w:rsidR="006B2325" w:rsidRPr="006E19C7" w:rsidRDefault="006B2325" w:rsidP="00CD1F63">
            <w:pPr>
              <w:jc w:val="center"/>
            </w:pPr>
          </w:p>
        </w:tc>
        <w:tc>
          <w:tcPr>
            <w:tcW w:w="624" w:type="pct"/>
            <w:shd w:val="clear" w:color="auto" w:fill="auto"/>
            <w:noWrap/>
          </w:tcPr>
          <w:p w14:paraId="5FC46EF8" w14:textId="77777777" w:rsidR="006B2325" w:rsidRPr="006E19C7" w:rsidRDefault="006B2325" w:rsidP="00CD1F63">
            <w:pPr>
              <w:jc w:val="center"/>
            </w:pPr>
          </w:p>
        </w:tc>
        <w:tc>
          <w:tcPr>
            <w:tcW w:w="623" w:type="pct"/>
            <w:shd w:val="clear" w:color="auto" w:fill="auto"/>
            <w:noWrap/>
          </w:tcPr>
          <w:p w14:paraId="3420D643" w14:textId="77777777" w:rsidR="006B2325" w:rsidRPr="006E19C7" w:rsidRDefault="006B2325" w:rsidP="00CD1F63">
            <w:pPr>
              <w:jc w:val="center"/>
            </w:pPr>
          </w:p>
        </w:tc>
        <w:tc>
          <w:tcPr>
            <w:tcW w:w="623" w:type="pct"/>
            <w:shd w:val="clear" w:color="auto" w:fill="auto"/>
            <w:noWrap/>
          </w:tcPr>
          <w:p w14:paraId="2A735961" w14:textId="77777777" w:rsidR="006B2325" w:rsidRPr="006E19C7" w:rsidRDefault="006B2325" w:rsidP="00CD1F63">
            <w:pPr>
              <w:jc w:val="center"/>
            </w:pPr>
          </w:p>
        </w:tc>
        <w:tc>
          <w:tcPr>
            <w:tcW w:w="610" w:type="pct"/>
            <w:shd w:val="clear" w:color="auto" w:fill="auto"/>
            <w:noWrap/>
          </w:tcPr>
          <w:p w14:paraId="6939E617" w14:textId="77777777" w:rsidR="006B2325" w:rsidRPr="006E19C7" w:rsidRDefault="006B2325" w:rsidP="00CD1F63">
            <w:pPr>
              <w:jc w:val="center"/>
            </w:pPr>
          </w:p>
        </w:tc>
      </w:tr>
      <w:tr w:rsidR="006B2325" w:rsidRPr="006E19C7" w14:paraId="75BA0584" w14:textId="77777777" w:rsidTr="001414FD">
        <w:trPr>
          <w:trHeight w:val="290"/>
          <w:jc w:val="center"/>
        </w:trPr>
        <w:tc>
          <w:tcPr>
            <w:tcW w:w="1267" w:type="pct"/>
            <w:shd w:val="clear" w:color="auto" w:fill="auto"/>
            <w:noWrap/>
          </w:tcPr>
          <w:p w14:paraId="56235873" w14:textId="77777777" w:rsidR="006B2325" w:rsidRPr="006E19C7" w:rsidRDefault="006B2325" w:rsidP="00CD1F63">
            <w:r w:rsidRPr="006E19C7">
              <w:t>0</w:t>
            </w:r>
          </w:p>
        </w:tc>
        <w:tc>
          <w:tcPr>
            <w:tcW w:w="630" w:type="pct"/>
            <w:shd w:val="clear" w:color="auto" w:fill="auto"/>
            <w:noWrap/>
          </w:tcPr>
          <w:p w14:paraId="2505254C" w14:textId="77777777" w:rsidR="006B2325" w:rsidRPr="006E19C7" w:rsidRDefault="006B2325" w:rsidP="00CD1F63">
            <w:pPr>
              <w:jc w:val="center"/>
            </w:pPr>
            <w:r w:rsidRPr="006E19C7">
              <w:t>28.4%</w:t>
            </w:r>
          </w:p>
        </w:tc>
        <w:tc>
          <w:tcPr>
            <w:tcW w:w="623" w:type="pct"/>
            <w:shd w:val="clear" w:color="auto" w:fill="auto"/>
            <w:noWrap/>
          </w:tcPr>
          <w:p w14:paraId="7FA69960" w14:textId="77777777" w:rsidR="006B2325" w:rsidRPr="006E19C7" w:rsidRDefault="006B2325" w:rsidP="00CD1F63">
            <w:pPr>
              <w:jc w:val="center"/>
            </w:pPr>
            <w:r w:rsidRPr="006E19C7">
              <w:t>26.8%</w:t>
            </w:r>
          </w:p>
        </w:tc>
        <w:tc>
          <w:tcPr>
            <w:tcW w:w="624" w:type="pct"/>
            <w:shd w:val="clear" w:color="auto" w:fill="auto"/>
            <w:noWrap/>
          </w:tcPr>
          <w:p w14:paraId="6338D74A" w14:textId="77777777" w:rsidR="006B2325" w:rsidRPr="006E19C7" w:rsidRDefault="006B2325" w:rsidP="00CD1F63">
            <w:pPr>
              <w:jc w:val="center"/>
            </w:pPr>
            <w:r w:rsidRPr="006E19C7">
              <w:t>23.6%</w:t>
            </w:r>
          </w:p>
        </w:tc>
        <w:tc>
          <w:tcPr>
            <w:tcW w:w="623" w:type="pct"/>
            <w:shd w:val="clear" w:color="auto" w:fill="auto"/>
            <w:noWrap/>
          </w:tcPr>
          <w:p w14:paraId="4D14ED7C" w14:textId="77777777" w:rsidR="006B2325" w:rsidRPr="006E19C7" w:rsidRDefault="006B2325" w:rsidP="00CD1F63">
            <w:pPr>
              <w:jc w:val="center"/>
            </w:pPr>
            <w:r w:rsidRPr="006E19C7">
              <w:t>21.0%</w:t>
            </w:r>
          </w:p>
        </w:tc>
        <w:tc>
          <w:tcPr>
            <w:tcW w:w="623" w:type="pct"/>
            <w:shd w:val="clear" w:color="auto" w:fill="auto"/>
            <w:noWrap/>
          </w:tcPr>
          <w:p w14:paraId="6A4F4CE7" w14:textId="77777777" w:rsidR="006B2325" w:rsidRPr="006E19C7" w:rsidRDefault="006B2325" w:rsidP="00CD1F63">
            <w:pPr>
              <w:jc w:val="center"/>
            </w:pPr>
            <w:r w:rsidRPr="006E19C7">
              <w:t>19.0%</w:t>
            </w:r>
          </w:p>
        </w:tc>
        <w:tc>
          <w:tcPr>
            <w:tcW w:w="610" w:type="pct"/>
            <w:shd w:val="clear" w:color="auto" w:fill="auto"/>
            <w:noWrap/>
          </w:tcPr>
          <w:p w14:paraId="42D4B895" w14:textId="77777777" w:rsidR="006B2325" w:rsidRPr="006E19C7" w:rsidRDefault="006B2325" w:rsidP="00CD1F63">
            <w:pPr>
              <w:jc w:val="center"/>
            </w:pPr>
            <w:r w:rsidRPr="006E19C7">
              <w:t>17.6%</w:t>
            </w:r>
          </w:p>
        </w:tc>
      </w:tr>
      <w:tr w:rsidR="006B2325" w:rsidRPr="006E19C7" w14:paraId="1733919C" w14:textId="77777777" w:rsidTr="001414FD">
        <w:trPr>
          <w:trHeight w:val="290"/>
          <w:jc w:val="center"/>
        </w:trPr>
        <w:tc>
          <w:tcPr>
            <w:tcW w:w="1267" w:type="pct"/>
            <w:shd w:val="clear" w:color="auto" w:fill="auto"/>
            <w:noWrap/>
          </w:tcPr>
          <w:p w14:paraId="7C728D8A" w14:textId="77777777" w:rsidR="006B2325" w:rsidRPr="006E19C7" w:rsidRDefault="006B2325" w:rsidP="00CD1F63">
            <w:r w:rsidRPr="006E19C7">
              <w:t>1</w:t>
            </w:r>
          </w:p>
        </w:tc>
        <w:tc>
          <w:tcPr>
            <w:tcW w:w="630" w:type="pct"/>
            <w:shd w:val="clear" w:color="auto" w:fill="auto"/>
            <w:noWrap/>
          </w:tcPr>
          <w:p w14:paraId="51ACD93F" w14:textId="77777777" w:rsidR="006B2325" w:rsidRPr="006E19C7" w:rsidRDefault="006B2325" w:rsidP="00CD1F63">
            <w:pPr>
              <w:jc w:val="center"/>
            </w:pPr>
            <w:r w:rsidRPr="006E19C7">
              <w:t>32.8%</w:t>
            </w:r>
          </w:p>
        </w:tc>
        <w:tc>
          <w:tcPr>
            <w:tcW w:w="623" w:type="pct"/>
            <w:shd w:val="clear" w:color="auto" w:fill="auto"/>
            <w:noWrap/>
          </w:tcPr>
          <w:p w14:paraId="68D7C9D2" w14:textId="77777777" w:rsidR="006B2325" w:rsidRPr="006E19C7" w:rsidRDefault="006B2325" w:rsidP="00CD1F63">
            <w:pPr>
              <w:jc w:val="center"/>
            </w:pPr>
            <w:r w:rsidRPr="006E19C7">
              <w:t>33.6%</w:t>
            </w:r>
          </w:p>
        </w:tc>
        <w:tc>
          <w:tcPr>
            <w:tcW w:w="624" w:type="pct"/>
            <w:shd w:val="clear" w:color="auto" w:fill="auto"/>
            <w:noWrap/>
          </w:tcPr>
          <w:p w14:paraId="2A84AC7C" w14:textId="77777777" w:rsidR="006B2325" w:rsidRPr="006E19C7" w:rsidRDefault="006B2325" w:rsidP="00CD1F63">
            <w:pPr>
              <w:jc w:val="center"/>
            </w:pPr>
            <w:r w:rsidRPr="006E19C7">
              <w:t>32.4%</w:t>
            </w:r>
          </w:p>
        </w:tc>
        <w:tc>
          <w:tcPr>
            <w:tcW w:w="623" w:type="pct"/>
            <w:shd w:val="clear" w:color="auto" w:fill="auto"/>
            <w:noWrap/>
          </w:tcPr>
          <w:p w14:paraId="451B45EB" w14:textId="77777777" w:rsidR="006B2325" w:rsidRPr="006E19C7" w:rsidRDefault="006B2325" w:rsidP="00CD1F63">
            <w:pPr>
              <w:jc w:val="center"/>
            </w:pPr>
            <w:r w:rsidRPr="006E19C7">
              <w:t>30.8%</w:t>
            </w:r>
          </w:p>
        </w:tc>
        <w:tc>
          <w:tcPr>
            <w:tcW w:w="623" w:type="pct"/>
            <w:shd w:val="clear" w:color="auto" w:fill="auto"/>
            <w:noWrap/>
          </w:tcPr>
          <w:p w14:paraId="7D824240" w14:textId="77777777" w:rsidR="006B2325" w:rsidRPr="006E19C7" w:rsidRDefault="006B2325" w:rsidP="00CD1F63">
            <w:pPr>
              <w:jc w:val="center"/>
            </w:pPr>
            <w:r w:rsidRPr="006E19C7">
              <w:t>29.5%</w:t>
            </w:r>
          </w:p>
        </w:tc>
        <w:tc>
          <w:tcPr>
            <w:tcW w:w="610" w:type="pct"/>
            <w:shd w:val="clear" w:color="auto" w:fill="auto"/>
            <w:noWrap/>
          </w:tcPr>
          <w:p w14:paraId="417A985A" w14:textId="77777777" w:rsidR="006B2325" w:rsidRPr="006E19C7" w:rsidRDefault="006B2325" w:rsidP="00CD1F63">
            <w:pPr>
              <w:jc w:val="center"/>
            </w:pPr>
            <w:r w:rsidRPr="006E19C7">
              <w:t>28.7%</w:t>
            </w:r>
          </w:p>
        </w:tc>
      </w:tr>
      <w:tr w:rsidR="006B2325" w:rsidRPr="006E19C7" w14:paraId="4DD26E0C" w14:textId="77777777" w:rsidTr="001414FD">
        <w:trPr>
          <w:trHeight w:val="290"/>
          <w:jc w:val="center"/>
        </w:trPr>
        <w:tc>
          <w:tcPr>
            <w:tcW w:w="1267" w:type="pct"/>
            <w:shd w:val="clear" w:color="auto" w:fill="auto"/>
            <w:noWrap/>
          </w:tcPr>
          <w:p w14:paraId="3065CA24" w14:textId="77777777" w:rsidR="006B2325" w:rsidRPr="006E19C7" w:rsidRDefault="006B2325" w:rsidP="00CD1F63">
            <w:r w:rsidRPr="006E19C7">
              <w:t>2</w:t>
            </w:r>
          </w:p>
        </w:tc>
        <w:tc>
          <w:tcPr>
            <w:tcW w:w="630" w:type="pct"/>
            <w:shd w:val="clear" w:color="auto" w:fill="auto"/>
            <w:noWrap/>
          </w:tcPr>
          <w:p w14:paraId="4C0890F5" w14:textId="77777777" w:rsidR="006B2325" w:rsidRPr="006E19C7" w:rsidRDefault="006B2325" w:rsidP="00CD1F63">
            <w:pPr>
              <w:jc w:val="center"/>
            </w:pPr>
            <w:r w:rsidRPr="006E19C7">
              <w:t>23.2%</w:t>
            </w:r>
          </w:p>
        </w:tc>
        <w:tc>
          <w:tcPr>
            <w:tcW w:w="623" w:type="pct"/>
            <w:shd w:val="clear" w:color="auto" w:fill="auto"/>
            <w:noWrap/>
          </w:tcPr>
          <w:p w14:paraId="4D2749AC" w14:textId="77777777" w:rsidR="006B2325" w:rsidRPr="006E19C7" w:rsidRDefault="006B2325" w:rsidP="00CD1F63">
            <w:pPr>
              <w:jc w:val="center"/>
            </w:pPr>
            <w:r w:rsidRPr="006E19C7">
              <w:t>23.9%</w:t>
            </w:r>
          </w:p>
        </w:tc>
        <w:tc>
          <w:tcPr>
            <w:tcW w:w="624" w:type="pct"/>
            <w:shd w:val="clear" w:color="auto" w:fill="auto"/>
            <w:noWrap/>
          </w:tcPr>
          <w:p w14:paraId="432B09F5" w14:textId="77777777" w:rsidR="006B2325" w:rsidRPr="006E19C7" w:rsidRDefault="006B2325" w:rsidP="00CD1F63">
            <w:pPr>
              <w:jc w:val="center"/>
            </w:pPr>
            <w:r w:rsidRPr="006E19C7">
              <w:t>24.8%</w:t>
            </w:r>
          </w:p>
        </w:tc>
        <w:tc>
          <w:tcPr>
            <w:tcW w:w="623" w:type="pct"/>
            <w:shd w:val="clear" w:color="auto" w:fill="auto"/>
            <w:noWrap/>
          </w:tcPr>
          <w:p w14:paraId="11428E0A" w14:textId="77777777" w:rsidR="006B2325" w:rsidRPr="006E19C7" w:rsidRDefault="006B2325" w:rsidP="00CD1F63">
            <w:pPr>
              <w:jc w:val="center"/>
            </w:pPr>
            <w:r w:rsidRPr="006E19C7">
              <w:t>25.3%</w:t>
            </w:r>
          </w:p>
        </w:tc>
        <w:tc>
          <w:tcPr>
            <w:tcW w:w="623" w:type="pct"/>
            <w:shd w:val="clear" w:color="auto" w:fill="auto"/>
            <w:noWrap/>
          </w:tcPr>
          <w:p w14:paraId="2F3EADB0" w14:textId="77777777" w:rsidR="006B2325" w:rsidRPr="006E19C7" w:rsidRDefault="006B2325" w:rsidP="00CD1F63">
            <w:pPr>
              <w:jc w:val="center"/>
            </w:pPr>
            <w:r w:rsidRPr="006E19C7">
              <w:t>25.5%</w:t>
            </w:r>
          </w:p>
        </w:tc>
        <w:tc>
          <w:tcPr>
            <w:tcW w:w="610" w:type="pct"/>
            <w:shd w:val="clear" w:color="auto" w:fill="auto"/>
            <w:noWrap/>
          </w:tcPr>
          <w:p w14:paraId="3887D3BB" w14:textId="77777777" w:rsidR="006B2325" w:rsidRPr="006E19C7" w:rsidRDefault="006B2325" w:rsidP="00CD1F63">
            <w:pPr>
              <w:jc w:val="center"/>
            </w:pPr>
            <w:r w:rsidRPr="006E19C7">
              <w:t>25.6%</w:t>
            </w:r>
          </w:p>
        </w:tc>
      </w:tr>
      <w:tr w:rsidR="006B2325" w:rsidRPr="006E19C7" w14:paraId="5E94F8FF" w14:textId="77777777" w:rsidTr="001414FD">
        <w:trPr>
          <w:trHeight w:val="290"/>
          <w:jc w:val="center"/>
        </w:trPr>
        <w:tc>
          <w:tcPr>
            <w:tcW w:w="1267" w:type="pct"/>
            <w:shd w:val="clear" w:color="auto" w:fill="auto"/>
            <w:noWrap/>
          </w:tcPr>
          <w:p w14:paraId="1CD49648" w14:textId="77777777" w:rsidR="006B2325" w:rsidRPr="006E19C7" w:rsidRDefault="006B2325" w:rsidP="00CD1F63">
            <w:r w:rsidRPr="006E19C7">
              <w:t>≥3</w:t>
            </w:r>
          </w:p>
        </w:tc>
        <w:tc>
          <w:tcPr>
            <w:tcW w:w="630" w:type="pct"/>
            <w:shd w:val="clear" w:color="auto" w:fill="auto"/>
            <w:noWrap/>
          </w:tcPr>
          <w:p w14:paraId="22960C6B" w14:textId="77777777" w:rsidR="006B2325" w:rsidRPr="006E19C7" w:rsidRDefault="006B2325" w:rsidP="00CD1F63">
            <w:pPr>
              <w:jc w:val="center"/>
            </w:pPr>
            <w:r w:rsidRPr="006E19C7">
              <w:t>15.6%</w:t>
            </w:r>
          </w:p>
        </w:tc>
        <w:tc>
          <w:tcPr>
            <w:tcW w:w="623" w:type="pct"/>
            <w:shd w:val="clear" w:color="auto" w:fill="auto"/>
            <w:noWrap/>
          </w:tcPr>
          <w:p w14:paraId="1DD86095" w14:textId="77777777" w:rsidR="006B2325" w:rsidRPr="006E19C7" w:rsidRDefault="006B2325" w:rsidP="00CD1F63">
            <w:pPr>
              <w:jc w:val="center"/>
            </w:pPr>
            <w:r w:rsidRPr="006E19C7">
              <w:t>15.7%</w:t>
            </w:r>
          </w:p>
        </w:tc>
        <w:tc>
          <w:tcPr>
            <w:tcW w:w="624" w:type="pct"/>
            <w:shd w:val="clear" w:color="auto" w:fill="auto"/>
            <w:noWrap/>
          </w:tcPr>
          <w:p w14:paraId="77043E7A" w14:textId="77777777" w:rsidR="006B2325" w:rsidRPr="006E19C7" w:rsidRDefault="006B2325" w:rsidP="00CD1F63">
            <w:pPr>
              <w:jc w:val="center"/>
            </w:pPr>
            <w:r w:rsidRPr="006E19C7">
              <w:t>19.2%</w:t>
            </w:r>
          </w:p>
        </w:tc>
        <w:tc>
          <w:tcPr>
            <w:tcW w:w="623" w:type="pct"/>
            <w:shd w:val="clear" w:color="auto" w:fill="auto"/>
            <w:noWrap/>
          </w:tcPr>
          <w:p w14:paraId="718AADF0" w14:textId="77777777" w:rsidR="006B2325" w:rsidRPr="006E19C7" w:rsidRDefault="006B2325" w:rsidP="00CD1F63">
            <w:pPr>
              <w:jc w:val="center"/>
            </w:pPr>
            <w:r w:rsidRPr="006E19C7">
              <w:t>22.9%</w:t>
            </w:r>
          </w:p>
        </w:tc>
        <w:tc>
          <w:tcPr>
            <w:tcW w:w="623" w:type="pct"/>
            <w:shd w:val="clear" w:color="auto" w:fill="auto"/>
            <w:noWrap/>
          </w:tcPr>
          <w:p w14:paraId="5BF954C3" w14:textId="77777777" w:rsidR="006B2325" w:rsidRPr="006E19C7" w:rsidRDefault="006B2325" w:rsidP="00CD1F63">
            <w:pPr>
              <w:jc w:val="center"/>
            </w:pPr>
            <w:r w:rsidRPr="006E19C7">
              <w:t>26.0%</w:t>
            </w:r>
          </w:p>
        </w:tc>
        <w:tc>
          <w:tcPr>
            <w:tcW w:w="610" w:type="pct"/>
            <w:shd w:val="clear" w:color="auto" w:fill="auto"/>
            <w:noWrap/>
          </w:tcPr>
          <w:p w14:paraId="306645EA" w14:textId="77777777" w:rsidR="006B2325" w:rsidRPr="006E19C7" w:rsidRDefault="006B2325" w:rsidP="00CD1F63">
            <w:pPr>
              <w:jc w:val="center"/>
            </w:pPr>
            <w:r w:rsidRPr="006E19C7">
              <w:t>28.1%</w:t>
            </w:r>
          </w:p>
        </w:tc>
      </w:tr>
      <w:tr w:rsidR="006B2325" w:rsidRPr="006E19C7" w14:paraId="4F5658E4" w14:textId="77777777" w:rsidTr="001414FD">
        <w:trPr>
          <w:trHeight w:val="290"/>
          <w:jc w:val="center"/>
        </w:trPr>
        <w:tc>
          <w:tcPr>
            <w:tcW w:w="1267" w:type="pct"/>
            <w:shd w:val="clear" w:color="auto" w:fill="auto"/>
            <w:noWrap/>
          </w:tcPr>
          <w:p w14:paraId="14214A6C" w14:textId="77777777" w:rsidR="006B2325" w:rsidRPr="006E19C7" w:rsidRDefault="006B2325" w:rsidP="00CD1F63">
            <w:r w:rsidRPr="006E19C7">
              <w:t>Hospital bed size</w:t>
            </w:r>
          </w:p>
        </w:tc>
        <w:tc>
          <w:tcPr>
            <w:tcW w:w="630" w:type="pct"/>
            <w:shd w:val="clear" w:color="auto" w:fill="auto"/>
            <w:noWrap/>
          </w:tcPr>
          <w:p w14:paraId="5C30C768" w14:textId="77777777" w:rsidR="006B2325" w:rsidRPr="006E19C7" w:rsidRDefault="006B2325" w:rsidP="00CD1F63">
            <w:pPr>
              <w:jc w:val="center"/>
            </w:pPr>
          </w:p>
        </w:tc>
        <w:tc>
          <w:tcPr>
            <w:tcW w:w="623" w:type="pct"/>
            <w:shd w:val="clear" w:color="auto" w:fill="auto"/>
            <w:noWrap/>
          </w:tcPr>
          <w:p w14:paraId="0D0A41D7" w14:textId="77777777" w:rsidR="006B2325" w:rsidRPr="006E19C7" w:rsidRDefault="006B2325" w:rsidP="00CD1F63">
            <w:pPr>
              <w:jc w:val="center"/>
            </w:pPr>
          </w:p>
        </w:tc>
        <w:tc>
          <w:tcPr>
            <w:tcW w:w="624" w:type="pct"/>
            <w:shd w:val="clear" w:color="auto" w:fill="auto"/>
            <w:noWrap/>
          </w:tcPr>
          <w:p w14:paraId="73A86A91" w14:textId="77777777" w:rsidR="006B2325" w:rsidRPr="006E19C7" w:rsidRDefault="006B2325" w:rsidP="00CD1F63">
            <w:pPr>
              <w:jc w:val="center"/>
            </w:pPr>
          </w:p>
        </w:tc>
        <w:tc>
          <w:tcPr>
            <w:tcW w:w="623" w:type="pct"/>
            <w:shd w:val="clear" w:color="auto" w:fill="auto"/>
            <w:noWrap/>
          </w:tcPr>
          <w:p w14:paraId="55E323BA" w14:textId="77777777" w:rsidR="006B2325" w:rsidRPr="006E19C7" w:rsidRDefault="006B2325" w:rsidP="00CD1F63">
            <w:pPr>
              <w:jc w:val="center"/>
            </w:pPr>
          </w:p>
        </w:tc>
        <w:tc>
          <w:tcPr>
            <w:tcW w:w="623" w:type="pct"/>
            <w:shd w:val="clear" w:color="auto" w:fill="auto"/>
            <w:noWrap/>
          </w:tcPr>
          <w:p w14:paraId="45932F63" w14:textId="77777777" w:rsidR="006B2325" w:rsidRPr="006E19C7" w:rsidRDefault="006B2325" w:rsidP="00CD1F63">
            <w:pPr>
              <w:jc w:val="center"/>
            </w:pPr>
          </w:p>
        </w:tc>
        <w:tc>
          <w:tcPr>
            <w:tcW w:w="610" w:type="pct"/>
            <w:shd w:val="clear" w:color="auto" w:fill="auto"/>
            <w:noWrap/>
          </w:tcPr>
          <w:p w14:paraId="6DE6EE71" w14:textId="77777777" w:rsidR="006B2325" w:rsidRPr="006E19C7" w:rsidRDefault="006B2325" w:rsidP="00CD1F63">
            <w:pPr>
              <w:jc w:val="center"/>
            </w:pPr>
          </w:p>
        </w:tc>
      </w:tr>
      <w:tr w:rsidR="006B2325" w:rsidRPr="006E19C7" w14:paraId="09684082" w14:textId="77777777" w:rsidTr="001414FD">
        <w:trPr>
          <w:trHeight w:val="290"/>
          <w:jc w:val="center"/>
        </w:trPr>
        <w:tc>
          <w:tcPr>
            <w:tcW w:w="1267" w:type="pct"/>
            <w:shd w:val="clear" w:color="auto" w:fill="auto"/>
            <w:noWrap/>
          </w:tcPr>
          <w:p w14:paraId="3E9CF5C6" w14:textId="77777777" w:rsidR="006B2325" w:rsidRPr="006E19C7" w:rsidRDefault="006B2325" w:rsidP="00CD1F63">
            <w:r w:rsidRPr="006E19C7">
              <w:t>Small</w:t>
            </w:r>
          </w:p>
        </w:tc>
        <w:tc>
          <w:tcPr>
            <w:tcW w:w="630" w:type="pct"/>
            <w:shd w:val="clear" w:color="auto" w:fill="auto"/>
            <w:noWrap/>
          </w:tcPr>
          <w:p w14:paraId="268D89B1" w14:textId="77777777" w:rsidR="006B2325" w:rsidRPr="006E19C7" w:rsidRDefault="006B2325" w:rsidP="00CD1F63">
            <w:pPr>
              <w:jc w:val="center"/>
            </w:pPr>
            <w:r w:rsidRPr="006E19C7">
              <w:t>15.9%</w:t>
            </w:r>
          </w:p>
        </w:tc>
        <w:tc>
          <w:tcPr>
            <w:tcW w:w="623" w:type="pct"/>
            <w:shd w:val="clear" w:color="auto" w:fill="auto"/>
            <w:noWrap/>
          </w:tcPr>
          <w:p w14:paraId="4A27F049" w14:textId="77777777" w:rsidR="006B2325" w:rsidRPr="006E19C7" w:rsidRDefault="006B2325" w:rsidP="00CD1F63">
            <w:pPr>
              <w:jc w:val="center"/>
            </w:pPr>
            <w:r w:rsidRPr="006E19C7">
              <w:t>16.7%</w:t>
            </w:r>
          </w:p>
        </w:tc>
        <w:tc>
          <w:tcPr>
            <w:tcW w:w="624" w:type="pct"/>
            <w:shd w:val="clear" w:color="auto" w:fill="auto"/>
            <w:noWrap/>
          </w:tcPr>
          <w:p w14:paraId="40B967EC" w14:textId="77777777" w:rsidR="006B2325" w:rsidRPr="006E19C7" w:rsidRDefault="006B2325" w:rsidP="00CD1F63">
            <w:pPr>
              <w:jc w:val="center"/>
            </w:pPr>
            <w:r w:rsidRPr="006E19C7">
              <w:t>16.0%</w:t>
            </w:r>
          </w:p>
        </w:tc>
        <w:tc>
          <w:tcPr>
            <w:tcW w:w="623" w:type="pct"/>
            <w:shd w:val="clear" w:color="auto" w:fill="auto"/>
            <w:noWrap/>
          </w:tcPr>
          <w:p w14:paraId="2DAD4740" w14:textId="77777777" w:rsidR="006B2325" w:rsidRPr="006E19C7" w:rsidRDefault="006B2325" w:rsidP="00CD1F63">
            <w:pPr>
              <w:jc w:val="center"/>
            </w:pPr>
            <w:r w:rsidRPr="006E19C7">
              <w:t>13.7%</w:t>
            </w:r>
          </w:p>
        </w:tc>
        <w:tc>
          <w:tcPr>
            <w:tcW w:w="623" w:type="pct"/>
            <w:shd w:val="clear" w:color="auto" w:fill="auto"/>
            <w:noWrap/>
          </w:tcPr>
          <w:p w14:paraId="08FF60D8" w14:textId="77777777" w:rsidR="006B2325" w:rsidRPr="006E19C7" w:rsidRDefault="006B2325" w:rsidP="00CD1F63">
            <w:pPr>
              <w:jc w:val="center"/>
            </w:pPr>
            <w:r w:rsidRPr="006E19C7">
              <w:t>16.4%</w:t>
            </w:r>
          </w:p>
        </w:tc>
        <w:tc>
          <w:tcPr>
            <w:tcW w:w="610" w:type="pct"/>
            <w:shd w:val="clear" w:color="auto" w:fill="auto"/>
            <w:noWrap/>
          </w:tcPr>
          <w:p w14:paraId="6533A5B0" w14:textId="77777777" w:rsidR="006B2325" w:rsidRPr="006E19C7" w:rsidRDefault="006B2325" w:rsidP="00CD1F63">
            <w:pPr>
              <w:jc w:val="center"/>
            </w:pPr>
            <w:r w:rsidRPr="006E19C7">
              <w:t>22.3%</w:t>
            </w:r>
          </w:p>
        </w:tc>
      </w:tr>
      <w:tr w:rsidR="006B2325" w:rsidRPr="006E19C7" w14:paraId="4DCC8BAA" w14:textId="77777777" w:rsidTr="001414FD">
        <w:trPr>
          <w:trHeight w:val="290"/>
          <w:jc w:val="center"/>
        </w:trPr>
        <w:tc>
          <w:tcPr>
            <w:tcW w:w="1267" w:type="pct"/>
            <w:shd w:val="clear" w:color="auto" w:fill="auto"/>
            <w:noWrap/>
          </w:tcPr>
          <w:p w14:paraId="7F7F8075" w14:textId="77777777" w:rsidR="006B2325" w:rsidRPr="006E19C7" w:rsidRDefault="006B2325" w:rsidP="00CD1F63">
            <w:r w:rsidRPr="006E19C7">
              <w:t>Medium</w:t>
            </w:r>
          </w:p>
        </w:tc>
        <w:tc>
          <w:tcPr>
            <w:tcW w:w="630" w:type="pct"/>
            <w:shd w:val="clear" w:color="auto" w:fill="auto"/>
            <w:noWrap/>
          </w:tcPr>
          <w:p w14:paraId="59700269" w14:textId="77777777" w:rsidR="006B2325" w:rsidRPr="006E19C7" w:rsidRDefault="006B2325" w:rsidP="00CD1F63">
            <w:pPr>
              <w:jc w:val="center"/>
            </w:pPr>
            <w:r w:rsidRPr="006E19C7">
              <w:t>28.6%</w:t>
            </w:r>
          </w:p>
        </w:tc>
        <w:tc>
          <w:tcPr>
            <w:tcW w:w="623" w:type="pct"/>
            <w:shd w:val="clear" w:color="auto" w:fill="auto"/>
            <w:noWrap/>
          </w:tcPr>
          <w:p w14:paraId="1E2C250B" w14:textId="77777777" w:rsidR="006B2325" w:rsidRPr="006E19C7" w:rsidRDefault="006B2325" w:rsidP="00CD1F63">
            <w:pPr>
              <w:jc w:val="center"/>
            </w:pPr>
            <w:r w:rsidRPr="006E19C7">
              <w:t>27.9%</w:t>
            </w:r>
          </w:p>
        </w:tc>
        <w:tc>
          <w:tcPr>
            <w:tcW w:w="624" w:type="pct"/>
            <w:shd w:val="clear" w:color="auto" w:fill="auto"/>
            <w:noWrap/>
          </w:tcPr>
          <w:p w14:paraId="77F1E2AC" w14:textId="77777777" w:rsidR="006B2325" w:rsidRPr="006E19C7" w:rsidRDefault="006B2325" w:rsidP="00CD1F63">
            <w:pPr>
              <w:jc w:val="center"/>
            </w:pPr>
            <w:r w:rsidRPr="006E19C7">
              <w:t>26.5%</w:t>
            </w:r>
          </w:p>
        </w:tc>
        <w:tc>
          <w:tcPr>
            <w:tcW w:w="623" w:type="pct"/>
            <w:shd w:val="clear" w:color="auto" w:fill="auto"/>
            <w:noWrap/>
          </w:tcPr>
          <w:p w14:paraId="167727EE" w14:textId="77777777" w:rsidR="006B2325" w:rsidRPr="006E19C7" w:rsidRDefault="006B2325" w:rsidP="00CD1F63">
            <w:pPr>
              <w:jc w:val="center"/>
            </w:pPr>
            <w:r w:rsidRPr="006E19C7">
              <w:t>27.2%</w:t>
            </w:r>
          </w:p>
        </w:tc>
        <w:tc>
          <w:tcPr>
            <w:tcW w:w="623" w:type="pct"/>
            <w:shd w:val="clear" w:color="auto" w:fill="auto"/>
            <w:noWrap/>
          </w:tcPr>
          <w:p w14:paraId="61A0A60D" w14:textId="77777777" w:rsidR="006B2325" w:rsidRPr="006E19C7" w:rsidRDefault="006B2325" w:rsidP="00CD1F63">
            <w:pPr>
              <w:jc w:val="center"/>
            </w:pPr>
            <w:r w:rsidRPr="006E19C7">
              <w:t>29.1%</w:t>
            </w:r>
          </w:p>
        </w:tc>
        <w:tc>
          <w:tcPr>
            <w:tcW w:w="610" w:type="pct"/>
            <w:shd w:val="clear" w:color="auto" w:fill="auto"/>
            <w:noWrap/>
          </w:tcPr>
          <w:p w14:paraId="3FF8FB46" w14:textId="77777777" w:rsidR="006B2325" w:rsidRPr="006E19C7" w:rsidRDefault="006B2325" w:rsidP="00CD1F63">
            <w:pPr>
              <w:jc w:val="center"/>
            </w:pPr>
            <w:r w:rsidRPr="006E19C7">
              <w:t>31.3%</w:t>
            </w:r>
          </w:p>
        </w:tc>
      </w:tr>
      <w:tr w:rsidR="006B2325" w:rsidRPr="006E19C7" w14:paraId="5BCC2C94" w14:textId="77777777" w:rsidTr="001414FD">
        <w:trPr>
          <w:trHeight w:val="290"/>
          <w:jc w:val="center"/>
        </w:trPr>
        <w:tc>
          <w:tcPr>
            <w:tcW w:w="1267" w:type="pct"/>
            <w:shd w:val="clear" w:color="auto" w:fill="auto"/>
            <w:noWrap/>
          </w:tcPr>
          <w:p w14:paraId="3B16CD6D" w14:textId="77777777" w:rsidR="006B2325" w:rsidRPr="006E19C7" w:rsidRDefault="006B2325" w:rsidP="00CD1F63">
            <w:r w:rsidRPr="006E19C7">
              <w:t>Large</w:t>
            </w:r>
          </w:p>
        </w:tc>
        <w:tc>
          <w:tcPr>
            <w:tcW w:w="630" w:type="pct"/>
            <w:shd w:val="clear" w:color="auto" w:fill="auto"/>
            <w:noWrap/>
          </w:tcPr>
          <w:p w14:paraId="74D3B22D" w14:textId="77777777" w:rsidR="006B2325" w:rsidRPr="006E19C7" w:rsidRDefault="006B2325" w:rsidP="00CD1F63">
            <w:pPr>
              <w:jc w:val="center"/>
            </w:pPr>
            <w:r w:rsidRPr="006E19C7">
              <w:t>55.5%</w:t>
            </w:r>
          </w:p>
        </w:tc>
        <w:tc>
          <w:tcPr>
            <w:tcW w:w="623" w:type="pct"/>
            <w:shd w:val="clear" w:color="auto" w:fill="auto"/>
            <w:noWrap/>
          </w:tcPr>
          <w:p w14:paraId="2EB04299" w14:textId="77777777" w:rsidR="006B2325" w:rsidRPr="006E19C7" w:rsidRDefault="006B2325" w:rsidP="00CD1F63">
            <w:pPr>
              <w:jc w:val="center"/>
            </w:pPr>
            <w:r w:rsidRPr="006E19C7">
              <w:t>55.4%</w:t>
            </w:r>
          </w:p>
        </w:tc>
        <w:tc>
          <w:tcPr>
            <w:tcW w:w="624" w:type="pct"/>
            <w:shd w:val="clear" w:color="auto" w:fill="auto"/>
            <w:noWrap/>
          </w:tcPr>
          <w:p w14:paraId="4D961FFA" w14:textId="77777777" w:rsidR="006B2325" w:rsidRPr="006E19C7" w:rsidRDefault="006B2325" w:rsidP="00CD1F63">
            <w:pPr>
              <w:jc w:val="center"/>
            </w:pPr>
            <w:r w:rsidRPr="006E19C7">
              <w:t>57.5%</w:t>
            </w:r>
          </w:p>
        </w:tc>
        <w:tc>
          <w:tcPr>
            <w:tcW w:w="623" w:type="pct"/>
            <w:shd w:val="clear" w:color="auto" w:fill="auto"/>
            <w:noWrap/>
          </w:tcPr>
          <w:p w14:paraId="535F5F77" w14:textId="77777777" w:rsidR="006B2325" w:rsidRPr="006E19C7" w:rsidRDefault="006B2325" w:rsidP="00CD1F63">
            <w:pPr>
              <w:jc w:val="center"/>
            </w:pPr>
            <w:r w:rsidRPr="006E19C7">
              <w:t>59.1%</w:t>
            </w:r>
          </w:p>
        </w:tc>
        <w:tc>
          <w:tcPr>
            <w:tcW w:w="623" w:type="pct"/>
            <w:shd w:val="clear" w:color="auto" w:fill="auto"/>
            <w:noWrap/>
          </w:tcPr>
          <w:p w14:paraId="43C9277C" w14:textId="77777777" w:rsidR="006B2325" w:rsidRPr="006E19C7" w:rsidRDefault="006B2325" w:rsidP="00CD1F63">
            <w:pPr>
              <w:jc w:val="center"/>
            </w:pPr>
            <w:r w:rsidRPr="006E19C7">
              <w:t>54.5%</w:t>
            </w:r>
          </w:p>
        </w:tc>
        <w:tc>
          <w:tcPr>
            <w:tcW w:w="610" w:type="pct"/>
            <w:shd w:val="clear" w:color="auto" w:fill="auto"/>
            <w:noWrap/>
          </w:tcPr>
          <w:p w14:paraId="75F8907E" w14:textId="77777777" w:rsidR="006B2325" w:rsidRPr="006E19C7" w:rsidRDefault="006B2325" w:rsidP="00CD1F63">
            <w:pPr>
              <w:jc w:val="center"/>
            </w:pPr>
            <w:r w:rsidRPr="006E19C7">
              <w:t>46.4%</w:t>
            </w:r>
          </w:p>
        </w:tc>
      </w:tr>
      <w:tr w:rsidR="006B2325" w:rsidRPr="006E19C7" w14:paraId="015A0733" w14:textId="77777777" w:rsidTr="001414FD">
        <w:trPr>
          <w:trHeight w:val="290"/>
          <w:jc w:val="center"/>
        </w:trPr>
        <w:tc>
          <w:tcPr>
            <w:tcW w:w="1267" w:type="pct"/>
            <w:shd w:val="clear" w:color="auto" w:fill="auto"/>
            <w:noWrap/>
          </w:tcPr>
          <w:p w14:paraId="42D71EE1" w14:textId="77777777" w:rsidR="006B2325" w:rsidRPr="006E19C7" w:rsidRDefault="006B2325" w:rsidP="00CD1F63">
            <w:r w:rsidRPr="006E19C7">
              <w:t>Hospital Region</w:t>
            </w:r>
          </w:p>
        </w:tc>
        <w:tc>
          <w:tcPr>
            <w:tcW w:w="630" w:type="pct"/>
            <w:shd w:val="clear" w:color="auto" w:fill="auto"/>
            <w:noWrap/>
          </w:tcPr>
          <w:p w14:paraId="51C873E8" w14:textId="77777777" w:rsidR="006B2325" w:rsidRPr="006E19C7" w:rsidRDefault="006B2325" w:rsidP="00CD1F63">
            <w:pPr>
              <w:jc w:val="center"/>
            </w:pPr>
          </w:p>
        </w:tc>
        <w:tc>
          <w:tcPr>
            <w:tcW w:w="623" w:type="pct"/>
            <w:shd w:val="clear" w:color="auto" w:fill="auto"/>
            <w:noWrap/>
          </w:tcPr>
          <w:p w14:paraId="0C746F70" w14:textId="77777777" w:rsidR="006B2325" w:rsidRPr="006E19C7" w:rsidRDefault="006B2325" w:rsidP="00CD1F63">
            <w:pPr>
              <w:jc w:val="center"/>
            </w:pPr>
          </w:p>
        </w:tc>
        <w:tc>
          <w:tcPr>
            <w:tcW w:w="624" w:type="pct"/>
            <w:shd w:val="clear" w:color="auto" w:fill="auto"/>
            <w:noWrap/>
          </w:tcPr>
          <w:p w14:paraId="64D14171" w14:textId="77777777" w:rsidR="006B2325" w:rsidRPr="006E19C7" w:rsidRDefault="006B2325" w:rsidP="00CD1F63">
            <w:pPr>
              <w:jc w:val="center"/>
            </w:pPr>
          </w:p>
        </w:tc>
        <w:tc>
          <w:tcPr>
            <w:tcW w:w="623" w:type="pct"/>
            <w:shd w:val="clear" w:color="auto" w:fill="auto"/>
            <w:noWrap/>
          </w:tcPr>
          <w:p w14:paraId="0A7A2E22" w14:textId="77777777" w:rsidR="006B2325" w:rsidRPr="006E19C7" w:rsidRDefault="006B2325" w:rsidP="00CD1F63">
            <w:pPr>
              <w:jc w:val="center"/>
            </w:pPr>
          </w:p>
        </w:tc>
        <w:tc>
          <w:tcPr>
            <w:tcW w:w="623" w:type="pct"/>
            <w:shd w:val="clear" w:color="auto" w:fill="auto"/>
            <w:noWrap/>
          </w:tcPr>
          <w:p w14:paraId="56AEDC68" w14:textId="77777777" w:rsidR="006B2325" w:rsidRPr="006E19C7" w:rsidRDefault="006B2325" w:rsidP="00CD1F63">
            <w:pPr>
              <w:jc w:val="center"/>
            </w:pPr>
          </w:p>
        </w:tc>
        <w:tc>
          <w:tcPr>
            <w:tcW w:w="610" w:type="pct"/>
            <w:shd w:val="clear" w:color="auto" w:fill="auto"/>
            <w:noWrap/>
          </w:tcPr>
          <w:p w14:paraId="7C69C93C" w14:textId="77777777" w:rsidR="006B2325" w:rsidRPr="006E19C7" w:rsidRDefault="006B2325" w:rsidP="00CD1F63">
            <w:pPr>
              <w:jc w:val="center"/>
            </w:pPr>
          </w:p>
        </w:tc>
      </w:tr>
      <w:tr w:rsidR="006B2325" w:rsidRPr="006E19C7" w14:paraId="13DCCA96" w14:textId="77777777" w:rsidTr="001414FD">
        <w:trPr>
          <w:trHeight w:val="290"/>
          <w:jc w:val="center"/>
        </w:trPr>
        <w:tc>
          <w:tcPr>
            <w:tcW w:w="1267" w:type="pct"/>
            <w:shd w:val="clear" w:color="auto" w:fill="auto"/>
            <w:noWrap/>
          </w:tcPr>
          <w:p w14:paraId="75D2E180" w14:textId="77777777" w:rsidR="006B2325" w:rsidRPr="006E19C7" w:rsidRDefault="006B2325" w:rsidP="00CD1F63">
            <w:r w:rsidRPr="006E19C7">
              <w:t>Northeast</w:t>
            </w:r>
          </w:p>
        </w:tc>
        <w:tc>
          <w:tcPr>
            <w:tcW w:w="630" w:type="pct"/>
            <w:shd w:val="clear" w:color="auto" w:fill="auto"/>
            <w:noWrap/>
          </w:tcPr>
          <w:p w14:paraId="3621F1A0" w14:textId="77777777" w:rsidR="006B2325" w:rsidRPr="006E19C7" w:rsidRDefault="006B2325" w:rsidP="00CD1F63">
            <w:pPr>
              <w:jc w:val="center"/>
            </w:pPr>
            <w:r w:rsidRPr="006E19C7">
              <w:t>26.9%</w:t>
            </w:r>
          </w:p>
        </w:tc>
        <w:tc>
          <w:tcPr>
            <w:tcW w:w="623" w:type="pct"/>
            <w:shd w:val="clear" w:color="auto" w:fill="auto"/>
            <w:noWrap/>
          </w:tcPr>
          <w:p w14:paraId="4A3BDAA6" w14:textId="77777777" w:rsidR="006B2325" w:rsidRPr="006E19C7" w:rsidRDefault="006B2325" w:rsidP="00CD1F63">
            <w:pPr>
              <w:jc w:val="center"/>
            </w:pPr>
            <w:r w:rsidRPr="006E19C7">
              <w:t>28.6%</w:t>
            </w:r>
          </w:p>
        </w:tc>
        <w:tc>
          <w:tcPr>
            <w:tcW w:w="624" w:type="pct"/>
            <w:shd w:val="clear" w:color="auto" w:fill="auto"/>
            <w:noWrap/>
          </w:tcPr>
          <w:p w14:paraId="2FE5DE07" w14:textId="77777777" w:rsidR="006B2325" w:rsidRPr="006E19C7" w:rsidRDefault="006B2325" w:rsidP="00CD1F63">
            <w:pPr>
              <w:jc w:val="center"/>
            </w:pPr>
            <w:r w:rsidRPr="006E19C7">
              <w:t>24.5%</w:t>
            </w:r>
          </w:p>
        </w:tc>
        <w:tc>
          <w:tcPr>
            <w:tcW w:w="623" w:type="pct"/>
            <w:shd w:val="clear" w:color="auto" w:fill="auto"/>
            <w:noWrap/>
          </w:tcPr>
          <w:p w14:paraId="7214D89D" w14:textId="77777777" w:rsidR="006B2325" w:rsidRPr="006E19C7" w:rsidRDefault="006B2325" w:rsidP="00CD1F63">
            <w:pPr>
              <w:jc w:val="center"/>
            </w:pPr>
            <w:r w:rsidRPr="006E19C7">
              <w:t>24.9%</w:t>
            </w:r>
          </w:p>
        </w:tc>
        <w:tc>
          <w:tcPr>
            <w:tcW w:w="623" w:type="pct"/>
            <w:shd w:val="clear" w:color="auto" w:fill="auto"/>
            <w:noWrap/>
          </w:tcPr>
          <w:p w14:paraId="01ECD0E5" w14:textId="77777777" w:rsidR="006B2325" w:rsidRPr="006E19C7" w:rsidRDefault="006B2325" w:rsidP="00CD1F63">
            <w:pPr>
              <w:jc w:val="center"/>
            </w:pPr>
            <w:r w:rsidRPr="006E19C7">
              <w:t>25.5%</w:t>
            </w:r>
          </w:p>
        </w:tc>
        <w:tc>
          <w:tcPr>
            <w:tcW w:w="610" w:type="pct"/>
            <w:shd w:val="clear" w:color="auto" w:fill="auto"/>
            <w:noWrap/>
          </w:tcPr>
          <w:p w14:paraId="7B80B641" w14:textId="77777777" w:rsidR="006B2325" w:rsidRPr="006E19C7" w:rsidRDefault="006B2325" w:rsidP="00CD1F63">
            <w:pPr>
              <w:jc w:val="center"/>
            </w:pPr>
            <w:r w:rsidRPr="006E19C7">
              <w:t>24.7%</w:t>
            </w:r>
          </w:p>
        </w:tc>
      </w:tr>
      <w:tr w:rsidR="006B2325" w:rsidRPr="006E19C7" w14:paraId="1842B34B" w14:textId="77777777" w:rsidTr="001414FD">
        <w:trPr>
          <w:trHeight w:val="290"/>
          <w:jc w:val="center"/>
        </w:trPr>
        <w:tc>
          <w:tcPr>
            <w:tcW w:w="1267" w:type="pct"/>
            <w:shd w:val="clear" w:color="auto" w:fill="auto"/>
            <w:noWrap/>
          </w:tcPr>
          <w:p w14:paraId="1854906C" w14:textId="77777777" w:rsidR="006B2325" w:rsidRPr="006E19C7" w:rsidRDefault="006B2325" w:rsidP="00CD1F63">
            <w:r w:rsidRPr="006E19C7">
              <w:t>Midwest</w:t>
            </w:r>
          </w:p>
        </w:tc>
        <w:tc>
          <w:tcPr>
            <w:tcW w:w="630" w:type="pct"/>
            <w:shd w:val="clear" w:color="auto" w:fill="auto"/>
            <w:noWrap/>
          </w:tcPr>
          <w:p w14:paraId="7F352DFC" w14:textId="77777777" w:rsidR="006B2325" w:rsidRPr="006E19C7" w:rsidRDefault="006B2325" w:rsidP="00CD1F63">
            <w:pPr>
              <w:jc w:val="center"/>
            </w:pPr>
            <w:r w:rsidRPr="006E19C7">
              <w:t>21.5%</w:t>
            </w:r>
          </w:p>
        </w:tc>
        <w:tc>
          <w:tcPr>
            <w:tcW w:w="623" w:type="pct"/>
            <w:shd w:val="clear" w:color="auto" w:fill="auto"/>
            <w:noWrap/>
          </w:tcPr>
          <w:p w14:paraId="3D7FACBC" w14:textId="77777777" w:rsidR="006B2325" w:rsidRPr="006E19C7" w:rsidRDefault="006B2325" w:rsidP="00CD1F63">
            <w:pPr>
              <w:jc w:val="center"/>
            </w:pPr>
            <w:r w:rsidRPr="006E19C7">
              <w:t>19.0%</w:t>
            </w:r>
          </w:p>
        </w:tc>
        <w:tc>
          <w:tcPr>
            <w:tcW w:w="624" w:type="pct"/>
            <w:shd w:val="clear" w:color="auto" w:fill="auto"/>
            <w:noWrap/>
          </w:tcPr>
          <w:p w14:paraId="709B58ED" w14:textId="77777777" w:rsidR="006B2325" w:rsidRPr="006E19C7" w:rsidRDefault="006B2325" w:rsidP="00CD1F63">
            <w:pPr>
              <w:jc w:val="center"/>
            </w:pPr>
            <w:r w:rsidRPr="006E19C7">
              <w:t>21.1%</w:t>
            </w:r>
          </w:p>
        </w:tc>
        <w:tc>
          <w:tcPr>
            <w:tcW w:w="623" w:type="pct"/>
            <w:shd w:val="clear" w:color="auto" w:fill="auto"/>
            <w:noWrap/>
          </w:tcPr>
          <w:p w14:paraId="6E4C69A8" w14:textId="77777777" w:rsidR="006B2325" w:rsidRPr="006E19C7" w:rsidRDefault="006B2325" w:rsidP="00CD1F63">
            <w:pPr>
              <w:jc w:val="center"/>
            </w:pPr>
            <w:r w:rsidRPr="006E19C7">
              <w:t>21.8%</w:t>
            </w:r>
          </w:p>
        </w:tc>
        <w:tc>
          <w:tcPr>
            <w:tcW w:w="623" w:type="pct"/>
            <w:shd w:val="clear" w:color="auto" w:fill="auto"/>
            <w:noWrap/>
          </w:tcPr>
          <w:p w14:paraId="78C76BEC" w14:textId="77777777" w:rsidR="006B2325" w:rsidRPr="006E19C7" w:rsidRDefault="006B2325" w:rsidP="00CD1F63">
            <w:pPr>
              <w:jc w:val="center"/>
            </w:pPr>
            <w:r w:rsidRPr="006E19C7">
              <w:t>20.2%</w:t>
            </w:r>
          </w:p>
        </w:tc>
        <w:tc>
          <w:tcPr>
            <w:tcW w:w="610" w:type="pct"/>
            <w:shd w:val="clear" w:color="auto" w:fill="auto"/>
            <w:noWrap/>
          </w:tcPr>
          <w:p w14:paraId="0DEEABD5" w14:textId="77777777" w:rsidR="006B2325" w:rsidRPr="006E19C7" w:rsidRDefault="006B2325" w:rsidP="00CD1F63">
            <w:pPr>
              <w:jc w:val="center"/>
            </w:pPr>
            <w:r w:rsidRPr="006E19C7">
              <w:t>20.4%</w:t>
            </w:r>
          </w:p>
        </w:tc>
      </w:tr>
      <w:tr w:rsidR="006B2325" w:rsidRPr="006E19C7" w14:paraId="00039FD9" w14:textId="77777777" w:rsidTr="001414FD">
        <w:trPr>
          <w:trHeight w:val="290"/>
          <w:jc w:val="center"/>
        </w:trPr>
        <w:tc>
          <w:tcPr>
            <w:tcW w:w="1267" w:type="pct"/>
            <w:shd w:val="clear" w:color="auto" w:fill="auto"/>
            <w:noWrap/>
          </w:tcPr>
          <w:p w14:paraId="51E4FE77" w14:textId="77777777" w:rsidR="006B2325" w:rsidRPr="006E19C7" w:rsidRDefault="006B2325" w:rsidP="00CD1F63">
            <w:r w:rsidRPr="006E19C7">
              <w:t>South</w:t>
            </w:r>
          </w:p>
        </w:tc>
        <w:tc>
          <w:tcPr>
            <w:tcW w:w="630" w:type="pct"/>
            <w:shd w:val="clear" w:color="auto" w:fill="auto"/>
            <w:noWrap/>
          </w:tcPr>
          <w:p w14:paraId="5902FA3D" w14:textId="77777777" w:rsidR="006B2325" w:rsidRPr="006E19C7" w:rsidRDefault="006B2325" w:rsidP="00CD1F63">
            <w:pPr>
              <w:jc w:val="center"/>
            </w:pPr>
            <w:r w:rsidRPr="006E19C7">
              <w:t>38.1%</w:t>
            </w:r>
          </w:p>
        </w:tc>
        <w:tc>
          <w:tcPr>
            <w:tcW w:w="623" w:type="pct"/>
            <w:shd w:val="clear" w:color="auto" w:fill="auto"/>
            <w:noWrap/>
          </w:tcPr>
          <w:p w14:paraId="537DCC76" w14:textId="77777777" w:rsidR="006B2325" w:rsidRPr="006E19C7" w:rsidRDefault="006B2325" w:rsidP="00CD1F63">
            <w:pPr>
              <w:jc w:val="center"/>
            </w:pPr>
            <w:r w:rsidRPr="006E19C7">
              <w:t>38.3%</w:t>
            </w:r>
          </w:p>
        </w:tc>
        <w:tc>
          <w:tcPr>
            <w:tcW w:w="624" w:type="pct"/>
            <w:shd w:val="clear" w:color="auto" w:fill="auto"/>
            <w:noWrap/>
          </w:tcPr>
          <w:p w14:paraId="20F2ACDB" w14:textId="77777777" w:rsidR="006B2325" w:rsidRPr="006E19C7" w:rsidRDefault="006B2325" w:rsidP="00CD1F63">
            <w:pPr>
              <w:jc w:val="center"/>
            </w:pPr>
            <w:r w:rsidRPr="006E19C7">
              <w:t>39.5%</w:t>
            </w:r>
          </w:p>
        </w:tc>
        <w:tc>
          <w:tcPr>
            <w:tcW w:w="623" w:type="pct"/>
            <w:shd w:val="clear" w:color="auto" w:fill="auto"/>
            <w:noWrap/>
          </w:tcPr>
          <w:p w14:paraId="1B2D61AA" w14:textId="77777777" w:rsidR="006B2325" w:rsidRPr="006E19C7" w:rsidRDefault="006B2325" w:rsidP="00CD1F63">
            <w:pPr>
              <w:jc w:val="center"/>
            </w:pPr>
            <w:r w:rsidRPr="006E19C7">
              <w:t>38.5%</w:t>
            </w:r>
          </w:p>
        </w:tc>
        <w:tc>
          <w:tcPr>
            <w:tcW w:w="623" w:type="pct"/>
            <w:shd w:val="clear" w:color="auto" w:fill="auto"/>
            <w:noWrap/>
          </w:tcPr>
          <w:p w14:paraId="59FA04CB" w14:textId="77777777" w:rsidR="006B2325" w:rsidRPr="006E19C7" w:rsidRDefault="006B2325" w:rsidP="00CD1F63">
            <w:pPr>
              <w:jc w:val="center"/>
            </w:pPr>
            <w:r w:rsidRPr="006E19C7">
              <w:t>37.6%</w:t>
            </w:r>
          </w:p>
        </w:tc>
        <w:tc>
          <w:tcPr>
            <w:tcW w:w="610" w:type="pct"/>
            <w:shd w:val="clear" w:color="auto" w:fill="auto"/>
            <w:noWrap/>
          </w:tcPr>
          <w:p w14:paraId="1F00E2A5" w14:textId="77777777" w:rsidR="006B2325" w:rsidRPr="006E19C7" w:rsidRDefault="006B2325" w:rsidP="00CD1F63">
            <w:pPr>
              <w:jc w:val="center"/>
            </w:pPr>
            <w:r w:rsidRPr="006E19C7">
              <w:t>37.9%</w:t>
            </w:r>
          </w:p>
        </w:tc>
      </w:tr>
      <w:tr w:rsidR="006B2325" w:rsidRPr="006E19C7" w14:paraId="4DC90F01" w14:textId="77777777" w:rsidTr="001414FD">
        <w:trPr>
          <w:trHeight w:val="290"/>
          <w:jc w:val="center"/>
        </w:trPr>
        <w:tc>
          <w:tcPr>
            <w:tcW w:w="1267" w:type="pct"/>
            <w:shd w:val="clear" w:color="auto" w:fill="auto"/>
            <w:noWrap/>
          </w:tcPr>
          <w:p w14:paraId="2617FB62" w14:textId="77777777" w:rsidR="006B2325" w:rsidRPr="006E19C7" w:rsidRDefault="006B2325" w:rsidP="00CD1F63">
            <w:r w:rsidRPr="006E19C7">
              <w:t>West</w:t>
            </w:r>
          </w:p>
        </w:tc>
        <w:tc>
          <w:tcPr>
            <w:tcW w:w="630" w:type="pct"/>
            <w:shd w:val="clear" w:color="auto" w:fill="auto"/>
            <w:noWrap/>
          </w:tcPr>
          <w:p w14:paraId="0113B73F" w14:textId="77777777" w:rsidR="006B2325" w:rsidRPr="006E19C7" w:rsidRDefault="006B2325" w:rsidP="00CD1F63">
            <w:pPr>
              <w:jc w:val="center"/>
            </w:pPr>
            <w:r w:rsidRPr="006E19C7">
              <w:t>13.5%</w:t>
            </w:r>
          </w:p>
        </w:tc>
        <w:tc>
          <w:tcPr>
            <w:tcW w:w="623" w:type="pct"/>
            <w:shd w:val="clear" w:color="auto" w:fill="auto"/>
            <w:noWrap/>
          </w:tcPr>
          <w:p w14:paraId="2C76847D" w14:textId="77777777" w:rsidR="006B2325" w:rsidRPr="006E19C7" w:rsidRDefault="006B2325" w:rsidP="00CD1F63">
            <w:pPr>
              <w:jc w:val="center"/>
            </w:pPr>
            <w:r w:rsidRPr="006E19C7">
              <w:t>14.1%</w:t>
            </w:r>
          </w:p>
        </w:tc>
        <w:tc>
          <w:tcPr>
            <w:tcW w:w="624" w:type="pct"/>
            <w:shd w:val="clear" w:color="auto" w:fill="auto"/>
            <w:noWrap/>
          </w:tcPr>
          <w:p w14:paraId="0771CD7B" w14:textId="77777777" w:rsidR="006B2325" w:rsidRPr="006E19C7" w:rsidRDefault="006B2325" w:rsidP="00CD1F63">
            <w:pPr>
              <w:jc w:val="center"/>
            </w:pPr>
            <w:r w:rsidRPr="006E19C7">
              <w:t>14.9%</w:t>
            </w:r>
          </w:p>
        </w:tc>
        <w:tc>
          <w:tcPr>
            <w:tcW w:w="623" w:type="pct"/>
            <w:shd w:val="clear" w:color="auto" w:fill="auto"/>
            <w:noWrap/>
          </w:tcPr>
          <w:p w14:paraId="65467860" w14:textId="77777777" w:rsidR="006B2325" w:rsidRPr="006E19C7" w:rsidRDefault="006B2325" w:rsidP="00CD1F63">
            <w:pPr>
              <w:jc w:val="center"/>
            </w:pPr>
            <w:r w:rsidRPr="006E19C7">
              <w:t>14.8%</w:t>
            </w:r>
          </w:p>
        </w:tc>
        <w:tc>
          <w:tcPr>
            <w:tcW w:w="623" w:type="pct"/>
            <w:shd w:val="clear" w:color="auto" w:fill="auto"/>
            <w:noWrap/>
          </w:tcPr>
          <w:p w14:paraId="120F4016" w14:textId="77777777" w:rsidR="006B2325" w:rsidRPr="006E19C7" w:rsidRDefault="006B2325" w:rsidP="00CD1F63">
            <w:pPr>
              <w:jc w:val="center"/>
            </w:pPr>
            <w:r w:rsidRPr="006E19C7">
              <w:t>16.7%</w:t>
            </w:r>
          </w:p>
        </w:tc>
        <w:tc>
          <w:tcPr>
            <w:tcW w:w="610" w:type="pct"/>
            <w:shd w:val="clear" w:color="auto" w:fill="auto"/>
            <w:noWrap/>
          </w:tcPr>
          <w:p w14:paraId="018E5E6C" w14:textId="77777777" w:rsidR="006B2325" w:rsidRPr="006E19C7" w:rsidRDefault="006B2325" w:rsidP="00CD1F63">
            <w:pPr>
              <w:jc w:val="center"/>
            </w:pPr>
            <w:r w:rsidRPr="006E19C7">
              <w:t>17.0%</w:t>
            </w:r>
          </w:p>
        </w:tc>
      </w:tr>
      <w:tr w:rsidR="006B2325" w:rsidRPr="006E19C7" w14:paraId="57885326" w14:textId="77777777" w:rsidTr="001414FD">
        <w:trPr>
          <w:trHeight w:val="290"/>
          <w:jc w:val="center"/>
        </w:trPr>
        <w:tc>
          <w:tcPr>
            <w:tcW w:w="1267" w:type="pct"/>
            <w:shd w:val="clear" w:color="auto" w:fill="auto"/>
            <w:noWrap/>
          </w:tcPr>
          <w:p w14:paraId="355174EE" w14:textId="77777777" w:rsidR="006B2325" w:rsidRPr="006E19C7" w:rsidRDefault="006B2325" w:rsidP="00CD1F63">
            <w:r w:rsidRPr="006E19C7">
              <w:t>Location/ Teaching status</w:t>
            </w:r>
          </w:p>
        </w:tc>
        <w:tc>
          <w:tcPr>
            <w:tcW w:w="630" w:type="pct"/>
            <w:shd w:val="clear" w:color="auto" w:fill="auto"/>
            <w:noWrap/>
          </w:tcPr>
          <w:p w14:paraId="10FF8C0E" w14:textId="77777777" w:rsidR="006B2325" w:rsidRPr="006E19C7" w:rsidRDefault="006B2325" w:rsidP="00CD1F63">
            <w:pPr>
              <w:jc w:val="center"/>
            </w:pPr>
          </w:p>
        </w:tc>
        <w:tc>
          <w:tcPr>
            <w:tcW w:w="623" w:type="pct"/>
            <w:shd w:val="clear" w:color="auto" w:fill="auto"/>
            <w:noWrap/>
          </w:tcPr>
          <w:p w14:paraId="1A91998E" w14:textId="77777777" w:rsidR="006B2325" w:rsidRPr="006E19C7" w:rsidRDefault="006B2325" w:rsidP="00CD1F63">
            <w:pPr>
              <w:jc w:val="center"/>
            </w:pPr>
          </w:p>
        </w:tc>
        <w:tc>
          <w:tcPr>
            <w:tcW w:w="624" w:type="pct"/>
            <w:shd w:val="clear" w:color="auto" w:fill="auto"/>
            <w:noWrap/>
          </w:tcPr>
          <w:p w14:paraId="03068674" w14:textId="77777777" w:rsidR="006B2325" w:rsidRPr="006E19C7" w:rsidRDefault="006B2325" w:rsidP="00CD1F63">
            <w:pPr>
              <w:jc w:val="center"/>
            </w:pPr>
          </w:p>
        </w:tc>
        <w:tc>
          <w:tcPr>
            <w:tcW w:w="623" w:type="pct"/>
            <w:shd w:val="clear" w:color="auto" w:fill="auto"/>
            <w:noWrap/>
          </w:tcPr>
          <w:p w14:paraId="17FB0D8A" w14:textId="77777777" w:rsidR="006B2325" w:rsidRPr="006E19C7" w:rsidRDefault="006B2325" w:rsidP="00CD1F63">
            <w:pPr>
              <w:jc w:val="center"/>
            </w:pPr>
          </w:p>
        </w:tc>
        <w:tc>
          <w:tcPr>
            <w:tcW w:w="623" w:type="pct"/>
            <w:shd w:val="clear" w:color="auto" w:fill="auto"/>
            <w:noWrap/>
          </w:tcPr>
          <w:p w14:paraId="4D3DA35D" w14:textId="77777777" w:rsidR="006B2325" w:rsidRPr="006E19C7" w:rsidRDefault="006B2325" w:rsidP="00CD1F63">
            <w:pPr>
              <w:jc w:val="center"/>
            </w:pPr>
          </w:p>
        </w:tc>
        <w:tc>
          <w:tcPr>
            <w:tcW w:w="610" w:type="pct"/>
            <w:shd w:val="clear" w:color="auto" w:fill="auto"/>
            <w:noWrap/>
          </w:tcPr>
          <w:p w14:paraId="34DE845A" w14:textId="77777777" w:rsidR="006B2325" w:rsidRPr="006E19C7" w:rsidRDefault="006B2325" w:rsidP="00CD1F63">
            <w:pPr>
              <w:jc w:val="center"/>
            </w:pPr>
          </w:p>
        </w:tc>
      </w:tr>
      <w:tr w:rsidR="006B2325" w:rsidRPr="006E19C7" w14:paraId="4E81B2A1" w14:textId="77777777" w:rsidTr="001414FD">
        <w:trPr>
          <w:trHeight w:val="290"/>
          <w:jc w:val="center"/>
        </w:trPr>
        <w:tc>
          <w:tcPr>
            <w:tcW w:w="1267" w:type="pct"/>
            <w:shd w:val="clear" w:color="auto" w:fill="auto"/>
            <w:noWrap/>
          </w:tcPr>
          <w:p w14:paraId="23EACC92" w14:textId="77777777" w:rsidR="006B2325" w:rsidRPr="006E19C7" w:rsidRDefault="006B2325" w:rsidP="00CD1F63">
            <w:r w:rsidRPr="006E19C7">
              <w:t>Rural</w:t>
            </w:r>
          </w:p>
        </w:tc>
        <w:tc>
          <w:tcPr>
            <w:tcW w:w="630" w:type="pct"/>
            <w:shd w:val="clear" w:color="auto" w:fill="auto"/>
            <w:noWrap/>
          </w:tcPr>
          <w:p w14:paraId="01B6C8DF" w14:textId="77777777" w:rsidR="006B2325" w:rsidRPr="006E19C7" w:rsidRDefault="006B2325" w:rsidP="00CD1F63">
            <w:pPr>
              <w:jc w:val="center"/>
            </w:pPr>
            <w:r w:rsidRPr="006E19C7">
              <w:t>21.6%</w:t>
            </w:r>
          </w:p>
        </w:tc>
        <w:tc>
          <w:tcPr>
            <w:tcW w:w="623" w:type="pct"/>
            <w:shd w:val="clear" w:color="auto" w:fill="auto"/>
            <w:noWrap/>
          </w:tcPr>
          <w:p w14:paraId="547706FB" w14:textId="77777777" w:rsidR="006B2325" w:rsidRPr="006E19C7" w:rsidRDefault="006B2325" w:rsidP="00CD1F63">
            <w:pPr>
              <w:jc w:val="center"/>
            </w:pPr>
            <w:r w:rsidRPr="006E19C7">
              <w:t>19.6%</w:t>
            </w:r>
          </w:p>
        </w:tc>
        <w:tc>
          <w:tcPr>
            <w:tcW w:w="624" w:type="pct"/>
            <w:shd w:val="clear" w:color="auto" w:fill="auto"/>
            <w:noWrap/>
          </w:tcPr>
          <w:p w14:paraId="27A369B0" w14:textId="77777777" w:rsidR="006B2325" w:rsidRPr="006E19C7" w:rsidRDefault="006B2325" w:rsidP="00CD1F63">
            <w:pPr>
              <w:jc w:val="center"/>
            </w:pPr>
            <w:r w:rsidRPr="006E19C7">
              <w:t>17.9%</w:t>
            </w:r>
          </w:p>
        </w:tc>
        <w:tc>
          <w:tcPr>
            <w:tcW w:w="623" w:type="pct"/>
            <w:shd w:val="clear" w:color="auto" w:fill="auto"/>
            <w:noWrap/>
          </w:tcPr>
          <w:p w14:paraId="60888574" w14:textId="77777777" w:rsidR="006B2325" w:rsidRPr="006E19C7" w:rsidRDefault="006B2325" w:rsidP="00CD1F63">
            <w:pPr>
              <w:jc w:val="center"/>
            </w:pPr>
            <w:r w:rsidRPr="006E19C7">
              <w:t>17.9%</w:t>
            </w:r>
          </w:p>
        </w:tc>
        <w:tc>
          <w:tcPr>
            <w:tcW w:w="623" w:type="pct"/>
            <w:shd w:val="clear" w:color="auto" w:fill="auto"/>
            <w:noWrap/>
          </w:tcPr>
          <w:p w14:paraId="44A17037" w14:textId="77777777" w:rsidR="006B2325" w:rsidRPr="006E19C7" w:rsidRDefault="006B2325" w:rsidP="00CD1F63">
            <w:pPr>
              <w:jc w:val="center"/>
            </w:pPr>
            <w:r w:rsidRPr="006E19C7">
              <w:t>16.0%</w:t>
            </w:r>
          </w:p>
        </w:tc>
        <w:tc>
          <w:tcPr>
            <w:tcW w:w="610" w:type="pct"/>
            <w:shd w:val="clear" w:color="auto" w:fill="auto"/>
            <w:noWrap/>
          </w:tcPr>
          <w:p w14:paraId="34E19E46" w14:textId="77777777" w:rsidR="006B2325" w:rsidRPr="006E19C7" w:rsidRDefault="006B2325" w:rsidP="00CD1F63">
            <w:pPr>
              <w:jc w:val="center"/>
            </w:pPr>
            <w:r w:rsidRPr="006E19C7">
              <w:t>13.7%</w:t>
            </w:r>
          </w:p>
        </w:tc>
      </w:tr>
      <w:tr w:rsidR="006B2325" w:rsidRPr="006E19C7" w14:paraId="31F9C6A3" w14:textId="77777777" w:rsidTr="001414FD">
        <w:trPr>
          <w:trHeight w:val="290"/>
          <w:jc w:val="center"/>
        </w:trPr>
        <w:tc>
          <w:tcPr>
            <w:tcW w:w="1267" w:type="pct"/>
            <w:shd w:val="clear" w:color="auto" w:fill="auto"/>
            <w:noWrap/>
          </w:tcPr>
          <w:p w14:paraId="60AEB27D" w14:textId="77777777" w:rsidR="006B2325" w:rsidRPr="006E19C7" w:rsidRDefault="006B2325" w:rsidP="00CD1F63">
            <w:r w:rsidRPr="006E19C7">
              <w:t>Urban-non teaching</w:t>
            </w:r>
          </w:p>
        </w:tc>
        <w:tc>
          <w:tcPr>
            <w:tcW w:w="630" w:type="pct"/>
            <w:shd w:val="clear" w:color="auto" w:fill="auto"/>
            <w:noWrap/>
          </w:tcPr>
          <w:p w14:paraId="290243BF" w14:textId="77777777" w:rsidR="006B2325" w:rsidRPr="006E19C7" w:rsidRDefault="006B2325" w:rsidP="00CD1F63">
            <w:pPr>
              <w:jc w:val="center"/>
            </w:pPr>
            <w:r w:rsidRPr="006E19C7">
              <w:t>50.5%</w:t>
            </w:r>
          </w:p>
        </w:tc>
        <w:tc>
          <w:tcPr>
            <w:tcW w:w="623" w:type="pct"/>
            <w:shd w:val="clear" w:color="auto" w:fill="auto"/>
            <w:noWrap/>
          </w:tcPr>
          <w:p w14:paraId="7A8B478F" w14:textId="77777777" w:rsidR="006B2325" w:rsidRPr="006E19C7" w:rsidRDefault="006B2325" w:rsidP="00CD1F63">
            <w:pPr>
              <w:jc w:val="center"/>
            </w:pPr>
            <w:r w:rsidRPr="006E19C7">
              <w:t>45.6%</w:t>
            </w:r>
          </w:p>
        </w:tc>
        <w:tc>
          <w:tcPr>
            <w:tcW w:w="624" w:type="pct"/>
            <w:shd w:val="clear" w:color="auto" w:fill="auto"/>
            <w:noWrap/>
          </w:tcPr>
          <w:p w14:paraId="184F2C17" w14:textId="77777777" w:rsidR="006B2325" w:rsidRPr="006E19C7" w:rsidRDefault="006B2325" w:rsidP="00CD1F63">
            <w:pPr>
              <w:jc w:val="center"/>
            </w:pPr>
            <w:r w:rsidRPr="006E19C7">
              <w:t>50.1%</w:t>
            </w:r>
          </w:p>
        </w:tc>
        <w:tc>
          <w:tcPr>
            <w:tcW w:w="623" w:type="pct"/>
            <w:shd w:val="clear" w:color="auto" w:fill="auto"/>
            <w:noWrap/>
          </w:tcPr>
          <w:p w14:paraId="358C3EC4" w14:textId="77777777" w:rsidR="006B2325" w:rsidRPr="006E19C7" w:rsidRDefault="006B2325" w:rsidP="00CD1F63">
            <w:pPr>
              <w:jc w:val="center"/>
            </w:pPr>
            <w:r w:rsidRPr="006E19C7">
              <w:t>48.1%</w:t>
            </w:r>
          </w:p>
        </w:tc>
        <w:tc>
          <w:tcPr>
            <w:tcW w:w="623" w:type="pct"/>
            <w:shd w:val="clear" w:color="auto" w:fill="auto"/>
            <w:noWrap/>
          </w:tcPr>
          <w:p w14:paraId="10D8678C" w14:textId="77777777" w:rsidR="006B2325" w:rsidRPr="006E19C7" w:rsidRDefault="006B2325" w:rsidP="00CD1F63">
            <w:pPr>
              <w:jc w:val="center"/>
            </w:pPr>
            <w:r w:rsidRPr="006E19C7">
              <w:t>45.0%</w:t>
            </w:r>
          </w:p>
        </w:tc>
        <w:tc>
          <w:tcPr>
            <w:tcW w:w="610" w:type="pct"/>
            <w:shd w:val="clear" w:color="auto" w:fill="auto"/>
            <w:noWrap/>
          </w:tcPr>
          <w:p w14:paraId="4EA1D874" w14:textId="77777777" w:rsidR="006B2325" w:rsidRPr="006E19C7" w:rsidRDefault="006B2325" w:rsidP="00CD1F63">
            <w:pPr>
              <w:jc w:val="center"/>
            </w:pPr>
            <w:r w:rsidRPr="006E19C7">
              <w:t>32.8%</w:t>
            </w:r>
          </w:p>
        </w:tc>
      </w:tr>
      <w:tr w:rsidR="006B2325" w:rsidRPr="006E19C7" w14:paraId="651F8379" w14:textId="77777777" w:rsidTr="001414FD">
        <w:trPr>
          <w:trHeight w:val="290"/>
          <w:jc w:val="center"/>
        </w:trPr>
        <w:tc>
          <w:tcPr>
            <w:tcW w:w="1267" w:type="pct"/>
            <w:shd w:val="clear" w:color="auto" w:fill="auto"/>
            <w:noWrap/>
          </w:tcPr>
          <w:p w14:paraId="564635A7" w14:textId="77777777" w:rsidR="006B2325" w:rsidRPr="006E19C7" w:rsidRDefault="006B2325" w:rsidP="00CD1F63">
            <w:r w:rsidRPr="006E19C7">
              <w:t>Urban- teaching</w:t>
            </w:r>
          </w:p>
        </w:tc>
        <w:tc>
          <w:tcPr>
            <w:tcW w:w="630" w:type="pct"/>
            <w:shd w:val="clear" w:color="auto" w:fill="auto"/>
            <w:noWrap/>
          </w:tcPr>
          <w:p w14:paraId="5E852AB9" w14:textId="77777777" w:rsidR="006B2325" w:rsidRPr="006E19C7" w:rsidRDefault="006B2325" w:rsidP="00CD1F63">
            <w:pPr>
              <w:jc w:val="center"/>
            </w:pPr>
            <w:r w:rsidRPr="006E19C7">
              <w:t>27.9%</w:t>
            </w:r>
          </w:p>
        </w:tc>
        <w:tc>
          <w:tcPr>
            <w:tcW w:w="623" w:type="pct"/>
            <w:shd w:val="clear" w:color="auto" w:fill="auto"/>
            <w:noWrap/>
          </w:tcPr>
          <w:p w14:paraId="5BEBB67F" w14:textId="77777777" w:rsidR="006B2325" w:rsidRPr="006E19C7" w:rsidRDefault="006B2325" w:rsidP="00CD1F63">
            <w:pPr>
              <w:jc w:val="center"/>
            </w:pPr>
            <w:r w:rsidRPr="006E19C7">
              <w:t>34.8%</w:t>
            </w:r>
          </w:p>
        </w:tc>
        <w:tc>
          <w:tcPr>
            <w:tcW w:w="624" w:type="pct"/>
            <w:shd w:val="clear" w:color="auto" w:fill="auto"/>
            <w:noWrap/>
          </w:tcPr>
          <w:p w14:paraId="2C077238" w14:textId="77777777" w:rsidR="006B2325" w:rsidRPr="006E19C7" w:rsidRDefault="006B2325" w:rsidP="00CD1F63">
            <w:pPr>
              <w:jc w:val="center"/>
            </w:pPr>
            <w:r w:rsidRPr="006E19C7">
              <w:t>32.0%</w:t>
            </w:r>
          </w:p>
        </w:tc>
        <w:tc>
          <w:tcPr>
            <w:tcW w:w="623" w:type="pct"/>
            <w:shd w:val="clear" w:color="auto" w:fill="auto"/>
            <w:noWrap/>
          </w:tcPr>
          <w:p w14:paraId="359500AE" w14:textId="77777777" w:rsidR="006B2325" w:rsidRPr="006E19C7" w:rsidRDefault="006B2325" w:rsidP="00CD1F63">
            <w:pPr>
              <w:jc w:val="center"/>
            </w:pPr>
            <w:r w:rsidRPr="006E19C7">
              <w:t>34.0%</w:t>
            </w:r>
          </w:p>
        </w:tc>
        <w:tc>
          <w:tcPr>
            <w:tcW w:w="623" w:type="pct"/>
            <w:shd w:val="clear" w:color="auto" w:fill="auto"/>
            <w:noWrap/>
          </w:tcPr>
          <w:p w14:paraId="537790B8" w14:textId="77777777" w:rsidR="006B2325" w:rsidRPr="006E19C7" w:rsidRDefault="006B2325" w:rsidP="00CD1F63">
            <w:pPr>
              <w:jc w:val="center"/>
            </w:pPr>
            <w:r w:rsidRPr="006E19C7">
              <w:t>39.0%</w:t>
            </w:r>
          </w:p>
        </w:tc>
        <w:tc>
          <w:tcPr>
            <w:tcW w:w="610" w:type="pct"/>
            <w:shd w:val="clear" w:color="auto" w:fill="auto"/>
            <w:noWrap/>
          </w:tcPr>
          <w:p w14:paraId="39B4B8BA" w14:textId="77777777" w:rsidR="006B2325" w:rsidRPr="006E19C7" w:rsidRDefault="006B2325" w:rsidP="00CD1F63">
            <w:pPr>
              <w:jc w:val="center"/>
            </w:pPr>
            <w:r w:rsidRPr="006E19C7">
              <w:t>53.5%</w:t>
            </w:r>
          </w:p>
        </w:tc>
      </w:tr>
      <w:tr w:rsidR="006B2325" w:rsidRPr="006E19C7" w14:paraId="78A9B49F" w14:textId="77777777" w:rsidTr="001414FD">
        <w:trPr>
          <w:trHeight w:val="290"/>
          <w:jc w:val="center"/>
        </w:trPr>
        <w:tc>
          <w:tcPr>
            <w:tcW w:w="1267" w:type="pct"/>
            <w:shd w:val="clear" w:color="auto" w:fill="auto"/>
            <w:noWrap/>
          </w:tcPr>
          <w:p w14:paraId="050392E0" w14:textId="77777777" w:rsidR="006B2325" w:rsidRPr="006E19C7" w:rsidRDefault="006B2325" w:rsidP="00CD1F63">
            <w:r w:rsidRPr="006E19C7">
              <w:t>Length of stay, Median (IQR)</w:t>
            </w:r>
          </w:p>
        </w:tc>
        <w:tc>
          <w:tcPr>
            <w:tcW w:w="630" w:type="pct"/>
            <w:shd w:val="clear" w:color="auto" w:fill="auto"/>
            <w:noWrap/>
          </w:tcPr>
          <w:p w14:paraId="75264DA6" w14:textId="77777777" w:rsidR="006B2325" w:rsidRPr="006E19C7" w:rsidRDefault="006B2325" w:rsidP="00CD1F63">
            <w:pPr>
              <w:jc w:val="center"/>
            </w:pPr>
            <w:r w:rsidRPr="006E19C7">
              <w:t>3(2-6)</w:t>
            </w:r>
          </w:p>
        </w:tc>
        <w:tc>
          <w:tcPr>
            <w:tcW w:w="623" w:type="pct"/>
            <w:shd w:val="clear" w:color="auto" w:fill="auto"/>
            <w:noWrap/>
          </w:tcPr>
          <w:p w14:paraId="4B5EC9F0" w14:textId="77777777" w:rsidR="006B2325" w:rsidRPr="006E19C7" w:rsidRDefault="006B2325" w:rsidP="00CD1F63">
            <w:pPr>
              <w:jc w:val="center"/>
            </w:pPr>
            <w:r w:rsidRPr="006E19C7">
              <w:t>3 (2-6)</w:t>
            </w:r>
          </w:p>
        </w:tc>
        <w:tc>
          <w:tcPr>
            <w:tcW w:w="624" w:type="pct"/>
            <w:shd w:val="clear" w:color="auto" w:fill="auto"/>
            <w:noWrap/>
          </w:tcPr>
          <w:p w14:paraId="5913C28D" w14:textId="77777777" w:rsidR="006B2325" w:rsidRPr="006E19C7" w:rsidRDefault="006B2325" w:rsidP="00CD1F63">
            <w:pPr>
              <w:jc w:val="center"/>
            </w:pPr>
            <w:r w:rsidRPr="006E19C7">
              <w:t>3 (2-6)</w:t>
            </w:r>
          </w:p>
        </w:tc>
        <w:tc>
          <w:tcPr>
            <w:tcW w:w="623" w:type="pct"/>
            <w:shd w:val="clear" w:color="auto" w:fill="auto"/>
            <w:noWrap/>
          </w:tcPr>
          <w:p w14:paraId="47D987CD" w14:textId="77777777" w:rsidR="006B2325" w:rsidRPr="006E19C7" w:rsidRDefault="006B2325" w:rsidP="00CD1F63">
            <w:pPr>
              <w:jc w:val="center"/>
            </w:pPr>
            <w:r w:rsidRPr="006E19C7">
              <w:t>3 (2-6)</w:t>
            </w:r>
          </w:p>
        </w:tc>
        <w:tc>
          <w:tcPr>
            <w:tcW w:w="623" w:type="pct"/>
            <w:shd w:val="clear" w:color="auto" w:fill="auto"/>
            <w:noWrap/>
          </w:tcPr>
          <w:p w14:paraId="2DCF6F12" w14:textId="77777777" w:rsidR="006B2325" w:rsidRPr="006E19C7" w:rsidRDefault="006B2325" w:rsidP="00CD1F63">
            <w:pPr>
              <w:jc w:val="center"/>
            </w:pPr>
            <w:r w:rsidRPr="006E19C7">
              <w:t>3 (2-6)</w:t>
            </w:r>
          </w:p>
        </w:tc>
        <w:tc>
          <w:tcPr>
            <w:tcW w:w="610" w:type="pct"/>
            <w:shd w:val="clear" w:color="auto" w:fill="auto"/>
            <w:noWrap/>
          </w:tcPr>
          <w:p w14:paraId="2B29AB9F" w14:textId="77777777" w:rsidR="006B2325" w:rsidRPr="006E19C7" w:rsidRDefault="006B2325" w:rsidP="00CD1F63">
            <w:pPr>
              <w:jc w:val="center"/>
            </w:pPr>
            <w:r w:rsidRPr="006E19C7">
              <w:t>3 (2-6)</w:t>
            </w:r>
          </w:p>
        </w:tc>
      </w:tr>
      <w:tr w:rsidR="006B2325" w:rsidRPr="006E19C7" w14:paraId="60494739" w14:textId="77777777" w:rsidTr="001414FD">
        <w:trPr>
          <w:trHeight w:val="290"/>
          <w:jc w:val="center"/>
        </w:trPr>
        <w:tc>
          <w:tcPr>
            <w:tcW w:w="1267" w:type="pct"/>
            <w:shd w:val="clear" w:color="auto" w:fill="auto"/>
            <w:noWrap/>
          </w:tcPr>
          <w:p w14:paraId="21832B01" w14:textId="77777777" w:rsidR="006B2325" w:rsidRPr="006E19C7" w:rsidRDefault="006B2325" w:rsidP="00CD1F63">
            <w:r w:rsidRPr="006E19C7">
              <w:t>Total charge,$, Median (IQR)</w:t>
            </w:r>
          </w:p>
        </w:tc>
        <w:tc>
          <w:tcPr>
            <w:tcW w:w="630" w:type="pct"/>
            <w:shd w:val="clear" w:color="auto" w:fill="auto"/>
            <w:noWrap/>
          </w:tcPr>
          <w:p w14:paraId="401586ED" w14:textId="77777777" w:rsidR="006B2325" w:rsidRPr="006E19C7" w:rsidRDefault="006B2325" w:rsidP="00CD1F63">
            <w:pPr>
              <w:jc w:val="center"/>
            </w:pPr>
            <w:r w:rsidRPr="006E19C7">
              <w:t>13153 (7219-25739)</w:t>
            </w:r>
          </w:p>
        </w:tc>
        <w:tc>
          <w:tcPr>
            <w:tcW w:w="623" w:type="pct"/>
            <w:shd w:val="clear" w:color="auto" w:fill="auto"/>
            <w:noWrap/>
          </w:tcPr>
          <w:p w14:paraId="5805EC20" w14:textId="77777777" w:rsidR="006B2325" w:rsidRPr="006E19C7" w:rsidRDefault="006B2325" w:rsidP="00CD1F63">
            <w:pPr>
              <w:jc w:val="center"/>
            </w:pPr>
            <w:r w:rsidRPr="006E19C7">
              <w:t>15770 (8585-30362)</w:t>
            </w:r>
          </w:p>
        </w:tc>
        <w:tc>
          <w:tcPr>
            <w:tcW w:w="624" w:type="pct"/>
            <w:shd w:val="clear" w:color="auto" w:fill="auto"/>
            <w:noWrap/>
          </w:tcPr>
          <w:p w14:paraId="21F8A099" w14:textId="77777777" w:rsidR="006B2325" w:rsidRPr="006E19C7" w:rsidRDefault="006B2325" w:rsidP="00CD1F63">
            <w:pPr>
              <w:jc w:val="center"/>
            </w:pPr>
            <w:r w:rsidRPr="006E19C7">
              <w:t>18276 (10103-33945)</w:t>
            </w:r>
          </w:p>
        </w:tc>
        <w:tc>
          <w:tcPr>
            <w:tcW w:w="623" w:type="pct"/>
            <w:shd w:val="clear" w:color="auto" w:fill="auto"/>
            <w:noWrap/>
          </w:tcPr>
          <w:p w14:paraId="5F0D8226" w14:textId="77777777" w:rsidR="006B2325" w:rsidRPr="006E19C7" w:rsidRDefault="006B2325" w:rsidP="00CD1F63">
            <w:pPr>
              <w:jc w:val="center"/>
            </w:pPr>
            <w:r w:rsidRPr="006E19C7">
              <w:t>18830 (10586-34652)</w:t>
            </w:r>
          </w:p>
        </w:tc>
        <w:tc>
          <w:tcPr>
            <w:tcW w:w="623" w:type="pct"/>
            <w:shd w:val="clear" w:color="auto" w:fill="auto"/>
            <w:noWrap/>
          </w:tcPr>
          <w:p w14:paraId="4CC53DD5" w14:textId="77777777" w:rsidR="006B2325" w:rsidRPr="006E19C7" w:rsidRDefault="006B2325" w:rsidP="00CD1F63">
            <w:pPr>
              <w:jc w:val="center"/>
            </w:pPr>
            <w:r w:rsidRPr="006E19C7">
              <w:t>21862 (12141-40742)</w:t>
            </w:r>
          </w:p>
        </w:tc>
        <w:tc>
          <w:tcPr>
            <w:tcW w:w="610" w:type="pct"/>
            <w:shd w:val="clear" w:color="auto" w:fill="auto"/>
            <w:noWrap/>
          </w:tcPr>
          <w:p w14:paraId="09E99016" w14:textId="77777777" w:rsidR="006B2325" w:rsidRPr="006E19C7" w:rsidRDefault="006B2325" w:rsidP="00CD1F63">
            <w:pPr>
              <w:jc w:val="center"/>
            </w:pPr>
            <w:r w:rsidRPr="006E19C7">
              <w:t>24223 (13606-45146)</w:t>
            </w:r>
          </w:p>
        </w:tc>
      </w:tr>
      <w:tr w:rsidR="006B2325" w:rsidRPr="006E19C7" w14:paraId="26F0CB53" w14:textId="77777777" w:rsidTr="001414FD">
        <w:trPr>
          <w:trHeight w:val="290"/>
          <w:jc w:val="center"/>
        </w:trPr>
        <w:tc>
          <w:tcPr>
            <w:tcW w:w="1267" w:type="pct"/>
            <w:shd w:val="clear" w:color="auto" w:fill="auto"/>
            <w:noWrap/>
          </w:tcPr>
          <w:p w14:paraId="763E4E7D" w14:textId="77777777" w:rsidR="006B2325" w:rsidRPr="006E19C7" w:rsidRDefault="006B2325" w:rsidP="00CD1F63">
            <w:r w:rsidRPr="006E19C7">
              <w:t>Bleeding complications</w:t>
            </w:r>
          </w:p>
        </w:tc>
        <w:tc>
          <w:tcPr>
            <w:tcW w:w="630" w:type="pct"/>
            <w:shd w:val="clear" w:color="auto" w:fill="auto"/>
            <w:noWrap/>
          </w:tcPr>
          <w:p w14:paraId="4F560A1E" w14:textId="77777777" w:rsidR="006B2325" w:rsidRPr="006E19C7" w:rsidRDefault="006B2325" w:rsidP="00CD1F63">
            <w:pPr>
              <w:jc w:val="center"/>
            </w:pPr>
            <w:r w:rsidRPr="006E19C7">
              <w:t>11.2%</w:t>
            </w:r>
          </w:p>
        </w:tc>
        <w:tc>
          <w:tcPr>
            <w:tcW w:w="623" w:type="pct"/>
            <w:shd w:val="clear" w:color="auto" w:fill="auto"/>
            <w:noWrap/>
          </w:tcPr>
          <w:p w14:paraId="4D0DCCF2" w14:textId="77777777" w:rsidR="006B2325" w:rsidRPr="006E19C7" w:rsidRDefault="006B2325" w:rsidP="00CD1F63">
            <w:pPr>
              <w:jc w:val="center"/>
            </w:pPr>
            <w:r w:rsidRPr="006E19C7">
              <w:t>11.7%</w:t>
            </w:r>
          </w:p>
        </w:tc>
        <w:tc>
          <w:tcPr>
            <w:tcW w:w="624" w:type="pct"/>
            <w:shd w:val="clear" w:color="auto" w:fill="auto"/>
            <w:noWrap/>
          </w:tcPr>
          <w:p w14:paraId="2D470A2E" w14:textId="77777777" w:rsidR="006B2325" w:rsidRPr="006E19C7" w:rsidRDefault="006B2325" w:rsidP="00CD1F63">
            <w:pPr>
              <w:jc w:val="center"/>
            </w:pPr>
            <w:r w:rsidRPr="006E19C7">
              <w:t>12.7%</w:t>
            </w:r>
          </w:p>
        </w:tc>
        <w:tc>
          <w:tcPr>
            <w:tcW w:w="623" w:type="pct"/>
            <w:shd w:val="clear" w:color="auto" w:fill="auto"/>
            <w:noWrap/>
          </w:tcPr>
          <w:p w14:paraId="5066840A" w14:textId="77777777" w:rsidR="006B2325" w:rsidRPr="006E19C7" w:rsidRDefault="006B2325" w:rsidP="00CD1F63">
            <w:pPr>
              <w:jc w:val="center"/>
            </w:pPr>
            <w:r w:rsidRPr="006E19C7">
              <w:t>12.2%</w:t>
            </w:r>
          </w:p>
        </w:tc>
        <w:tc>
          <w:tcPr>
            <w:tcW w:w="623" w:type="pct"/>
            <w:shd w:val="clear" w:color="auto" w:fill="auto"/>
            <w:noWrap/>
          </w:tcPr>
          <w:p w14:paraId="5B63394D" w14:textId="77777777" w:rsidR="006B2325" w:rsidRPr="006E19C7" w:rsidRDefault="006B2325" w:rsidP="00CD1F63">
            <w:pPr>
              <w:jc w:val="center"/>
            </w:pPr>
            <w:r w:rsidRPr="006E19C7">
              <w:t>11.9%</w:t>
            </w:r>
          </w:p>
        </w:tc>
        <w:tc>
          <w:tcPr>
            <w:tcW w:w="610" w:type="pct"/>
            <w:shd w:val="clear" w:color="auto" w:fill="auto"/>
            <w:noWrap/>
          </w:tcPr>
          <w:p w14:paraId="1DAD9318" w14:textId="77777777" w:rsidR="006B2325" w:rsidRPr="006E19C7" w:rsidRDefault="006B2325" w:rsidP="00CD1F63">
            <w:pPr>
              <w:jc w:val="center"/>
            </w:pPr>
            <w:r w:rsidRPr="006E19C7">
              <w:t>10.6%</w:t>
            </w:r>
          </w:p>
        </w:tc>
      </w:tr>
      <w:tr w:rsidR="006B2325" w:rsidRPr="006E19C7" w14:paraId="33787B42" w14:textId="77777777" w:rsidTr="001414FD">
        <w:trPr>
          <w:trHeight w:val="290"/>
          <w:jc w:val="center"/>
        </w:trPr>
        <w:tc>
          <w:tcPr>
            <w:tcW w:w="1267" w:type="pct"/>
            <w:shd w:val="clear" w:color="auto" w:fill="auto"/>
            <w:noWrap/>
          </w:tcPr>
          <w:p w14:paraId="7EB4ED31" w14:textId="77777777" w:rsidR="006B2325" w:rsidRPr="006E19C7" w:rsidRDefault="006B2325" w:rsidP="00CD1F63">
            <w:r w:rsidRPr="006E19C7">
              <w:t>Vascular complications</w:t>
            </w:r>
          </w:p>
        </w:tc>
        <w:tc>
          <w:tcPr>
            <w:tcW w:w="630" w:type="pct"/>
            <w:shd w:val="clear" w:color="auto" w:fill="auto"/>
            <w:noWrap/>
          </w:tcPr>
          <w:p w14:paraId="7DFC59EC" w14:textId="77777777" w:rsidR="006B2325" w:rsidRPr="006E19C7" w:rsidRDefault="006B2325" w:rsidP="00CD1F63">
            <w:pPr>
              <w:jc w:val="center"/>
            </w:pPr>
            <w:r w:rsidRPr="006E19C7">
              <w:t>0.3%</w:t>
            </w:r>
          </w:p>
        </w:tc>
        <w:tc>
          <w:tcPr>
            <w:tcW w:w="623" w:type="pct"/>
            <w:shd w:val="clear" w:color="auto" w:fill="auto"/>
            <w:noWrap/>
          </w:tcPr>
          <w:p w14:paraId="48817D48" w14:textId="77777777" w:rsidR="006B2325" w:rsidRPr="006E19C7" w:rsidRDefault="006B2325" w:rsidP="00CD1F63">
            <w:pPr>
              <w:jc w:val="center"/>
            </w:pPr>
            <w:r w:rsidRPr="006E19C7">
              <w:t>0.3%</w:t>
            </w:r>
          </w:p>
        </w:tc>
        <w:tc>
          <w:tcPr>
            <w:tcW w:w="624" w:type="pct"/>
            <w:shd w:val="clear" w:color="auto" w:fill="auto"/>
            <w:noWrap/>
          </w:tcPr>
          <w:p w14:paraId="3D9393F5" w14:textId="77777777" w:rsidR="006B2325" w:rsidRPr="006E19C7" w:rsidRDefault="006B2325" w:rsidP="00CD1F63">
            <w:pPr>
              <w:jc w:val="center"/>
            </w:pPr>
            <w:r w:rsidRPr="006E19C7">
              <w:t>0.3%</w:t>
            </w:r>
          </w:p>
        </w:tc>
        <w:tc>
          <w:tcPr>
            <w:tcW w:w="623" w:type="pct"/>
            <w:shd w:val="clear" w:color="auto" w:fill="auto"/>
            <w:noWrap/>
          </w:tcPr>
          <w:p w14:paraId="50DFCC0C" w14:textId="77777777" w:rsidR="006B2325" w:rsidRPr="006E19C7" w:rsidRDefault="006B2325" w:rsidP="00CD1F63">
            <w:pPr>
              <w:jc w:val="center"/>
            </w:pPr>
            <w:r w:rsidRPr="006E19C7">
              <w:t>0.3%</w:t>
            </w:r>
          </w:p>
        </w:tc>
        <w:tc>
          <w:tcPr>
            <w:tcW w:w="623" w:type="pct"/>
            <w:shd w:val="clear" w:color="auto" w:fill="auto"/>
            <w:noWrap/>
          </w:tcPr>
          <w:p w14:paraId="07DFA167" w14:textId="77777777" w:rsidR="006B2325" w:rsidRPr="006E19C7" w:rsidRDefault="006B2325" w:rsidP="00CD1F63">
            <w:pPr>
              <w:jc w:val="center"/>
            </w:pPr>
            <w:r w:rsidRPr="006E19C7">
              <w:t>0.4%</w:t>
            </w:r>
          </w:p>
        </w:tc>
        <w:tc>
          <w:tcPr>
            <w:tcW w:w="610" w:type="pct"/>
            <w:shd w:val="clear" w:color="auto" w:fill="auto"/>
            <w:noWrap/>
          </w:tcPr>
          <w:p w14:paraId="0A7B33A2" w14:textId="77777777" w:rsidR="006B2325" w:rsidRPr="006E19C7" w:rsidRDefault="006B2325" w:rsidP="00CD1F63">
            <w:pPr>
              <w:jc w:val="center"/>
            </w:pPr>
            <w:r w:rsidRPr="006E19C7">
              <w:t>0.5%</w:t>
            </w:r>
          </w:p>
        </w:tc>
      </w:tr>
      <w:tr w:rsidR="006B2325" w:rsidRPr="006E19C7" w14:paraId="2285737F" w14:textId="77777777" w:rsidTr="001414FD">
        <w:trPr>
          <w:trHeight w:val="290"/>
          <w:jc w:val="center"/>
        </w:trPr>
        <w:tc>
          <w:tcPr>
            <w:tcW w:w="1267" w:type="pct"/>
            <w:shd w:val="clear" w:color="auto" w:fill="auto"/>
            <w:noWrap/>
          </w:tcPr>
          <w:p w14:paraId="301D6FAA" w14:textId="77777777" w:rsidR="006B2325" w:rsidRPr="006E19C7" w:rsidRDefault="006B2325" w:rsidP="00CD1F63">
            <w:r w:rsidRPr="006E19C7">
              <w:t>Cardiac complication</w:t>
            </w:r>
          </w:p>
        </w:tc>
        <w:tc>
          <w:tcPr>
            <w:tcW w:w="630" w:type="pct"/>
            <w:shd w:val="clear" w:color="auto" w:fill="auto"/>
            <w:noWrap/>
          </w:tcPr>
          <w:p w14:paraId="74519AAE" w14:textId="77777777" w:rsidR="006B2325" w:rsidRPr="006E19C7" w:rsidRDefault="006B2325" w:rsidP="00CD1F63">
            <w:pPr>
              <w:jc w:val="center"/>
            </w:pPr>
            <w:r w:rsidRPr="006E19C7">
              <w:t>0.3%</w:t>
            </w:r>
          </w:p>
        </w:tc>
        <w:tc>
          <w:tcPr>
            <w:tcW w:w="623" w:type="pct"/>
            <w:shd w:val="clear" w:color="auto" w:fill="auto"/>
            <w:noWrap/>
          </w:tcPr>
          <w:p w14:paraId="3D5A8B76" w14:textId="77777777" w:rsidR="006B2325" w:rsidRPr="006E19C7" w:rsidRDefault="006B2325" w:rsidP="00CD1F63">
            <w:pPr>
              <w:jc w:val="center"/>
            </w:pPr>
            <w:r w:rsidRPr="006E19C7">
              <w:t>0.5%</w:t>
            </w:r>
          </w:p>
        </w:tc>
        <w:tc>
          <w:tcPr>
            <w:tcW w:w="624" w:type="pct"/>
            <w:shd w:val="clear" w:color="auto" w:fill="auto"/>
            <w:noWrap/>
          </w:tcPr>
          <w:p w14:paraId="390866B3" w14:textId="77777777" w:rsidR="006B2325" w:rsidRPr="006E19C7" w:rsidRDefault="006B2325" w:rsidP="00CD1F63">
            <w:pPr>
              <w:jc w:val="center"/>
            </w:pPr>
            <w:r w:rsidRPr="006E19C7">
              <w:t>0.4%</w:t>
            </w:r>
          </w:p>
        </w:tc>
        <w:tc>
          <w:tcPr>
            <w:tcW w:w="623" w:type="pct"/>
            <w:shd w:val="clear" w:color="auto" w:fill="auto"/>
            <w:noWrap/>
          </w:tcPr>
          <w:p w14:paraId="70AF6C33" w14:textId="77777777" w:rsidR="006B2325" w:rsidRPr="006E19C7" w:rsidRDefault="006B2325" w:rsidP="00CD1F63">
            <w:pPr>
              <w:jc w:val="center"/>
            </w:pPr>
            <w:r w:rsidRPr="006E19C7">
              <w:t>0.4%</w:t>
            </w:r>
          </w:p>
        </w:tc>
        <w:tc>
          <w:tcPr>
            <w:tcW w:w="623" w:type="pct"/>
            <w:shd w:val="clear" w:color="auto" w:fill="auto"/>
            <w:noWrap/>
          </w:tcPr>
          <w:p w14:paraId="0DEEEBEE" w14:textId="77777777" w:rsidR="006B2325" w:rsidRPr="006E19C7" w:rsidRDefault="006B2325" w:rsidP="00CD1F63">
            <w:pPr>
              <w:jc w:val="center"/>
            </w:pPr>
            <w:r w:rsidRPr="006E19C7">
              <w:t>0.5%</w:t>
            </w:r>
          </w:p>
        </w:tc>
        <w:tc>
          <w:tcPr>
            <w:tcW w:w="610" w:type="pct"/>
            <w:shd w:val="clear" w:color="auto" w:fill="auto"/>
            <w:noWrap/>
          </w:tcPr>
          <w:p w14:paraId="55EA8F39" w14:textId="77777777" w:rsidR="006B2325" w:rsidRPr="006E19C7" w:rsidRDefault="006B2325" w:rsidP="00CD1F63">
            <w:pPr>
              <w:jc w:val="center"/>
            </w:pPr>
            <w:r w:rsidRPr="006E19C7">
              <w:t>0.6%</w:t>
            </w:r>
          </w:p>
        </w:tc>
      </w:tr>
      <w:tr w:rsidR="006B2325" w:rsidRPr="006E19C7" w14:paraId="09DF02D5" w14:textId="77777777" w:rsidTr="001414FD">
        <w:trPr>
          <w:trHeight w:val="290"/>
          <w:jc w:val="center"/>
        </w:trPr>
        <w:tc>
          <w:tcPr>
            <w:tcW w:w="1267" w:type="pct"/>
            <w:tcBorders>
              <w:bottom w:val="single" w:sz="4" w:space="0" w:color="auto"/>
            </w:tcBorders>
            <w:shd w:val="clear" w:color="auto" w:fill="auto"/>
            <w:noWrap/>
          </w:tcPr>
          <w:p w14:paraId="74AC974A" w14:textId="77777777" w:rsidR="006B2325" w:rsidRPr="006E19C7" w:rsidRDefault="006B2325" w:rsidP="00CD1F63">
            <w:r w:rsidRPr="006E19C7">
              <w:t>In-hospital mortality</w:t>
            </w:r>
          </w:p>
        </w:tc>
        <w:tc>
          <w:tcPr>
            <w:tcW w:w="630" w:type="pct"/>
            <w:tcBorders>
              <w:bottom w:val="single" w:sz="4" w:space="0" w:color="auto"/>
            </w:tcBorders>
            <w:shd w:val="clear" w:color="auto" w:fill="auto"/>
            <w:noWrap/>
          </w:tcPr>
          <w:p w14:paraId="1C34EF04" w14:textId="77777777" w:rsidR="006B2325" w:rsidRPr="006E19C7" w:rsidRDefault="006B2325" w:rsidP="00CD1F63">
            <w:pPr>
              <w:jc w:val="center"/>
            </w:pPr>
            <w:r w:rsidRPr="006E19C7">
              <w:t>6.8%</w:t>
            </w:r>
          </w:p>
        </w:tc>
        <w:tc>
          <w:tcPr>
            <w:tcW w:w="623" w:type="pct"/>
            <w:tcBorders>
              <w:bottom w:val="single" w:sz="4" w:space="0" w:color="auto"/>
            </w:tcBorders>
            <w:shd w:val="clear" w:color="auto" w:fill="auto"/>
            <w:noWrap/>
          </w:tcPr>
          <w:p w14:paraId="7549A85E" w14:textId="77777777" w:rsidR="006B2325" w:rsidRPr="006E19C7" w:rsidRDefault="006B2325" w:rsidP="00CD1F63">
            <w:pPr>
              <w:jc w:val="center"/>
            </w:pPr>
            <w:r w:rsidRPr="006E19C7">
              <w:t>6.6%</w:t>
            </w:r>
          </w:p>
        </w:tc>
        <w:tc>
          <w:tcPr>
            <w:tcW w:w="624" w:type="pct"/>
            <w:tcBorders>
              <w:bottom w:val="single" w:sz="4" w:space="0" w:color="auto"/>
            </w:tcBorders>
            <w:shd w:val="clear" w:color="auto" w:fill="auto"/>
            <w:noWrap/>
          </w:tcPr>
          <w:p w14:paraId="498AEF03" w14:textId="77777777" w:rsidR="006B2325" w:rsidRPr="006E19C7" w:rsidRDefault="006B2325" w:rsidP="00CD1F63">
            <w:pPr>
              <w:jc w:val="center"/>
            </w:pPr>
            <w:r w:rsidRPr="006E19C7">
              <w:t>6.7%</w:t>
            </w:r>
          </w:p>
        </w:tc>
        <w:tc>
          <w:tcPr>
            <w:tcW w:w="623" w:type="pct"/>
            <w:tcBorders>
              <w:bottom w:val="single" w:sz="4" w:space="0" w:color="auto"/>
            </w:tcBorders>
            <w:shd w:val="clear" w:color="auto" w:fill="auto"/>
            <w:noWrap/>
          </w:tcPr>
          <w:p w14:paraId="07DEB5C5" w14:textId="77777777" w:rsidR="006B2325" w:rsidRPr="006E19C7" w:rsidRDefault="006B2325" w:rsidP="00CD1F63">
            <w:pPr>
              <w:jc w:val="center"/>
            </w:pPr>
            <w:r w:rsidRPr="006E19C7">
              <w:t>6.4%</w:t>
            </w:r>
          </w:p>
        </w:tc>
        <w:tc>
          <w:tcPr>
            <w:tcW w:w="623" w:type="pct"/>
            <w:tcBorders>
              <w:bottom w:val="single" w:sz="4" w:space="0" w:color="auto"/>
            </w:tcBorders>
            <w:shd w:val="clear" w:color="auto" w:fill="auto"/>
            <w:noWrap/>
          </w:tcPr>
          <w:p w14:paraId="6121D7A2" w14:textId="77777777" w:rsidR="006B2325" w:rsidRPr="006E19C7" w:rsidRDefault="006B2325" w:rsidP="00CD1F63">
            <w:pPr>
              <w:jc w:val="center"/>
            </w:pPr>
            <w:r w:rsidRPr="006E19C7">
              <w:t>7.0%</w:t>
            </w:r>
          </w:p>
        </w:tc>
        <w:tc>
          <w:tcPr>
            <w:tcW w:w="610" w:type="pct"/>
            <w:tcBorders>
              <w:bottom w:val="single" w:sz="4" w:space="0" w:color="auto"/>
            </w:tcBorders>
            <w:shd w:val="clear" w:color="auto" w:fill="auto"/>
            <w:noWrap/>
          </w:tcPr>
          <w:p w14:paraId="2614DFEB" w14:textId="77777777" w:rsidR="006B2325" w:rsidRPr="006E19C7" w:rsidRDefault="006B2325" w:rsidP="00CD1F63">
            <w:pPr>
              <w:jc w:val="center"/>
            </w:pPr>
            <w:r w:rsidRPr="006E19C7">
              <w:t>6.7%</w:t>
            </w:r>
          </w:p>
        </w:tc>
      </w:tr>
    </w:tbl>
    <w:p w14:paraId="4B7C4B4B" w14:textId="77777777" w:rsidR="00D17BB4" w:rsidRPr="006E19C7" w:rsidRDefault="00D17BB4" w:rsidP="00D17BB4"/>
    <w:p w14:paraId="7A6152A3" w14:textId="77777777" w:rsidR="00D17BB4" w:rsidRPr="006E19C7" w:rsidRDefault="00D17BB4" w:rsidP="00D17BB4"/>
    <w:p w14:paraId="02AC219E" w14:textId="77777777" w:rsidR="00D17BB4" w:rsidRPr="006E19C7" w:rsidRDefault="00D17BB4" w:rsidP="00D17BB4"/>
    <w:p w14:paraId="20925B2E" w14:textId="77777777" w:rsidR="00D17BB4" w:rsidRPr="006E19C7" w:rsidRDefault="00D17BB4" w:rsidP="00D17BB4"/>
    <w:p w14:paraId="29C0B0B5" w14:textId="77777777" w:rsidR="00D17BB4" w:rsidRPr="006E19C7" w:rsidRDefault="00D17BB4" w:rsidP="00D17BB4"/>
    <w:p w14:paraId="6047D4B0" w14:textId="77777777" w:rsidR="00D17BB4" w:rsidRPr="006E19C7" w:rsidRDefault="00D17BB4" w:rsidP="00D17BB4"/>
    <w:p w14:paraId="3EB741F9" w14:textId="77777777" w:rsidR="00D17BB4" w:rsidRPr="006E19C7" w:rsidRDefault="00D17BB4" w:rsidP="00D17BB4"/>
    <w:p w14:paraId="2FBB73D8" w14:textId="1CE74906" w:rsidR="00D17BB4" w:rsidRPr="006E19C7" w:rsidRDefault="00D17BB4" w:rsidP="00D17BB4">
      <w:pPr>
        <w:sectPr w:rsidR="00D17BB4" w:rsidRPr="006E19C7" w:rsidSect="006B2325">
          <w:pgSz w:w="11906" w:h="16838"/>
          <w:pgMar w:top="1440" w:right="1440" w:bottom="1440" w:left="1440" w:header="709" w:footer="709" w:gutter="0"/>
          <w:cols w:space="708"/>
          <w:docGrid w:linePitch="360"/>
        </w:sectPr>
      </w:pPr>
    </w:p>
    <w:p w14:paraId="4557EBD4" w14:textId="3C03DD22" w:rsidR="00D17BB4" w:rsidRPr="006E19C7" w:rsidRDefault="00BA3A74" w:rsidP="00D17BB4">
      <w:pPr>
        <w:rPr>
          <w:rFonts w:ascii="Times New Roman" w:hAnsi="Times New Roman" w:cs="Times New Roman"/>
          <w:sz w:val="24"/>
          <w:szCs w:val="24"/>
        </w:rPr>
      </w:pPr>
      <w:r w:rsidRPr="006E19C7">
        <w:rPr>
          <w:rFonts w:ascii="Times New Roman" w:hAnsi="Times New Roman" w:cs="Times New Roman"/>
          <w:sz w:val="24"/>
          <w:szCs w:val="24"/>
        </w:rPr>
        <w:lastRenderedPageBreak/>
        <w:t>Table 4</w:t>
      </w:r>
      <w:r w:rsidR="00D17BB4" w:rsidRPr="006E19C7">
        <w:rPr>
          <w:rFonts w:ascii="Times New Roman" w:hAnsi="Times New Roman" w:cs="Times New Roman"/>
          <w:sz w:val="24"/>
          <w:szCs w:val="24"/>
        </w:rPr>
        <w:t>: Independent Variables associated with coronary angiography after excluding for in-hospital mortality and association between use of coronary angiography and clinical outcomes.</w:t>
      </w:r>
    </w:p>
    <w:p w14:paraId="58FEECFF" w14:textId="77777777" w:rsidR="00D17BB4" w:rsidRPr="006E19C7" w:rsidRDefault="00D17BB4" w:rsidP="00D17BB4">
      <w:pPr>
        <w:pBdr>
          <w:bottom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047"/>
        <w:gridCol w:w="2329"/>
        <w:gridCol w:w="2114"/>
      </w:tblGrid>
      <w:tr w:rsidR="00D17BB4" w:rsidRPr="006E19C7" w14:paraId="07D2FECE" w14:textId="77777777" w:rsidTr="00CD1F63">
        <w:tc>
          <w:tcPr>
            <w:tcW w:w="2536" w:type="dxa"/>
            <w:shd w:val="clear" w:color="auto" w:fill="auto"/>
          </w:tcPr>
          <w:p w14:paraId="46D6C954" w14:textId="77777777" w:rsidR="00D17BB4" w:rsidRPr="006E19C7" w:rsidRDefault="00D17BB4" w:rsidP="00CD1F63">
            <w:pPr>
              <w:pBdr>
                <w:bottom w:val="single" w:sz="4" w:space="1" w:color="auto"/>
              </w:pBdr>
              <w:rPr>
                <w:b/>
              </w:rPr>
            </w:pPr>
            <w:r w:rsidRPr="006E19C7">
              <w:rPr>
                <w:b/>
              </w:rPr>
              <w:t>Predictors</w:t>
            </w:r>
          </w:p>
        </w:tc>
        <w:tc>
          <w:tcPr>
            <w:tcW w:w="2047" w:type="dxa"/>
            <w:shd w:val="clear" w:color="auto" w:fill="auto"/>
          </w:tcPr>
          <w:p w14:paraId="38F67B6D" w14:textId="77777777" w:rsidR="00D17BB4" w:rsidRPr="006E19C7" w:rsidRDefault="00D17BB4" w:rsidP="00CD1F63">
            <w:pPr>
              <w:pBdr>
                <w:bottom w:val="single" w:sz="4" w:space="1" w:color="auto"/>
              </w:pBdr>
              <w:rPr>
                <w:b/>
              </w:rPr>
            </w:pPr>
            <w:r w:rsidRPr="006E19C7">
              <w:rPr>
                <w:b/>
              </w:rPr>
              <w:t>Odds Ratio</w:t>
            </w:r>
          </w:p>
        </w:tc>
        <w:tc>
          <w:tcPr>
            <w:tcW w:w="2329" w:type="dxa"/>
            <w:shd w:val="clear" w:color="auto" w:fill="auto"/>
          </w:tcPr>
          <w:p w14:paraId="62E9CB41" w14:textId="77777777" w:rsidR="00D17BB4" w:rsidRPr="006E19C7" w:rsidRDefault="00D17BB4" w:rsidP="00CD1F63">
            <w:pPr>
              <w:pBdr>
                <w:bottom w:val="single" w:sz="4" w:space="1" w:color="auto"/>
              </w:pBdr>
              <w:rPr>
                <w:b/>
              </w:rPr>
            </w:pPr>
            <w:r w:rsidRPr="006E19C7">
              <w:rPr>
                <w:b/>
              </w:rPr>
              <w:t xml:space="preserve">95% Confidence Interval </w:t>
            </w:r>
          </w:p>
        </w:tc>
        <w:tc>
          <w:tcPr>
            <w:tcW w:w="2114" w:type="dxa"/>
            <w:shd w:val="clear" w:color="auto" w:fill="auto"/>
          </w:tcPr>
          <w:p w14:paraId="3E276178" w14:textId="77777777" w:rsidR="00D17BB4" w:rsidRPr="006E19C7" w:rsidRDefault="00D17BB4" w:rsidP="00CD1F63">
            <w:pPr>
              <w:pBdr>
                <w:bottom w:val="single" w:sz="4" w:space="1" w:color="auto"/>
              </w:pBdr>
              <w:rPr>
                <w:b/>
              </w:rPr>
            </w:pPr>
            <w:r w:rsidRPr="006E19C7">
              <w:rPr>
                <w:b/>
              </w:rPr>
              <w:t>P Value</w:t>
            </w:r>
          </w:p>
        </w:tc>
      </w:tr>
      <w:tr w:rsidR="00D17BB4" w:rsidRPr="006E19C7" w14:paraId="3B171048" w14:textId="77777777" w:rsidTr="00CD1F63">
        <w:tc>
          <w:tcPr>
            <w:tcW w:w="2536" w:type="dxa"/>
            <w:shd w:val="clear" w:color="auto" w:fill="auto"/>
          </w:tcPr>
          <w:p w14:paraId="4485DFE1" w14:textId="77777777" w:rsidR="00D17BB4" w:rsidRPr="006E19C7" w:rsidRDefault="00D17BB4" w:rsidP="00CD1F63">
            <w:bookmarkStart w:id="0" w:name="OLE_LINK1"/>
            <w:r w:rsidRPr="006E19C7">
              <w:t xml:space="preserve">Age </w:t>
            </w:r>
            <w:bookmarkEnd w:id="0"/>
          </w:p>
        </w:tc>
        <w:tc>
          <w:tcPr>
            <w:tcW w:w="2047" w:type="dxa"/>
            <w:shd w:val="clear" w:color="auto" w:fill="auto"/>
          </w:tcPr>
          <w:p w14:paraId="5EEA99AC" w14:textId="77777777" w:rsidR="00D17BB4" w:rsidRPr="006E19C7" w:rsidRDefault="00D17BB4" w:rsidP="00CD1F63">
            <w:r w:rsidRPr="006E19C7">
              <w:t>0.96</w:t>
            </w:r>
          </w:p>
        </w:tc>
        <w:tc>
          <w:tcPr>
            <w:tcW w:w="2329" w:type="dxa"/>
            <w:shd w:val="clear" w:color="auto" w:fill="auto"/>
          </w:tcPr>
          <w:p w14:paraId="69163AA4" w14:textId="77777777" w:rsidR="00D17BB4" w:rsidRPr="006E19C7" w:rsidRDefault="00D17BB4" w:rsidP="00CD1F63">
            <w:r w:rsidRPr="006E19C7">
              <w:t>0.960-0.961</w:t>
            </w:r>
          </w:p>
        </w:tc>
        <w:tc>
          <w:tcPr>
            <w:tcW w:w="2114" w:type="dxa"/>
            <w:shd w:val="clear" w:color="auto" w:fill="auto"/>
          </w:tcPr>
          <w:p w14:paraId="14D499A5" w14:textId="77777777" w:rsidR="00D17BB4" w:rsidRPr="006E19C7" w:rsidRDefault="00D17BB4" w:rsidP="00CD1F63">
            <w:r w:rsidRPr="006E19C7">
              <w:t>&lt;0.001</w:t>
            </w:r>
          </w:p>
        </w:tc>
      </w:tr>
      <w:tr w:rsidR="00D17BB4" w:rsidRPr="006E19C7" w14:paraId="759CF388" w14:textId="77777777" w:rsidTr="00CD1F63">
        <w:tc>
          <w:tcPr>
            <w:tcW w:w="2536" w:type="dxa"/>
            <w:shd w:val="clear" w:color="auto" w:fill="auto"/>
          </w:tcPr>
          <w:p w14:paraId="7ED85C9D" w14:textId="77777777" w:rsidR="00D17BB4" w:rsidRPr="006E19C7" w:rsidRDefault="00D17BB4" w:rsidP="00CD1F63">
            <w:r w:rsidRPr="006E19C7">
              <w:t xml:space="preserve">Weekend admission </w:t>
            </w:r>
          </w:p>
        </w:tc>
        <w:tc>
          <w:tcPr>
            <w:tcW w:w="2047" w:type="dxa"/>
            <w:shd w:val="clear" w:color="auto" w:fill="auto"/>
          </w:tcPr>
          <w:p w14:paraId="4D65F7A8" w14:textId="77777777" w:rsidR="00D17BB4" w:rsidRPr="006E19C7" w:rsidRDefault="00D17BB4" w:rsidP="00CD1F63">
            <w:r w:rsidRPr="006E19C7">
              <w:t>0.92</w:t>
            </w:r>
          </w:p>
        </w:tc>
        <w:tc>
          <w:tcPr>
            <w:tcW w:w="2329" w:type="dxa"/>
            <w:shd w:val="clear" w:color="auto" w:fill="auto"/>
          </w:tcPr>
          <w:p w14:paraId="5BDAD55A" w14:textId="77777777" w:rsidR="00D17BB4" w:rsidRPr="006E19C7" w:rsidRDefault="00D17BB4" w:rsidP="00CD1F63">
            <w:r w:rsidRPr="006E19C7">
              <w:t>0.91-93</w:t>
            </w:r>
          </w:p>
        </w:tc>
        <w:tc>
          <w:tcPr>
            <w:tcW w:w="2114" w:type="dxa"/>
            <w:shd w:val="clear" w:color="auto" w:fill="auto"/>
          </w:tcPr>
          <w:p w14:paraId="7537B80E" w14:textId="77777777" w:rsidR="00D17BB4" w:rsidRPr="006E19C7" w:rsidRDefault="00D17BB4" w:rsidP="00CD1F63">
            <w:r w:rsidRPr="006E19C7">
              <w:t>&lt;0.001</w:t>
            </w:r>
          </w:p>
        </w:tc>
      </w:tr>
      <w:tr w:rsidR="00D17BB4" w:rsidRPr="006E19C7" w14:paraId="510EAD47" w14:textId="77777777" w:rsidTr="00CD1F63">
        <w:tc>
          <w:tcPr>
            <w:tcW w:w="2536" w:type="dxa"/>
            <w:shd w:val="clear" w:color="auto" w:fill="auto"/>
          </w:tcPr>
          <w:p w14:paraId="2137B1C1" w14:textId="77777777" w:rsidR="00D17BB4" w:rsidRPr="006E19C7" w:rsidRDefault="00D17BB4" w:rsidP="00CD1F63">
            <w:r w:rsidRPr="006E19C7">
              <w:t xml:space="preserve">Female </w:t>
            </w:r>
          </w:p>
        </w:tc>
        <w:tc>
          <w:tcPr>
            <w:tcW w:w="2047" w:type="dxa"/>
            <w:shd w:val="clear" w:color="auto" w:fill="auto"/>
          </w:tcPr>
          <w:p w14:paraId="70AAEAA3" w14:textId="77777777" w:rsidR="00D17BB4" w:rsidRPr="006E19C7" w:rsidRDefault="00D17BB4" w:rsidP="00CD1F63">
            <w:r w:rsidRPr="006E19C7">
              <w:t>0.91</w:t>
            </w:r>
          </w:p>
        </w:tc>
        <w:tc>
          <w:tcPr>
            <w:tcW w:w="2329" w:type="dxa"/>
            <w:shd w:val="clear" w:color="auto" w:fill="auto"/>
          </w:tcPr>
          <w:p w14:paraId="67F871E3" w14:textId="77777777" w:rsidR="00D17BB4" w:rsidRPr="006E19C7" w:rsidRDefault="00D17BB4" w:rsidP="00CD1F63">
            <w:r w:rsidRPr="006E19C7">
              <w:t>0.90-0.92</w:t>
            </w:r>
          </w:p>
        </w:tc>
        <w:tc>
          <w:tcPr>
            <w:tcW w:w="2114" w:type="dxa"/>
            <w:shd w:val="clear" w:color="auto" w:fill="auto"/>
          </w:tcPr>
          <w:p w14:paraId="41360947" w14:textId="77777777" w:rsidR="00D17BB4" w:rsidRPr="006E19C7" w:rsidRDefault="00D17BB4" w:rsidP="00CD1F63">
            <w:r w:rsidRPr="006E19C7">
              <w:t>&lt;0.001</w:t>
            </w:r>
          </w:p>
        </w:tc>
      </w:tr>
      <w:tr w:rsidR="00D17BB4" w:rsidRPr="006E19C7" w14:paraId="113B8085" w14:textId="77777777" w:rsidTr="00CD1F63">
        <w:tc>
          <w:tcPr>
            <w:tcW w:w="2536" w:type="dxa"/>
            <w:shd w:val="clear" w:color="auto" w:fill="auto"/>
          </w:tcPr>
          <w:p w14:paraId="3B1A5762" w14:textId="77777777" w:rsidR="00D17BB4" w:rsidRPr="006E19C7" w:rsidRDefault="00D17BB4" w:rsidP="00CD1F63">
            <w:r w:rsidRPr="006E19C7">
              <w:t>AIDS</w:t>
            </w:r>
          </w:p>
        </w:tc>
        <w:tc>
          <w:tcPr>
            <w:tcW w:w="2047" w:type="dxa"/>
            <w:shd w:val="clear" w:color="auto" w:fill="auto"/>
          </w:tcPr>
          <w:p w14:paraId="7C97153A" w14:textId="77777777" w:rsidR="00D17BB4" w:rsidRPr="006E19C7" w:rsidRDefault="00D17BB4" w:rsidP="00CD1F63">
            <w:r w:rsidRPr="006E19C7">
              <w:t>0.79</w:t>
            </w:r>
          </w:p>
        </w:tc>
        <w:tc>
          <w:tcPr>
            <w:tcW w:w="2329" w:type="dxa"/>
            <w:shd w:val="clear" w:color="auto" w:fill="auto"/>
          </w:tcPr>
          <w:p w14:paraId="4B164EFA" w14:textId="77777777" w:rsidR="00D17BB4" w:rsidRPr="006E19C7" w:rsidRDefault="00D17BB4" w:rsidP="00CD1F63">
            <w:r w:rsidRPr="006E19C7">
              <w:t>0.67-0.93</w:t>
            </w:r>
          </w:p>
        </w:tc>
        <w:tc>
          <w:tcPr>
            <w:tcW w:w="2114" w:type="dxa"/>
            <w:shd w:val="clear" w:color="auto" w:fill="auto"/>
          </w:tcPr>
          <w:p w14:paraId="31E09EDE" w14:textId="77777777" w:rsidR="00D17BB4" w:rsidRPr="006E19C7" w:rsidRDefault="00D17BB4" w:rsidP="00CD1F63">
            <w:r w:rsidRPr="006E19C7">
              <w:t>&lt;0.001</w:t>
            </w:r>
          </w:p>
        </w:tc>
      </w:tr>
      <w:tr w:rsidR="00D17BB4" w:rsidRPr="006E19C7" w14:paraId="538B8EAF" w14:textId="77777777" w:rsidTr="00CD1F63">
        <w:tc>
          <w:tcPr>
            <w:tcW w:w="2536" w:type="dxa"/>
            <w:shd w:val="clear" w:color="auto" w:fill="auto"/>
          </w:tcPr>
          <w:p w14:paraId="32BE27F0" w14:textId="77777777" w:rsidR="00D17BB4" w:rsidRPr="006E19C7" w:rsidRDefault="00D17BB4" w:rsidP="00CD1F63">
            <w:r w:rsidRPr="006E19C7">
              <w:t>Alcohol abuse</w:t>
            </w:r>
          </w:p>
        </w:tc>
        <w:tc>
          <w:tcPr>
            <w:tcW w:w="2047" w:type="dxa"/>
            <w:shd w:val="clear" w:color="auto" w:fill="auto"/>
          </w:tcPr>
          <w:p w14:paraId="440EEFD0" w14:textId="77777777" w:rsidR="00D17BB4" w:rsidRPr="006E19C7" w:rsidRDefault="00D17BB4" w:rsidP="00CD1F63">
            <w:r w:rsidRPr="006E19C7">
              <w:t>0.88</w:t>
            </w:r>
          </w:p>
        </w:tc>
        <w:tc>
          <w:tcPr>
            <w:tcW w:w="2329" w:type="dxa"/>
            <w:shd w:val="clear" w:color="auto" w:fill="auto"/>
          </w:tcPr>
          <w:p w14:paraId="0C12DF4C" w14:textId="77777777" w:rsidR="00D17BB4" w:rsidRPr="006E19C7" w:rsidRDefault="00D17BB4" w:rsidP="00CD1F63">
            <w:r w:rsidRPr="006E19C7">
              <w:t>0.85-0.91</w:t>
            </w:r>
          </w:p>
        </w:tc>
        <w:tc>
          <w:tcPr>
            <w:tcW w:w="2114" w:type="dxa"/>
            <w:shd w:val="clear" w:color="auto" w:fill="auto"/>
          </w:tcPr>
          <w:p w14:paraId="4B0D2D31" w14:textId="77777777" w:rsidR="00D17BB4" w:rsidRPr="006E19C7" w:rsidRDefault="00D17BB4" w:rsidP="00CD1F63">
            <w:r w:rsidRPr="006E19C7">
              <w:t>&lt;0.001</w:t>
            </w:r>
          </w:p>
        </w:tc>
      </w:tr>
      <w:tr w:rsidR="00D17BB4" w:rsidRPr="006E19C7" w14:paraId="5465DBC8" w14:textId="77777777" w:rsidTr="00CD1F63">
        <w:tc>
          <w:tcPr>
            <w:tcW w:w="2536" w:type="dxa"/>
            <w:shd w:val="clear" w:color="auto" w:fill="auto"/>
          </w:tcPr>
          <w:p w14:paraId="2BEDC045" w14:textId="77777777" w:rsidR="00D17BB4" w:rsidRPr="006E19C7" w:rsidRDefault="00D17BB4" w:rsidP="00CD1F63">
            <w:r w:rsidRPr="006E19C7">
              <w:t>Deficiency anaemias</w:t>
            </w:r>
          </w:p>
        </w:tc>
        <w:tc>
          <w:tcPr>
            <w:tcW w:w="2047" w:type="dxa"/>
            <w:shd w:val="clear" w:color="auto" w:fill="auto"/>
          </w:tcPr>
          <w:p w14:paraId="5AF5D1BC" w14:textId="77777777" w:rsidR="00D17BB4" w:rsidRPr="006E19C7" w:rsidRDefault="00D17BB4" w:rsidP="00CD1F63">
            <w:r w:rsidRPr="006E19C7">
              <w:t>0.82</w:t>
            </w:r>
          </w:p>
        </w:tc>
        <w:tc>
          <w:tcPr>
            <w:tcW w:w="2329" w:type="dxa"/>
            <w:shd w:val="clear" w:color="auto" w:fill="auto"/>
          </w:tcPr>
          <w:p w14:paraId="237BFBC1" w14:textId="77777777" w:rsidR="00D17BB4" w:rsidRPr="006E19C7" w:rsidRDefault="00D17BB4" w:rsidP="00CD1F63">
            <w:r w:rsidRPr="006E19C7">
              <w:t>0.81-0.83</w:t>
            </w:r>
          </w:p>
        </w:tc>
        <w:tc>
          <w:tcPr>
            <w:tcW w:w="2114" w:type="dxa"/>
            <w:shd w:val="clear" w:color="auto" w:fill="auto"/>
          </w:tcPr>
          <w:p w14:paraId="6675E883" w14:textId="77777777" w:rsidR="00D17BB4" w:rsidRPr="006E19C7" w:rsidRDefault="00D17BB4" w:rsidP="00CD1F63">
            <w:r w:rsidRPr="006E19C7">
              <w:t>&lt;0.001</w:t>
            </w:r>
          </w:p>
        </w:tc>
      </w:tr>
      <w:tr w:rsidR="00D17BB4" w:rsidRPr="006E19C7" w14:paraId="67AD9A6F" w14:textId="77777777" w:rsidTr="00CD1F63">
        <w:tc>
          <w:tcPr>
            <w:tcW w:w="2536" w:type="dxa"/>
            <w:shd w:val="clear" w:color="auto" w:fill="auto"/>
          </w:tcPr>
          <w:p w14:paraId="62AD5A9A" w14:textId="77777777" w:rsidR="00D17BB4" w:rsidRPr="006E19C7" w:rsidRDefault="00D17BB4" w:rsidP="00CD1F63">
            <w:r w:rsidRPr="006E19C7">
              <w:t>Chronic Blood loss anaemia</w:t>
            </w:r>
          </w:p>
        </w:tc>
        <w:tc>
          <w:tcPr>
            <w:tcW w:w="2047" w:type="dxa"/>
            <w:shd w:val="clear" w:color="auto" w:fill="auto"/>
          </w:tcPr>
          <w:p w14:paraId="2F79A2B5" w14:textId="77777777" w:rsidR="00D17BB4" w:rsidRPr="006E19C7" w:rsidRDefault="00D17BB4" w:rsidP="00CD1F63">
            <w:r w:rsidRPr="006E19C7">
              <w:t>0.72</w:t>
            </w:r>
          </w:p>
        </w:tc>
        <w:tc>
          <w:tcPr>
            <w:tcW w:w="2329" w:type="dxa"/>
            <w:shd w:val="clear" w:color="auto" w:fill="auto"/>
          </w:tcPr>
          <w:p w14:paraId="6863CEA5" w14:textId="77777777" w:rsidR="00D17BB4" w:rsidRPr="006E19C7" w:rsidRDefault="00D17BB4" w:rsidP="00CD1F63">
            <w:r w:rsidRPr="006E19C7">
              <w:t>0.68-0.76</w:t>
            </w:r>
          </w:p>
        </w:tc>
        <w:tc>
          <w:tcPr>
            <w:tcW w:w="2114" w:type="dxa"/>
            <w:shd w:val="clear" w:color="auto" w:fill="auto"/>
          </w:tcPr>
          <w:p w14:paraId="57FB886D" w14:textId="77777777" w:rsidR="00D17BB4" w:rsidRPr="006E19C7" w:rsidRDefault="00D17BB4" w:rsidP="00CD1F63">
            <w:r w:rsidRPr="006E19C7">
              <w:t>&lt;0.001</w:t>
            </w:r>
          </w:p>
        </w:tc>
      </w:tr>
      <w:tr w:rsidR="00D17BB4" w:rsidRPr="006E19C7" w14:paraId="0261DBF4" w14:textId="77777777" w:rsidTr="00CD1F63">
        <w:tc>
          <w:tcPr>
            <w:tcW w:w="2536" w:type="dxa"/>
            <w:shd w:val="clear" w:color="auto" w:fill="auto"/>
          </w:tcPr>
          <w:p w14:paraId="0A0A7031" w14:textId="77777777" w:rsidR="00D17BB4" w:rsidRPr="006E19C7" w:rsidRDefault="00D17BB4" w:rsidP="00CD1F63">
            <w:r w:rsidRPr="006E19C7">
              <w:t>Congestive heart failure</w:t>
            </w:r>
          </w:p>
        </w:tc>
        <w:tc>
          <w:tcPr>
            <w:tcW w:w="2047" w:type="dxa"/>
            <w:shd w:val="clear" w:color="auto" w:fill="auto"/>
          </w:tcPr>
          <w:p w14:paraId="4D7EAF70" w14:textId="77777777" w:rsidR="00D17BB4" w:rsidRPr="006E19C7" w:rsidRDefault="00D17BB4" w:rsidP="00CD1F63">
            <w:r w:rsidRPr="006E19C7">
              <w:t>0.53</w:t>
            </w:r>
          </w:p>
        </w:tc>
        <w:tc>
          <w:tcPr>
            <w:tcW w:w="2329" w:type="dxa"/>
            <w:shd w:val="clear" w:color="auto" w:fill="auto"/>
          </w:tcPr>
          <w:p w14:paraId="101D38E7" w14:textId="77777777" w:rsidR="00D17BB4" w:rsidRPr="006E19C7" w:rsidRDefault="00D17BB4" w:rsidP="00CD1F63">
            <w:r w:rsidRPr="006E19C7">
              <w:t>0.49-0.57</w:t>
            </w:r>
          </w:p>
        </w:tc>
        <w:tc>
          <w:tcPr>
            <w:tcW w:w="2114" w:type="dxa"/>
            <w:shd w:val="clear" w:color="auto" w:fill="auto"/>
          </w:tcPr>
          <w:p w14:paraId="4C1CA7E5" w14:textId="77777777" w:rsidR="00D17BB4" w:rsidRPr="006E19C7" w:rsidRDefault="00D17BB4" w:rsidP="00CD1F63">
            <w:r w:rsidRPr="006E19C7">
              <w:t>&lt;0.001</w:t>
            </w:r>
          </w:p>
        </w:tc>
      </w:tr>
      <w:tr w:rsidR="00D17BB4" w:rsidRPr="006E19C7" w14:paraId="70D30657" w14:textId="77777777" w:rsidTr="00CD1F63">
        <w:tc>
          <w:tcPr>
            <w:tcW w:w="2536" w:type="dxa"/>
            <w:shd w:val="clear" w:color="auto" w:fill="auto"/>
          </w:tcPr>
          <w:p w14:paraId="7F3FD85C" w14:textId="77777777" w:rsidR="00D17BB4" w:rsidRPr="006E19C7" w:rsidRDefault="00D17BB4" w:rsidP="00CD1F63">
            <w:r w:rsidRPr="006E19C7">
              <w:t>Chronic pulmonary disease</w:t>
            </w:r>
          </w:p>
        </w:tc>
        <w:tc>
          <w:tcPr>
            <w:tcW w:w="2047" w:type="dxa"/>
            <w:shd w:val="clear" w:color="auto" w:fill="auto"/>
          </w:tcPr>
          <w:p w14:paraId="4F5C2E85" w14:textId="77777777" w:rsidR="00D17BB4" w:rsidRPr="006E19C7" w:rsidRDefault="00D17BB4" w:rsidP="00CD1F63">
            <w:r w:rsidRPr="006E19C7">
              <w:t>0.85</w:t>
            </w:r>
          </w:p>
        </w:tc>
        <w:tc>
          <w:tcPr>
            <w:tcW w:w="2329" w:type="dxa"/>
            <w:shd w:val="clear" w:color="auto" w:fill="auto"/>
          </w:tcPr>
          <w:p w14:paraId="1E7180DB" w14:textId="77777777" w:rsidR="00D17BB4" w:rsidRPr="006E19C7" w:rsidRDefault="00D17BB4" w:rsidP="00CD1F63">
            <w:r w:rsidRPr="006E19C7">
              <w:t>0.84-0.86</w:t>
            </w:r>
          </w:p>
        </w:tc>
        <w:tc>
          <w:tcPr>
            <w:tcW w:w="2114" w:type="dxa"/>
            <w:shd w:val="clear" w:color="auto" w:fill="auto"/>
          </w:tcPr>
          <w:p w14:paraId="0369118D" w14:textId="77777777" w:rsidR="00D17BB4" w:rsidRPr="006E19C7" w:rsidRDefault="00D17BB4" w:rsidP="00CD1F63">
            <w:r w:rsidRPr="006E19C7">
              <w:t>&lt;0.001</w:t>
            </w:r>
          </w:p>
        </w:tc>
      </w:tr>
      <w:tr w:rsidR="00D17BB4" w:rsidRPr="006E19C7" w14:paraId="69622FFE" w14:textId="77777777" w:rsidTr="00CD1F63">
        <w:tc>
          <w:tcPr>
            <w:tcW w:w="2536" w:type="dxa"/>
            <w:shd w:val="clear" w:color="auto" w:fill="auto"/>
          </w:tcPr>
          <w:p w14:paraId="6AA739AE" w14:textId="77777777" w:rsidR="00D17BB4" w:rsidRPr="006E19C7" w:rsidRDefault="00D17BB4" w:rsidP="00CD1F63">
            <w:r w:rsidRPr="006E19C7">
              <w:t>Coagulopathy</w:t>
            </w:r>
          </w:p>
        </w:tc>
        <w:tc>
          <w:tcPr>
            <w:tcW w:w="2047" w:type="dxa"/>
            <w:shd w:val="clear" w:color="auto" w:fill="auto"/>
          </w:tcPr>
          <w:p w14:paraId="2C5CAEA4" w14:textId="77777777" w:rsidR="00D17BB4" w:rsidRPr="006E19C7" w:rsidRDefault="00D17BB4" w:rsidP="00CD1F63">
            <w:r w:rsidRPr="006E19C7">
              <w:t>1.12</w:t>
            </w:r>
          </w:p>
        </w:tc>
        <w:tc>
          <w:tcPr>
            <w:tcW w:w="2329" w:type="dxa"/>
            <w:shd w:val="clear" w:color="auto" w:fill="auto"/>
          </w:tcPr>
          <w:p w14:paraId="7AA488AA" w14:textId="77777777" w:rsidR="00D17BB4" w:rsidRPr="006E19C7" w:rsidRDefault="00D17BB4" w:rsidP="00CD1F63">
            <w:r w:rsidRPr="006E19C7">
              <w:t>1.08-1.15</w:t>
            </w:r>
          </w:p>
        </w:tc>
        <w:tc>
          <w:tcPr>
            <w:tcW w:w="2114" w:type="dxa"/>
            <w:shd w:val="clear" w:color="auto" w:fill="auto"/>
          </w:tcPr>
          <w:p w14:paraId="151BDFB7" w14:textId="77777777" w:rsidR="00D17BB4" w:rsidRPr="006E19C7" w:rsidRDefault="00D17BB4" w:rsidP="00CD1F63">
            <w:r w:rsidRPr="006E19C7">
              <w:t>&lt;0.001</w:t>
            </w:r>
          </w:p>
        </w:tc>
      </w:tr>
      <w:tr w:rsidR="00D17BB4" w:rsidRPr="006E19C7" w14:paraId="1A30216F" w14:textId="77777777" w:rsidTr="00CD1F63">
        <w:tc>
          <w:tcPr>
            <w:tcW w:w="2536" w:type="dxa"/>
            <w:shd w:val="clear" w:color="auto" w:fill="auto"/>
          </w:tcPr>
          <w:p w14:paraId="76D80C2C" w14:textId="77777777" w:rsidR="00D17BB4" w:rsidRPr="006E19C7" w:rsidRDefault="00D17BB4" w:rsidP="00CD1F63">
            <w:r w:rsidRPr="006E19C7">
              <w:t>Depression</w:t>
            </w:r>
          </w:p>
        </w:tc>
        <w:tc>
          <w:tcPr>
            <w:tcW w:w="2047" w:type="dxa"/>
            <w:shd w:val="clear" w:color="auto" w:fill="auto"/>
          </w:tcPr>
          <w:p w14:paraId="5957D936" w14:textId="77777777" w:rsidR="00D17BB4" w:rsidRPr="006E19C7" w:rsidRDefault="00D17BB4" w:rsidP="00CD1F63">
            <w:r w:rsidRPr="006E19C7">
              <w:t>0.86</w:t>
            </w:r>
          </w:p>
        </w:tc>
        <w:tc>
          <w:tcPr>
            <w:tcW w:w="2329" w:type="dxa"/>
            <w:shd w:val="clear" w:color="auto" w:fill="auto"/>
          </w:tcPr>
          <w:p w14:paraId="1A34D5BF" w14:textId="77777777" w:rsidR="00D17BB4" w:rsidRPr="006E19C7" w:rsidRDefault="00D17BB4" w:rsidP="00CD1F63">
            <w:r w:rsidRPr="006E19C7">
              <w:t>0.84-0.86</w:t>
            </w:r>
          </w:p>
        </w:tc>
        <w:tc>
          <w:tcPr>
            <w:tcW w:w="2114" w:type="dxa"/>
            <w:shd w:val="clear" w:color="auto" w:fill="auto"/>
          </w:tcPr>
          <w:p w14:paraId="77F8ADCA" w14:textId="77777777" w:rsidR="00D17BB4" w:rsidRPr="006E19C7" w:rsidRDefault="00D17BB4" w:rsidP="00CD1F63">
            <w:r w:rsidRPr="006E19C7">
              <w:t>0.009</w:t>
            </w:r>
          </w:p>
        </w:tc>
      </w:tr>
      <w:tr w:rsidR="00D17BB4" w:rsidRPr="006E19C7" w14:paraId="182133B0" w14:textId="77777777" w:rsidTr="00CD1F63">
        <w:tc>
          <w:tcPr>
            <w:tcW w:w="2536" w:type="dxa"/>
            <w:shd w:val="clear" w:color="auto" w:fill="auto"/>
          </w:tcPr>
          <w:p w14:paraId="437F6D53" w14:textId="77777777" w:rsidR="00D17BB4" w:rsidRPr="006E19C7" w:rsidRDefault="00D17BB4" w:rsidP="00CD1F63">
            <w:r w:rsidRPr="006E19C7">
              <w:t>Diabetes</w:t>
            </w:r>
          </w:p>
        </w:tc>
        <w:tc>
          <w:tcPr>
            <w:tcW w:w="2047" w:type="dxa"/>
            <w:shd w:val="clear" w:color="auto" w:fill="auto"/>
          </w:tcPr>
          <w:p w14:paraId="0A91E65E" w14:textId="77777777" w:rsidR="00D17BB4" w:rsidRPr="006E19C7" w:rsidRDefault="00D17BB4" w:rsidP="00CD1F63">
            <w:r w:rsidRPr="006E19C7">
              <w:t>0.88</w:t>
            </w:r>
          </w:p>
        </w:tc>
        <w:tc>
          <w:tcPr>
            <w:tcW w:w="2329" w:type="dxa"/>
            <w:shd w:val="clear" w:color="auto" w:fill="auto"/>
          </w:tcPr>
          <w:p w14:paraId="1A3F5621" w14:textId="77777777" w:rsidR="00D17BB4" w:rsidRPr="006E19C7" w:rsidRDefault="00D17BB4" w:rsidP="00CD1F63">
            <w:r w:rsidRPr="006E19C7">
              <w:t>0.87-0.89</w:t>
            </w:r>
          </w:p>
        </w:tc>
        <w:tc>
          <w:tcPr>
            <w:tcW w:w="2114" w:type="dxa"/>
            <w:shd w:val="clear" w:color="auto" w:fill="auto"/>
          </w:tcPr>
          <w:p w14:paraId="0AD7E963" w14:textId="77777777" w:rsidR="00D17BB4" w:rsidRPr="006E19C7" w:rsidRDefault="00D17BB4" w:rsidP="00CD1F63">
            <w:r w:rsidRPr="006E19C7">
              <w:t>&lt;0.001</w:t>
            </w:r>
          </w:p>
        </w:tc>
      </w:tr>
      <w:tr w:rsidR="00D17BB4" w:rsidRPr="006E19C7" w14:paraId="1FF33B12" w14:textId="77777777" w:rsidTr="00CD1F63">
        <w:tc>
          <w:tcPr>
            <w:tcW w:w="2536" w:type="dxa"/>
            <w:shd w:val="clear" w:color="auto" w:fill="auto"/>
          </w:tcPr>
          <w:p w14:paraId="4CC8ADAB" w14:textId="77777777" w:rsidR="00D17BB4" w:rsidRPr="006E19C7" w:rsidRDefault="00D17BB4" w:rsidP="00CD1F63">
            <w:r w:rsidRPr="006E19C7">
              <w:t>Diabetes with complications</w:t>
            </w:r>
          </w:p>
        </w:tc>
        <w:tc>
          <w:tcPr>
            <w:tcW w:w="2047" w:type="dxa"/>
            <w:shd w:val="clear" w:color="auto" w:fill="auto"/>
          </w:tcPr>
          <w:p w14:paraId="49BB64F1" w14:textId="77777777" w:rsidR="00D17BB4" w:rsidRPr="006E19C7" w:rsidRDefault="00D17BB4" w:rsidP="00CD1F63">
            <w:r w:rsidRPr="006E19C7">
              <w:t>0.85</w:t>
            </w:r>
          </w:p>
        </w:tc>
        <w:tc>
          <w:tcPr>
            <w:tcW w:w="2329" w:type="dxa"/>
            <w:shd w:val="clear" w:color="auto" w:fill="auto"/>
          </w:tcPr>
          <w:p w14:paraId="351C5A00" w14:textId="77777777" w:rsidR="00D17BB4" w:rsidRPr="006E19C7" w:rsidRDefault="00D17BB4" w:rsidP="00CD1F63">
            <w:r w:rsidRPr="006E19C7">
              <w:t>0.83-0.87</w:t>
            </w:r>
          </w:p>
        </w:tc>
        <w:tc>
          <w:tcPr>
            <w:tcW w:w="2114" w:type="dxa"/>
            <w:shd w:val="clear" w:color="auto" w:fill="auto"/>
          </w:tcPr>
          <w:p w14:paraId="1BB593C9" w14:textId="77777777" w:rsidR="00D17BB4" w:rsidRPr="006E19C7" w:rsidRDefault="00D17BB4" w:rsidP="00CD1F63">
            <w:r w:rsidRPr="006E19C7">
              <w:t>&lt;0.001</w:t>
            </w:r>
          </w:p>
        </w:tc>
      </w:tr>
      <w:tr w:rsidR="00D17BB4" w:rsidRPr="006E19C7" w14:paraId="5376F09D" w14:textId="77777777" w:rsidTr="00CD1F63">
        <w:tc>
          <w:tcPr>
            <w:tcW w:w="2536" w:type="dxa"/>
            <w:shd w:val="clear" w:color="auto" w:fill="auto"/>
          </w:tcPr>
          <w:p w14:paraId="512DEC18" w14:textId="77777777" w:rsidR="00D17BB4" w:rsidRPr="006E19C7" w:rsidRDefault="00D17BB4" w:rsidP="00CD1F63">
            <w:r w:rsidRPr="006E19C7">
              <w:t>Drug abuse</w:t>
            </w:r>
          </w:p>
        </w:tc>
        <w:tc>
          <w:tcPr>
            <w:tcW w:w="2047" w:type="dxa"/>
            <w:shd w:val="clear" w:color="auto" w:fill="auto"/>
          </w:tcPr>
          <w:p w14:paraId="69C7244A" w14:textId="77777777" w:rsidR="00D17BB4" w:rsidRPr="006E19C7" w:rsidRDefault="00D17BB4" w:rsidP="00CD1F63">
            <w:r w:rsidRPr="006E19C7">
              <w:t>0.66</w:t>
            </w:r>
          </w:p>
        </w:tc>
        <w:tc>
          <w:tcPr>
            <w:tcW w:w="2329" w:type="dxa"/>
            <w:shd w:val="clear" w:color="auto" w:fill="auto"/>
          </w:tcPr>
          <w:p w14:paraId="17C82757" w14:textId="77777777" w:rsidR="00D17BB4" w:rsidRPr="006E19C7" w:rsidRDefault="00D17BB4" w:rsidP="00CD1F63">
            <w:r w:rsidRPr="006E19C7">
              <w:t>0.63-0.68</w:t>
            </w:r>
          </w:p>
        </w:tc>
        <w:tc>
          <w:tcPr>
            <w:tcW w:w="2114" w:type="dxa"/>
            <w:shd w:val="clear" w:color="auto" w:fill="auto"/>
          </w:tcPr>
          <w:p w14:paraId="749A0321" w14:textId="77777777" w:rsidR="00D17BB4" w:rsidRPr="006E19C7" w:rsidRDefault="00D17BB4" w:rsidP="00CD1F63">
            <w:r w:rsidRPr="006E19C7">
              <w:t>&lt;0.001</w:t>
            </w:r>
          </w:p>
        </w:tc>
      </w:tr>
      <w:tr w:rsidR="00D17BB4" w:rsidRPr="006E19C7" w14:paraId="0138916E" w14:textId="77777777" w:rsidTr="00CD1F63">
        <w:tc>
          <w:tcPr>
            <w:tcW w:w="2536" w:type="dxa"/>
            <w:shd w:val="clear" w:color="auto" w:fill="auto"/>
          </w:tcPr>
          <w:p w14:paraId="14F998F8" w14:textId="77777777" w:rsidR="00D17BB4" w:rsidRPr="006E19C7" w:rsidRDefault="00D17BB4" w:rsidP="00CD1F63">
            <w:r w:rsidRPr="006E19C7">
              <w:t>Hypertension</w:t>
            </w:r>
          </w:p>
        </w:tc>
        <w:tc>
          <w:tcPr>
            <w:tcW w:w="2047" w:type="dxa"/>
            <w:shd w:val="clear" w:color="auto" w:fill="auto"/>
          </w:tcPr>
          <w:p w14:paraId="466E2514" w14:textId="77777777" w:rsidR="00D17BB4" w:rsidRPr="006E19C7" w:rsidRDefault="00D17BB4" w:rsidP="00CD1F63">
            <w:r w:rsidRPr="006E19C7">
              <w:t>1.02</w:t>
            </w:r>
          </w:p>
        </w:tc>
        <w:tc>
          <w:tcPr>
            <w:tcW w:w="2329" w:type="dxa"/>
            <w:shd w:val="clear" w:color="auto" w:fill="auto"/>
          </w:tcPr>
          <w:p w14:paraId="0A9158F2" w14:textId="77777777" w:rsidR="00D17BB4" w:rsidRPr="006E19C7" w:rsidRDefault="00D17BB4" w:rsidP="00CD1F63">
            <w:r w:rsidRPr="006E19C7">
              <w:t>1.00-1.03</w:t>
            </w:r>
          </w:p>
        </w:tc>
        <w:tc>
          <w:tcPr>
            <w:tcW w:w="2114" w:type="dxa"/>
            <w:shd w:val="clear" w:color="auto" w:fill="auto"/>
          </w:tcPr>
          <w:p w14:paraId="050DE5E1" w14:textId="77777777" w:rsidR="00D17BB4" w:rsidRPr="006E19C7" w:rsidRDefault="00D17BB4" w:rsidP="00CD1F63">
            <w:r w:rsidRPr="006E19C7">
              <w:t>0.001</w:t>
            </w:r>
          </w:p>
        </w:tc>
      </w:tr>
      <w:tr w:rsidR="00D17BB4" w:rsidRPr="006E19C7" w14:paraId="40FB7273" w14:textId="77777777" w:rsidTr="00CD1F63">
        <w:tc>
          <w:tcPr>
            <w:tcW w:w="2536" w:type="dxa"/>
            <w:shd w:val="clear" w:color="auto" w:fill="auto"/>
          </w:tcPr>
          <w:p w14:paraId="722FCE46" w14:textId="77777777" w:rsidR="00D17BB4" w:rsidRPr="006E19C7" w:rsidRDefault="00D17BB4" w:rsidP="00CD1F63">
            <w:r w:rsidRPr="006E19C7">
              <w:t>Hypothyroidism</w:t>
            </w:r>
          </w:p>
        </w:tc>
        <w:tc>
          <w:tcPr>
            <w:tcW w:w="2047" w:type="dxa"/>
            <w:shd w:val="clear" w:color="auto" w:fill="auto"/>
          </w:tcPr>
          <w:p w14:paraId="2F093ECE" w14:textId="77777777" w:rsidR="00D17BB4" w:rsidRPr="006E19C7" w:rsidRDefault="00D17BB4" w:rsidP="00CD1F63">
            <w:r w:rsidRPr="006E19C7">
              <w:t>0.92</w:t>
            </w:r>
          </w:p>
        </w:tc>
        <w:tc>
          <w:tcPr>
            <w:tcW w:w="2329" w:type="dxa"/>
            <w:shd w:val="clear" w:color="auto" w:fill="auto"/>
          </w:tcPr>
          <w:p w14:paraId="10BB2F18" w14:textId="77777777" w:rsidR="00D17BB4" w:rsidRPr="006E19C7" w:rsidRDefault="00D17BB4" w:rsidP="00CD1F63">
            <w:r w:rsidRPr="006E19C7">
              <w:t>0.91-0.94</w:t>
            </w:r>
          </w:p>
        </w:tc>
        <w:tc>
          <w:tcPr>
            <w:tcW w:w="2114" w:type="dxa"/>
            <w:shd w:val="clear" w:color="auto" w:fill="auto"/>
          </w:tcPr>
          <w:p w14:paraId="780A5F6B" w14:textId="77777777" w:rsidR="00D17BB4" w:rsidRPr="006E19C7" w:rsidRDefault="00D17BB4" w:rsidP="00CD1F63">
            <w:r w:rsidRPr="006E19C7">
              <w:t>&lt;0.001</w:t>
            </w:r>
          </w:p>
        </w:tc>
      </w:tr>
      <w:tr w:rsidR="00D17BB4" w:rsidRPr="006E19C7" w14:paraId="17080C1D" w14:textId="77777777" w:rsidTr="00CD1F63">
        <w:tc>
          <w:tcPr>
            <w:tcW w:w="2536" w:type="dxa"/>
            <w:shd w:val="clear" w:color="auto" w:fill="auto"/>
          </w:tcPr>
          <w:p w14:paraId="096272E2" w14:textId="77777777" w:rsidR="00D17BB4" w:rsidRPr="006E19C7" w:rsidRDefault="00D17BB4" w:rsidP="00CD1F63">
            <w:r w:rsidRPr="006E19C7">
              <w:t>Liver disease</w:t>
            </w:r>
          </w:p>
        </w:tc>
        <w:tc>
          <w:tcPr>
            <w:tcW w:w="2047" w:type="dxa"/>
            <w:shd w:val="clear" w:color="auto" w:fill="auto"/>
          </w:tcPr>
          <w:p w14:paraId="20DDF80F" w14:textId="77777777" w:rsidR="00D17BB4" w:rsidRPr="006E19C7" w:rsidRDefault="00D17BB4" w:rsidP="00CD1F63">
            <w:r w:rsidRPr="006E19C7">
              <w:t>0.76</w:t>
            </w:r>
          </w:p>
        </w:tc>
        <w:tc>
          <w:tcPr>
            <w:tcW w:w="2329" w:type="dxa"/>
            <w:shd w:val="clear" w:color="auto" w:fill="auto"/>
          </w:tcPr>
          <w:p w14:paraId="7E821483" w14:textId="77777777" w:rsidR="00D17BB4" w:rsidRPr="006E19C7" w:rsidRDefault="00D17BB4" w:rsidP="00CD1F63">
            <w:r w:rsidRPr="006E19C7">
              <w:t>0.72-0.80</w:t>
            </w:r>
          </w:p>
        </w:tc>
        <w:tc>
          <w:tcPr>
            <w:tcW w:w="2114" w:type="dxa"/>
            <w:shd w:val="clear" w:color="auto" w:fill="auto"/>
          </w:tcPr>
          <w:p w14:paraId="5F59E737" w14:textId="77777777" w:rsidR="00D17BB4" w:rsidRPr="006E19C7" w:rsidRDefault="00D17BB4" w:rsidP="00CD1F63">
            <w:r w:rsidRPr="006E19C7">
              <w:t>&lt;0.001</w:t>
            </w:r>
          </w:p>
        </w:tc>
      </w:tr>
      <w:tr w:rsidR="00D17BB4" w:rsidRPr="006E19C7" w14:paraId="601D31D1" w14:textId="77777777" w:rsidTr="00CD1F63">
        <w:tc>
          <w:tcPr>
            <w:tcW w:w="2536" w:type="dxa"/>
            <w:shd w:val="clear" w:color="auto" w:fill="auto"/>
          </w:tcPr>
          <w:p w14:paraId="2AC573ED" w14:textId="77777777" w:rsidR="00D17BB4" w:rsidRPr="006E19C7" w:rsidRDefault="00D17BB4" w:rsidP="00CD1F63">
            <w:r w:rsidRPr="006E19C7">
              <w:t>Fluid and electrolyte disturbances</w:t>
            </w:r>
          </w:p>
        </w:tc>
        <w:tc>
          <w:tcPr>
            <w:tcW w:w="2047" w:type="dxa"/>
            <w:shd w:val="clear" w:color="auto" w:fill="auto"/>
          </w:tcPr>
          <w:p w14:paraId="73FD1832" w14:textId="77777777" w:rsidR="00D17BB4" w:rsidRPr="006E19C7" w:rsidRDefault="00D17BB4" w:rsidP="00CD1F63">
            <w:r w:rsidRPr="006E19C7">
              <w:t>0.85</w:t>
            </w:r>
          </w:p>
        </w:tc>
        <w:tc>
          <w:tcPr>
            <w:tcW w:w="2329" w:type="dxa"/>
            <w:shd w:val="clear" w:color="auto" w:fill="auto"/>
          </w:tcPr>
          <w:p w14:paraId="4F9632D8" w14:textId="77777777" w:rsidR="00D17BB4" w:rsidRPr="006E19C7" w:rsidRDefault="00D17BB4" w:rsidP="00CD1F63">
            <w:r w:rsidRPr="006E19C7">
              <w:t>0.83-0.86</w:t>
            </w:r>
          </w:p>
        </w:tc>
        <w:tc>
          <w:tcPr>
            <w:tcW w:w="2114" w:type="dxa"/>
            <w:shd w:val="clear" w:color="auto" w:fill="auto"/>
          </w:tcPr>
          <w:p w14:paraId="50296BE6" w14:textId="77777777" w:rsidR="00D17BB4" w:rsidRPr="006E19C7" w:rsidRDefault="00D17BB4" w:rsidP="00CD1F63">
            <w:r w:rsidRPr="006E19C7">
              <w:t>&lt;0.001</w:t>
            </w:r>
          </w:p>
        </w:tc>
      </w:tr>
      <w:tr w:rsidR="00D17BB4" w:rsidRPr="006E19C7" w14:paraId="3128E5BB" w14:textId="77777777" w:rsidTr="00CD1F63">
        <w:tc>
          <w:tcPr>
            <w:tcW w:w="2536" w:type="dxa"/>
            <w:shd w:val="clear" w:color="auto" w:fill="auto"/>
          </w:tcPr>
          <w:p w14:paraId="5B0D01E8" w14:textId="77777777" w:rsidR="00D17BB4" w:rsidRPr="006E19C7" w:rsidRDefault="00D17BB4" w:rsidP="00CD1F63">
            <w:r w:rsidRPr="006E19C7">
              <w:t>Other neurological disorders</w:t>
            </w:r>
          </w:p>
        </w:tc>
        <w:tc>
          <w:tcPr>
            <w:tcW w:w="2047" w:type="dxa"/>
            <w:shd w:val="clear" w:color="auto" w:fill="auto"/>
          </w:tcPr>
          <w:p w14:paraId="1D0EF91A" w14:textId="77777777" w:rsidR="00D17BB4" w:rsidRPr="006E19C7" w:rsidRDefault="00D17BB4" w:rsidP="00CD1F63">
            <w:r w:rsidRPr="006E19C7">
              <w:t>0.79</w:t>
            </w:r>
          </w:p>
        </w:tc>
        <w:tc>
          <w:tcPr>
            <w:tcW w:w="2329" w:type="dxa"/>
            <w:shd w:val="clear" w:color="auto" w:fill="auto"/>
          </w:tcPr>
          <w:p w14:paraId="6277096C" w14:textId="77777777" w:rsidR="00D17BB4" w:rsidRPr="006E19C7" w:rsidRDefault="00D17BB4" w:rsidP="00CD1F63">
            <w:r w:rsidRPr="006E19C7">
              <w:t>0.76-0.81</w:t>
            </w:r>
          </w:p>
        </w:tc>
        <w:tc>
          <w:tcPr>
            <w:tcW w:w="2114" w:type="dxa"/>
            <w:shd w:val="clear" w:color="auto" w:fill="auto"/>
          </w:tcPr>
          <w:p w14:paraId="0BB1702B" w14:textId="77777777" w:rsidR="00D17BB4" w:rsidRPr="006E19C7" w:rsidRDefault="00D17BB4" w:rsidP="00CD1F63">
            <w:r w:rsidRPr="006E19C7">
              <w:t>&lt;0.001</w:t>
            </w:r>
          </w:p>
        </w:tc>
      </w:tr>
      <w:tr w:rsidR="00D17BB4" w:rsidRPr="006E19C7" w14:paraId="55539E61" w14:textId="77777777" w:rsidTr="00CD1F63">
        <w:tc>
          <w:tcPr>
            <w:tcW w:w="2536" w:type="dxa"/>
            <w:shd w:val="clear" w:color="auto" w:fill="auto"/>
          </w:tcPr>
          <w:p w14:paraId="0902150C" w14:textId="77777777" w:rsidR="00D17BB4" w:rsidRPr="006E19C7" w:rsidRDefault="00D17BB4" w:rsidP="00CD1F63">
            <w:r w:rsidRPr="006E19C7">
              <w:t>Obesity</w:t>
            </w:r>
          </w:p>
        </w:tc>
        <w:tc>
          <w:tcPr>
            <w:tcW w:w="2047" w:type="dxa"/>
            <w:shd w:val="clear" w:color="auto" w:fill="auto"/>
          </w:tcPr>
          <w:p w14:paraId="2FEE263B" w14:textId="77777777" w:rsidR="00D17BB4" w:rsidRPr="006E19C7" w:rsidRDefault="00D17BB4" w:rsidP="00CD1F63">
            <w:r w:rsidRPr="006E19C7">
              <w:t>1.09</w:t>
            </w:r>
          </w:p>
        </w:tc>
        <w:tc>
          <w:tcPr>
            <w:tcW w:w="2329" w:type="dxa"/>
            <w:shd w:val="clear" w:color="auto" w:fill="auto"/>
          </w:tcPr>
          <w:p w14:paraId="5E3D7A1A" w14:textId="77777777" w:rsidR="00D17BB4" w:rsidRPr="006E19C7" w:rsidRDefault="00D17BB4" w:rsidP="00CD1F63">
            <w:r w:rsidRPr="006E19C7">
              <w:t>1.07-1.11</w:t>
            </w:r>
          </w:p>
        </w:tc>
        <w:tc>
          <w:tcPr>
            <w:tcW w:w="2114" w:type="dxa"/>
            <w:shd w:val="clear" w:color="auto" w:fill="auto"/>
          </w:tcPr>
          <w:p w14:paraId="77821B06" w14:textId="77777777" w:rsidR="00D17BB4" w:rsidRPr="006E19C7" w:rsidRDefault="00D17BB4" w:rsidP="00CD1F63">
            <w:r w:rsidRPr="006E19C7">
              <w:t>&lt;0.001</w:t>
            </w:r>
          </w:p>
        </w:tc>
      </w:tr>
      <w:tr w:rsidR="00D17BB4" w:rsidRPr="006E19C7" w14:paraId="2D089C75" w14:textId="77777777" w:rsidTr="00CD1F63">
        <w:tc>
          <w:tcPr>
            <w:tcW w:w="2536" w:type="dxa"/>
            <w:shd w:val="clear" w:color="auto" w:fill="auto"/>
          </w:tcPr>
          <w:p w14:paraId="03EFC9FB" w14:textId="77777777" w:rsidR="00D17BB4" w:rsidRPr="006E19C7" w:rsidRDefault="00D17BB4" w:rsidP="00CD1F63">
            <w:r w:rsidRPr="006E19C7">
              <w:t>Paralysis</w:t>
            </w:r>
          </w:p>
        </w:tc>
        <w:tc>
          <w:tcPr>
            <w:tcW w:w="2047" w:type="dxa"/>
            <w:shd w:val="clear" w:color="auto" w:fill="auto"/>
          </w:tcPr>
          <w:p w14:paraId="21245463" w14:textId="77777777" w:rsidR="00D17BB4" w:rsidRPr="006E19C7" w:rsidRDefault="00D17BB4" w:rsidP="00CD1F63">
            <w:r w:rsidRPr="006E19C7">
              <w:t>0.61</w:t>
            </w:r>
          </w:p>
        </w:tc>
        <w:tc>
          <w:tcPr>
            <w:tcW w:w="2329" w:type="dxa"/>
            <w:shd w:val="clear" w:color="auto" w:fill="auto"/>
          </w:tcPr>
          <w:p w14:paraId="09C62845" w14:textId="77777777" w:rsidR="00D17BB4" w:rsidRPr="006E19C7" w:rsidRDefault="00D17BB4" w:rsidP="00CD1F63">
            <w:r w:rsidRPr="006E19C7">
              <w:t>0.58-0.64</w:t>
            </w:r>
          </w:p>
        </w:tc>
        <w:tc>
          <w:tcPr>
            <w:tcW w:w="2114" w:type="dxa"/>
            <w:shd w:val="clear" w:color="auto" w:fill="auto"/>
          </w:tcPr>
          <w:p w14:paraId="12038B6D" w14:textId="77777777" w:rsidR="00D17BB4" w:rsidRPr="006E19C7" w:rsidRDefault="00D17BB4" w:rsidP="00CD1F63">
            <w:r w:rsidRPr="006E19C7">
              <w:t>&lt;0.001</w:t>
            </w:r>
          </w:p>
        </w:tc>
      </w:tr>
      <w:tr w:rsidR="00D17BB4" w:rsidRPr="006E19C7" w14:paraId="0EC0F93A" w14:textId="77777777" w:rsidTr="00CD1F63">
        <w:tc>
          <w:tcPr>
            <w:tcW w:w="2536" w:type="dxa"/>
            <w:shd w:val="clear" w:color="auto" w:fill="auto"/>
          </w:tcPr>
          <w:p w14:paraId="3E66EF66" w14:textId="77777777" w:rsidR="00D17BB4" w:rsidRPr="006E19C7" w:rsidRDefault="00D17BB4" w:rsidP="00CD1F63">
            <w:r w:rsidRPr="006E19C7">
              <w:t>Psychoses</w:t>
            </w:r>
          </w:p>
        </w:tc>
        <w:tc>
          <w:tcPr>
            <w:tcW w:w="2047" w:type="dxa"/>
            <w:shd w:val="clear" w:color="auto" w:fill="auto"/>
          </w:tcPr>
          <w:p w14:paraId="0DFAED0E" w14:textId="77777777" w:rsidR="00D17BB4" w:rsidRPr="006E19C7" w:rsidRDefault="00D17BB4" w:rsidP="00CD1F63">
            <w:r w:rsidRPr="006E19C7">
              <w:t>0.67</w:t>
            </w:r>
          </w:p>
        </w:tc>
        <w:tc>
          <w:tcPr>
            <w:tcW w:w="2329" w:type="dxa"/>
            <w:shd w:val="clear" w:color="auto" w:fill="auto"/>
          </w:tcPr>
          <w:p w14:paraId="6E64F31F" w14:textId="77777777" w:rsidR="00D17BB4" w:rsidRPr="006E19C7" w:rsidRDefault="00D17BB4" w:rsidP="00CD1F63">
            <w:r w:rsidRPr="006E19C7">
              <w:t>0.64-0.70</w:t>
            </w:r>
          </w:p>
        </w:tc>
        <w:tc>
          <w:tcPr>
            <w:tcW w:w="2114" w:type="dxa"/>
            <w:shd w:val="clear" w:color="auto" w:fill="auto"/>
          </w:tcPr>
          <w:p w14:paraId="31CFDF94" w14:textId="77777777" w:rsidR="00D17BB4" w:rsidRPr="006E19C7" w:rsidRDefault="00D17BB4" w:rsidP="00CD1F63">
            <w:r w:rsidRPr="006E19C7">
              <w:t>&lt;0.001</w:t>
            </w:r>
          </w:p>
        </w:tc>
      </w:tr>
      <w:tr w:rsidR="00D17BB4" w:rsidRPr="006E19C7" w14:paraId="3D89F848" w14:textId="77777777" w:rsidTr="00CD1F63">
        <w:tc>
          <w:tcPr>
            <w:tcW w:w="2536" w:type="dxa"/>
            <w:shd w:val="clear" w:color="auto" w:fill="auto"/>
          </w:tcPr>
          <w:p w14:paraId="1C25CBFD" w14:textId="77777777" w:rsidR="00D17BB4" w:rsidRPr="006E19C7" w:rsidRDefault="00D17BB4" w:rsidP="00CD1F63">
            <w:r w:rsidRPr="006E19C7">
              <w:t>Renal failure (chronic)</w:t>
            </w:r>
          </w:p>
        </w:tc>
        <w:tc>
          <w:tcPr>
            <w:tcW w:w="2047" w:type="dxa"/>
            <w:shd w:val="clear" w:color="auto" w:fill="auto"/>
          </w:tcPr>
          <w:p w14:paraId="710F58F0" w14:textId="77777777" w:rsidR="00D17BB4" w:rsidRPr="006E19C7" w:rsidRDefault="00D17BB4" w:rsidP="00CD1F63">
            <w:r w:rsidRPr="006E19C7">
              <w:t>0.66</w:t>
            </w:r>
          </w:p>
        </w:tc>
        <w:tc>
          <w:tcPr>
            <w:tcW w:w="2329" w:type="dxa"/>
            <w:shd w:val="clear" w:color="auto" w:fill="auto"/>
          </w:tcPr>
          <w:p w14:paraId="74D3D995" w14:textId="77777777" w:rsidR="00D17BB4" w:rsidRPr="006E19C7" w:rsidRDefault="00D17BB4" w:rsidP="00CD1F63">
            <w:r w:rsidRPr="006E19C7">
              <w:t>0.65-0.67</w:t>
            </w:r>
          </w:p>
        </w:tc>
        <w:tc>
          <w:tcPr>
            <w:tcW w:w="2114" w:type="dxa"/>
            <w:shd w:val="clear" w:color="auto" w:fill="auto"/>
          </w:tcPr>
          <w:p w14:paraId="7E4F26A1" w14:textId="77777777" w:rsidR="00D17BB4" w:rsidRPr="006E19C7" w:rsidRDefault="00D17BB4" w:rsidP="00CD1F63">
            <w:r w:rsidRPr="006E19C7">
              <w:t>&lt;0.001</w:t>
            </w:r>
          </w:p>
        </w:tc>
      </w:tr>
      <w:tr w:rsidR="00D17BB4" w:rsidRPr="006E19C7" w14:paraId="64F50A0A" w14:textId="77777777" w:rsidTr="00CD1F63">
        <w:tc>
          <w:tcPr>
            <w:tcW w:w="2536" w:type="dxa"/>
            <w:shd w:val="clear" w:color="auto" w:fill="auto"/>
          </w:tcPr>
          <w:p w14:paraId="7106BD7E" w14:textId="77777777" w:rsidR="00D17BB4" w:rsidRPr="006E19C7" w:rsidRDefault="00D17BB4" w:rsidP="00CD1F63">
            <w:r w:rsidRPr="006E19C7">
              <w:t>Weight loss</w:t>
            </w:r>
          </w:p>
        </w:tc>
        <w:tc>
          <w:tcPr>
            <w:tcW w:w="2047" w:type="dxa"/>
            <w:shd w:val="clear" w:color="auto" w:fill="auto"/>
          </w:tcPr>
          <w:p w14:paraId="2AA074B9" w14:textId="77777777" w:rsidR="00D17BB4" w:rsidRPr="006E19C7" w:rsidRDefault="00D17BB4" w:rsidP="00CD1F63">
            <w:r w:rsidRPr="006E19C7">
              <w:t>0.80</w:t>
            </w:r>
          </w:p>
        </w:tc>
        <w:tc>
          <w:tcPr>
            <w:tcW w:w="2329" w:type="dxa"/>
            <w:shd w:val="clear" w:color="auto" w:fill="auto"/>
          </w:tcPr>
          <w:p w14:paraId="68AAB10D" w14:textId="77777777" w:rsidR="00D17BB4" w:rsidRPr="006E19C7" w:rsidRDefault="00D17BB4" w:rsidP="00CD1F63">
            <w:r w:rsidRPr="006E19C7">
              <w:t>0.77-0.83</w:t>
            </w:r>
          </w:p>
        </w:tc>
        <w:tc>
          <w:tcPr>
            <w:tcW w:w="2114" w:type="dxa"/>
            <w:shd w:val="clear" w:color="auto" w:fill="auto"/>
          </w:tcPr>
          <w:p w14:paraId="77572360" w14:textId="77777777" w:rsidR="00D17BB4" w:rsidRPr="006E19C7" w:rsidRDefault="00D17BB4" w:rsidP="00CD1F63">
            <w:r w:rsidRPr="006E19C7">
              <w:t>&lt;0.001</w:t>
            </w:r>
          </w:p>
        </w:tc>
      </w:tr>
      <w:tr w:rsidR="00D17BB4" w:rsidRPr="006E19C7" w14:paraId="2228B2EA" w14:textId="77777777" w:rsidTr="00CD1F63">
        <w:tc>
          <w:tcPr>
            <w:tcW w:w="2536" w:type="dxa"/>
            <w:shd w:val="clear" w:color="auto" w:fill="auto"/>
          </w:tcPr>
          <w:p w14:paraId="278F1EB1" w14:textId="77777777" w:rsidR="00D17BB4" w:rsidRPr="006E19C7" w:rsidRDefault="00D17BB4" w:rsidP="00CD1F63">
            <w:r w:rsidRPr="006E19C7">
              <w:t>Solid tumour without Mets</w:t>
            </w:r>
          </w:p>
        </w:tc>
        <w:tc>
          <w:tcPr>
            <w:tcW w:w="2047" w:type="dxa"/>
            <w:shd w:val="clear" w:color="auto" w:fill="auto"/>
          </w:tcPr>
          <w:p w14:paraId="389925D9" w14:textId="77777777" w:rsidR="00D17BB4" w:rsidRPr="006E19C7" w:rsidRDefault="00D17BB4" w:rsidP="00CD1F63">
            <w:r w:rsidRPr="006E19C7">
              <w:t>0.67</w:t>
            </w:r>
          </w:p>
        </w:tc>
        <w:tc>
          <w:tcPr>
            <w:tcW w:w="2329" w:type="dxa"/>
            <w:shd w:val="clear" w:color="auto" w:fill="auto"/>
          </w:tcPr>
          <w:p w14:paraId="664DBC7D" w14:textId="77777777" w:rsidR="00D17BB4" w:rsidRPr="006E19C7" w:rsidRDefault="00D17BB4" w:rsidP="00CD1F63">
            <w:r w:rsidRPr="006E19C7">
              <w:t>0.64-0.70</w:t>
            </w:r>
          </w:p>
        </w:tc>
        <w:tc>
          <w:tcPr>
            <w:tcW w:w="2114" w:type="dxa"/>
            <w:shd w:val="clear" w:color="auto" w:fill="auto"/>
          </w:tcPr>
          <w:p w14:paraId="4F44EC43" w14:textId="77777777" w:rsidR="00D17BB4" w:rsidRPr="006E19C7" w:rsidRDefault="00D17BB4" w:rsidP="00CD1F63">
            <w:r w:rsidRPr="006E19C7">
              <w:t>&lt;0.001</w:t>
            </w:r>
          </w:p>
        </w:tc>
      </w:tr>
      <w:tr w:rsidR="00D17BB4" w:rsidRPr="006E19C7" w14:paraId="13BB5E34" w14:textId="77777777" w:rsidTr="00CD1F63">
        <w:tc>
          <w:tcPr>
            <w:tcW w:w="2536" w:type="dxa"/>
            <w:shd w:val="clear" w:color="auto" w:fill="auto"/>
          </w:tcPr>
          <w:p w14:paraId="0E64760E" w14:textId="77777777" w:rsidR="00D17BB4" w:rsidRPr="006E19C7" w:rsidRDefault="00D17BB4" w:rsidP="00CD1F63">
            <w:r w:rsidRPr="006E19C7">
              <w:t>Metastatic cancer</w:t>
            </w:r>
          </w:p>
        </w:tc>
        <w:tc>
          <w:tcPr>
            <w:tcW w:w="2047" w:type="dxa"/>
            <w:shd w:val="clear" w:color="auto" w:fill="auto"/>
          </w:tcPr>
          <w:p w14:paraId="3F11AFA8" w14:textId="77777777" w:rsidR="00D17BB4" w:rsidRPr="006E19C7" w:rsidRDefault="00D17BB4" w:rsidP="00CD1F63">
            <w:r w:rsidRPr="006E19C7">
              <w:t>0.33</w:t>
            </w:r>
          </w:p>
        </w:tc>
        <w:tc>
          <w:tcPr>
            <w:tcW w:w="2329" w:type="dxa"/>
            <w:shd w:val="clear" w:color="auto" w:fill="auto"/>
          </w:tcPr>
          <w:p w14:paraId="248C9F31" w14:textId="77777777" w:rsidR="00D17BB4" w:rsidRPr="006E19C7" w:rsidRDefault="00D17BB4" w:rsidP="00CD1F63">
            <w:r w:rsidRPr="006E19C7">
              <w:t>0.31-0..35</w:t>
            </w:r>
          </w:p>
        </w:tc>
        <w:tc>
          <w:tcPr>
            <w:tcW w:w="2114" w:type="dxa"/>
            <w:shd w:val="clear" w:color="auto" w:fill="auto"/>
          </w:tcPr>
          <w:p w14:paraId="41C3E880" w14:textId="77777777" w:rsidR="00D17BB4" w:rsidRPr="006E19C7" w:rsidRDefault="00D17BB4" w:rsidP="00CD1F63">
            <w:r w:rsidRPr="006E19C7">
              <w:t>&lt;0.001</w:t>
            </w:r>
          </w:p>
        </w:tc>
      </w:tr>
      <w:tr w:rsidR="00D17BB4" w:rsidRPr="006E19C7" w14:paraId="34D0731C" w14:textId="77777777" w:rsidTr="00CD1F63">
        <w:tc>
          <w:tcPr>
            <w:tcW w:w="2536" w:type="dxa"/>
            <w:shd w:val="clear" w:color="auto" w:fill="auto"/>
          </w:tcPr>
          <w:p w14:paraId="1619B35B" w14:textId="77777777" w:rsidR="00D17BB4" w:rsidRPr="006E19C7" w:rsidRDefault="00D17BB4" w:rsidP="00CD1F63">
            <w:r w:rsidRPr="006E19C7">
              <w:t>Dementia</w:t>
            </w:r>
          </w:p>
        </w:tc>
        <w:tc>
          <w:tcPr>
            <w:tcW w:w="2047" w:type="dxa"/>
            <w:shd w:val="clear" w:color="auto" w:fill="auto"/>
          </w:tcPr>
          <w:p w14:paraId="730261F4" w14:textId="77777777" w:rsidR="00D17BB4" w:rsidRPr="006E19C7" w:rsidRDefault="00D17BB4" w:rsidP="00CD1F63">
            <w:r w:rsidRPr="006E19C7">
              <w:t>0.32</w:t>
            </w:r>
          </w:p>
        </w:tc>
        <w:tc>
          <w:tcPr>
            <w:tcW w:w="2329" w:type="dxa"/>
            <w:shd w:val="clear" w:color="auto" w:fill="auto"/>
          </w:tcPr>
          <w:p w14:paraId="3D74BAD0" w14:textId="77777777" w:rsidR="00D17BB4" w:rsidRPr="006E19C7" w:rsidRDefault="00D17BB4" w:rsidP="00CD1F63">
            <w:r w:rsidRPr="006E19C7">
              <w:t>0.31-0.33</w:t>
            </w:r>
          </w:p>
        </w:tc>
        <w:tc>
          <w:tcPr>
            <w:tcW w:w="2114" w:type="dxa"/>
            <w:shd w:val="clear" w:color="auto" w:fill="auto"/>
          </w:tcPr>
          <w:p w14:paraId="422F8A11" w14:textId="77777777" w:rsidR="00D17BB4" w:rsidRPr="006E19C7" w:rsidRDefault="00D17BB4" w:rsidP="00CD1F63">
            <w:r w:rsidRPr="006E19C7">
              <w:t>&lt;0.001</w:t>
            </w:r>
          </w:p>
        </w:tc>
      </w:tr>
      <w:tr w:rsidR="00D17BB4" w:rsidRPr="006E19C7" w14:paraId="7591E5CF" w14:textId="77777777" w:rsidTr="00CD1F63">
        <w:tc>
          <w:tcPr>
            <w:tcW w:w="2536" w:type="dxa"/>
            <w:shd w:val="clear" w:color="auto" w:fill="auto"/>
          </w:tcPr>
          <w:p w14:paraId="3BDCD735" w14:textId="77777777" w:rsidR="00D17BB4" w:rsidRPr="006E19C7" w:rsidRDefault="00D17BB4" w:rsidP="00CD1F63">
            <w:r w:rsidRPr="006E19C7">
              <w:t>Dyslipidaemia</w:t>
            </w:r>
          </w:p>
        </w:tc>
        <w:tc>
          <w:tcPr>
            <w:tcW w:w="2047" w:type="dxa"/>
            <w:shd w:val="clear" w:color="auto" w:fill="auto"/>
          </w:tcPr>
          <w:p w14:paraId="2238E486" w14:textId="77777777" w:rsidR="00D17BB4" w:rsidRPr="006E19C7" w:rsidRDefault="00D17BB4" w:rsidP="00CD1F63">
            <w:r w:rsidRPr="006E19C7">
              <w:t>1.39</w:t>
            </w:r>
          </w:p>
        </w:tc>
        <w:tc>
          <w:tcPr>
            <w:tcW w:w="2329" w:type="dxa"/>
            <w:shd w:val="clear" w:color="auto" w:fill="auto"/>
          </w:tcPr>
          <w:p w14:paraId="7BA39B1A" w14:textId="77777777" w:rsidR="00D17BB4" w:rsidRPr="006E19C7" w:rsidRDefault="00D17BB4" w:rsidP="00CD1F63">
            <w:r w:rsidRPr="006E19C7">
              <w:t>1.37-1.40</w:t>
            </w:r>
          </w:p>
        </w:tc>
        <w:tc>
          <w:tcPr>
            <w:tcW w:w="2114" w:type="dxa"/>
            <w:shd w:val="clear" w:color="auto" w:fill="auto"/>
          </w:tcPr>
          <w:p w14:paraId="4E823E03" w14:textId="77777777" w:rsidR="00D17BB4" w:rsidRPr="006E19C7" w:rsidRDefault="00D17BB4" w:rsidP="00CD1F63">
            <w:r w:rsidRPr="006E19C7">
              <w:t>&lt;0.001</w:t>
            </w:r>
          </w:p>
        </w:tc>
      </w:tr>
      <w:tr w:rsidR="00D17BB4" w:rsidRPr="006E19C7" w14:paraId="518FEA0F" w14:textId="77777777" w:rsidTr="00CD1F63">
        <w:tc>
          <w:tcPr>
            <w:tcW w:w="2536" w:type="dxa"/>
            <w:shd w:val="clear" w:color="auto" w:fill="auto"/>
          </w:tcPr>
          <w:p w14:paraId="792A258A" w14:textId="77777777" w:rsidR="00D17BB4" w:rsidRPr="006E19C7" w:rsidRDefault="00D17BB4" w:rsidP="00CD1F63">
            <w:r w:rsidRPr="006E19C7">
              <w:t>Smoking</w:t>
            </w:r>
          </w:p>
        </w:tc>
        <w:tc>
          <w:tcPr>
            <w:tcW w:w="2047" w:type="dxa"/>
            <w:shd w:val="clear" w:color="auto" w:fill="auto"/>
          </w:tcPr>
          <w:p w14:paraId="60EF1C56" w14:textId="77777777" w:rsidR="00D17BB4" w:rsidRPr="006E19C7" w:rsidRDefault="00D17BB4" w:rsidP="00CD1F63">
            <w:r w:rsidRPr="006E19C7">
              <w:t>1.17</w:t>
            </w:r>
          </w:p>
        </w:tc>
        <w:tc>
          <w:tcPr>
            <w:tcW w:w="2329" w:type="dxa"/>
            <w:shd w:val="clear" w:color="auto" w:fill="auto"/>
          </w:tcPr>
          <w:p w14:paraId="501EFD29" w14:textId="77777777" w:rsidR="00D17BB4" w:rsidRPr="006E19C7" w:rsidRDefault="00D17BB4" w:rsidP="00CD1F63">
            <w:r w:rsidRPr="006E19C7">
              <w:t>1.16-1.19</w:t>
            </w:r>
          </w:p>
        </w:tc>
        <w:tc>
          <w:tcPr>
            <w:tcW w:w="2114" w:type="dxa"/>
            <w:shd w:val="clear" w:color="auto" w:fill="auto"/>
          </w:tcPr>
          <w:p w14:paraId="4FE2F9A4" w14:textId="77777777" w:rsidR="00D17BB4" w:rsidRPr="006E19C7" w:rsidRDefault="00D17BB4" w:rsidP="00CD1F63">
            <w:r w:rsidRPr="006E19C7">
              <w:t>&lt;0.001</w:t>
            </w:r>
          </w:p>
        </w:tc>
      </w:tr>
      <w:tr w:rsidR="00D17BB4" w:rsidRPr="006E19C7" w14:paraId="724FCE84" w14:textId="77777777" w:rsidTr="00CD1F63">
        <w:tc>
          <w:tcPr>
            <w:tcW w:w="2536" w:type="dxa"/>
            <w:shd w:val="clear" w:color="auto" w:fill="auto"/>
          </w:tcPr>
          <w:p w14:paraId="1913275B" w14:textId="77777777" w:rsidR="00D17BB4" w:rsidRPr="006E19C7" w:rsidRDefault="00D17BB4" w:rsidP="00CD1F63">
            <w:r w:rsidRPr="006E19C7">
              <w:t>Previous AMI</w:t>
            </w:r>
          </w:p>
        </w:tc>
        <w:tc>
          <w:tcPr>
            <w:tcW w:w="2047" w:type="dxa"/>
            <w:shd w:val="clear" w:color="auto" w:fill="auto"/>
          </w:tcPr>
          <w:p w14:paraId="0ED982BD" w14:textId="77777777" w:rsidR="00D17BB4" w:rsidRPr="006E19C7" w:rsidRDefault="00D17BB4" w:rsidP="00CD1F63">
            <w:r w:rsidRPr="006E19C7">
              <w:t>0.65</w:t>
            </w:r>
          </w:p>
        </w:tc>
        <w:tc>
          <w:tcPr>
            <w:tcW w:w="2329" w:type="dxa"/>
            <w:shd w:val="clear" w:color="auto" w:fill="auto"/>
          </w:tcPr>
          <w:p w14:paraId="4979345F" w14:textId="77777777" w:rsidR="00D17BB4" w:rsidRPr="006E19C7" w:rsidRDefault="00D17BB4" w:rsidP="00CD1F63">
            <w:r w:rsidRPr="006E19C7">
              <w:t>0.64-0.67</w:t>
            </w:r>
          </w:p>
        </w:tc>
        <w:tc>
          <w:tcPr>
            <w:tcW w:w="2114" w:type="dxa"/>
            <w:shd w:val="clear" w:color="auto" w:fill="auto"/>
          </w:tcPr>
          <w:p w14:paraId="49DB04B1" w14:textId="77777777" w:rsidR="00D17BB4" w:rsidRPr="006E19C7" w:rsidRDefault="00D17BB4" w:rsidP="00CD1F63">
            <w:r w:rsidRPr="006E19C7">
              <w:t>&lt;0.001</w:t>
            </w:r>
          </w:p>
        </w:tc>
      </w:tr>
      <w:tr w:rsidR="00D17BB4" w:rsidRPr="006E19C7" w14:paraId="6122EA72" w14:textId="77777777" w:rsidTr="00CD1F63">
        <w:tc>
          <w:tcPr>
            <w:tcW w:w="2536" w:type="dxa"/>
            <w:shd w:val="clear" w:color="auto" w:fill="auto"/>
          </w:tcPr>
          <w:p w14:paraId="7AB2A472" w14:textId="77777777" w:rsidR="00D17BB4" w:rsidRPr="006E19C7" w:rsidRDefault="00D17BB4" w:rsidP="00CD1F63">
            <w:r w:rsidRPr="006E19C7">
              <w:t>History of IHD</w:t>
            </w:r>
          </w:p>
        </w:tc>
        <w:tc>
          <w:tcPr>
            <w:tcW w:w="2047" w:type="dxa"/>
            <w:shd w:val="clear" w:color="auto" w:fill="auto"/>
          </w:tcPr>
          <w:p w14:paraId="325BAB6A" w14:textId="77777777" w:rsidR="00D17BB4" w:rsidRPr="006E19C7" w:rsidRDefault="00D17BB4" w:rsidP="00CD1F63">
            <w:r w:rsidRPr="006E19C7">
              <w:t>6.21</w:t>
            </w:r>
          </w:p>
        </w:tc>
        <w:tc>
          <w:tcPr>
            <w:tcW w:w="2329" w:type="dxa"/>
            <w:shd w:val="clear" w:color="auto" w:fill="auto"/>
          </w:tcPr>
          <w:p w14:paraId="01CBE10C" w14:textId="77777777" w:rsidR="00D17BB4" w:rsidRPr="006E19C7" w:rsidRDefault="00D17BB4" w:rsidP="00CD1F63">
            <w:r w:rsidRPr="006E19C7">
              <w:t>6.13-6.29</w:t>
            </w:r>
          </w:p>
        </w:tc>
        <w:tc>
          <w:tcPr>
            <w:tcW w:w="2114" w:type="dxa"/>
            <w:shd w:val="clear" w:color="auto" w:fill="auto"/>
          </w:tcPr>
          <w:p w14:paraId="05852D2E" w14:textId="77777777" w:rsidR="00D17BB4" w:rsidRPr="006E19C7" w:rsidRDefault="00D17BB4" w:rsidP="00CD1F63">
            <w:r w:rsidRPr="006E19C7">
              <w:t>&lt;0.001</w:t>
            </w:r>
          </w:p>
        </w:tc>
      </w:tr>
      <w:tr w:rsidR="00D17BB4" w:rsidRPr="006E19C7" w14:paraId="3F528626" w14:textId="77777777" w:rsidTr="00CD1F63">
        <w:tc>
          <w:tcPr>
            <w:tcW w:w="2536" w:type="dxa"/>
            <w:shd w:val="clear" w:color="auto" w:fill="auto"/>
          </w:tcPr>
          <w:p w14:paraId="1388F2BF" w14:textId="77777777" w:rsidR="00D17BB4" w:rsidRPr="006E19C7" w:rsidRDefault="00D17BB4" w:rsidP="00CD1F63">
            <w:r w:rsidRPr="006E19C7">
              <w:t>Previous PCI</w:t>
            </w:r>
          </w:p>
        </w:tc>
        <w:tc>
          <w:tcPr>
            <w:tcW w:w="2047" w:type="dxa"/>
            <w:shd w:val="clear" w:color="auto" w:fill="auto"/>
          </w:tcPr>
          <w:p w14:paraId="07D53DB1" w14:textId="77777777" w:rsidR="00D17BB4" w:rsidRPr="006E19C7" w:rsidRDefault="00D17BB4" w:rsidP="00CD1F63">
            <w:r w:rsidRPr="006E19C7">
              <w:t>0.84</w:t>
            </w:r>
          </w:p>
        </w:tc>
        <w:tc>
          <w:tcPr>
            <w:tcW w:w="2329" w:type="dxa"/>
            <w:shd w:val="clear" w:color="auto" w:fill="auto"/>
          </w:tcPr>
          <w:p w14:paraId="1AAC5A89" w14:textId="77777777" w:rsidR="00D17BB4" w:rsidRPr="006E19C7" w:rsidRDefault="00D17BB4" w:rsidP="00CD1F63">
            <w:r w:rsidRPr="006E19C7">
              <w:t>0.83-0.86</w:t>
            </w:r>
          </w:p>
        </w:tc>
        <w:tc>
          <w:tcPr>
            <w:tcW w:w="2114" w:type="dxa"/>
            <w:shd w:val="clear" w:color="auto" w:fill="auto"/>
          </w:tcPr>
          <w:p w14:paraId="611A0C30" w14:textId="77777777" w:rsidR="00D17BB4" w:rsidRPr="006E19C7" w:rsidRDefault="00D17BB4" w:rsidP="00CD1F63">
            <w:r w:rsidRPr="006E19C7">
              <w:t>&lt;0.001</w:t>
            </w:r>
          </w:p>
        </w:tc>
      </w:tr>
      <w:tr w:rsidR="00D17BB4" w:rsidRPr="006E19C7" w14:paraId="3E536330" w14:textId="77777777" w:rsidTr="00CD1F63">
        <w:tc>
          <w:tcPr>
            <w:tcW w:w="2536" w:type="dxa"/>
            <w:shd w:val="clear" w:color="auto" w:fill="auto"/>
          </w:tcPr>
          <w:p w14:paraId="5BF12B2E" w14:textId="77777777" w:rsidR="00D17BB4" w:rsidRPr="006E19C7" w:rsidRDefault="00D17BB4" w:rsidP="00CD1F63">
            <w:r w:rsidRPr="006E19C7">
              <w:t>Previous CABG</w:t>
            </w:r>
          </w:p>
        </w:tc>
        <w:tc>
          <w:tcPr>
            <w:tcW w:w="2047" w:type="dxa"/>
            <w:shd w:val="clear" w:color="auto" w:fill="auto"/>
          </w:tcPr>
          <w:p w14:paraId="4E127993" w14:textId="77777777" w:rsidR="00D17BB4" w:rsidRPr="006E19C7" w:rsidRDefault="00D17BB4" w:rsidP="00CD1F63">
            <w:r w:rsidRPr="006E19C7">
              <w:t>0.35</w:t>
            </w:r>
          </w:p>
        </w:tc>
        <w:tc>
          <w:tcPr>
            <w:tcW w:w="2329" w:type="dxa"/>
            <w:shd w:val="clear" w:color="auto" w:fill="auto"/>
          </w:tcPr>
          <w:p w14:paraId="35CECB87" w14:textId="77777777" w:rsidR="00D17BB4" w:rsidRPr="006E19C7" w:rsidRDefault="00D17BB4" w:rsidP="00CD1F63">
            <w:r w:rsidRPr="006E19C7">
              <w:t>0.35-0.36</w:t>
            </w:r>
          </w:p>
        </w:tc>
        <w:tc>
          <w:tcPr>
            <w:tcW w:w="2114" w:type="dxa"/>
            <w:shd w:val="clear" w:color="auto" w:fill="auto"/>
          </w:tcPr>
          <w:p w14:paraId="5962CCB0" w14:textId="77777777" w:rsidR="00D17BB4" w:rsidRPr="006E19C7" w:rsidRDefault="00D17BB4" w:rsidP="00CD1F63">
            <w:r w:rsidRPr="006E19C7">
              <w:t>&lt;0.001</w:t>
            </w:r>
          </w:p>
        </w:tc>
      </w:tr>
      <w:tr w:rsidR="00D17BB4" w:rsidRPr="006E19C7" w14:paraId="37434AA4" w14:textId="77777777" w:rsidTr="00CD1F63">
        <w:tc>
          <w:tcPr>
            <w:tcW w:w="2536" w:type="dxa"/>
            <w:shd w:val="clear" w:color="auto" w:fill="auto"/>
          </w:tcPr>
          <w:p w14:paraId="20110DD1" w14:textId="77777777" w:rsidR="00D17BB4" w:rsidRPr="006E19C7" w:rsidRDefault="00D17BB4" w:rsidP="00CD1F63">
            <w:r w:rsidRPr="006E19C7">
              <w:t>Previous CVA</w:t>
            </w:r>
          </w:p>
        </w:tc>
        <w:tc>
          <w:tcPr>
            <w:tcW w:w="2047" w:type="dxa"/>
            <w:shd w:val="clear" w:color="auto" w:fill="auto"/>
          </w:tcPr>
          <w:p w14:paraId="494BDB8C" w14:textId="77777777" w:rsidR="00D17BB4" w:rsidRPr="006E19C7" w:rsidRDefault="00D17BB4" w:rsidP="00CD1F63">
            <w:r w:rsidRPr="006E19C7">
              <w:t>0.82</w:t>
            </w:r>
          </w:p>
        </w:tc>
        <w:tc>
          <w:tcPr>
            <w:tcW w:w="2329" w:type="dxa"/>
            <w:shd w:val="clear" w:color="auto" w:fill="auto"/>
          </w:tcPr>
          <w:p w14:paraId="7E3274C7" w14:textId="77777777" w:rsidR="00D17BB4" w:rsidRPr="006E19C7" w:rsidRDefault="00D17BB4" w:rsidP="00CD1F63">
            <w:r w:rsidRPr="006E19C7">
              <w:t>0.79-0.84</w:t>
            </w:r>
          </w:p>
        </w:tc>
        <w:tc>
          <w:tcPr>
            <w:tcW w:w="2114" w:type="dxa"/>
            <w:shd w:val="clear" w:color="auto" w:fill="auto"/>
          </w:tcPr>
          <w:p w14:paraId="70B6FE36" w14:textId="77777777" w:rsidR="00D17BB4" w:rsidRPr="006E19C7" w:rsidRDefault="00D17BB4" w:rsidP="00CD1F63">
            <w:r w:rsidRPr="006E19C7">
              <w:t>&lt;0.001</w:t>
            </w:r>
          </w:p>
        </w:tc>
      </w:tr>
      <w:tr w:rsidR="00D17BB4" w:rsidRPr="006E19C7" w14:paraId="36B9F7BD" w14:textId="77777777" w:rsidTr="00CD1F63">
        <w:tc>
          <w:tcPr>
            <w:tcW w:w="2536" w:type="dxa"/>
            <w:shd w:val="clear" w:color="auto" w:fill="auto"/>
          </w:tcPr>
          <w:p w14:paraId="2B933425" w14:textId="77777777" w:rsidR="00D17BB4" w:rsidRPr="006E19C7" w:rsidRDefault="00D17BB4" w:rsidP="00CD1F63">
            <w:r w:rsidRPr="006E19C7">
              <w:t>Family history of CAD</w:t>
            </w:r>
          </w:p>
        </w:tc>
        <w:tc>
          <w:tcPr>
            <w:tcW w:w="2047" w:type="dxa"/>
            <w:shd w:val="clear" w:color="auto" w:fill="auto"/>
          </w:tcPr>
          <w:p w14:paraId="49443C9E" w14:textId="77777777" w:rsidR="00D17BB4" w:rsidRPr="006E19C7" w:rsidRDefault="00D17BB4" w:rsidP="00CD1F63">
            <w:r w:rsidRPr="006E19C7">
              <w:t>1.30</w:t>
            </w:r>
          </w:p>
        </w:tc>
        <w:tc>
          <w:tcPr>
            <w:tcW w:w="2329" w:type="dxa"/>
            <w:shd w:val="clear" w:color="auto" w:fill="auto"/>
          </w:tcPr>
          <w:p w14:paraId="59D656AF" w14:textId="77777777" w:rsidR="00D17BB4" w:rsidRPr="006E19C7" w:rsidRDefault="00D17BB4" w:rsidP="00CD1F63">
            <w:r w:rsidRPr="006E19C7">
              <w:t>1.27-1.34</w:t>
            </w:r>
          </w:p>
        </w:tc>
        <w:tc>
          <w:tcPr>
            <w:tcW w:w="2114" w:type="dxa"/>
            <w:shd w:val="clear" w:color="auto" w:fill="auto"/>
          </w:tcPr>
          <w:p w14:paraId="0EC856E3" w14:textId="77777777" w:rsidR="00D17BB4" w:rsidRPr="006E19C7" w:rsidRDefault="00D17BB4" w:rsidP="00CD1F63">
            <w:r w:rsidRPr="006E19C7">
              <w:t>&lt;0.001</w:t>
            </w:r>
          </w:p>
        </w:tc>
      </w:tr>
      <w:tr w:rsidR="00D17BB4" w:rsidRPr="006E19C7" w14:paraId="3C85E6E0" w14:textId="77777777" w:rsidTr="00CD1F63">
        <w:tc>
          <w:tcPr>
            <w:tcW w:w="2536" w:type="dxa"/>
            <w:shd w:val="clear" w:color="auto" w:fill="auto"/>
          </w:tcPr>
          <w:p w14:paraId="1761ED1F" w14:textId="77777777" w:rsidR="00D17BB4" w:rsidRPr="006E19C7" w:rsidRDefault="00D17BB4" w:rsidP="00CD1F63">
            <w:r w:rsidRPr="006E19C7">
              <w:t>Peripheral vascular disease</w:t>
            </w:r>
          </w:p>
        </w:tc>
        <w:tc>
          <w:tcPr>
            <w:tcW w:w="2047" w:type="dxa"/>
            <w:shd w:val="clear" w:color="auto" w:fill="auto"/>
          </w:tcPr>
          <w:p w14:paraId="22D28179" w14:textId="77777777" w:rsidR="00D17BB4" w:rsidRPr="006E19C7" w:rsidRDefault="00D17BB4" w:rsidP="00CD1F63">
            <w:r w:rsidRPr="006E19C7">
              <w:t>1.12</w:t>
            </w:r>
          </w:p>
        </w:tc>
        <w:tc>
          <w:tcPr>
            <w:tcW w:w="2329" w:type="dxa"/>
            <w:shd w:val="clear" w:color="auto" w:fill="auto"/>
          </w:tcPr>
          <w:p w14:paraId="00BDD62E" w14:textId="77777777" w:rsidR="00D17BB4" w:rsidRPr="006E19C7" w:rsidRDefault="00D17BB4" w:rsidP="00CD1F63">
            <w:r w:rsidRPr="006E19C7">
              <w:t>1.10-1.14</w:t>
            </w:r>
          </w:p>
        </w:tc>
        <w:tc>
          <w:tcPr>
            <w:tcW w:w="2114" w:type="dxa"/>
            <w:shd w:val="clear" w:color="auto" w:fill="auto"/>
          </w:tcPr>
          <w:p w14:paraId="0DCE4050" w14:textId="77777777" w:rsidR="00D17BB4" w:rsidRPr="006E19C7" w:rsidRDefault="00D17BB4" w:rsidP="00CD1F63">
            <w:r w:rsidRPr="006E19C7">
              <w:t>&lt;0.001</w:t>
            </w:r>
          </w:p>
        </w:tc>
      </w:tr>
      <w:tr w:rsidR="00D17BB4" w:rsidRPr="006E19C7" w14:paraId="095C9114" w14:textId="77777777" w:rsidTr="00CD1F63">
        <w:tc>
          <w:tcPr>
            <w:tcW w:w="2536" w:type="dxa"/>
            <w:shd w:val="clear" w:color="auto" w:fill="auto"/>
          </w:tcPr>
          <w:p w14:paraId="77F6EBFC" w14:textId="77777777" w:rsidR="00D17BB4" w:rsidRPr="006E19C7" w:rsidRDefault="00D17BB4" w:rsidP="00CD1F63">
            <w:r w:rsidRPr="006E19C7">
              <w:t>Shock</w:t>
            </w:r>
          </w:p>
        </w:tc>
        <w:tc>
          <w:tcPr>
            <w:tcW w:w="2047" w:type="dxa"/>
            <w:shd w:val="clear" w:color="auto" w:fill="auto"/>
          </w:tcPr>
          <w:p w14:paraId="56C82B84" w14:textId="77777777" w:rsidR="00D17BB4" w:rsidRPr="006E19C7" w:rsidRDefault="00D17BB4" w:rsidP="00CD1F63">
            <w:r w:rsidRPr="006E19C7">
              <w:t>2.16</w:t>
            </w:r>
          </w:p>
        </w:tc>
        <w:tc>
          <w:tcPr>
            <w:tcW w:w="2329" w:type="dxa"/>
            <w:shd w:val="clear" w:color="auto" w:fill="auto"/>
          </w:tcPr>
          <w:p w14:paraId="583A424A" w14:textId="77777777" w:rsidR="00D17BB4" w:rsidRPr="006E19C7" w:rsidRDefault="00D17BB4" w:rsidP="00CD1F63">
            <w:r w:rsidRPr="006E19C7">
              <w:t>2.06-2.26</w:t>
            </w:r>
          </w:p>
        </w:tc>
        <w:tc>
          <w:tcPr>
            <w:tcW w:w="2114" w:type="dxa"/>
            <w:shd w:val="clear" w:color="auto" w:fill="auto"/>
          </w:tcPr>
          <w:p w14:paraId="4E0DFAD5" w14:textId="77777777" w:rsidR="00D17BB4" w:rsidRPr="006E19C7" w:rsidRDefault="00D17BB4" w:rsidP="00CD1F63">
            <w:r w:rsidRPr="006E19C7">
              <w:t>&lt;0.001</w:t>
            </w:r>
          </w:p>
        </w:tc>
      </w:tr>
      <w:tr w:rsidR="00D17BB4" w:rsidRPr="006E19C7" w14:paraId="566FA585" w14:textId="77777777" w:rsidTr="00CD1F63">
        <w:tc>
          <w:tcPr>
            <w:tcW w:w="2536" w:type="dxa"/>
            <w:shd w:val="clear" w:color="auto" w:fill="auto"/>
          </w:tcPr>
          <w:p w14:paraId="3F365B9F" w14:textId="77777777" w:rsidR="00D17BB4" w:rsidRPr="006E19C7" w:rsidRDefault="00D17BB4" w:rsidP="00CD1F63">
            <w:r w:rsidRPr="006E19C7">
              <w:lastRenderedPageBreak/>
              <w:t>Hospital bed size(Ref small)</w:t>
            </w:r>
          </w:p>
        </w:tc>
        <w:tc>
          <w:tcPr>
            <w:tcW w:w="2047" w:type="dxa"/>
            <w:shd w:val="clear" w:color="auto" w:fill="auto"/>
          </w:tcPr>
          <w:p w14:paraId="2365B4CF" w14:textId="77777777" w:rsidR="00D17BB4" w:rsidRPr="006E19C7" w:rsidRDefault="00D17BB4" w:rsidP="00CD1F63"/>
        </w:tc>
        <w:tc>
          <w:tcPr>
            <w:tcW w:w="2329" w:type="dxa"/>
            <w:shd w:val="clear" w:color="auto" w:fill="auto"/>
          </w:tcPr>
          <w:p w14:paraId="0FD63F12" w14:textId="77777777" w:rsidR="00D17BB4" w:rsidRPr="006E19C7" w:rsidRDefault="00D17BB4" w:rsidP="00CD1F63"/>
        </w:tc>
        <w:tc>
          <w:tcPr>
            <w:tcW w:w="2114" w:type="dxa"/>
            <w:shd w:val="clear" w:color="auto" w:fill="auto"/>
          </w:tcPr>
          <w:p w14:paraId="293E4F29" w14:textId="77777777" w:rsidR="00D17BB4" w:rsidRPr="006E19C7" w:rsidRDefault="00D17BB4" w:rsidP="00CD1F63"/>
        </w:tc>
      </w:tr>
      <w:tr w:rsidR="00D17BB4" w:rsidRPr="006E19C7" w14:paraId="59F4F64D" w14:textId="77777777" w:rsidTr="00CD1F63">
        <w:tc>
          <w:tcPr>
            <w:tcW w:w="2536" w:type="dxa"/>
            <w:shd w:val="clear" w:color="auto" w:fill="auto"/>
          </w:tcPr>
          <w:p w14:paraId="142DC00D" w14:textId="77777777" w:rsidR="00D17BB4" w:rsidRPr="006E19C7" w:rsidRDefault="00D17BB4" w:rsidP="00CD1F63">
            <w:r w:rsidRPr="006E19C7">
              <w:t>Medium</w:t>
            </w:r>
          </w:p>
        </w:tc>
        <w:tc>
          <w:tcPr>
            <w:tcW w:w="2047" w:type="dxa"/>
            <w:shd w:val="clear" w:color="auto" w:fill="auto"/>
          </w:tcPr>
          <w:p w14:paraId="3A2D794E" w14:textId="77777777" w:rsidR="00D17BB4" w:rsidRPr="006E19C7" w:rsidRDefault="00D17BB4" w:rsidP="00CD1F63">
            <w:r w:rsidRPr="006E19C7">
              <w:t>1.56</w:t>
            </w:r>
          </w:p>
        </w:tc>
        <w:tc>
          <w:tcPr>
            <w:tcW w:w="2329" w:type="dxa"/>
            <w:shd w:val="clear" w:color="auto" w:fill="auto"/>
          </w:tcPr>
          <w:p w14:paraId="7D938338" w14:textId="77777777" w:rsidR="00D17BB4" w:rsidRPr="006E19C7" w:rsidRDefault="00D17BB4" w:rsidP="00CD1F63">
            <w:r w:rsidRPr="006E19C7">
              <w:t>1.52-1.59</w:t>
            </w:r>
          </w:p>
        </w:tc>
        <w:tc>
          <w:tcPr>
            <w:tcW w:w="2114" w:type="dxa"/>
            <w:shd w:val="clear" w:color="auto" w:fill="auto"/>
          </w:tcPr>
          <w:p w14:paraId="1F1DEC0A" w14:textId="77777777" w:rsidR="00D17BB4" w:rsidRPr="006E19C7" w:rsidRDefault="00D17BB4" w:rsidP="00CD1F63">
            <w:r w:rsidRPr="006E19C7">
              <w:t>&lt;0.001</w:t>
            </w:r>
          </w:p>
        </w:tc>
      </w:tr>
      <w:tr w:rsidR="00D17BB4" w:rsidRPr="006E19C7" w14:paraId="4C16F8F2" w14:textId="77777777" w:rsidTr="00CD1F63">
        <w:tc>
          <w:tcPr>
            <w:tcW w:w="2536" w:type="dxa"/>
            <w:shd w:val="clear" w:color="auto" w:fill="auto"/>
          </w:tcPr>
          <w:p w14:paraId="2599CA6E" w14:textId="77777777" w:rsidR="00D17BB4" w:rsidRPr="006E19C7" w:rsidRDefault="00D17BB4" w:rsidP="00CD1F63">
            <w:r w:rsidRPr="006E19C7">
              <w:t>Large</w:t>
            </w:r>
          </w:p>
        </w:tc>
        <w:tc>
          <w:tcPr>
            <w:tcW w:w="2047" w:type="dxa"/>
            <w:shd w:val="clear" w:color="auto" w:fill="auto"/>
          </w:tcPr>
          <w:p w14:paraId="17F7AB5D" w14:textId="77777777" w:rsidR="00D17BB4" w:rsidRPr="006E19C7" w:rsidRDefault="00D17BB4" w:rsidP="00CD1F63">
            <w:r w:rsidRPr="006E19C7">
              <w:t>3.05</w:t>
            </w:r>
          </w:p>
        </w:tc>
        <w:tc>
          <w:tcPr>
            <w:tcW w:w="2329" w:type="dxa"/>
            <w:shd w:val="clear" w:color="auto" w:fill="auto"/>
          </w:tcPr>
          <w:p w14:paraId="1375DA9E" w14:textId="77777777" w:rsidR="00D17BB4" w:rsidRPr="006E19C7" w:rsidRDefault="00D17BB4" w:rsidP="00CD1F63">
            <w:r w:rsidRPr="006E19C7">
              <w:t>2.99-3.11</w:t>
            </w:r>
          </w:p>
        </w:tc>
        <w:tc>
          <w:tcPr>
            <w:tcW w:w="2114" w:type="dxa"/>
            <w:shd w:val="clear" w:color="auto" w:fill="auto"/>
          </w:tcPr>
          <w:p w14:paraId="2B508BFB" w14:textId="77777777" w:rsidR="00D17BB4" w:rsidRPr="006E19C7" w:rsidRDefault="00D17BB4" w:rsidP="00CD1F63">
            <w:r w:rsidRPr="006E19C7">
              <w:t>&lt;0.001</w:t>
            </w:r>
          </w:p>
        </w:tc>
      </w:tr>
      <w:tr w:rsidR="00D17BB4" w:rsidRPr="006E19C7" w14:paraId="70F25D5F" w14:textId="77777777" w:rsidTr="00CD1F63">
        <w:tc>
          <w:tcPr>
            <w:tcW w:w="2536" w:type="dxa"/>
            <w:shd w:val="clear" w:color="auto" w:fill="auto"/>
          </w:tcPr>
          <w:p w14:paraId="285930CF" w14:textId="77777777" w:rsidR="00D17BB4" w:rsidRPr="006E19C7" w:rsidRDefault="00D17BB4" w:rsidP="00CD1F63">
            <w:r w:rsidRPr="006E19C7">
              <w:t>Location/ Teaching status (Ref Rural)</w:t>
            </w:r>
          </w:p>
        </w:tc>
        <w:tc>
          <w:tcPr>
            <w:tcW w:w="2047" w:type="dxa"/>
            <w:shd w:val="clear" w:color="auto" w:fill="auto"/>
          </w:tcPr>
          <w:p w14:paraId="00B24753" w14:textId="77777777" w:rsidR="00D17BB4" w:rsidRPr="006E19C7" w:rsidRDefault="00D17BB4" w:rsidP="00CD1F63"/>
        </w:tc>
        <w:tc>
          <w:tcPr>
            <w:tcW w:w="2329" w:type="dxa"/>
            <w:shd w:val="clear" w:color="auto" w:fill="auto"/>
          </w:tcPr>
          <w:p w14:paraId="5266F1A0" w14:textId="77777777" w:rsidR="00D17BB4" w:rsidRPr="006E19C7" w:rsidRDefault="00D17BB4" w:rsidP="00CD1F63"/>
        </w:tc>
        <w:tc>
          <w:tcPr>
            <w:tcW w:w="2114" w:type="dxa"/>
            <w:shd w:val="clear" w:color="auto" w:fill="auto"/>
          </w:tcPr>
          <w:p w14:paraId="525062FD" w14:textId="77777777" w:rsidR="00D17BB4" w:rsidRPr="006E19C7" w:rsidRDefault="00D17BB4" w:rsidP="00CD1F63"/>
        </w:tc>
      </w:tr>
      <w:tr w:rsidR="00D17BB4" w:rsidRPr="006E19C7" w14:paraId="7C62C16C" w14:textId="77777777" w:rsidTr="00CD1F63">
        <w:tc>
          <w:tcPr>
            <w:tcW w:w="2536" w:type="dxa"/>
            <w:shd w:val="clear" w:color="auto" w:fill="auto"/>
          </w:tcPr>
          <w:p w14:paraId="1CF50112" w14:textId="77777777" w:rsidR="00D17BB4" w:rsidRPr="006E19C7" w:rsidRDefault="00D17BB4" w:rsidP="00CD1F63">
            <w:r w:rsidRPr="006E19C7">
              <w:t>Urban-non teaching</w:t>
            </w:r>
          </w:p>
        </w:tc>
        <w:tc>
          <w:tcPr>
            <w:tcW w:w="2047" w:type="dxa"/>
            <w:shd w:val="clear" w:color="auto" w:fill="auto"/>
          </w:tcPr>
          <w:p w14:paraId="7E36D73E" w14:textId="77777777" w:rsidR="00D17BB4" w:rsidRPr="006E19C7" w:rsidRDefault="00D17BB4" w:rsidP="00CD1F63">
            <w:r w:rsidRPr="006E19C7">
              <w:t>2.58</w:t>
            </w:r>
          </w:p>
        </w:tc>
        <w:tc>
          <w:tcPr>
            <w:tcW w:w="2329" w:type="dxa"/>
            <w:shd w:val="clear" w:color="auto" w:fill="auto"/>
          </w:tcPr>
          <w:p w14:paraId="18EC5F36" w14:textId="77777777" w:rsidR="00D17BB4" w:rsidRPr="006E19C7" w:rsidRDefault="00D17BB4" w:rsidP="00CD1F63">
            <w:r w:rsidRPr="006E19C7">
              <w:t>2.53-2.63</w:t>
            </w:r>
          </w:p>
        </w:tc>
        <w:tc>
          <w:tcPr>
            <w:tcW w:w="2114" w:type="dxa"/>
            <w:shd w:val="clear" w:color="auto" w:fill="auto"/>
          </w:tcPr>
          <w:p w14:paraId="3F0D4D7E" w14:textId="77777777" w:rsidR="00D17BB4" w:rsidRPr="006E19C7" w:rsidRDefault="00D17BB4" w:rsidP="00CD1F63">
            <w:r w:rsidRPr="006E19C7">
              <w:t>&lt;0.001</w:t>
            </w:r>
          </w:p>
        </w:tc>
      </w:tr>
      <w:tr w:rsidR="00D17BB4" w:rsidRPr="006E19C7" w14:paraId="69C50D8F" w14:textId="77777777" w:rsidTr="00CD1F63">
        <w:tc>
          <w:tcPr>
            <w:tcW w:w="2536" w:type="dxa"/>
            <w:shd w:val="clear" w:color="auto" w:fill="auto"/>
          </w:tcPr>
          <w:p w14:paraId="73A34697" w14:textId="77777777" w:rsidR="00D17BB4" w:rsidRPr="006E19C7" w:rsidRDefault="00D17BB4" w:rsidP="00CD1F63">
            <w:r w:rsidRPr="006E19C7">
              <w:t>Urban- teaching</w:t>
            </w:r>
          </w:p>
        </w:tc>
        <w:tc>
          <w:tcPr>
            <w:tcW w:w="2047" w:type="dxa"/>
            <w:shd w:val="clear" w:color="auto" w:fill="auto"/>
          </w:tcPr>
          <w:p w14:paraId="59D80085" w14:textId="77777777" w:rsidR="00D17BB4" w:rsidRPr="006E19C7" w:rsidRDefault="00D17BB4" w:rsidP="00CD1F63">
            <w:r w:rsidRPr="006E19C7">
              <w:t>5.51</w:t>
            </w:r>
          </w:p>
        </w:tc>
        <w:tc>
          <w:tcPr>
            <w:tcW w:w="2329" w:type="dxa"/>
            <w:shd w:val="clear" w:color="auto" w:fill="auto"/>
          </w:tcPr>
          <w:p w14:paraId="4E98DD49" w14:textId="77777777" w:rsidR="00D17BB4" w:rsidRPr="006E19C7" w:rsidRDefault="00D17BB4" w:rsidP="00CD1F63">
            <w:r w:rsidRPr="006E19C7">
              <w:t>5.39-5.62</w:t>
            </w:r>
          </w:p>
        </w:tc>
        <w:tc>
          <w:tcPr>
            <w:tcW w:w="2114" w:type="dxa"/>
            <w:shd w:val="clear" w:color="auto" w:fill="auto"/>
          </w:tcPr>
          <w:p w14:paraId="596E13BB" w14:textId="77777777" w:rsidR="00D17BB4" w:rsidRPr="006E19C7" w:rsidRDefault="00D17BB4" w:rsidP="00CD1F63">
            <w:r w:rsidRPr="006E19C7">
              <w:t>&lt;0.001</w:t>
            </w:r>
          </w:p>
          <w:p w14:paraId="6EF7E172" w14:textId="77777777" w:rsidR="00D17BB4" w:rsidRPr="006E19C7" w:rsidRDefault="00D17BB4" w:rsidP="00CD1F63"/>
          <w:p w14:paraId="3690BD90" w14:textId="77777777" w:rsidR="00D17BB4" w:rsidRPr="006E19C7" w:rsidRDefault="00D17BB4" w:rsidP="00CD1F63"/>
        </w:tc>
      </w:tr>
    </w:tbl>
    <w:p w14:paraId="47A61565" w14:textId="77777777" w:rsidR="00D17BB4" w:rsidRPr="006E19C7" w:rsidRDefault="00D17BB4" w:rsidP="00D17BB4"/>
    <w:p w14:paraId="498F937D" w14:textId="50306A1F" w:rsidR="00D17BB4" w:rsidRPr="006E19C7" w:rsidRDefault="00BA3A74" w:rsidP="00D17BB4">
      <w:pPr>
        <w:rPr>
          <w:rFonts w:ascii="Times New Roman" w:hAnsi="Times New Roman" w:cs="Times New Roman"/>
          <w:sz w:val="24"/>
          <w:szCs w:val="24"/>
        </w:rPr>
      </w:pPr>
      <w:r w:rsidRPr="006E19C7">
        <w:rPr>
          <w:rFonts w:ascii="Times New Roman" w:hAnsi="Times New Roman" w:cs="Times New Roman"/>
          <w:sz w:val="24"/>
          <w:szCs w:val="24"/>
        </w:rPr>
        <w:t>Table 5</w:t>
      </w:r>
      <w:r w:rsidR="00D17BB4" w:rsidRPr="006E19C7">
        <w:rPr>
          <w:rFonts w:ascii="Times New Roman" w:hAnsi="Times New Roman" w:cs="Times New Roman"/>
          <w:sz w:val="24"/>
          <w:szCs w:val="24"/>
        </w:rPr>
        <w:t xml:space="preserve">:  Association between use of coronary angiography and clinical outcomes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1424"/>
        <w:gridCol w:w="2317"/>
        <w:gridCol w:w="1197"/>
      </w:tblGrid>
      <w:tr w:rsidR="00D17BB4" w:rsidRPr="006E19C7" w14:paraId="23E9A686" w14:textId="77777777" w:rsidTr="00CD1F63">
        <w:tc>
          <w:tcPr>
            <w:tcW w:w="4088" w:type="dxa"/>
            <w:tcBorders>
              <w:top w:val="single" w:sz="4" w:space="0" w:color="auto"/>
              <w:bottom w:val="single" w:sz="4" w:space="0" w:color="auto"/>
            </w:tcBorders>
            <w:shd w:val="clear" w:color="auto" w:fill="auto"/>
          </w:tcPr>
          <w:p w14:paraId="241A0D69" w14:textId="77777777" w:rsidR="00D17BB4" w:rsidRPr="006E19C7" w:rsidRDefault="00D17BB4" w:rsidP="00CD1F63">
            <w:r w:rsidRPr="006E19C7">
              <w:t>Clinical outcome</w:t>
            </w:r>
          </w:p>
        </w:tc>
        <w:tc>
          <w:tcPr>
            <w:tcW w:w="1424" w:type="dxa"/>
            <w:tcBorders>
              <w:top w:val="single" w:sz="4" w:space="0" w:color="auto"/>
              <w:bottom w:val="single" w:sz="4" w:space="0" w:color="auto"/>
            </w:tcBorders>
            <w:shd w:val="clear" w:color="auto" w:fill="auto"/>
          </w:tcPr>
          <w:p w14:paraId="1681374F" w14:textId="77777777" w:rsidR="00D17BB4" w:rsidRPr="006E19C7" w:rsidRDefault="00D17BB4" w:rsidP="00CD1F63">
            <w:pPr>
              <w:jc w:val="center"/>
            </w:pPr>
            <w:r w:rsidRPr="006E19C7">
              <w:t>Odds Ratio</w:t>
            </w:r>
          </w:p>
        </w:tc>
        <w:tc>
          <w:tcPr>
            <w:tcW w:w="2317" w:type="dxa"/>
            <w:tcBorders>
              <w:top w:val="single" w:sz="4" w:space="0" w:color="auto"/>
              <w:bottom w:val="single" w:sz="4" w:space="0" w:color="auto"/>
            </w:tcBorders>
            <w:shd w:val="clear" w:color="auto" w:fill="auto"/>
          </w:tcPr>
          <w:p w14:paraId="76339415" w14:textId="77777777" w:rsidR="00D17BB4" w:rsidRPr="006E19C7" w:rsidRDefault="00D17BB4" w:rsidP="00CD1F63">
            <w:pPr>
              <w:jc w:val="center"/>
            </w:pPr>
            <w:r w:rsidRPr="006E19C7">
              <w:t>95%  Confidence Interval</w:t>
            </w:r>
          </w:p>
        </w:tc>
        <w:tc>
          <w:tcPr>
            <w:tcW w:w="1197" w:type="dxa"/>
            <w:tcBorders>
              <w:top w:val="single" w:sz="4" w:space="0" w:color="auto"/>
              <w:bottom w:val="single" w:sz="4" w:space="0" w:color="auto"/>
            </w:tcBorders>
            <w:shd w:val="clear" w:color="auto" w:fill="auto"/>
          </w:tcPr>
          <w:p w14:paraId="33C4E749" w14:textId="77777777" w:rsidR="00D17BB4" w:rsidRPr="006E19C7" w:rsidRDefault="00D17BB4" w:rsidP="00CD1F63">
            <w:pPr>
              <w:jc w:val="center"/>
            </w:pPr>
            <w:r w:rsidRPr="006E19C7">
              <w:t>P value</w:t>
            </w:r>
          </w:p>
        </w:tc>
      </w:tr>
      <w:tr w:rsidR="00D17BB4" w:rsidRPr="006E19C7" w14:paraId="5F58ABB3" w14:textId="77777777" w:rsidTr="00CD1F63">
        <w:tc>
          <w:tcPr>
            <w:tcW w:w="4088" w:type="dxa"/>
            <w:shd w:val="clear" w:color="auto" w:fill="auto"/>
          </w:tcPr>
          <w:p w14:paraId="55A635B3" w14:textId="77777777" w:rsidR="00D17BB4" w:rsidRPr="006E19C7" w:rsidRDefault="00D17BB4" w:rsidP="00CD1F63">
            <w:r w:rsidRPr="006E19C7">
              <w:t>In hospital mortality</w:t>
            </w:r>
          </w:p>
        </w:tc>
        <w:tc>
          <w:tcPr>
            <w:tcW w:w="1424" w:type="dxa"/>
            <w:shd w:val="clear" w:color="auto" w:fill="auto"/>
          </w:tcPr>
          <w:p w14:paraId="6466F7C1" w14:textId="77777777" w:rsidR="00D17BB4" w:rsidRPr="006E19C7" w:rsidRDefault="00D17BB4" w:rsidP="00CD1F63">
            <w:pPr>
              <w:jc w:val="center"/>
            </w:pPr>
            <w:r w:rsidRPr="006E19C7">
              <w:t>0.38</w:t>
            </w:r>
          </w:p>
        </w:tc>
        <w:tc>
          <w:tcPr>
            <w:tcW w:w="2317" w:type="dxa"/>
            <w:shd w:val="clear" w:color="auto" w:fill="auto"/>
          </w:tcPr>
          <w:p w14:paraId="5D3B9E3F" w14:textId="77777777" w:rsidR="00D17BB4" w:rsidRPr="006E19C7" w:rsidRDefault="00D17BB4" w:rsidP="00CD1F63">
            <w:pPr>
              <w:jc w:val="center"/>
            </w:pPr>
            <w:r w:rsidRPr="006E19C7">
              <w:t>0.36-0.40</w:t>
            </w:r>
          </w:p>
        </w:tc>
        <w:tc>
          <w:tcPr>
            <w:tcW w:w="1197" w:type="dxa"/>
            <w:shd w:val="clear" w:color="auto" w:fill="auto"/>
          </w:tcPr>
          <w:p w14:paraId="5332CFBF" w14:textId="77777777" w:rsidR="00D17BB4" w:rsidRPr="006E19C7" w:rsidRDefault="00D17BB4" w:rsidP="00CD1F63">
            <w:pPr>
              <w:jc w:val="center"/>
            </w:pPr>
            <w:r w:rsidRPr="006E19C7">
              <w:t>&lt;0.001</w:t>
            </w:r>
          </w:p>
        </w:tc>
      </w:tr>
      <w:tr w:rsidR="00D17BB4" w:rsidRPr="006E19C7" w14:paraId="0F8E2A5C" w14:textId="77777777" w:rsidTr="00CD1F63">
        <w:tc>
          <w:tcPr>
            <w:tcW w:w="4088" w:type="dxa"/>
            <w:shd w:val="clear" w:color="auto" w:fill="auto"/>
          </w:tcPr>
          <w:p w14:paraId="67BFDFA5" w14:textId="77777777" w:rsidR="00D17BB4" w:rsidRPr="006E19C7" w:rsidRDefault="00D17BB4" w:rsidP="00CD1F63">
            <w:r w:rsidRPr="006E19C7">
              <w:t>Cardiac Complications</w:t>
            </w:r>
          </w:p>
        </w:tc>
        <w:tc>
          <w:tcPr>
            <w:tcW w:w="1424" w:type="dxa"/>
            <w:shd w:val="clear" w:color="auto" w:fill="auto"/>
          </w:tcPr>
          <w:p w14:paraId="46F3B32E" w14:textId="77777777" w:rsidR="00D17BB4" w:rsidRPr="006E19C7" w:rsidRDefault="00D17BB4" w:rsidP="00CD1F63">
            <w:pPr>
              <w:jc w:val="center"/>
            </w:pPr>
            <w:r w:rsidRPr="006E19C7">
              <w:t>4.77</w:t>
            </w:r>
          </w:p>
        </w:tc>
        <w:tc>
          <w:tcPr>
            <w:tcW w:w="2317" w:type="dxa"/>
            <w:shd w:val="clear" w:color="auto" w:fill="auto"/>
          </w:tcPr>
          <w:p w14:paraId="0E2DB751" w14:textId="77777777" w:rsidR="00D17BB4" w:rsidRPr="006E19C7" w:rsidRDefault="00D17BB4" w:rsidP="00CD1F63">
            <w:pPr>
              <w:jc w:val="center"/>
            </w:pPr>
            <w:r w:rsidRPr="006E19C7">
              <w:t>3.88-5.87</w:t>
            </w:r>
          </w:p>
        </w:tc>
        <w:tc>
          <w:tcPr>
            <w:tcW w:w="1197" w:type="dxa"/>
            <w:shd w:val="clear" w:color="auto" w:fill="auto"/>
          </w:tcPr>
          <w:p w14:paraId="0ADE5C78" w14:textId="77777777" w:rsidR="00D17BB4" w:rsidRPr="006E19C7" w:rsidRDefault="00D17BB4" w:rsidP="00CD1F63">
            <w:pPr>
              <w:jc w:val="center"/>
            </w:pPr>
            <w:r w:rsidRPr="006E19C7">
              <w:t>&lt;0.001</w:t>
            </w:r>
          </w:p>
        </w:tc>
      </w:tr>
      <w:tr w:rsidR="00D17BB4" w:rsidRPr="006E19C7" w14:paraId="49858DA8" w14:textId="77777777" w:rsidTr="00CD1F63">
        <w:tc>
          <w:tcPr>
            <w:tcW w:w="4088" w:type="dxa"/>
            <w:shd w:val="clear" w:color="auto" w:fill="auto"/>
          </w:tcPr>
          <w:p w14:paraId="5BFBB8D4" w14:textId="77777777" w:rsidR="00D17BB4" w:rsidRPr="006E19C7" w:rsidRDefault="00D17BB4" w:rsidP="00CD1F63">
            <w:r w:rsidRPr="006E19C7">
              <w:t>Major Bleeding</w:t>
            </w:r>
          </w:p>
        </w:tc>
        <w:tc>
          <w:tcPr>
            <w:tcW w:w="1424" w:type="dxa"/>
            <w:shd w:val="clear" w:color="auto" w:fill="auto"/>
          </w:tcPr>
          <w:p w14:paraId="62EE79B3" w14:textId="77777777" w:rsidR="00D17BB4" w:rsidRPr="006E19C7" w:rsidRDefault="00D17BB4" w:rsidP="00CD1F63">
            <w:pPr>
              <w:jc w:val="center"/>
            </w:pPr>
            <w:r w:rsidRPr="006E19C7">
              <w:t>1.23</w:t>
            </w:r>
          </w:p>
        </w:tc>
        <w:tc>
          <w:tcPr>
            <w:tcW w:w="2317" w:type="dxa"/>
            <w:shd w:val="clear" w:color="auto" w:fill="auto"/>
          </w:tcPr>
          <w:p w14:paraId="71BFBC50" w14:textId="77777777" w:rsidR="00D17BB4" w:rsidRPr="006E19C7" w:rsidRDefault="00D17BB4" w:rsidP="00CD1F63">
            <w:pPr>
              <w:jc w:val="center"/>
            </w:pPr>
            <w:r w:rsidRPr="006E19C7">
              <w:t>1.16-1.31</w:t>
            </w:r>
          </w:p>
        </w:tc>
        <w:tc>
          <w:tcPr>
            <w:tcW w:w="1197" w:type="dxa"/>
            <w:shd w:val="clear" w:color="auto" w:fill="auto"/>
          </w:tcPr>
          <w:p w14:paraId="63A845AB" w14:textId="77777777" w:rsidR="00D17BB4" w:rsidRPr="006E19C7" w:rsidRDefault="00D17BB4" w:rsidP="00CD1F63">
            <w:pPr>
              <w:jc w:val="center"/>
            </w:pPr>
            <w:r w:rsidRPr="006E19C7">
              <w:t>&lt;0.001</w:t>
            </w:r>
          </w:p>
        </w:tc>
      </w:tr>
      <w:tr w:rsidR="00D17BB4" w:rsidRPr="006E19C7" w14:paraId="179FAB62" w14:textId="77777777" w:rsidTr="00CD1F63">
        <w:tc>
          <w:tcPr>
            <w:tcW w:w="4088" w:type="dxa"/>
            <w:shd w:val="clear" w:color="auto" w:fill="auto"/>
          </w:tcPr>
          <w:p w14:paraId="23984C63" w14:textId="77777777" w:rsidR="00D17BB4" w:rsidRPr="006E19C7" w:rsidRDefault="00D17BB4" w:rsidP="00CD1F63">
            <w:r w:rsidRPr="006E19C7">
              <w:t>Vascular Complications</w:t>
            </w:r>
          </w:p>
        </w:tc>
        <w:tc>
          <w:tcPr>
            <w:tcW w:w="1424" w:type="dxa"/>
            <w:shd w:val="clear" w:color="auto" w:fill="auto"/>
          </w:tcPr>
          <w:p w14:paraId="24B72A17" w14:textId="77777777" w:rsidR="00D17BB4" w:rsidRPr="006E19C7" w:rsidRDefault="00D17BB4" w:rsidP="00CD1F63">
            <w:pPr>
              <w:jc w:val="center"/>
            </w:pPr>
            <w:r w:rsidRPr="006E19C7">
              <w:t>3.96</w:t>
            </w:r>
          </w:p>
        </w:tc>
        <w:tc>
          <w:tcPr>
            <w:tcW w:w="2317" w:type="dxa"/>
            <w:shd w:val="clear" w:color="auto" w:fill="auto"/>
          </w:tcPr>
          <w:p w14:paraId="21D669B5" w14:textId="77777777" w:rsidR="00D17BB4" w:rsidRPr="006E19C7" w:rsidRDefault="00D17BB4" w:rsidP="00CD1F63">
            <w:pPr>
              <w:jc w:val="center"/>
            </w:pPr>
            <w:r w:rsidRPr="006E19C7">
              <w:t>3.09-5.07</w:t>
            </w:r>
          </w:p>
        </w:tc>
        <w:tc>
          <w:tcPr>
            <w:tcW w:w="1197" w:type="dxa"/>
            <w:shd w:val="clear" w:color="auto" w:fill="auto"/>
          </w:tcPr>
          <w:p w14:paraId="39A204D1" w14:textId="77777777" w:rsidR="00D17BB4" w:rsidRPr="006E19C7" w:rsidRDefault="00D17BB4" w:rsidP="00CD1F63">
            <w:pPr>
              <w:jc w:val="center"/>
            </w:pPr>
            <w:r w:rsidRPr="006E19C7">
              <w:t>&lt;0.001</w:t>
            </w:r>
          </w:p>
        </w:tc>
      </w:tr>
    </w:tbl>
    <w:p w14:paraId="4ACFAB8A" w14:textId="4990C615" w:rsidR="00D17BB4" w:rsidRPr="006E19C7" w:rsidRDefault="00D17BB4" w:rsidP="0087088A">
      <w:pPr>
        <w:jc w:val="both"/>
        <w:rPr>
          <w:rFonts w:ascii="Times New Roman" w:hAnsi="Times New Roman" w:cs="Times New Roman"/>
          <w:b/>
          <w:sz w:val="24"/>
          <w:szCs w:val="24"/>
        </w:rPr>
      </w:pPr>
    </w:p>
    <w:p w14:paraId="520BE347" w14:textId="77777777" w:rsidR="00B20418" w:rsidRPr="006E19C7" w:rsidRDefault="00B20418" w:rsidP="0087088A">
      <w:pPr>
        <w:jc w:val="both"/>
        <w:rPr>
          <w:rFonts w:ascii="Times New Roman" w:hAnsi="Times New Roman" w:cs="Times New Roman"/>
          <w:b/>
          <w:sz w:val="24"/>
          <w:szCs w:val="24"/>
        </w:rPr>
      </w:pPr>
    </w:p>
    <w:p w14:paraId="7A083E80" w14:textId="3BCD374F" w:rsidR="0087088A" w:rsidRPr="006E19C7" w:rsidRDefault="0087088A" w:rsidP="0087088A">
      <w:pPr>
        <w:jc w:val="both"/>
        <w:rPr>
          <w:rFonts w:ascii="Times New Roman" w:hAnsi="Times New Roman" w:cs="Times New Roman"/>
          <w:b/>
          <w:sz w:val="24"/>
          <w:szCs w:val="24"/>
        </w:rPr>
      </w:pPr>
      <w:r w:rsidRPr="006E19C7">
        <w:rPr>
          <w:rFonts w:ascii="Times New Roman" w:hAnsi="Times New Roman" w:cs="Times New Roman"/>
          <w:b/>
          <w:sz w:val="24"/>
          <w:szCs w:val="24"/>
        </w:rPr>
        <w:t>Figure Legends:</w:t>
      </w:r>
    </w:p>
    <w:p w14:paraId="2952BA06" w14:textId="77777777" w:rsidR="0087088A" w:rsidRPr="006E19C7" w:rsidRDefault="0087088A" w:rsidP="0087088A">
      <w:pPr>
        <w:jc w:val="both"/>
        <w:rPr>
          <w:rFonts w:ascii="Times New Roman" w:hAnsi="Times New Roman" w:cs="Times New Roman"/>
          <w:sz w:val="24"/>
          <w:szCs w:val="24"/>
        </w:rPr>
      </w:pPr>
      <w:r w:rsidRPr="006E19C7">
        <w:rPr>
          <w:rFonts w:ascii="Times New Roman" w:hAnsi="Times New Roman" w:cs="Times New Roman"/>
          <w:sz w:val="24"/>
          <w:szCs w:val="24"/>
        </w:rPr>
        <w:t>Figure 1: Flow diagram of included/excluded records</w:t>
      </w:r>
    </w:p>
    <w:p w14:paraId="65B74607" w14:textId="2BDB5988" w:rsidR="0087088A" w:rsidRPr="006E19C7" w:rsidRDefault="00822B6B" w:rsidP="0087088A">
      <w:pPr>
        <w:jc w:val="both"/>
        <w:rPr>
          <w:rFonts w:ascii="Times New Roman" w:hAnsi="Times New Roman" w:cs="Times New Roman"/>
          <w:sz w:val="24"/>
          <w:szCs w:val="24"/>
        </w:rPr>
      </w:pPr>
      <w:r w:rsidRPr="006E19C7">
        <w:rPr>
          <w:rFonts w:ascii="Times New Roman" w:hAnsi="Times New Roman" w:cs="Times New Roman"/>
          <w:sz w:val="24"/>
          <w:szCs w:val="24"/>
        </w:rPr>
        <w:t>Figure 2</w:t>
      </w:r>
      <w:r w:rsidR="0087088A" w:rsidRPr="006E19C7">
        <w:rPr>
          <w:rFonts w:ascii="Times New Roman" w:hAnsi="Times New Roman" w:cs="Times New Roman"/>
          <w:sz w:val="24"/>
          <w:szCs w:val="24"/>
        </w:rPr>
        <w:t>: Temporal Trends in Use of Coronary angiography from 2004-2014.</w:t>
      </w:r>
    </w:p>
    <w:p w14:paraId="690A754B" w14:textId="77777777" w:rsidR="0087088A" w:rsidRPr="006E19C7" w:rsidRDefault="0087088A" w:rsidP="0087088A">
      <w:pPr>
        <w:jc w:val="both"/>
        <w:rPr>
          <w:rFonts w:ascii="Times New Roman" w:hAnsi="Times New Roman" w:cs="Times New Roman"/>
          <w:sz w:val="24"/>
          <w:szCs w:val="24"/>
        </w:rPr>
      </w:pPr>
      <w:r w:rsidRPr="006E19C7">
        <w:rPr>
          <w:rFonts w:ascii="Times New Roman" w:hAnsi="Times New Roman" w:cs="Times New Roman"/>
          <w:sz w:val="24"/>
          <w:szCs w:val="24"/>
        </w:rPr>
        <w:t xml:space="preserve">Figure 3: Proportions of patients receiving CA according to their comorbidity burden as defined per </w:t>
      </w:r>
      <w:proofErr w:type="spellStart"/>
      <w:r w:rsidRPr="006E19C7">
        <w:rPr>
          <w:rFonts w:ascii="Times New Roman" w:hAnsi="Times New Roman" w:cs="Times New Roman"/>
          <w:sz w:val="24"/>
          <w:szCs w:val="24"/>
        </w:rPr>
        <w:t>Charlson</w:t>
      </w:r>
      <w:proofErr w:type="spellEnd"/>
      <w:r w:rsidRPr="006E19C7">
        <w:rPr>
          <w:rFonts w:ascii="Times New Roman" w:hAnsi="Times New Roman" w:cs="Times New Roman"/>
          <w:sz w:val="24"/>
          <w:szCs w:val="24"/>
        </w:rPr>
        <w:t xml:space="preserve"> from 2004-2014.</w:t>
      </w:r>
    </w:p>
    <w:p w14:paraId="0397ACBF" w14:textId="027D8CCF" w:rsidR="0087088A" w:rsidRPr="006E19C7" w:rsidRDefault="0087088A" w:rsidP="0087088A">
      <w:pPr>
        <w:jc w:val="both"/>
        <w:rPr>
          <w:rFonts w:ascii="Times New Roman" w:hAnsi="Times New Roman" w:cs="Times New Roman"/>
          <w:sz w:val="24"/>
          <w:szCs w:val="24"/>
        </w:rPr>
      </w:pPr>
      <w:r w:rsidRPr="006E19C7">
        <w:rPr>
          <w:rFonts w:ascii="Times New Roman" w:hAnsi="Times New Roman" w:cs="Times New Roman"/>
          <w:sz w:val="24"/>
          <w:szCs w:val="24"/>
        </w:rPr>
        <w:t>Figure 4: Proportions of patients receiving coronary angiography according to their age category from 2004-2014</w:t>
      </w:r>
    </w:p>
    <w:p w14:paraId="6CCABE9A" w14:textId="0A7C61FC" w:rsidR="0087088A" w:rsidRPr="006E19C7" w:rsidRDefault="00822B6B" w:rsidP="0087088A">
      <w:pPr>
        <w:jc w:val="both"/>
        <w:rPr>
          <w:rFonts w:ascii="Times New Roman" w:hAnsi="Times New Roman" w:cs="Times New Roman"/>
          <w:sz w:val="24"/>
          <w:szCs w:val="24"/>
        </w:rPr>
      </w:pPr>
      <w:r w:rsidRPr="006E19C7">
        <w:rPr>
          <w:rFonts w:ascii="Times New Roman" w:hAnsi="Times New Roman" w:cs="Times New Roman"/>
          <w:sz w:val="24"/>
          <w:szCs w:val="24"/>
        </w:rPr>
        <w:t>Figure 5</w:t>
      </w:r>
      <w:r w:rsidR="0087088A" w:rsidRPr="006E19C7">
        <w:rPr>
          <w:rFonts w:ascii="Times New Roman" w:hAnsi="Times New Roman" w:cs="Times New Roman"/>
          <w:sz w:val="24"/>
          <w:szCs w:val="24"/>
        </w:rPr>
        <w:t xml:space="preserve">: </w:t>
      </w:r>
      <w:r w:rsidR="0087088A" w:rsidRPr="006E19C7">
        <w:rPr>
          <w:rFonts w:ascii="Times New Roman" w:hAnsi="Times New Roman" w:cs="Times New Roman"/>
          <w:noProof/>
          <w:sz w:val="24"/>
          <w:szCs w:val="24"/>
          <w:lang w:eastAsia="en-GB"/>
        </w:rPr>
        <w:t>Porpotions</w:t>
      </w:r>
      <w:r w:rsidR="0087088A" w:rsidRPr="006E19C7">
        <w:rPr>
          <w:rFonts w:ascii="Times New Roman" w:hAnsi="Times New Roman" w:cs="Times New Roman"/>
          <w:sz w:val="24"/>
          <w:szCs w:val="24"/>
        </w:rPr>
        <w:t xml:space="preserve"> of patients receiving coronary angiography according to their Ethnicity from 2004-2014</w:t>
      </w:r>
    </w:p>
    <w:p w14:paraId="38FF0205" w14:textId="48AFD019" w:rsidR="0087088A" w:rsidRDefault="00822B6B" w:rsidP="0087088A">
      <w:pPr>
        <w:jc w:val="both"/>
        <w:rPr>
          <w:rFonts w:ascii="Times New Roman" w:hAnsi="Times New Roman" w:cs="Times New Roman"/>
          <w:sz w:val="24"/>
          <w:szCs w:val="24"/>
        </w:rPr>
      </w:pPr>
      <w:r w:rsidRPr="006E19C7">
        <w:rPr>
          <w:rFonts w:ascii="Times New Roman" w:hAnsi="Times New Roman" w:cs="Times New Roman"/>
          <w:sz w:val="24"/>
          <w:szCs w:val="24"/>
        </w:rPr>
        <w:t>Figure 6</w:t>
      </w:r>
      <w:r w:rsidR="0087088A" w:rsidRPr="006E19C7">
        <w:rPr>
          <w:rFonts w:ascii="Times New Roman" w:hAnsi="Times New Roman" w:cs="Times New Roman"/>
          <w:sz w:val="24"/>
          <w:szCs w:val="24"/>
        </w:rPr>
        <w:t xml:space="preserve">: </w:t>
      </w:r>
      <w:r w:rsidR="0087088A" w:rsidRPr="006E19C7">
        <w:rPr>
          <w:rFonts w:ascii="Times New Roman" w:hAnsi="Times New Roman" w:cs="Times New Roman"/>
          <w:noProof/>
          <w:sz w:val="24"/>
          <w:szCs w:val="24"/>
          <w:lang w:eastAsia="en-GB"/>
        </w:rPr>
        <w:t>Porpotions</w:t>
      </w:r>
      <w:r w:rsidR="0087088A" w:rsidRPr="006E19C7">
        <w:rPr>
          <w:rFonts w:ascii="Times New Roman" w:hAnsi="Times New Roman" w:cs="Times New Roman"/>
          <w:sz w:val="24"/>
          <w:szCs w:val="24"/>
        </w:rPr>
        <w:t xml:space="preserve"> of patients receiving coronary angiography according to the teaching status and location of hospital from 2004-2014</w:t>
      </w:r>
      <w:bookmarkStart w:id="1" w:name="_GoBack"/>
      <w:bookmarkEnd w:id="1"/>
    </w:p>
    <w:p w14:paraId="5EE5E595" w14:textId="34A57AC4" w:rsidR="00D17BB4" w:rsidRDefault="00D17BB4" w:rsidP="0087088A">
      <w:pPr>
        <w:jc w:val="both"/>
        <w:rPr>
          <w:rFonts w:ascii="Times New Roman" w:hAnsi="Times New Roman" w:cs="Times New Roman"/>
          <w:sz w:val="24"/>
          <w:szCs w:val="24"/>
        </w:rPr>
      </w:pPr>
    </w:p>
    <w:p w14:paraId="4B6391C9" w14:textId="45DCAB07" w:rsidR="00D17BB4" w:rsidRDefault="00D17BB4" w:rsidP="0087088A">
      <w:pPr>
        <w:jc w:val="both"/>
        <w:rPr>
          <w:rFonts w:ascii="Times New Roman" w:hAnsi="Times New Roman" w:cs="Times New Roman"/>
          <w:sz w:val="24"/>
          <w:szCs w:val="24"/>
        </w:rPr>
      </w:pPr>
    </w:p>
    <w:p w14:paraId="3D9A11AC" w14:textId="5AA4BD10" w:rsidR="00D17BB4" w:rsidRDefault="00D17BB4" w:rsidP="0087088A">
      <w:pPr>
        <w:jc w:val="both"/>
        <w:rPr>
          <w:rFonts w:ascii="Times New Roman" w:hAnsi="Times New Roman" w:cs="Times New Roman"/>
          <w:sz w:val="24"/>
          <w:szCs w:val="24"/>
        </w:rPr>
      </w:pPr>
    </w:p>
    <w:p w14:paraId="7CF5F6E2" w14:textId="030D47C6" w:rsidR="00D17BB4" w:rsidRDefault="00D17BB4" w:rsidP="0087088A">
      <w:pPr>
        <w:jc w:val="both"/>
        <w:rPr>
          <w:rFonts w:ascii="Times New Roman" w:hAnsi="Times New Roman" w:cs="Times New Roman"/>
          <w:sz w:val="24"/>
          <w:szCs w:val="24"/>
        </w:rPr>
      </w:pPr>
    </w:p>
    <w:p w14:paraId="2F871A39" w14:textId="6D05C563" w:rsidR="00D17BB4" w:rsidRDefault="00D17BB4" w:rsidP="0087088A">
      <w:pPr>
        <w:jc w:val="both"/>
        <w:rPr>
          <w:rFonts w:ascii="Times New Roman" w:hAnsi="Times New Roman" w:cs="Times New Roman"/>
          <w:sz w:val="24"/>
          <w:szCs w:val="24"/>
        </w:rPr>
      </w:pPr>
    </w:p>
    <w:p w14:paraId="11725F27" w14:textId="6BB91C21" w:rsidR="00D17BB4" w:rsidRDefault="00D17BB4" w:rsidP="0087088A">
      <w:pPr>
        <w:jc w:val="both"/>
        <w:rPr>
          <w:rFonts w:ascii="Times New Roman" w:hAnsi="Times New Roman" w:cs="Times New Roman"/>
          <w:sz w:val="24"/>
          <w:szCs w:val="24"/>
        </w:rPr>
      </w:pPr>
    </w:p>
    <w:p w14:paraId="37790A56" w14:textId="398E51E5" w:rsidR="00D17BB4" w:rsidRDefault="00D17BB4" w:rsidP="0087088A">
      <w:pPr>
        <w:jc w:val="both"/>
        <w:rPr>
          <w:rFonts w:ascii="Times New Roman" w:hAnsi="Times New Roman" w:cs="Times New Roman"/>
          <w:sz w:val="24"/>
          <w:szCs w:val="24"/>
        </w:rPr>
      </w:pPr>
    </w:p>
    <w:p w14:paraId="23E89110" w14:textId="2C11E89B" w:rsidR="00D17BB4" w:rsidRDefault="00D17BB4" w:rsidP="0087088A">
      <w:pPr>
        <w:jc w:val="both"/>
        <w:rPr>
          <w:rFonts w:ascii="Times New Roman" w:hAnsi="Times New Roman" w:cs="Times New Roman"/>
          <w:sz w:val="24"/>
          <w:szCs w:val="24"/>
        </w:rPr>
      </w:pPr>
    </w:p>
    <w:p w14:paraId="46155B53" w14:textId="3C5D50E6" w:rsidR="00D17BB4" w:rsidRDefault="00D17BB4" w:rsidP="0087088A">
      <w:pPr>
        <w:jc w:val="both"/>
        <w:rPr>
          <w:rFonts w:ascii="Times New Roman" w:hAnsi="Times New Roman" w:cs="Times New Roman"/>
          <w:sz w:val="24"/>
          <w:szCs w:val="24"/>
        </w:rPr>
      </w:pPr>
    </w:p>
    <w:p w14:paraId="62F567E9" w14:textId="7BA0461C" w:rsidR="00D17BB4" w:rsidRDefault="00D17BB4" w:rsidP="0087088A">
      <w:pPr>
        <w:jc w:val="both"/>
        <w:rPr>
          <w:rFonts w:ascii="Times New Roman" w:hAnsi="Times New Roman" w:cs="Times New Roman"/>
          <w:sz w:val="24"/>
          <w:szCs w:val="24"/>
        </w:rPr>
      </w:pPr>
    </w:p>
    <w:p w14:paraId="4EAE92A9" w14:textId="1A3D4C37" w:rsidR="00D17BB4" w:rsidRDefault="00D17BB4" w:rsidP="0087088A">
      <w:pPr>
        <w:jc w:val="both"/>
        <w:rPr>
          <w:rFonts w:ascii="Times New Roman" w:hAnsi="Times New Roman" w:cs="Times New Roman"/>
          <w:sz w:val="24"/>
          <w:szCs w:val="24"/>
        </w:rPr>
      </w:pPr>
    </w:p>
    <w:p w14:paraId="3CA1A642" w14:textId="2074085F" w:rsidR="00D17BB4" w:rsidRDefault="00D17BB4" w:rsidP="0087088A">
      <w:pPr>
        <w:jc w:val="both"/>
        <w:rPr>
          <w:rFonts w:ascii="Times New Roman" w:hAnsi="Times New Roman" w:cs="Times New Roman"/>
          <w:sz w:val="24"/>
          <w:szCs w:val="24"/>
        </w:rPr>
      </w:pPr>
    </w:p>
    <w:p w14:paraId="1E71E88D" w14:textId="12F31A01" w:rsidR="00D17BB4" w:rsidRDefault="00D17BB4" w:rsidP="0087088A">
      <w:pPr>
        <w:jc w:val="both"/>
        <w:rPr>
          <w:rFonts w:ascii="Times New Roman" w:hAnsi="Times New Roman" w:cs="Times New Roman"/>
          <w:sz w:val="24"/>
          <w:szCs w:val="24"/>
        </w:rPr>
      </w:pPr>
    </w:p>
    <w:p w14:paraId="1339555C" w14:textId="198C585B" w:rsidR="00D17BB4" w:rsidRDefault="00D17BB4" w:rsidP="0087088A">
      <w:pPr>
        <w:jc w:val="both"/>
        <w:rPr>
          <w:rFonts w:ascii="Times New Roman" w:hAnsi="Times New Roman" w:cs="Times New Roman"/>
          <w:sz w:val="24"/>
          <w:szCs w:val="24"/>
        </w:rPr>
      </w:pPr>
    </w:p>
    <w:p w14:paraId="38265BCC" w14:textId="329C788D" w:rsidR="00D17BB4" w:rsidRDefault="00D17BB4" w:rsidP="0087088A">
      <w:pPr>
        <w:jc w:val="both"/>
        <w:rPr>
          <w:rFonts w:ascii="Times New Roman" w:hAnsi="Times New Roman" w:cs="Times New Roman"/>
          <w:sz w:val="24"/>
          <w:szCs w:val="24"/>
        </w:rPr>
      </w:pPr>
    </w:p>
    <w:p w14:paraId="37C99217" w14:textId="4AF6402A" w:rsidR="00D17BB4" w:rsidRDefault="00D17BB4" w:rsidP="0087088A">
      <w:pPr>
        <w:jc w:val="both"/>
        <w:rPr>
          <w:rFonts w:ascii="Times New Roman" w:hAnsi="Times New Roman" w:cs="Times New Roman"/>
          <w:sz w:val="24"/>
          <w:szCs w:val="24"/>
        </w:rPr>
      </w:pPr>
    </w:p>
    <w:p w14:paraId="640873DB" w14:textId="33518847" w:rsidR="00D17BB4" w:rsidRDefault="00D17BB4" w:rsidP="0087088A">
      <w:pPr>
        <w:jc w:val="both"/>
        <w:rPr>
          <w:rFonts w:ascii="Times New Roman" w:hAnsi="Times New Roman" w:cs="Times New Roman"/>
          <w:sz w:val="24"/>
          <w:szCs w:val="24"/>
        </w:rPr>
      </w:pPr>
    </w:p>
    <w:p w14:paraId="6BBE161D" w14:textId="58CD4765" w:rsidR="00D17BB4" w:rsidRPr="0087088A" w:rsidRDefault="00D17BB4" w:rsidP="0087088A">
      <w:pPr>
        <w:jc w:val="both"/>
        <w:rPr>
          <w:rFonts w:ascii="Times New Roman" w:hAnsi="Times New Roman" w:cs="Times New Roman"/>
          <w:sz w:val="24"/>
          <w:szCs w:val="24"/>
        </w:rPr>
      </w:pPr>
    </w:p>
    <w:p w14:paraId="7C21EEA8" w14:textId="77777777" w:rsidR="008C139A" w:rsidRPr="008C139A" w:rsidRDefault="008C139A" w:rsidP="00A35E42">
      <w:pPr>
        <w:snapToGrid w:val="0"/>
        <w:spacing w:after="0" w:line="480" w:lineRule="auto"/>
        <w:jc w:val="both"/>
        <w:rPr>
          <w:rFonts w:ascii="Times New Roman" w:hAnsi="Times New Roman" w:cs="Times New Roman"/>
          <w:sz w:val="24"/>
          <w:szCs w:val="24"/>
        </w:rPr>
      </w:pPr>
    </w:p>
    <w:p w14:paraId="3CCD9DEA" w14:textId="679E7462" w:rsidR="00C103FC" w:rsidRPr="00A63BE2" w:rsidRDefault="00C103FC" w:rsidP="00A35E42">
      <w:pPr>
        <w:snapToGrid w:val="0"/>
        <w:spacing w:after="0" w:line="480" w:lineRule="auto"/>
        <w:jc w:val="both"/>
        <w:rPr>
          <w:rFonts w:ascii="Times New Roman" w:hAnsi="Times New Roman" w:cs="Times New Roman"/>
          <w:sz w:val="24"/>
          <w:szCs w:val="24"/>
        </w:rPr>
      </w:pPr>
    </w:p>
    <w:sectPr w:rsidR="00C103FC" w:rsidRPr="00A63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6AB0"/>
    <w:multiLevelType w:val="hybridMultilevel"/>
    <w:tmpl w:val="75DC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63713"/>
    <w:multiLevelType w:val="hybridMultilevel"/>
    <w:tmpl w:val="15DE5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C0884"/>
    <w:multiLevelType w:val="hybridMultilevel"/>
    <w:tmpl w:val="FAA88A7C"/>
    <w:lvl w:ilvl="0" w:tplc="08090019">
      <w:start w:val="1"/>
      <w:numFmt w:val="lowerLetter"/>
      <w:lvlText w:val="%1."/>
      <w:lvlJc w:val="left"/>
      <w:pPr>
        <w:ind w:left="644" w:hanging="360"/>
      </w:pPr>
      <w:rPr>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D70E7"/>
    <w:multiLevelType w:val="hybridMultilevel"/>
    <w:tmpl w:val="25465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23B0D"/>
    <w:multiLevelType w:val="hybridMultilevel"/>
    <w:tmpl w:val="473E6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Q0MzQxNjE3MTQ1MrFQ0lEKTi0uzszPAymwrAUAOltlBy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zvzrv9elsdxa9ezre5vfvfc2wxv5aa502vd&quot;&gt;My EndNote Library&lt;record-ids&gt;&lt;item&gt;73&lt;/item&gt;&lt;item&gt;74&lt;/item&gt;&lt;item&gt;75&lt;/item&gt;&lt;item&gt;77&lt;/item&gt;&lt;/record-ids&gt;&lt;/item&gt;&lt;/Libraries&gt;"/>
  </w:docVars>
  <w:rsids>
    <w:rsidRoot w:val="00657074"/>
    <w:rsid w:val="000001BF"/>
    <w:rsid w:val="0000028D"/>
    <w:rsid w:val="000011A7"/>
    <w:rsid w:val="00002883"/>
    <w:rsid w:val="00010120"/>
    <w:rsid w:val="00015568"/>
    <w:rsid w:val="000210AD"/>
    <w:rsid w:val="000305CE"/>
    <w:rsid w:val="000333AC"/>
    <w:rsid w:val="00033D28"/>
    <w:rsid w:val="0003713D"/>
    <w:rsid w:val="000422ED"/>
    <w:rsid w:val="000456E0"/>
    <w:rsid w:val="000456E7"/>
    <w:rsid w:val="00047AB3"/>
    <w:rsid w:val="0006718B"/>
    <w:rsid w:val="00074595"/>
    <w:rsid w:val="0007629E"/>
    <w:rsid w:val="00084606"/>
    <w:rsid w:val="00092B3A"/>
    <w:rsid w:val="00096456"/>
    <w:rsid w:val="000A1D44"/>
    <w:rsid w:val="000A2A85"/>
    <w:rsid w:val="000A5A1C"/>
    <w:rsid w:val="000D23D4"/>
    <w:rsid w:val="000D299B"/>
    <w:rsid w:val="000E07D3"/>
    <w:rsid w:val="000E0802"/>
    <w:rsid w:val="000E6678"/>
    <w:rsid w:val="000F0C89"/>
    <w:rsid w:val="000F3A51"/>
    <w:rsid w:val="000F40AC"/>
    <w:rsid w:val="000F5155"/>
    <w:rsid w:val="000F7C13"/>
    <w:rsid w:val="000F7EFD"/>
    <w:rsid w:val="00105EC1"/>
    <w:rsid w:val="001111C3"/>
    <w:rsid w:val="00112E1C"/>
    <w:rsid w:val="001139F1"/>
    <w:rsid w:val="00115003"/>
    <w:rsid w:val="00117BEA"/>
    <w:rsid w:val="00122130"/>
    <w:rsid w:val="00123AF5"/>
    <w:rsid w:val="00125E1C"/>
    <w:rsid w:val="00136B07"/>
    <w:rsid w:val="00136C98"/>
    <w:rsid w:val="00140871"/>
    <w:rsid w:val="001414FD"/>
    <w:rsid w:val="00151893"/>
    <w:rsid w:val="001529DC"/>
    <w:rsid w:val="001538B4"/>
    <w:rsid w:val="00153C40"/>
    <w:rsid w:val="001552B0"/>
    <w:rsid w:val="00157047"/>
    <w:rsid w:val="00161106"/>
    <w:rsid w:val="00174738"/>
    <w:rsid w:val="00187619"/>
    <w:rsid w:val="00187CE7"/>
    <w:rsid w:val="001941BE"/>
    <w:rsid w:val="001A0947"/>
    <w:rsid w:val="001A0CC7"/>
    <w:rsid w:val="001A0D76"/>
    <w:rsid w:val="001A47A4"/>
    <w:rsid w:val="001A77A1"/>
    <w:rsid w:val="001B04B7"/>
    <w:rsid w:val="001B5A28"/>
    <w:rsid w:val="001B69F8"/>
    <w:rsid w:val="001C0C83"/>
    <w:rsid w:val="001C515E"/>
    <w:rsid w:val="001D198F"/>
    <w:rsid w:val="001D7ACB"/>
    <w:rsid w:val="001E0B1D"/>
    <w:rsid w:val="001E698E"/>
    <w:rsid w:val="001E7563"/>
    <w:rsid w:val="002016E4"/>
    <w:rsid w:val="00216DBB"/>
    <w:rsid w:val="00222361"/>
    <w:rsid w:val="002257E5"/>
    <w:rsid w:val="00235846"/>
    <w:rsid w:val="002407EA"/>
    <w:rsid w:val="00245729"/>
    <w:rsid w:val="00251C79"/>
    <w:rsid w:val="0025351B"/>
    <w:rsid w:val="00253C0B"/>
    <w:rsid w:val="002556BF"/>
    <w:rsid w:val="00256F8D"/>
    <w:rsid w:val="00267533"/>
    <w:rsid w:val="0026761A"/>
    <w:rsid w:val="00270E93"/>
    <w:rsid w:val="00273E21"/>
    <w:rsid w:val="002740D3"/>
    <w:rsid w:val="00290CC2"/>
    <w:rsid w:val="00292691"/>
    <w:rsid w:val="002B7281"/>
    <w:rsid w:val="002C039F"/>
    <w:rsid w:val="002C1081"/>
    <w:rsid w:val="002C1A14"/>
    <w:rsid w:val="002C6208"/>
    <w:rsid w:val="002C65CF"/>
    <w:rsid w:val="002C670D"/>
    <w:rsid w:val="002D00CB"/>
    <w:rsid w:val="002D1359"/>
    <w:rsid w:val="002D5467"/>
    <w:rsid w:val="002D67E4"/>
    <w:rsid w:val="002D6F9F"/>
    <w:rsid w:val="002D7332"/>
    <w:rsid w:val="002E0D7B"/>
    <w:rsid w:val="002E7695"/>
    <w:rsid w:val="002F28CA"/>
    <w:rsid w:val="002F2B98"/>
    <w:rsid w:val="002F536F"/>
    <w:rsid w:val="002F6384"/>
    <w:rsid w:val="002F639A"/>
    <w:rsid w:val="002F65DE"/>
    <w:rsid w:val="00301494"/>
    <w:rsid w:val="0030429D"/>
    <w:rsid w:val="00306FC1"/>
    <w:rsid w:val="00307FDD"/>
    <w:rsid w:val="003107CC"/>
    <w:rsid w:val="00314C30"/>
    <w:rsid w:val="00320945"/>
    <w:rsid w:val="00320D81"/>
    <w:rsid w:val="00322E07"/>
    <w:rsid w:val="00327DD9"/>
    <w:rsid w:val="00332DD7"/>
    <w:rsid w:val="00334F61"/>
    <w:rsid w:val="003361C8"/>
    <w:rsid w:val="00340C7F"/>
    <w:rsid w:val="00340FDF"/>
    <w:rsid w:val="00343A48"/>
    <w:rsid w:val="00344A9D"/>
    <w:rsid w:val="00353948"/>
    <w:rsid w:val="00354151"/>
    <w:rsid w:val="00354D64"/>
    <w:rsid w:val="00357A0B"/>
    <w:rsid w:val="00364640"/>
    <w:rsid w:val="00372BD5"/>
    <w:rsid w:val="00374552"/>
    <w:rsid w:val="0037755A"/>
    <w:rsid w:val="00380410"/>
    <w:rsid w:val="00380850"/>
    <w:rsid w:val="00380A6B"/>
    <w:rsid w:val="00383EA3"/>
    <w:rsid w:val="003846A1"/>
    <w:rsid w:val="003920F2"/>
    <w:rsid w:val="00392B74"/>
    <w:rsid w:val="00392C5E"/>
    <w:rsid w:val="003977E2"/>
    <w:rsid w:val="003979D7"/>
    <w:rsid w:val="003A007B"/>
    <w:rsid w:val="003A1AEC"/>
    <w:rsid w:val="003C312E"/>
    <w:rsid w:val="003C3D92"/>
    <w:rsid w:val="003C42E7"/>
    <w:rsid w:val="003C4A1A"/>
    <w:rsid w:val="003D5929"/>
    <w:rsid w:val="003D7939"/>
    <w:rsid w:val="003E1427"/>
    <w:rsid w:val="003E286B"/>
    <w:rsid w:val="003E3E29"/>
    <w:rsid w:val="003E6EE8"/>
    <w:rsid w:val="003F1031"/>
    <w:rsid w:val="003F3C21"/>
    <w:rsid w:val="003F6F7F"/>
    <w:rsid w:val="003F744F"/>
    <w:rsid w:val="00400969"/>
    <w:rsid w:val="004054E8"/>
    <w:rsid w:val="00412037"/>
    <w:rsid w:val="004138D5"/>
    <w:rsid w:val="004154AB"/>
    <w:rsid w:val="0042002B"/>
    <w:rsid w:val="004276F0"/>
    <w:rsid w:val="004276FD"/>
    <w:rsid w:val="00430912"/>
    <w:rsid w:val="00432DB3"/>
    <w:rsid w:val="00432F29"/>
    <w:rsid w:val="00433F09"/>
    <w:rsid w:val="004342CA"/>
    <w:rsid w:val="00435D25"/>
    <w:rsid w:val="00443B03"/>
    <w:rsid w:val="0044413F"/>
    <w:rsid w:val="00445CB7"/>
    <w:rsid w:val="00445E08"/>
    <w:rsid w:val="00447707"/>
    <w:rsid w:val="0045510A"/>
    <w:rsid w:val="004614FE"/>
    <w:rsid w:val="00474BE2"/>
    <w:rsid w:val="00475D33"/>
    <w:rsid w:val="004775B1"/>
    <w:rsid w:val="00487E3C"/>
    <w:rsid w:val="004903C2"/>
    <w:rsid w:val="004965F0"/>
    <w:rsid w:val="004A31FF"/>
    <w:rsid w:val="004A5DE9"/>
    <w:rsid w:val="004A686E"/>
    <w:rsid w:val="004A77CF"/>
    <w:rsid w:val="004B0E29"/>
    <w:rsid w:val="004B160A"/>
    <w:rsid w:val="004B4F92"/>
    <w:rsid w:val="004B54FC"/>
    <w:rsid w:val="004B6E91"/>
    <w:rsid w:val="004B709A"/>
    <w:rsid w:val="004B7C7D"/>
    <w:rsid w:val="004D14C4"/>
    <w:rsid w:val="004D2F28"/>
    <w:rsid w:val="004D3A9B"/>
    <w:rsid w:val="004D3F8E"/>
    <w:rsid w:val="004D4265"/>
    <w:rsid w:val="004E3561"/>
    <w:rsid w:val="004F298D"/>
    <w:rsid w:val="004F54DD"/>
    <w:rsid w:val="00500605"/>
    <w:rsid w:val="00506737"/>
    <w:rsid w:val="00510F64"/>
    <w:rsid w:val="00513761"/>
    <w:rsid w:val="00517DD6"/>
    <w:rsid w:val="00522DEE"/>
    <w:rsid w:val="005263F1"/>
    <w:rsid w:val="005346E1"/>
    <w:rsid w:val="005356C8"/>
    <w:rsid w:val="00535E12"/>
    <w:rsid w:val="00536BDB"/>
    <w:rsid w:val="0054512D"/>
    <w:rsid w:val="00554996"/>
    <w:rsid w:val="005615E5"/>
    <w:rsid w:val="00563CA2"/>
    <w:rsid w:val="00564C3C"/>
    <w:rsid w:val="00565995"/>
    <w:rsid w:val="0056627C"/>
    <w:rsid w:val="00573662"/>
    <w:rsid w:val="00574470"/>
    <w:rsid w:val="00580E41"/>
    <w:rsid w:val="00582E26"/>
    <w:rsid w:val="00593E5C"/>
    <w:rsid w:val="005A156F"/>
    <w:rsid w:val="005A2B0F"/>
    <w:rsid w:val="005B2C53"/>
    <w:rsid w:val="005B3363"/>
    <w:rsid w:val="005C6CDC"/>
    <w:rsid w:val="005D7A58"/>
    <w:rsid w:val="005E0052"/>
    <w:rsid w:val="005E1090"/>
    <w:rsid w:val="005E7AC9"/>
    <w:rsid w:val="005F13BE"/>
    <w:rsid w:val="0060039D"/>
    <w:rsid w:val="006012E5"/>
    <w:rsid w:val="00606FC3"/>
    <w:rsid w:val="00621861"/>
    <w:rsid w:val="00624790"/>
    <w:rsid w:val="0062513B"/>
    <w:rsid w:val="00626851"/>
    <w:rsid w:val="006272B5"/>
    <w:rsid w:val="00627A72"/>
    <w:rsid w:val="006333BD"/>
    <w:rsid w:val="00634AAE"/>
    <w:rsid w:val="0063574B"/>
    <w:rsid w:val="00637D64"/>
    <w:rsid w:val="00643CC0"/>
    <w:rsid w:val="006457BB"/>
    <w:rsid w:val="006458BA"/>
    <w:rsid w:val="00646616"/>
    <w:rsid w:val="00650E3C"/>
    <w:rsid w:val="00650E84"/>
    <w:rsid w:val="00653AE5"/>
    <w:rsid w:val="0065425A"/>
    <w:rsid w:val="00654C5F"/>
    <w:rsid w:val="00654D99"/>
    <w:rsid w:val="00657074"/>
    <w:rsid w:val="00660F82"/>
    <w:rsid w:val="006611D7"/>
    <w:rsid w:val="00663163"/>
    <w:rsid w:val="00663748"/>
    <w:rsid w:val="00670809"/>
    <w:rsid w:val="006817BA"/>
    <w:rsid w:val="0068415E"/>
    <w:rsid w:val="00684228"/>
    <w:rsid w:val="006856A6"/>
    <w:rsid w:val="00693429"/>
    <w:rsid w:val="0069754A"/>
    <w:rsid w:val="006A0E6C"/>
    <w:rsid w:val="006A1337"/>
    <w:rsid w:val="006B0D32"/>
    <w:rsid w:val="006B2325"/>
    <w:rsid w:val="006B237A"/>
    <w:rsid w:val="006B2817"/>
    <w:rsid w:val="006B460F"/>
    <w:rsid w:val="006B7A6E"/>
    <w:rsid w:val="006C00D0"/>
    <w:rsid w:val="006C56A4"/>
    <w:rsid w:val="006D0FE9"/>
    <w:rsid w:val="006E0EA9"/>
    <w:rsid w:val="006E19C7"/>
    <w:rsid w:val="006E200B"/>
    <w:rsid w:val="006F2AEC"/>
    <w:rsid w:val="0070153E"/>
    <w:rsid w:val="00704FF8"/>
    <w:rsid w:val="00705C7A"/>
    <w:rsid w:val="00710F3C"/>
    <w:rsid w:val="00711094"/>
    <w:rsid w:val="00715C07"/>
    <w:rsid w:val="00721F6C"/>
    <w:rsid w:val="007241C5"/>
    <w:rsid w:val="007248C9"/>
    <w:rsid w:val="00734BD4"/>
    <w:rsid w:val="007354F7"/>
    <w:rsid w:val="00735A43"/>
    <w:rsid w:val="00741A14"/>
    <w:rsid w:val="0074334F"/>
    <w:rsid w:val="00744681"/>
    <w:rsid w:val="007521D4"/>
    <w:rsid w:val="007539C8"/>
    <w:rsid w:val="00755577"/>
    <w:rsid w:val="00762913"/>
    <w:rsid w:val="00762FC1"/>
    <w:rsid w:val="007656B0"/>
    <w:rsid w:val="007717BF"/>
    <w:rsid w:val="00771F26"/>
    <w:rsid w:val="00774311"/>
    <w:rsid w:val="00776508"/>
    <w:rsid w:val="007816A1"/>
    <w:rsid w:val="0078184E"/>
    <w:rsid w:val="00782C45"/>
    <w:rsid w:val="00783F7E"/>
    <w:rsid w:val="007A14B0"/>
    <w:rsid w:val="007A16FE"/>
    <w:rsid w:val="007A4792"/>
    <w:rsid w:val="007B5571"/>
    <w:rsid w:val="007B5A95"/>
    <w:rsid w:val="007B664F"/>
    <w:rsid w:val="007C102D"/>
    <w:rsid w:val="007C3213"/>
    <w:rsid w:val="007C3CF5"/>
    <w:rsid w:val="007C548A"/>
    <w:rsid w:val="007C6073"/>
    <w:rsid w:val="007D0D3F"/>
    <w:rsid w:val="007D2A86"/>
    <w:rsid w:val="007D526F"/>
    <w:rsid w:val="007D552E"/>
    <w:rsid w:val="007E0A1F"/>
    <w:rsid w:val="007E2010"/>
    <w:rsid w:val="007E3A0E"/>
    <w:rsid w:val="007E62BC"/>
    <w:rsid w:val="007F1C91"/>
    <w:rsid w:val="007F4172"/>
    <w:rsid w:val="00803255"/>
    <w:rsid w:val="00803926"/>
    <w:rsid w:val="00807A75"/>
    <w:rsid w:val="0081331E"/>
    <w:rsid w:val="008213E4"/>
    <w:rsid w:val="00822B6B"/>
    <w:rsid w:val="00824754"/>
    <w:rsid w:val="00826B98"/>
    <w:rsid w:val="00833669"/>
    <w:rsid w:val="00834B93"/>
    <w:rsid w:val="008529C3"/>
    <w:rsid w:val="0086093F"/>
    <w:rsid w:val="00861927"/>
    <w:rsid w:val="008635CA"/>
    <w:rsid w:val="00863E0B"/>
    <w:rsid w:val="0086456A"/>
    <w:rsid w:val="00866783"/>
    <w:rsid w:val="0087088A"/>
    <w:rsid w:val="00874F92"/>
    <w:rsid w:val="00875E38"/>
    <w:rsid w:val="008762DC"/>
    <w:rsid w:val="0088574D"/>
    <w:rsid w:val="0088592E"/>
    <w:rsid w:val="00885D55"/>
    <w:rsid w:val="0088692C"/>
    <w:rsid w:val="00891344"/>
    <w:rsid w:val="00891918"/>
    <w:rsid w:val="008A06DE"/>
    <w:rsid w:val="008A363C"/>
    <w:rsid w:val="008A562A"/>
    <w:rsid w:val="008A6124"/>
    <w:rsid w:val="008A7AFC"/>
    <w:rsid w:val="008B24B1"/>
    <w:rsid w:val="008B3938"/>
    <w:rsid w:val="008C139A"/>
    <w:rsid w:val="008C55D9"/>
    <w:rsid w:val="008C5889"/>
    <w:rsid w:val="008C59B0"/>
    <w:rsid w:val="008E10DF"/>
    <w:rsid w:val="008E1D64"/>
    <w:rsid w:val="008F37CA"/>
    <w:rsid w:val="00902085"/>
    <w:rsid w:val="00902615"/>
    <w:rsid w:val="00902FA9"/>
    <w:rsid w:val="009120B5"/>
    <w:rsid w:val="009140E4"/>
    <w:rsid w:val="009149DD"/>
    <w:rsid w:val="00915EBB"/>
    <w:rsid w:val="0091694F"/>
    <w:rsid w:val="00917A0F"/>
    <w:rsid w:val="00920C68"/>
    <w:rsid w:val="00920CC6"/>
    <w:rsid w:val="009228D0"/>
    <w:rsid w:val="00924973"/>
    <w:rsid w:val="009255D3"/>
    <w:rsid w:val="00925FBF"/>
    <w:rsid w:val="00935571"/>
    <w:rsid w:val="0093676C"/>
    <w:rsid w:val="009372B1"/>
    <w:rsid w:val="00937D67"/>
    <w:rsid w:val="009445FB"/>
    <w:rsid w:val="00944CB6"/>
    <w:rsid w:val="00947729"/>
    <w:rsid w:val="00954CCA"/>
    <w:rsid w:val="0095528B"/>
    <w:rsid w:val="0095755A"/>
    <w:rsid w:val="009644EA"/>
    <w:rsid w:val="009712B2"/>
    <w:rsid w:val="00972217"/>
    <w:rsid w:val="009775DD"/>
    <w:rsid w:val="00981D91"/>
    <w:rsid w:val="00987945"/>
    <w:rsid w:val="0099128B"/>
    <w:rsid w:val="00994949"/>
    <w:rsid w:val="00997454"/>
    <w:rsid w:val="009A6830"/>
    <w:rsid w:val="009B227D"/>
    <w:rsid w:val="009B6863"/>
    <w:rsid w:val="009C337F"/>
    <w:rsid w:val="009C5146"/>
    <w:rsid w:val="009D39A1"/>
    <w:rsid w:val="009D5F8E"/>
    <w:rsid w:val="009E2025"/>
    <w:rsid w:val="009E5EDD"/>
    <w:rsid w:val="009E7883"/>
    <w:rsid w:val="009F0DDF"/>
    <w:rsid w:val="009F4B75"/>
    <w:rsid w:val="009F6838"/>
    <w:rsid w:val="00A01808"/>
    <w:rsid w:val="00A027B5"/>
    <w:rsid w:val="00A10A7E"/>
    <w:rsid w:val="00A12510"/>
    <w:rsid w:val="00A14190"/>
    <w:rsid w:val="00A23FE2"/>
    <w:rsid w:val="00A24FC5"/>
    <w:rsid w:val="00A25829"/>
    <w:rsid w:val="00A265B4"/>
    <w:rsid w:val="00A26F06"/>
    <w:rsid w:val="00A30A2D"/>
    <w:rsid w:val="00A35E42"/>
    <w:rsid w:val="00A552FB"/>
    <w:rsid w:val="00A56065"/>
    <w:rsid w:val="00A63BE2"/>
    <w:rsid w:val="00A64538"/>
    <w:rsid w:val="00A65651"/>
    <w:rsid w:val="00A75D43"/>
    <w:rsid w:val="00A80C7A"/>
    <w:rsid w:val="00A83AB7"/>
    <w:rsid w:val="00A86C45"/>
    <w:rsid w:val="00A86D08"/>
    <w:rsid w:val="00A86E8B"/>
    <w:rsid w:val="00A900B1"/>
    <w:rsid w:val="00A94D14"/>
    <w:rsid w:val="00AA0044"/>
    <w:rsid w:val="00AA1EDE"/>
    <w:rsid w:val="00AA22BE"/>
    <w:rsid w:val="00AA59D3"/>
    <w:rsid w:val="00AB086F"/>
    <w:rsid w:val="00AC3843"/>
    <w:rsid w:val="00AC52DD"/>
    <w:rsid w:val="00AC6B54"/>
    <w:rsid w:val="00AC6F31"/>
    <w:rsid w:val="00AD08F1"/>
    <w:rsid w:val="00AD0E22"/>
    <w:rsid w:val="00AD5A97"/>
    <w:rsid w:val="00AE6743"/>
    <w:rsid w:val="00AF0820"/>
    <w:rsid w:val="00AF20E3"/>
    <w:rsid w:val="00AF31CC"/>
    <w:rsid w:val="00B00701"/>
    <w:rsid w:val="00B02C62"/>
    <w:rsid w:val="00B0464E"/>
    <w:rsid w:val="00B07C9C"/>
    <w:rsid w:val="00B13986"/>
    <w:rsid w:val="00B16371"/>
    <w:rsid w:val="00B16DAB"/>
    <w:rsid w:val="00B179A3"/>
    <w:rsid w:val="00B20418"/>
    <w:rsid w:val="00B2046E"/>
    <w:rsid w:val="00B21F43"/>
    <w:rsid w:val="00B2795E"/>
    <w:rsid w:val="00B417C1"/>
    <w:rsid w:val="00B42EAD"/>
    <w:rsid w:val="00B4584D"/>
    <w:rsid w:val="00B54FF0"/>
    <w:rsid w:val="00B5757E"/>
    <w:rsid w:val="00B57E90"/>
    <w:rsid w:val="00B57F45"/>
    <w:rsid w:val="00B64C20"/>
    <w:rsid w:val="00B7066E"/>
    <w:rsid w:val="00B73C2F"/>
    <w:rsid w:val="00B74300"/>
    <w:rsid w:val="00B80782"/>
    <w:rsid w:val="00B82CCF"/>
    <w:rsid w:val="00B92432"/>
    <w:rsid w:val="00B932EB"/>
    <w:rsid w:val="00B94EFE"/>
    <w:rsid w:val="00B956C6"/>
    <w:rsid w:val="00BA132A"/>
    <w:rsid w:val="00BA3A74"/>
    <w:rsid w:val="00BA7C59"/>
    <w:rsid w:val="00BB3D17"/>
    <w:rsid w:val="00BB6DDC"/>
    <w:rsid w:val="00BB70E4"/>
    <w:rsid w:val="00BB7742"/>
    <w:rsid w:val="00BC1145"/>
    <w:rsid w:val="00BC551B"/>
    <w:rsid w:val="00BC55C6"/>
    <w:rsid w:val="00BC6ADC"/>
    <w:rsid w:val="00BD25B0"/>
    <w:rsid w:val="00BD4B75"/>
    <w:rsid w:val="00BD6ED7"/>
    <w:rsid w:val="00BE2AD9"/>
    <w:rsid w:val="00BF1BE2"/>
    <w:rsid w:val="00BF79C9"/>
    <w:rsid w:val="00C00C04"/>
    <w:rsid w:val="00C103FC"/>
    <w:rsid w:val="00C15222"/>
    <w:rsid w:val="00C168FA"/>
    <w:rsid w:val="00C21F3E"/>
    <w:rsid w:val="00C22CB3"/>
    <w:rsid w:val="00C263C4"/>
    <w:rsid w:val="00C311BE"/>
    <w:rsid w:val="00C322E8"/>
    <w:rsid w:val="00C33A5D"/>
    <w:rsid w:val="00C40F31"/>
    <w:rsid w:val="00C4303B"/>
    <w:rsid w:val="00C45798"/>
    <w:rsid w:val="00C45DC6"/>
    <w:rsid w:val="00C46FFD"/>
    <w:rsid w:val="00C4721D"/>
    <w:rsid w:val="00C61E36"/>
    <w:rsid w:val="00C766C2"/>
    <w:rsid w:val="00C850D3"/>
    <w:rsid w:val="00C877C9"/>
    <w:rsid w:val="00C91ED7"/>
    <w:rsid w:val="00C9445C"/>
    <w:rsid w:val="00C96322"/>
    <w:rsid w:val="00CA3F9B"/>
    <w:rsid w:val="00CA40FC"/>
    <w:rsid w:val="00CC219F"/>
    <w:rsid w:val="00CC2B42"/>
    <w:rsid w:val="00CD1F63"/>
    <w:rsid w:val="00CD31FB"/>
    <w:rsid w:val="00CD4223"/>
    <w:rsid w:val="00CE3534"/>
    <w:rsid w:val="00CE3DC8"/>
    <w:rsid w:val="00CE4BDC"/>
    <w:rsid w:val="00CF23EA"/>
    <w:rsid w:val="00CF7B33"/>
    <w:rsid w:val="00D115C7"/>
    <w:rsid w:val="00D1282A"/>
    <w:rsid w:val="00D12FFC"/>
    <w:rsid w:val="00D151A7"/>
    <w:rsid w:val="00D17BB4"/>
    <w:rsid w:val="00D211BA"/>
    <w:rsid w:val="00D21F08"/>
    <w:rsid w:val="00D25C60"/>
    <w:rsid w:val="00D26248"/>
    <w:rsid w:val="00D26D67"/>
    <w:rsid w:val="00D3079F"/>
    <w:rsid w:val="00D35E33"/>
    <w:rsid w:val="00D378DE"/>
    <w:rsid w:val="00D40150"/>
    <w:rsid w:val="00D42ACC"/>
    <w:rsid w:val="00D42FD7"/>
    <w:rsid w:val="00D45D67"/>
    <w:rsid w:val="00D52A49"/>
    <w:rsid w:val="00D539B0"/>
    <w:rsid w:val="00D54FB4"/>
    <w:rsid w:val="00D554D7"/>
    <w:rsid w:val="00D57E48"/>
    <w:rsid w:val="00D603A4"/>
    <w:rsid w:val="00D64783"/>
    <w:rsid w:val="00D70707"/>
    <w:rsid w:val="00D755A5"/>
    <w:rsid w:val="00D76C9F"/>
    <w:rsid w:val="00D82185"/>
    <w:rsid w:val="00D8301D"/>
    <w:rsid w:val="00D856EA"/>
    <w:rsid w:val="00D86782"/>
    <w:rsid w:val="00D90A64"/>
    <w:rsid w:val="00D91C15"/>
    <w:rsid w:val="00D94447"/>
    <w:rsid w:val="00DA238F"/>
    <w:rsid w:val="00DA3FB0"/>
    <w:rsid w:val="00DA41A3"/>
    <w:rsid w:val="00DB0E70"/>
    <w:rsid w:val="00DB2273"/>
    <w:rsid w:val="00DB265E"/>
    <w:rsid w:val="00DB2CFF"/>
    <w:rsid w:val="00DB352A"/>
    <w:rsid w:val="00DB5FBF"/>
    <w:rsid w:val="00DC3A55"/>
    <w:rsid w:val="00DC3D0C"/>
    <w:rsid w:val="00DC431A"/>
    <w:rsid w:val="00DC4359"/>
    <w:rsid w:val="00DC525E"/>
    <w:rsid w:val="00DC6173"/>
    <w:rsid w:val="00DD1552"/>
    <w:rsid w:val="00DD1AE1"/>
    <w:rsid w:val="00DD3489"/>
    <w:rsid w:val="00DD69F3"/>
    <w:rsid w:val="00DE19FE"/>
    <w:rsid w:val="00DE322C"/>
    <w:rsid w:val="00DE6B20"/>
    <w:rsid w:val="00DE7176"/>
    <w:rsid w:val="00E02532"/>
    <w:rsid w:val="00E02E5B"/>
    <w:rsid w:val="00E0796E"/>
    <w:rsid w:val="00E113F1"/>
    <w:rsid w:val="00E2084B"/>
    <w:rsid w:val="00E22D83"/>
    <w:rsid w:val="00E278BC"/>
    <w:rsid w:val="00E303BF"/>
    <w:rsid w:val="00E3214A"/>
    <w:rsid w:val="00E4202F"/>
    <w:rsid w:val="00E42D18"/>
    <w:rsid w:val="00E44B34"/>
    <w:rsid w:val="00E44F66"/>
    <w:rsid w:val="00E46949"/>
    <w:rsid w:val="00E46F17"/>
    <w:rsid w:val="00E642D2"/>
    <w:rsid w:val="00E6728E"/>
    <w:rsid w:val="00E7051D"/>
    <w:rsid w:val="00E711B5"/>
    <w:rsid w:val="00E72091"/>
    <w:rsid w:val="00E904C9"/>
    <w:rsid w:val="00E92950"/>
    <w:rsid w:val="00EA059C"/>
    <w:rsid w:val="00EA0758"/>
    <w:rsid w:val="00EA0F77"/>
    <w:rsid w:val="00EA14E2"/>
    <w:rsid w:val="00EA3340"/>
    <w:rsid w:val="00EB230B"/>
    <w:rsid w:val="00EC0611"/>
    <w:rsid w:val="00EC1CDB"/>
    <w:rsid w:val="00EC5169"/>
    <w:rsid w:val="00EC7EFD"/>
    <w:rsid w:val="00ED05EB"/>
    <w:rsid w:val="00ED0891"/>
    <w:rsid w:val="00ED7941"/>
    <w:rsid w:val="00EE516B"/>
    <w:rsid w:val="00EE5AD1"/>
    <w:rsid w:val="00EF44FD"/>
    <w:rsid w:val="00EF4E96"/>
    <w:rsid w:val="00F01FAA"/>
    <w:rsid w:val="00F05080"/>
    <w:rsid w:val="00F12317"/>
    <w:rsid w:val="00F13603"/>
    <w:rsid w:val="00F155AC"/>
    <w:rsid w:val="00F22E2B"/>
    <w:rsid w:val="00F30974"/>
    <w:rsid w:val="00F309F8"/>
    <w:rsid w:val="00F4048C"/>
    <w:rsid w:val="00F45517"/>
    <w:rsid w:val="00F4732E"/>
    <w:rsid w:val="00F53BDC"/>
    <w:rsid w:val="00F577D9"/>
    <w:rsid w:val="00F612E2"/>
    <w:rsid w:val="00F65373"/>
    <w:rsid w:val="00F66A02"/>
    <w:rsid w:val="00F66E64"/>
    <w:rsid w:val="00F67F93"/>
    <w:rsid w:val="00F71066"/>
    <w:rsid w:val="00F72D45"/>
    <w:rsid w:val="00F7314C"/>
    <w:rsid w:val="00F756CA"/>
    <w:rsid w:val="00F7621B"/>
    <w:rsid w:val="00F77A02"/>
    <w:rsid w:val="00F82D6A"/>
    <w:rsid w:val="00F863D9"/>
    <w:rsid w:val="00F87B02"/>
    <w:rsid w:val="00F905A7"/>
    <w:rsid w:val="00F930AF"/>
    <w:rsid w:val="00F939C7"/>
    <w:rsid w:val="00F96DA5"/>
    <w:rsid w:val="00F96E81"/>
    <w:rsid w:val="00FA64C6"/>
    <w:rsid w:val="00FB4AFD"/>
    <w:rsid w:val="00FB7859"/>
    <w:rsid w:val="00FC0FCC"/>
    <w:rsid w:val="00FC1A64"/>
    <w:rsid w:val="00FC2AD9"/>
    <w:rsid w:val="00FC2BC7"/>
    <w:rsid w:val="00FC2C5F"/>
    <w:rsid w:val="00FC4CF4"/>
    <w:rsid w:val="00FE115B"/>
    <w:rsid w:val="00FE5324"/>
    <w:rsid w:val="00FE6CDA"/>
    <w:rsid w:val="00FE760B"/>
    <w:rsid w:val="00FF02D4"/>
    <w:rsid w:val="00FF0947"/>
    <w:rsid w:val="00FF3B05"/>
    <w:rsid w:val="00FF4575"/>
    <w:rsid w:val="00FF6E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F8352"/>
  <w15:docId w15:val="{8EC8CA57-6DB9-47E0-B751-0C8B45F8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28D0"/>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9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169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D25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D25B0"/>
    <w:rPr>
      <w:rFonts w:ascii="Calibri" w:hAnsi="Calibri"/>
      <w:noProof/>
      <w:lang w:val="en-US"/>
    </w:rPr>
  </w:style>
  <w:style w:type="paragraph" w:customStyle="1" w:styleId="EndNoteBibliography">
    <w:name w:val="EndNote Bibliography"/>
    <w:basedOn w:val="Normal"/>
    <w:link w:val="EndNoteBibliographyChar"/>
    <w:rsid w:val="00BD25B0"/>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BD25B0"/>
    <w:rPr>
      <w:rFonts w:ascii="Calibri" w:hAnsi="Calibri"/>
      <w:noProof/>
      <w:lang w:val="en-US"/>
    </w:rPr>
  </w:style>
  <w:style w:type="character" w:styleId="Hyperlink">
    <w:name w:val="Hyperlink"/>
    <w:basedOn w:val="DefaultParagraphFont"/>
    <w:uiPriority w:val="99"/>
    <w:unhideWhenUsed/>
    <w:rsid w:val="00BD25B0"/>
    <w:rPr>
      <w:color w:val="0563C1" w:themeColor="hyperlink"/>
      <w:u w:val="single"/>
    </w:rPr>
  </w:style>
  <w:style w:type="character" w:styleId="CommentReference">
    <w:name w:val="annotation reference"/>
    <w:basedOn w:val="DefaultParagraphFont"/>
    <w:uiPriority w:val="99"/>
    <w:semiHidden/>
    <w:unhideWhenUsed/>
    <w:rsid w:val="007E2010"/>
    <w:rPr>
      <w:sz w:val="16"/>
      <w:szCs w:val="16"/>
    </w:rPr>
  </w:style>
  <w:style w:type="paragraph" w:styleId="CommentText">
    <w:name w:val="annotation text"/>
    <w:basedOn w:val="Normal"/>
    <w:link w:val="CommentTextChar"/>
    <w:uiPriority w:val="99"/>
    <w:semiHidden/>
    <w:unhideWhenUsed/>
    <w:rsid w:val="007E2010"/>
    <w:pPr>
      <w:spacing w:line="240" w:lineRule="auto"/>
    </w:pPr>
    <w:rPr>
      <w:sz w:val="20"/>
      <w:szCs w:val="20"/>
    </w:rPr>
  </w:style>
  <w:style w:type="character" w:customStyle="1" w:styleId="CommentTextChar">
    <w:name w:val="Comment Text Char"/>
    <w:basedOn w:val="DefaultParagraphFont"/>
    <w:link w:val="CommentText"/>
    <w:uiPriority w:val="99"/>
    <w:semiHidden/>
    <w:rsid w:val="007E2010"/>
    <w:rPr>
      <w:sz w:val="20"/>
      <w:szCs w:val="20"/>
    </w:rPr>
  </w:style>
  <w:style w:type="paragraph" w:styleId="CommentSubject">
    <w:name w:val="annotation subject"/>
    <w:basedOn w:val="CommentText"/>
    <w:next w:val="CommentText"/>
    <w:link w:val="CommentSubjectChar"/>
    <w:uiPriority w:val="99"/>
    <w:semiHidden/>
    <w:unhideWhenUsed/>
    <w:rsid w:val="007E2010"/>
    <w:rPr>
      <w:b/>
      <w:bCs/>
    </w:rPr>
  </w:style>
  <w:style w:type="character" w:customStyle="1" w:styleId="CommentSubjectChar">
    <w:name w:val="Comment Subject Char"/>
    <w:basedOn w:val="CommentTextChar"/>
    <w:link w:val="CommentSubject"/>
    <w:uiPriority w:val="99"/>
    <w:semiHidden/>
    <w:rsid w:val="007E2010"/>
    <w:rPr>
      <w:b/>
      <w:bCs/>
      <w:sz w:val="20"/>
      <w:szCs w:val="20"/>
    </w:rPr>
  </w:style>
  <w:style w:type="paragraph" w:styleId="BalloonText">
    <w:name w:val="Balloon Text"/>
    <w:basedOn w:val="Normal"/>
    <w:link w:val="BalloonTextChar"/>
    <w:uiPriority w:val="99"/>
    <w:semiHidden/>
    <w:unhideWhenUsed/>
    <w:rsid w:val="007E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10"/>
    <w:rPr>
      <w:rFonts w:ascii="Segoe UI" w:hAnsi="Segoe UI" w:cs="Segoe UI"/>
      <w:sz w:val="18"/>
      <w:szCs w:val="18"/>
    </w:rPr>
  </w:style>
  <w:style w:type="character" w:styleId="PlaceholderText">
    <w:name w:val="Placeholder Text"/>
    <w:basedOn w:val="DefaultParagraphFont"/>
    <w:uiPriority w:val="99"/>
    <w:semiHidden/>
    <w:rsid w:val="002C65CF"/>
    <w:rPr>
      <w:color w:val="808080"/>
    </w:rPr>
  </w:style>
  <w:style w:type="paragraph" w:styleId="NormalWeb">
    <w:name w:val="Normal (Web)"/>
    <w:basedOn w:val="Normal"/>
    <w:uiPriority w:val="99"/>
    <w:semiHidden/>
    <w:unhideWhenUsed/>
    <w:rsid w:val="009775D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9228D0"/>
    <w:rPr>
      <w:rFonts w:ascii="Times New Roman" w:hAnsi="Times New Roman" w:cs="Times New Roman"/>
      <w:b/>
      <w:bCs/>
      <w:kern w:val="36"/>
      <w:sz w:val="48"/>
      <w:szCs w:val="48"/>
    </w:rPr>
  </w:style>
  <w:style w:type="character" w:customStyle="1" w:styleId="highlight">
    <w:name w:val="highlight"/>
    <w:basedOn w:val="DefaultParagraphFont"/>
    <w:rsid w:val="009228D0"/>
  </w:style>
  <w:style w:type="paragraph" w:styleId="Revision">
    <w:name w:val="Revision"/>
    <w:hidden/>
    <w:uiPriority w:val="99"/>
    <w:semiHidden/>
    <w:rsid w:val="00A24FC5"/>
    <w:pPr>
      <w:spacing w:after="0" w:line="240" w:lineRule="auto"/>
    </w:pPr>
  </w:style>
  <w:style w:type="paragraph" w:styleId="ListParagraph">
    <w:name w:val="List Paragraph"/>
    <w:basedOn w:val="Normal"/>
    <w:uiPriority w:val="34"/>
    <w:qFormat/>
    <w:rsid w:val="00BB70E4"/>
    <w:pPr>
      <w:ind w:left="720"/>
      <w:contextualSpacing/>
    </w:pPr>
  </w:style>
  <w:style w:type="character" w:customStyle="1" w:styleId="Heading2Char">
    <w:name w:val="Heading 2 Char"/>
    <w:basedOn w:val="DefaultParagraphFont"/>
    <w:link w:val="Heading2"/>
    <w:uiPriority w:val="9"/>
    <w:semiHidden/>
    <w:rsid w:val="00AA59D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4A686E"/>
  </w:style>
  <w:style w:type="character" w:customStyle="1" w:styleId="Heading4Char">
    <w:name w:val="Heading 4 Char"/>
    <w:basedOn w:val="DefaultParagraphFont"/>
    <w:link w:val="Heading4"/>
    <w:uiPriority w:val="9"/>
    <w:semiHidden/>
    <w:rsid w:val="0091694F"/>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uiPriority w:val="99"/>
    <w:rsid w:val="00D17BB4"/>
  </w:style>
  <w:style w:type="paragraph" w:styleId="Header">
    <w:name w:val="header"/>
    <w:basedOn w:val="Normal"/>
    <w:link w:val="HeaderChar"/>
    <w:uiPriority w:val="99"/>
    <w:unhideWhenUsed/>
    <w:rsid w:val="00D17BB4"/>
    <w:pPr>
      <w:tabs>
        <w:tab w:val="center" w:pos="4513"/>
        <w:tab w:val="right" w:pos="9026"/>
      </w:tabs>
      <w:spacing w:after="0" w:line="240" w:lineRule="auto"/>
    </w:pPr>
  </w:style>
  <w:style w:type="character" w:customStyle="1" w:styleId="HeaderChar1">
    <w:name w:val="Header Char1"/>
    <w:basedOn w:val="DefaultParagraphFont"/>
    <w:uiPriority w:val="99"/>
    <w:semiHidden/>
    <w:rsid w:val="00D17BB4"/>
  </w:style>
  <w:style w:type="character" w:customStyle="1" w:styleId="FooterChar">
    <w:name w:val="Footer Char"/>
    <w:basedOn w:val="DefaultParagraphFont"/>
    <w:link w:val="Footer"/>
    <w:uiPriority w:val="99"/>
    <w:rsid w:val="00D17BB4"/>
  </w:style>
  <w:style w:type="paragraph" w:styleId="Footer">
    <w:name w:val="footer"/>
    <w:basedOn w:val="Normal"/>
    <w:link w:val="FooterChar"/>
    <w:uiPriority w:val="99"/>
    <w:unhideWhenUsed/>
    <w:rsid w:val="00D17BB4"/>
    <w:pPr>
      <w:tabs>
        <w:tab w:val="center" w:pos="4513"/>
        <w:tab w:val="right" w:pos="9026"/>
      </w:tabs>
      <w:spacing w:after="0" w:line="240" w:lineRule="auto"/>
    </w:pPr>
  </w:style>
  <w:style w:type="character" w:customStyle="1" w:styleId="FooterChar1">
    <w:name w:val="Footer Char1"/>
    <w:basedOn w:val="DefaultParagraphFont"/>
    <w:uiPriority w:val="99"/>
    <w:semiHidden/>
    <w:rsid w:val="00D17BB4"/>
  </w:style>
  <w:style w:type="table" w:styleId="TableGrid">
    <w:name w:val="Table Grid"/>
    <w:basedOn w:val="TableNormal"/>
    <w:uiPriority w:val="39"/>
    <w:rsid w:val="00D1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7BB4"/>
    <w:pPr>
      <w:spacing w:after="0" w:line="240" w:lineRule="auto"/>
    </w:pPr>
  </w:style>
  <w:style w:type="character" w:customStyle="1" w:styleId="BalloonTextChar1">
    <w:name w:val="Balloon Text Char1"/>
    <w:basedOn w:val="DefaultParagraphFont"/>
    <w:uiPriority w:val="99"/>
    <w:semiHidden/>
    <w:rsid w:val="00D17BB4"/>
    <w:rPr>
      <w:rFonts w:ascii="Segoe UI" w:hAnsi="Segoe UI" w:cs="Segoe UI"/>
      <w:sz w:val="18"/>
      <w:szCs w:val="18"/>
    </w:rPr>
  </w:style>
  <w:style w:type="character" w:customStyle="1" w:styleId="CommentTextChar1">
    <w:name w:val="Comment Text Char1"/>
    <w:basedOn w:val="DefaultParagraphFont"/>
    <w:uiPriority w:val="99"/>
    <w:semiHidden/>
    <w:rsid w:val="00D17BB4"/>
    <w:rPr>
      <w:sz w:val="20"/>
      <w:szCs w:val="20"/>
    </w:rPr>
  </w:style>
  <w:style w:type="character" w:customStyle="1" w:styleId="CommentSubjectChar1">
    <w:name w:val="Comment Subject Char1"/>
    <w:basedOn w:val="CommentTextChar1"/>
    <w:uiPriority w:val="99"/>
    <w:semiHidden/>
    <w:rsid w:val="00D17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0908">
      <w:bodyDiv w:val="1"/>
      <w:marLeft w:val="0"/>
      <w:marRight w:val="0"/>
      <w:marTop w:val="0"/>
      <w:marBottom w:val="0"/>
      <w:divBdr>
        <w:top w:val="none" w:sz="0" w:space="0" w:color="auto"/>
        <w:left w:val="none" w:sz="0" w:space="0" w:color="auto"/>
        <w:bottom w:val="none" w:sz="0" w:space="0" w:color="auto"/>
        <w:right w:val="none" w:sz="0" w:space="0" w:color="auto"/>
      </w:divBdr>
    </w:div>
    <w:div w:id="282230241">
      <w:bodyDiv w:val="1"/>
      <w:marLeft w:val="0"/>
      <w:marRight w:val="0"/>
      <w:marTop w:val="0"/>
      <w:marBottom w:val="0"/>
      <w:divBdr>
        <w:top w:val="none" w:sz="0" w:space="0" w:color="auto"/>
        <w:left w:val="none" w:sz="0" w:space="0" w:color="auto"/>
        <w:bottom w:val="none" w:sz="0" w:space="0" w:color="auto"/>
        <w:right w:val="none" w:sz="0" w:space="0" w:color="auto"/>
      </w:divBdr>
    </w:div>
    <w:div w:id="353650806">
      <w:bodyDiv w:val="1"/>
      <w:marLeft w:val="0"/>
      <w:marRight w:val="0"/>
      <w:marTop w:val="0"/>
      <w:marBottom w:val="0"/>
      <w:divBdr>
        <w:top w:val="none" w:sz="0" w:space="0" w:color="auto"/>
        <w:left w:val="none" w:sz="0" w:space="0" w:color="auto"/>
        <w:bottom w:val="none" w:sz="0" w:space="0" w:color="auto"/>
        <w:right w:val="none" w:sz="0" w:space="0" w:color="auto"/>
      </w:divBdr>
    </w:div>
    <w:div w:id="359473067">
      <w:bodyDiv w:val="1"/>
      <w:marLeft w:val="0"/>
      <w:marRight w:val="0"/>
      <w:marTop w:val="0"/>
      <w:marBottom w:val="0"/>
      <w:divBdr>
        <w:top w:val="none" w:sz="0" w:space="0" w:color="auto"/>
        <w:left w:val="none" w:sz="0" w:space="0" w:color="auto"/>
        <w:bottom w:val="none" w:sz="0" w:space="0" w:color="auto"/>
        <w:right w:val="none" w:sz="0" w:space="0" w:color="auto"/>
      </w:divBdr>
    </w:div>
    <w:div w:id="419520864">
      <w:bodyDiv w:val="1"/>
      <w:marLeft w:val="0"/>
      <w:marRight w:val="0"/>
      <w:marTop w:val="0"/>
      <w:marBottom w:val="0"/>
      <w:divBdr>
        <w:top w:val="none" w:sz="0" w:space="0" w:color="auto"/>
        <w:left w:val="none" w:sz="0" w:space="0" w:color="auto"/>
        <w:bottom w:val="none" w:sz="0" w:space="0" w:color="auto"/>
        <w:right w:val="none" w:sz="0" w:space="0" w:color="auto"/>
      </w:divBdr>
    </w:div>
    <w:div w:id="446126277">
      <w:bodyDiv w:val="1"/>
      <w:marLeft w:val="0"/>
      <w:marRight w:val="0"/>
      <w:marTop w:val="0"/>
      <w:marBottom w:val="0"/>
      <w:divBdr>
        <w:top w:val="none" w:sz="0" w:space="0" w:color="auto"/>
        <w:left w:val="none" w:sz="0" w:space="0" w:color="auto"/>
        <w:bottom w:val="none" w:sz="0" w:space="0" w:color="auto"/>
        <w:right w:val="none" w:sz="0" w:space="0" w:color="auto"/>
      </w:divBdr>
    </w:div>
    <w:div w:id="510031017">
      <w:bodyDiv w:val="1"/>
      <w:marLeft w:val="0"/>
      <w:marRight w:val="0"/>
      <w:marTop w:val="0"/>
      <w:marBottom w:val="0"/>
      <w:divBdr>
        <w:top w:val="none" w:sz="0" w:space="0" w:color="auto"/>
        <w:left w:val="none" w:sz="0" w:space="0" w:color="auto"/>
        <w:bottom w:val="none" w:sz="0" w:space="0" w:color="auto"/>
        <w:right w:val="none" w:sz="0" w:space="0" w:color="auto"/>
      </w:divBdr>
    </w:div>
    <w:div w:id="636495568">
      <w:bodyDiv w:val="1"/>
      <w:marLeft w:val="0"/>
      <w:marRight w:val="0"/>
      <w:marTop w:val="0"/>
      <w:marBottom w:val="0"/>
      <w:divBdr>
        <w:top w:val="none" w:sz="0" w:space="0" w:color="auto"/>
        <w:left w:val="none" w:sz="0" w:space="0" w:color="auto"/>
        <w:bottom w:val="none" w:sz="0" w:space="0" w:color="auto"/>
        <w:right w:val="none" w:sz="0" w:space="0" w:color="auto"/>
      </w:divBdr>
    </w:div>
    <w:div w:id="665519655">
      <w:bodyDiv w:val="1"/>
      <w:marLeft w:val="0"/>
      <w:marRight w:val="0"/>
      <w:marTop w:val="0"/>
      <w:marBottom w:val="0"/>
      <w:divBdr>
        <w:top w:val="none" w:sz="0" w:space="0" w:color="auto"/>
        <w:left w:val="none" w:sz="0" w:space="0" w:color="auto"/>
        <w:bottom w:val="none" w:sz="0" w:space="0" w:color="auto"/>
        <w:right w:val="none" w:sz="0" w:space="0" w:color="auto"/>
      </w:divBdr>
    </w:div>
    <w:div w:id="804396323">
      <w:bodyDiv w:val="1"/>
      <w:marLeft w:val="0"/>
      <w:marRight w:val="0"/>
      <w:marTop w:val="0"/>
      <w:marBottom w:val="0"/>
      <w:divBdr>
        <w:top w:val="none" w:sz="0" w:space="0" w:color="auto"/>
        <w:left w:val="none" w:sz="0" w:space="0" w:color="auto"/>
        <w:bottom w:val="none" w:sz="0" w:space="0" w:color="auto"/>
        <w:right w:val="none" w:sz="0" w:space="0" w:color="auto"/>
      </w:divBdr>
    </w:div>
    <w:div w:id="809322909">
      <w:bodyDiv w:val="1"/>
      <w:marLeft w:val="0"/>
      <w:marRight w:val="0"/>
      <w:marTop w:val="0"/>
      <w:marBottom w:val="0"/>
      <w:divBdr>
        <w:top w:val="none" w:sz="0" w:space="0" w:color="auto"/>
        <w:left w:val="none" w:sz="0" w:space="0" w:color="auto"/>
        <w:bottom w:val="none" w:sz="0" w:space="0" w:color="auto"/>
        <w:right w:val="none" w:sz="0" w:space="0" w:color="auto"/>
      </w:divBdr>
    </w:div>
    <w:div w:id="809785401">
      <w:bodyDiv w:val="1"/>
      <w:marLeft w:val="0"/>
      <w:marRight w:val="0"/>
      <w:marTop w:val="0"/>
      <w:marBottom w:val="0"/>
      <w:divBdr>
        <w:top w:val="none" w:sz="0" w:space="0" w:color="auto"/>
        <w:left w:val="none" w:sz="0" w:space="0" w:color="auto"/>
        <w:bottom w:val="none" w:sz="0" w:space="0" w:color="auto"/>
        <w:right w:val="none" w:sz="0" w:space="0" w:color="auto"/>
      </w:divBdr>
    </w:div>
    <w:div w:id="883294963">
      <w:bodyDiv w:val="1"/>
      <w:marLeft w:val="0"/>
      <w:marRight w:val="0"/>
      <w:marTop w:val="0"/>
      <w:marBottom w:val="0"/>
      <w:divBdr>
        <w:top w:val="none" w:sz="0" w:space="0" w:color="auto"/>
        <w:left w:val="none" w:sz="0" w:space="0" w:color="auto"/>
        <w:bottom w:val="none" w:sz="0" w:space="0" w:color="auto"/>
        <w:right w:val="none" w:sz="0" w:space="0" w:color="auto"/>
      </w:divBdr>
    </w:div>
    <w:div w:id="927152472">
      <w:bodyDiv w:val="1"/>
      <w:marLeft w:val="0"/>
      <w:marRight w:val="0"/>
      <w:marTop w:val="0"/>
      <w:marBottom w:val="0"/>
      <w:divBdr>
        <w:top w:val="none" w:sz="0" w:space="0" w:color="auto"/>
        <w:left w:val="none" w:sz="0" w:space="0" w:color="auto"/>
        <w:bottom w:val="none" w:sz="0" w:space="0" w:color="auto"/>
        <w:right w:val="none" w:sz="0" w:space="0" w:color="auto"/>
      </w:divBdr>
    </w:div>
    <w:div w:id="952640205">
      <w:bodyDiv w:val="1"/>
      <w:marLeft w:val="0"/>
      <w:marRight w:val="0"/>
      <w:marTop w:val="0"/>
      <w:marBottom w:val="0"/>
      <w:divBdr>
        <w:top w:val="none" w:sz="0" w:space="0" w:color="auto"/>
        <w:left w:val="none" w:sz="0" w:space="0" w:color="auto"/>
        <w:bottom w:val="none" w:sz="0" w:space="0" w:color="auto"/>
        <w:right w:val="none" w:sz="0" w:space="0" w:color="auto"/>
      </w:divBdr>
    </w:div>
    <w:div w:id="1017266719">
      <w:bodyDiv w:val="1"/>
      <w:marLeft w:val="0"/>
      <w:marRight w:val="0"/>
      <w:marTop w:val="0"/>
      <w:marBottom w:val="0"/>
      <w:divBdr>
        <w:top w:val="none" w:sz="0" w:space="0" w:color="auto"/>
        <w:left w:val="none" w:sz="0" w:space="0" w:color="auto"/>
        <w:bottom w:val="none" w:sz="0" w:space="0" w:color="auto"/>
        <w:right w:val="none" w:sz="0" w:space="0" w:color="auto"/>
      </w:divBdr>
    </w:div>
    <w:div w:id="1019964489">
      <w:bodyDiv w:val="1"/>
      <w:marLeft w:val="0"/>
      <w:marRight w:val="0"/>
      <w:marTop w:val="0"/>
      <w:marBottom w:val="0"/>
      <w:divBdr>
        <w:top w:val="none" w:sz="0" w:space="0" w:color="auto"/>
        <w:left w:val="none" w:sz="0" w:space="0" w:color="auto"/>
        <w:bottom w:val="none" w:sz="0" w:space="0" w:color="auto"/>
        <w:right w:val="none" w:sz="0" w:space="0" w:color="auto"/>
      </w:divBdr>
    </w:div>
    <w:div w:id="1055592006">
      <w:bodyDiv w:val="1"/>
      <w:marLeft w:val="0"/>
      <w:marRight w:val="0"/>
      <w:marTop w:val="0"/>
      <w:marBottom w:val="0"/>
      <w:divBdr>
        <w:top w:val="none" w:sz="0" w:space="0" w:color="auto"/>
        <w:left w:val="none" w:sz="0" w:space="0" w:color="auto"/>
        <w:bottom w:val="none" w:sz="0" w:space="0" w:color="auto"/>
        <w:right w:val="none" w:sz="0" w:space="0" w:color="auto"/>
      </w:divBdr>
    </w:div>
    <w:div w:id="1069110570">
      <w:bodyDiv w:val="1"/>
      <w:marLeft w:val="0"/>
      <w:marRight w:val="0"/>
      <w:marTop w:val="0"/>
      <w:marBottom w:val="0"/>
      <w:divBdr>
        <w:top w:val="none" w:sz="0" w:space="0" w:color="auto"/>
        <w:left w:val="none" w:sz="0" w:space="0" w:color="auto"/>
        <w:bottom w:val="none" w:sz="0" w:space="0" w:color="auto"/>
        <w:right w:val="none" w:sz="0" w:space="0" w:color="auto"/>
      </w:divBdr>
    </w:div>
    <w:div w:id="1100612186">
      <w:bodyDiv w:val="1"/>
      <w:marLeft w:val="0"/>
      <w:marRight w:val="0"/>
      <w:marTop w:val="0"/>
      <w:marBottom w:val="0"/>
      <w:divBdr>
        <w:top w:val="none" w:sz="0" w:space="0" w:color="auto"/>
        <w:left w:val="none" w:sz="0" w:space="0" w:color="auto"/>
        <w:bottom w:val="none" w:sz="0" w:space="0" w:color="auto"/>
        <w:right w:val="none" w:sz="0" w:space="0" w:color="auto"/>
      </w:divBdr>
    </w:div>
    <w:div w:id="1118068596">
      <w:bodyDiv w:val="1"/>
      <w:marLeft w:val="0"/>
      <w:marRight w:val="0"/>
      <w:marTop w:val="0"/>
      <w:marBottom w:val="0"/>
      <w:divBdr>
        <w:top w:val="none" w:sz="0" w:space="0" w:color="auto"/>
        <w:left w:val="none" w:sz="0" w:space="0" w:color="auto"/>
        <w:bottom w:val="none" w:sz="0" w:space="0" w:color="auto"/>
        <w:right w:val="none" w:sz="0" w:space="0" w:color="auto"/>
      </w:divBdr>
    </w:div>
    <w:div w:id="1139834595">
      <w:bodyDiv w:val="1"/>
      <w:marLeft w:val="0"/>
      <w:marRight w:val="0"/>
      <w:marTop w:val="0"/>
      <w:marBottom w:val="0"/>
      <w:divBdr>
        <w:top w:val="none" w:sz="0" w:space="0" w:color="auto"/>
        <w:left w:val="none" w:sz="0" w:space="0" w:color="auto"/>
        <w:bottom w:val="none" w:sz="0" w:space="0" w:color="auto"/>
        <w:right w:val="none" w:sz="0" w:space="0" w:color="auto"/>
      </w:divBdr>
    </w:div>
    <w:div w:id="1143278592">
      <w:bodyDiv w:val="1"/>
      <w:marLeft w:val="0"/>
      <w:marRight w:val="0"/>
      <w:marTop w:val="0"/>
      <w:marBottom w:val="0"/>
      <w:divBdr>
        <w:top w:val="none" w:sz="0" w:space="0" w:color="auto"/>
        <w:left w:val="none" w:sz="0" w:space="0" w:color="auto"/>
        <w:bottom w:val="none" w:sz="0" w:space="0" w:color="auto"/>
        <w:right w:val="none" w:sz="0" w:space="0" w:color="auto"/>
      </w:divBdr>
    </w:div>
    <w:div w:id="1285888530">
      <w:bodyDiv w:val="1"/>
      <w:marLeft w:val="0"/>
      <w:marRight w:val="0"/>
      <w:marTop w:val="0"/>
      <w:marBottom w:val="0"/>
      <w:divBdr>
        <w:top w:val="none" w:sz="0" w:space="0" w:color="auto"/>
        <w:left w:val="none" w:sz="0" w:space="0" w:color="auto"/>
        <w:bottom w:val="none" w:sz="0" w:space="0" w:color="auto"/>
        <w:right w:val="none" w:sz="0" w:space="0" w:color="auto"/>
      </w:divBdr>
      <w:divsChild>
        <w:div w:id="867185582">
          <w:marLeft w:val="0"/>
          <w:marRight w:val="0"/>
          <w:marTop w:val="0"/>
          <w:marBottom w:val="0"/>
          <w:divBdr>
            <w:top w:val="none" w:sz="0" w:space="0" w:color="auto"/>
            <w:left w:val="none" w:sz="0" w:space="0" w:color="auto"/>
            <w:bottom w:val="none" w:sz="0" w:space="0" w:color="auto"/>
            <w:right w:val="none" w:sz="0" w:space="0" w:color="auto"/>
          </w:divBdr>
        </w:div>
        <w:div w:id="677774899">
          <w:marLeft w:val="0"/>
          <w:marRight w:val="0"/>
          <w:marTop w:val="0"/>
          <w:marBottom w:val="0"/>
          <w:divBdr>
            <w:top w:val="none" w:sz="0" w:space="0" w:color="auto"/>
            <w:left w:val="none" w:sz="0" w:space="0" w:color="auto"/>
            <w:bottom w:val="none" w:sz="0" w:space="0" w:color="auto"/>
            <w:right w:val="none" w:sz="0" w:space="0" w:color="auto"/>
          </w:divBdr>
        </w:div>
      </w:divsChild>
    </w:div>
    <w:div w:id="1351486494">
      <w:bodyDiv w:val="1"/>
      <w:marLeft w:val="0"/>
      <w:marRight w:val="0"/>
      <w:marTop w:val="0"/>
      <w:marBottom w:val="0"/>
      <w:divBdr>
        <w:top w:val="none" w:sz="0" w:space="0" w:color="auto"/>
        <w:left w:val="none" w:sz="0" w:space="0" w:color="auto"/>
        <w:bottom w:val="none" w:sz="0" w:space="0" w:color="auto"/>
        <w:right w:val="none" w:sz="0" w:space="0" w:color="auto"/>
      </w:divBdr>
    </w:div>
    <w:div w:id="1390567711">
      <w:bodyDiv w:val="1"/>
      <w:marLeft w:val="0"/>
      <w:marRight w:val="0"/>
      <w:marTop w:val="0"/>
      <w:marBottom w:val="0"/>
      <w:divBdr>
        <w:top w:val="none" w:sz="0" w:space="0" w:color="auto"/>
        <w:left w:val="none" w:sz="0" w:space="0" w:color="auto"/>
        <w:bottom w:val="none" w:sz="0" w:space="0" w:color="auto"/>
        <w:right w:val="none" w:sz="0" w:space="0" w:color="auto"/>
      </w:divBdr>
    </w:div>
    <w:div w:id="1395204683">
      <w:bodyDiv w:val="1"/>
      <w:marLeft w:val="0"/>
      <w:marRight w:val="0"/>
      <w:marTop w:val="0"/>
      <w:marBottom w:val="0"/>
      <w:divBdr>
        <w:top w:val="none" w:sz="0" w:space="0" w:color="auto"/>
        <w:left w:val="none" w:sz="0" w:space="0" w:color="auto"/>
        <w:bottom w:val="none" w:sz="0" w:space="0" w:color="auto"/>
        <w:right w:val="none" w:sz="0" w:space="0" w:color="auto"/>
      </w:divBdr>
    </w:div>
    <w:div w:id="1583180214">
      <w:bodyDiv w:val="1"/>
      <w:marLeft w:val="0"/>
      <w:marRight w:val="0"/>
      <w:marTop w:val="0"/>
      <w:marBottom w:val="0"/>
      <w:divBdr>
        <w:top w:val="none" w:sz="0" w:space="0" w:color="auto"/>
        <w:left w:val="none" w:sz="0" w:space="0" w:color="auto"/>
        <w:bottom w:val="none" w:sz="0" w:space="0" w:color="auto"/>
        <w:right w:val="none" w:sz="0" w:space="0" w:color="auto"/>
      </w:divBdr>
    </w:div>
    <w:div w:id="1593120243">
      <w:bodyDiv w:val="1"/>
      <w:marLeft w:val="0"/>
      <w:marRight w:val="0"/>
      <w:marTop w:val="0"/>
      <w:marBottom w:val="0"/>
      <w:divBdr>
        <w:top w:val="none" w:sz="0" w:space="0" w:color="auto"/>
        <w:left w:val="none" w:sz="0" w:space="0" w:color="auto"/>
        <w:bottom w:val="none" w:sz="0" w:space="0" w:color="auto"/>
        <w:right w:val="none" w:sz="0" w:space="0" w:color="auto"/>
      </w:divBdr>
    </w:div>
    <w:div w:id="1701080282">
      <w:bodyDiv w:val="1"/>
      <w:marLeft w:val="0"/>
      <w:marRight w:val="0"/>
      <w:marTop w:val="0"/>
      <w:marBottom w:val="0"/>
      <w:divBdr>
        <w:top w:val="none" w:sz="0" w:space="0" w:color="auto"/>
        <w:left w:val="none" w:sz="0" w:space="0" w:color="auto"/>
        <w:bottom w:val="none" w:sz="0" w:space="0" w:color="auto"/>
        <w:right w:val="none" w:sz="0" w:space="0" w:color="auto"/>
      </w:divBdr>
    </w:div>
    <w:div w:id="1809274599">
      <w:bodyDiv w:val="1"/>
      <w:marLeft w:val="0"/>
      <w:marRight w:val="0"/>
      <w:marTop w:val="0"/>
      <w:marBottom w:val="0"/>
      <w:divBdr>
        <w:top w:val="none" w:sz="0" w:space="0" w:color="auto"/>
        <w:left w:val="none" w:sz="0" w:space="0" w:color="auto"/>
        <w:bottom w:val="none" w:sz="0" w:space="0" w:color="auto"/>
        <w:right w:val="none" w:sz="0" w:space="0" w:color="auto"/>
      </w:divBdr>
    </w:div>
    <w:div w:id="1817793801">
      <w:bodyDiv w:val="1"/>
      <w:marLeft w:val="0"/>
      <w:marRight w:val="0"/>
      <w:marTop w:val="0"/>
      <w:marBottom w:val="0"/>
      <w:divBdr>
        <w:top w:val="none" w:sz="0" w:space="0" w:color="auto"/>
        <w:left w:val="none" w:sz="0" w:space="0" w:color="auto"/>
        <w:bottom w:val="none" w:sz="0" w:space="0" w:color="auto"/>
        <w:right w:val="none" w:sz="0" w:space="0" w:color="auto"/>
      </w:divBdr>
    </w:div>
    <w:div w:id="1982150358">
      <w:bodyDiv w:val="1"/>
      <w:marLeft w:val="0"/>
      <w:marRight w:val="0"/>
      <w:marTop w:val="0"/>
      <w:marBottom w:val="0"/>
      <w:divBdr>
        <w:top w:val="none" w:sz="0" w:space="0" w:color="auto"/>
        <w:left w:val="none" w:sz="0" w:space="0" w:color="auto"/>
        <w:bottom w:val="none" w:sz="0" w:space="0" w:color="auto"/>
        <w:right w:val="none" w:sz="0" w:space="0" w:color="auto"/>
      </w:divBdr>
    </w:div>
    <w:div w:id="21332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up-us.ahrq.gov/db/hcupdatapartners.jsp" TargetMode="External"/><Relationship Id="rId3" Type="http://schemas.openxmlformats.org/officeDocument/2006/relationships/styles" Target="styles.xml"/><Relationship Id="rId7" Type="http://schemas.openxmlformats.org/officeDocument/2006/relationships/hyperlink" Target="https://www.hcup-us.ahrq.gov/nisoverview.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cup-us.ahrq.gov/nisoverview.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395465-B879-4A9A-BDB9-487F785D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7199</Words>
  <Characters>41035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Muhammad Rashid</dc:creator>
  <cp:keywords/>
  <dc:description/>
  <cp:lastModifiedBy>Muhammad Rashid</cp:lastModifiedBy>
  <cp:revision>26</cp:revision>
  <dcterms:created xsi:type="dcterms:W3CDTF">2018-10-17T16:53:00Z</dcterms:created>
  <dcterms:modified xsi:type="dcterms:W3CDTF">2018-11-20T20:30:00Z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2</vt:lpwstr>
  </property>
  <property fmtid="{D5CDD505-2E9C-101B-9397-08002B2CF9AE}" pid="5" name="RWProductId">
    <vt:lpwstr>WnC</vt:lpwstr>
  </property>
  <property fmtid="{D5CDD505-2E9C-101B-9397-08002B2CF9AE}" pid="6" name="WnC4Folder">
    <vt:lpwstr/>
  </property>
</Properties>
</file>