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D4F0" w14:textId="2228BD08" w:rsidR="00803839" w:rsidRPr="00803839" w:rsidRDefault="00803839" w:rsidP="00A06D14">
      <w:pPr>
        <w:spacing w:line="360" w:lineRule="auto"/>
        <w:jc w:val="center"/>
        <w:rPr>
          <w:rFonts w:asciiTheme="minorHAnsi" w:hAnsiTheme="minorHAnsi" w:cstheme="minorHAnsi"/>
          <w:i/>
          <w:color w:val="4472C4" w:themeColor="accent1"/>
          <w:szCs w:val="22"/>
        </w:rPr>
      </w:pPr>
      <w:r w:rsidRPr="00803839">
        <w:rPr>
          <w:rFonts w:asciiTheme="minorHAnsi" w:hAnsiTheme="minorHAnsi" w:cstheme="minorHAnsi"/>
          <w:color w:val="4472C4" w:themeColor="accent1"/>
          <w:szCs w:val="22"/>
        </w:rPr>
        <w:t xml:space="preserve">Forthcoming (2020) in the </w:t>
      </w:r>
      <w:r w:rsidRPr="00803839">
        <w:rPr>
          <w:rFonts w:asciiTheme="minorHAnsi" w:hAnsiTheme="minorHAnsi" w:cstheme="minorHAnsi"/>
          <w:i/>
          <w:color w:val="4472C4" w:themeColor="accent1"/>
          <w:szCs w:val="22"/>
        </w:rPr>
        <w:t>Journal of Business Law</w:t>
      </w:r>
    </w:p>
    <w:p w14:paraId="6A40F49C" w14:textId="77777777" w:rsidR="00803839" w:rsidRDefault="00803839" w:rsidP="00A06D14">
      <w:pPr>
        <w:spacing w:line="360" w:lineRule="auto"/>
        <w:jc w:val="center"/>
        <w:rPr>
          <w:rFonts w:asciiTheme="minorHAnsi" w:hAnsiTheme="minorHAnsi" w:cstheme="minorHAnsi"/>
          <w:szCs w:val="22"/>
        </w:rPr>
      </w:pPr>
    </w:p>
    <w:p w14:paraId="3B7B2396" w14:textId="783CB54A" w:rsidR="00E1713D" w:rsidRPr="007519F5" w:rsidRDefault="00CE1640" w:rsidP="00A06D14">
      <w:pPr>
        <w:spacing w:line="360" w:lineRule="auto"/>
        <w:jc w:val="center"/>
        <w:rPr>
          <w:rFonts w:asciiTheme="minorHAnsi" w:hAnsiTheme="minorHAnsi" w:cstheme="minorHAnsi"/>
          <w:szCs w:val="22"/>
        </w:rPr>
      </w:pPr>
      <w:r w:rsidRPr="007519F5">
        <w:rPr>
          <w:rFonts w:asciiTheme="minorHAnsi" w:hAnsiTheme="minorHAnsi" w:cstheme="minorHAnsi"/>
          <w:szCs w:val="22"/>
        </w:rPr>
        <w:t>Agency Contracts and the Scope of the Incapacity Defence in English Contract Law:</w:t>
      </w:r>
    </w:p>
    <w:p w14:paraId="1449F785" w14:textId="10C935CA" w:rsidR="00E1713D" w:rsidRPr="007519F5" w:rsidRDefault="00CE1640" w:rsidP="00A06D14">
      <w:pPr>
        <w:spacing w:line="360" w:lineRule="auto"/>
        <w:jc w:val="center"/>
        <w:rPr>
          <w:rFonts w:asciiTheme="minorHAnsi" w:hAnsiTheme="minorHAnsi" w:cstheme="minorHAnsi"/>
          <w:szCs w:val="22"/>
        </w:rPr>
      </w:pPr>
      <w:r w:rsidRPr="007519F5">
        <w:rPr>
          <w:rFonts w:asciiTheme="minorHAnsi" w:hAnsiTheme="minorHAnsi" w:cstheme="minorHAnsi"/>
          <w:szCs w:val="22"/>
        </w:rPr>
        <w:t xml:space="preserve">A Topic </w:t>
      </w:r>
      <w:r w:rsidR="007519F5">
        <w:rPr>
          <w:rFonts w:asciiTheme="minorHAnsi" w:hAnsiTheme="minorHAnsi" w:cstheme="minorHAnsi"/>
          <w:szCs w:val="22"/>
        </w:rPr>
        <w:t>t</w:t>
      </w:r>
      <w:r w:rsidRPr="007519F5">
        <w:rPr>
          <w:rFonts w:asciiTheme="minorHAnsi" w:hAnsiTheme="minorHAnsi" w:cstheme="minorHAnsi"/>
          <w:szCs w:val="22"/>
        </w:rPr>
        <w:t>oo Hot to Handle?</w:t>
      </w:r>
    </w:p>
    <w:p w14:paraId="12C9B28A" w14:textId="77777777" w:rsidR="008423D0" w:rsidRPr="00955EB7" w:rsidRDefault="008423D0" w:rsidP="00A06D14">
      <w:pPr>
        <w:spacing w:line="360" w:lineRule="auto"/>
        <w:jc w:val="center"/>
        <w:rPr>
          <w:rFonts w:asciiTheme="minorHAnsi" w:hAnsiTheme="minorHAnsi" w:cstheme="minorHAnsi"/>
          <w:szCs w:val="22"/>
        </w:rPr>
      </w:pPr>
    </w:p>
    <w:p w14:paraId="0A2608E4" w14:textId="21D5667E" w:rsidR="00D7707D" w:rsidRPr="00955EB7" w:rsidRDefault="00D7707D" w:rsidP="00A06D14">
      <w:pPr>
        <w:spacing w:line="360" w:lineRule="auto"/>
        <w:jc w:val="center"/>
        <w:rPr>
          <w:rFonts w:asciiTheme="minorHAnsi" w:hAnsiTheme="minorHAnsi" w:cstheme="minorHAnsi"/>
          <w:szCs w:val="22"/>
        </w:rPr>
      </w:pPr>
      <w:r w:rsidRPr="00955EB7">
        <w:rPr>
          <w:rFonts w:asciiTheme="minorHAnsi" w:hAnsiTheme="minorHAnsi" w:cstheme="minorHAnsi"/>
          <w:szCs w:val="22"/>
        </w:rPr>
        <w:t>Eliza Varney</w:t>
      </w:r>
      <w:r w:rsidRPr="00955EB7">
        <w:rPr>
          <w:rStyle w:val="FootnoteReference"/>
          <w:rFonts w:asciiTheme="minorHAnsi" w:eastAsia="Calibri" w:hAnsiTheme="minorHAnsi" w:cstheme="minorHAnsi"/>
          <w:szCs w:val="22"/>
        </w:rPr>
        <w:footnoteReference w:customMarkFollows="1" w:id="1"/>
        <w:t>*</w:t>
      </w:r>
    </w:p>
    <w:p w14:paraId="47549E4E" w14:textId="2C36BDF9" w:rsidR="00E1713D" w:rsidRPr="00955EB7" w:rsidRDefault="00E1713D" w:rsidP="00A06D14">
      <w:pPr>
        <w:spacing w:line="360" w:lineRule="auto"/>
        <w:jc w:val="center"/>
        <w:rPr>
          <w:rFonts w:asciiTheme="minorHAnsi" w:hAnsiTheme="minorHAnsi" w:cstheme="minorHAnsi"/>
          <w:szCs w:val="22"/>
        </w:rPr>
      </w:pPr>
      <w:bookmarkStart w:id="0" w:name="_GoBack"/>
      <w:bookmarkEnd w:id="0"/>
    </w:p>
    <w:p w14:paraId="02AC9773" w14:textId="0EB8A6DF" w:rsidR="005959D8" w:rsidRPr="00955EB7" w:rsidRDefault="00CE1640" w:rsidP="00A06D14">
      <w:pPr>
        <w:spacing w:line="360" w:lineRule="auto"/>
        <w:jc w:val="center"/>
        <w:rPr>
          <w:rFonts w:asciiTheme="minorHAnsi" w:hAnsiTheme="minorHAnsi" w:cstheme="minorHAnsi"/>
          <w:b/>
          <w:szCs w:val="22"/>
        </w:rPr>
      </w:pPr>
      <w:r w:rsidRPr="00955EB7">
        <w:rPr>
          <w:rFonts w:asciiTheme="minorHAnsi" w:hAnsiTheme="minorHAnsi" w:cstheme="minorHAnsi"/>
          <w:b/>
          <w:szCs w:val="22"/>
        </w:rPr>
        <w:t>Abstract</w:t>
      </w:r>
    </w:p>
    <w:p w14:paraId="362C9B9F" w14:textId="112AF459" w:rsidR="008E381B" w:rsidRPr="00955EB7" w:rsidRDefault="008E381B" w:rsidP="00A06D14">
      <w:pPr>
        <w:spacing w:line="360" w:lineRule="auto"/>
        <w:rPr>
          <w:rFonts w:asciiTheme="minorHAnsi" w:hAnsiTheme="minorHAnsi" w:cstheme="minorHAnsi"/>
          <w:szCs w:val="22"/>
        </w:rPr>
      </w:pPr>
    </w:p>
    <w:p w14:paraId="631359B2" w14:textId="568D8EA1" w:rsidR="00F45BAE" w:rsidRDefault="00F45BAE" w:rsidP="00F45BAE">
      <w:pPr>
        <w:spacing w:line="360" w:lineRule="auto"/>
        <w:rPr>
          <w:rFonts w:asciiTheme="minorHAnsi" w:hAnsiTheme="minorHAnsi" w:cstheme="minorHAnsi"/>
        </w:rPr>
      </w:pPr>
      <w:r w:rsidRPr="00F45BAE">
        <w:rPr>
          <w:rFonts w:asciiTheme="minorHAnsi" w:hAnsiTheme="minorHAnsi" w:cstheme="minorHAnsi"/>
        </w:rPr>
        <w:t>Th</w:t>
      </w:r>
      <w:r>
        <w:rPr>
          <w:rFonts w:asciiTheme="minorHAnsi" w:hAnsiTheme="minorHAnsi" w:cstheme="minorHAnsi"/>
        </w:rPr>
        <w:t>is</w:t>
      </w:r>
      <w:r w:rsidRPr="00F45BAE">
        <w:rPr>
          <w:rFonts w:asciiTheme="minorHAnsi" w:hAnsiTheme="minorHAnsi" w:cstheme="minorHAnsi"/>
        </w:rPr>
        <w:t xml:space="preserve"> article assesses the impact of a principal's mental incapacity on agency agreements in English contract law and calls for an approach compatible with the values pursued by the </w:t>
      </w:r>
      <w:r w:rsidRPr="00F45BAE">
        <w:rPr>
          <w:rFonts w:asciiTheme="minorHAnsi" w:hAnsiTheme="minorHAnsi" w:cstheme="minorHAnsi"/>
          <w:i/>
        </w:rPr>
        <w:t>UN Convention on the Rights of Persons with Disabilities</w:t>
      </w:r>
      <w:r w:rsidRPr="00F45BAE">
        <w:rPr>
          <w:rFonts w:asciiTheme="minorHAnsi" w:hAnsiTheme="minorHAnsi" w:cstheme="minorHAnsi"/>
        </w:rPr>
        <w:t>.</w:t>
      </w:r>
      <w:r>
        <w:rPr>
          <w:rFonts w:asciiTheme="minorHAnsi" w:hAnsiTheme="minorHAnsi" w:cstheme="minorHAnsi"/>
        </w:rPr>
        <w:t xml:space="preserve"> </w:t>
      </w:r>
    </w:p>
    <w:p w14:paraId="5BC31EAB" w14:textId="677C5B3D" w:rsidR="00F45BAE" w:rsidRDefault="00F45BAE" w:rsidP="00F45BAE">
      <w:pPr>
        <w:spacing w:line="360" w:lineRule="auto"/>
        <w:rPr>
          <w:rFonts w:asciiTheme="minorHAnsi" w:hAnsiTheme="minorHAnsi" w:cstheme="minorHAnsi"/>
        </w:rPr>
      </w:pPr>
    </w:p>
    <w:p w14:paraId="7845815D" w14:textId="04480BC1" w:rsidR="00D7707D" w:rsidRPr="00955EB7" w:rsidRDefault="00CE1640" w:rsidP="00A06D14">
      <w:pPr>
        <w:spacing w:line="360" w:lineRule="auto"/>
        <w:jc w:val="center"/>
        <w:rPr>
          <w:rFonts w:asciiTheme="minorHAnsi" w:hAnsiTheme="minorHAnsi" w:cstheme="minorHAnsi"/>
          <w:b/>
          <w:szCs w:val="22"/>
        </w:rPr>
      </w:pPr>
      <w:r w:rsidRPr="00955EB7">
        <w:rPr>
          <w:rFonts w:asciiTheme="minorHAnsi" w:hAnsiTheme="minorHAnsi" w:cstheme="minorHAnsi"/>
          <w:b/>
          <w:szCs w:val="22"/>
        </w:rPr>
        <w:t>Introduction</w:t>
      </w:r>
    </w:p>
    <w:p w14:paraId="71CBD640" w14:textId="77777777" w:rsidR="008E381B" w:rsidRPr="00955EB7" w:rsidRDefault="008E381B" w:rsidP="00A06D14">
      <w:pPr>
        <w:spacing w:line="360" w:lineRule="auto"/>
        <w:rPr>
          <w:rFonts w:asciiTheme="minorHAnsi" w:hAnsiTheme="minorHAnsi" w:cstheme="minorHAnsi"/>
          <w:szCs w:val="22"/>
        </w:rPr>
      </w:pPr>
    </w:p>
    <w:p w14:paraId="50605933" w14:textId="1066C645" w:rsidR="008335CF" w:rsidRPr="00955EB7" w:rsidRDefault="005166E7"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common law position regarding the validity of a contract where one party lacked the mental capacity to understand the nature of the transaction, </w:t>
      </w:r>
      <w:r w:rsidR="00B803A6" w:rsidRPr="00955EB7">
        <w:rPr>
          <w:rFonts w:asciiTheme="minorHAnsi" w:hAnsiTheme="minorHAnsi" w:cstheme="minorHAnsi"/>
          <w:szCs w:val="22"/>
        </w:rPr>
        <w:t xml:space="preserve">outlined by the Court of Exchequer in </w:t>
      </w:r>
      <w:r w:rsidR="005D5EF4" w:rsidRPr="00955EB7">
        <w:rPr>
          <w:rFonts w:asciiTheme="minorHAnsi" w:hAnsiTheme="minorHAnsi" w:cstheme="minorHAnsi"/>
          <w:i/>
          <w:szCs w:val="22"/>
        </w:rPr>
        <w:t>Molton</w:t>
      </w:r>
      <w:r w:rsidR="00B803A6" w:rsidRPr="00955EB7">
        <w:rPr>
          <w:rFonts w:asciiTheme="minorHAnsi" w:hAnsiTheme="minorHAnsi" w:cstheme="minorHAnsi"/>
          <w:i/>
          <w:szCs w:val="22"/>
        </w:rPr>
        <w:t xml:space="preserve"> </w:t>
      </w:r>
      <w:r w:rsidR="00B803A6" w:rsidRPr="00955EB7">
        <w:rPr>
          <w:rFonts w:asciiTheme="minorHAnsi" w:hAnsiTheme="minorHAnsi" w:cstheme="minorHAnsi"/>
          <w:szCs w:val="22"/>
        </w:rPr>
        <w:t>v</w:t>
      </w:r>
      <w:r w:rsidR="00B803A6" w:rsidRPr="00955EB7">
        <w:rPr>
          <w:rFonts w:asciiTheme="minorHAnsi" w:hAnsiTheme="minorHAnsi" w:cstheme="minorHAnsi"/>
          <w:i/>
          <w:szCs w:val="22"/>
        </w:rPr>
        <w:t xml:space="preserve"> Camroux </w:t>
      </w:r>
      <w:r w:rsidR="001E6805" w:rsidRPr="00955EB7">
        <w:rPr>
          <w:rFonts w:asciiTheme="minorHAnsi" w:hAnsiTheme="minorHAnsi" w:cstheme="minorHAnsi"/>
          <w:szCs w:val="22"/>
        </w:rPr>
        <w:t>(</w:t>
      </w:r>
      <w:r w:rsidR="005D5EF4" w:rsidRPr="00955EB7">
        <w:rPr>
          <w:rFonts w:asciiTheme="minorHAnsi" w:hAnsiTheme="minorHAnsi" w:cstheme="minorHAnsi"/>
          <w:i/>
          <w:szCs w:val="22"/>
        </w:rPr>
        <w:t>Molton</w:t>
      </w:r>
      <w:r w:rsidR="001E6805" w:rsidRPr="00955EB7">
        <w:rPr>
          <w:rFonts w:asciiTheme="minorHAnsi" w:hAnsiTheme="minorHAnsi" w:cstheme="minorHAnsi"/>
          <w:szCs w:val="22"/>
        </w:rPr>
        <w:t>)</w:t>
      </w:r>
      <w:r w:rsidR="00772809" w:rsidRPr="00955EB7">
        <w:rPr>
          <w:rStyle w:val="FootnoteReference"/>
          <w:rFonts w:asciiTheme="minorHAnsi" w:hAnsiTheme="minorHAnsi" w:cstheme="minorHAnsi"/>
          <w:szCs w:val="22"/>
        </w:rPr>
        <w:footnoteReference w:id="2"/>
      </w:r>
      <w:r w:rsidR="001E6805" w:rsidRPr="00955EB7">
        <w:rPr>
          <w:rFonts w:asciiTheme="minorHAnsi" w:hAnsiTheme="minorHAnsi" w:cstheme="minorHAnsi"/>
          <w:szCs w:val="22"/>
        </w:rPr>
        <w:t xml:space="preserve"> </w:t>
      </w:r>
      <w:r w:rsidR="00B803A6" w:rsidRPr="00955EB7">
        <w:rPr>
          <w:rFonts w:asciiTheme="minorHAnsi" w:hAnsiTheme="minorHAnsi" w:cstheme="minorHAnsi"/>
          <w:szCs w:val="22"/>
        </w:rPr>
        <w:t xml:space="preserve">and reinforced </w:t>
      </w:r>
      <w:r w:rsidRPr="00955EB7">
        <w:rPr>
          <w:rFonts w:asciiTheme="minorHAnsi" w:hAnsiTheme="minorHAnsi" w:cstheme="minorHAnsi"/>
          <w:szCs w:val="22"/>
        </w:rPr>
        <w:t xml:space="preserve">by the Court of Appeal in </w:t>
      </w:r>
      <w:r w:rsidRPr="00955EB7">
        <w:rPr>
          <w:rFonts w:asciiTheme="minorHAnsi" w:hAnsiTheme="minorHAnsi" w:cstheme="minorHAnsi"/>
          <w:i/>
          <w:szCs w:val="22"/>
        </w:rPr>
        <w:t xml:space="preserve">Imperial Loan </w:t>
      </w:r>
      <w:r w:rsidRPr="00955EB7">
        <w:rPr>
          <w:rFonts w:asciiTheme="minorHAnsi" w:hAnsiTheme="minorHAnsi" w:cstheme="minorHAnsi"/>
          <w:szCs w:val="22"/>
        </w:rPr>
        <w:t>v</w:t>
      </w:r>
      <w:r w:rsidRPr="00955EB7">
        <w:rPr>
          <w:rFonts w:asciiTheme="minorHAnsi" w:hAnsiTheme="minorHAnsi" w:cstheme="minorHAnsi"/>
          <w:i/>
          <w:szCs w:val="22"/>
        </w:rPr>
        <w:t xml:space="preserve"> Stone</w:t>
      </w:r>
      <w:r w:rsidRPr="00955EB7">
        <w:rPr>
          <w:rFonts w:asciiTheme="minorHAnsi" w:hAnsiTheme="minorHAnsi" w:cstheme="minorHAnsi"/>
          <w:szCs w:val="22"/>
        </w:rPr>
        <w:t xml:space="preserve"> </w:t>
      </w:r>
      <w:r w:rsidR="00797CBD" w:rsidRPr="00955EB7">
        <w:rPr>
          <w:rFonts w:asciiTheme="minorHAnsi" w:hAnsiTheme="minorHAnsi" w:cstheme="minorHAnsi"/>
          <w:szCs w:val="22"/>
        </w:rPr>
        <w:t>(</w:t>
      </w:r>
      <w:r w:rsidR="00797CBD" w:rsidRPr="00955EB7">
        <w:rPr>
          <w:rFonts w:asciiTheme="minorHAnsi" w:hAnsiTheme="minorHAnsi" w:cstheme="minorHAnsi"/>
          <w:i/>
          <w:szCs w:val="22"/>
        </w:rPr>
        <w:t>Imperial Loan</w:t>
      </w:r>
      <w:r w:rsidR="00797CBD" w:rsidRPr="00955EB7">
        <w:rPr>
          <w:rFonts w:asciiTheme="minorHAnsi" w:hAnsiTheme="minorHAnsi" w:cstheme="minorHAnsi"/>
          <w:szCs w:val="22"/>
        </w:rPr>
        <w:t xml:space="preserve">), </w:t>
      </w:r>
      <w:r w:rsidR="00B803A6" w:rsidRPr="00955EB7">
        <w:rPr>
          <w:rFonts w:asciiTheme="minorHAnsi" w:hAnsiTheme="minorHAnsi" w:cstheme="minorHAnsi"/>
          <w:szCs w:val="22"/>
        </w:rPr>
        <w:t xml:space="preserve">considers such a contract to be valid, but could be rendered </w:t>
      </w:r>
      <w:r w:rsidRPr="00955EB7">
        <w:rPr>
          <w:rFonts w:asciiTheme="minorHAnsi" w:hAnsiTheme="minorHAnsi" w:cstheme="minorHAnsi"/>
          <w:szCs w:val="22"/>
        </w:rPr>
        <w:t xml:space="preserve">voidable if the party can prove both that </w:t>
      </w:r>
      <w:r w:rsidR="00BC4507">
        <w:rPr>
          <w:rFonts w:asciiTheme="minorHAnsi" w:hAnsiTheme="minorHAnsi" w:cstheme="minorHAnsi"/>
          <w:szCs w:val="22"/>
        </w:rPr>
        <w:t>he</w:t>
      </w:r>
      <w:r w:rsidRPr="00955EB7">
        <w:rPr>
          <w:rFonts w:asciiTheme="minorHAnsi" w:hAnsiTheme="minorHAnsi" w:cstheme="minorHAnsi"/>
          <w:szCs w:val="22"/>
        </w:rPr>
        <w:t xml:space="preserve"> lacked the mental capacity to understand the transaction and that the other party knew about the incapacity.</w:t>
      </w:r>
      <w:r w:rsidR="00670C1D" w:rsidRPr="00955EB7">
        <w:rPr>
          <w:rStyle w:val="FootnoteReference"/>
          <w:rFonts w:asciiTheme="minorHAnsi" w:hAnsiTheme="minorHAnsi" w:cstheme="minorHAnsi"/>
          <w:szCs w:val="22"/>
        </w:rPr>
        <w:footnoteReference w:id="3"/>
      </w:r>
      <w:r w:rsidRPr="00955EB7">
        <w:rPr>
          <w:rFonts w:asciiTheme="minorHAnsi" w:hAnsiTheme="minorHAnsi" w:cstheme="minorHAnsi"/>
          <w:szCs w:val="22"/>
        </w:rPr>
        <w:t xml:space="preserve"> </w:t>
      </w:r>
      <w:r w:rsidR="00E941B2">
        <w:rPr>
          <w:rFonts w:asciiTheme="minorHAnsi" w:hAnsiTheme="minorHAnsi" w:cstheme="minorHAnsi"/>
          <w:szCs w:val="22"/>
        </w:rPr>
        <w:t xml:space="preserve">The incapacity defence under the </w:t>
      </w:r>
      <w:r w:rsidR="00E941B2">
        <w:rPr>
          <w:rFonts w:asciiTheme="minorHAnsi" w:hAnsiTheme="minorHAnsi" w:cstheme="minorHAnsi"/>
          <w:i/>
          <w:szCs w:val="22"/>
        </w:rPr>
        <w:t xml:space="preserve">Imperial Loan </w:t>
      </w:r>
      <w:r w:rsidR="00E941B2">
        <w:rPr>
          <w:rFonts w:asciiTheme="minorHAnsi" w:hAnsiTheme="minorHAnsi" w:cstheme="minorHAnsi"/>
          <w:szCs w:val="22"/>
        </w:rPr>
        <w:t xml:space="preserve">rule is generally relied on </w:t>
      </w:r>
      <w:r w:rsidR="005B3A2B">
        <w:rPr>
          <w:rFonts w:asciiTheme="minorHAnsi" w:hAnsiTheme="minorHAnsi" w:cstheme="minorHAnsi"/>
          <w:szCs w:val="22"/>
        </w:rPr>
        <w:t xml:space="preserve">in </w:t>
      </w:r>
      <w:r w:rsidR="00E941B2">
        <w:rPr>
          <w:rFonts w:asciiTheme="minorHAnsi" w:hAnsiTheme="minorHAnsi" w:cstheme="minorHAnsi"/>
          <w:szCs w:val="22"/>
        </w:rPr>
        <w:t xml:space="preserve">cases short of profound mental incapacity, as parties with profound mental incapacities who entered into a written contract may seek to render the contract void on the basis of the </w:t>
      </w:r>
      <w:proofErr w:type="spellStart"/>
      <w:r w:rsidR="00E941B2" w:rsidRPr="00955EB7">
        <w:rPr>
          <w:rFonts w:asciiTheme="minorHAnsi" w:hAnsiTheme="minorHAnsi" w:cstheme="minorHAnsi"/>
          <w:i/>
          <w:szCs w:val="22"/>
        </w:rPr>
        <w:t>non est</w:t>
      </w:r>
      <w:proofErr w:type="spellEnd"/>
      <w:r w:rsidR="00E941B2" w:rsidRPr="00955EB7">
        <w:rPr>
          <w:rFonts w:asciiTheme="minorHAnsi" w:hAnsiTheme="minorHAnsi" w:cstheme="minorHAnsi"/>
          <w:i/>
          <w:szCs w:val="22"/>
        </w:rPr>
        <w:t xml:space="preserve"> factum</w:t>
      </w:r>
      <w:r w:rsidR="00E941B2">
        <w:rPr>
          <w:rFonts w:asciiTheme="minorHAnsi" w:hAnsiTheme="minorHAnsi" w:cstheme="minorHAnsi"/>
          <w:szCs w:val="22"/>
        </w:rPr>
        <w:t xml:space="preserve"> defence.</w:t>
      </w:r>
      <w:r w:rsidR="00E941B2">
        <w:rPr>
          <w:rStyle w:val="FootnoteReference"/>
          <w:rFonts w:asciiTheme="minorHAnsi" w:hAnsiTheme="minorHAnsi" w:cstheme="minorHAnsi"/>
          <w:szCs w:val="22"/>
        </w:rPr>
        <w:footnoteReference w:id="4"/>
      </w:r>
      <w:r w:rsidR="00E941B2">
        <w:rPr>
          <w:rFonts w:asciiTheme="minorHAnsi" w:hAnsiTheme="minorHAnsi" w:cstheme="minorHAnsi"/>
          <w:szCs w:val="22"/>
        </w:rPr>
        <w:t xml:space="preserve"> </w:t>
      </w:r>
      <w:r w:rsidRPr="00955EB7">
        <w:rPr>
          <w:rFonts w:asciiTheme="minorHAnsi" w:hAnsiTheme="minorHAnsi" w:cstheme="minorHAnsi"/>
          <w:szCs w:val="22"/>
        </w:rPr>
        <w:t xml:space="preserve">The question </w:t>
      </w:r>
      <w:r w:rsidR="007B750E" w:rsidRPr="00955EB7">
        <w:rPr>
          <w:rFonts w:asciiTheme="minorHAnsi" w:hAnsiTheme="minorHAnsi" w:cstheme="minorHAnsi"/>
          <w:szCs w:val="22"/>
        </w:rPr>
        <w:t xml:space="preserve">of </w:t>
      </w:r>
      <w:r w:rsidRPr="00955EB7">
        <w:rPr>
          <w:rFonts w:asciiTheme="minorHAnsi" w:hAnsiTheme="minorHAnsi" w:cstheme="minorHAnsi"/>
          <w:szCs w:val="22"/>
        </w:rPr>
        <w:t xml:space="preserve">whether </w:t>
      </w:r>
      <w:r w:rsidR="00E941B2">
        <w:rPr>
          <w:rFonts w:asciiTheme="minorHAnsi" w:hAnsiTheme="minorHAnsi" w:cstheme="minorHAnsi"/>
          <w:szCs w:val="22"/>
        </w:rPr>
        <w:t xml:space="preserve">the </w:t>
      </w:r>
      <w:r w:rsidR="00E941B2">
        <w:rPr>
          <w:rFonts w:asciiTheme="minorHAnsi" w:hAnsiTheme="minorHAnsi" w:cstheme="minorHAnsi"/>
          <w:i/>
          <w:szCs w:val="22"/>
        </w:rPr>
        <w:t>Imperial Loan</w:t>
      </w:r>
      <w:r w:rsidR="00E941B2" w:rsidRPr="00955EB7">
        <w:rPr>
          <w:rFonts w:asciiTheme="minorHAnsi" w:hAnsiTheme="minorHAnsi" w:cstheme="minorHAnsi"/>
          <w:szCs w:val="22"/>
        </w:rPr>
        <w:t xml:space="preserve"> </w:t>
      </w:r>
      <w:r w:rsidRPr="00955EB7">
        <w:rPr>
          <w:rFonts w:asciiTheme="minorHAnsi" w:hAnsiTheme="minorHAnsi" w:cstheme="minorHAnsi"/>
          <w:szCs w:val="22"/>
        </w:rPr>
        <w:t>rule applies to agency agreement</w:t>
      </w:r>
      <w:r w:rsidR="00410F8C">
        <w:rPr>
          <w:rFonts w:asciiTheme="minorHAnsi" w:hAnsiTheme="minorHAnsi" w:cstheme="minorHAnsi"/>
          <w:szCs w:val="22"/>
        </w:rPr>
        <w:t>s</w:t>
      </w:r>
      <w:r w:rsidRPr="00955EB7">
        <w:rPr>
          <w:rFonts w:asciiTheme="minorHAnsi" w:hAnsiTheme="minorHAnsi" w:cstheme="minorHAnsi"/>
          <w:szCs w:val="22"/>
        </w:rPr>
        <w:t xml:space="preserve"> has been the subject of debate. </w:t>
      </w:r>
      <w:r w:rsidR="00685782" w:rsidRPr="00955EB7">
        <w:rPr>
          <w:rFonts w:asciiTheme="minorHAnsi" w:hAnsiTheme="minorHAnsi" w:cstheme="minorHAnsi"/>
          <w:szCs w:val="22"/>
        </w:rPr>
        <w:t xml:space="preserve">The Court of Appeal decision </w:t>
      </w:r>
      <w:r w:rsidR="00797CBD" w:rsidRPr="00955EB7">
        <w:rPr>
          <w:rFonts w:asciiTheme="minorHAnsi" w:hAnsiTheme="minorHAnsi" w:cstheme="minorHAnsi"/>
          <w:szCs w:val="22"/>
        </w:rPr>
        <w:t xml:space="preserve">in </w:t>
      </w:r>
      <w:r w:rsidR="00685782" w:rsidRPr="00955EB7">
        <w:rPr>
          <w:rFonts w:asciiTheme="minorHAnsi" w:hAnsiTheme="minorHAnsi" w:cstheme="minorHAnsi"/>
          <w:i/>
          <w:szCs w:val="22"/>
        </w:rPr>
        <w:t xml:space="preserve">Yonge v Toynbee </w:t>
      </w:r>
      <w:r w:rsidR="00797CBD" w:rsidRPr="00955EB7">
        <w:rPr>
          <w:rFonts w:asciiTheme="minorHAnsi" w:hAnsiTheme="minorHAnsi" w:cstheme="minorHAnsi"/>
          <w:szCs w:val="22"/>
        </w:rPr>
        <w:t>(</w:t>
      </w:r>
      <w:r w:rsidR="00797CBD" w:rsidRPr="00955EB7">
        <w:rPr>
          <w:rFonts w:asciiTheme="minorHAnsi" w:hAnsiTheme="minorHAnsi" w:cstheme="minorHAnsi"/>
          <w:i/>
          <w:szCs w:val="22"/>
        </w:rPr>
        <w:t>Yonge</w:t>
      </w:r>
      <w:r w:rsidR="00797CBD" w:rsidRPr="00955EB7">
        <w:rPr>
          <w:rFonts w:asciiTheme="minorHAnsi" w:hAnsiTheme="minorHAnsi" w:cstheme="minorHAnsi"/>
          <w:szCs w:val="22"/>
        </w:rPr>
        <w:t xml:space="preserve">) </w:t>
      </w:r>
      <w:r w:rsidR="00685782" w:rsidRPr="00955EB7">
        <w:rPr>
          <w:rFonts w:asciiTheme="minorHAnsi" w:hAnsiTheme="minorHAnsi" w:cstheme="minorHAnsi"/>
          <w:szCs w:val="22"/>
        </w:rPr>
        <w:t>suggest</w:t>
      </w:r>
      <w:r w:rsidR="00797CBD" w:rsidRPr="00955EB7">
        <w:rPr>
          <w:rFonts w:asciiTheme="minorHAnsi" w:hAnsiTheme="minorHAnsi" w:cstheme="minorHAnsi"/>
          <w:szCs w:val="22"/>
        </w:rPr>
        <w:t>s</w:t>
      </w:r>
      <w:r w:rsidR="00685782" w:rsidRPr="00955EB7">
        <w:rPr>
          <w:rFonts w:asciiTheme="minorHAnsi" w:hAnsiTheme="minorHAnsi" w:cstheme="minorHAnsi"/>
          <w:szCs w:val="22"/>
        </w:rPr>
        <w:t xml:space="preserve"> that a principal’s mental incapacity would terminate a contract of agency, rendering it void, irrespective </w:t>
      </w:r>
      <w:r w:rsidR="00BE371A" w:rsidRPr="00955EB7">
        <w:rPr>
          <w:rFonts w:asciiTheme="minorHAnsi" w:hAnsiTheme="minorHAnsi" w:cstheme="minorHAnsi"/>
          <w:szCs w:val="22"/>
        </w:rPr>
        <w:t xml:space="preserve">of </w:t>
      </w:r>
      <w:r w:rsidR="00685782" w:rsidRPr="00955EB7">
        <w:rPr>
          <w:rFonts w:asciiTheme="minorHAnsi" w:hAnsiTheme="minorHAnsi" w:cstheme="minorHAnsi"/>
          <w:szCs w:val="22"/>
        </w:rPr>
        <w:t>whether the agent had knowledge of the incapacity</w:t>
      </w:r>
      <w:r w:rsidR="00A77186" w:rsidRPr="00955EB7">
        <w:rPr>
          <w:rFonts w:asciiTheme="minorHAnsi" w:hAnsiTheme="minorHAnsi" w:cstheme="minorHAnsi"/>
          <w:szCs w:val="22"/>
        </w:rPr>
        <w:t xml:space="preserve">, </w:t>
      </w:r>
      <w:r w:rsidR="00797CBD" w:rsidRPr="00955EB7">
        <w:rPr>
          <w:rFonts w:asciiTheme="minorHAnsi" w:hAnsiTheme="minorHAnsi" w:cstheme="minorHAnsi"/>
          <w:szCs w:val="22"/>
        </w:rPr>
        <w:t>and that</w:t>
      </w:r>
      <w:r w:rsidR="00A77186" w:rsidRPr="00955EB7">
        <w:rPr>
          <w:rFonts w:asciiTheme="minorHAnsi" w:hAnsiTheme="minorHAnsi" w:cstheme="minorHAnsi"/>
          <w:szCs w:val="22"/>
        </w:rPr>
        <w:t xml:space="preserve"> t</w:t>
      </w:r>
      <w:r w:rsidR="00685782" w:rsidRPr="00955EB7">
        <w:rPr>
          <w:rFonts w:asciiTheme="minorHAnsi" w:hAnsiTheme="minorHAnsi" w:cstheme="minorHAnsi"/>
          <w:szCs w:val="22"/>
        </w:rPr>
        <w:t>he agent may be liable to the third party for breach of warranty of authority.</w:t>
      </w:r>
      <w:r w:rsidR="00670C1D" w:rsidRPr="00955EB7">
        <w:rPr>
          <w:rStyle w:val="FootnoteReference"/>
          <w:rFonts w:asciiTheme="minorHAnsi" w:hAnsiTheme="minorHAnsi" w:cstheme="minorHAnsi"/>
          <w:szCs w:val="22"/>
        </w:rPr>
        <w:footnoteReference w:id="5"/>
      </w:r>
      <w:r w:rsidR="00685782" w:rsidRPr="00955EB7">
        <w:rPr>
          <w:rFonts w:asciiTheme="minorHAnsi" w:hAnsiTheme="minorHAnsi" w:cstheme="minorHAnsi"/>
          <w:szCs w:val="22"/>
        </w:rPr>
        <w:t xml:space="preserve"> </w:t>
      </w:r>
      <w:r w:rsidR="00B803A6" w:rsidRPr="00955EB7">
        <w:rPr>
          <w:rFonts w:asciiTheme="minorHAnsi" w:hAnsiTheme="minorHAnsi" w:cstheme="minorHAnsi"/>
          <w:szCs w:val="22"/>
        </w:rPr>
        <w:t>I</w:t>
      </w:r>
      <w:r w:rsidR="00685782" w:rsidRPr="00955EB7">
        <w:rPr>
          <w:rFonts w:asciiTheme="minorHAnsi" w:hAnsiTheme="minorHAnsi" w:cstheme="minorHAnsi"/>
          <w:szCs w:val="22"/>
        </w:rPr>
        <w:t xml:space="preserve">n the </w:t>
      </w:r>
      <w:r w:rsidR="00B803A6" w:rsidRPr="00955EB7">
        <w:rPr>
          <w:rFonts w:asciiTheme="minorHAnsi" w:hAnsiTheme="minorHAnsi" w:cstheme="minorHAnsi"/>
          <w:szCs w:val="22"/>
        </w:rPr>
        <w:t>latest</w:t>
      </w:r>
      <w:r w:rsidR="00685782" w:rsidRPr="00955EB7">
        <w:rPr>
          <w:rFonts w:asciiTheme="minorHAnsi" w:hAnsiTheme="minorHAnsi" w:cstheme="minorHAnsi"/>
          <w:szCs w:val="22"/>
        </w:rPr>
        <w:t xml:space="preserve"> edition</w:t>
      </w:r>
      <w:r w:rsidR="00B803A6" w:rsidRPr="00955EB7">
        <w:rPr>
          <w:rFonts w:asciiTheme="minorHAnsi" w:hAnsiTheme="minorHAnsi" w:cstheme="minorHAnsi"/>
          <w:szCs w:val="22"/>
        </w:rPr>
        <w:t>s</w:t>
      </w:r>
      <w:r w:rsidR="00685782" w:rsidRPr="00955EB7">
        <w:rPr>
          <w:rFonts w:asciiTheme="minorHAnsi" w:hAnsiTheme="minorHAnsi" w:cstheme="minorHAnsi"/>
          <w:szCs w:val="22"/>
        </w:rPr>
        <w:t xml:space="preserve"> of </w:t>
      </w:r>
      <w:r w:rsidR="00685782" w:rsidRPr="00955EB7">
        <w:rPr>
          <w:rFonts w:asciiTheme="minorHAnsi" w:hAnsiTheme="minorHAnsi" w:cstheme="minorHAnsi"/>
          <w:i/>
          <w:szCs w:val="22"/>
        </w:rPr>
        <w:t>Bowstead and Reynolds on Agency</w:t>
      </w:r>
      <w:r w:rsidR="00685782" w:rsidRPr="00955EB7">
        <w:rPr>
          <w:rFonts w:asciiTheme="minorHAnsi" w:hAnsiTheme="minorHAnsi" w:cstheme="minorHAnsi"/>
          <w:szCs w:val="22"/>
        </w:rPr>
        <w:t xml:space="preserve">, Watts </w:t>
      </w:r>
      <w:r w:rsidR="00363562" w:rsidRPr="00955EB7">
        <w:rPr>
          <w:rFonts w:asciiTheme="minorHAnsi" w:hAnsiTheme="minorHAnsi" w:cstheme="minorHAnsi"/>
          <w:szCs w:val="22"/>
        </w:rPr>
        <w:t>argues</w:t>
      </w:r>
      <w:r w:rsidR="00685782" w:rsidRPr="00955EB7">
        <w:rPr>
          <w:rFonts w:asciiTheme="minorHAnsi" w:hAnsiTheme="minorHAnsi" w:cstheme="minorHAnsi"/>
          <w:szCs w:val="22"/>
        </w:rPr>
        <w:t xml:space="preserve"> that the </w:t>
      </w:r>
      <w:r w:rsidR="00685782" w:rsidRPr="00955EB7">
        <w:rPr>
          <w:rFonts w:asciiTheme="minorHAnsi" w:hAnsiTheme="minorHAnsi" w:cstheme="minorHAnsi"/>
          <w:i/>
          <w:szCs w:val="22"/>
        </w:rPr>
        <w:t>Imperial Loan</w:t>
      </w:r>
      <w:r w:rsidR="00685782" w:rsidRPr="00955EB7">
        <w:rPr>
          <w:rFonts w:asciiTheme="minorHAnsi" w:hAnsiTheme="minorHAnsi" w:cstheme="minorHAnsi"/>
          <w:szCs w:val="22"/>
        </w:rPr>
        <w:t xml:space="preserve"> rule should apply to agency agreements and </w:t>
      </w:r>
      <w:r w:rsidR="00A77186" w:rsidRPr="00955EB7">
        <w:rPr>
          <w:rFonts w:asciiTheme="minorHAnsi" w:hAnsiTheme="minorHAnsi" w:cstheme="minorHAnsi"/>
          <w:szCs w:val="22"/>
        </w:rPr>
        <w:t xml:space="preserve">the agent’s </w:t>
      </w:r>
      <w:r w:rsidR="00685782" w:rsidRPr="00955EB7">
        <w:rPr>
          <w:rFonts w:asciiTheme="minorHAnsi" w:hAnsiTheme="minorHAnsi" w:cstheme="minorHAnsi"/>
          <w:szCs w:val="22"/>
        </w:rPr>
        <w:t>knowledge of incapacity could render the contract voidable.</w:t>
      </w:r>
      <w:r w:rsidR="00797CBD" w:rsidRPr="00955EB7">
        <w:rPr>
          <w:rStyle w:val="FootnoteReference"/>
          <w:rFonts w:asciiTheme="minorHAnsi" w:hAnsiTheme="minorHAnsi" w:cstheme="minorHAnsi"/>
          <w:szCs w:val="22"/>
        </w:rPr>
        <w:footnoteReference w:id="6"/>
      </w:r>
      <w:r w:rsidR="00685782" w:rsidRPr="00955EB7">
        <w:rPr>
          <w:rFonts w:asciiTheme="minorHAnsi" w:hAnsiTheme="minorHAnsi" w:cstheme="minorHAnsi"/>
          <w:szCs w:val="22"/>
        </w:rPr>
        <w:t xml:space="preserve"> This area of law has been described </w:t>
      </w:r>
      <w:r w:rsidR="008335CF" w:rsidRPr="00955EB7">
        <w:rPr>
          <w:rFonts w:asciiTheme="minorHAnsi" w:hAnsiTheme="minorHAnsi" w:cstheme="minorHAnsi"/>
          <w:szCs w:val="22"/>
        </w:rPr>
        <w:t xml:space="preserve">by the Supreme Court in </w:t>
      </w:r>
      <w:r w:rsidR="008335CF" w:rsidRPr="00955EB7">
        <w:rPr>
          <w:rFonts w:asciiTheme="minorHAnsi" w:hAnsiTheme="minorHAnsi" w:cstheme="minorHAnsi"/>
          <w:i/>
        </w:rPr>
        <w:t xml:space="preserve">Dunhill </w:t>
      </w:r>
      <w:r w:rsidR="008335CF" w:rsidRPr="00955EB7">
        <w:rPr>
          <w:rFonts w:asciiTheme="minorHAnsi" w:hAnsiTheme="minorHAnsi" w:cstheme="minorHAnsi"/>
        </w:rPr>
        <w:t>v</w:t>
      </w:r>
      <w:r w:rsidR="008335CF" w:rsidRPr="00955EB7">
        <w:rPr>
          <w:rFonts w:asciiTheme="minorHAnsi" w:hAnsiTheme="minorHAnsi" w:cstheme="minorHAnsi"/>
          <w:i/>
        </w:rPr>
        <w:t xml:space="preserve"> Burgin</w:t>
      </w:r>
      <w:r w:rsidR="006A2852" w:rsidRPr="00955EB7">
        <w:rPr>
          <w:rFonts w:asciiTheme="minorHAnsi" w:hAnsiTheme="minorHAnsi" w:cstheme="minorHAnsi"/>
          <w:i/>
        </w:rPr>
        <w:t xml:space="preserve"> </w:t>
      </w:r>
      <w:r w:rsidR="006A2852" w:rsidRPr="00955EB7">
        <w:rPr>
          <w:rFonts w:asciiTheme="minorHAnsi" w:hAnsiTheme="minorHAnsi" w:cstheme="minorHAnsi"/>
        </w:rPr>
        <w:t>(</w:t>
      </w:r>
      <w:r w:rsidR="006A2852" w:rsidRPr="00955EB7">
        <w:rPr>
          <w:rFonts w:asciiTheme="minorHAnsi" w:hAnsiTheme="minorHAnsi" w:cstheme="minorHAnsi"/>
          <w:i/>
        </w:rPr>
        <w:t>Dunhill</w:t>
      </w:r>
      <w:r w:rsidR="006A2852" w:rsidRPr="00955EB7">
        <w:rPr>
          <w:rFonts w:asciiTheme="minorHAnsi" w:hAnsiTheme="minorHAnsi" w:cstheme="minorHAnsi"/>
        </w:rPr>
        <w:t xml:space="preserve">) </w:t>
      </w:r>
      <w:r w:rsidR="008335CF" w:rsidRPr="00955EB7">
        <w:rPr>
          <w:rFonts w:asciiTheme="minorHAnsi" w:hAnsiTheme="minorHAnsi" w:cstheme="minorHAnsi"/>
        </w:rPr>
        <w:t xml:space="preserve">as being </w:t>
      </w:r>
      <w:r w:rsidR="00CE1640">
        <w:rPr>
          <w:rFonts w:asciiTheme="minorHAnsi" w:hAnsiTheme="minorHAnsi" w:cstheme="minorHAnsi"/>
          <w:szCs w:val="22"/>
        </w:rPr>
        <w:t>‘</w:t>
      </w:r>
      <w:r w:rsidR="00685782" w:rsidRPr="00955EB7">
        <w:rPr>
          <w:rFonts w:asciiTheme="minorHAnsi" w:hAnsiTheme="minorHAnsi" w:cstheme="minorHAnsi"/>
          <w:szCs w:val="22"/>
        </w:rPr>
        <w:t>in a state of some confusion</w:t>
      </w:r>
      <w:r w:rsidR="00CE1640">
        <w:rPr>
          <w:rFonts w:asciiTheme="minorHAnsi" w:hAnsiTheme="minorHAnsi" w:cstheme="minorHAnsi"/>
          <w:szCs w:val="22"/>
        </w:rPr>
        <w:t>’</w:t>
      </w:r>
      <w:r w:rsidR="00685782" w:rsidRPr="00955EB7">
        <w:rPr>
          <w:rFonts w:asciiTheme="minorHAnsi" w:hAnsiTheme="minorHAnsi" w:cstheme="minorHAnsi"/>
          <w:szCs w:val="22"/>
        </w:rPr>
        <w:t xml:space="preserve">, </w:t>
      </w:r>
      <w:r w:rsidR="00BE371A" w:rsidRPr="00955EB7">
        <w:rPr>
          <w:rFonts w:asciiTheme="minorHAnsi" w:hAnsiTheme="minorHAnsi" w:cstheme="minorHAnsi"/>
          <w:szCs w:val="22"/>
        </w:rPr>
        <w:t>and</w:t>
      </w:r>
      <w:r w:rsidR="008335CF" w:rsidRPr="00955EB7">
        <w:rPr>
          <w:rFonts w:asciiTheme="minorHAnsi" w:hAnsiTheme="minorHAnsi" w:cstheme="minorHAnsi"/>
          <w:szCs w:val="22"/>
        </w:rPr>
        <w:t xml:space="preserve"> the Court considered it </w:t>
      </w:r>
      <w:r w:rsidR="00CE1640">
        <w:rPr>
          <w:rFonts w:asciiTheme="minorHAnsi" w:hAnsiTheme="minorHAnsi" w:cstheme="minorHAnsi"/>
          <w:szCs w:val="22"/>
        </w:rPr>
        <w:t>‘</w:t>
      </w:r>
      <w:r w:rsidR="008335CF" w:rsidRPr="00955EB7">
        <w:rPr>
          <w:rFonts w:asciiTheme="minorHAnsi" w:hAnsiTheme="minorHAnsi" w:cstheme="minorHAnsi"/>
          <w:szCs w:val="22"/>
        </w:rPr>
        <w:t>fortunate</w:t>
      </w:r>
      <w:r w:rsidR="00CE1640">
        <w:rPr>
          <w:rFonts w:asciiTheme="minorHAnsi" w:hAnsiTheme="minorHAnsi" w:cstheme="minorHAnsi"/>
          <w:szCs w:val="22"/>
        </w:rPr>
        <w:t>’</w:t>
      </w:r>
      <w:r w:rsidR="008335CF" w:rsidRPr="00955EB7">
        <w:rPr>
          <w:rFonts w:asciiTheme="minorHAnsi" w:hAnsiTheme="minorHAnsi" w:cstheme="minorHAnsi"/>
          <w:szCs w:val="22"/>
        </w:rPr>
        <w:t xml:space="preserve"> that the issue did no</w:t>
      </w:r>
      <w:r w:rsidR="00410F8C">
        <w:rPr>
          <w:rFonts w:asciiTheme="minorHAnsi" w:hAnsiTheme="minorHAnsi" w:cstheme="minorHAnsi"/>
          <w:szCs w:val="22"/>
        </w:rPr>
        <w:t>t</w:t>
      </w:r>
      <w:r w:rsidR="008335CF" w:rsidRPr="00955EB7">
        <w:rPr>
          <w:rFonts w:asciiTheme="minorHAnsi" w:hAnsiTheme="minorHAnsi" w:cstheme="minorHAnsi"/>
          <w:szCs w:val="22"/>
        </w:rPr>
        <w:t xml:space="preserve"> need to be addressed.</w:t>
      </w:r>
      <w:r w:rsidR="00E353CE" w:rsidRPr="00955EB7">
        <w:rPr>
          <w:rStyle w:val="FootnoteReference"/>
          <w:rFonts w:asciiTheme="minorHAnsi" w:hAnsiTheme="minorHAnsi" w:cstheme="minorHAnsi"/>
        </w:rPr>
        <w:footnoteReference w:id="7"/>
      </w:r>
      <w:r w:rsidR="008335CF" w:rsidRPr="00955EB7">
        <w:rPr>
          <w:rFonts w:asciiTheme="minorHAnsi" w:hAnsiTheme="minorHAnsi" w:cstheme="minorHAnsi"/>
          <w:szCs w:val="22"/>
        </w:rPr>
        <w:t xml:space="preserve"> On a similar note, the Court of Appeal in </w:t>
      </w:r>
      <w:r w:rsidR="008335CF" w:rsidRPr="00955EB7">
        <w:rPr>
          <w:rFonts w:asciiTheme="minorHAnsi" w:hAnsiTheme="minorHAnsi" w:cstheme="minorHAnsi"/>
          <w:i/>
        </w:rPr>
        <w:t>Blankley v Central Manchester and Manchester Children's University Hospitals NHS Trust</w:t>
      </w:r>
      <w:r w:rsidR="008335CF" w:rsidRPr="00955EB7">
        <w:rPr>
          <w:rFonts w:asciiTheme="minorHAnsi" w:hAnsiTheme="minorHAnsi" w:cstheme="minorHAnsi"/>
        </w:rPr>
        <w:t xml:space="preserve"> </w:t>
      </w:r>
      <w:r w:rsidR="007A3038" w:rsidRPr="00955EB7">
        <w:rPr>
          <w:rFonts w:asciiTheme="minorHAnsi" w:hAnsiTheme="minorHAnsi" w:cstheme="minorHAnsi"/>
        </w:rPr>
        <w:t>(</w:t>
      </w:r>
      <w:r w:rsidR="007A3038" w:rsidRPr="00955EB7">
        <w:rPr>
          <w:rFonts w:asciiTheme="minorHAnsi" w:hAnsiTheme="minorHAnsi" w:cstheme="minorHAnsi"/>
          <w:i/>
        </w:rPr>
        <w:t>Blankley</w:t>
      </w:r>
      <w:r w:rsidR="007A3038" w:rsidRPr="00955EB7">
        <w:rPr>
          <w:rFonts w:asciiTheme="minorHAnsi" w:hAnsiTheme="minorHAnsi" w:cstheme="minorHAnsi"/>
        </w:rPr>
        <w:t>)</w:t>
      </w:r>
      <w:r w:rsidR="008335CF" w:rsidRPr="00955EB7">
        <w:rPr>
          <w:rFonts w:asciiTheme="minorHAnsi" w:hAnsiTheme="minorHAnsi" w:cstheme="minorHAnsi"/>
        </w:rPr>
        <w:t xml:space="preserve"> recognised this </w:t>
      </w:r>
      <w:r w:rsidR="008335CF" w:rsidRPr="00955EB7">
        <w:rPr>
          <w:rFonts w:asciiTheme="minorHAnsi" w:hAnsiTheme="minorHAnsi" w:cstheme="minorHAnsi"/>
        </w:rPr>
        <w:lastRenderedPageBreak/>
        <w:t>area of law as re</w:t>
      </w:r>
      <w:r w:rsidR="00685782" w:rsidRPr="00955EB7">
        <w:rPr>
          <w:rFonts w:asciiTheme="minorHAnsi" w:hAnsiTheme="minorHAnsi" w:cstheme="minorHAnsi"/>
          <w:szCs w:val="22"/>
        </w:rPr>
        <w:t xml:space="preserve">quiring </w:t>
      </w:r>
      <w:r w:rsidR="00CE1640">
        <w:rPr>
          <w:rFonts w:asciiTheme="minorHAnsi" w:hAnsiTheme="minorHAnsi" w:cstheme="minorHAnsi"/>
          <w:szCs w:val="22"/>
        </w:rPr>
        <w:t>‘</w:t>
      </w:r>
      <w:r w:rsidR="00685782" w:rsidRPr="00955EB7">
        <w:rPr>
          <w:rFonts w:asciiTheme="minorHAnsi" w:hAnsiTheme="minorHAnsi" w:cstheme="minorHAnsi"/>
          <w:szCs w:val="22"/>
        </w:rPr>
        <w:t>fresh examination</w:t>
      </w:r>
      <w:r w:rsidR="00CE1640">
        <w:rPr>
          <w:rFonts w:asciiTheme="minorHAnsi" w:hAnsiTheme="minorHAnsi" w:cstheme="minorHAnsi"/>
          <w:szCs w:val="22"/>
        </w:rPr>
        <w:t>’</w:t>
      </w:r>
      <w:r w:rsidR="008335CF" w:rsidRPr="00955EB7">
        <w:rPr>
          <w:rFonts w:asciiTheme="minorHAnsi" w:hAnsiTheme="minorHAnsi" w:cstheme="minorHAnsi"/>
          <w:szCs w:val="22"/>
        </w:rPr>
        <w:t>, but conceded that, in that case,</w:t>
      </w:r>
      <w:r w:rsidR="00685782" w:rsidRPr="00955EB7">
        <w:rPr>
          <w:rFonts w:asciiTheme="minorHAnsi" w:hAnsiTheme="minorHAnsi" w:cstheme="minorHAnsi"/>
          <w:szCs w:val="22"/>
        </w:rPr>
        <w:t xml:space="preserve"> it was unnecessary </w:t>
      </w:r>
      <w:r w:rsidR="00CE1640">
        <w:rPr>
          <w:rFonts w:asciiTheme="minorHAnsi" w:hAnsiTheme="minorHAnsi" w:cstheme="minorHAnsi"/>
          <w:szCs w:val="22"/>
        </w:rPr>
        <w:t>‘</w:t>
      </w:r>
      <w:r w:rsidR="00685782" w:rsidRPr="00955EB7">
        <w:rPr>
          <w:rFonts w:asciiTheme="minorHAnsi" w:hAnsiTheme="minorHAnsi" w:cstheme="minorHAnsi"/>
          <w:szCs w:val="22"/>
        </w:rPr>
        <w:t xml:space="preserve">to grasp the </w:t>
      </w:r>
      <w:r w:rsidR="00573A5D" w:rsidRPr="00955EB7">
        <w:rPr>
          <w:rFonts w:asciiTheme="minorHAnsi" w:hAnsiTheme="minorHAnsi" w:cstheme="minorHAnsi"/>
          <w:szCs w:val="22"/>
        </w:rPr>
        <w:t>‘</w:t>
      </w:r>
      <w:r w:rsidR="00685782" w:rsidRPr="00955EB7">
        <w:rPr>
          <w:rFonts w:asciiTheme="minorHAnsi" w:hAnsiTheme="minorHAnsi" w:cstheme="minorHAnsi"/>
          <w:szCs w:val="22"/>
        </w:rPr>
        <w:t>hot potato</w:t>
      </w:r>
      <w:r w:rsidR="00573A5D" w:rsidRPr="00955EB7">
        <w:rPr>
          <w:rFonts w:asciiTheme="minorHAnsi" w:hAnsiTheme="minorHAnsi" w:cstheme="minorHAnsi"/>
          <w:szCs w:val="22"/>
        </w:rPr>
        <w:t>’</w:t>
      </w:r>
      <w:r w:rsidR="00685782" w:rsidRPr="00955EB7">
        <w:rPr>
          <w:rFonts w:asciiTheme="minorHAnsi" w:hAnsiTheme="minorHAnsi" w:cstheme="minorHAnsi"/>
          <w:szCs w:val="22"/>
        </w:rPr>
        <w:t xml:space="preserve"> left on one side by the Supreme Court in </w:t>
      </w:r>
      <w:r w:rsidR="00685782" w:rsidRPr="00955EB7">
        <w:rPr>
          <w:rFonts w:asciiTheme="minorHAnsi" w:hAnsiTheme="minorHAnsi" w:cstheme="minorHAnsi"/>
          <w:i/>
          <w:szCs w:val="22"/>
        </w:rPr>
        <w:t>Dunhill</w:t>
      </w:r>
      <w:r w:rsidR="00CE1640">
        <w:rPr>
          <w:rFonts w:asciiTheme="minorHAnsi" w:hAnsiTheme="minorHAnsi" w:cstheme="minorHAnsi"/>
          <w:i/>
          <w:szCs w:val="22"/>
        </w:rPr>
        <w:t>’</w:t>
      </w:r>
      <w:r w:rsidR="00685782" w:rsidRPr="00955EB7">
        <w:rPr>
          <w:rFonts w:asciiTheme="minorHAnsi" w:hAnsiTheme="minorHAnsi" w:cstheme="minorHAnsi"/>
          <w:szCs w:val="22"/>
        </w:rPr>
        <w:t>.</w:t>
      </w:r>
      <w:r w:rsidR="00E353CE" w:rsidRPr="00955EB7">
        <w:rPr>
          <w:rStyle w:val="FootnoteReference"/>
          <w:rFonts w:asciiTheme="minorHAnsi" w:hAnsiTheme="minorHAnsi" w:cstheme="minorHAnsi"/>
        </w:rPr>
        <w:footnoteReference w:id="8"/>
      </w:r>
    </w:p>
    <w:p w14:paraId="30DBBE2C" w14:textId="77777777" w:rsidR="00BC5DD5" w:rsidRDefault="00BC5DD5" w:rsidP="00A06D14">
      <w:pPr>
        <w:spacing w:line="360" w:lineRule="auto"/>
        <w:rPr>
          <w:rFonts w:asciiTheme="minorHAnsi" w:hAnsiTheme="minorHAnsi" w:cstheme="minorHAnsi"/>
          <w:szCs w:val="22"/>
        </w:rPr>
      </w:pPr>
    </w:p>
    <w:p w14:paraId="616DEF5C" w14:textId="221B6C99" w:rsidR="008423D0" w:rsidRPr="00955EB7" w:rsidRDefault="008335CF"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question concerning the application of the </w:t>
      </w:r>
      <w:r w:rsidRPr="00955EB7">
        <w:rPr>
          <w:rFonts w:asciiTheme="minorHAnsi" w:hAnsiTheme="minorHAnsi" w:cstheme="minorHAnsi"/>
          <w:i/>
          <w:szCs w:val="22"/>
        </w:rPr>
        <w:t xml:space="preserve">Imperial Loan </w:t>
      </w:r>
      <w:r w:rsidRPr="00955EB7">
        <w:rPr>
          <w:rFonts w:asciiTheme="minorHAnsi" w:hAnsiTheme="minorHAnsi" w:cstheme="minorHAnsi"/>
          <w:szCs w:val="22"/>
        </w:rPr>
        <w:t>rule to agency agreements</w:t>
      </w:r>
      <w:r w:rsidR="00431E56" w:rsidRPr="00955EB7">
        <w:rPr>
          <w:rFonts w:asciiTheme="minorHAnsi" w:hAnsiTheme="minorHAnsi" w:cstheme="minorHAnsi"/>
          <w:szCs w:val="22"/>
        </w:rPr>
        <w:t xml:space="preserve"> may be perceived as being too hot to handle, as it</w:t>
      </w:r>
      <w:r w:rsidRPr="00955EB7">
        <w:rPr>
          <w:rFonts w:asciiTheme="minorHAnsi" w:hAnsiTheme="minorHAnsi" w:cstheme="minorHAnsi"/>
          <w:szCs w:val="22"/>
        </w:rPr>
        <w:t xml:space="preserve"> presents a difficult choice.</w:t>
      </w:r>
      <w:r w:rsidR="0057340F" w:rsidRPr="00955EB7">
        <w:rPr>
          <w:rFonts w:asciiTheme="minorHAnsi" w:hAnsiTheme="minorHAnsi" w:cstheme="minorHAnsi"/>
          <w:szCs w:val="22"/>
        </w:rPr>
        <w:t xml:space="preserve"> A decision not to apply the rule to agency agreements protect</w:t>
      </w:r>
      <w:r w:rsidR="00A77186" w:rsidRPr="00955EB7">
        <w:rPr>
          <w:rFonts w:asciiTheme="minorHAnsi" w:hAnsiTheme="minorHAnsi" w:cstheme="minorHAnsi"/>
          <w:szCs w:val="22"/>
        </w:rPr>
        <w:t>s</w:t>
      </w:r>
      <w:r w:rsidR="0057340F" w:rsidRPr="00955EB7">
        <w:rPr>
          <w:rFonts w:asciiTheme="minorHAnsi" w:hAnsiTheme="minorHAnsi" w:cstheme="minorHAnsi"/>
          <w:szCs w:val="22"/>
        </w:rPr>
        <w:t xml:space="preserve"> the principal but leaves the agent who is unaware of the principal’s mental incapacity in a vulnerable position. On the other hand, a decision to apply the rule to agency agreement</w:t>
      </w:r>
      <w:r w:rsidR="00410F8C">
        <w:rPr>
          <w:rFonts w:asciiTheme="minorHAnsi" w:hAnsiTheme="minorHAnsi" w:cstheme="minorHAnsi"/>
          <w:szCs w:val="22"/>
        </w:rPr>
        <w:t>s</w:t>
      </w:r>
      <w:r w:rsidR="0057340F" w:rsidRPr="00955EB7">
        <w:rPr>
          <w:rFonts w:asciiTheme="minorHAnsi" w:hAnsiTheme="minorHAnsi" w:cstheme="minorHAnsi"/>
          <w:szCs w:val="22"/>
        </w:rPr>
        <w:t xml:space="preserve"> leave</w:t>
      </w:r>
      <w:r w:rsidR="00431E56" w:rsidRPr="00955EB7">
        <w:rPr>
          <w:rFonts w:asciiTheme="minorHAnsi" w:hAnsiTheme="minorHAnsi" w:cstheme="minorHAnsi"/>
          <w:szCs w:val="22"/>
        </w:rPr>
        <w:t>s</w:t>
      </w:r>
      <w:r w:rsidR="0057340F" w:rsidRPr="00955EB7">
        <w:rPr>
          <w:rFonts w:asciiTheme="minorHAnsi" w:hAnsiTheme="minorHAnsi" w:cstheme="minorHAnsi"/>
          <w:szCs w:val="22"/>
        </w:rPr>
        <w:t xml:space="preserve"> the principal in a vulnerable position, as </w:t>
      </w:r>
      <w:r w:rsidR="00BC4507">
        <w:rPr>
          <w:rFonts w:asciiTheme="minorHAnsi" w:hAnsiTheme="minorHAnsi" w:cstheme="minorHAnsi"/>
          <w:szCs w:val="22"/>
        </w:rPr>
        <w:t>he</w:t>
      </w:r>
      <w:r w:rsidR="0057340F" w:rsidRPr="00955EB7">
        <w:rPr>
          <w:rFonts w:asciiTheme="minorHAnsi" w:hAnsiTheme="minorHAnsi" w:cstheme="minorHAnsi"/>
          <w:szCs w:val="22"/>
        </w:rPr>
        <w:t xml:space="preserve"> would have to meet a high threshold of proving both </w:t>
      </w:r>
      <w:r w:rsidR="00BC4507">
        <w:rPr>
          <w:rFonts w:asciiTheme="minorHAnsi" w:hAnsiTheme="minorHAnsi" w:cstheme="minorHAnsi"/>
          <w:szCs w:val="22"/>
        </w:rPr>
        <w:t>his</w:t>
      </w:r>
      <w:r w:rsidR="0057340F" w:rsidRPr="00955EB7">
        <w:rPr>
          <w:rFonts w:asciiTheme="minorHAnsi" w:hAnsiTheme="minorHAnsi" w:cstheme="minorHAnsi"/>
          <w:szCs w:val="22"/>
        </w:rPr>
        <w:t xml:space="preserve"> own mental incapacity and the </w:t>
      </w:r>
      <w:r w:rsidR="0059128F" w:rsidRPr="00955EB7">
        <w:rPr>
          <w:rFonts w:asciiTheme="minorHAnsi" w:hAnsiTheme="minorHAnsi" w:cstheme="minorHAnsi"/>
          <w:szCs w:val="22"/>
        </w:rPr>
        <w:t>agent</w:t>
      </w:r>
      <w:r w:rsidR="0057340F" w:rsidRPr="00955EB7">
        <w:rPr>
          <w:rFonts w:asciiTheme="minorHAnsi" w:hAnsiTheme="minorHAnsi" w:cstheme="minorHAnsi"/>
          <w:szCs w:val="22"/>
        </w:rPr>
        <w:t xml:space="preserve">’s knowledge of it. </w:t>
      </w:r>
      <w:r w:rsidR="0059128F" w:rsidRPr="00955EB7">
        <w:rPr>
          <w:rFonts w:asciiTheme="minorHAnsi" w:hAnsiTheme="minorHAnsi" w:cstheme="minorHAnsi"/>
          <w:szCs w:val="22"/>
        </w:rPr>
        <w:t xml:space="preserve">Given the criticism faced by the </w:t>
      </w:r>
      <w:r w:rsidR="0059128F" w:rsidRPr="00955EB7">
        <w:rPr>
          <w:rFonts w:asciiTheme="minorHAnsi" w:hAnsiTheme="minorHAnsi" w:cstheme="minorHAnsi"/>
          <w:i/>
          <w:szCs w:val="22"/>
        </w:rPr>
        <w:t>Imperial Loan</w:t>
      </w:r>
      <w:r w:rsidR="0059128F" w:rsidRPr="00955EB7">
        <w:rPr>
          <w:rFonts w:asciiTheme="minorHAnsi" w:hAnsiTheme="minorHAnsi" w:cstheme="minorHAnsi"/>
          <w:szCs w:val="22"/>
        </w:rPr>
        <w:t xml:space="preserve"> rule for failing to protect the party who lacks the mental capacity to understand the nature of the transaction, this rule may provide an unattractive alternative to the approach adopted in </w:t>
      </w:r>
      <w:r w:rsidR="0059128F" w:rsidRPr="00955EB7">
        <w:rPr>
          <w:rFonts w:asciiTheme="minorHAnsi" w:hAnsiTheme="minorHAnsi" w:cstheme="minorHAnsi"/>
          <w:i/>
          <w:szCs w:val="22"/>
        </w:rPr>
        <w:t>Yonge</w:t>
      </w:r>
      <w:r w:rsidR="0059128F" w:rsidRPr="00955EB7">
        <w:rPr>
          <w:rFonts w:asciiTheme="minorHAnsi" w:hAnsiTheme="minorHAnsi" w:cstheme="minorHAnsi"/>
          <w:szCs w:val="22"/>
        </w:rPr>
        <w:t>.</w:t>
      </w:r>
      <w:r w:rsidR="00670C1D" w:rsidRPr="00955EB7">
        <w:rPr>
          <w:rStyle w:val="FootnoteReference"/>
          <w:rFonts w:asciiTheme="minorHAnsi" w:hAnsiTheme="minorHAnsi" w:cstheme="minorHAnsi"/>
          <w:szCs w:val="22"/>
        </w:rPr>
        <w:footnoteReference w:id="9"/>
      </w:r>
      <w:r w:rsidR="00431E56" w:rsidRPr="00955EB7">
        <w:rPr>
          <w:rFonts w:asciiTheme="minorHAnsi" w:hAnsiTheme="minorHAnsi" w:cstheme="minorHAnsi"/>
          <w:szCs w:val="22"/>
        </w:rPr>
        <w:t xml:space="preserve"> </w:t>
      </w:r>
      <w:r w:rsidR="00933090" w:rsidRPr="00955EB7">
        <w:rPr>
          <w:rFonts w:asciiTheme="minorHAnsi" w:hAnsiTheme="minorHAnsi" w:cstheme="minorHAnsi"/>
          <w:szCs w:val="22"/>
        </w:rPr>
        <w:t xml:space="preserve">The </w:t>
      </w:r>
      <w:r w:rsidR="00933090" w:rsidRPr="00955EB7">
        <w:rPr>
          <w:rFonts w:asciiTheme="minorHAnsi" w:hAnsiTheme="minorHAnsi" w:cstheme="minorHAnsi"/>
          <w:i/>
          <w:szCs w:val="22"/>
        </w:rPr>
        <w:t>Imperial Loan</w:t>
      </w:r>
      <w:r w:rsidR="00933090" w:rsidRPr="00955EB7">
        <w:rPr>
          <w:rFonts w:asciiTheme="minorHAnsi" w:hAnsiTheme="minorHAnsi" w:cstheme="minorHAnsi"/>
          <w:szCs w:val="22"/>
        </w:rPr>
        <w:t xml:space="preserve"> rule is not free from controversy, as a strict interpretation of this rule, limited to the other party’s actual knowledge of the incapacity, provides an imbalanced approach </w:t>
      </w:r>
      <w:r w:rsidR="00363562" w:rsidRPr="00955EB7">
        <w:rPr>
          <w:rFonts w:asciiTheme="minorHAnsi" w:hAnsiTheme="minorHAnsi" w:cstheme="minorHAnsi"/>
          <w:szCs w:val="22"/>
        </w:rPr>
        <w:t xml:space="preserve">leading </w:t>
      </w:r>
      <w:r w:rsidR="00933090" w:rsidRPr="00955EB7">
        <w:rPr>
          <w:rFonts w:asciiTheme="minorHAnsi" w:hAnsiTheme="minorHAnsi" w:cstheme="minorHAnsi"/>
          <w:szCs w:val="22"/>
        </w:rPr>
        <w:t>to the detriment of the party lac</w:t>
      </w:r>
      <w:r w:rsidR="007A3038" w:rsidRPr="00955EB7">
        <w:rPr>
          <w:rFonts w:asciiTheme="minorHAnsi" w:hAnsiTheme="minorHAnsi" w:cstheme="minorHAnsi"/>
          <w:szCs w:val="22"/>
        </w:rPr>
        <w:t>k</w:t>
      </w:r>
      <w:r w:rsidR="00933090" w:rsidRPr="00955EB7">
        <w:rPr>
          <w:rFonts w:asciiTheme="minorHAnsi" w:hAnsiTheme="minorHAnsi" w:cstheme="minorHAnsi"/>
          <w:szCs w:val="22"/>
        </w:rPr>
        <w:t xml:space="preserve">ing mental capacity. </w:t>
      </w:r>
      <w:r w:rsidR="00431E56" w:rsidRPr="00955EB7">
        <w:rPr>
          <w:rFonts w:asciiTheme="minorHAnsi" w:hAnsiTheme="minorHAnsi" w:cstheme="minorHAnsi"/>
          <w:szCs w:val="22"/>
        </w:rPr>
        <w:t xml:space="preserve">This </w:t>
      </w:r>
      <w:r w:rsidR="007A3038" w:rsidRPr="00955EB7">
        <w:rPr>
          <w:rFonts w:asciiTheme="minorHAnsi" w:hAnsiTheme="minorHAnsi" w:cstheme="minorHAnsi"/>
          <w:szCs w:val="22"/>
        </w:rPr>
        <w:t>article</w:t>
      </w:r>
      <w:r w:rsidR="00431E56" w:rsidRPr="00955EB7">
        <w:rPr>
          <w:rFonts w:asciiTheme="minorHAnsi" w:hAnsiTheme="minorHAnsi" w:cstheme="minorHAnsi"/>
          <w:szCs w:val="22"/>
        </w:rPr>
        <w:t xml:space="preserve"> contends that the </w:t>
      </w:r>
      <w:r w:rsidR="00431E56" w:rsidRPr="00955EB7">
        <w:rPr>
          <w:rFonts w:asciiTheme="minorHAnsi" w:hAnsiTheme="minorHAnsi" w:cstheme="minorHAnsi"/>
          <w:i/>
          <w:szCs w:val="22"/>
        </w:rPr>
        <w:t>Imperial Loan</w:t>
      </w:r>
      <w:r w:rsidR="00431E56" w:rsidRPr="00955EB7">
        <w:rPr>
          <w:rFonts w:asciiTheme="minorHAnsi" w:hAnsiTheme="minorHAnsi" w:cstheme="minorHAnsi"/>
          <w:szCs w:val="22"/>
        </w:rPr>
        <w:t xml:space="preserve"> rule should apply to agency agreements, but that this rule should be interpreted broadly to include not only actual knowledge, but also constructive knowledge based on the circumstances of the transaction. </w:t>
      </w:r>
      <w:r w:rsidR="00E1713D" w:rsidRPr="00955EB7">
        <w:rPr>
          <w:rFonts w:asciiTheme="minorHAnsi" w:hAnsiTheme="minorHAnsi" w:cstheme="minorHAnsi"/>
          <w:szCs w:val="22"/>
        </w:rPr>
        <w:t xml:space="preserve">Consequently, </w:t>
      </w:r>
      <w:r w:rsidR="00431E56" w:rsidRPr="00955EB7">
        <w:rPr>
          <w:rFonts w:asciiTheme="minorHAnsi" w:hAnsiTheme="minorHAnsi" w:cstheme="minorHAnsi"/>
          <w:szCs w:val="22"/>
        </w:rPr>
        <w:t xml:space="preserve">a party </w:t>
      </w:r>
      <w:r w:rsidR="00E1713D" w:rsidRPr="00955EB7">
        <w:rPr>
          <w:rFonts w:asciiTheme="minorHAnsi" w:hAnsiTheme="minorHAnsi" w:cstheme="minorHAnsi"/>
          <w:szCs w:val="22"/>
        </w:rPr>
        <w:t xml:space="preserve">may be able </w:t>
      </w:r>
      <w:r w:rsidR="00431E56" w:rsidRPr="00955EB7">
        <w:rPr>
          <w:rFonts w:asciiTheme="minorHAnsi" w:hAnsiTheme="minorHAnsi" w:cstheme="minorHAnsi"/>
          <w:szCs w:val="22"/>
        </w:rPr>
        <w:t>to invalidate a contract (including an agency contract) on grounds of incapacity if</w:t>
      </w:r>
      <w:r w:rsidR="00E1713D" w:rsidRPr="00955EB7">
        <w:rPr>
          <w:rFonts w:asciiTheme="minorHAnsi" w:hAnsiTheme="minorHAnsi" w:cstheme="minorHAnsi"/>
          <w:szCs w:val="22"/>
        </w:rPr>
        <w:t xml:space="preserve"> </w:t>
      </w:r>
      <w:r w:rsidR="00BC4507">
        <w:rPr>
          <w:rFonts w:asciiTheme="minorHAnsi" w:hAnsiTheme="minorHAnsi" w:cstheme="minorHAnsi"/>
          <w:szCs w:val="22"/>
        </w:rPr>
        <w:t>he</w:t>
      </w:r>
      <w:r w:rsidR="00E1713D" w:rsidRPr="00955EB7">
        <w:rPr>
          <w:rFonts w:asciiTheme="minorHAnsi" w:hAnsiTheme="minorHAnsi" w:cstheme="minorHAnsi"/>
          <w:szCs w:val="22"/>
        </w:rPr>
        <w:t xml:space="preserve"> could </w:t>
      </w:r>
      <w:r w:rsidR="00431E56" w:rsidRPr="00955EB7">
        <w:rPr>
          <w:rFonts w:asciiTheme="minorHAnsi" w:hAnsiTheme="minorHAnsi" w:cstheme="minorHAnsi"/>
          <w:szCs w:val="22"/>
        </w:rPr>
        <w:t xml:space="preserve">show (i) </w:t>
      </w:r>
      <w:r w:rsidR="00E1713D" w:rsidRPr="00955EB7">
        <w:rPr>
          <w:rFonts w:asciiTheme="minorHAnsi" w:hAnsiTheme="minorHAnsi" w:cstheme="minorHAnsi"/>
          <w:szCs w:val="22"/>
        </w:rPr>
        <w:t>the other party’s</w:t>
      </w:r>
      <w:r w:rsidR="00431E56" w:rsidRPr="00955EB7">
        <w:rPr>
          <w:rFonts w:asciiTheme="minorHAnsi" w:hAnsiTheme="minorHAnsi" w:cstheme="minorHAnsi"/>
          <w:szCs w:val="22"/>
        </w:rPr>
        <w:t xml:space="preserve"> actual knowledge of the incapacity, or (ii) </w:t>
      </w:r>
      <w:r w:rsidR="00E1713D" w:rsidRPr="00955EB7">
        <w:rPr>
          <w:rFonts w:asciiTheme="minorHAnsi" w:hAnsiTheme="minorHAnsi" w:cstheme="minorHAnsi"/>
          <w:szCs w:val="22"/>
        </w:rPr>
        <w:t>the other party’s</w:t>
      </w:r>
      <w:r w:rsidR="00431E56" w:rsidRPr="00955EB7">
        <w:rPr>
          <w:rFonts w:asciiTheme="minorHAnsi" w:hAnsiTheme="minorHAnsi" w:cstheme="minorHAnsi"/>
          <w:szCs w:val="22"/>
        </w:rPr>
        <w:t xml:space="preserve"> constructive knowledge of the incapacity, if this was apparent or (iii) </w:t>
      </w:r>
      <w:r w:rsidR="00E1713D" w:rsidRPr="00955EB7">
        <w:rPr>
          <w:rFonts w:asciiTheme="minorHAnsi" w:hAnsiTheme="minorHAnsi" w:cstheme="minorHAnsi"/>
          <w:szCs w:val="22"/>
        </w:rPr>
        <w:t>the other party’s</w:t>
      </w:r>
      <w:r w:rsidR="00431E56" w:rsidRPr="00955EB7">
        <w:rPr>
          <w:rFonts w:asciiTheme="minorHAnsi" w:hAnsiTheme="minorHAnsi" w:cstheme="minorHAnsi"/>
          <w:szCs w:val="22"/>
        </w:rPr>
        <w:t xml:space="preserve"> constructive knowledge of the incapacity, based on the circumstances of the transaction.</w:t>
      </w:r>
      <w:r w:rsidR="00D65242" w:rsidRPr="00955EB7">
        <w:rPr>
          <w:rStyle w:val="FootnoteReference"/>
          <w:rFonts w:asciiTheme="minorHAnsi" w:hAnsiTheme="minorHAnsi" w:cstheme="minorHAnsi"/>
          <w:szCs w:val="22"/>
        </w:rPr>
        <w:footnoteReference w:id="10"/>
      </w:r>
      <w:r w:rsidR="00E1713D" w:rsidRPr="00955EB7">
        <w:rPr>
          <w:rFonts w:asciiTheme="minorHAnsi" w:hAnsiTheme="minorHAnsi" w:cstheme="minorHAnsi"/>
          <w:szCs w:val="22"/>
        </w:rPr>
        <w:t xml:space="preserve"> Rather than presenting courts with a difficult choice between protecting one party to the detriment of the other, this broad interpretation of the </w:t>
      </w:r>
      <w:r w:rsidR="00E1713D" w:rsidRPr="00955EB7">
        <w:rPr>
          <w:rFonts w:asciiTheme="minorHAnsi" w:hAnsiTheme="minorHAnsi" w:cstheme="minorHAnsi"/>
          <w:i/>
          <w:szCs w:val="22"/>
        </w:rPr>
        <w:t>Imperial Loan</w:t>
      </w:r>
      <w:r w:rsidR="00E1713D" w:rsidRPr="00955EB7">
        <w:rPr>
          <w:rFonts w:asciiTheme="minorHAnsi" w:hAnsiTheme="minorHAnsi" w:cstheme="minorHAnsi"/>
          <w:szCs w:val="22"/>
        </w:rPr>
        <w:t xml:space="preserve"> rule would provide </w:t>
      </w:r>
      <w:r w:rsidR="00933090" w:rsidRPr="00955EB7">
        <w:rPr>
          <w:rFonts w:asciiTheme="minorHAnsi" w:hAnsiTheme="minorHAnsi" w:cstheme="minorHAnsi"/>
          <w:szCs w:val="22"/>
        </w:rPr>
        <w:t>a balanced approach between the interests of the contracting parties.</w:t>
      </w:r>
      <w:r w:rsidR="00D65242" w:rsidRPr="00955EB7">
        <w:rPr>
          <w:rFonts w:asciiTheme="minorHAnsi" w:hAnsiTheme="minorHAnsi" w:cstheme="minorHAnsi"/>
          <w:szCs w:val="22"/>
        </w:rPr>
        <w:t xml:space="preserve"> Part one </w:t>
      </w:r>
      <w:r w:rsidR="00363562" w:rsidRPr="00955EB7">
        <w:rPr>
          <w:rFonts w:asciiTheme="minorHAnsi" w:hAnsiTheme="minorHAnsi" w:cstheme="minorHAnsi"/>
          <w:szCs w:val="22"/>
        </w:rPr>
        <w:t xml:space="preserve">of this paper </w:t>
      </w:r>
      <w:r w:rsidR="00D65242" w:rsidRPr="00955EB7">
        <w:rPr>
          <w:rFonts w:asciiTheme="minorHAnsi" w:hAnsiTheme="minorHAnsi" w:cstheme="minorHAnsi"/>
          <w:szCs w:val="22"/>
        </w:rPr>
        <w:t xml:space="preserve">navigates through conflicting authorities in English contract law to assess the scope of the incapacity defence, while part two suggests a way forward, seeking to untangle this area of law from a theoretical perspective, examining the current conundrum not only as a conflict of authorities but also as a conflict of ideologies, and searching for a solution that is compatible with the vision of universal legal capacity pursued by the UN </w:t>
      </w:r>
      <w:r w:rsidR="00D65242" w:rsidRPr="00955EB7">
        <w:rPr>
          <w:rFonts w:asciiTheme="minorHAnsi" w:hAnsiTheme="minorHAnsi" w:cstheme="minorHAnsi"/>
          <w:i/>
          <w:szCs w:val="22"/>
        </w:rPr>
        <w:t xml:space="preserve">Convention on the Rights of Persons with Disabilities </w:t>
      </w:r>
      <w:r w:rsidR="00D65242" w:rsidRPr="00955EB7">
        <w:rPr>
          <w:rFonts w:asciiTheme="minorHAnsi" w:hAnsiTheme="minorHAnsi" w:cstheme="minorHAnsi"/>
          <w:szCs w:val="22"/>
        </w:rPr>
        <w:t>(CRPD)</w:t>
      </w:r>
      <w:r w:rsidR="00414652" w:rsidRPr="00955EB7">
        <w:rPr>
          <w:rFonts w:asciiTheme="minorHAnsi" w:hAnsiTheme="minorHAnsi" w:cstheme="minorHAnsi"/>
          <w:szCs w:val="22"/>
        </w:rPr>
        <w:t>.</w:t>
      </w:r>
      <w:r w:rsidR="00D65242" w:rsidRPr="00955EB7">
        <w:rPr>
          <w:rStyle w:val="FootnoteReference"/>
          <w:rFonts w:asciiTheme="minorHAnsi" w:hAnsiTheme="minorHAnsi" w:cstheme="minorHAnsi"/>
          <w:szCs w:val="22"/>
        </w:rPr>
        <w:footnoteReference w:id="11"/>
      </w:r>
      <w:r w:rsidR="00414652" w:rsidRPr="00955EB7">
        <w:rPr>
          <w:rFonts w:asciiTheme="minorHAnsi" w:hAnsiTheme="minorHAnsi" w:cstheme="minorHAnsi"/>
          <w:szCs w:val="22"/>
        </w:rPr>
        <w:t xml:space="preserve"> Given the </w:t>
      </w:r>
      <w:r w:rsidR="00363562" w:rsidRPr="00955EB7">
        <w:rPr>
          <w:rFonts w:asciiTheme="minorHAnsi" w:hAnsiTheme="minorHAnsi" w:cstheme="minorHAnsi"/>
          <w:szCs w:val="22"/>
        </w:rPr>
        <w:t>growing</w:t>
      </w:r>
      <w:r w:rsidR="00414652" w:rsidRPr="00955EB7">
        <w:rPr>
          <w:rFonts w:asciiTheme="minorHAnsi" w:hAnsiTheme="minorHAnsi" w:cstheme="minorHAnsi"/>
          <w:szCs w:val="22"/>
        </w:rPr>
        <w:t xml:space="preserve"> number of people who develop mental health conditions such as dementia and the likely </w:t>
      </w:r>
      <w:r w:rsidR="00363562" w:rsidRPr="00955EB7">
        <w:rPr>
          <w:rFonts w:asciiTheme="minorHAnsi" w:hAnsiTheme="minorHAnsi" w:cstheme="minorHAnsi"/>
          <w:szCs w:val="22"/>
        </w:rPr>
        <w:t>increase</w:t>
      </w:r>
      <w:r w:rsidR="00414652" w:rsidRPr="00955EB7">
        <w:rPr>
          <w:rFonts w:asciiTheme="minorHAnsi" w:hAnsiTheme="minorHAnsi" w:cstheme="minorHAnsi"/>
          <w:szCs w:val="22"/>
        </w:rPr>
        <w:t xml:space="preserve"> in the number of </w:t>
      </w:r>
      <w:r w:rsidR="00E17A43" w:rsidRPr="00955EB7">
        <w:rPr>
          <w:rFonts w:asciiTheme="minorHAnsi" w:hAnsiTheme="minorHAnsi" w:cstheme="minorHAnsi"/>
          <w:szCs w:val="22"/>
        </w:rPr>
        <w:t xml:space="preserve">cases </w:t>
      </w:r>
      <w:r w:rsidR="00414652" w:rsidRPr="00955EB7">
        <w:rPr>
          <w:rFonts w:asciiTheme="minorHAnsi" w:hAnsiTheme="minorHAnsi" w:cstheme="minorHAnsi"/>
          <w:szCs w:val="22"/>
        </w:rPr>
        <w:t>with parties</w:t>
      </w:r>
      <w:r w:rsidR="00E17A43" w:rsidRPr="00955EB7">
        <w:rPr>
          <w:rFonts w:asciiTheme="minorHAnsi" w:hAnsiTheme="minorHAnsi" w:cstheme="minorHAnsi"/>
          <w:szCs w:val="22"/>
        </w:rPr>
        <w:t xml:space="preserve"> who lack the mental capacity to understand transaction</w:t>
      </w:r>
      <w:r w:rsidR="000F5AF6" w:rsidRPr="00955EB7">
        <w:rPr>
          <w:rFonts w:asciiTheme="minorHAnsi" w:hAnsiTheme="minorHAnsi" w:cstheme="minorHAnsi"/>
          <w:szCs w:val="22"/>
        </w:rPr>
        <w:t>s</w:t>
      </w:r>
      <w:r w:rsidR="00E17A43" w:rsidRPr="00955EB7">
        <w:rPr>
          <w:rFonts w:asciiTheme="minorHAnsi" w:hAnsiTheme="minorHAnsi" w:cstheme="minorHAnsi"/>
          <w:szCs w:val="22"/>
        </w:rPr>
        <w:t>, contract law has a role to play in responding to these wider social issues.</w:t>
      </w:r>
      <w:r w:rsidR="00E17A43" w:rsidRPr="00955EB7">
        <w:rPr>
          <w:rStyle w:val="FootnoteReference"/>
          <w:rFonts w:asciiTheme="minorHAnsi" w:hAnsiTheme="minorHAnsi" w:cstheme="minorHAnsi"/>
          <w:szCs w:val="22"/>
        </w:rPr>
        <w:footnoteReference w:id="12"/>
      </w:r>
      <w:r w:rsidR="00E17A43" w:rsidRPr="00955EB7">
        <w:rPr>
          <w:rFonts w:asciiTheme="minorHAnsi" w:hAnsiTheme="minorHAnsi" w:cstheme="minorHAnsi"/>
          <w:szCs w:val="22"/>
        </w:rPr>
        <w:t xml:space="preserve"> Rather than being confined to a unidimensional role (to facilitate transactions in the economic sphere between actors in pursuit of self-interest), contract law has a multidimensional role, permeating the economic and social spheres and connecting people in mutual relations.</w:t>
      </w:r>
      <w:r w:rsidR="00E17A43" w:rsidRPr="00955EB7">
        <w:rPr>
          <w:rStyle w:val="FootnoteReference"/>
          <w:rFonts w:asciiTheme="minorHAnsi" w:hAnsiTheme="minorHAnsi" w:cstheme="minorHAnsi"/>
          <w:szCs w:val="22"/>
        </w:rPr>
        <w:footnoteReference w:id="13"/>
      </w:r>
      <w:r w:rsidR="008423D0" w:rsidRPr="00955EB7">
        <w:rPr>
          <w:rFonts w:asciiTheme="minorHAnsi" w:hAnsiTheme="minorHAnsi" w:cstheme="minorHAnsi"/>
          <w:szCs w:val="22"/>
        </w:rPr>
        <w:t xml:space="preserve"> In responding to the question regarding the validity of a contract where a party lacked the mental capacity to understand the </w:t>
      </w:r>
      <w:r w:rsidR="008423D0" w:rsidRPr="00955EB7">
        <w:rPr>
          <w:rFonts w:asciiTheme="minorHAnsi" w:hAnsiTheme="minorHAnsi" w:cstheme="minorHAnsi"/>
          <w:szCs w:val="22"/>
        </w:rPr>
        <w:lastRenderedPageBreak/>
        <w:t>transaction, this response must be compatible with the values pursued by the CRPD, including citizenship values such as equal respect for individual autonomy and human dignity.</w:t>
      </w:r>
    </w:p>
    <w:p w14:paraId="5129789F" w14:textId="3F0557F5" w:rsidR="00D2135B" w:rsidRPr="00955EB7" w:rsidRDefault="00D2135B" w:rsidP="00A06D14">
      <w:pPr>
        <w:spacing w:line="360" w:lineRule="auto"/>
        <w:rPr>
          <w:rFonts w:asciiTheme="minorHAnsi" w:hAnsiTheme="minorHAnsi" w:cstheme="minorHAnsi"/>
          <w:szCs w:val="22"/>
        </w:rPr>
      </w:pPr>
    </w:p>
    <w:p w14:paraId="4B0C36EF" w14:textId="0045F6B1" w:rsidR="00D2135B" w:rsidRPr="00955EB7" w:rsidRDefault="00CE1640" w:rsidP="00A06D14">
      <w:pPr>
        <w:spacing w:line="360" w:lineRule="auto"/>
        <w:jc w:val="center"/>
        <w:rPr>
          <w:rFonts w:asciiTheme="minorHAnsi" w:hAnsiTheme="minorHAnsi" w:cstheme="minorHAnsi"/>
          <w:b/>
          <w:szCs w:val="22"/>
        </w:rPr>
      </w:pPr>
      <w:r w:rsidRPr="00955EB7">
        <w:rPr>
          <w:rFonts w:asciiTheme="minorHAnsi" w:hAnsiTheme="minorHAnsi" w:cstheme="minorHAnsi"/>
          <w:b/>
          <w:szCs w:val="22"/>
        </w:rPr>
        <w:t xml:space="preserve">Navigating </w:t>
      </w:r>
      <w:r>
        <w:rPr>
          <w:rFonts w:asciiTheme="minorHAnsi" w:hAnsiTheme="minorHAnsi" w:cstheme="minorHAnsi"/>
          <w:b/>
          <w:szCs w:val="22"/>
        </w:rPr>
        <w:t>t</w:t>
      </w:r>
      <w:r w:rsidRPr="00955EB7">
        <w:rPr>
          <w:rFonts w:asciiTheme="minorHAnsi" w:hAnsiTheme="minorHAnsi" w:cstheme="minorHAnsi"/>
          <w:b/>
          <w:szCs w:val="22"/>
        </w:rPr>
        <w:t xml:space="preserve">hrough Conflicting Authorities </w:t>
      </w:r>
      <w:r>
        <w:rPr>
          <w:rFonts w:asciiTheme="minorHAnsi" w:hAnsiTheme="minorHAnsi" w:cstheme="minorHAnsi"/>
          <w:b/>
          <w:szCs w:val="22"/>
        </w:rPr>
        <w:t>i</w:t>
      </w:r>
      <w:r w:rsidRPr="00955EB7">
        <w:rPr>
          <w:rFonts w:asciiTheme="minorHAnsi" w:hAnsiTheme="minorHAnsi" w:cstheme="minorHAnsi"/>
          <w:b/>
          <w:szCs w:val="22"/>
        </w:rPr>
        <w:t>n English Contract Law</w:t>
      </w:r>
    </w:p>
    <w:p w14:paraId="3E915581" w14:textId="688A15B2" w:rsidR="00D2135B" w:rsidRPr="00955EB7" w:rsidRDefault="00D2135B" w:rsidP="00A06D14">
      <w:pPr>
        <w:spacing w:line="360" w:lineRule="auto"/>
        <w:rPr>
          <w:rFonts w:asciiTheme="minorHAnsi" w:hAnsiTheme="minorHAnsi" w:cstheme="minorHAnsi"/>
          <w:b/>
          <w:szCs w:val="22"/>
        </w:rPr>
      </w:pPr>
    </w:p>
    <w:p w14:paraId="146F33B8" w14:textId="0B10ABF4" w:rsidR="00D2135B" w:rsidRPr="00955EB7" w:rsidRDefault="00D2135B" w:rsidP="00A06D14">
      <w:pPr>
        <w:spacing w:line="360" w:lineRule="auto"/>
        <w:rPr>
          <w:rFonts w:asciiTheme="minorHAnsi" w:hAnsiTheme="minorHAnsi" w:cstheme="minorHAnsi"/>
          <w:szCs w:val="22"/>
        </w:rPr>
      </w:pPr>
      <w:r w:rsidRPr="00955EB7">
        <w:rPr>
          <w:rFonts w:asciiTheme="minorHAnsi" w:hAnsiTheme="minorHAnsi" w:cstheme="minorHAnsi"/>
          <w:szCs w:val="22"/>
        </w:rPr>
        <w:t>This section is divided in</w:t>
      </w:r>
      <w:r w:rsidR="000F5AF6" w:rsidRPr="00955EB7">
        <w:rPr>
          <w:rFonts w:asciiTheme="minorHAnsi" w:hAnsiTheme="minorHAnsi" w:cstheme="minorHAnsi"/>
          <w:szCs w:val="22"/>
        </w:rPr>
        <w:t>to</w:t>
      </w:r>
      <w:r w:rsidRPr="00955EB7">
        <w:rPr>
          <w:rFonts w:asciiTheme="minorHAnsi" w:hAnsiTheme="minorHAnsi" w:cstheme="minorHAnsi"/>
          <w:szCs w:val="22"/>
        </w:rPr>
        <w:t xml:space="preserve"> four parts. The discussion starts by looking at the incapacity defence under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in the context of a direct contract between A and B.</w:t>
      </w:r>
      <w:r w:rsidR="00670C1D" w:rsidRPr="00955EB7">
        <w:rPr>
          <w:rStyle w:val="FootnoteReference"/>
          <w:rFonts w:asciiTheme="minorHAnsi" w:hAnsiTheme="minorHAnsi" w:cstheme="minorHAnsi"/>
          <w:szCs w:val="22"/>
        </w:rPr>
        <w:t xml:space="preserve"> </w:t>
      </w:r>
      <w:r w:rsidRPr="00955EB7">
        <w:rPr>
          <w:rFonts w:asciiTheme="minorHAnsi" w:hAnsiTheme="minorHAnsi" w:cstheme="minorHAnsi"/>
          <w:szCs w:val="22"/>
        </w:rPr>
        <w:t xml:space="preserve">The second part looks at the application of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to agency contracts, while the third part examines authorities that doubt the application of this rule in an agency context. The section concludes with a reflection </w:t>
      </w:r>
      <w:r w:rsidR="000F4415" w:rsidRPr="00955EB7">
        <w:rPr>
          <w:rFonts w:asciiTheme="minorHAnsi" w:hAnsiTheme="minorHAnsi" w:cstheme="minorHAnsi"/>
          <w:szCs w:val="22"/>
        </w:rPr>
        <w:t>on</w:t>
      </w:r>
      <w:r w:rsidRPr="00955EB7">
        <w:rPr>
          <w:rFonts w:asciiTheme="minorHAnsi" w:hAnsiTheme="minorHAnsi" w:cstheme="minorHAnsi"/>
          <w:szCs w:val="22"/>
        </w:rPr>
        <w:t xml:space="preserve"> the current state of uncertainty surrounding this area of law and whether we are faced with a choice between two unattractive </w:t>
      </w:r>
      <w:r w:rsidR="00783AF0" w:rsidRPr="00955EB7">
        <w:rPr>
          <w:rFonts w:asciiTheme="minorHAnsi" w:hAnsiTheme="minorHAnsi" w:cstheme="minorHAnsi"/>
          <w:szCs w:val="22"/>
        </w:rPr>
        <w:t>alternatives</w:t>
      </w:r>
      <w:r w:rsidRPr="00955EB7">
        <w:rPr>
          <w:rFonts w:asciiTheme="minorHAnsi" w:hAnsiTheme="minorHAnsi" w:cstheme="minorHAnsi"/>
          <w:szCs w:val="22"/>
        </w:rPr>
        <w:t>.</w:t>
      </w:r>
    </w:p>
    <w:p w14:paraId="6F99607F" w14:textId="77777777" w:rsidR="00BC5DD5" w:rsidRDefault="00BC5DD5" w:rsidP="00A06D14">
      <w:pPr>
        <w:spacing w:line="360" w:lineRule="auto"/>
        <w:rPr>
          <w:rFonts w:asciiTheme="minorHAnsi" w:hAnsiTheme="minorHAnsi" w:cstheme="minorHAnsi"/>
          <w:szCs w:val="22"/>
        </w:rPr>
      </w:pPr>
    </w:p>
    <w:p w14:paraId="0577C5B4" w14:textId="605D1FCA" w:rsidR="000162B5" w:rsidRPr="00955EB7" w:rsidRDefault="00783AF0"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English contract law starts from a </w:t>
      </w:r>
      <w:r w:rsidRPr="00955EB7">
        <w:rPr>
          <w:rFonts w:asciiTheme="minorHAnsi" w:hAnsiTheme="minorHAnsi" w:cstheme="minorHAnsi"/>
          <w:i/>
          <w:szCs w:val="22"/>
        </w:rPr>
        <w:t>prima facie</w:t>
      </w:r>
      <w:r w:rsidRPr="00955EB7">
        <w:rPr>
          <w:rFonts w:asciiTheme="minorHAnsi" w:hAnsiTheme="minorHAnsi" w:cstheme="minorHAnsi"/>
          <w:szCs w:val="22"/>
        </w:rPr>
        <w:t xml:space="preserve"> presumption that all adults have contractual capacity.</w:t>
      </w:r>
      <w:r w:rsidRPr="00955EB7">
        <w:rPr>
          <w:rStyle w:val="FootnoteReference"/>
          <w:rFonts w:asciiTheme="minorHAnsi" w:hAnsiTheme="minorHAnsi" w:cstheme="minorHAnsi"/>
          <w:szCs w:val="22"/>
        </w:rPr>
        <w:footnoteReference w:id="14"/>
      </w:r>
      <w:r w:rsidRPr="00955EB7">
        <w:rPr>
          <w:rFonts w:asciiTheme="minorHAnsi" w:hAnsiTheme="minorHAnsi" w:cstheme="minorHAnsi"/>
          <w:szCs w:val="22"/>
        </w:rPr>
        <w:t xml:space="preserve"> A contract between A and B is valid unless, </w:t>
      </w:r>
      <w:r w:rsidRPr="00955EB7">
        <w:rPr>
          <w:rFonts w:asciiTheme="minorHAnsi" w:hAnsiTheme="minorHAnsi" w:cstheme="minorHAnsi"/>
          <w:i/>
          <w:szCs w:val="22"/>
        </w:rPr>
        <w:t>inter alia</w:t>
      </w:r>
      <w:r w:rsidRPr="00955EB7">
        <w:rPr>
          <w:rFonts w:asciiTheme="minorHAnsi" w:hAnsiTheme="minorHAnsi" w:cstheme="minorHAnsi"/>
          <w:szCs w:val="22"/>
        </w:rPr>
        <w:t xml:space="preserve">, </w:t>
      </w:r>
      <w:r w:rsidR="00E342A0" w:rsidRPr="00955EB7">
        <w:rPr>
          <w:rFonts w:asciiTheme="minorHAnsi" w:hAnsiTheme="minorHAnsi" w:cstheme="minorHAnsi"/>
          <w:szCs w:val="22"/>
        </w:rPr>
        <w:t>A’s property or affairs are subject to court control (which would render the contract void)</w:t>
      </w:r>
      <w:r w:rsidR="00E342A0" w:rsidRPr="00955EB7">
        <w:rPr>
          <w:rStyle w:val="FootnoteReference"/>
          <w:rFonts w:asciiTheme="minorHAnsi" w:hAnsiTheme="minorHAnsi" w:cstheme="minorHAnsi"/>
          <w:szCs w:val="22"/>
        </w:rPr>
        <w:footnoteReference w:id="15"/>
      </w:r>
      <w:r w:rsidR="00E342A0" w:rsidRPr="00955EB7">
        <w:rPr>
          <w:rFonts w:asciiTheme="minorHAnsi" w:hAnsiTheme="minorHAnsi" w:cstheme="minorHAnsi"/>
          <w:szCs w:val="22"/>
        </w:rPr>
        <w:t xml:space="preserve"> or A can show that he lacked the mental capacity to understand the nature of the transaction and B had knowledge of this (which would render the contract voidable).</w:t>
      </w:r>
      <w:r w:rsidR="00E342A0" w:rsidRPr="00955EB7">
        <w:rPr>
          <w:rStyle w:val="FootnoteReference"/>
          <w:rFonts w:asciiTheme="minorHAnsi" w:hAnsiTheme="minorHAnsi" w:cstheme="minorHAnsi"/>
          <w:szCs w:val="22"/>
        </w:rPr>
        <w:footnoteReference w:id="16"/>
      </w:r>
      <w:r w:rsidR="000162B5" w:rsidRPr="00955EB7">
        <w:rPr>
          <w:rFonts w:asciiTheme="minorHAnsi" w:hAnsiTheme="minorHAnsi" w:cstheme="minorHAnsi"/>
          <w:szCs w:val="22"/>
        </w:rPr>
        <w:t xml:space="preserve"> Even in such circumstances, A would have to pay a reasonable price if the contract concerned necessary goods or services.</w:t>
      </w:r>
      <w:r w:rsidR="000162B5" w:rsidRPr="00955EB7">
        <w:rPr>
          <w:rStyle w:val="FootnoteReference"/>
          <w:rFonts w:asciiTheme="minorHAnsi" w:hAnsiTheme="minorHAnsi" w:cstheme="minorHAnsi"/>
          <w:szCs w:val="22"/>
        </w:rPr>
        <w:footnoteReference w:id="17"/>
      </w:r>
      <w:r w:rsidR="000162B5" w:rsidRPr="00955EB7">
        <w:rPr>
          <w:rFonts w:asciiTheme="minorHAnsi" w:hAnsiTheme="minorHAnsi" w:cstheme="minorHAnsi"/>
          <w:szCs w:val="22"/>
        </w:rPr>
        <w:t xml:space="preserve"> The definitions of mental incapacity under the common law and the </w:t>
      </w:r>
      <w:r w:rsidR="000162B5" w:rsidRPr="00955EB7">
        <w:rPr>
          <w:rFonts w:asciiTheme="minorHAnsi" w:hAnsiTheme="minorHAnsi" w:cstheme="minorHAnsi"/>
          <w:i/>
          <w:szCs w:val="22"/>
        </w:rPr>
        <w:t>Mental Capacity Act</w:t>
      </w:r>
      <w:r w:rsidR="000162B5" w:rsidRPr="00955EB7">
        <w:rPr>
          <w:rFonts w:asciiTheme="minorHAnsi" w:hAnsiTheme="minorHAnsi" w:cstheme="minorHAnsi"/>
          <w:szCs w:val="22"/>
        </w:rPr>
        <w:t xml:space="preserve"> (MCA) 2005, in this context, are </w:t>
      </w:r>
      <w:r w:rsidR="00CE1640">
        <w:rPr>
          <w:rFonts w:asciiTheme="minorHAnsi" w:hAnsiTheme="minorHAnsi" w:cstheme="minorHAnsi"/>
          <w:szCs w:val="22"/>
        </w:rPr>
        <w:t>‘</w:t>
      </w:r>
      <w:r w:rsidR="000162B5" w:rsidRPr="00955EB7">
        <w:rPr>
          <w:rFonts w:asciiTheme="minorHAnsi" w:hAnsiTheme="minorHAnsi" w:cstheme="minorHAnsi"/>
          <w:szCs w:val="22"/>
        </w:rPr>
        <w:t>broadly consistent</w:t>
      </w:r>
      <w:r w:rsidR="00CE1640">
        <w:rPr>
          <w:rFonts w:asciiTheme="minorHAnsi" w:hAnsiTheme="minorHAnsi" w:cstheme="minorHAnsi"/>
          <w:szCs w:val="22"/>
        </w:rPr>
        <w:t>’</w:t>
      </w:r>
      <w:r w:rsidR="000162B5" w:rsidRPr="00955EB7">
        <w:rPr>
          <w:rFonts w:asciiTheme="minorHAnsi" w:hAnsiTheme="minorHAnsi" w:cstheme="minorHAnsi"/>
          <w:szCs w:val="22"/>
        </w:rPr>
        <w:t>.</w:t>
      </w:r>
      <w:r w:rsidR="000162B5" w:rsidRPr="00955EB7">
        <w:rPr>
          <w:rStyle w:val="FootnoteReference"/>
          <w:rFonts w:asciiTheme="minorHAnsi" w:hAnsiTheme="minorHAnsi" w:cstheme="minorHAnsi"/>
          <w:szCs w:val="22"/>
        </w:rPr>
        <w:footnoteReference w:id="18"/>
      </w:r>
      <w:r w:rsidR="000162B5" w:rsidRPr="00955EB7">
        <w:rPr>
          <w:rFonts w:asciiTheme="minorHAnsi" w:hAnsiTheme="minorHAnsi" w:cstheme="minorHAnsi"/>
          <w:szCs w:val="22"/>
        </w:rPr>
        <w:t xml:space="preserve"> Under the common law test, A must show that at the time of entering into the contract, he was </w:t>
      </w:r>
      <w:r w:rsidR="00CE1640">
        <w:rPr>
          <w:rFonts w:asciiTheme="minorHAnsi" w:hAnsiTheme="minorHAnsi" w:cstheme="minorHAnsi"/>
          <w:szCs w:val="22"/>
        </w:rPr>
        <w:t>‘</w:t>
      </w:r>
      <w:r w:rsidR="000162B5" w:rsidRPr="00955EB7">
        <w:rPr>
          <w:rFonts w:asciiTheme="minorHAnsi" w:hAnsiTheme="minorHAnsi" w:cstheme="minorHAnsi"/>
          <w:szCs w:val="22"/>
        </w:rPr>
        <w:t>so insane</w:t>
      </w:r>
      <w:r w:rsidR="00CE1640">
        <w:rPr>
          <w:rFonts w:asciiTheme="minorHAnsi" w:hAnsiTheme="minorHAnsi" w:cstheme="minorHAnsi"/>
          <w:szCs w:val="22"/>
        </w:rPr>
        <w:t>’</w:t>
      </w:r>
      <w:r w:rsidR="000162B5" w:rsidRPr="00955EB7">
        <w:rPr>
          <w:rFonts w:asciiTheme="minorHAnsi" w:hAnsiTheme="minorHAnsi" w:cstheme="minorHAnsi"/>
          <w:szCs w:val="22"/>
        </w:rPr>
        <w:t xml:space="preserve">, that he </w:t>
      </w:r>
      <w:r w:rsidR="00CE1640">
        <w:rPr>
          <w:rFonts w:asciiTheme="minorHAnsi" w:hAnsiTheme="minorHAnsi" w:cstheme="minorHAnsi"/>
          <w:szCs w:val="22"/>
        </w:rPr>
        <w:t>‘</w:t>
      </w:r>
      <w:r w:rsidR="000162B5" w:rsidRPr="00955EB7">
        <w:rPr>
          <w:rFonts w:asciiTheme="minorHAnsi" w:hAnsiTheme="minorHAnsi" w:cstheme="minorHAnsi"/>
          <w:szCs w:val="22"/>
        </w:rPr>
        <w:t>did not know what he was doing</w:t>
      </w:r>
      <w:r w:rsidR="00CE1640">
        <w:rPr>
          <w:rFonts w:asciiTheme="minorHAnsi" w:hAnsiTheme="minorHAnsi" w:cstheme="minorHAnsi"/>
          <w:szCs w:val="22"/>
        </w:rPr>
        <w:t>’</w:t>
      </w:r>
      <w:r w:rsidR="00B6716C" w:rsidRPr="00955EB7">
        <w:rPr>
          <w:rFonts w:asciiTheme="minorHAnsi" w:hAnsiTheme="minorHAnsi" w:cstheme="minorHAnsi"/>
          <w:szCs w:val="22"/>
        </w:rPr>
        <w:t xml:space="preserve"> and the required level of understanding depends on the nature of the transaction.</w:t>
      </w:r>
      <w:r w:rsidR="00B6716C" w:rsidRPr="00955EB7">
        <w:rPr>
          <w:rStyle w:val="FootnoteReference"/>
          <w:rFonts w:asciiTheme="minorHAnsi" w:hAnsiTheme="minorHAnsi" w:cstheme="minorHAnsi"/>
          <w:szCs w:val="22"/>
        </w:rPr>
        <w:footnoteReference w:id="19"/>
      </w:r>
      <w:r w:rsidR="00B6716C" w:rsidRPr="00955EB7">
        <w:rPr>
          <w:rFonts w:asciiTheme="minorHAnsi" w:hAnsiTheme="minorHAnsi" w:cstheme="minorHAnsi"/>
          <w:szCs w:val="22"/>
        </w:rPr>
        <w:t xml:space="preserve"> Under the MCA 2005 test, A needs to show that </w:t>
      </w:r>
      <w:r w:rsidR="00CE1640">
        <w:rPr>
          <w:rFonts w:asciiTheme="minorHAnsi" w:hAnsiTheme="minorHAnsi" w:cstheme="minorHAnsi"/>
          <w:szCs w:val="22"/>
        </w:rPr>
        <w:t>‘</w:t>
      </w:r>
      <w:r w:rsidR="00B6716C" w:rsidRPr="00955EB7">
        <w:rPr>
          <w:rFonts w:asciiTheme="minorHAnsi" w:hAnsiTheme="minorHAnsi" w:cstheme="minorHAnsi"/>
          <w:szCs w:val="22"/>
        </w:rPr>
        <w:t>at the material time</w:t>
      </w:r>
      <w:r w:rsidR="00CE1640">
        <w:rPr>
          <w:rFonts w:asciiTheme="minorHAnsi" w:hAnsiTheme="minorHAnsi" w:cstheme="minorHAnsi"/>
          <w:szCs w:val="22"/>
        </w:rPr>
        <w:t>’</w:t>
      </w:r>
      <w:r w:rsidR="00B6716C" w:rsidRPr="00955EB7">
        <w:rPr>
          <w:rFonts w:asciiTheme="minorHAnsi" w:hAnsiTheme="minorHAnsi" w:cstheme="minorHAnsi"/>
          <w:szCs w:val="22"/>
        </w:rPr>
        <w:t xml:space="preserve">, he was </w:t>
      </w:r>
      <w:r w:rsidR="00CE1640">
        <w:rPr>
          <w:rFonts w:asciiTheme="minorHAnsi" w:hAnsiTheme="minorHAnsi" w:cstheme="minorHAnsi"/>
          <w:szCs w:val="22"/>
        </w:rPr>
        <w:t>‘</w:t>
      </w:r>
      <w:r w:rsidR="00B6716C" w:rsidRPr="00955EB7">
        <w:rPr>
          <w:rFonts w:asciiTheme="minorHAnsi" w:hAnsiTheme="minorHAnsi" w:cstheme="minorHAnsi"/>
          <w:szCs w:val="22"/>
        </w:rPr>
        <w:t>unable to make a decision for himself in relation to the matter, because of an impairment of, or a disturbance in the functioning of, the mind or brain</w:t>
      </w:r>
      <w:r w:rsidR="00CE1640">
        <w:rPr>
          <w:rFonts w:asciiTheme="minorHAnsi" w:hAnsiTheme="minorHAnsi" w:cstheme="minorHAnsi"/>
          <w:szCs w:val="22"/>
        </w:rPr>
        <w:t>’</w:t>
      </w:r>
      <w:r w:rsidR="00B6716C" w:rsidRPr="00955EB7">
        <w:rPr>
          <w:rFonts w:asciiTheme="minorHAnsi" w:hAnsiTheme="minorHAnsi" w:cstheme="minorHAnsi"/>
          <w:szCs w:val="22"/>
        </w:rPr>
        <w:t>.</w:t>
      </w:r>
      <w:r w:rsidR="00B6716C" w:rsidRPr="00955EB7">
        <w:rPr>
          <w:rStyle w:val="FootnoteReference"/>
          <w:rFonts w:asciiTheme="minorHAnsi" w:hAnsiTheme="minorHAnsi" w:cstheme="minorHAnsi"/>
          <w:szCs w:val="22"/>
        </w:rPr>
        <w:footnoteReference w:id="20"/>
      </w:r>
      <w:r w:rsidR="00B6716C" w:rsidRPr="00955EB7">
        <w:rPr>
          <w:rFonts w:asciiTheme="minorHAnsi" w:hAnsiTheme="minorHAnsi" w:cstheme="minorHAnsi"/>
          <w:szCs w:val="22"/>
        </w:rPr>
        <w:t xml:space="preserve"> </w:t>
      </w:r>
      <w:r w:rsidR="00780EFE" w:rsidRPr="00955EB7">
        <w:rPr>
          <w:rFonts w:asciiTheme="minorHAnsi" w:hAnsiTheme="minorHAnsi" w:cstheme="minorHAnsi"/>
          <w:szCs w:val="22"/>
        </w:rPr>
        <w:t xml:space="preserve">The MCA test may by adopted in cases that fall within the scope of the common law as long as this is </w:t>
      </w:r>
      <w:r w:rsidR="00CE1640">
        <w:rPr>
          <w:rFonts w:asciiTheme="minorHAnsi" w:hAnsiTheme="minorHAnsi" w:cstheme="minorHAnsi"/>
          <w:szCs w:val="22"/>
        </w:rPr>
        <w:t>‘</w:t>
      </w:r>
      <w:r w:rsidR="00780EFE" w:rsidRPr="00955EB7">
        <w:rPr>
          <w:rFonts w:asciiTheme="minorHAnsi" w:hAnsiTheme="minorHAnsi" w:cstheme="minorHAnsi"/>
          <w:szCs w:val="22"/>
        </w:rPr>
        <w:t>appropriate</w:t>
      </w:r>
      <w:r w:rsidR="00CE1640">
        <w:rPr>
          <w:rFonts w:asciiTheme="minorHAnsi" w:hAnsiTheme="minorHAnsi" w:cstheme="minorHAnsi"/>
          <w:szCs w:val="22"/>
        </w:rPr>
        <w:t>’</w:t>
      </w:r>
      <w:r w:rsidR="00780EFE" w:rsidRPr="00955EB7">
        <w:rPr>
          <w:rFonts w:asciiTheme="minorHAnsi" w:hAnsiTheme="minorHAnsi" w:cstheme="minorHAnsi"/>
          <w:szCs w:val="22"/>
        </w:rPr>
        <w:t xml:space="preserve"> and the courts have </w:t>
      </w:r>
      <w:r w:rsidR="00CE1640">
        <w:rPr>
          <w:rFonts w:asciiTheme="minorHAnsi" w:hAnsiTheme="minorHAnsi" w:cstheme="minorHAnsi"/>
          <w:szCs w:val="22"/>
        </w:rPr>
        <w:t>‘</w:t>
      </w:r>
      <w:r w:rsidR="00780EFE" w:rsidRPr="00955EB7">
        <w:rPr>
          <w:rFonts w:asciiTheme="minorHAnsi" w:hAnsiTheme="minorHAnsi" w:cstheme="minorHAnsi"/>
          <w:szCs w:val="22"/>
        </w:rPr>
        <w:t>regard to</w:t>
      </w:r>
      <w:r w:rsidR="00CE1640">
        <w:rPr>
          <w:rFonts w:asciiTheme="minorHAnsi" w:hAnsiTheme="minorHAnsi" w:cstheme="minorHAnsi"/>
          <w:szCs w:val="22"/>
        </w:rPr>
        <w:t>’</w:t>
      </w:r>
      <w:r w:rsidR="00780EFE" w:rsidRPr="00955EB7">
        <w:rPr>
          <w:rFonts w:asciiTheme="minorHAnsi" w:hAnsiTheme="minorHAnsi" w:cstheme="minorHAnsi"/>
          <w:szCs w:val="22"/>
        </w:rPr>
        <w:t xml:space="preserve"> the existing common law principles.</w:t>
      </w:r>
      <w:r w:rsidR="00780EFE" w:rsidRPr="00955EB7">
        <w:rPr>
          <w:rStyle w:val="FootnoteReference"/>
          <w:rFonts w:asciiTheme="minorHAnsi" w:hAnsiTheme="minorHAnsi" w:cstheme="minorHAnsi"/>
          <w:szCs w:val="22"/>
        </w:rPr>
        <w:footnoteReference w:id="21"/>
      </w:r>
      <w:r w:rsidR="00780EFE" w:rsidRPr="00955EB7">
        <w:rPr>
          <w:rFonts w:asciiTheme="minorHAnsi" w:hAnsiTheme="minorHAnsi" w:cstheme="minorHAnsi"/>
          <w:szCs w:val="22"/>
        </w:rPr>
        <w:t xml:space="preserve"> This </w:t>
      </w:r>
      <w:r w:rsidR="003379BB" w:rsidRPr="00955EB7">
        <w:rPr>
          <w:rFonts w:asciiTheme="minorHAnsi" w:hAnsiTheme="minorHAnsi" w:cstheme="minorHAnsi"/>
          <w:szCs w:val="22"/>
        </w:rPr>
        <w:t>discussion, however, focuses on the common law approach in contracts where A lacked the mental capacity to understand the transactions. Perhaps an effective common law response to these circumstances (that considers both economic and social factors and looks beyond A’s medical condition to consider the circumstances of the transaction) may influence positively the MCA test.</w:t>
      </w:r>
    </w:p>
    <w:p w14:paraId="2FFA3D38" w14:textId="77777777" w:rsidR="00BC5DD5" w:rsidRDefault="00BC5DD5" w:rsidP="00A06D14">
      <w:pPr>
        <w:spacing w:line="360" w:lineRule="auto"/>
        <w:rPr>
          <w:rFonts w:asciiTheme="minorHAnsi" w:hAnsiTheme="minorHAnsi" w:cstheme="minorHAnsi"/>
          <w:szCs w:val="22"/>
        </w:rPr>
      </w:pPr>
    </w:p>
    <w:p w14:paraId="05578F31" w14:textId="6A17D95A" w:rsidR="003379BB" w:rsidRPr="00955EB7" w:rsidRDefault="003379BB" w:rsidP="00A06D14">
      <w:pPr>
        <w:spacing w:line="360" w:lineRule="auto"/>
        <w:rPr>
          <w:rFonts w:asciiTheme="minorHAnsi" w:hAnsiTheme="minorHAnsi" w:cstheme="minorHAnsi"/>
          <w:szCs w:val="22"/>
        </w:rPr>
      </w:pPr>
      <w:r w:rsidRPr="00955EB7">
        <w:rPr>
          <w:rFonts w:asciiTheme="minorHAnsi" w:hAnsiTheme="minorHAnsi" w:cstheme="minorHAnsi"/>
          <w:szCs w:val="22"/>
        </w:rPr>
        <w:lastRenderedPageBreak/>
        <w:t xml:space="preserve">According to the rule in </w:t>
      </w:r>
      <w:r w:rsidRPr="00955EB7">
        <w:rPr>
          <w:rFonts w:asciiTheme="minorHAnsi" w:hAnsiTheme="minorHAnsi" w:cstheme="minorHAnsi"/>
          <w:i/>
          <w:szCs w:val="22"/>
        </w:rPr>
        <w:t>Imperial Loan</w:t>
      </w:r>
      <w:r w:rsidRPr="00955EB7">
        <w:rPr>
          <w:rFonts w:asciiTheme="minorHAnsi" w:hAnsiTheme="minorHAnsi" w:cstheme="minorHAnsi"/>
          <w:szCs w:val="22"/>
        </w:rPr>
        <w:t>, in order to rely on the mental incapacity defence, A must prove both his mental incapacity at the time of entering into the contract and B’s knowledge of this.</w:t>
      </w:r>
      <w:r w:rsidRPr="00955EB7">
        <w:rPr>
          <w:rStyle w:val="FootnoteReference"/>
          <w:rFonts w:asciiTheme="minorHAnsi" w:hAnsiTheme="minorHAnsi" w:cstheme="minorHAnsi"/>
          <w:szCs w:val="22"/>
        </w:rPr>
        <w:footnoteReference w:id="22"/>
      </w:r>
      <w:r w:rsidRPr="00955EB7">
        <w:rPr>
          <w:rFonts w:asciiTheme="minorHAnsi" w:hAnsiTheme="minorHAnsi" w:cstheme="minorHAnsi"/>
          <w:szCs w:val="22"/>
        </w:rPr>
        <w:t xml:space="preserve"> Proving both elements of the defence renders the contract voidable. The 1892 Court of Appeal decision in </w:t>
      </w:r>
      <w:r w:rsidRPr="00955EB7">
        <w:rPr>
          <w:rFonts w:asciiTheme="minorHAnsi" w:hAnsiTheme="minorHAnsi" w:cstheme="minorHAnsi"/>
          <w:i/>
          <w:szCs w:val="22"/>
        </w:rPr>
        <w:t>Imperial Loan</w:t>
      </w:r>
      <w:r w:rsidRPr="00955EB7">
        <w:rPr>
          <w:rFonts w:asciiTheme="minorHAnsi" w:hAnsiTheme="minorHAnsi" w:cstheme="minorHAnsi"/>
          <w:szCs w:val="22"/>
        </w:rPr>
        <w:t xml:space="preserve"> continued the trend recognised over four decades earlier by the Court of Exchequer in </w:t>
      </w:r>
      <w:r w:rsidR="005D5EF4" w:rsidRPr="00955EB7">
        <w:rPr>
          <w:rFonts w:asciiTheme="minorHAnsi" w:hAnsiTheme="minorHAnsi" w:cstheme="minorHAnsi"/>
          <w:i/>
        </w:rPr>
        <w:t>Molton</w:t>
      </w:r>
      <w:r w:rsidR="005D5EF4" w:rsidRPr="00955EB7">
        <w:rPr>
          <w:rFonts w:asciiTheme="minorHAnsi" w:hAnsiTheme="minorHAnsi" w:cstheme="minorHAnsi"/>
        </w:rPr>
        <w:t>,</w:t>
      </w:r>
      <w:r w:rsidR="005D5EF4" w:rsidRPr="00955EB7">
        <w:rPr>
          <w:rStyle w:val="FootnoteReference"/>
          <w:rFonts w:asciiTheme="minorHAnsi" w:hAnsiTheme="minorHAnsi" w:cstheme="minorHAnsi"/>
        </w:rPr>
        <w:footnoteReference w:id="23"/>
      </w:r>
      <w:r w:rsidR="005D5EF4" w:rsidRPr="00955EB7">
        <w:rPr>
          <w:rFonts w:asciiTheme="minorHAnsi" w:hAnsiTheme="minorHAnsi" w:cstheme="minorHAnsi"/>
        </w:rPr>
        <w:t xml:space="preserve"> in seeking to find a balanced approach to protect the interests of both A and B. These decisions note a departure from the extreme approach confirmed in the seventeenth century decision in </w:t>
      </w:r>
      <w:r w:rsidR="005D5EF4" w:rsidRPr="00955EB7">
        <w:rPr>
          <w:rFonts w:asciiTheme="minorHAnsi" w:hAnsiTheme="minorHAnsi" w:cstheme="minorHAnsi"/>
          <w:i/>
        </w:rPr>
        <w:t>Beverley’s Case</w:t>
      </w:r>
      <w:r w:rsidR="005D5EF4" w:rsidRPr="00955EB7">
        <w:rPr>
          <w:rFonts w:asciiTheme="minorHAnsi" w:hAnsiTheme="minorHAnsi" w:cstheme="minorHAnsi"/>
        </w:rPr>
        <w:t xml:space="preserve">, which conferred absolute protection to B and prevented A from pleading his own mental incapacity (or </w:t>
      </w:r>
      <w:r w:rsidR="00CE1640">
        <w:rPr>
          <w:rFonts w:asciiTheme="minorHAnsi" w:hAnsiTheme="minorHAnsi" w:cstheme="minorHAnsi"/>
          <w:szCs w:val="22"/>
        </w:rPr>
        <w:t>‘</w:t>
      </w:r>
      <w:r w:rsidR="005D5EF4" w:rsidRPr="00955EB7">
        <w:rPr>
          <w:rFonts w:asciiTheme="minorHAnsi" w:hAnsiTheme="minorHAnsi" w:cstheme="minorHAnsi"/>
          <w:szCs w:val="22"/>
        </w:rPr>
        <w:t>stultifying</w:t>
      </w:r>
      <w:r w:rsidR="00CE1640">
        <w:rPr>
          <w:rFonts w:asciiTheme="minorHAnsi" w:hAnsiTheme="minorHAnsi" w:cstheme="minorHAnsi"/>
          <w:szCs w:val="22"/>
        </w:rPr>
        <w:t>’</w:t>
      </w:r>
      <w:r w:rsidR="005D5EF4" w:rsidRPr="00955EB7">
        <w:rPr>
          <w:rFonts w:asciiTheme="minorHAnsi" w:hAnsiTheme="minorHAnsi" w:cstheme="minorHAnsi"/>
          <w:szCs w:val="22"/>
        </w:rPr>
        <w:t xml:space="preserve"> himself</w:t>
      </w:r>
      <w:r w:rsidR="005D5EF4" w:rsidRPr="00955EB7">
        <w:rPr>
          <w:rFonts w:asciiTheme="minorHAnsi" w:hAnsiTheme="minorHAnsi" w:cstheme="minorHAnsi"/>
        </w:rPr>
        <w:t>).</w:t>
      </w:r>
      <w:r w:rsidR="00670C1D" w:rsidRPr="00955EB7">
        <w:rPr>
          <w:rStyle w:val="FootnoteReference"/>
          <w:rFonts w:asciiTheme="minorHAnsi" w:hAnsiTheme="minorHAnsi" w:cstheme="minorHAnsi"/>
        </w:rPr>
        <w:footnoteReference w:id="24"/>
      </w:r>
      <w:r w:rsidR="00FB4724" w:rsidRPr="00955EB7">
        <w:rPr>
          <w:rFonts w:asciiTheme="minorHAnsi" w:hAnsiTheme="minorHAnsi" w:cstheme="minorHAnsi"/>
        </w:rPr>
        <w:t xml:space="preserve"> </w:t>
      </w:r>
      <w:r w:rsidR="002C3D5D" w:rsidRPr="00955EB7">
        <w:rPr>
          <w:rFonts w:asciiTheme="minorHAnsi" w:hAnsiTheme="minorHAnsi" w:cstheme="minorHAnsi"/>
        </w:rPr>
        <w:t xml:space="preserve">As recognised by </w:t>
      </w:r>
      <w:r w:rsidR="002C3D5D" w:rsidRPr="00955EB7">
        <w:rPr>
          <w:rFonts w:asciiTheme="minorHAnsi" w:hAnsiTheme="minorHAnsi" w:cstheme="minorHAnsi"/>
          <w:szCs w:val="22"/>
        </w:rPr>
        <w:t xml:space="preserve">Pollock CB in </w:t>
      </w:r>
      <w:r w:rsidR="002C3D5D" w:rsidRPr="00955EB7">
        <w:rPr>
          <w:rFonts w:asciiTheme="minorHAnsi" w:hAnsiTheme="minorHAnsi" w:cstheme="minorHAnsi"/>
          <w:i/>
        </w:rPr>
        <w:t>Molton</w:t>
      </w:r>
      <w:r w:rsidR="002C3D5D" w:rsidRPr="00955EB7">
        <w:rPr>
          <w:rFonts w:asciiTheme="minorHAnsi" w:hAnsiTheme="minorHAnsi" w:cstheme="minorHAnsi"/>
        </w:rPr>
        <w:t xml:space="preserve">, </w:t>
      </w:r>
      <w:r w:rsidR="002C3D5D" w:rsidRPr="00955EB7">
        <w:rPr>
          <w:rFonts w:asciiTheme="minorHAnsi" w:hAnsiTheme="minorHAnsi" w:cstheme="minorHAnsi"/>
          <w:szCs w:val="22"/>
        </w:rPr>
        <w:t xml:space="preserve">the rule in </w:t>
      </w:r>
      <w:r w:rsidR="002C3D5D" w:rsidRPr="00955EB7">
        <w:rPr>
          <w:rFonts w:asciiTheme="minorHAnsi" w:hAnsiTheme="minorHAnsi" w:cstheme="minorHAnsi"/>
          <w:i/>
          <w:szCs w:val="22"/>
        </w:rPr>
        <w:t>Beverley’s Case</w:t>
      </w:r>
      <w:r w:rsidR="002C3D5D" w:rsidRPr="00955EB7">
        <w:rPr>
          <w:rFonts w:asciiTheme="minorHAnsi" w:hAnsiTheme="minorHAnsi" w:cstheme="minorHAnsi"/>
          <w:szCs w:val="22"/>
        </w:rPr>
        <w:t xml:space="preserve"> </w:t>
      </w:r>
      <w:r w:rsidR="00CE1640">
        <w:rPr>
          <w:rFonts w:asciiTheme="minorHAnsi" w:hAnsiTheme="minorHAnsi" w:cstheme="minorHAnsi"/>
          <w:szCs w:val="22"/>
        </w:rPr>
        <w:t>‘</w:t>
      </w:r>
      <w:r w:rsidR="002C3D5D" w:rsidRPr="00955EB7">
        <w:rPr>
          <w:rFonts w:asciiTheme="minorHAnsi" w:hAnsiTheme="minorHAnsi" w:cstheme="minorHAnsi"/>
          <w:szCs w:val="22"/>
        </w:rPr>
        <w:t>has been relaxed</w:t>
      </w:r>
      <w:r w:rsidR="00CE1640">
        <w:rPr>
          <w:rFonts w:asciiTheme="minorHAnsi" w:hAnsiTheme="minorHAnsi" w:cstheme="minorHAnsi"/>
          <w:szCs w:val="22"/>
        </w:rPr>
        <w:t>’</w:t>
      </w:r>
      <w:r w:rsidR="002C3D5D" w:rsidRPr="00955EB7">
        <w:rPr>
          <w:rFonts w:asciiTheme="minorHAnsi" w:hAnsiTheme="minorHAnsi" w:cstheme="minorHAnsi"/>
          <w:szCs w:val="22"/>
        </w:rPr>
        <w:t xml:space="preserve"> and mental incapacity could be a good defence if A could show both his mental incapacity and B’s knowledge of this condition.</w:t>
      </w:r>
      <w:r w:rsidR="002C3D5D" w:rsidRPr="00955EB7">
        <w:rPr>
          <w:rStyle w:val="FootnoteReference"/>
          <w:rFonts w:asciiTheme="minorHAnsi" w:hAnsiTheme="minorHAnsi" w:cstheme="minorHAnsi"/>
          <w:szCs w:val="22"/>
        </w:rPr>
        <w:footnoteReference w:id="25"/>
      </w:r>
      <w:r w:rsidR="002C3D5D" w:rsidRPr="00955EB7">
        <w:rPr>
          <w:rFonts w:asciiTheme="minorHAnsi" w:hAnsiTheme="minorHAnsi" w:cstheme="minorHAnsi"/>
          <w:szCs w:val="22"/>
        </w:rPr>
        <w:t xml:space="preserve"> Earlier on in the </w:t>
      </w:r>
      <w:r w:rsidR="00CE1640">
        <w:rPr>
          <w:rFonts w:asciiTheme="minorHAnsi" w:hAnsiTheme="minorHAnsi" w:cstheme="minorHAnsi"/>
          <w:szCs w:val="22"/>
        </w:rPr>
        <w:t>‘</w:t>
      </w:r>
      <w:r w:rsidR="002C3D5D" w:rsidRPr="00955EB7">
        <w:rPr>
          <w:rFonts w:asciiTheme="minorHAnsi" w:hAnsiTheme="minorHAnsi" w:cstheme="minorHAnsi"/>
          <w:szCs w:val="22"/>
        </w:rPr>
        <w:t>topsy-turvy</w:t>
      </w:r>
      <w:r w:rsidR="00CE1640">
        <w:rPr>
          <w:rFonts w:asciiTheme="minorHAnsi" w:hAnsiTheme="minorHAnsi" w:cstheme="minorHAnsi"/>
          <w:szCs w:val="22"/>
        </w:rPr>
        <w:t>’</w:t>
      </w:r>
      <w:r w:rsidR="002C3D5D" w:rsidRPr="00955EB7">
        <w:rPr>
          <w:rFonts w:asciiTheme="minorHAnsi" w:hAnsiTheme="minorHAnsi" w:cstheme="minorHAnsi"/>
          <w:szCs w:val="22"/>
        </w:rPr>
        <w:t xml:space="preserve"> history of mental incapacity in English contract law,</w:t>
      </w:r>
      <w:r w:rsidR="002C3D5D" w:rsidRPr="00955EB7">
        <w:rPr>
          <w:rStyle w:val="FootnoteReference"/>
          <w:rFonts w:asciiTheme="minorHAnsi" w:hAnsiTheme="minorHAnsi" w:cstheme="minorHAnsi"/>
          <w:szCs w:val="22"/>
        </w:rPr>
        <w:footnoteReference w:id="26"/>
      </w:r>
      <w:r w:rsidR="002C3D5D" w:rsidRPr="00955EB7">
        <w:rPr>
          <w:rFonts w:asciiTheme="minorHAnsi" w:hAnsiTheme="minorHAnsi" w:cstheme="minorHAnsi"/>
          <w:szCs w:val="22"/>
        </w:rPr>
        <w:t xml:space="preserve"> including during the thirteenth century,</w:t>
      </w:r>
      <w:r w:rsidR="002C3D5D" w:rsidRPr="00955EB7">
        <w:rPr>
          <w:rStyle w:val="FootnoteReference"/>
          <w:rFonts w:asciiTheme="minorHAnsi" w:hAnsiTheme="minorHAnsi" w:cstheme="minorHAnsi"/>
          <w:szCs w:val="22"/>
        </w:rPr>
        <w:footnoteReference w:id="27"/>
      </w:r>
      <w:r w:rsidR="00BE20EF" w:rsidRPr="00955EB7">
        <w:rPr>
          <w:rFonts w:asciiTheme="minorHAnsi" w:hAnsiTheme="minorHAnsi" w:cstheme="minorHAnsi"/>
          <w:szCs w:val="22"/>
        </w:rPr>
        <w:t xml:space="preserve"> A was the party who received absolute protection (as mental incapacity rendered the contract automatically void), while B’s interests were overlooked.</w:t>
      </w:r>
      <w:r w:rsidR="00BE20EF" w:rsidRPr="00955EB7">
        <w:rPr>
          <w:rStyle w:val="FootnoteReference"/>
          <w:rFonts w:asciiTheme="minorHAnsi" w:hAnsiTheme="minorHAnsi" w:cstheme="minorHAnsi"/>
          <w:szCs w:val="22"/>
        </w:rPr>
        <w:footnoteReference w:id="28"/>
      </w:r>
    </w:p>
    <w:p w14:paraId="04857EA4" w14:textId="77777777" w:rsidR="00BC5DD5" w:rsidRDefault="00BC5DD5" w:rsidP="00A06D14">
      <w:pPr>
        <w:spacing w:line="360" w:lineRule="auto"/>
        <w:rPr>
          <w:rFonts w:asciiTheme="minorHAnsi" w:hAnsiTheme="minorHAnsi" w:cstheme="minorHAnsi"/>
          <w:szCs w:val="22"/>
        </w:rPr>
      </w:pPr>
    </w:p>
    <w:p w14:paraId="224C06CF" w14:textId="670820E1" w:rsidR="002F7CAF" w:rsidRPr="006B5C55" w:rsidRDefault="002F7CAF"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Whether the approach confirmed in </w:t>
      </w:r>
      <w:r w:rsidRPr="00955EB7">
        <w:rPr>
          <w:rFonts w:asciiTheme="minorHAnsi" w:hAnsiTheme="minorHAnsi" w:cstheme="minorHAnsi"/>
          <w:i/>
        </w:rPr>
        <w:t xml:space="preserve">Molton </w:t>
      </w:r>
      <w:r w:rsidRPr="00955EB7">
        <w:rPr>
          <w:rFonts w:asciiTheme="minorHAnsi" w:hAnsiTheme="minorHAnsi" w:cstheme="minorHAnsi"/>
        </w:rPr>
        <w:t xml:space="preserve">and </w:t>
      </w:r>
      <w:r w:rsidRPr="00955EB7">
        <w:rPr>
          <w:rFonts w:asciiTheme="minorHAnsi" w:hAnsiTheme="minorHAnsi" w:cstheme="minorHAnsi"/>
          <w:i/>
          <w:szCs w:val="22"/>
        </w:rPr>
        <w:t xml:space="preserve">Imperial Loan </w:t>
      </w:r>
      <w:r w:rsidRPr="00955EB7">
        <w:rPr>
          <w:rFonts w:asciiTheme="minorHAnsi" w:hAnsiTheme="minorHAnsi" w:cstheme="minorHAnsi"/>
          <w:szCs w:val="22"/>
        </w:rPr>
        <w:t xml:space="preserve">provides a balanced approach to A and B’s interests is open to debate. The </w:t>
      </w:r>
      <w:r w:rsidR="00131971" w:rsidRPr="00955EB7">
        <w:rPr>
          <w:rFonts w:asciiTheme="minorHAnsi" w:hAnsiTheme="minorHAnsi" w:cstheme="minorHAnsi"/>
          <w:szCs w:val="22"/>
        </w:rPr>
        <w:t>requirement</w:t>
      </w:r>
      <w:r w:rsidRPr="00955EB7">
        <w:rPr>
          <w:rFonts w:asciiTheme="minorHAnsi" w:hAnsiTheme="minorHAnsi" w:cstheme="minorHAnsi"/>
          <w:szCs w:val="22"/>
        </w:rPr>
        <w:t xml:space="preserve"> placed on A in having to prove both his mental incapacity and B’s knowledge of it appear to be </w:t>
      </w:r>
      <w:r w:rsidR="00131971" w:rsidRPr="00955EB7">
        <w:rPr>
          <w:rFonts w:asciiTheme="minorHAnsi" w:hAnsiTheme="minorHAnsi" w:cstheme="minorHAnsi"/>
          <w:szCs w:val="22"/>
        </w:rPr>
        <w:t>burdensome</w:t>
      </w:r>
      <w:r w:rsidRPr="00955EB7">
        <w:rPr>
          <w:rFonts w:asciiTheme="minorHAnsi" w:hAnsiTheme="minorHAnsi" w:cstheme="minorHAnsi"/>
          <w:szCs w:val="22"/>
        </w:rPr>
        <w:t>.</w:t>
      </w:r>
      <w:r w:rsidRPr="00955EB7">
        <w:rPr>
          <w:rStyle w:val="FootnoteReference"/>
          <w:rFonts w:asciiTheme="minorHAnsi" w:hAnsiTheme="minorHAnsi" w:cstheme="minorHAnsi"/>
          <w:szCs w:val="22"/>
        </w:rPr>
        <w:footnoteReference w:id="29"/>
      </w:r>
      <w:r w:rsidRPr="00955EB7">
        <w:rPr>
          <w:rFonts w:asciiTheme="minorHAnsi" w:hAnsiTheme="minorHAnsi" w:cstheme="minorHAnsi"/>
          <w:szCs w:val="22"/>
        </w:rPr>
        <w:t xml:space="preserve"> By insisting on B’s knowledge of A’s mental incapacity, English contract law takes a stricter approach than that adopted in other jurisdictions (</w:t>
      </w:r>
      <w:r w:rsidR="00E353CE" w:rsidRPr="00955EB7">
        <w:rPr>
          <w:rFonts w:asciiTheme="minorHAnsi" w:hAnsiTheme="minorHAnsi" w:cstheme="minorHAnsi"/>
          <w:szCs w:val="22"/>
        </w:rPr>
        <w:t>e.g.</w:t>
      </w:r>
      <w:r w:rsidRPr="00955EB7">
        <w:rPr>
          <w:rFonts w:asciiTheme="minorHAnsi" w:hAnsiTheme="minorHAnsi" w:cstheme="minorHAnsi"/>
          <w:szCs w:val="22"/>
        </w:rPr>
        <w:t xml:space="preserve"> in Scotland, B’s knowledge </w:t>
      </w:r>
      <w:r w:rsidR="000F4415" w:rsidRPr="00955EB7">
        <w:rPr>
          <w:rFonts w:asciiTheme="minorHAnsi" w:hAnsiTheme="minorHAnsi" w:cstheme="minorHAnsi"/>
          <w:szCs w:val="22"/>
        </w:rPr>
        <w:t xml:space="preserve">of </w:t>
      </w:r>
      <w:r w:rsidRPr="00955EB7">
        <w:rPr>
          <w:rFonts w:asciiTheme="minorHAnsi" w:hAnsiTheme="minorHAnsi" w:cstheme="minorHAnsi"/>
          <w:szCs w:val="22"/>
        </w:rPr>
        <w:t>A’s mental incapacity is not crucial),</w:t>
      </w:r>
      <w:r w:rsidRPr="00955EB7">
        <w:rPr>
          <w:rStyle w:val="FootnoteReference"/>
          <w:rFonts w:asciiTheme="minorHAnsi" w:hAnsiTheme="minorHAnsi" w:cstheme="minorHAnsi"/>
          <w:szCs w:val="22"/>
        </w:rPr>
        <w:footnoteReference w:id="30"/>
      </w:r>
      <w:r w:rsidRPr="00955EB7">
        <w:rPr>
          <w:rFonts w:asciiTheme="minorHAnsi" w:hAnsiTheme="minorHAnsi" w:cstheme="minorHAnsi"/>
          <w:szCs w:val="22"/>
        </w:rPr>
        <w:t xml:space="preserve"> and the approach it adopts for contracts with minors (where it is not required to show that the other party knew that </w:t>
      </w:r>
      <w:r w:rsidR="00BC4507">
        <w:rPr>
          <w:rFonts w:asciiTheme="minorHAnsi" w:hAnsiTheme="minorHAnsi" w:cstheme="minorHAnsi"/>
          <w:szCs w:val="22"/>
        </w:rPr>
        <w:t>he was</w:t>
      </w:r>
      <w:r w:rsidRPr="00955EB7">
        <w:rPr>
          <w:rFonts w:asciiTheme="minorHAnsi" w:hAnsiTheme="minorHAnsi" w:cstheme="minorHAnsi"/>
          <w:szCs w:val="22"/>
        </w:rPr>
        <w:t xml:space="preserve"> contracting with a minor).</w:t>
      </w:r>
      <w:r w:rsidRPr="00955EB7">
        <w:rPr>
          <w:rStyle w:val="FootnoteReference"/>
          <w:rFonts w:asciiTheme="minorHAnsi" w:hAnsiTheme="minorHAnsi" w:cstheme="minorHAnsi"/>
          <w:szCs w:val="22"/>
        </w:rPr>
        <w:footnoteReference w:id="31"/>
      </w:r>
      <w:r w:rsidR="000E0233" w:rsidRPr="00955EB7">
        <w:rPr>
          <w:rFonts w:asciiTheme="minorHAnsi" w:hAnsiTheme="minorHAnsi" w:cstheme="minorHAnsi"/>
          <w:szCs w:val="22"/>
        </w:rPr>
        <w:t xml:space="preserve"> Insufficient weight is placed on the need to protect A who, at the time of entering into the contract, may have lacked not only the mental capacity to understand the transaction, but also the awareness that he lacked this understanding.</w:t>
      </w:r>
      <w:r w:rsidR="000E0233" w:rsidRPr="00955EB7">
        <w:rPr>
          <w:rStyle w:val="FootnoteReference"/>
          <w:rFonts w:asciiTheme="minorHAnsi" w:hAnsiTheme="minorHAnsi" w:cstheme="minorHAnsi"/>
          <w:szCs w:val="22"/>
        </w:rPr>
        <w:footnoteReference w:id="32"/>
      </w:r>
      <w:r w:rsidR="003D57DB" w:rsidRPr="00955EB7">
        <w:rPr>
          <w:rFonts w:asciiTheme="minorHAnsi" w:hAnsiTheme="minorHAnsi" w:cstheme="minorHAnsi"/>
          <w:szCs w:val="22"/>
        </w:rPr>
        <w:t xml:space="preserve"> The </w:t>
      </w:r>
      <w:r w:rsidR="003D57DB" w:rsidRPr="00955EB7">
        <w:rPr>
          <w:rFonts w:asciiTheme="minorHAnsi" w:hAnsiTheme="minorHAnsi" w:cstheme="minorHAnsi"/>
          <w:i/>
          <w:szCs w:val="22"/>
        </w:rPr>
        <w:t>Imperial Loan</w:t>
      </w:r>
      <w:r w:rsidR="003D57DB" w:rsidRPr="00955EB7">
        <w:rPr>
          <w:rFonts w:asciiTheme="minorHAnsi" w:hAnsiTheme="minorHAnsi" w:cstheme="minorHAnsi"/>
          <w:szCs w:val="22"/>
        </w:rPr>
        <w:t xml:space="preserve"> rule places insufficient emphasis on the fact that, due to A’s mental incapacity, it may be difficult to conclude that A gave his free consent to the contract.</w:t>
      </w:r>
      <w:r w:rsidR="003D57DB" w:rsidRPr="00955EB7">
        <w:rPr>
          <w:rStyle w:val="FootnoteReference"/>
          <w:rFonts w:asciiTheme="minorHAnsi" w:hAnsiTheme="minorHAnsi" w:cstheme="minorHAnsi"/>
          <w:szCs w:val="22"/>
        </w:rPr>
        <w:footnoteReference w:id="33"/>
      </w:r>
      <w:r w:rsidR="003D57DB" w:rsidRPr="00955EB7">
        <w:rPr>
          <w:rFonts w:asciiTheme="minorHAnsi" w:hAnsiTheme="minorHAnsi" w:cstheme="minorHAnsi"/>
          <w:szCs w:val="22"/>
        </w:rPr>
        <w:t xml:space="preserve"> Moreover, unlike </w:t>
      </w:r>
      <w:r w:rsidR="003D57DB" w:rsidRPr="00955EB7">
        <w:rPr>
          <w:rFonts w:asciiTheme="minorHAnsi" w:hAnsiTheme="minorHAnsi" w:cstheme="minorHAnsi"/>
          <w:i/>
          <w:szCs w:val="22"/>
        </w:rPr>
        <w:t>Molton</w:t>
      </w:r>
      <w:r w:rsidR="003D57DB" w:rsidRPr="00955EB7">
        <w:rPr>
          <w:rFonts w:asciiTheme="minorHAnsi" w:hAnsiTheme="minorHAnsi" w:cstheme="minorHAnsi"/>
          <w:szCs w:val="22"/>
        </w:rPr>
        <w:t xml:space="preserve">, the </w:t>
      </w:r>
      <w:r w:rsidR="003D57DB" w:rsidRPr="00955EB7">
        <w:rPr>
          <w:rFonts w:asciiTheme="minorHAnsi" w:hAnsiTheme="minorHAnsi" w:cstheme="minorHAnsi"/>
          <w:i/>
          <w:szCs w:val="22"/>
        </w:rPr>
        <w:t>Imperial Loan</w:t>
      </w:r>
      <w:r w:rsidR="003D57DB" w:rsidRPr="00955EB7">
        <w:rPr>
          <w:rFonts w:asciiTheme="minorHAnsi" w:hAnsiTheme="minorHAnsi" w:cstheme="minorHAnsi"/>
          <w:szCs w:val="22"/>
        </w:rPr>
        <w:t xml:space="preserve"> decision makes no distinction between executory and executed contracts, being willing to uphold the validity of a contract even when this is executory and A and B could be restored to their original position.</w:t>
      </w:r>
      <w:r w:rsidR="003D57DB" w:rsidRPr="00955EB7">
        <w:rPr>
          <w:rStyle w:val="FootnoteReference"/>
          <w:rFonts w:asciiTheme="minorHAnsi" w:hAnsiTheme="minorHAnsi" w:cstheme="minorHAnsi"/>
          <w:szCs w:val="22"/>
        </w:rPr>
        <w:footnoteReference w:id="34"/>
      </w:r>
      <w:r w:rsidR="006B5C55">
        <w:rPr>
          <w:rFonts w:asciiTheme="minorHAnsi" w:hAnsiTheme="minorHAnsi" w:cstheme="minorHAnsi"/>
          <w:szCs w:val="22"/>
        </w:rPr>
        <w:t xml:space="preserve"> Furthermore, the incapacity defence under the </w:t>
      </w:r>
      <w:r w:rsidR="006B5C55">
        <w:rPr>
          <w:rFonts w:asciiTheme="minorHAnsi" w:hAnsiTheme="minorHAnsi" w:cstheme="minorHAnsi"/>
          <w:i/>
          <w:szCs w:val="22"/>
        </w:rPr>
        <w:t>Imperial Loan</w:t>
      </w:r>
      <w:r w:rsidR="006B5C55">
        <w:rPr>
          <w:rFonts w:asciiTheme="minorHAnsi" w:hAnsiTheme="minorHAnsi" w:cstheme="minorHAnsi"/>
          <w:szCs w:val="22"/>
        </w:rPr>
        <w:t xml:space="preserve"> rule appears to be confined to face</w:t>
      </w:r>
      <w:r w:rsidR="005B3A2B">
        <w:rPr>
          <w:rFonts w:asciiTheme="minorHAnsi" w:hAnsiTheme="minorHAnsi" w:cstheme="minorHAnsi"/>
          <w:szCs w:val="22"/>
        </w:rPr>
        <w:t>-</w:t>
      </w:r>
      <w:r w:rsidR="006B5C55">
        <w:rPr>
          <w:rFonts w:asciiTheme="minorHAnsi" w:hAnsiTheme="minorHAnsi" w:cstheme="minorHAnsi"/>
          <w:szCs w:val="22"/>
        </w:rPr>
        <w:t>to</w:t>
      </w:r>
      <w:r w:rsidR="005B3A2B">
        <w:rPr>
          <w:rFonts w:asciiTheme="minorHAnsi" w:hAnsiTheme="minorHAnsi" w:cstheme="minorHAnsi"/>
          <w:szCs w:val="22"/>
        </w:rPr>
        <w:t>-</w:t>
      </w:r>
      <w:r w:rsidR="006B5C55">
        <w:rPr>
          <w:rFonts w:asciiTheme="minorHAnsi" w:hAnsiTheme="minorHAnsi" w:cstheme="minorHAnsi"/>
          <w:szCs w:val="22"/>
        </w:rPr>
        <w:t xml:space="preserve">face contracting and may not protect A when his dealings with B were by remote communications (including letters or electronic forms of communication), although the position </w:t>
      </w:r>
      <w:r w:rsidR="00EF1933">
        <w:rPr>
          <w:rFonts w:asciiTheme="minorHAnsi" w:hAnsiTheme="minorHAnsi" w:cstheme="minorHAnsi"/>
          <w:szCs w:val="22"/>
        </w:rPr>
        <w:t>remains unclear.</w:t>
      </w:r>
      <w:r w:rsidR="00EF1933">
        <w:rPr>
          <w:rStyle w:val="FootnoteReference"/>
          <w:rFonts w:asciiTheme="minorHAnsi" w:hAnsiTheme="minorHAnsi" w:cstheme="minorHAnsi"/>
          <w:szCs w:val="22"/>
        </w:rPr>
        <w:footnoteReference w:id="35"/>
      </w:r>
      <w:r w:rsidR="00EF1933">
        <w:rPr>
          <w:rFonts w:asciiTheme="minorHAnsi" w:hAnsiTheme="minorHAnsi" w:cstheme="minorHAnsi"/>
          <w:szCs w:val="22"/>
        </w:rPr>
        <w:t xml:space="preserve"> </w:t>
      </w:r>
      <w:r w:rsidR="00EF1933">
        <w:rPr>
          <w:rFonts w:asciiTheme="minorHAnsi" w:hAnsiTheme="minorHAnsi" w:cstheme="minorHAnsi"/>
          <w:szCs w:val="22"/>
        </w:rPr>
        <w:lastRenderedPageBreak/>
        <w:t xml:space="preserve">In searching for a way out of such ‘penumbral uncertainties’, </w:t>
      </w:r>
      <w:r w:rsidR="00EF1933" w:rsidRPr="00DE7E3B">
        <w:rPr>
          <w:rFonts w:asciiTheme="minorHAnsi" w:hAnsiTheme="minorHAnsi" w:cstheme="minorHAnsi"/>
        </w:rPr>
        <w:t>Watts</w:t>
      </w:r>
      <w:r w:rsidR="00EF1933">
        <w:rPr>
          <w:rFonts w:asciiTheme="minorHAnsi" w:hAnsiTheme="minorHAnsi" w:cstheme="minorHAnsi"/>
        </w:rPr>
        <w:t xml:space="preserve"> rightly questions whether the law should allow B ‘to be better off by having dealt by post, email or the internet’, where A’s incapacity ‘would  have been apparent in a face-to-face transaction’.</w:t>
      </w:r>
      <w:r w:rsidR="00EF1933">
        <w:rPr>
          <w:rStyle w:val="FootnoteReference"/>
          <w:rFonts w:asciiTheme="minorHAnsi" w:hAnsiTheme="minorHAnsi" w:cstheme="minorHAnsi"/>
        </w:rPr>
        <w:footnoteReference w:id="36"/>
      </w:r>
      <w:r w:rsidR="00EF1933">
        <w:rPr>
          <w:rFonts w:asciiTheme="minorHAnsi" w:hAnsiTheme="minorHAnsi" w:cstheme="minorHAnsi"/>
        </w:rPr>
        <w:t xml:space="preserve"> However, the need to protect A in such circumstances needs to be balanced against the need to protect B, especially in situations where A’s incapacity would not have been apparent to the reasonable person in B’s position.</w:t>
      </w:r>
      <w:r w:rsidR="00EF1933">
        <w:rPr>
          <w:rStyle w:val="FootnoteReference"/>
          <w:rFonts w:asciiTheme="minorHAnsi" w:hAnsiTheme="minorHAnsi" w:cstheme="minorHAnsi"/>
        </w:rPr>
        <w:footnoteReference w:id="37"/>
      </w:r>
      <w:r w:rsidR="00EF1933">
        <w:rPr>
          <w:rFonts w:asciiTheme="minorHAnsi" w:hAnsiTheme="minorHAnsi" w:cstheme="minorHAnsi"/>
        </w:rPr>
        <w:t xml:space="preserve"> Perhaps a broader interpretation </w:t>
      </w:r>
      <w:r w:rsidR="001D0C77">
        <w:rPr>
          <w:rFonts w:asciiTheme="minorHAnsi" w:hAnsiTheme="minorHAnsi" w:cstheme="minorHAnsi"/>
        </w:rPr>
        <w:t>of constructive knowledge to include the circumstances of the transaction may provide a more balanced response and a way forward in such situations where A and B deal remotely.</w:t>
      </w:r>
    </w:p>
    <w:p w14:paraId="1CFC83A2" w14:textId="77777777" w:rsidR="00BC5DD5" w:rsidRDefault="00BC5DD5" w:rsidP="00A06D14">
      <w:pPr>
        <w:spacing w:line="360" w:lineRule="auto"/>
        <w:rPr>
          <w:rFonts w:asciiTheme="minorHAnsi" w:hAnsiTheme="minorHAnsi" w:cstheme="minorHAnsi"/>
          <w:szCs w:val="22"/>
        </w:rPr>
      </w:pPr>
    </w:p>
    <w:p w14:paraId="0753E7D3" w14:textId="2C384E0C" w:rsidR="002570E6" w:rsidRPr="00955EB7" w:rsidRDefault="002A0443"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While the </w:t>
      </w:r>
      <w:r w:rsidR="00EF1933">
        <w:rPr>
          <w:rFonts w:asciiTheme="minorHAnsi" w:hAnsiTheme="minorHAnsi" w:cstheme="minorHAnsi"/>
          <w:szCs w:val="22"/>
        </w:rPr>
        <w:t xml:space="preserve">current </w:t>
      </w:r>
      <w:r w:rsidRPr="00955EB7">
        <w:rPr>
          <w:rFonts w:asciiTheme="minorHAnsi" w:hAnsiTheme="minorHAnsi" w:cstheme="minorHAnsi"/>
          <w:szCs w:val="22"/>
        </w:rPr>
        <w:t xml:space="preserve">focus seems to be on protecting B’s expectations and the security of transactions, insufficient emphasis is placed on fairness considerations. Lopes LJ’s </w:t>
      </w:r>
      <w:r w:rsidR="00B67A7B" w:rsidRPr="00955EB7">
        <w:rPr>
          <w:rFonts w:asciiTheme="minorHAnsi" w:hAnsiTheme="minorHAnsi" w:cstheme="minorHAnsi"/>
          <w:szCs w:val="22"/>
        </w:rPr>
        <w:t>judgment</w:t>
      </w:r>
      <w:r w:rsidRPr="00955EB7">
        <w:rPr>
          <w:rFonts w:asciiTheme="minorHAnsi" w:hAnsiTheme="minorHAnsi" w:cstheme="minorHAnsi"/>
          <w:szCs w:val="22"/>
        </w:rPr>
        <w:t xml:space="preserve"> in </w:t>
      </w:r>
      <w:r w:rsidRPr="00955EB7">
        <w:rPr>
          <w:rFonts w:asciiTheme="minorHAnsi" w:hAnsiTheme="minorHAnsi" w:cstheme="minorHAnsi"/>
          <w:i/>
          <w:szCs w:val="22"/>
        </w:rPr>
        <w:t>Imperial Loan</w:t>
      </w:r>
      <w:r w:rsidRPr="00955EB7">
        <w:rPr>
          <w:rFonts w:asciiTheme="minorHAnsi" w:hAnsiTheme="minorHAnsi" w:cstheme="minorHAnsi"/>
          <w:szCs w:val="22"/>
        </w:rPr>
        <w:t xml:space="preserve"> makes a brief reference to fairness (as he notes that the two part test must be met if A seeks to set aside a </w:t>
      </w:r>
      <w:r w:rsidR="00CE1640">
        <w:rPr>
          <w:rFonts w:asciiTheme="minorHAnsi" w:hAnsiTheme="minorHAnsi" w:cstheme="minorHAnsi"/>
          <w:szCs w:val="22"/>
        </w:rPr>
        <w:t>‘</w:t>
      </w:r>
      <w:r w:rsidRPr="00955EB7">
        <w:rPr>
          <w:rFonts w:asciiTheme="minorHAnsi" w:hAnsiTheme="minorHAnsi" w:cstheme="minorHAnsi"/>
          <w:szCs w:val="22"/>
        </w:rPr>
        <w:t>fair contract</w:t>
      </w:r>
      <w:r w:rsidR="00CE1640">
        <w:rPr>
          <w:rFonts w:asciiTheme="minorHAnsi" w:hAnsiTheme="minorHAnsi" w:cstheme="minorHAnsi"/>
          <w:szCs w:val="22"/>
        </w:rPr>
        <w:t>’</w:t>
      </w:r>
      <w:r w:rsidRPr="00955EB7">
        <w:rPr>
          <w:rFonts w:asciiTheme="minorHAnsi" w:hAnsiTheme="minorHAnsi" w:cstheme="minorHAnsi"/>
          <w:szCs w:val="22"/>
        </w:rPr>
        <w:t xml:space="preserve"> on grounds of mental incapacity),</w:t>
      </w:r>
      <w:r w:rsidRPr="00955EB7">
        <w:rPr>
          <w:rStyle w:val="FootnoteReference"/>
          <w:rFonts w:asciiTheme="minorHAnsi" w:hAnsiTheme="minorHAnsi" w:cstheme="minorHAnsi"/>
          <w:szCs w:val="22"/>
        </w:rPr>
        <w:footnoteReference w:id="38"/>
      </w:r>
      <w:r w:rsidRPr="00955EB7">
        <w:rPr>
          <w:rFonts w:asciiTheme="minorHAnsi" w:hAnsiTheme="minorHAnsi" w:cstheme="minorHAnsi"/>
          <w:szCs w:val="22"/>
        </w:rPr>
        <w:t xml:space="preserve"> but there is no explicit confirmation that A could set aside an unfair contract irrespective of B’s knowledge of the mental incapacity.</w:t>
      </w:r>
      <w:r w:rsidRPr="00955EB7">
        <w:rPr>
          <w:rStyle w:val="FootnoteReference"/>
          <w:rFonts w:asciiTheme="minorHAnsi" w:hAnsiTheme="minorHAnsi" w:cstheme="minorHAnsi"/>
          <w:szCs w:val="22"/>
        </w:rPr>
        <w:footnoteReference w:id="39"/>
      </w:r>
      <w:r w:rsidRPr="00955EB7">
        <w:rPr>
          <w:rFonts w:asciiTheme="minorHAnsi" w:hAnsiTheme="minorHAnsi" w:cstheme="minorHAnsi"/>
          <w:szCs w:val="22"/>
        </w:rPr>
        <w:t xml:space="preserve"> The remaining two </w:t>
      </w:r>
      <w:r w:rsidR="00B67A7B" w:rsidRPr="00955EB7">
        <w:rPr>
          <w:rFonts w:asciiTheme="minorHAnsi" w:hAnsiTheme="minorHAnsi" w:cstheme="minorHAnsi"/>
          <w:szCs w:val="22"/>
        </w:rPr>
        <w:t>judgment</w:t>
      </w:r>
      <w:r w:rsidRPr="00955EB7">
        <w:rPr>
          <w:rFonts w:asciiTheme="minorHAnsi" w:hAnsiTheme="minorHAnsi" w:cstheme="minorHAnsi"/>
          <w:szCs w:val="22"/>
        </w:rPr>
        <w:t xml:space="preserve">s of the Court of Appeal in </w:t>
      </w:r>
      <w:r w:rsidRPr="00955EB7">
        <w:rPr>
          <w:rFonts w:asciiTheme="minorHAnsi" w:hAnsiTheme="minorHAnsi" w:cstheme="minorHAnsi"/>
          <w:i/>
          <w:szCs w:val="22"/>
        </w:rPr>
        <w:t>Imperial Loan</w:t>
      </w:r>
      <w:r w:rsidRPr="00955EB7">
        <w:rPr>
          <w:rFonts w:asciiTheme="minorHAnsi" w:hAnsiTheme="minorHAnsi" w:cstheme="minorHAnsi"/>
          <w:szCs w:val="22"/>
        </w:rPr>
        <w:t xml:space="preserve"> (by </w:t>
      </w:r>
      <w:r w:rsidR="0097745F" w:rsidRPr="00955EB7">
        <w:rPr>
          <w:rFonts w:asciiTheme="minorHAnsi" w:hAnsiTheme="minorHAnsi" w:cstheme="minorHAnsi"/>
          <w:szCs w:val="22"/>
        </w:rPr>
        <w:t>L</w:t>
      </w:r>
      <w:r w:rsidRPr="00955EB7">
        <w:rPr>
          <w:rFonts w:asciiTheme="minorHAnsi" w:hAnsiTheme="minorHAnsi" w:cstheme="minorHAnsi"/>
          <w:szCs w:val="22"/>
        </w:rPr>
        <w:t>ord</w:t>
      </w:r>
      <w:r w:rsidR="00410F8C">
        <w:rPr>
          <w:rFonts w:asciiTheme="minorHAnsi" w:hAnsiTheme="minorHAnsi" w:cstheme="minorHAnsi"/>
          <w:szCs w:val="22"/>
        </w:rPr>
        <w:t xml:space="preserve"> Justice</w:t>
      </w:r>
      <w:r w:rsidRPr="00955EB7">
        <w:rPr>
          <w:rFonts w:asciiTheme="minorHAnsi" w:hAnsiTheme="minorHAnsi" w:cstheme="minorHAnsi"/>
          <w:szCs w:val="22"/>
        </w:rPr>
        <w:t xml:space="preserve"> Fry and </w:t>
      </w:r>
      <w:r w:rsidR="00410F8C">
        <w:rPr>
          <w:rFonts w:asciiTheme="minorHAnsi" w:hAnsiTheme="minorHAnsi" w:cstheme="minorHAnsi"/>
          <w:szCs w:val="22"/>
        </w:rPr>
        <w:t xml:space="preserve">Lord </w:t>
      </w:r>
      <w:r w:rsidRPr="00955EB7">
        <w:rPr>
          <w:rFonts w:asciiTheme="minorHAnsi" w:hAnsiTheme="minorHAnsi" w:cstheme="minorHAnsi"/>
          <w:szCs w:val="22"/>
        </w:rPr>
        <w:t>Esher) make no reference to fairness.</w:t>
      </w:r>
      <w:r w:rsidR="0097745F" w:rsidRPr="00955EB7">
        <w:rPr>
          <w:rFonts w:asciiTheme="minorHAnsi" w:hAnsiTheme="minorHAnsi" w:cstheme="minorHAnsi"/>
          <w:szCs w:val="22"/>
        </w:rPr>
        <w:t xml:space="preserve"> This reluctance to recognise unfairness as a separate ground for A to invalidate a contract with B was confirmed over nine </w:t>
      </w:r>
      <w:r w:rsidR="00105E5E" w:rsidRPr="00955EB7">
        <w:rPr>
          <w:rFonts w:asciiTheme="minorHAnsi" w:hAnsiTheme="minorHAnsi" w:cstheme="minorHAnsi"/>
          <w:szCs w:val="22"/>
        </w:rPr>
        <w:t>decades</w:t>
      </w:r>
      <w:r w:rsidR="0097745F" w:rsidRPr="00955EB7">
        <w:rPr>
          <w:rFonts w:asciiTheme="minorHAnsi" w:hAnsiTheme="minorHAnsi" w:cstheme="minorHAnsi"/>
          <w:szCs w:val="22"/>
        </w:rPr>
        <w:t xml:space="preserve"> later by the Privy Council decision in </w:t>
      </w:r>
      <w:r w:rsidR="0097745F" w:rsidRPr="00955EB7">
        <w:rPr>
          <w:rFonts w:asciiTheme="minorHAnsi" w:hAnsiTheme="minorHAnsi" w:cstheme="minorHAnsi"/>
          <w:i/>
          <w:szCs w:val="22"/>
        </w:rPr>
        <w:t xml:space="preserve">Hart </w:t>
      </w:r>
      <w:r w:rsidR="0097745F" w:rsidRPr="00955EB7">
        <w:rPr>
          <w:rFonts w:asciiTheme="minorHAnsi" w:hAnsiTheme="minorHAnsi" w:cstheme="minorHAnsi"/>
          <w:szCs w:val="22"/>
        </w:rPr>
        <w:t>v</w:t>
      </w:r>
      <w:r w:rsidR="0097745F" w:rsidRPr="00955EB7">
        <w:rPr>
          <w:rFonts w:asciiTheme="minorHAnsi" w:hAnsiTheme="minorHAnsi" w:cstheme="minorHAnsi"/>
          <w:i/>
          <w:szCs w:val="22"/>
        </w:rPr>
        <w:t xml:space="preserve"> O'Connor </w:t>
      </w:r>
      <w:r w:rsidR="0097745F" w:rsidRPr="00955EB7">
        <w:rPr>
          <w:rFonts w:asciiTheme="minorHAnsi" w:hAnsiTheme="minorHAnsi" w:cstheme="minorHAnsi"/>
          <w:szCs w:val="22"/>
        </w:rPr>
        <w:t>(</w:t>
      </w:r>
      <w:r w:rsidR="0097745F" w:rsidRPr="00955EB7">
        <w:rPr>
          <w:rFonts w:asciiTheme="minorHAnsi" w:hAnsiTheme="minorHAnsi" w:cstheme="minorHAnsi"/>
          <w:i/>
          <w:szCs w:val="22"/>
        </w:rPr>
        <w:t>Hart</w:t>
      </w:r>
      <w:r w:rsidR="0097745F" w:rsidRPr="00955EB7">
        <w:rPr>
          <w:rFonts w:asciiTheme="minorHAnsi" w:hAnsiTheme="minorHAnsi" w:cstheme="minorHAnsi"/>
          <w:szCs w:val="22"/>
        </w:rPr>
        <w:t xml:space="preserve">), where Lord Brightman noted that the validity of a contract involving a party who alleges mental incapacity </w:t>
      </w:r>
      <w:r w:rsidR="00CE1640">
        <w:rPr>
          <w:rFonts w:asciiTheme="minorHAnsi" w:hAnsiTheme="minorHAnsi" w:cstheme="minorHAnsi"/>
          <w:szCs w:val="22"/>
        </w:rPr>
        <w:t>‘</w:t>
      </w:r>
      <w:r w:rsidR="0097745F" w:rsidRPr="00955EB7">
        <w:rPr>
          <w:rFonts w:asciiTheme="minorHAnsi" w:hAnsiTheme="minorHAnsi" w:cstheme="minorHAnsi"/>
          <w:szCs w:val="22"/>
        </w:rPr>
        <w:t>is to be judged by the same standards as a contract by a person of sound mind</w:t>
      </w:r>
      <w:r w:rsidR="00CE1640">
        <w:rPr>
          <w:rFonts w:asciiTheme="minorHAnsi" w:hAnsiTheme="minorHAnsi" w:cstheme="minorHAnsi"/>
          <w:szCs w:val="22"/>
        </w:rPr>
        <w:t>’</w:t>
      </w:r>
      <w:r w:rsidR="0097745F" w:rsidRPr="00955EB7">
        <w:rPr>
          <w:rFonts w:asciiTheme="minorHAnsi" w:hAnsiTheme="minorHAnsi" w:cstheme="minorHAnsi"/>
          <w:szCs w:val="22"/>
        </w:rPr>
        <w:t xml:space="preserve"> and is not voidable on grounds of unfairness, </w:t>
      </w:r>
      <w:r w:rsidR="00CE1640">
        <w:rPr>
          <w:rFonts w:asciiTheme="minorHAnsi" w:hAnsiTheme="minorHAnsi" w:cstheme="minorHAnsi"/>
          <w:szCs w:val="22"/>
        </w:rPr>
        <w:t>‘</w:t>
      </w:r>
      <w:r w:rsidR="0097745F" w:rsidRPr="00955EB7">
        <w:rPr>
          <w:rFonts w:asciiTheme="minorHAnsi" w:hAnsiTheme="minorHAnsi" w:cstheme="minorHAnsi"/>
          <w:szCs w:val="22"/>
        </w:rPr>
        <w:t>unless such unfairness amounts to equitable fraud</w:t>
      </w:r>
      <w:r w:rsidR="00CE1640">
        <w:rPr>
          <w:rFonts w:asciiTheme="minorHAnsi" w:hAnsiTheme="minorHAnsi" w:cstheme="minorHAnsi"/>
          <w:szCs w:val="22"/>
        </w:rPr>
        <w:t>’</w:t>
      </w:r>
      <w:r w:rsidR="0097745F" w:rsidRPr="00955EB7">
        <w:rPr>
          <w:rFonts w:asciiTheme="minorHAnsi" w:hAnsiTheme="minorHAnsi" w:cstheme="minorHAnsi"/>
          <w:szCs w:val="22"/>
        </w:rPr>
        <w:t>.</w:t>
      </w:r>
      <w:r w:rsidR="0097745F" w:rsidRPr="00955EB7">
        <w:rPr>
          <w:rStyle w:val="FootnoteReference"/>
          <w:rFonts w:asciiTheme="minorHAnsi" w:hAnsiTheme="minorHAnsi" w:cstheme="minorHAnsi"/>
          <w:szCs w:val="22"/>
        </w:rPr>
        <w:footnoteReference w:id="40"/>
      </w:r>
      <w:r w:rsidR="0097745F" w:rsidRPr="00955EB7">
        <w:rPr>
          <w:rFonts w:asciiTheme="minorHAnsi" w:hAnsiTheme="minorHAnsi" w:cstheme="minorHAnsi"/>
          <w:szCs w:val="22"/>
        </w:rPr>
        <w:t xml:space="preserve"> </w:t>
      </w:r>
      <w:r w:rsidR="0097745F" w:rsidRPr="00955EB7">
        <w:rPr>
          <w:rFonts w:asciiTheme="minorHAnsi" w:hAnsiTheme="minorHAnsi" w:cstheme="minorHAnsi"/>
          <w:i/>
          <w:szCs w:val="22"/>
        </w:rPr>
        <w:t>Hart</w:t>
      </w:r>
      <w:r w:rsidR="0097745F" w:rsidRPr="00955EB7">
        <w:rPr>
          <w:rFonts w:asciiTheme="minorHAnsi" w:hAnsiTheme="minorHAnsi" w:cstheme="minorHAnsi"/>
          <w:szCs w:val="22"/>
        </w:rPr>
        <w:t xml:space="preserve"> confirmed the approach adopted in </w:t>
      </w:r>
      <w:r w:rsidR="0097745F" w:rsidRPr="00955EB7">
        <w:rPr>
          <w:rFonts w:asciiTheme="minorHAnsi" w:hAnsiTheme="minorHAnsi" w:cstheme="minorHAnsi"/>
          <w:i/>
          <w:szCs w:val="22"/>
        </w:rPr>
        <w:t>Imperial Loan</w:t>
      </w:r>
      <w:r w:rsidR="0097745F" w:rsidRPr="00955EB7">
        <w:rPr>
          <w:rFonts w:asciiTheme="minorHAnsi" w:hAnsiTheme="minorHAnsi" w:cstheme="minorHAnsi"/>
          <w:szCs w:val="22"/>
        </w:rPr>
        <w:t xml:space="preserve"> and its emphasis on the security of transactions, and rejected the fairness-based approach adopted by the New Zealand Court of Appeal in </w:t>
      </w:r>
      <w:r w:rsidR="0097745F" w:rsidRPr="00955EB7">
        <w:rPr>
          <w:rFonts w:asciiTheme="minorHAnsi" w:hAnsiTheme="minorHAnsi" w:cstheme="minorHAnsi"/>
          <w:i/>
          <w:szCs w:val="22"/>
        </w:rPr>
        <w:t xml:space="preserve">Archer </w:t>
      </w:r>
      <w:r w:rsidR="0097745F" w:rsidRPr="00955EB7">
        <w:rPr>
          <w:rFonts w:asciiTheme="minorHAnsi" w:hAnsiTheme="minorHAnsi" w:cstheme="minorHAnsi"/>
          <w:szCs w:val="22"/>
        </w:rPr>
        <w:t>v</w:t>
      </w:r>
      <w:r w:rsidR="0097745F" w:rsidRPr="00955EB7">
        <w:rPr>
          <w:rFonts w:asciiTheme="minorHAnsi" w:hAnsiTheme="minorHAnsi" w:cstheme="minorHAnsi"/>
          <w:i/>
          <w:szCs w:val="22"/>
        </w:rPr>
        <w:t xml:space="preserve"> Cutler</w:t>
      </w:r>
      <w:r w:rsidR="0097745F" w:rsidRPr="00955EB7">
        <w:rPr>
          <w:rFonts w:asciiTheme="minorHAnsi" w:hAnsiTheme="minorHAnsi" w:cstheme="minorHAnsi"/>
          <w:szCs w:val="22"/>
        </w:rPr>
        <w:t xml:space="preserve"> (</w:t>
      </w:r>
      <w:r w:rsidR="0097745F" w:rsidRPr="00955EB7">
        <w:rPr>
          <w:rFonts w:asciiTheme="minorHAnsi" w:hAnsiTheme="minorHAnsi" w:cstheme="minorHAnsi"/>
          <w:i/>
          <w:szCs w:val="22"/>
        </w:rPr>
        <w:t>Archer</w:t>
      </w:r>
      <w:r w:rsidR="0097745F" w:rsidRPr="00955EB7">
        <w:rPr>
          <w:rFonts w:asciiTheme="minorHAnsi" w:hAnsiTheme="minorHAnsi" w:cstheme="minorHAnsi"/>
          <w:szCs w:val="22"/>
        </w:rPr>
        <w:t>).</w:t>
      </w:r>
      <w:r w:rsidR="00CE2912" w:rsidRPr="00955EB7">
        <w:rPr>
          <w:rStyle w:val="FootnoteReference"/>
          <w:rFonts w:asciiTheme="minorHAnsi" w:hAnsiTheme="minorHAnsi" w:cstheme="minorHAnsi"/>
          <w:szCs w:val="22"/>
        </w:rPr>
        <w:footnoteReference w:id="41"/>
      </w:r>
      <w:r w:rsidR="0097745F" w:rsidRPr="00955EB7">
        <w:rPr>
          <w:rFonts w:asciiTheme="minorHAnsi" w:hAnsiTheme="minorHAnsi" w:cstheme="minorHAnsi"/>
          <w:szCs w:val="22"/>
        </w:rPr>
        <w:t xml:space="preserve"> In </w:t>
      </w:r>
      <w:r w:rsidR="0097745F" w:rsidRPr="00955EB7">
        <w:rPr>
          <w:rFonts w:asciiTheme="minorHAnsi" w:hAnsiTheme="minorHAnsi" w:cstheme="minorHAnsi"/>
          <w:i/>
          <w:szCs w:val="22"/>
        </w:rPr>
        <w:t>Archer</w:t>
      </w:r>
      <w:r w:rsidR="0097745F" w:rsidRPr="00955EB7">
        <w:rPr>
          <w:rFonts w:asciiTheme="minorHAnsi" w:hAnsiTheme="minorHAnsi" w:cstheme="minorHAnsi"/>
          <w:szCs w:val="22"/>
        </w:rPr>
        <w:t xml:space="preserve">, McMullin J </w:t>
      </w:r>
      <w:r w:rsidR="003D2B95" w:rsidRPr="00955EB7">
        <w:rPr>
          <w:rFonts w:asciiTheme="minorHAnsi" w:hAnsiTheme="minorHAnsi" w:cstheme="minorHAnsi"/>
          <w:szCs w:val="22"/>
        </w:rPr>
        <w:t>sought to extend the grounds that would allow A to set aside a contract</w:t>
      </w:r>
      <w:r w:rsidR="008323EE" w:rsidRPr="00955EB7">
        <w:rPr>
          <w:rFonts w:asciiTheme="minorHAnsi" w:hAnsiTheme="minorHAnsi" w:cstheme="minorHAnsi"/>
          <w:szCs w:val="22"/>
        </w:rPr>
        <w:t>,</w:t>
      </w:r>
      <w:r w:rsidR="003D2B95" w:rsidRPr="00955EB7">
        <w:rPr>
          <w:rFonts w:asciiTheme="minorHAnsi" w:hAnsiTheme="minorHAnsi" w:cstheme="minorHAnsi"/>
          <w:szCs w:val="22"/>
        </w:rPr>
        <w:t xml:space="preserve"> to include not only situations where B had knowledge of A’s mental incapacity, but also circumstances where, irrespective of B’s knowledge, the contract was unfair.</w:t>
      </w:r>
      <w:r w:rsidR="003D2B95" w:rsidRPr="00955EB7">
        <w:rPr>
          <w:rStyle w:val="FootnoteReference"/>
          <w:rFonts w:asciiTheme="minorHAnsi" w:hAnsiTheme="minorHAnsi" w:cstheme="minorHAnsi"/>
          <w:szCs w:val="22"/>
        </w:rPr>
        <w:footnoteReference w:id="42"/>
      </w:r>
      <w:r w:rsidR="002570E6" w:rsidRPr="00955EB7">
        <w:rPr>
          <w:rFonts w:asciiTheme="minorHAnsi" w:hAnsiTheme="minorHAnsi" w:cstheme="minorHAnsi"/>
          <w:szCs w:val="22"/>
        </w:rPr>
        <w:t xml:space="preserve"> </w:t>
      </w:r>
      <w:r w:rsidR="003D2B95" w:rsidRPr="00955EB7">
        <w:rPr>
          <w:rFonts w:asciiTheme="minorHAnsi" w:hAnsiTheme="minorHAnsi" w:cstheme="minorHAnsi"/>
          <w:szCs w:val="22"/>
        </w:rPr>
        <w:t xml:space="preserve">While fairness should play a role in assessing the validity of a contract, </w:t>
      </w:r>
      <w:r w:rsidR="003D2B95" w:rsidRPr="00955EB7">
        <w:rPr>
          <w:rFonts w:asciiTheme="minorHAnsi" w:hAnsiTheme="minorHAnsi" w:cstheme="minorHAnsi"/>
          <w:i/>
          <w:szCs w:val="22"/>
        </w:rPr>
        <w:t>Archer</w:t>
      </w:r>
      <w:r w:rsidR="003D2B95" w:rsidRPr="00955EB7">
        <w:rPr>
          <w:rFonts w:asciiTheme="minorHAnsi" w:hAnsiTheme="minorHAnsi" w:cstheme="minorHAnsi"/>
          <w:szCs w:val="22"/>
        </w:rPr>
        <w:t xml:space="preserve"> put forward an unclear framework that failed to articulate how fairness-based assessments would work in practice. It alluded to both procedural factors (such as the absence of independent legal advice or disparity in the parties’ mental capacity) and substantive matters (such as a sale significantly below the market value),</w:t>
      </w:r>
      <w:r w:rsidR="003D2B95" w:rsidRPr="00955EB7">
        <w:rPr>
          <w:rStyle w:val="FootnoteReference"/>
          <w:rFonts w:asciiTheme="minorHAnsi" w:hAnsiTheme="minorHAnsi" w:cstheme="minorHAnsi"/>
          <w:szCs w:val="22"/>
        </w:rPr>
        <w:footnoteReference w:id="43"/>
      </w:r>
      <w:r w:rsidR="003D2B95" w:rsidRPr="00955EB7">
        <w:rPr>
          <w:rFonts w:asciiTheme="minorHAnsi" w:hAnsiTheme="minorHAnsi" w:cstheme="minorHAnsi"/>
          <w:szCs w:val="22"/>
        </w:rPr>
        <w:t xml:space="preserve"> but did not clarify the relation between procedural and substantive fairness and could have opened up the possibility for substantive fairness alone to invalidate a contract. </w:t>
      </w:r>
      <w:r w:rsidR="003D2B95" w:rsidRPr="00955EB7">
        <w:rPr>
          <w:rFonts w:asciiTheme="minorHAnsi" w:hAnsiTheme="minorHAnsi" w:cstheme="minorHAnsi"/>
          <w:i/>
          <w:szCs w:val="22"/>
        </w:rPr>
        <w:t>Hart</w:t>
      </w:r>
      <w:r w:rsidR="003D2B95" w:rsidRPr="00955EB7">
        <w:rPr>
          <w:rFonts w:asciiTheme="minorHAnsi" w:hAnsiTheme="minorHAnsi" w:cstheme="minorHAnsi"/>
          <w:szCs w:val="22"/>
        </w:rPr>
        <w:t xml:space="preserve"> was correct to reject an approach based on an unclear framework</w:t>
      </w:r>
      <w:r w:rsidR="002570E6" w:rsidRPr="00955EB7">
        <w:rPr>
          <w:rFonts w:asciiTheme="minorHAnsi" w:hAnsiTheme="minorHAnsi" w:cstheme="minorHAnsi"/>
          <w:szCs w:val="22"/>
        </w:rPr>
        <w:t>,</w:t>
      </w:r>
      <w:r w:rsidR="002570E6" w:rsidRPr="00955EB7">
        <w:rPr>
          <w:rStyle w:val="FootnoteReference"/>
          <w:rFonts w:asciiTheme="minorHAnsi" w:hAnsiTheme="minorHAnsi" w:cstheme="minorHAnsi"/>
          <w:szCs w:val="22"/>
        </w:rPr>
        <w:footnoteReference w:id="44"/>
      </w:r>
      <w:r w:rsidR="002570E6" w:rsidRPr="00955EB7">
        <w:rPr>
          <w:rFonts w:asciiTheme="minorHAnsi" w:hAnsiTheme="minorHAnsi" w:cstheme="minorHAnsi"/>
          <w:szCs w:val="22"/>
        </w:rPr>
        <w:t xml:space="preserve"> particularly given the ambiguity surrounding substantive fairness,</w:t>
      </w:r>
      <w:r w:rsidR="002570E6" w:rsidRPr="00955EB7">
        <w:rPr>
          <w:rStyle w:val="FootnoteReference"/>
          <w:rFonts w:asciiTheme="minorHAnsi" w:hAnsiTheme="minorHAnsi" w:cstheme="minorHAnsi"/>
          <w:szCs w:val="22"/>
        </w:rPr>
        <w:footnoteReference w:id="45"/>
      </w:r>
      <w:r w:rsidR="002570E6" w:rsidRPr="00955EB7">
        <w:rPr>
          <w:rFonts w:asciiTheme="minorHAnsi" w:hAnsiTheme="minorHAnsi" w:cstheme="minorHAnsi"/>
          <w:szCs w:val="22"/>
        </w:rPr>
        <w:t xml:space="preserve"> but it did not consider sufficiently the potential for procedural </w:t>
      </w:r>
      <w:r w:rsidR="002570E6" w:rsidRPr="00955EB7">
        <w:rPr>
          <w:rFonts w:asciiTheme="minorHAnsi" w:hAnsiTheme="minorHAnsi" w:cstheme="minorHAnsi"/>
          <w:szCs w:val="22"/>
        </w:rPr>
        <w:lastRenderedPageBreak/>
        <w:t>fairness (alone or alongside substantive fairness) to play a role in assessing the validity of a contract within a clearly defined framework.</w:t>
      </w:r>
      <w:r w:rsidR="002570E6" w:rsidRPr="00955EB7">
        <w:rPr>
          <w:rStyle w:val="FootnoteReference"/>
          <w:rFonts w:asciiTheme="minorHAnsi" w:hAnsiTheme="minorHAnsi" w:cstheme="minorHAnsi"/>
          <w:szCs w:val="22"/>
        </w:rPr>
        <w:footnoteReference w:id="46"/>
      </w:r>
      <w:r w:rsidR="002570E6" w:rsidRPr="00955EB7">
        <w:rPr>
          <w:rFonts w:asciiTheme="minorHAnsi" w:hAnsiTheme="minorHAnsi" w:cstheme="minorHAnsi"/>
          <w:szCs w:val="22"/>
        </w:rPr>
        <w:t xml:space="preserve"> </w:t>
      </w:r>
    </w:p>
    <w:p w14:paraId="5FEEBD13" w14:textId="77777777" w:rsidR="00BC5DD5" w:rsidRDefault="00BC5DD5" w:rsidP="00A06D14">
      <w:pPr>
        <w:spacing w:line="360" w:lineRule="auto"/>
        <w:rPr>
          <w:rFonts w:asciiTheme="minorHAnsi" w:hAnsiTheme="minorHAnsi" w:cstheme="minorHAnsi"/>
          <w:szCs w:val="22"/>
        </w:rPr>
      </w:pPr>
    </w:p>
    <w:p w14:paraId="391764C3" w14:textId="0716F263" w:rsidR="003D2B95" w:rsidRPr="00955EB7" w:rsidRDefault="002570E6"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Such a framework could be accommodated by expanding the requirement for B’s knowledge of A’s mental incapacity to include not only actual knowledge but also constructive knowledge. </w:t>
      </w:r>
      <w:r w:rsidR="001D0C77">
        <w:rPr>
          <w:rFonts w:asciiTheme="minorHAnsi" w:hAnsiTheme="minorHAnsi" w:cstheme="minorHAnsi"/>
          <w:szCs w:val="22"/>
        </w:rPr>
        <w:t xml:space="preserve">While </w:t>
      </w:r>
      <w:r w:rsidR="001D0C77">
        <w:rPr>
          <w:rFonts w:asciiTheme="minorHAnsi" w:hAnsiTheme="minorHAnsi" w:cstheme="minorHAnsi"/>
          <w:i/>
          <w:szCs w:val="22"/>
        </w:rPr>
        <w:t>Hart</w:t>
      </w:r>
      <w:r w:rsidR="001D0C77">
        <w:rPr>
          <w:rFonts w:asciiTheme="minorHAnsi" w:hAnsiTheme="minorHAnsi" w:cstheme="minorHAnsi"/>
          <w:szCs w:val="22"/>
        </w:rPr>
        <w:t xml:space="preserve"> left room for constructive knowledge in situations where A’s incapacity was ‘ostensible’</w:t>
      </w:r>
      <w:r w:rsidR="001D0C77">
        <w:rPr>
          <w:rStyle w:val="FootnoteReference"/>
          <w:rFonts w:asciiTheme="minorHAnsi" w:hAnsiTheme="minorHAnsi" w:cstheme="minorHAnsi"/>
          <w:szCs w:val="22"/>
        </w:rPr>
        <w:footnoteReference w:id="47"/>
      </w:r>
      <w:r w:rsidR="001D0C77">
        <w:rPr>
          <w:rFonts w:asciiTheme="minorHAnsi" w:hAnsiTheme="minorHAnsi" w:cstheme="minorHAnsi"/>
          <w:szCs w:val="22"/>
        </w:rPr>
        <w:t xml:space="preserve"> (an approach </w:t>
      </w:r>
      <w:r w:rsidR="005B3A2B">
        <w:rPr>
          <w:rFonts w:asciiTheme="minorHAnsi" w:hAnsiTheme="minorHAnsi" w:cstheme="minorHAnsi"/>
          <w:szCs w:val="22"/>
        </w:rPr>
        <w:t>not in</w:t>
      </w:r>
      <w:r w:rsidR="001D0C77">
        <w:rPr>
          <w:rFonts w:asciiTheme="minorHAnsi" w:hAnsiTheme="minorHAnsi" w:cstheme="minorHAnsi"/>
          <w:szCs w:val="22"/>
        </w:rPr>
        <w:t xml:space="preserve">compatible with </w:t>
      </w:r>
      <w:r w:rsidR="001D0C77" w:rsidRPr="00955EB7">
        <w:rPr>
          <w:rFonts w:asciiTheme="minorHAnsi" w:hAnsiTheme="minorHAnsi" w:cstheme="minorHAnsi"/>
          <w:i/>
          <w:szCs w:val="22"/>
        </w:rPr>
        <w:t>Molton</w:t>
      </w:r>
      <w:r w:rsidR="001D0C77" w:rsidRPr="001D0C77">
        <w:rPr>
          <w:rStyle w:val="FootnoteReference"/>
          <w:rFonts w:asciiTheme="minorHAnsi" w:hAnsiTheme="minorHAnsi" w:cstheme="minorHAnsi"/>
          <w:szCs w:val="22"/>
        </w:rPr>
        <w:footnoteReference w:id="48"/>
      </w:r>
      <w:r w:rsidR="001D0C77">
        <w:rPr>
          <w:rFonts w:asciiTheme="minorHAnsi" w:hAnsiTheme="minorHAnsi" w:cstheme="minorHAnsi"/>
          <w:szCs w:val="22"/>
        </w:rPr>
        <w:t xml:space="preserve"> and </w:t>
      </w:r>
      <w:r w:rsidR="001D0C77">
        <w:rPr>
          <w:rFonts w:asciiTheme="minorHAnsi" w:hAnsiTheme="minorHAnsi" w:cstheme="minorHAnsi"/>
          <w:i/>
          <w:szCs w:val="22"/>
        </w:rPr>
        <w:t>Imperial Loan</w:t>
      </w:r>
      <w:r w:rsidR="001D0C77">
        <w:rPr>
          <w:rFonts w:asciiTheme="minorHAnsi" w:hAnsiTheme="minorHAnsi" w:cstheme="minorHAnsi"/>
          <w:szCs w:val="22"/>
        </w:rPr>
        <w:t>),</w:t>
      </w:r>
      <w:r w:rsidR="005A05FD">
        <w:rPr>
          <w:rStyle w:val="FootnoteReference"/>
          <w:rFonts w:asciiTheme="minorHAnsi" w:hAnsiTheme="minorHAnsi" w:cstheme="minorHAnsi"/>
          <w:szCs w:val="22"/>
        </w:rPr>
        <w:footnoteReference w:id="49"/>
      </w:r>
      <w:r w:rsidR="001D0C77">
        <w:rPr>
          <w:rFonts w:asciiTheme="minorHAnsi" w:hAnsiTheme="minorHAnsi" w:cstheme="minorHAnsi"/>
          <w:szCs w:val="22"/>
        </w:rPr>
        <w:t xml:space="preserve"> </w:t>
      </w:r>
      <w:r w:rsidR="005A05FD">
        <w:rPr>
          <w:rFonts w:asciiTheme="minorHAnsi" w:hAnsiTheme="minorHAnsi" w:cstheme="minorHAnsi"/>
          <w:szCs w:val="22"/>
        </w:rPr>
        <w:t xml:space="preserve">it did not consider </w:t>
      </w:r>
      <w:r w:rsidR="005B3A2B">
        <w:rPr>
          <w:rFonts w:asciiTheme="minorHAnsi" w:hAnsiTheme="minorHAnsi" w:cstheme="minorHAnsi"/>
          <w:szCs w:val="22"/>
        </w:rPr>
        <w:t xml:space="preserve">in sufficient depth </w:t>
      </w:r>
      <w:r w:rsidR="005A05FD">
        <w:rPr>
          <w:rFonts w:asciiTheme="minorHAnsi" w:hAnsiTheme="minorHAnsi" w:cstheme="minorHAnsi"/>
          <w:szCs w:val="22"/>
        </w:rPr>
        <w:t xml:space="preserve">the issue of B’s knowledge and the potential triggers for constructive knowledge, focusing instead on justifications for rejective the fairness-based approach put forward in </w:t>
      </w:r>
      <w:r w:rsidR="005A05FD">
        <w:rPr>
          <w:rFonts w:asciiTheme="minorHAnsi" w:hAnsiTheme="minorHAnsi" w:cstheme="minorHAnsi"/>
          <w:i/>
          <w:szCs w:val="22"/>
        </w:rPr>
        <w:t>Archer</w:t>
      </w:r>
      <w:r w:rsidR="005A05FD">
        <w:rPr>
          <w:rFonts w:asciiTheme="minorHAnsi" w:hAnsiTheme="minorHAnsi" w:cstheme="minorHAnsi"/>
          <w:szCs w:val="22"/>
        </w:rPr>
        <w:t>.</w:t>
      </w:r>
      <w:r w:rsidR="00B23C3A">
        <w:rPr>
          <w:rStyle w:val="FootnoteReference"/>
          <w:rFonts w:asciiTheme="minorHAnsi" w:hAnsiTheme="minorHAnsi" w:cstheme="minorHAnsi"/>
          <w:szCs w:val="22"/>
        </w:rPr>
        <w:footnoteReference w:id="50"/>
      </w:r>
      <w:r w:rsidR="00B23C3A">
        <w:rPr>
          <w:rFonts w:asciiTheme="minorHAnsi" w:hAnsiTheme="minorHAnsi" w:cstheme="minorHAnsi"/>
          <w:szCs w:val="22"/>
        </w:rPr>
        <w:t xml:space="preserve"> C</w:t>
      </w:r>
      <w:r w:rsidRPr="00955EB7">
        <w:rPr>
          <w:rFonts w:asciiTheme="minorHAnsi" w:hAnsiTheme="minorHAnsi" w:cstheme="minorHAnsi"/>
          <w:szCs w:val="22"/>
        </w:rPr>
        <w:t xml:space="preserve">onstructive knowledge should be interpreted broadly to refer to not </w:t>
      </w:r>
      <w:r w:rsidR="008323EE" w:rsidRPr="00955EB7">
        <w:rPr>
          <w:rFonts w:asciiTheme="minorHAnsi" w:hAnsiTheme="minorHAnsi" w:cstheme="minorHAnsi"/>
          <w:szCs w:val="22"/>
        </w:rPr>
        <w:t xml:space="preserve">only </w:t>
      </w:r>
      <w:r w:rsidRPr="00955EB7">
        <w:rPr>
          <w:rFonts w:asciiTheme="minorHAnsi" w:hAnsiTheme="minorHAnsi" w:cstheme="minorHAnsi"/>
          <w:szCs w:val="22"/>
        </w:rPr>
        <w:t>to situations where B should have known about A’s mental incapacity</w:t>
      </w:r>
      <w:r w:rsidR="0071443D" w:rsidRPr="00955EB7">
        <w:rPr>
          <w:rFonts w:asciiTheme="minorHAnsi" w:hAnsiTheme="minorHAnsi" w:cstheme="minorHAnsi"/>
          <w:szCs w:val="22"/>
        </w:rPr>
        <w:t xml:space="preserve"> because this was apparent, but also where B ought to have known about the incapacity because of the circumstances of the transaction. This framework could accommodate considerations of fairness not as an alternative to the knowledge requirement, as suggested in </w:t>
      </w:r>
      <w:r w:rsidR="0071443D" w:rsidRPr="00955EB7">
        <w:rPr>
          <w:rFonts w:asciiTheme="minorHAnsi" w:hAnsiTheme="minorHAnsi" w:cstheme="minorHAnsi"/>
          <w:i/>
          <w:szCs w:val="22"/>
        </w:rPr>
        <w:t>Archer</w:t>
      </w:r>
      <w:r w:rsidR="0071443D" w:rsidRPr="00955EB7">
        <w:rPr>
          <w:rFonts w:asciiTheme="minorHAnsi" w:hAnsiTheme="minorHAnsi" w:cstheme="minorHAnsi"/>
          <w:szCs w:val="22"/>
        </w:rPr>
        <w:t>, but as a factor f</w:t>
      </w:r>
      <w:r w:rsidR="008323EE" w:rsidRPr="00955EB7">
        <w:rPr>
          <w:rFonts w:asciiTheme="minorHAnsi" w:hAnsiTheme="minorHAnsi" w:cstheme="minorHAnsi"/>
          <w:szCs w:val="22"/>
        </w:rPr>
        <w:t>o</w:t>
      </w:r>
      <w:r w:rsidR="0071443D" w:rsidRPr="00955EB7">
        <w:rPr>
          <w:rFonts w:asciiTheme="minorHAnsi" w:hAnsiTheme="minorHAnsi" w:cstheme="minorHAnsi"/>
          <w:szCs w:val="22"/>
        </w:rPr>
        <w:t>r assessing whether B ought to have known about A’s mental incapacity either due to procedural factors alone or based on a combination of substantive and procedural factors (</w:t>
      </w:r>
      <w:r w:rsidR="00E353CE" w:rsidRPr="00955EB7">
        <w:rPr>
          <w:rFonts w:asciiTheme="minorHAnsi" w:hAnsiTheme="minorHAnsi" w:cstheme="minorHAnsi"/>
          <w:szCs w:val="22"/>
        </w:rPr>
        <w:t>e.g.</w:t>
      </w:r>
      <w:r w:rsidR="0071443D" w:rsidRPr="00955EB7">
        <w:rPr>
          <w:rFonts w:asciiTheme="minorHAnsi" w:hAnsiTheme="minorHAnsi" w:cstheme="minorHAnsi"/>
          <w:szCs w:val="22"/>
        </w:rPr>
        <w:t xml:space="preserve"> a grossly imbalanced contract between A and B, where A received no independent legal advice). Support for such an interpretation of the knowledge requirement in </w:t>
      </w:r>
      <w:r w:rsidR="0071443D" w:rsidRPr="00955EB7">
        <w:rPr>
          <w:rFonts w:asciiTheme="minorHAnsi" w:hAnsiTheme="minorHAnsi" w:cstheme="minorHAnsi"/>
          <w:i/>
          <w:szCs w:val="22"/>
        </w:rPr>
        <w:t>Imperial Loan</w:t>
      </w:r>
      <w:r w:rsidR="0071443D" w:rsidRPr="00955EB7">
        <w:rPr>
          <w:rFonts w:asciiTheme="minorHAnsi" w:hAnsiTheme="minorHAnsi" w:cstheme="minorHAnsi"/>
          <w:szCs w:val="22"/>
        </w:rPr>
        <w:t xml:space="preserve"> can be found in the twentieth century decision of the Court of Appeal in </w:t>
      </w:r>
      <w:r w:rsidR="0071443D" w:rsidRPr="00955EB7">
        <w:rPr>
          <w:rFonts w:asciiTheme="minorHAnsi" w:hAnsiTheme="minorHAnsi" w:cstheme="minorHAnsi"/>
          <w:i/>
          <w:szCs w:val="22"/>
        </w:rPr>
        <w:t xml:space="preserve">York Glass </w:t>
      </w:r>
      <w:r w:rsidR="0071443D" w:rsidRPr="00955EB7">
        <w:rPr>
          <w:rFonts w:asciiTheme="minorHAnsi" w:hAnsiTheme="minorHAnsi" w:cstheme="minorHAnsi"/>
          <w:szCs w:val="22"/>
        </w:rPr>
        <w:t>v</w:t>
      </w:r>
      <w:r w:rsidR="0071443D" w:rsidRPr="00955EB7">
        <w:rPr>
          <w:rFonts w:asciiTheme="minorHAnsi" w:hAnsiTheme="minorHAnsi" w:cstheme="minorHAnsi"/>
          <w:i/>
          <w:szCs w:val="22"/>
        </w:rPr>
        <w:t xml:space="preserve"> Jubb</w:t>
      </w:r>
      <w:r w:rsidR="0071443D" w:rsidRPr="00955EB7">
        <w:rPr>
          <w:rFonts w:asciiTheme="minorHAnsi" w:hAnsiTheme="minorHAnsi" w:cstheme="minorHAnsi"/>
          <w:szCs w:val="22"/>
        </w:rPr>
        <w:t xml:space="preserve"> (</w:t>
      </w:r>
      <w:r w:rsidR="0071443D" w:rsidRPr="00955EB7">
        <w:rPr>
          <w:rFonts w:asciiTheme="minorHAnsi" w:hAnsiTheme="minorHAnsi" w:cstheme="minorHAnsi"/>
          <w:i/>
          <w:szCs w:val="22"/>
        </w:rPr>
        <w:t>York Glass</w:t>
      </w:r>
      <w:r w:rsidR="0071443D" w:rsidRPr="00955EB7">
        <w:rPr>
          <w:rFonts w:asciiTheme="minorHAnsi" w:hAnsiTheme="minorHAnsi" w:cstheme="minorHAnsi"/>
          <w:szCs w:val="22"/>
        </w:rPr>
        <w:t>),</w:t>
      </w:r>
      <w:r w:rsidR="009B1A15" w:rsidRPr="00955EB7">
        <w:rPr>
          <w:rFonts w:asciiTheme="minorHAnsi" w:hAnsiTheme="minorHAnsi" w:cstheme="minorHAnsi"/>
          <w:szCs w:val="22"/>
        </w:rPr>
        <w:t xml:space="preserve"> where Warrington </w:t>
      </w:r>
      <w:r w:rsidR="00447530" w:rsidRPr="00955EB7">
        <w:rPr>
          <w:rFonts w:asciiTheme="minorHAnsi" w:hAnsiTheme="minorHAnsi" w:cstheme="minorHAnsi"/>
          <w:szCs w:val="22"/>
        </w:rPr>
        <w:t>LJ</w:t>
      </w:r>
      <w:r w:rsidR="009B1A15" w:rsidRPr="00955EB7">
        <w:rPr>
          <w:rFonts w:asciiTheme="minorHAnsi" w:hAnsiTheme="minorHAnsi" w:cstheme="minorHAnsi"/>
          <w:szCs w:val="22"/>
        </w:rPr>
        <w:t xml:space="preserve"> noted that the requirement to show B’s knowledge of A’s mental incapacity could be met, even in the absence of actual knowledge, if the circumstances were as such that a reasonable person in B’s position </w:t>
      </w:r>
      <w:r w:rsidR="00CE1640">
        <w:rPr>
          <w:rFonts w:asciiTheme="minorHAnsi" w:hAnsiTheme="minorHAnsi" w:cstheme="minorHAnsi"/>
          <w:szCs w:val="22"/>
        </w:rPr>
        <w:t>‘</w:t>
      </w:r>
      <w:r w:rsidR="009B1A15" w:rsidRPr="00955EB7">
        <w:rPr>
          <w:rFonts w:asciiTheme="minorHAnsi" w:hAnsiTheme="minorHAnsi" w:cstheme="minorHAnsi"/>
          <w:szCs w:val="22"/>
        </w:rPr>
        <w:t>would have inferred</w:t>
      </w:r>
      <w:r w:rsidR="00CE1640">
        <w:rPr>
          <w:rFonts w:asciiTheme="minorHAnsi" w:hAnsiTheme="minorHAnsi" w:cstheme="minorHAnsi"/>
          <w:szCs w:val="22"/>
        </w:rPr>
        <w:t>’</w:t>
      </w:r>
      <w:r w:rsidR="009B1A15" w:rsidRPr="00955EB7">
        <w:rPr>
          <w:rFonts w:asciiTheme="minorHAnsi" w:hAnsiTheme="minorHAnsi" w:cstheme="minorHAnsi"/>
          <w:szCs w:val="22"/>
        </w:rPr>
        <w:t xml:space="preserve"> that A lacked the mental capacity to understand the transaction.</w:t>
      </w:r>
      <w:r w:rsidR="009B1A15" w:rsidRPr="00955EB7">
        <w:rPr>
          <w:rStyle w:val="FootnoteReference"/>
          <w:rFonts w:asciiTheme="minorHAnsi" w:hAnsiTheme="minorHAnsi" w:cstheme="minorHAnsi"/>
          <w:szCs w:val="22"/>
        </w:rPr>
        <w:footnoteReference w:id="51"/>
      </w:r>
      <w:r w:rsidR="009B1A15" w:rsidRPr="00955EB7">
        <w:rPr>
          <w:rFonts w:asciiTheme="minorHAnsi" w:hAnsiTheme="minorHAnsi" w:cstheme="minorHAnsi"/>
          <w:szCs w:val="22"/>
        </w:rPr>
        <w:t xml:space="preserve"> Further support can be found in the twenty-first century decision of the Supreme Court in </w:t>
      </w:r>
      <w:r w:rsidR="009B1A15" w:rsidRPr="00955EB7">
        <w:rPr>
          <w:rFonts w:asciiTheme="minorHAnsi" w:hAnsiTheme="minorHAnsi" w:cstheme="minorHAnsi"/>
          <w:i/>
          <w:szCs w:val="22"/>
        </w:rPr>
        <w:t>Dunhill</w:t>
      </w:r>
      <w:r w:rsidR="009B1A15" w:rsidRPr="00955EB7">
        <w:rPr>
          <w:rFonts w:asciiTheme="minorHAnsi" w:hAnsiTheme="minorHAnsi" w:cstheme="minorHAnsi"/>
          <w:szCs w:val="22"/>
        </w:rPr>
        <w:t xml:space="preserve">, where Lady Hale confirmed that B’s knowledge of incapacity required in </w:t>
      </w:r>
      <w:r w:rsidR="009B1A15" w:rsidRPr="00955EB7">
        <w:rPr>
          <w:rFonts w:asciiTheme="minorHAnsi" w:hAnsiTheme="minorHAnsi" w:cstheme="minorHAnsi"/>
          <w:i/>
          <w:szCs w:val="22"/>
        </w:rPr>
        <w:t>Imperial Loan</w:t>
      </w:r>
      <w:r w:rsidR="009B1A15" w:rsidRPr="00955EB7">
        <w:rPr>
          <w:rFonts w:asciiTheme="minorHAnsi" w:hAnsiTheme="minorHAnsi" w:cstheme="minorHAnsi"/>
          <w:szCs w:val="22"/>
        </w:rPr>
        <w:t xml:space="preserve"> is not limited to actual knowledge and can include constructive knowledge if B </w:t>
      </w:r>
      <w:r w:rsidR="00CE1640">
        <w:rPr>
          <w:rFonts w:asciiTheme="minorHAnsi" w:hAnsiTheme="minorHAnsi" w:cstheme="minorHAnsi"/>
          <w:szCs w:val="22"/>
        </w:rPr>
        <w:t>‘</w:t>
      </w:r>
      <w:r w:rsidR="009B1A15" w:rsidRPr="00955EB7">
        <w:rPr>
          <w:rFonts w:asciiTheme="minorHAnsi" w:hAnsiTheme="minorHAnsi" w:cstheme="minorHAnsi"/>
          <w:szCs w:val="22"/>
        </w:rPr>
        <w:t>ought to have known</w:t>
      </w:r>
      <w:r w:rsidR="00CE1640">
        <w:rPr>
          <w:rFonts w:asciiTheme="minorHAnsi" w:hAnsiTheme="minorHAnsi" w:cstheme="minorHAnsi"/>
          <w:szCs w:val="22"/>
        </w:rPr>
        <w:t>’</w:t>
      </w:r>
      <w:r w:rsidR="009B1A15" w:rsidRPr="00955EB7">
        <w:rPr>
          <w:rFonts w:asciiTheme="minorHAnsi" w:hAnsiTheme="minorHAnsi" w:cstheme="minorHAnsi"/>
          <w:szCs w:val="22"/>
        </w:rPr>
        <w:t xml:space="preserve"> about A’s condition.</w:t>
      </w:r>
      <w:r w:rsidR="009B1A15" w:rsidRPr="00955EB7">
        <w:rPr>
          <w:rStyle w:val="FootnoteReference"/>
          <w:rFonts w:asciiTheme="minorHAnsi" w:hAnsiTheme="minorHAnsi" w:cstheme="minorHAnsi"/>
          <w:szCs w:val="22"/>
        </w:rPr>
        <w:footnoteReference w:id="52"/>
      </w:r>
      <w:r w:rsidR="009B1A15" w:rsidRPr="00955EB7">
        <w:rPr>
          <w:rFonts w:asciiTheme="minorHAnsi" w:hAnsiTheme="minorHAnsi" w:cstheme="minorHAnsi"/>
          <w:szCs w:val="22"/>
        </w:rPr>
        <w:t xml:space="preserve"> While Lady Hale’s comments were made obiter, subsequent cases </w:t>
      </w:r>
      <w:r w:rsidR="00105E5E" w:rsidRPr="00955EB7">
        <w:rPr>
          <w:rFonts w:asciiTheme="minorHAnsi" w:hAnsiTheme="minorHAnsi" w:cstheme="minorHAnsi"/>
          <w:szCs w:val="22"/>
        </w:rPr>
        <w:t>have adopted this reasoning</w:t>
      </w:r>
      <w:r w:rsidR="009B1A15" w:rsidRPr="00955EB7">
        <w:rPr>
          <w:rFonts w:asciiTheme="minorHAnsi" w:hAnsiTheme="minorHAnsi" w:cstheme="minorHAnsi"/>
          <w:szCs w:val="22"/>
        </w:rPr>
        <w:t>.</w:t>
      </w:r>
      <w:r w:rsidR="009B1A15" w:rsidRPr="00955EB7">
        <w:rPr>
          <w:rStyle w:val="FootnoteReference"/>
          <w:rFonts w:asciiTheme="minorHAnsi" w:hAnsiTheme="minorHAnsi" w:cstheme="minorHAnsi"/>
          <w:szCs w:val="22"/>
        </w:rPr>
        <w:footnoteReference w:id="53"/>
      </w:r>
      <w:r w:rsidR="00647F4D" w:rsidRPr="00955EB7">
        <w:rPr>
          <w:rFonts w:asciiTheme="minorHAnsi" w:hAnsiTheme="minorHAnsi" w:cstheme="minorHAnsi"/>
          <w:szCs w:val="22"/>
        </w:rPr>
        <w:t xml:space="preserve"> </w:t>
      </w:r>
    </w:p>
    <w:p w14:paraId="5E6095DF" w14:textId="77777777" w:rsidR="00BC5DD5" w:rsidRDefault="00BC5DD5" w:rsidP="00A06D14">
      <w:pPr>
        <w:spacing w:line="360" w:lineRule="auto"/>
        <w:rPr>
          <w:rFonts w:asciiTheme="minorHAnsi" w:hAnsiTheme="minorHAnsi" w:cstheme="minorHAnsi"/>
          <w:szCs w:val="22"/>
        </w:rPr>
      </w:pPr>
    </w:p>
    <w:p w14:paraId="45F3CB35" w14:textId="165D7325" w:rsidR="00647F4D" w:rsidRPr="00955EB7" w:rsidRDefault="00647F4D"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effectiveness of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in ensuring a balanced approach between A and B’s interests rests, to a great extent, on how the courts interpret the knowledge requirement in the second part of the test. An insistence on a strict interpretation of Lord Esher’s </w:t>
      </w:r>
      <w:r w:rsidR="00B67A7B" w:rsidRPr="00955EB7">
        <w:rPr>
          <w:rFonts w:asciiTheme="minorHAnsi" w:hAnsiTheme="minorHAnsi" w:cstheme="minorHAnsi"/>
          <w:szCs w:val="22"/>
        </w:rPr>
        <w:t>judgment</w:t>
      </w:r>
      <w:r w:rsidRPr="00955EB7">
        <w:rPr>
          <w:rFonts w:asciiTheme="minorHAnsi" w:hAnsiTheme="minorHAnsi" w:cstheme="minorHAnsi"/>
          <w:szCs w:val="22"/>
        </w:rPr>
        <w:t xml:space="preserve"> in </w:t>
      </w:r>
      <w:r w:rsidRPr="00955EB7">
        <w:rPr>
          <w:rFonts w:asciiTheme="minorHAnsi" w:hAnsiTheme="minorHAnsi" w:cstheme="minorHAnsi"/>
          <w:i/>
          <w:szCs w:val="22"/>
        </w:rPr>
        <w:t>Imperial Loan</w:t>
      </w:r>
      <w:r w:rsidRPr="00955EB7">
        <w:rPr>
          <w:rFonts w:asciiTheme="minorHAnsi" w:hAnsiTheme="minorHAnsi" w:cstheme="minorHAnsi"/>
          <w:szCs w:val="22"/>
        </w:rPr>
        <w:t xml:space="preserve"> (which required A to show that B </w:t>
      </w:r>
      <w:r w:rsidR="00CE1640">
        <w:rPr>
          <w:rFonts w:asciiTheme="minorHAnsi" w:hAnsiTheme="minorHAnsi" w:cstheme="minorHAnsi"/>
          <w:szCs w:val="22"/>
        </w:rPr>
        <w:t>‘</w:t>
      </w:r>
      <w:r w:rsidRPr="00955EB7">
        <w:rPr>
          <w:rFonts w:asciiTheme="minorHAnsi" w:hAnsiTheme="minorHAnsi" w:cstheme="minorHAnsi"/>
          <w:szCs w:val="22"/>
        </w:rPr>
        <w:t>knew him</w:t>
      </w:r>
      <w:r w:rsidR="00CE1640">
        <w:rPr>
          <w:rFonts w:asciiTheme="minorHAnsi" w:hAnsiTheme="minorHAnsi" w:cstheme="minorHAnsi"/>
          <w:szCs w:val="22"/>
        </w:rPr>
        <w:t>’</w:t>
      </w:r>
      <w:r w:rsidRPr="00955EB7">
        <w:rPr>
          <w:rFonts w:asciiTheme="minorHAnsi" w:hAnsiTheme="minorHAnsi" w:cstheme="minorHAnsi"/>
          <w:szCs w:val="22"/>
        </w:rPr>
        <w:t xml:space="preserve"> to lack the mental capacity to understand the transaction)</w:t>
      </w:r>
      <w:r w:rsidRPr="00955EB7">
        <w:rPr>
          <w:rStyle w:val="FootnoteReference"/>
          <w:rFonts w:asciiTheme="minorHAnsi" w:hAnsiTheme="minorHAnsi" w:cstheme="minorHAnsi"/>
          <w:szCs w:val="22"/>
        </w:rPr>
        <w:footnoteReference w:id="54"/>
      </w:r>
      <w:r w:rsidRPr="00955EB7">
        <w:rPr>
          <w:rFonts w:asciiTheme="minorHAnsi" w:hAnsiTheme="minorHAnsi" w:cstheme="minorHAnsi"/>
          <w:szCs w:val="22"/>
        </w:rPr>
        <w:t xml:space="preserve"> as being limited to actual knowledge, sets the bar too high for A. On the other hand, a wider interpretation of the knowledge requirement (as suggested in </w:t>
      </w:r>
      <w:r w:rsidRPr="00955EB7">
        <w:rPr>
          <w:rFonts w:asciiTheme="minorHAnsi" w:hAnsiTheme="minorHAnsi" w:cstheme="minorHAnsi"/>
          <w:i/>
          <w:szCs w:val="22"/>
        </w:rPr>
        <w:t>York Glass</w:t>
      </w:r>
      <w:r w:rsidRPr="00955EB7">
        <w:rPr>
          <w:rFonts w:asciiTheme="minorHAnsi" w:hAnsiTheme="minorHAnsi" w:cstheme="minorHAnsi"/>
          <w:szCs w:val="22"/>
        </w:rPr>
        <w:t xml:space="preserve"> and </w:t>
      </w:r>
      <w:r w:rsidRPr="00955EB7">
        <w:rPr>
          <w:rFonts w:asciiTheme="minorHAnsi" w:hAnsiTheme="minorHAnsi" w:cstheme="minorHAnsi"/>
          <w:i/>
          <w:szCs w:val="22"/>
        </w:rPr>
        <w:lastRenderedPageBreak/>
        <w:t>Dunhill</w:t>
      </w:r>
      <w:r w:rsidRPr="00955EB7">
        <w:rPr>
          <w:rFonts w:asciiTheme="minorHAnsi" w:hAnsiTheme="minorHAnsi" w:cstheme="minorHAnsi"/>
          <w:szCs w:val="22"/>
        </w:rPr>
        <w:t xml:space="preserve">) to include constructive knowledge, has the potential to redress the imbalance between A and B’s interests, as it extends the circumstances when A can rely on the mental incapacity defence. </w:t>
      </w:r>
    </w:p>
    <w:p w14:paraId="6D403E7A" w14:textId="77777777" w:rsidR="00BC5DD5" w:rsidRDefault="00BC5DD5" w:rsidP="00A06D14">
      <w:pPr>
        <w:spacing w:line="360" w:lineRule="auto"/>
        <w:rPr>
          <w:rFonts w:asciiTheme="minorHAnsi" w:hAnsiTheme="minorHAnsi" w:cstheme="minorHAnsi"/>
          <w:szCs w:val="22"/>
        </w:rPr>
      </w:pPr>
    </w:p>
    <w:p w14:paraId="53EAB173" w14:textId="3A626EC5" w:rsidR="00F666A6" w:rsidRPr="00955EB7" w:rsidRDefault="00F666A6" w:rsidP="00A06D14">
      <w:pPr>
        <w:spacing w:line="360" w:lineRule="auto"/>
        <w:rPr>
          <w:rFonts w:asciiTheme="minorHAnsi" w:hAnsiTheme="minorHAnsi" w:cstheme="minorHAnsi"/>
        </w:rPr>
      </w:pPr>
      <w:r w:rsidRPr="00955EB7">
        <w:rPr>
          <w:rFonts w:asciiTheme="minorHAnsi" w:hAnsiTheme="minorHAnsi" w:cstheme="minorHAnsi"/>
          <w:szCs w:val="22"/>
        </w:rPr>
        <w:t xml:space="preserve">The question whether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applies to agency contracts has led to conflicting answers.</w:t>
      </w:r>
      <w:r w:rsidRPr="00955EB7">
        <w:rPr>
          <w:rStyle w:val="FootnoteReference"/>
          <w:rFonts w:asciiTheme="minorHAnsi" w:hAnsiTheme="minorHAnsi" w:cstheme="minorHAnsi"/>
          <w:szCs w:val="22"/>
        </w:rPr>
        <w:footnoteReference w:id="55"/>
      </w:r>
      <w:r w:rsidRPr="00955EB7">
        <w:rPr>
          <w:rFonts w:asciiTheme="minorHAnsi" w:hAnsiTheme="minorHAnsi" w:cstheme="minorHAnsi"/>
          <w:szCs w:val="22"/>
        </w:rPr>
        <w:t xml:space="preserve"> The first editions of </w:t>
      </w:r>
      <w:r w:rsidRPr="00955EB7">
        <w:rPr>
          <w:rFonts w:asciiTheme="minorHAnsi" w:hAnsiTheme="minorHAnsi" w:cstheme="minorHAnsi"/>
          <w:i/>
        </w:rPr>
        <w:t xml:space="preserve">Bowstead and Reynolds on Agency </w:t>
      </w:r>
      <w:r w:rsidRPr="00955EB7">
        <w:rPr>
          <w:rFonts w:asciiTheme="minorHAnsi" w:hAnsiTheme="minorHAnsi" w:cstheme="minorHAnsi"/>
        </w:rPr>
        <w:t>(the first to the twelfth editions from 1896 to 1959) and the latest editions of this publication (from the twentieth edition of 2015 to present),</w:t>
      </w:r>
      <w:r w:rsidRPr="00955EB7">
        <w:rPr>
          <w:rStyle w:val="FootnoteReference"/>
          <w:rFonts w:asciiTheme="minorHAnsi" w:hAnsiTheme="minorHAnsi" w:cstheme="minorHAnsi"/>
        </w:rPr>
        <w:footnoteReference w:id="56"/>
      </w:r>
      <w:r w:rsidRPr="00955EB7">
        <w:rPr>
          <w:rFonts w:asciiTheme="minorHAnsi" w:hAnsiTheme="minorHAnsi" w:cstheme="minorHAnsi"/>
        </w:rPr>
        <w:t xml:space="preserve"> as well as Watts’ writing on this subject rightly suggest a positive answer.</w:t>
      </w:r>
      <w:r w:rsidR="00CE2912" w:rsidRPr="00955EB7">
        <w:rPr>
          <w:rStyle w:val="FootnoteReference"/>
          <w:rFonts w:asciiTheme="minorHAnsi" w:hAnsiTheme="minorHAnsi" w:cstheme="minorHAnsi"/>
        </w:rPr>
        <w:footnoteReference w:id="57"/>
      </w:r>
      <w:r w:rsidRPr="00955EB7">
        <w:rPr>
          <w:rFonts w:asciiTheme="minorHAnsi" w:hAnsiTheme="minorHAnsi" w:cstheme="minorHAnsi"/>
        </w:rPr>
        <w:t xml:space="preserve"> If a principal (A) who appears to have mental capacity appoint</w:t>
      </w:r>
      <w:r w:rsidR="008323EE" w:rsidRPr="00955EB7">
        <w:rPr>
          <w:rFonts w:asciiTheme="minorHAnsi" w:hAnsiTheme="minorHAnsi" w:cstheme="minorHAnsi"/>
        </w:rPr>
        <w:t>s</w:t>
      </w:r>
      <w:r w:rsidRPr="00955EB7">
        <w:rPr>
          <w:rFonts w:asciiTheme="minorHAnsi" w:hAnsiTheme="minorHAnsi" w:cstheme="minorHAnsi"/>
        </w:rPr>
        <w:t xml:space="preserve"> an agent (B) whilst A lacks the mental capacity to understand the nature of the transaction, that appointment should be valid but could be voidable if A could show both his mental incapacity at the time of the appointment and B’s </w:t>
      </w:r>
      <w:r w:rsidR="001163F5" w:rsidRPr="00955EB7">
        <w:rPr>
          <w:rFonts w:asciiTheme="minorHAnsi" w:hAnsiTheme="minorHAnsi" w:cstheme="minorHAnsi"/>
        </w:rPr>
        <w:t>(</w:t>
      </w:r>
      <w:r w:rsidRPr="00955EB7">
        <w:rPr>
          <w:rFonts w:asciiTheme="minorHAnsi" w:hAnsiTheme="minorHAnsi" w:cstheme="minorHAnsi"/>
        </w:rPr>
        <w:t>actual or constructive</w:t>
      </w:r>
      <w:r w:rsidR="001163F5" w:rsidRPr="00955EB7">
        <w:rPr>
          <w:rFonts w:asciiTheme="minorHAnsi" w:hAnsiTheme="minorHAnsi" w:cstheme="minorHAnsi"/>
        </w:rPr>
        <w:t>)</w:t>
      </w:r>
      <w:r w:rsidRPr="00955EB7">
        <w:rPr>
          <w:rFonts w:asciiTheme="minorHAnsi" w:hAnsiTheme="minorHAnsi" w:cstheme="minorHAnsi"/>
        </w:rPr>
        <w:t xml:space="preserve"> knowledge of </w:t>
      </w:r>
      <w:r w:rsidR="0066478E" w:rsidRPr="00955EB7">
        <w:rPr>
          <w:rFonts w:asciiTheme="minorHAnsi" w:hAnsiTheme="minorHAnsi" w:cstheme="minorHAnsi"/>
        </w:rPr>
        <w:t>this</w:t>
      </w:r>
      <w:r w:rsidRPr="00955EB7">
        <w:rPr>
          <w:rFonts w:asciiTheme="minorHAnsi" w:hAnsiTheme="minorHAnsi" w:cstheme="minorHAnsi"/>
        </w:rPr>
        <w:t xml:space="preserve"> </w:t>
      </w:r>
      <w:r w:rsidR="008323EE" w:rsidRPr="00955EB7">
        <w:rPr>
          <w:rFonts w:asciiTheme="minorHAnsi" w:hAnsiTheme="minorHAnsi" w:cstheme="minorHAnsi"/>
        </w:rPr>
        <w:t>condition</w:t>
      </w:r>
      <w:r w:rsidRPr="00955EB7">
        <w:rPr>
          <w:rFonts w:asciiTheme="minorHAnsi" w:hAnsiTheme="minorHAnsi" w:cstheme="minorHAnsi"/>
        </w:rPr>
        <w:t>.</w:t>
      </w:r>
      <w:r w:rsidRPr="00955EB7">
        <w:rPr>
          <w:rStyle w:val="FootnoteReference"/>
          <w:rFonts w:asciiTheme="minorHAnsi" w:hAnsiTheme="minorHAnsi" w:cstheme="minorHAnsi"/>
        </w:rPr>
        <w:footnoteReference w:id="58"/>
      </w:r>
      <w:r w:rsidRPr="00955EB7">
        <w:rPr>
          <w:rFonts w:asciiTheme="minorHAnsi" w:hAnsiTheme="minorHAnsi" w:cstheme="minorHAnsi"/>
        </w:rPr>
        <w:t xml:space="preserve"> Consequently, A could confer B actual authority to contract on his behalf with another party (C) and the contract between </w:t>
      </w:r>
      <w:r w:rsidR="00812E74" w:rsidRPr="00955EB7">
        <w:rPr>
          <w:rFonts w:asciiTheme="minorHAnsi" w:hAnsiTheme="minorHAnsi" w:cstheme="minorHAnsi"/>
        </w:rPr>
        <w:t>A and C would be valid if A could have entered into that contract in person and C had no knowledge of A’s mental incapacity.</w:t>
      </w:r>
      <w:r w:rsidR="00812E74" w:rsidRPr="00955EB7">
        <w:rPr>
          <w:rStyle w:val="FootnoteReference"/>
          <w:rFonts w:asciiTheme="minorHAnsi" w:hAnsiTheme="minorHAnsi" w:cstheme="minorHAnsi"/>
        </w:rPr>
        <w:footnoteReference w:id="59"/>
      </w:r>
      <w:r w:rsidR="00812E74" w:rsidRPr="00955EB7">
        <w:rPr>
          <w:rFonts w:asciiTheme="minorHAnsi" w:hAnsiTheme="minorHAnsi" w:cstheme="minorHAnsi"/>
        </w:rPr>
        <w:t xml:space="preserve"> Furthermore, A’s representations to C about B’s authority to act on his behalf could confer B apparent authority, subject to C’s knowledge about A’s mental incapacity.</w:t>
      </w:r>
      <w:r w:rsidR="00812E74" w:rsidRPr="00955EB7">
        <w:rPr>
          <w:rStyle w:val="FootnoteReference"/>
          <w:rFonts w:asciiTheme="minorHAnsi" w:hAnsiTheme="minorHAnsi" w:cstheme="minorHAnsi"/>
        </w:rPr>
        <w:footnoteReference w:id="60"/>
      </w:r>
    </w:p>
    <w:p w14:paraId="0CD2D0FE" w14:textId="77777777" w:rsidR="00BC5DD5" w:rsidRDefault="00BC5DD5" w:rsidP="00A06D14">
      <w:pPr>
        <w:spacing w:line="360" w:lineRule="auto"/>
        <w:rPr>
          <w:rFonts w:asciiTheme="minorHAnsi" w:hAnsiTheme="minorHAnsi" w:cstheme="minorHAnsi"/>
          <w:szCs w:val="22"/>
        </w:rPr>
      </w:pPr>
    </w:p>
    <w:p w14:paraId="3D81368B" w14:textId="54A9B007" w:rsidR="00812E74" w:rsidRPr="00955EB7" w:rsidRDefault="00812E74"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should also apply in cases concerning A’s supervening men</w:t>
      </w:r>
      <w:r w:rsidR="001163F5" w:rsidRPr="00955EB7">
        <w:rPr>
          <w:rFonts w:asciiTheme="minorHAnsi" w:hAnsiTheme="minorHAnsi" w:cstheme="minorHAnsi"/>
          <w:szCs w:val="22"/>
        </w:rPr>
        <w:t>tal incapacity.</w:t>
      </w:r>
      <w:r w:rsidR="001163F5" w:rsidRPr="00955EB7">
        <w:rPr>
          <w:rStyle w:val="FootnoteReference"/>
          <w:rFonts w:asciiTheme="minorHAnsi" w:hAnsiTheme="minorHAnsi" w:cstheme="minorHAnsi"/>
          <w:szCs w:val="22"/>
        </w:rPr>
        <w:footnoteReference w:id="61"/>
      </w:r>
      <w:r w:rsidR="001163F5" w:rsidRPr="00955EB7">
        <w:rPr>
          <w:rFonts w:asciiTheme="minorHAnsi" w:hAnsiTheme="minorHAnsi" w:cstheme="minorHAnsi"/>
          <w:szCs w:val="22"/>
        </w:rPr>
        <w:t xml:space="preserve"> If A appoints B as agent whilst A has full mental capacity, but A subsequently loses his mental capacity, the agency contract between A and B should remain valid and B should continue to have actual authority to act on A’s behalf, as long as B has no actual or constructive knowledge of A’s mental incapacity</w:t>
      </w:r>
      <w:r w:rsidR="008323EE" w:rsidRPr="00955EB7">
        <w:rPr>
          <w:rFonts w:asciiTheme="minorHAnsi" w:hAnsiTheme="minorHAnsi" w:cstheme="minorHAnsi"/>
          <w:szCs w:val="22"/>
        </w:rPr>
        <w:t>,</w:t>
      </w:r>
      <w:r w:rsidR="001163F5" w:rsidRPr="00955EB7">
        <w:rPr>
          <w:rFonts w:asciiTheme="minorHAnsi" w:hAnsiTheme="minorHAnsi" w:cstheme="minorHAnsi"/>
          <w:szCs w:val="22"/>
        </w:rPr>
        <w:t xml:space="preserve"> and A and B did not agree expressly that A’s mental incapacity would terminate B’s actual authority.</w:t>
      </w:r>
      <w:r w:rsidR="001163F5" w:rsidRPr="00955EB7">
        <w:rPr>
          <w:rStyle w:val="FootnoteReference"/>
          <w:rFonts w:asciiTheme="minorHAnsi" w:hAnsiTheme="minorHAnsi" w:cstheme="minorHAnsi"/>
          <w:szCs w:val="22"/>
        </w:rPr>
        <w:footnoteReference w:id="62"/>
      </w:r>
      <w:r w:rsidR="001163F5" w:rsidRPr="00955EB7">
        <w:rPr>
          <w:rFonts w:asciiTheme="minorHAnsi" w:hAnsiTheme="minorHAnsi" w:cstheme="minorHAnsi"/>
          <w:szCs w:val="22"/>
        </w:rPr>
        <w:t xml:space="preserve"> Furthermore, where A made representations to C about B’s authority, which conferred B apparent authority to act on A’s behalf,</w:t>
      </w:r>
      <w:r w:rsidR="001163F5" w:rsidRPr="00955EB7">
        <w:rPr>
          <w:rStyle w:val="FootnoteReference"/>
          <w:rFonts w:asciiTheme="minorHAnsi" w:hAnsiTheme="minorHAnsi" w:cstheme="minorHAnsi"/>
          <w:szCs w:val="22"/>
        </w:rPr>
        <w:footnoteReference w:id="63"/>
      </w:r>
      <w:r w:rsidR="001163F5" w:rsidRPr="00955EB7">
        <w:rPr>
          <w:rFonts w:asciiTheme="minorHAnsi" w:hAnsiTheme="minorHAnsi" w:cstheme="minorHAnsi"/>
          <w:szCs w:val="22"/>
        </w:rPr>
        <w:t xml:space="preserve"> A’s subsequent mental incapacity should not terminate B’s apparent authority without C’s knowledge of A’s mental incapacity.</w:t>
      </w:r>
      <w:r w:rsidR="001163F5" w:rsidRPr="00955EB7">
        <w:rPr>
          <w:rStyle w:val="FootnoteReference"/>
          <w:rFonts w:asciiTheme="minorHAnsi" w:hAnsiTheme="minorHAnsi" w:cstheme="minorHAnsi"/>
          <w:szCs w:val="22"/>
        </w:rPr>
        <w:footnoteReference w:id="64"/>
      </w:r>
      <w:r w:rsidR="001163F5" w:rsidRPr="00955EB7">
        <w:rPr>
          <w:rFonts w:asciiTheme="minorHAnsi" w:hAnsiTheme="minorHAnsi" w:cstheme="minorHAnsi"/>
          <w:szCs w:val="22"/>
        </w:rPr>
        <w:t xml:space="preserve"> The general rule in </w:t>
      </w:r>
      <w:r w:rsidR="001163F5" w:rsidRPr="00955EB7">
        <w:rPr>
          <w:rFonts w:asciiTheme="minorHAnsi" w:hAnsiTheme="minorHAnsi" w:cstheme="minorHAnsi"/>
          <w:i/>
          <w:szCs w:val="22"/>
        </w:rPr>
        <w:t>Imperial Loan</w:t>
      </w:r>
      <w:r w:rsidR="001163F5" w:rsidRPr="00955EB7">
        <w:rPr>
          <w:rFonts w:asciiTheme="minorHAnsi" w:hAnsiTheme="minorHAnsi" w:cstheme="minorHAnsi"/>
          <w:szCs w:val="22"/>
        </w:rPr>
        <w:t xml:space="preserve"> should also apply to the relation between A and C, and the contract between these parties should remain valid, even after A’s subsequent loss of mental capacity (if A would have been bound had he contracted directly with C), unless C had knowledge of A’s mental incapacity.</w:t>
      </w:r>
      <w:r w:rsidR="001163F5" w:rsidRPr="00955EB7">
        <w:rPr>
          <w:rStyle w:val="FootnoteReference"/>
          <w:rFonts w:asciiTheme="minorHAnsi" w:hAnsiTheme="minorHAnsi" w:cstheme="minorHAnsi"/>
          <w:szCs w:val="22"/>
        </w:rPr>
        <w:footnoteReference w:id="65"/>
      </w:r>
    </w:p>
    <w:p w14:paraId="68F571B0" w14:textId="77777777" w:rsidR="00BC5DD5" w:rsidRDefault="00BC5DD5" w:rsidP="00A06D14">
      <w:pPr>
        <w:spacing w:line="360" w:lineRule="auto"/>
        <w:rPr>
          <w:rFonts w:asciiTheme="minorHAnsi" w:hAnsiTheme="minorHAnsi" w:cstheme="minorHAnsi"/>
          <w:szCs w:val="22"/>
        </w:rPr>
      </w:pPr>
    </w:p>
    <w:p w14:paraId="17EA5C04" w14:textId="0EA84897" w:rsidR="00D50146" w:rsidRPr="00955EB7" w:rsidRDefault="00D50146" w:rsidP="00A06D14">
      <w:pPr>
        <w:spacing w:line="360" w:lineRule="auto"/>
        <w:rPr>
          <w:rFonts w:asciiTheme="minorHAnsi" w:hAnsiTheme="minorHAnsi" w:cstheme="minorHAnsi"/>
          <w:szCs w:val="22"/>
        </w:rPr>
      </w:pPr>
      <w:r w:rsidRPr="00955EB7">
        <w:rPr>
          <w:rFonts w:asciiTheme="minorHAnsi" w:hAnsiTheme="minorHAnsi" w:cstheme="minorHAnsi"/>
          <w:szCs w:val="22"/>
        </w:rPr>
        <w:t>When assessing the impact of A’s mental incapacity on the validity of a contract, that assessment should rely on the same principles</w:t>
      </w:r>
      <w:r w:rsidR="008323EE" w:rsidRPr="00955EB7">
        <w:rPr>
          <w:rFonts w:asciiTheme="minorHAnsi" w:hAnsiTheme="minorHAnsi" w:cstheme="minorHAnsi"/>
          <w:szCs w:val="22"/>
        </w:rPr>
        <w:t>,</w:t>
      </w:r>
      <w:r w:rsidRPr="00955EB7">
        <w:rPr>
          <w:rFonts w:asciiTheme="minorHAnsi" w:hAnsiTheme="minorHAnsi" w:cstheme="minorHAnsi"/>
          <w:szCs w:val="22"/>
        </w:rPr>
        <w:t xml:space="preserve"> whether we are looking at a direct contract between two parties, or whether the transaction is an agency contract between A and B, or a contract between A and C negotiated by B (as agent) on A’s behalf.</w:t>
      </w:r>
      <w:r w:rsidRPr="00955EB7">
        <w:rPr>
          <w:rStyle w:val="FootnoteReference"/>
          <w:rFonts w:asciiTheme="minorHAnsi" w:hAnsiTheme="minorHAnsi" w:cstheme="minorHAnsi"/>
          <w:szCs w:val="22"/>
        </w:rPr>
        <w:footnoteReference w:id="66"/>
      </w:r>
      <w:r w:rsidRPr="00955EB7">
        <w:rPr>
          <w:rFonts w:asciiTheme="minorHAnsi" w:hAnsiTheme="minorHAnsi" w:cstheme="minorHAnsi"/>
          <w:szCs w:val="22"/>
        </w:rPr>
        <w:t xml:space="preserve"> </w:t>
      </w:r>
      <w:r w:rsidRPr="00955EB7">
        <w:rPr>
          <w:rFonts w:asciiTheme="minorHAnsi" w:hAnsiTheme="minorHAnsi" w:cstheme="minorHAnsi"/>
          <w:szCs w:val="22"/>
        </w:rPr>
        <w:lastRenderedPageBreak/>
        <w:t xml:space="preserve">There should be no distinction between the approach adopted in direct contracts and contracts adopted in an agency context, particularly if we consider that the law of agency aims to ensure that A’s decision to appoint B as agent, to act on his behalf in a contract with C, should not place A in a different position than A </w:t>
      </w:r>
      <w:r w:rsidR="00271341" w:rsidRPr="00955EB7">
        <w:rPr>
          <w:rFonts w:asciiTheme="minorHAnsi" w:hAnsiTheme="minorHAnsi" w:cstheme="minorHAnsi"/>
          <w:szCs w:val="22"/>
        </w:rPr>
        <w:t>would</w:t>
      </w:r>
      <w:r w:rsidRPr="00955EB7">
        <w:rPr>
          <w:rFonts w:asciiTheme="minorHAnsi" w:hAnsiTheme="minorHAnsi" w:cstheme="minorHAnsi"/>
          <w:szCs w:val="22"/>
        </w:rPr>
        <w:t xml:space="preserve"> have been in, had he contracted with C directly.</w:t>
      </w:r>
      <w:r w:rsidRPr="00955EB7">
        <w:rPr>
          <w:rStyle w:val="FootnoteReference"/>
          <w:rFonts w:asciiTheme="minorHAnsi" w:hAnsiTheme="minorHAnsi" w:cstheme="minorHAnsi"/>
          <w:szCs w:val="22"/>
        </w:rPr>
        <w:footnoteReference w:id="67"/>
      </w:r>
      <w:r w:rsidRPr="00955EB7">
        <w:rPr>
          <w:rFonts w:asciiTheme="minorHAnsi" w:hAnsiTheme="minorHAnsi" w:cstheme="minorHAnsi"/>
          <w:szCs w:val="22"/>
        </w:rPr>
        <w:t xml:space="preserve"> As Pollock noted, </w:t>
      </w:r>
      <w:r w:rsidR="00CE1640">
        <w:rPr>
          <w:rFonts w:asciiTheme="minorHAnsi" w:hAnsiTheme="minorHAnsi" w:cstheme="minorHAnsi"/>
          <w:szCs w:val="22"/>
        </w:rPr>
        <w:t>‘</w:t>
      </w:r>
      <w:r w:rsidRPr="00955EB7">
        <w:rPr>
          <w:rFonts w:asciiTheme="minorHAnsi" w:hAnsiTheme="minorHAnsi" w:cstheme="minorHAnsi"/>
          <w:szCs w:val="22"/>
        </w:rPr>
        <w:t>by agency, the individual’s legal personality is multiplied in space</w:t>
      </w:r>
      <w:r w:rsidR="00CE1640">
        <w:rPr>
          <w:rFonts w:asciiTheme="minorHAnsi" w:hAnsiTheme="minorHAnsi" w:cstheme="minorHAnsi"/>
          <w:szCs w:val="22"/>
        </w:rPr>
        <w:t>’</w:t>
      </w:r>
      <w:r w:rsidRPr="00955EB7">
        <w:rPr>
          <w:rFonts w:asciiTheme="minorHAnsi" w:hAnsiTheme="minorHAnsi" w:cstheme="minorHAnsi"/>
          <w:szCs w:val="22"/>
        </w:rPr>
        <w:t>.</w:t>
      </w:r>
      <w:r w:rsidRPr="00955EB7">
        <w:rPr>
          <w:rStyle w:val="FootnoteReference"/>
          <w:rFonts w:asciiTheme="minorHAnsi" w:hAnsiTheme="minorHAnsi" w:cstheme="minorHAnsi"/>
          <w:szCs w:val="22"/>
        </w:rPr>
        <w:footnoteReference w:id="68"/>
      </w:r>
      <w:r w:rsidR="0053243F" w:rsidRPr="00955EB7">
        <w:rPr>
          <w:rFonts w:asciiTheme="minorHAnsi" w:hAnsiTheme="minorHAnsi" w:cstheme="minorHAnsi"/>
          <w:szCs w:val="22"/>
        </w:rPr>
        <w:t xml:space="preserve"> Adopting the </w:t>
      </w:r>
      <w:r w:rsidR="0053243F" w:rsidRPr="00955EB7">
        <w:rPr>
          <w:rFonts w:asciiTheme="minorHAnsi" w:hAnsiTheme="minorHAnsi" w:cstheme="minorHAnsi"/>
          <w:i/>
          <w:szCs w:val="22"/>
        </w:rPr>
        <w:t>Imperial Loan</w:t>
      </w:r>
      <w:r w:rsidR="0053243F" w:rsidRPr="00955EB7">
        <w:rPr>
          <w:rFonts w:asciiTheme="minorHAnsi" w:hAnsiTheme="minorHAnsi" w:cstheme="minorHAnsi"/>
          <w:szCs w:val="22"/>
        </w:rPr>
        <w:t xml:space="preserve"> rule in an agency context has the advantage of clarity, as it moves away from </w:t>
      </w:r>
      <w:r w:rsidR="002D5D32" w:rsidRPr="00955EB7">
        <w:rPr>
          <w:rFonts w:asciiTheme="minorHAnsi" w:hAnsiTheme="minorHAnsi" w:cstheme="minorHAnsi"/>
          <w:szCs w:val="22"/>
        </w:rPr>
        <w:t xml:space="preserve">any ambiguities that may be associated with an exception from the general rule. However, there is also a risk that adopting this approach comes at a cost, as the application of the </w:t>
      </w:r>
      <w:r w:rsidR="002D5D32" w:rsidRPr="00955EB7">
        <w:rPr>
          <w:rFonts w:asciiTheme="minorHAnsi" w:hAnsiTheme="minorHAnsi" w:cstheme="minorHAnsi"/>
          <w:i/>
          <w:szCs w:val="22"/>
        </w:rPr>
        <w:t>Imperial Loan</w:t>
      </w:r>
      <w:r w:rsidR="002D5D32" w:rsidRPr="00955EB7">
        <w:rPr>
          <w:rFonts w:asciiTheme="minorHAnsi" w:hAnsiTheme="minorHAnsi" w:cstheme="minorHAnsi"/>
          <w:szCs w:val="22"/>
        </w:rPr>
        <w:t xml:space="preserve"> rule in an agency context also brings with it the challenges associated with this rule highlighted earlier, including the insufficient protection conferred to A’s interest if the courts were to insist on a strict interpretation of the knowledge requirement. It is, therefore, crucial that knowledge is not limited to actual knowledge and includes constructive knowledge which attaches to the other party (B or C) if either A’s mental incapacity ought to have been apparent to the other party, or the circumstances were such that the other party ought to have known about A’s mental incapacity.</w:t>
      </w:r>
    </w:p>
    <w:p w14:paraId="3CBA3023" w14:textId="77777777" w:rsidR="00BC5DD5" w:rsidRDefault="00BC5DD5" w:rsidP="00A06D14">
      <w:pPr>
        <w:spacing w:line="360" w:lineRule="auto"/>
        <w:rPr>
          <w:rFonts w:asciiTheme="minorHAnsi" w:hAnsiTheme="minorHAnsi" w:cstheme="minorHAnsi"/>
          <w:szCs w:val="22"/>
        </w:rPr>
      </w:pPr>
    </w:p>
    <w:p w14:paraId="2EFCD3A2" w14:textId="22544F81" w:rsidR="007D6925" w:rsidRPr="00955EB7" w:rsidRDefault="002D5D32" w:rsidP="00A06D14">
      <w:pPr>
        <w:spacing w:line="360" w:lineRule="auto"/>
        <w:rPr>
          <w:rFonts w:asciiTheme="minorHAnsi" w:hAnsiTheme="minorHAnsi" w:cstheme="minorHAnsi"/>
          <w:szCs w:val="22"/>
        </w:rPr>
      </w:pPr>
      <w:r w:rsidRPr="00955EB7">
        <w:rPr>
          <w:rFonts w:asciiTheme="minorHAnsi" w:hAnsiTheme="minorHAnsi" w:cstheme="minorHAnsi"/>
          <w:szCs w:val="22"/>
        </w:rPr>
        <w:t>The agency contract, however, presents an additional set of challenges, particularly when we look at the relation between B and C.</w:t>
      </w:r>
      <w:r w:rsidRPr="00955EB7">
        <w:rPr>
          <w:rStyle w:val="FootnoteReference"/>
          <w:rFonts w:asciiTheme="minorHAnsi" w:hAnsiTheme="minorHAnsi" w:cstheme="minorHAnsi"/>
          <w:szCs w:val="22"/>
        </w:rPr>
        <w:footnoteReference w:id="69"/>
      </w:r>
      <w:r w:rsidR="009C41D2" w:rsidRPr="00955EB7">
        <w:rPr>
          <w:rFonts w:asciiTheme="minorHAnsi" w:hAnsiTheme="minorHAnsi" w:cstheme="minorHAnsi"/>
          <w:szCs w:val="22"/>
        </w:rPr>
        <w:t xml:space="preserve"> In this three-party setting, the way in which we assess the validity of the contract between A and </w:t>
      </w:r>
      <w:r w:rsidR="00271341" w:rsidRPr="00955EB7">
        <w:rPr>
          <w:rFonts w:asciiTheme="minorHAnsi" w:hAnsiTheme="minorHAnsi" w:cstheme="minorHAnsi"/>
          <w:szCs w:val="22"/>
        </w:rPr>
        <w:t>B</w:t>
      </w:r>
      <w:r w:rsidR="009C41D2" w:rsidRPr="00955EB7">
        <w:rPr>
          <w:rFonts w:asciiTheme="minorHAnsi" w:hAnsiTheme="minorHAnsi" w:cstheme="minorHAnsi"/>
          <w:szCs w:val="22"/>
        </w:rPr>
        <w:t xml:space="preserve"> has consequences </w:t>
      </w:r>
      <w:r w:rsidR="00271341" w:rsidRPr="00955EB7">
        <w:rPr>
          <w:rFonts w:asciiTheme="minorHAnsi" w:hAnsiTheme="minorHAnsi" w:cstheme="minorHAnsi"/>
          <w:szCs w:val="22"/>
        </w:rPr>
        <w:t>f</w:t>
      </w:r>
      <w:r w:rsidR="009C41D2" w:rsidRPr="00955EB7">
        <w:rPr>
          <w:rFonts w:asciiTheme="minorHAnsi" w:hAnsiTheme="minorHAnsi" w:cstheme="minorHAnsi"/>
          <w:szCs w:val="22"/>
        </w:rPr>
        <w:t>or the contractual relation (and any liability that may arise under these contracts), involving B and C, and A and C respectively. If the agency contract between A and B remains valid even after A’s subsequent mental incapacity</w:t>
      </w:r>
      <w:r w:rsidR="00710704" w:rsidRPr="00955EB7">
        <w:rPr>
          <w:rFonts w:asciiTheme="minorHAnsi" w:hAnsiTheme="minorHAnsi" w:cstheme="minorHAnsi"/>
          <w:szCs w:val="22"/>
        </w:rPr>
        <w:t xml:space="preserve"> (because B had no actual or constructive knowledge of A’s mental incapacity), B continues to have actual authority to bind A, which could lead to a valid contract between A a</w:t>
      </w:r>
      <w:r w:rsidR="008A3EE1" w:rsidRPr="00955EB7">
        <w:rPr>
          <w:rFonts w:asciiTheme="minorHAnsi" w:hAnsiTheme="minorHAnsi" w:cstheme="minorHAnsi"/>
          <w:szCs w:val="22"/>
        </w:rPr>
        <w:t>n</w:t>
      </w:r>
      <w:r w:rsidR="00710704" w:rsidRPr="00955EB7">
        <w:rPr>
          <w:rFonts w:asciiTheme="minorHAnsi" w:hAnsiTheme="minorHAnsi" w:cstheme="minorHAnsi"/>
          <w:szCs w:val="22"/>
        </w:rPr>
        <w:t xml:space="preserve">d C. Furthermore, by continuing to have authority to bind A, B is not liable for breach of warranty of authority under </w:t>
      </w:r>
      <w:r w:rsidR="00105E5E" w:rsidRPr="00955EB7">
        <w:rPr>
          <w:rFonts w:asciiTheme="minorHAnsi" w:hAnsiTheme="minorHAnsi" w:cstheme="minorHAnsi"/>
          <w:szCs w:val="22"/>
        </w:rPr>
        <w:t>the</w:t>
      </w:r>
      <w:r w:rsidR="00710704" w:rsidRPr="00955EB7">
        <w:rPr>
          <w:rFonts w:asciiTheme="minorHAnsi" w:hAnsiTheme="minorHAnsi" w:cstheme="minorHAnsi"/>
          <w:szCs w:val="22"/>
        </w:rPr>
        <w:t xml:space="preserve"> implied collateral contract with C.</w:t>
      </w:r>
      <w:r w:rsidR="00710704" w:rsidRPr="00955EB7">
        <w:rPr>
          <w:rStyle w:val="FootnoteReference"/>
          <w:rFonts w:asciiTheme="minorHAnsi" w:hAnsiTheme="minorHAnsi" w:cstheme="minorHAnsi"/>
          <w:szCs w:val="22"/>
        </w:rPr>
        <w:footnoteReference w:id="70"/>
      </w:r>
      <w:r w:rsidR="00710704" w:rsidRPr="00955EB7">
        <w:rPr>
          <w:rFonts w:asciiTheme="minorHAnsi" w:hAnsiTheme="minorHAnsi" w:cstheme="minorHAnsi"/>
          <w:szCs w:val="22"/>
        </w:rPr>
        <w:t xml:space="preserve"> If the agency contract between A and B becomes voidable following B’s actual or constructive knowledge of A’s mental incapacity, B may lose the actual authority to act on A’s behalf, although he may continue to have apparent authority if A made representations to C about B’s authority, which were relied on by C and C had no knowledge of A’s mental incapacity.</w:t>
      </w:r>
      <w:r w:rsidR="00710704" w:rsidRPr="00955EB7">
        <w:rPr>
          <w:rStyle w:val="FootnoteReference"/>
          <w:rFonts w:asciiTheme="minorHAnsi" w:hAnsiTheme="minorHAnsi" w:cstheme="minorHAnsi"/>
          <w:szCs w:val="22"/>
        </w:rPr>
        <w:footnoteReference w:id="71"/>
      </w:r>
      <w:r w:rsidR="007D6925" w:rsidRPr="00955EB7">
        <w:rPr>
          <w:rFonts w:asciiTheme="minorHAnsi" w:hAnsiTheme="minorHAnsi" w:cstheme="minorHAnsi"/>
          <w:szCs w:val="22"/>
        </w:rPr>
        <w:t xml:space="preserve"> If B acts without authority from A, B may be liable for breach of warranty of authority under a collateral contract between B and C, where B impliedly warranted his authority to act on A’s behalf,</w:t>
      </w:r>
      <w:r w:rsidR="007D6925" w:rsidRPr="00955EB7">
        <w:rPr>
          <w:rStyle w:val="FootnoteReference"/>
          <w:rFonts w:asciiTheme="minorHAnsi" w:hAnsiTheme="minorHAnsi" w:cstheme="minorHAnsi"/>
          <w:szCs w:val="22"/>
        </w:rPr>
        <w:footnoteReference w:id="72"/>
      </w:r>
      <w:r w:rsidR="007D6925" w:rsidRPr="00955EB7">
        <w:rPr>
          <w:rFonts w:asciiTheme="minorHAnsi" w:hAnsiTheme="minorHAnsi" w:cstheme="minorHAnsi"/>
          <w:szCs w:val="22"/>
        </w:rPr>
        <w:t xml:space="preserve"> unless C had knowledge that B acted without authority.</w:t>
      </w:r>
      <w:r w:rsidR="007D6925" w:rsidRPr="00955EB7">
        <w:rPr>
          <w:rStyle w:val="FootnoteReference"/>
          <w:rFonts w:asciiTheme="minorHAnsi" w:hAnsiTheme="minorHAnsi" w:cstheme="minorHAnsi"/>
          <w:szCs w:val="22"/>
        </w:rPr>
        <w:footnoteReference w:id="73"/>
      </w:r>
      <w:r w:rsidR="007D6925" w:rsidRPr="00955EB7">
        <w:rPr>
          <w:rFonts w:asciiTheme="minorHAnsi" w:hAnsiTheme="minorHAnsi" w:cstheme="minorHAnsi"/>
          <w:szCs w:val="22"/>
        </w:rPr>
        <w:t xml:space="preserve"> However, the trigger for this liability depends on a range of factors. If </w:t>
      </w:r>
      <w:r w:rsidR="007D6925" w:rsidRPr="00955EB7">
        <w:rPr>
          <w:rFonts w:asciiTheme="minorHAnsi" w:hAnsiTheme="minorHAnsi" w:cstheme="minorHAnsi"/>
          <w:i/>
          <w:szCs w:val="22"/>
        </w:rPr>
        <w:t>Imperial Loan</w:t>
      </w:r>
      <w:r w:rsidR="007D6925" w:rsidRPr="00955EB7">
        <w:rPr>
          <w:rFonts w:asciiTheme="minorHAnsi" w:hAnsiTheme="minorHAnsi" w:cstheme="minorHAnsi"/>
          <w:szCs w:val="22"/>
        </w:rPr>
        <w:t xml:space="preserve"> applies to agency relations, the contract between A and B (the agency contract) becomes voidable upon B’s knowledge of A’s mental incapacity. In such circumstances, B would likely lose </w:t>
      </w:r>
      <w:r w:rsidR="009B4300">
        <w:rPr>
          <w:rFonts w:asciiTheme="minorHAnsi" w:hAnsiTheme="minorHAnsi" w:cstheme="minorHAnsi"/>
          <w:szCs w:val="22"/>
        </w:rPr>
        <w:t>h</w:t>
      </w:r>
      <w:r w:rsidR="007D6925" w:rsidRPr="00955EB7">
        <w:rPr>
          <w:rFonts w:asciiTheme="minorHAnsi" w:hAnsiTheme="minorHAnsi" w:cstheme="minorHAnsi"/>
          <w:szCs w:val="22"/>
        </w:rPr>
        <w:t>is actual authority, although there is some suggestion that if B is acting under an agency contract (</w:t>
      </w:r>
      <w:r w:rsidR="00E353CE" w:rsidRPr="00955EB7">
        <w:rPr>
          <w:rFonts w:asciiTheme="minorHAnsi" w:hAnsiTheme="minorHAnsi" w:cstheme="minorHAnsi"/>
          <w:szCs w:val="22"/>
        </w:rPr>
        <w:t>e.g.</w:t>
      </w:r>
      <w:r w:rsidR="007D6925" w:rsidRPr="00955EB7">
        <w:rPr>
          <w:rFonts w:asciiTheme="minorHAnsi" w:hAnsiTheme="minorHAnsi" w:cstheme="minorHAnsi"/>
          <w:szCs w:val="22"/>
        </w:rPr>
        <w:t xml:space="preserve"> as a solicitor acting on behalf of a client), that may enable B to retain residual authority to take steps to ensure that B’s </w:t>
      </w:r>
      <w:r w:rsidR="00955EB7" w:rsidRPr="00955EB7">
        <w:rPr>
          <w:rFonts w:asciiTheme="minorHAnsi" w:hAnsiTheme="minorHAnsi" w:cstheme="minorHAnsi"/>
          <w:szCs w:val="22"/>
        </w:rPr>
        <w:t>wishes</w:t>
      </w:r>
      <w:r w:rsidR="007D6925" w:rsidRPr="00955EB7">
        <w:rPr>
          <w:rFonts w:asciiTheme="minorHAnsi" w:hAnsiTheme="minorHAnsi" w:cstheme="minorHAnsi"/>
          <w:szCs w:val="22"/>
        </w:rPr>
        <w:t xml:space="preserve"> are </w:t>
      </w:r>
      <w:r w:rsidR="00CE1640">
        <w:rPr>
          <w:rFonts w:asciiTheme="minorHAnsi" w:hAnsiTheme="minorHAnsi" w:cstheme="minorHAnsi"/>
          <w:szCs w:val="22"/>
        </w:rPr>
        <w:t>‘</w:t>
      </w:r>
      <w:r w:rsidR="007D6925" w:rsidRPr="00955EB7">
        <w:rPr>
          <w:rFonts w:asciiTheme="minorHAnsi" w:hAnsiTheme="minorHAnsi" w:cstheme="minorHAnsi"/>
          <w:szCs w:val="22"/>
        </w:rPr>
        <w:t>properly adhered to</w:t>
      </w:r>
      <w:r w:rsidR="00CE1640">
        <w:rPr>
          <w:rFonts w:asciiTheme="minorHAnsi" w:hAnsiTheme="minorHAnsi" w:cstheme="minorHAnsi"/>
          <w:szCs w:val="22"/>
        </w:rPr>
        <w:t>’</w:t>
      </w:r>
      <w:r w:rsidR="007D6925" w:rsidRPr="00955EB7">
        <w:rPr>
          <w:rFonts w:asciiTheme="minorHAnsi" w:hAnsiTheme="minorHAnsi" w:cstheme="minorHAnsi"/>
          <w:szCs w:val="22"/>
        </w:rPr>
        <w:t>.</w:t>
      </w:r>
      <w:r w:rsidR="007D6925" w:rsidRPr="00955EB7">
        <w:rPr>
          <w:rStyle w:val="FootnoteReference"/>
          <w:rFonts w:asciiTheme="minorHAnsi" w:hAnsiTheme="minorHAnsi" w:cstheme="minorHAnsi"/>
          <w:szCs w:val="22"/>
        </w:rPr>
        <w:footnoteReference w:id="74"/>
      </w:r>
      <w:r w:rsidR="00510012" w:rsidRPr="00955EB7">
        <w:rPr>
          <w:rFonts w:asciiTheme="minorHAnsi" w:hAnsiTheme="minorHAnsi" w:cstheme="minorHAnsi"/>
          <w:szCs w:val="22"/>
        </w:rPr>
        <w:t xml:space="preserve"> </w:t>
      </w:r>
      <w:r w:rsidR="007D6925" w:rsidRPr="00955EB7">
        <w:rPr>
          <w:rFonts w:asciiTheme="minorHAnsi" w:hAnsiTheme="minorHAnsi" w:cstheme="minorHAnsi"/>
          <w:szCs w:val="22"/>
        </w:rPr>
        <w:t xml:space="preserve">Questions can be raised regarding the scope of such residual authority </w:t>
      </w:r>
      <w:r w:rsidR="007D6925" w:rsidRPr="00955EB7">
        <w:rPr>
          <w:rFonts w:asciiTheme="minorHAnsi" w:hAnsiTheme="minorHAnsi" w:cstheme="minorHAnsi"/>
          <w:szCs w:val="22"/>
        </w:rPr>
        <w:lastRenderedPageBreak/>
        <w:t xml:space="preserve">and the extent to which </w:t>
      </w:r>
      <w:r w:rsidR="00131CB4" w:rsidRPr="00955EB7">
        <w:rPr>
          <w:rFonts w:asciiTheme="minorHAnsi" w:hAnsiTheme="minorHAnsi" w:cstheme="minorHAnsi"/>
          <w:szCs w:val="22"/>
        </w:rPr>
        <w:t>court assessments of such residual authority would operate</w:t>
      </w:r>
      <w:r w:rsidR="00510012" w:rsidRPr="00955EB7">
        <w:rPr>
          <w:rFonts w:asciiTheme="minorHAnsi" w:hAnsiTheme="minorHAnsi" w:cstheme="minorHAnsi"/>
          <w:szCs w:val="22"/>
        </w:rPr>
        <w:t>,</w:t>
      </w:r>
      <w:r w:rsidR="00131CB4" w:rsidRPr="00955EB7">
        <w:rPr>
          <w:rFonts w:asciiTheme="minorHAnsi" w:hAnsiTheme="minorHAnsi" w:cstheme="minorHAnsi"/>
          <w:szCs w:val="22"/>
        </w:rPr>
        <w:t xml:space="preserve"> within a framework </w:t>
      </w:r>
      <w:r w:rsidR="00510012" w:rsidRPr="00955EB7">
        <w:rPr>
          <w:rFonts w:asciiTheme="minorHAnsi" w:hAnsiTheme="minorHAnsi" w:cstheme="minorHAnsi"/>
          <w:szCs w:val="22"/>
        </w:rPr>
        <w:t xml:space="preserve">that takes into consideration values such as the protection of autonomy and dignity. The application of the </w:t>
      </w:r>
      <w:r w:rsidR="00510012" w:rsidRPr="00955EB7">
        <w:rPr>
          <w:rFonts w:asciiTheme="minorHAnsi" w:hAnsiTheme="minorHAnsi" w:cstheme="minorHAnsi"/>
          <w:i/>
          <w:szCs w:val="22"/>
        </w:rPr>
        <w:t>Imperial Loan</w:t>
      </w:r>
      <w:r w:rsidR="00510012" w:rsidRPr="00955EB7">
        <w:rPr>
          <w:rFonts w:asciiTheme="minorHAnsi" w:hAnsiTheme="minorHAnsi" w:cstheme="minorHAnsi"/>
          <w:szCs w:val="22"/>
        </w:rPr>
        <w:t xml:space="preserve"> rule to the complex setting of agency contracts is not free from challenges but, as the discussion below will emphasise, it is preferable to an alternative where A’s mental incapacity automatically terminates the contractual relations between A and B, irrespective of A’s wishes, and renders B vulnerable to </w:t>
      </w:r>
      <w:r w:rsidR="00955EB7" w:rsidRPr="00955EB7">
        <w:rPr>
          <w:rFonts w:asciiTheme="minorHAnsi" w:hAnsiTheme="minorHAnsi" w:cstheme="minorHAnsi"/>
          <w:szCs w:val="22"/>
        </w:rPr>
        <w:t xml:space="preserve">liability for </w:t>
      </w:r>
      <w:r w:rsidR="00510012" w:rsidRPr="00955EB7">
        <w:rPr>
          <w:rFonts w:asciiTheme="minorHAnsi" w:hAnsiTheme="minorHAnsi" w:cstheme="minorHAnsi"/>
          <w:szCs w:val="22"/>
        </w:rPr>
        <w:t>breach of warranty of authority without regards to B’s (actual or constructive) knowledge of A’s mental incapacity.</w:t>
      </w:r>
    </w:p>
    <w:p w14:paraId="15AD8CB3" w14:textId="77777777" w:rsidR="00BC5DD5" w:rsidRDefault="00BC5DD5" w:rsidP="00A06D14">
      <w:pPr>
        <w:spacing w:line="360" w:lineRule="auto"/>
        <w:rPr>
          <w:rFonts w:asciiTheme="minorHAnsi" w:hAnsiTheme="minorHAnsi" w:cstheme="minorHAnsi"/>
          <w:szCs w:val="22"/>
        </w:rPr>
      </w:pPr>
    </w:p>
    <w:p w14:paraId="7D78E391" w14:textId="1A17083E" w:rsidR="00510012" w:rsidRPr="00955EB7" w:rsidRDefault="00510012" w:rsidP="00A06D14">
      <w:pPr>
        <w:spacing w:line="360" w:lineRule="auto"/>
        <w:rPr>
          <w:rFonts w:asciiTheme="minorHAnsi" w:hAnsiTheme="minorHAnsi" w:cstheme="minorHAnsi"/>
        </w:rPr>
      </w:pPr>
      <w:r w:rsidRPr="00955EB7">
        <w:rPr>
          <w:rFonts w:asciiTheme="minorHAnsi" w:hAnsiTheme="minorHAnsi" w:cstheme="minorHAnsi"/>
          <w:szCs w:val="22"/>
        </w:rPr>
        <w:t>The thirteenth to the nineteenth editions of</w:t>
      </w:r>
      <w:r w:rsidR="009A23E1" w:rsidRPr="00955EB7">
        <w:rPr>
          <w:rFonts w:asciiTheme="minorHAnsi" w:hAnsiTheme="minorHAnsi" w:cstheme="minorHAnsi"/>
          <w:szCs w:val="22"/>
        </w:rPr>
        <w:t xml:space="preserve"> </w:t>
      </w:r>
      <w:r w:rsidR="009A23E1" w:rsidRPr="00955EB7">
        <w:rPr>
          <w:rFonts w:asciiTheme="minorHAnsi" w:hAnsiTheme="minorHAnsi" w:cstheme="minorHAnsi"/>
          <w:i/>
        </w:rPr>
        <w:t>Bowstead and Reynolds on Agency</w:t>
      </w:r>
      <w:r w:rsidR="009A23E1" w:rsidRPr="00955EB7">
        <w:rPr>
          <w:rFonts w:asciiTheme="minorHAnsi" w:hAnsiTheme="minorHAnsi" w:cstheme="minorHAnsi"/>
        </w:rPr>
        <w:t xml:space="preserve"> (from 1968 to 2010) doubted the application of the </w:t>
      </w:r>
      <w:r w:rsidR="009A23E1" w:rsidRPr="00955EB7">
        <w:rPr>
          <w:rFonts w:asciiTheme="minorHAnsi" w:hAnsiTheme="minorHAnsi" w:cstheme="minorHAnsi"/>
          <w:i/>
        </w:rPr>
        <w:t>Imperial Loan</w:t>
      </w:r>
      <w:r w:rsidR="009A23E1" w:rsidRPr="00955EB7">
        <w:rPr>
          <w:rFonts w:asciiTheme="minorHAnsi" w:hAnsiTheme="minorHAnsi" w:cstheme="minorHAnsi"/>
        </w:rPr>
        <w:t xml:space="preserve"> rule to agency contracts and considered instead that a principal (A)’s mental incapacity rendered the contract with an agent (B) automatically void.</w:t>
      </w:r>
      <w:r w:rsidR="009A23E1" w:rsidRPr="00955EB7">
        <w:rPr>
          <w:rStyle w:val="FootnoteReference"/>
          <w:rFonts w:asciiTheme="minorHAnsi" w:hAnsiTheme="minorHAnsi" w:cstheme="minorHAnsi"/>
        </w:rPr>
        <w:footnoteReference w:id="75"/>
      </w:r>
      <w:r w:rsidR="009A23E1" w:rsidRPr="00955EB7">
        <w:rPr>
          <w:rFonts w:asciiTheme="minorHAnsi" w:hAnsiTheme="minorHAnsi" w:cstheme="minorHAnsi"/>
        </w:rPr>
        <w:t xml:space="preserve"> This approach is also reflected in Hudson’s writing, who considered that </w:t>
      </w:r>
      <w:r w:rsidR="009A23E1" w:rsidRPr="00955EB7">
        <w:rPr>
          <w:rFonts w:asciiTheme="minorHAnsi" w:hAnsiTheme="minorHAnsi" w:cstheme="minorHAnsi"/>
          <w:i/>
        </w:rPr>
        <w:t>Imperial Loan</w:t>
      </w:r>
      <w:r w:rsidR="009A23E1" w:rsidRPr="00955EB7">
        <w:rPr>
          <w:rFonts w:asciiTheme="minorHAnsi" w:hAnsiTheme="minorHAnsi" w:cstheme="minorHAnsi"/>
        </w:rPr>
        <w:t xml:space="preserve"> did not apply to the relation between A and B (whether mental incapacity affected A at the time of appointing B or subsequently), nor did it apply to the relation between A and C</w:t>
      </w:r>
      <w:r w:rsidR="008A1438" w:rsidRPr="00955EB7">
        <w:rPr>
          <w:rFonts w:asciiTheme="minorHAnsi" w:hAnsiTheme="minorHAnsi" w:cstheme="minorHAnsi"/>
        </w:rPr>
        <w:t>.</w:t>
      </w:r>
      <w:r w:rsidR="009A23E1" w:rsidRPr="00955EB7">
        <w:rPr>
          <w:rStyle w:val="FootnoteReference"/>
          <w:rFonts w:asciiTheme="minorHAnsi" w:hAnsiTheme="minorHAnsi" w:cstheme="minorHAnsi"/>
        </w:rPr>
        <w:footnoteReference w:id="76"/>
      </w:r>
      <w:r w:rsidR="008A1438" w:rsidRPr="00955EB7">
        <w:rPr>
          <w:rFonts w:asciiTheme="minorHAnsi" w:hAnsiTheme="minorHAnsi" w:cstheme="minorHAnsi"/>
        </w:rPr>
        <w:t xml:space="preserve"> </w:t>
      </w:r>
      <w:r w:rsidR="00BB267D" w:rsidRPr="00955EB7">
        <w:rPr>
          <w:rFonts w:asciiTheme="minorHAnsi" w:hAnsiTheme="minorHAnsi" w:cstheme="minorHAnsi"/>
        </w:rPr>
        <w:t>He</w:t>
      </w:r>
      <w:r w:rsidR="008A1438" w:rsidRPr="00955EB7">
        <w:rPr>
          <w:rFonts w:asciiTheme="minorHAnsi" w:hAnsiTheme="minorHAnsi" w:cstheme="minorHAnsi"/>
        </w:rPr>
        <w:t xml:space="preserve"> commented that </w:t>
      </w:r>
      <w:r w:rsidR="007314C6" w:rsidRPr="00955EB7">
        <w:rPr>
          <w:rFonts w:asciiTheme="minorHAnsi" w:hAnsiTheme="minorHAnsi" w:cstheme="minorHAnsi"/>
        </w:rPr>
        <w:t>the source of A’s liability to C may derive from B’s apparent authority to act on A’s behalf (in cases where A, before being affected by mental incapacity, made representations to C about B’s authority),</w:t>
      </w:r>
      <w:r w:rsidR="007314C6" w:rsidRPr="00955EB7">
        <w:rPr>
          <w:rStyle w:val="FootnoteReference"/>
          <w:rFonts w:asciiTheme="minorHAnsi" w:hAnsiTheme="minorHAnsi" w:cstheme="minorHAnsi"/>
        </w:rPr>
        <w:footnoteReference w:id="77"/>
      </w:r>
      <w:r w:rsidR="007314C6" w:rsidRPr="00955EB7">
        <w:rPr>
          <w:rFonts w:asciiTheme="minorHAnsi" w:hAnsiTheme="minorHAnsi" w:cstheme="minorHAnsi"/>
        </w:rPr>
        <w:t xml:space="preserve"> but conceded that C may be </w:t>
      </w:r>
      <w:r w:rsidR="00CE1640">
        <w:rPr>
          <w:rFonts w:asciiTheme="minorHAnsi" w:hAnsiTheme="minorHAnsi" w:cstheme="minorHAnsi"/>
        </w:rPr>
        <w:t>‘</w:t>
      </w:r>
      <w:r w:rsidR="007314C6" w:rsidRPr="00955EB7">
        <w:rPr>
          <w:rFonts w:asciiTheme="minorHAnsi" w:hAnsiTheme="minorHAnsi" w:cstheme="minorHAnsi"/>
        </w:rPr>
        <w:t>depriv[ed] of all rights</w:t>
      </w:r>
      <w:r w:rsidR="00CE1640">
        <w:rPr>
          <w:rFonts w:asciiTheme="minorHAnsi" w:hAnsiTheme="minorHAnsi" w:cstheme="minorHAnsi"/>
        </w:rPr>
        <w:t>’</w:t>
      </w:r>
      <w:r w:rsidR="007314C6" w:rsidRPr="00955EB7">
        <w:rPr>
          <w:rFonts w:asciiTheme="minorHAnsi" w:hAnsiTheme="minorHAnsi" w:cstheme="minorHAnsi"/>
        </w:rPr>
        <w:t xml:space="preserve"> against A in cases that fall outside the scope of apparent authority.</w:t>
      </w:r>
      <w:r w:rsidR="007314C6" w:rsidRPr="00955EB7">
        <w:rPr>
          <w:rStyle w:val="FootnoteReference"/>
          <w:rFonts w:asciiTheme="minorHAnsi" w:hAnsiTheme="minorHAnsi" w:cstheme="minorHAnsi"/>
        </w:rPr>
        <w:footnoteReference w:id="78"/>
      </w:r>
      <w:r w:rsidR="00286D35" w:rsidRPr="00955EB7">
        <w:rPr>
          <w:rFonts w:asciiTheme="minorHAnsi" w:hAnsiTheme="minorHAnsi" w:cstheme="minorHAnsi"/>
        </w:rPr>
        <w:t xml:space="preserve"> Hudson’s support for an exception from the </w:t>
      </w:r>
      <w:r w:rsidR="00286D35" w:rsidRPr="00955EB7">
        <w:rPr>
          <w:rFonts w:asciiTheme="minorHAnsi" w:hAnsiTheme="minorHAnsi" w:cstheme="minorHAnsi"/>
          <w:i/>
        </w:rPr>
        <w:t xml:space="preserve">Imperial Loan </w:t>
      </w:r>
      <w:r w:rsidR="00286D35" w:rsidRPr="00955EB7">
        <w:rPr>
          <w:rFonts w:asciiTheme="minorHAnsi" w:hAnsiTheme="minorHAnsi" w:cstheme="minorHAnsi"/>
        </w:rPr>
        <w:t>rule for agency contracts was influenced by his concern that this rule fails to protect A effectively</w:t>
      </w:r>
      <w:r w:rsidR="00DF0D2E" w:rsidRPr="00955EB7">
        <w:rPr>
          <w:rFonts w:asciiTheme="minorHAnsi" w:hAnsiTheme="minorHAnsi" w:cstheme="minorHAnsi"/>
        </w:rPr>
        <w:t>,</w:t>
      </w:r>
      <w:r w:rsidR="00286D35" w:rsidRPr="00955EB7">
        <w:rPr>
          <w:rStyle w:val="FootnoteReference"/>
          <w:rFonts w:asciiTheme="minorHAnsi" w:hAnsiTheme="minorHAnsi" w:cstheme="minorHAnsi"/>
        </w:rPr>
        <w:footnoteReference w:id="79"/>
      </w:r>
      <w:r w:rsidR="00DF0D2E" w:rsidRPr="00955EB7">
        <w:rPr>
          <w:rFonts w:asciiTheme="minorHAnsi" w:hAnsiTheme="minorHAnsi" w:cstheme="minorHAnsi"/>
        </w:rPr>
        <w:t xml:space="preserve"> which, as </w:t>
      </w:r>
      <w:r w:rsidR="00271341" w:rsidRPr="00955EB7">
        <w:rPr>
          <w:rFonts w:asciiTheme="minorHAnsi" w:hAnsiTheme="minorHAnsi" w:cstheme="minorHAnsi"/>
        </w:rPr>
        <w:t>he</w:t>
      </w:r>
      <w:r w:rsidR="00DF0D2E" w:rsidRPr="00955EB7">
        <w:rPr>
          <w:rFonts w:asciiTheme="minorHAnsi" w:hAnsiTheme="minorHAnsi" w:cstheme="minorHAnsi"/>
        </w:rPr>
        <w:t xml:space="preserve"> note</w:t>
      </w:r>
      <w:r w:rsidR="00271341" w:rsidRPr="00955EB7">
        <w:rPr>
          <w:rFonts w:asciiTheme="minorHAnsi" w:hAnsiTheme="minorHAnsi" w:cstheme="minorHAnsi"/>
        </w:rPr>
        <w:t>d</w:t>
      </w:r>
      <w:r w:rsidR="00DF0D2E" w:rsidRPr="00955EB7">
        <w:rPr>
          <w:rFonts w:asciiTheme="minorHAnsi" w:hAnsiTheme="minorHAnsi" w:cstheme="minorHAnsi"/>
        </w:rPr>
        <w:t xml:space="preserve">, led to considerable </w:t>
      </w:r>
      <w:r w:rsidR="00CE1640">
        <w:rPr>
          <w:rFonts w:asciiTheme="minorHAnsi" w:hAnsiTheme="minorHAnsi" w:cstheme="minorHAnsi"/>
        </w:rPr>
        <w:t>‘</w:t>
      </w:r>
      <w:r w:rsidR="00DF0D2E" w:rsidRPr="00955EB7">
        <w:rPr>
          <w:rFonts w:asciiTheme="minorHAnsi" w:hAnsiTheme="minorHAnsi" w:cstheme="minorHAnsi"/>
        </w:rPr>
        <w:t>hostile criticism</w:t>
      </w:r>
      <w:r w:rsidR="00CE1640">
        <w:rPr>
          <w:rFonts w:asciiTheme="minorHAnsi" w:hAnsiTheme="minorHAnsi" w:cstheme="minorHAnsi"/>
        </w:rPr>
        <w:t>’</w:t>
      </w:r>
      <w:r w:rsidR="00DF0D2E" w:rsidRPr="00955EB7">
        <w:rPr>
          <w:rFonts w:asciiTheme="minorHAnsi" w:hAnsiTheme="minorHAnsi" w:cstheme="minorHAnsi"/>
        </w:rPr>
        <w:t xml:space="preserve"> of the decision in </w:t>
      </w:r>
      <w:r w:rsidR="00DF0D2E" w:rsidRPr="00955EB7">
        <w:rPr>
          <w:rFonts w:asciiTheme="minorHAnsi" w:hAnsiTheme="minorHAnsi" w:cstheme="minorHAnsi"/>
          <w:i/>
        </w:rPr>
        <w:t>Imperial Loan</w:t>
      </w:r>
      <w:r w:rsidR="00DF0D2E" w:rsidRPr="00955EB7">
        <w:rPr>
          <w:rFonts w:asciiTheme="minorHAnsi" w:hAnsiTheme="minorHAnsi" w:cstheme="minorHAnsi"/>
        </w:rPr>
        <w:t>.</w:t>
      </w:r>
      <w:r w:rsidR="00DF0D2E" w:rsidRPr="00955EB7">
        <w:rPr>
          <w:rStyle w:val="FootnoteReference"/>
          <w:rFonts w:asciiTheme="minorHAnsi" w:hAnsiTheme="minorHAnsi" w:cstheme="minorHAnsi"/>
        </w:rPr>
        <w:footnoteReference w:id="80"/>
      </w:r>
      <w:r w:rsidR="00DF0D2E" w:rsidRPr="00955EB7">
        <w:rPr>
          <w:rFonts w:asciiTheme="minorHAnsi" w:hAnsiTheme="minorHAnsi" w:cstheme="minorHAnsi"/>
        </w:rPr>
        <w:t xml:space="preserve"> Nevertheless, a broad reading of the knowledge requirement in </w:t>
      </w:r>
      <w:r w:rsidR="00DF0D2E" w:rsidRPr="00955EB7">
        <w:rPr>
          <w:rFonts w:asciiTheme="minorHAnsi" w:hAnsiTheme="minorHAnsi" w:cstheme="minorHAnsi"/>
          <w:i/>
        </w:rPr>
        <w:t>Imperial Loan</w:t>
      </w:r>
      <w:r w:rsidR="00DF0D2E" w:rsidRPr="00955EB7">
        <w:rPr>
          <w:rFonts w:asciiTheme="minorHAnsi" w:hAnsiTheme="minorHAnsi" w:cstheme="minorHAnsi"/>
        </w:rPr>
        <w:t xml:space="preserve"> (to include constructive knowledge based on the circumstances of the transaction) would address such concerns and make </w:t>
      </w:r>
      <w:r w:rsidR="00DF0D2E" w:rsidRPr="00955EB7">
        <w:rPr>
          <w:rFonts w:asciiTheme="minorHAnsi" w:hAnsiTheme="minorHAnsi" w:cstheme="minorHAnsi"/>
          <w:i/>
        </w:rPr>
        <w:t>Imperial Loan</w:t>
      </w:r>
      <w:r w:rsidR="00DF0D2E" w:rsidRPr="00955EB7">
        <w:rPr>
          <w:rFonts w:asciiTheme="minorHAnsi" w:hAnsiTheme="minorHAnsi" w:cstheme="minorHAnsi"/>
        </w:rPr>
        <w:t xml:space="preserve"> a more attractive alternative.</w:t>
      </w:r>
    </w:p>
    <w:p w14:paraId="21E16D9C" w14:textId="77777777" w:rsidR="00BC5DD5" w:rsidRDefault="00BC5DD5" w:rsidP="00A06D14">
      <w:pPr>
        <w:spacing w:line="360" w:lineRule="auto"/>
        <w:rPr>
          <w:rFonts w:asciiTheme="minorHAnsi" w:hAnsiTheme="minorHAnsi" w:cstheme="minorHAnsi"/>
          <w:szCs w:val="22"/>
        </w:rPr>
      </w:pPr>
    </w:p>
    <w:p w14:paraId="3FA216B5" w14:textId="0250A65D" w:rsidR="00DF0D2E" w:rsidRPr="00955EB7" w:rsidRDefault="00DF0D2E" w:rsidP="00A06D14">
      <w:pPr>
        <w:spacing w:line="360" w:lineRule="auto"/>
        <w:rPr>
          <w:rFonts w:asciiTheme="minorHAnsi" w:hAnsiTheme="minorHAnsi" w:cstheme="minorHAnsi"/>
        </w:rPr>
      </w:pPr>
      <w:r w:rsidRPr="00955EB7">
        <w:rPr>
          <w:rFonts w:asciiTheme="minorHAnsi" w:hAnsiTheme="minorHAnsi" w:cstheme="minorHAnsi"/>
          <w:szCs w:val="22"/>
        </w:rPr>
        <w:t xml:space="preserve">Those who doubt the application of the </w:t>
      </w:r>
      <w:r w:rsidRPr="00955EB7">
        <w:rPr>
          <w:rFonts w:asciiTheme="minorHAnsi" w:hAnsiTheme="minorHAnsi" w:cstheme="minorHAnsi"/>
          <w:i/>
          <w:szCs w:val="22"/>
        </w:rPr>
        <w:t xml:space="preserve">Imperial Loan </w:t>
      </w:r>
      <w:r w:rsidRPr="00955EB7">
        <w:rPr>
          <w:rFonts w:asciiTheme="minorHAnsi" w:hAnsiTheme="minorHAnsi" w:cstheme="minorHAnsi"/>
          <w:szCs w:val="22"/>
        </w:rPr>
        <w:t>rule to agency contracts</w:t>
      </w:r>
      <w:r w:rsidR="00BB267D" w:rsidRPr="00955EB7">
        <w:rPr>
          <w:rFonts w:asciiTheme="minorHAnsi" w:hAnsiTheme="minorHAnsi" w:cstheme="minorHAnsi"/>
          <w:szCs w:val="22"/>
        </w:rPr>
        <w:t xml:space="preserve"> tend to refer, as authority, to the early twentieth century decision of the Privy Council in </w:t>
      </w:r>
      <w:r w:rsidR="00BB267D" w:rsidRPr="00955EB7">
        <w:rPr>
          <w:rFonts w:asciiTheme="minorHAnsi" w:hAnsiTheme="minorHAnsi" w:cstheme="minorHAnsi"/>
          <w:i/>
          <w:szCs w:val="22"/>
        </w:rPr>
        <w:t>Daily Telegraph v McLaug</w:t>
      </w:r>
      <w:r w:rsidR="005A45B5">
        <w:rPr>
          <w:rFonts w:asciiTheme="minorHAnsi" w:hAnsiTheme="minorHAnsi" w:cstheme="minorHAnsi"/>
          <w:i/>
          <w:szCs w:val="22"/>
        </w:rPr>
        <w:t>hl</w:t>
      </w:r>
      <w:r w:rsidR="00BB267D" w:rsidRPr="00955EB7">
        <w:rPr>
          <w:rFonts w:asciiTheme="minorHAnsi" w:hAnsiTheme="minorHAnsi" w:cstheme="minorHAnsi"/>
          <w:i/>
          <w:szCs w:val="22"/>
        </w:rPr>
        <w:t>in</w:t>
      </w:r>
      <w:r w:rsidR="00772809" w:rsidRPr="00955EB7">
        <w:rPr>
          <w:rFonts w:asciiTheme="minorHAnsi" w:hAnsiTheme="minorHAnsi" w:cstheme="minorHAnsi"/>
          <w:szCs w:val="22"/>
        </w:rPr>
        <w:t xml:space="preserve"> </w:t>
      </w:r>
      <w:r w:rsidR="00BB267D" w:rsidRPr="00955EB7">
        <w:rPr>
          <w:rFonts w:asciiTheme="minorHAnsi" w:hAnsiTheme="minorHAnsi" w:cstheme="minorHAnsi"/>
          <w:szCs w:val="22"/>
        </w:rPr>
        <w:t>(</w:t>
      </w:r>
      <w:r w:rsidR="00BB267D" w:rsidRPr="00955EB7">
        <w:rPr>
          <w:rFonts w:asciiTheme="minorHAnsi" w:hAnsiTheme="minorHAnsi" w:cstheme="minorHAnsi"/>
          <w:i/>
        </w:rPr>
        <w:t>McLaugh</w:t>
      </w:r>
      <w:r w:rsidR="005A45B5">
        <w:rPr>
          <w:rFonts w:asciiTheme="minorHAnsi" w:hAnsiTheme="minorHAnsi" w:cstheme="minorHAnsi"/>
          <w:i/>
        </w:rPr>
        <w:t>l</w:t>
      </w:r>
      <w:r w:rsidR="00BB267D" w:rsidRPr="00955EB7">
        <w:rPr>
          <w:rFonts w:asciiTheme="minorHAnsi" w:hAnsiTheme="minorHAnsi" w:cstheme="minorHAnsi"/>
          <w:i/>
        </w:rPr>
        <w:t>in</w:t>
      </w:r>
      <w:r w:rsidR="00BB267D" w:rsidRPr="00955EB7">
        <w:rPr>
          <w:rFonts w:asciiTheme="minorHAnsi" w:hAnsiTheme="minorHAnsi" w:cstheme="minorHAnsi"/>
          <w:szCs w:val="22"/>
        </w:rPr>
        <w:t>),</w:t>
      </w:r>
      <w:r w:rsidR="00772809" w:rsidRPr="00955EB7">
        <w:rPr>
          <w:rStyle w:val="FootnoteReference"/>
          <w:rFonts w:asciiTheme="minorHAnsi" w:hAnsiTheme="minorHAnsi" w:cstheme="minorHAnsi"/>
          <w:szCs w:val="22"/>
        </w:rPr>
        <w:footnoteReference w:id="81"/>
      </w:r>
      <w:r w:rsidR="00BB267D" w:rsidRPr="00955EB7">
        <w:rPr>
          <w:rFonts w:asciiTheme="minorHAnsi" w:hAnsiTheme="minorHAnsi" w:cstheme="minorHAnsi"/>
          <w:szCs w:val="22"/>
        </w:rPr>
        <w:t xml:space="preserve"> which affirmed a decision of the High Court of Australia</w:t>
      </w:r>
      <w:r w:rsidR="00DA7998" w:rsidRPr="00955EB7">
        <w:rPr>
          <w:rFonts w:asciiTheme="minorHAnsi" w:hAnsiTheme="minorHAnsi" w:cstheme="minorHAnsi"/>
          <w:szCs w:val="22"/>
        </w:rPr>
        <w:t>.</w:t>
      </w:r>
      <w:r w:rsidR="00BB267D" w:rsidRPr="00955EB7">
        <w:rPr>
          <w:rStyle w:val="FootnoteReference"/>
          <w:rFonts w:asciiTheme="minorHAnsi" w:hAnsiTheme="minorHAnsi" w:cstheme="minorHAnsi"/>
          <w:szCs w:val="22"/>
        </w:rPr>
        <w:footnoteReference w:id="82"/>
      </w:r>
      <w:r w:rsidR="00DA7998" w:rsidRPr="00955EB7">
        <w:rPr>
          <w:rFonts w:asciiTheme="minorHAnsi" w:hAnsiTheme="minorHAnsi" w:cstheme="minorHAnsi"/>
          <w:szCs w:val="22"/>
        </w:rPr>
        <w:t xml:space="preserve"> The courts noted that a principal who lacked the mental capacity to understand the nature of the transaction could not execute a power of attorney and that the deeds of transfer executed under that power of attorney were also a nullity.</w:t>
      </w:r>
      <w:r w:rsidR="00DA7998" w:rsidRPr="00955EB7">
        <w:rPr>
          <w:rStyle w:val="FootnoteReference"/>
          <w:rFonts w:asciiTheme="minorHAnsi" w:hAnsiTheme="minorHAnsi" w:cstheme="minorHAnsi"/>
          <w:szCs w:val="22"/>
        </w:rPr>
        <w:footnoteReference w:id="83"/>
      </w:r>
      <w:r w:rsidR="002F1B40" w:rsidRPr="00955EB7">
        <w:rPr>
          <w:rFonts w:asciiTheme="minorHAnsi" w:hAnsiTheme="minorHAnsi" w:cstheme="minorHAnsi"/>
          <w:szCs w:val="22"/>
        </w:rPr>
        <w:t xml:space="preserve"> However, this decision was based </w:t>
      </w:r>
      <w:r w:rsidR="003000E4" w:rsidRPr="00955EB7">
        <w:rPr>
          <w:rFonts w:asciiTheme="minorHAnsi" w:hAnsiTheme="minorHAnsi" w:cstheme="minorHAnsi"/>
          <w:szCs w:val="22"/>
        </w:rPr>
        <w:t>on</w:t>
      </w:r>
      <w:r w:rsidR="002F1B40" w:rsidRPr="00955EB7">
        <w:rPr>
          <w:rFonts w:asciiTheme="minorHAnsi" w:hAnsiTheme="minorHAnsi" w:cstheme="minorHAnsi"/>
          <w:szCs w:val="22"/>
        </w:rPr>
        <w:t xml:space="preserve"> the </w:t>
      </w:r>
      <w:proofErr w:type="spellStart"/>
      <w:r w:rsidR="002F1B40" w:rsidRPr="00955EB7">
        <w:rPr>
          <w:rFonts w:asciiTheme="minorHAnsi" w:hAnsiTheme="minorHAnsi" w:cstheme="minorHAnsi"/>
          <w:i/>
          <w:szCs w:val="22"/>
        </w:rPr>
        <w:t>non est</w:t>
      </w:r>
      <w:proofErr w:type="spellEnd"/>
      <w:r w:rsidR="002F1B40" w:rsidRPr="00955EB7">
        <w:rPr>
          <w:rFonts w:asciiTheme="minorHAnsi" w:hAnsiTheme="minorHAnsi" w:cstheme="minorHAnsi"/>
          <w:i/>
          <w:szCs w:val="22"/>
        </w:rPr>
        <w:t xml:space="preserve"> factum</w:t>
      </w:r>
      <w:r w:rsidR="002F1B40" w:rsidRPr="00955EB7">
        <w:rPr>
          <w:rFonts w:asciiTheme="minorHAnsi" w:hAnsiTheme="minorHAnsi" w:cstheme="minorHAnsi"/>
          <w:szCs w:val="22"/>
        </w:rPr>
        <w:t xml:space="preserve"> doctrine</w:t>
      </w:r>
      <w:r w:rsidR="00F60E5F" w:rsidRPr="00955EB7">
        <w:rPr>
          <w:rFonts w:asciiTheme="minorHAnsi" w:hAnsiTheme="minorHAnsi" w:cstheme="minorHAnsi"/>
          <w:szCs w:val="22"/>
        </w:rPr>
        <w:t>, which appl</w:t>
      </w:r>
      <w:r w:rsidR="00772809" w:rsidRPr="00955EB7">
        <w:rPr>
          <w:rFonts w:asciiTheme="minorHAnsi" w:hAnsiTheme="minorHAnsi" w:cstheme="minorHAnsi"/>
          <w:szCs w:val="22"/>
        </w:rPr>
        <w:t>i</w:t>
      </w:r>
      <w:r w:rsidR="00F60E5F" w:rsidRPr="00955EB7">
        <w:rPr>
          <w:rFonts w:asciiTheme="minorHAnsi" w:hAnsiTheme="minorHAnsi" w:cstheme="minorHAnsi"/>
          <w:szCs w:val="22"/>
        </w:rPr>
        <w:t xml:space="preserve">es when a party, without being negligent, mistakenly signs a document that is fundamentally </w:t>
      </w:r>
      <w:r w:rsidR="00F60E5F" w:rsidRPr="00955EB7">
        <w:rPr>
          <w:rFonts w:asciiTheme="minorHAnsi" w:hAnsiTheme="minorHAnsi" w:cstheme="minorHAnsi"/>
          <w:szCs w:val="22"/>
        </w:rPr>
        <w:lastRenderedPageBreak/>
        <w:t>different from what he thought he was signing.</w:t>
      </w:r>
      <w:r w:rsidR="00F60E5F" w:rsidRPr="00955EB7">
        <w:rPr>
          <w:rStyle w:val="FootnoteReference"/>
          <w:rFonts w:asciiTheme="minorHAnsi" w:hAnsiTheme="minorHAnsi" w:cstheme="minorHAnsi"/>
          <w:szCs w:val="22"/>
        </w:rPr>
        <w:footnoteReference w:id="84"/>
      </w:r>
      <w:r w:rsidR="00F60E5F" w:rsidRPr="00955EB7">
        <w:rPr>
          <w:rFonts w:asciiTheme="minorHAnsi" w:hAnsiTheme="minorHAnsi" w:cstheme="minorHAnsi"/>
          <w:szCs w:val="22"/>
        </w:rPr>
        <w:t xml:space="preserve"> </w:t>
      </w:r>
      <w:r w:rsidR="001B266B" w:rsidRPr="00955EB7">
        <w:rPr>
          <w:rFonts w:asciiTheme="minorHAnsi" w:hAnsiTheme="minorHAnsi" w:cstheme="minorHAnsi"/>
          <w:szCs w:val="22"/>
        </w:rPr>
        <w:t xml:space="preserve">The party who mistakenly signed a power of attorney in </w:t>
      </w:r>
      <w:r w:rsidR="006B5C55" w:rsidRPr="006B5C55">
        <w:rPr>
          <w:rFonts w:asciiTheme="minorHAnsi" w:hAnsiTheme="minorHAnsi" w:cstheme="minorHAnsi"/>
          <w:i/>
        </w:rPr>
        <w:t>McLaughlin</w:t>
      </w:r>
      <w:r w:rsidR="001B266B" w:rsidRPr="00955EB7">
        <w:rPr>
          <w:rFonts w:asciiTheme="minorHAnsi" w:hAnsiTheme="minorHAnsi" w:cstheme="minorHAnsi"/>
          <w:i/>
        </w:rPr>
        <w:t xml:space="preserve"> </w:t>
      </w:r>
      <w:r w:rsidR="001B266B" w:rsidRPr="00955EB7">
        <w:rPr>
          <w:rFonts w:asciiTheme="minorHAnsi" w:hAnsiTheme="minorHAnsi" w:cstheme="minorHAnsi"/>
        </w:rPr>
        <w:t xml:space="preserve">(a document rendered void on the basis of </w:t>
      </w:r>
      <w:proofErr w:type="spellStart"/>
      <w:r w:rsidR="001B266B" w:rsidRPr="00955EB7">
        <w:rPr>
          <w:rFonts w:asciiTheme="minorHAnsi" w:hAnsiTheme="minorHAnsi" w:cstheme="minorHAnsi"/>
          <w:i/>
          <w:szCs w:val="22"/>
        </w:rPr>
        <w:t>non est</w:t>
      </w:r>
      <w:proofErr w:type="spellEnd"/>
      <w:r w:rsidR="001B266B" w:rsidRPr="00955EB7">
        <w:rPr>
          <w:rFonts w:asciiTheme="minorHAnsi" w:hAnsiTheme="minorHAnsi" w:cstheme="minorHAnsi"/>
          <w:i/>
          <w:szCs w:val="22"/>
        </w:rPr>
        <w:t xml:space="preserve"> factum</w:t>
      </w:r>
      <w:r w:rsidR="001B266B" w:rsidRPr="00955EB7">
        <w:rPr>
          <w:rFonts w:asciiTheme="minorHAnsi" w:hAnsiTheme="minorHAnsi" w:cstheme="minorHAnsi"/>
        </w:rPr>
        <w:t xml:space="preserve">) had been affected by </w:t>
      </w:r>
      <w:r w:rsidR="00CE1640">
        <w:rPr>
          <w:rFonts w:asciiTheme="minorHAnsi" w:hAnsiTheme="minorHAnsi" w:cstheme="minorHAnsi"/>
        </w:rPr>
        <w:t>‘</w:t>
      </w:r>
      <w:r w:rsidR="001B266B" w:rsidRPr="00955EB7">
        <w:rPr>
          <w:rFonts w:asciiTheme="minorHAnsi" w:hAnsiTheme="minorHAnsi" w:cstheme="minorHAnsi"/>
        </w:rPr>
        <w:t>profound</w:t>
      </w:r>
      <w:r w:rsidR="00CE1640">
        <w:rPr>
          <w:rFonts w:asciiTheme="minorHAnsi" w:hAnsiTheme="minorHAnsi" w:cstheme="minorHAnsi"/>
        </w:rPr>
        <w:t>’</w:t>
      </w:r>
      <w:r w:rsidR="001B266B" w:rsidRPr="00955EB7">
        <w:rPr>
          <w:rFonts w:asciiTheme="minorHAnsi" w:hAnsiTheme="minorHAnsi" w:cstheme="minorHAnsi"/>
        </w:rPr>
        <w:t xml:space="preserve"> and </w:t>
      </w:r>
      <w:r w:rsidR="00CE1640">
        <w:rPr>
          <w:rFonts w:asciiTheme="minorHAnsi" w:hAnsiTheme="minorHAnsi" w:cstheme="minorHAnsi"/>
        </w:rPr>
        <w:t>‘</w:t>
      </w:r>
      <w:r w:rsidR="001B266B" w:rsidRPr="00955EB7">
        <w:rPr>
          <w:rFonts w:asciiTheme="minorHAnsi" w:hAnsiTheme="minorHAnsi" w:cstheme="minorHAnsi"/>
        </w:rPr>
        <w:t>self-evident</w:t>
      </w:r>
      <w:r w:rsidR="00CE1640">
        <w:rPr>
          <w:rFonts w:asciiTheme="minorHAnsi" w:hAnsiTheme="minorHAnsi" w:cstheme="minorHAnsi"/>
        </w:rPr>
        <w:t>’</w:t>
      </w:r>
      <w:r w:rsidR="001B266B" w:rsidRPr="00955EB7">
        <w:rPr>
          <w:rFonts w:asciiTheme="minorHAnsi" w:hAnsiTheme="minorHAnsi" w:cstheme="minorHAnsi"/>
        </w:rPr>
        <w:t xml:space="preserve"> mental incapacity.</w:t>
      </w:r>
      <w:r w:rsidR="001B266B" w:rsidRPr="00955EB7">
        <w:rPr>
          <w:rStyle w:val="FootnoteReference"/>
          <w:rFonts w:asciiTheme="minorHAnsi" w:hAnsiTheme="minorHAnsi" w:cstheme="minorHAnsi"/>
        </w:rPr>
        <w:footnoteReference w:id="85"/>
      </w:r>
      <w:r w:rsidR="001B266B" w:rsidRPr="00955EB7">
        <w:rPr>
          <w:rFonts w:asciiTheme="minorHAnsi" w:hAnsiTheme="minorHAnsi" w:cstheme="minorHAnsi"/>
        </w:rPr>
        <w:t xml:space="preserve"> As the decision in </w:t>
      </w:r>
      <w:r w:rsidR="006B5C55" w:rsidRPr="006B5C55">
        <w:rPr>
          <w:rFonts w:asciiTheme="minorHAnsi" w:hAnsiTheme="minorHAnsi" w:cstheme="minorHAnsi"/>
          <w:i/>
        </w:rPr>
        <w:t>McLaughlin</w:t>
      </w:r>
      <w:r w:rsidR="001B266B" w:rsidRPr="00955EB7">
        <w:rPr>
          <w:rFonts w:asciiTheme="minorHAnsi" w:hAnsiTheme="minorHAnsi" w:cstheme="minorHAnsi"/>
          <w:i/>
        </w:rPr>
        <w:t xml:space="preserve"> </w:t>
      </w:r>
      <w:r w:rsidR="001B266B" w:rsidRPr="00955EB7">
        <w:rPr>
          <w:rFonts w:asciiTheme="minorHAnsi" w:hAnsiTheme="minorHAnsi" w:cstheme="minorHAnsi"/>
        </w:rPr>
        <w:t xml:space="preserve">was not based on the mental incapacity defence, this decision should not be used to undermine the application of the </w:t>
      </w:r>
      <w:r w:rsidR="001B266B" w:rsidRPr="00955EB7">
        <w:rPr>
          <w:rFonts w:asciiTheme="minorHAnsi" w:hAnsiTheme="minorHAnsi" w:cstheme="minorHAnsi"/>
          <w:i/>
        </w:rPr>
        <w:t>Imperial Loan</w:t>
      </w:r>
      <w:r w:rsidR="001B266B" w:rsidRPr="00955EB7">
        <w:rPr>
          <w:rFonts w:asciiTheme="minorHAnsi" w:hAnsiTheme="minorHAnsi" w:cstheme="minorHAnsi"/>
        </w:rPr>
        <w:t xml:space="preserve"> rule to </w:t>
      </w:r>
      <w:r w:rsidR="00AA4D3C" w:rsidRPr="00955EB7">
        <w:rPr>
          <w:rFonts w:asciiTheme="minorHAnsi" w:hAnsiTheme="minorHAnsi" w:cstheme="minorHAnsi"/>
        </w:rPr>
        <w:t>agency</w:t>
      </w:r>
      <w:r w:rsidR="001B266B" w:rsidRPr="00955EB7">
        <w:rPr>
          <w:rFonts w:asciiTheme="minorHAnsi" w:hAnsiTheme="minorHAnsi" w:cstheme="minorHAnsi"/>
        </w:rPr>
        <w:t xml:space="preserve"> contracts.</w:t>
      </w:r>
      <w:r w:rsidR="00181D9A" w:rsidRPr="00955EB7">
        <w:rPr>
          <w:rStyle w:val="FootnoteReference"/>
          <w:rFonts w:asciiTheme="minorHAnsi" w:hAnsiTheme="minorHAnsi" w:cstheme="minorHAnsi"/>
        </w:rPr>
        <w:footnoteReference w:id="86"/>
      </w:r>
      <w:r w:rsidR="00181D9A" w:rsidRPr="00955EB7">
        <w:rPr>
          <w:rFonts w:asciiTheme="minorHAnsi" w:hAnsiTheme="minorHAnsi" w:cstheme="minorHAnsi"/>
        </w:rPr>
        <w:t xml:space="preserve"> </w:t>
      </w:r>
    </w:p>
    <w:p w14:paraId="31D60057" w14:textId="77777777" w:rsidR="00BC5DD5" w:rsidRDefault="00BC5DD5" w:rsidP="00A06D14">
      <w:pPr>
        <w:spacing w:line="360" w:lineRule="auto"/>
        <w:rPr>
          <w:rFonts w:asciiTheme="minorHAnsi" w:hAnsiTheme="minorHAnsi" w:cstheme="minorHAnsi"/>
          <w:szCs w:val="22"/>
        </w:rPr>
      </w:pPr>
    </w:p>
    <w:p w14:paraId="69C9F1B9" w14:textId="1DCDC968" w:rsidR="00DA4F44" w:rsidRPr="00955EB7" w:rsidRDefault="00DA4F44" w:rsidP="00A06D14">
      <w:pPr>
        <w:spacing w:line="360" w:lineRule="auto"/>
        <w:rPr>
          <w:rFonts w:asciiTheme="minorHAnsi" w:hAnsiTheme="minorHAnsi" w:cstheme="minorHAnsi"/>
        </w:rPr>
      </w:pPr>
      <w:r w:rsidRPr="00955EB7">
        <w:rPr>
          <w:rFonts w:asciiTheme="minorHAnsi" w:hAnsiTheme="minorHAnsi" w:cstheme="minorHAnsi"/>
          <w:szCs w:val="22"/>
        </w:rPr>
        <w:t xml:space="preserve">Those reluctant to apply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to agency contracts tend to refer, as a further source of support, to the mid twentieth century decision of the High Court of Australia in </w:t>
      </w:r>
      <w:r w:rsidRPr="00955EB7">
        <w:rPr>
          <w:rFonts w:asciiTheme="minorHAnsi" w:hAnsiTheme="minorHAnsi" w:cstheme="minorHAnsi"/>
          <w:i/>
          <w:szCs w:val="22"/>
        </w:rPr>
        <w:t>Gibbons v Wright</w:t>
      </w:r>
      <w:r w:rsidRPr="00955EB7">
        <w:rPr>
          <w:rFonts w:asciiTheme="minorHAnsi" w:hAnsiTheme="minorHAnsi" w:cstheme="minorHAnsi"/>
          <w:szCs w:val="22"/>
        </w:rPr>
        <w:t xml:space="preserve"> (</w:t>
      </w:r>
      <w:r w:rsidRPr="00955EB7">
        <w:rPr>
          <w:rFonts w:asciiTheme="minorHAnsi" w:hAnsiTheme="minorHAnsi" w:cstheme="minorHAnsi"/>
          <w:i/>
        </w:rPr>
        <w:t>Gibbons</w:t>
      </w:r>
      <w:r w:rsidRPr="00955EB7">
        <w:rPr>
          <w:rFonts w:asciiTheme="minorHAnsi" w:hAnsiTheme="minorHAnsi" w:cstheme="minorHAnsi"/>
          <w:szCs w:val="22"/>
        </w:rPr>
        <w:t>).</w:t>
      </w:r>
      <w:r w:rsidRPr="00955EB7">
        <w:rPr>
          <w:rStyle w:val="FootnoteReference"/>
          <w:rFonts w:asciiTheme="minorHAnsi" w:hAnsiTheme="minorHAnsi" w:cstheme="minorHAnsi"/>
          <w:szCs w:val="22"/>
        </w:rPr>
        <w:footnoteReference w:id="87"/>
      </w:r>
      <w:r w:rsidR="00F30296" w:rsidRPr="00955EB7">
        <w:rPr>
          <w:rFonts w:asciiTheme="minorHAnsi" w:hAnsiTheme="minorHAnsi" w:cstheme="minorHAnsi"/>
          <w:szCs w:val="22"/>
        </w:rPr>
        <w:t xml:space="preserve"> This decision appears to confirm that a person who lacks the mental capacity to understand the nature of the transaction cannot appoint an agent.</w:t>
      </w:r>
      <w:r w:rsidR="00F30296" w:rsidRPr="00955EB7">
        <w:rPr>
          <w:rStyle w:val="FootnoteReference"/>
          <w:rFonts w:asciiTheme="minorHAnsi" w:hAnsiTheme="minorHAnsi" w:cstheme="minorHAnsi"/>
          <w:szCs w:val="22"/>
        </w:rPr>
        <w:footnoteReference w:id="88"/>
      </w:r>
      <w:r w:rsidR="006201F2" w:rsidRPr="00955EB7">
        <w:rPr>
          <w:rFonts w:asciiTheme="minorHAnsi" w:hAnsiTheme="minorHAnsi" w:cstheme="minorHAnsi"/>
          <w:szCs w:val="22"/>
        </w:rPr>
        <w:t xml:space="preserve"> If </w:t>
      </w:r>
      <w:r w:rsidR="006201F2" w:rsidRPr="00955EB7">
        <w:rPr>
          <w:rFonts w:asciiTheme="minorHAnsi" w:hAnsiTheme="minorHAnsi" w:cstheme="minorHAnsi"/>
          <w:i/>
        </w:rPr>
        <w:t xml:space="preserve">Gibbons </w:t>
      </w:r>
      <w:r w:rsidR="006201F2" w:rsidRPr="00955EB7">
        <w:rPr>
          <w:rFonts w:asciiTheme="minorHAnsi" w:hAnsiTheme="minorHAnsi" w:cstheme="minorHAnsi"/>
        </w:rPr>
        <w:t xml:space="preserve">is to be understood as </w:t>
      </w:r>
      <w:r w:rsidR="00CE1640">
        <w:rPr>
          <w:rFonts w:asciiTheme="minorHAnsi" w:hAnsiTheme="minorHAnsi" w:cstheme="minorHAnsi"/>
        </w:rPr>
        <w:t>‘</w:t>
      </w:r>
      <w:r w:rsidR="006201F2" w:rsidRPr="00955EB7">
        <w:rPr>
          <w:rFonts w:asciiTheme="minorHAnsi" w:hAnsiTheme="minorHAnsi" w:cstheme="minorHAnsi"/>
        </w:rPr>
        <w:t>an accurate statement of the law</w:t>
      </w:r>
      <w:r w:rsidR="00CE1640">
        <w:rPr>
          <w:rFonts w:asciiTheme="minorHAnsi" w:hAnsiTheme="minorHAnsi" w:cstheme="minorHAnsi"/>
        </w:rPr>
        <w:t>’</w:t>
      </w:r>
      <w:r w:rsidR="006201F2" w:rsidRPr="00955EB7">
        <w:rPr>
          <w:rFonts w:asciiTheme="minorHAnsi" w:hAnsiTheme="minorHAnsi" w:cstheme="minorHAnsi"/>
        </w:rPr>
        <w:t xml:space="preserve"> which confirms an exception from the </w:t>
      </w:r>
      <w:r w:rsidR="006201F2" w:rsidRPr="00955EB7">
        <w:rPr>
          <w:rFonts w:asciiTheme="minorHAnsi" w:hAnsiTheme="minorHAnsi" w:cstheme="minorHAnsi"/>
          <w:i/>
        </w:rPr>
        <w:t>Imperial Loan</w:t>
      </w:r>
      <w:r w:rsidR="006201F2" w:rsidRPr="00955EB7">
        <w:rPr>
          <w:rFonts w:asciiTheme="minorHAnsi" w:hAnsiTheme="minorHAnsi" w:cstheme="minorHAnsi"/>
        </w:rPr>
        <w:t xml:space="preserve"> rule in an agency context, this exception is </w:t>
      </w:r>
      <w:r w:rsidR="00CE1640">
        <w:rPr>
          <w:rFonts w:asciiTheme="minorHAnsi" w:hAnsiTheme="minorHAnsi" w:cstheme="minorHAnsi"/>
        </w:rPr>
        <w:t>‘</w:t>
      </w:r>
      <w:r w:rsidR="006201F2" w:rsidRPr="00955EB7">
        <w:rPr>
          <w:rFonts w:asciiTheme="minorHAnsi" w:hAnsiTheme="minorHAnsi" w:cstheme="minorHAnsi"/>
        </w:rPr>
        <w:t>odd</w:t>
      </w:r>
      <w:r w:rsidR="00CE1640">
        <w:rPr>
          <w:rFonts w:asciiTheme="minorHAnsi" w:hAnsiTheme="minorHAnsi" w:cstheme="minorHAnsi"/>
        </w:rPr>
        <w:t>’</w:t>
      </w:r>
      <w:r w:rsidR="006201F2" w:rsidRPr="00955EB7">
        <w:rPr>
          <w:rFonts w:asciiTheme="minorHAnsi" w:hAnsiTheme="minorHAnsi" w:cstheme="minorHAnsi"/>
        </w:rPr>
        <w:t>.</w:t>
      </w:r>
      <w:r w:rsidR="006201F2" w:rsidRPr="00955EB7">
        <w:rPr>
          <w:rStyle w:val="FootnoteReference"/>
          <w:rFonts w:asciiTheme="minorHAnsi" w:hAnsiTheme="minorHAnsi" w:cstheme="minorHAnsi"/>
        </w:rPr>
        <w:footnoteReference w:id="89"/>
      </w:r>
      <w:r w:rsidR="006201F2" w:rsidRPr="00955EB7">
        <w:rPr>
          <w:rFonts w:asciiTheme="minorHAnsi" w:hAnsiTheme="minorHAnsi" w:cstheme="minorHAnsi"/>
        </w:rPr>
        <w:t xml:space="preserve"> More likely, however, is that the court in </w:t>
      </w:r>
      <w:r w:rsidR="006201F2" w:rsidRPr="00955EB7">
        <w:rPr>
          <w:rFonts w:asciiTheme="minorHAnsi" w:hAnsiTheme="minorHAnsi" w:cstheme="minorHAnsi"/>
          <w:i/>
        </w:rPr>
        <w:t xml:space="preserve">Gibbons </w:t>
      </w:r>
      <w:r w:rsidR="006201F2" w:rsidRPr="00955EB7">
        <w:rPr>
          <w:rFonts w:asciiTheme="minorHAnsi" w:hAnsiTheme="minorHAnsi" w:cstheme="minorHAnsi"/>
        </w:rPr>
        <w:t xml:space="preserve">appears to have </w:t>
      </w:r>
      <w:r w:rsidR="00CE1640">
        <w:rPr>
          <w:rFonts w:asciiTheme="minorHAnsi" w:hAnsiTheme="minorHAnsi" w:cstheme="minorHAnsi"/>
        </w:rPr>
        <w:t>‘</w:t>
      </w:r>
      <w:r w:rsidR="006201F2" w:rsidRPr="00955EB7">
        <w:rPr>
          <w:rFonts w:asciiTheme="minorHAnsi" w:hAnsiTheme="minorHAnsi" w:cstheme="minorHAnsi"/>
        </w:rPr>
        <w:t>misread</w:t>
      </w:r>
      <w:r w:rsidR="00CE1640">
        <w:rPr>
          <w:rFonts w:asciiTheme="minorHAnsi" w:hAnsiTheme="minorHAnsi" w:cstheme="minorHAnsi"/>
        </w:rPr>
        <w:t>’</w:t>
      </w:r>
      <w:r w:rsidR="006201F2" w:rsidRPr="00955EB7">
        <w:rPr>
          <w:rFonts w:asciiTheme="minorHAnsi" w:hAnsiTheme="minorHAnsi" w:cstheme="minorHAnsi"/>
        </w:rPr>
        <w:t xml:space="preserve"> its previous decision in </w:t>
      </w:r>
      <w:r w:rsidR="006B5C55" w:rsidRPr="006B5C55">
        <w:rPr>
          <w:rFonts w:asciiTheme="minorHAnsi" w:hAnsiTheme="minorHAnsi" w:cstheme="minorHAnsi"/>
          <w:i/>
        </w:rPr>
        <w:t>McLaughlin</w:t>
      </w:r>
      <w:r w:rsidR="00011CC1" w:rsidRPr="00955EB7">
        <w:rPr>
          <w:rFonts w:asciiTheme="minorHAnsi" w:hAnsiTheme="minorHAnsi" w:cstheme="minorHAnsi"/>
        </w:rPr>
        <w:t>,</w:t>
      </w:r>
      <w:r w:rsidR="006201F2" w:rsidRPr="00955EB7">
        <w:rPr>
          <w:rStyle w:val="FootnoteReference"/>
          <w:rFonts w:asciiTheme="minorHAnsi" w:hAnsiTheme="minorHAnsi" w:cstheme="minorHAnsi"/>
        </w:rPr>
        <w:footnoteReference w:id="90"/>
      </w:r>
      <w:r w:rsidR="00011CC1" w:rsidRPr="00955EB7">
        <w:rPr>
          <w:rFonts w:asciiTheme="minorHAnsi" w:hAnsiTheme="minorHAnsi" w:cstheme="minorHAnsi"/>
        </w:rPr>
        <w:t xml:space="preserve"> which found that A could not execute a power of attorney on the basis of the </w:t>
      </w:r>
      <w:proofErr w:type="spellStart"/>
      <w:r w:rsidR="00011CC1" w:rsidRPr="00955EB7">
        <w:rPr>
          <w:rFonts w:asciiTheme="minorHAnsi" w:hAnsiTheme="minorHAnsi" w:cstheme="minorHAnsi"/>
          <w:i/>
        </w:rPr>
        <w:t>non est</w:t>
      </w:r>
      <w:proofErr w:type="spellEnd"/>
      <w:r w:rsidR="00011CC1" w:rsidRPr="00955EB7">
        <w:rPr>
          <w:rFonts w:asciiTheme="minorHAnsi" w:hAnsiTheme="minorHAnsi" w:cstheme="minorHAnsi"/>
          <w:i/>
        </w:rPr>
        <w:t xml:space="preserve"> factum</w:t>
      </w:r>
      <w:r w:rsidR="00011CC1" w:rsidRPr="00955EB7">
        <w:rPr>
          <w:rFonts w:asciiTheme="minorHAnsi" w:hAnsiTheme="minorHAnsi" w:cstheme="minorHAnsi"/>
        </w:rPr>
        <w:t xml:space="preserve"> doctrine. Furthermore, as Watts accurately notes, cases referred to in </w:t>
      </w:r>
      <w:r w:rsidR="00011CC1" w:rsidRPr="00955EB7">
        <w:rPr>
          <w:rFonts w:asciiTheme="minorHAnsi" w:hAnsiTheme="minorHAnsi" w:cstheme="minorHAnsi"/>
          <w:i/>
        </w:rPr>
        <w:t xml:space="preserve">Gibbons </w:t>
      </w:r>
      <w:r w:rsidR="00011CC1" w:rsidRPr="00955EB7">
        <w:rPr>
          <w:rFonts w:asciiTheme="minorHAnsi" w:hAnsiTheme="minorHAnsi" w:cstheme="minorHAnsi"/>
        </w:rPr>
        <w:t xml:space="preserve">to support the non-application of the </w:t>
      </w:r>
      <w:r w:rsidR="00011CC1" w:rsidRPr="00955EB7">
        <w:rPr>
          <w:rFonts w:asciiTheme="minorHAnsi" w:hAnsiTheme="minorHAnsi" w:cstheme="minorHAnsi"/>
          <w:i/>
        </w:rPr>
        <w:t>Imperial Loan</w:t>
      </w:r>
      <w:r w:rsidR="00011CC1" w:rsidRPr="00955EB7">
        <w:rPr>
          <w:rFonts w:asciiTheme="minorHAnsi" w:hAnsiTheme="minorHAnsi" w:cstheme="minorHAnsi"/>
        </w:rPr>
        <w:t xml:space="preserve"> rule to agency contracts</w:t>
      </w:r>
      <w:r w:rsidR="00011CC1" w:rsidRPr="00955EB7">
        <w:rPr>
          <w:rStyle w:val="FootnoteReference"/>
          <w:rFonts w:asciiTheme="minorHAnsi" w:hAnsiTheme="minorHAnsi" w:cstheme="minorHAnsi"/>
        </w:rPr>
        <w:footnoteReference w:id="91"/>
      </w:r>
      <w:r w:rsidR="00011CC1" w:rsidRPr="00955EB7">
        <w:rPr>
          <w:rFonts w:asciiTheme="minorHAnsi" w:hAnsiTheme="minorHAnsi" w:cstheme="minorHAnsi"/>
        </w:rPr>
        <w:t xml:space="preserve"> do not support that approach on closer inspection.</w:t>
      </w:r>
      <w:r w:rsidR="00011CC1" w:rsidRPr="00955EB7">
        <w:rPr>
          <w:rStyle w:val="FootnoteReference"/>
          <w:rFonts w:asciiTheme="minorHAnsi" w:hAnsiTheme="minorHAnsi" w:cstheme="minorHAnsi"/>
        </w:rPr>
        <w:footnoteReference w:id="92"/>
      </w:r>
      <w:r w:rsidR="005C4101" w:rsidRPr="00955EB7">
        <w:rPr>
          <w:rFonts w:asciiTheme="minorHAnsi" w:hAnsiTheme="minorHAnsi" w:cstheme="minorHAnsi"/>
        </w:rPr>
        <w:t xml:space="preserve"> For example, </w:t>
      </w:r>
      <w:bookmarkStart w:id="41" w:name="_Hlk531867771"/>
      <w:r w:rsidR="005C4101" w:rsidRPr="00955EB7">
        <w:rPr>
          <w:rFonts w:asciiTheme="minorHAnsi" w:hAnsiTheme="minorHAnsi" w:cstheme="minorHAnsi"/>
          <w:i/>
        </w:rPr>
        <w:t xml:space="preserve">Elliot </w:t>
      </w:r>
      <w:bookmarkEnd w:id="41"/>
      <w:r w:rsidR="005C4101" w:rsidRPr="00955EB7">
        <w:rPr>
          <w:rFonts w:asciiTheme="minorHAnsi" w:hAnsiTheme="minorHAnsi" w:cstheme="minorHAnsi"/>
          <w:i/>
        </w:rPr>
        <w:t xml:space="preserve">v Ince </w:t>
      </w:r>
      <w:r w:rsidR="005C4101" w:rsidRPr="00955EB7">
        <w:rPr>
          <w:rFonts w:asciiTheme="minorHAnsi" w:hAnsiTheme="minorHAnsi" w:cstheme="minorHAnsi"/>
        </w:rPr>
        <w:t>is concerned with a gift rather than a contract,</w:t>
      </w:r>
      <w:r w:rsidR="005C4101" w:rsidRPr="00955EB7">
        <w:rPr>
          <w:rStyle w:val="FootnoteReference"/>
          <w:rFonts w:asciiTheme="minorHAnsi" w:hAnsiTheme="minorHAnsi" w:cstheme="minorHAnsi"/>
        </w:rPr>
        <w:footnoteReference w:id="93"/>
      </w:r>
      <w:r w:rsidR="00C8344A" w:rsidRPr="00955EB7">
        <w:rPr>
          <w:rFonts w:asciiTheme="minorHAnsi" w:hAnsiTheme="minorHAnsi" w:cstheme="minorHAnsi"/>
        </w:rPr>
        <w:t xml:space="preserve"> </w:t>
      </w:r>
      <w:r w:rsidR="00C8344A" w:rsidRPr="00955EB7">
        <w:rPr>
          <w:rFonts w:asciiTheme="minorHAnsi" w:hAnsiTheme="minorHAnsi" w:cstheme="minorHAnsi"/>
          <w:i/>
        </w:rPr>
        <w:t>Stead v Thornton</w:t>
      </w:r>
      <w:r w:rsidR="00C8344A" w:rsidRPr="00955EB7">
        <w:rPr>
          <w:rFonts w:asciiTheme="minorHAnsi" w:hAnsiTheme="minorHAnsi" w:cstheme="minorHAnsi"/>
        </w:rPr>
        <w:t xml:space="preserve"> and </w:t>
      </w:r>
      <w:r w:rsidR="00C8344A" w:rsidRPr="00955EB7">
        <w:rPr>
          <w:rFonts w:asciiTheme="minorHAnsi" w:hAnsiTheme="minorHAnsi" w:cstheme="minorHAnsi"/>
          <w:i/>
        </w:rPr>
        <w:t>Tarbuck v Bispham</w:t>
      </w:r>
      <w:r w:rsidR="00C8344A" w:rsidRPr="00955EB7">
        <w:rPr>
          <w:rFonts w:asciiTheme="minorHAnsi" w:hAnsiTheme="minorHAnsi" w:cstheme="minorHAnsi"/>
        </w:rPr>
        <w:t xml:space="preserve"> involve situations where B had knowledge of A’s mental incapacity,</w:t>
      </w:r>
      <w:r w:rsidR="00C8344A" w:rsidRPr="00955EB7">
        <w:rPr>
          <w:rStyle w:val="FootnoteReference"/>
          <w:rFonts w:asciiTheme="minorHAnsi" w:hAnsiTheme="minorHAnsi" w:cstheme="minorHAnsi"/>
        </w:rPr>
        <w:footnoteReference w:id="94"/>
      </w:r>
      <w:r w:rsidR="00C8344A" w:rsidRPr="00955EB7">
        <w:rPr>
          <w:rFonts w:asciiTheme="minorHAnsi" w:hAnsiTheme="minorHAnsi" w:cstheme="minorHAnsi"/>
        </w:rPr>
        <w:t xml:space="preserve"> as did the case of </w:t>
      </w:r>
      <w:r w:rsidR="00C8344A" w:rsidRPr="00955EB7">
        <w:rPr>
          <w:rFonts w:asciiTheme="minorHAnsi" w:hAnsiTheme="minorHAnsi" w:cstheme="minorHAnsi"/>
          <w:i/>
        </w:rPr>
        <w:t>Drew v Nunn</w:t>
      </w:r>
      <w:r w:rsidR="00C8344A" w:rsidRPr="00955EB7">
        <w:rPr>
          <w:rFonts w:asciiTheme="minorHAnsi" w:hAnsiTheme="minorHAnsi" w:cstheme="minorHAnsi"/>
        </w:rPr>
        <w:t xml:space="preserve"> (</w:t>
      </w:r>
      <w:r w:rsidR="00C8344A" w:rsidRPr="00955EB7">
        <w:rPr>
          <w:rFonts w:asciiTheme="minorHAnsi" w:hAnsiTheme="minorHAnsi" w:cstheme="minorHAnsi"/>
          <w:i/>
        </w:rPr>
        <w:t>Drew</w:t>
      </w:r>
      <w:r w:rsidR="00C8344A" w:rsidRPr="00955EB7">
        <w:rPr>
          <w:rFonts w:asciiTheme="minorHAnsi" w:hAnsiTheme="minorHAnsi" w:cstheme="minorHAnsi"/>
        </w:rPr>
        <w:t>) which was decided on the basis of apparent authority,</w:t>
      </w:r>
      <w:r w:rsidR="00C8344A" w:rsidRPr="00955EB7">
        <w:rPr>
          <w:rStyle w:val="FootnoteReference"/>
          <w:rFonts w:asciiTheme="minorHAnsi" w:hAnsiTheme="minorHAnsi" w:cstheme="minorHAnsi"/>
        </w:rPr>
        <w:footnoteReference w:id="95"/>
      </w:r>
      <w:r w:rsidR="00C8344A" w:rsidRPr="00955EB7">
        <w:rPr>
          <w:rFonts w:asciiTheme="minorHAnsi" w:hAnsiTheme="minorHAnsi" w:cstheme="minorHAnsi"/>
        </w:rPr>
        <w:t xml:space="preserve"> while in </w:t>
      </w:r>
      <w:r w:rsidR="00C8344A" w:rsidRPr="00955EB7">
        <w:rPr>
          <w:rFonts w:asciiTheme="minorHAnsi" w:hAnsiTheme="minorHAnsi" w:cstheme="minorHAnsi"/>
          <w:i/>
          <w:szCs w:val="22"/>
        </w:rPr>
        <w:t>Yonge</w:t>
      </w:r>
      <w:r w:rsidR="00C8344A" w:rsidRPr="00955EB7">
        <w:rPr>
          <w:rFonts w:asciiTheme="minorHAnsi" w:hAnsiTheme="minorHAnsi" w:cstheme="minorHAnsi"/>
          <w:szCs w:val="22"/>
        </w:rPr>
        <w:t>, the automatic termination of B’s authority by A’s mental incapacity was assumed without further analysis</w:t>
      </w:r>
      <w:r w:rsidR="00C8344A" w:rsidRPr="00955EB7">
        <w:rPr>
          <w:rFonts w:asciiTheme="minorHAnsi" w:hAnsiTheme="minorHAnsi" w:cstheme="minorHAnsi"/>
        </w:rPr>
        <w:t>.</w:t>
      </w:r>
      <w:r w:rsidR="00C8344A" w:rsidRPr="00955EB7">
        <w:rPr>
          <w:rStyle w:val="FootnoteReference"/>
          <w:rFonts w:asciiTheme="minorHAnsi" w:hAnsiTheme="minorHAnsi" w:cstheme="minorHAnsi"/>
        </w:rPr>
        <w:footnoteReference w:id="96"/>
      </w:r>
    </w:p>
    <w:p w14:paraId="6A73FBA0" w14:textId="77777777" w:rsidR="00BC5DD5" w:rsidRDefault="00BC5DD5" w:rsidP="00A06D14">
      <w:pPr>
        <w:spacing w:line="360" w:lineRule="auto"/>
        <w:rPr>
          <w:rFonts w:asciiTheme="minorHAnsi" w:hAnsiTheme="minorHAnsi" w:cstheme="minorHAnsi"/>
          <w:szCs w:val="22"/>
        </w:rPr>
      </w:pPr>
    </w:p>
    <w:p w14:paraId="6E5C2E79" w14:textId="7AB44ACF" w:rsidR="00C8344A" w:rsidRPr="00955EB7" w:rsidRDefault="00C8344A"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If agency contracts were to be rendered automatically void by A’s mental incapacity, as appeared to be suggested in </w:t>
      </w:r>
      <w:r w:rsidRPr="00955EB7">
        <w:rPr>
          <w:rFonts w:asciiTheme="minorHAnsi" w:hAnsiTheme="minorHAnsi" w:cstheme="minorHAnsi"/>
          <w:i/>
          <w:szCs w:val="22"/>
        </w:rPr>
        <w:t>Yonge</w:t>
      </w:r>
      <w:r w:rsidRPr="00955EB7">
        <w:rPr>
          <w:rFonts w:asciiTheme="minorHAnsi" w:hAnsiTheme="minorHAnsi" w:cstheme="minorHAnsi"/>
          <w:szCs w:val="22"/>
        </w:rPr>
        <w:t xml:space="preserve">, </w:t>
      </w:r>
      <w:r w:rsidR="00216A78" w:rsidRPr="00955EB7">
        <w:rPr>
          <w:rFonts w:asciiTheme="minorHAnsi" w:hAnsiTheme="minorHAnsi" w:cstheme="minorHAnsi"/>
          <w:szCs w:val="22"/>
        </w:rPr>
        <w:t>B would be left with insufficient protection.</w:t>
      </w:r>
      <w:r w:rsidR="00216A78" w:rsidRPr="00955EB7">
        <w:rPr>
          <w:rStyle w:val="FootnoteReference"/>
          <w:rFonts w:asciiTheme="minorHAnsi" w:hAnsiTheme="minorHAnsi" w:cstheme="minorHAnsi"/>
          <w:szCs w:val="22"/>
        </w:rPr>
        <w:footnoteReference w:id="97"/>
      </w:r>
      <w:r w:rsidR="00216A78" w:rsidRPr="00955EB7">
        <w:rPr>
          <w:rFonts w:asciiTheme="minorHAnsi" w:hAnsiTheme="minorHAnsi" w:cstheme="minorHAnsi"/>
          <w:szCs w:val="22"/>
        </w:rPr>
        <w:t xml:space="preserve"> B would automatically lose his actual authority to act on A’s behalf, irrespective of his knowledge of A’s mental incapacity. Under this approach, in the choice between two innocents (A and B), A appears to receive absolute protection to B’s detriment (although, as it will be discussed below, this approach fails to consider A’s wishes, as it renders the contract void rather than voidable). Once B loses the authority to act on A’s behalf, he becomes vulnerable to liability for breach of warranty of authority under </w:t>
      </w:r>
      <w:r w:rsidR="00105E5E" w:rsidRPr="00955EB7">
        <w:rPr>
          <w:rFonts w:asciiTheme="minorHAnsi" w:hAnsiTheme="minorHAnsi" w:cstheme="minorHAnsi"/>
          <w:szCs w:val="22"/>
        </w:rPr>
        <w:t>the</w:t>
      </w:r>
      <w:r w:rsidR="00216A78" w:rsidRPr="00955EB7">
        <w:rPr>
          <w:rFonts w:asciiTheme="minorHAnsi" w:hAnsiTheme="minorHAnsi" w:cstheme="minorHAnsi"/>
          <w:szCs w:val="22"/>
        </w:rPr>
        <w:t xml:space="preserve"> implied collateral contract with C,</w:t>
      </w:r>
      <w:r w:rsidR="00216A78" w:rsidRPr="00955EB7">
        <w:rPr>
          <w:rStyle w:val="FootnoteReference"/>
          <w:rFonts w:asciiTheme="minorHAnsi" w:hAnsiTheme="minorHAnsi" w:cstheme="minorHAnsi"/>
          <w:szCs w:val="22"/>
        </w:rPr>
        <w:footnoteReference w:id="98"/>
      </w:r>
      <w:r w:rsidR="00216A78" w:rsidRPr="00955EB7">
        <w:rPr>
          <w:rFonts w:asciiTheme="minorHAnsi" w:hAnsiTheme="minorHAnsi" w:cstheme="minorHAnsi"/>
          <w:szCs w:val="22"/>
        </w:rPr>
        <w:t xml:space="preserve"> unless C is aware that B acted outside authority.</w:t>
      </w:r>
      <w:r w:rsidR="00216A78" w:rsidRPr="00955EB7">
        <w:rPr>
          <w:rStyle w:val="FootnoteReference"/>
          <w:rFonts w:asciiTheme="minorHAnsi" w:hAnsiTheme="minorHAnsi" w:cstheme="minorHAnsi"/>
          <w:szCs w:val="22"/>
        </w:rPr>
        <w:footnoteReference w:id="99"/>
      </w:r>
      <w:r w:rsidR="00FD3D14" w:rsidRPr="00955EB7">
        <w:rPr>
          <w:rFonts w:asciiTheme="minorHAnsi" w:hAnsiTheme="minorHAnsi" w:cstheme="minorHAnsi"/>
          <w:szCs w:val="22"/>
        </w:rPr>
        <w:t xml:space="preserve"> Once again, </w:t>
      </w:r>
      <w:r w:rsidR="00AB28FC" w:rsidRPr="00955EB7">
        <w:rPr>
          <w:rFonts w:asciiTheme="minorHAnsi" w:hAnsiTheme="minorHAnsi" w:cstheme="minorHAnsi"/>
          <w:szCs w:val="22"/>
        </w:rPr>
        <w:t xml:space="preserve">B’s knowledge </w:t>
      </w:r>
      <w:r w:rsidR="00AB28FC" w:rsidRPr="00955EB7">
        <w:rPr>
          <w:rFonts w:asciiTheme="minorHAnsi" w:hAnsiTheme="minorHAnsi" w:cstheme="minorHAnsi"/>
          <w:szCs w:val="22"/>
        </w:rPr>
        <w:lastRenderedPageBreak/>
        <w:t>of the loss of authority is irrelevant</w:t>
      </w:r>
      <w:r w:rsidR="00AB28FC" w:rsidRPr="00955EB7">
        <w:rPr>
          <w:rStyle w:val="FootnoteReference"/>
          <w:rFonts w:asciiTheme="minorHAnsi" w:hAnsiTheme="minorHAnsi" w:cstheme="minorHAnsi"/>
          <w:szCs w:val="22"/>
        </w:rPr>
        <w:footnoteReference w:id="100"/>
      </w:r>
      <w:r w:rsidR="00AB28FC" w:rsidRPr="00955EB7">
        <w:rPr>
          <w:rFonts w:asciiTheme="minorHAnsi" w:hAnsiTheme="minorHAnsi" w:cstheme="minorHAnsi"/>
          <w:szCs w:val="22"/>
        </w:rPr>
        <w:t xml:space="preserve"> and once again, at a choice between two innocents (this time the choice being between B and C), B loses out.</w:t>
      </w:r>
      <w:r w:rsidR="00AB28FC" w:rsidRPr="00955EB7">
        <w:rPr>
          <w:rStyle w:val="FootnoteReference"/>
          <w:rFonts w:asciiTheme="minorHAnsi" w:hAnsiTheme="minorHAnsi" w:cstheme="minorHAnsi"/>
          <w:szCs w:val="22"/>
        </w:rPr>
        <w:footnoteReference w:id="101"/>
      </w:r>
      <w:r w:rsidR="005E0925" w:rsidRPr="00955EB7">
        <w:rPr>
          <w:rFonts w:asciiTheme="minorHAnsi" w:hAnsiTheme="minorHAnsi" w:cstheme="minorHAnsi"/>
          <w:szCs w:val="22"/>
        </w:rPr>
        <w:t xml:space="preserve"> This would be a double blow for B, and the difficulty would stem from a framework where the </w:t>
      </w:r>
      <w:r w:rsidR="005E0925" w:rsidRPr="00955EB7">
        <w:rPr>
          <w:rFonts w:asciiTheme="minorHAnsi" w:hAnsiTheme="minorHAnsi" w:cstheme="minorHAnsi"/>
          <w:i/>
          <w:szCs w:val="22"/>
        </w:rPr>
        <w:t>Imperial Loan</w:t>
      </w:r>
      <w:r w:rsidR="005E0925" w:rsidRPr="00955EB7">
        <w:rPr>
          <w:rFonts w:asciiTheme="minorHAnsi" w:hAnsiTheme="minorHAnsi" w:cstheme="minorHAnsi"/>
          <w:szCs w:val="22"/>
        </w:rPr>
        <w:t xml:space="preserve"> rule did not apply to the agency contract between A and B and where B’s knowledge of A’s mental incapacity was irrelevant.</w:t>
      </w:r>
    </w:p>
    <w:p w14:paraId="6EB8908C" w14:textId="77777777" w:rsidR="00BC5DD5" w:rsidRDefault="00BC5DD5" w:rsidP="00A06D14">
      <w:pPr>
        <w:spacing w:line="360" w:lineRule="auto"/>
        <w:rPr>
          <w:rFonts w:asciiTheme="minorHAnsi" w:hAnsiTheme="minorHAnsi" w:cstheme="minorHAnsi"/>
          <w:szCs w:val="22"/>
        </w:rPr>
      </w:pPr>
    </w:p>
    <w:p w14:paraId="79F46D1E" w14:textId="7E892760" w:rsidR="005E0925" w:rsidRPr="00955EB7" w:rsidRDefault="005E0925"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On the other hand, in a framework that does apply </w:t>
      </w:r>
      <w:r w:rsidR="00A4482E" w:rsidRPr="00955EB7">
        <w:rPr>
          <w:rFonts w:asciiTheme="minorHAnsi" w:hAnsiTheme="minorHAnsi" w:cstheme="minorHAnsi"/>
          <w:szCs w:val="22"/>
        </w:rPr>
        <w:t xml:space="preserve">the </w:t>
      </w:r>
      <w:r w:rsidR="00A4482E" w:rsidRPr="00955EB7">
        <w:rPr>
          <w:rFonts w:asciiTheme="minorHAnsi" w:hAnsiTheme="minorHAnsi" w:cstheme="minorHAnsi"/>
          <w:i/>
          <w:szCs w:val="22"/>
        </w:rPr>
        <w:t>Imperial Loan</w:t>
      </w:r>
      <w:r w:rsidR="00A4482E" w:rsidRPr="00955EB7">
        <w:rPr>
          <w:rFonts w:asciiTheme="minorHAnsi" w:hAnsiTheme="minorHAnsi" w:cstheme="minorHAnsi"/>
          <w:szCs w:val="22"/>
        </w:rPr>
        <w:t xml:space="preserve"> rule to agency contracts, the contract between A and B is rendered voidable (rather than void) only if B had knowledge </w:t>
      </w:r>
      <w:r w:rsidR="000518EF" w:rsidRPr="00955EB7">
        <w:rPr>
          <w:rFonts w:asciiTheme="minorHAnsi" w:hAnsiTheme="minorHAnsi" w:cstheme="minorHAnsi"/>
          <w:szCs w:val="22"/>
        </w:rPr>
        <w:t>of A’s mental incapacity. Therefore, B would lose his actual authority to act on A’s behalf if he knew or ought to have known about A’s mental incapacity, and there is an argument that even in such circumstances, B may retain residual authority to take steps that would protect A’s interests.</w:t>
      </w:r>
      <w:r w:rsidR="000518EF" w:rsidRPr="00955EB7">
        <w:rPr>
          <w:rStyle w:val="FootnoteReference"/>
          <w:rFonts w:asciiTheme="minorHAnsi" w:hAnsiTheme="minorHAnsi" w:cstheme="minorHAnsi"/>
          <w:szCs w:val="22"/>
        </w:rPr>
        <w:footnoteReference w:id="102"/>
      </w:r>
      <w:r w:rsidR="00E62962" w:rsidRPr="00955EB7">
        <w:rPr>
          <w:rFonts w:asciiTheme="minorHAnsi" w:hAnsiTheme="minorHAnsi" w:cstheme="minorHAnsi"/>
          <w:szCs w:val="22"/>
        </w:rPr>
        <w:t xml:space="preserve"> Then, when examining B’s potential liability under his collateral contract with C, B’s liability for breach of warranty of authority would depend on whether B had originally lost his actual authority under the contract with A, based on his knowledge of A’s mental incapacity and on the scope of any residual authority to act on A’s behalf.</w:t>
      </w:r>
      <w:r w:rsidR="00E62962" w:rsidRPr="00955EB7">
        <w:rPr>
          <w:rStyle w:val="FootnoteReference"/>
          <w:rFonts w:asciiTheme="minorHAnsi" w:hAnsiTheme="minorHAnsi" w:cstheme="minorHAnsi"/>
          <w:szCs w:val="22"/>
        </w:rPr>
        <w:footnoteReference w:id="103"/>
      </w:r>
      <w:r w:rsidR="00E62962" w:rsidRPr="00955EB7">
        <w:rPr>
          <w:rFonts w:asciiTheme="minorHAnsi" w:hAnsiTheme="minorHAnsi" w:cstheme="minorHAnsi"/>
          <w:szCs w:val="22"/>
        </w:rPr>
        <w:t xml:space="preserve"> Consequently, B’s knowledge (which should include both actual and constructive knowledge) of A’s mental incapacity becomes indirectly relevant for assessing B’s potential liability under the collateral contract between B and C. </w:t>
      </w:r>
    </w:p>
    <w:p w14:paraId="21A0850C" w14:textId="77777777" w:rsidR="00BC5DD5" w:rsidRDefault="00BC5DD5" w:rsidP="00A06D14">
      <w:pPr>
        <w:spacing w:line="360" w:lineRule="auto"/>
        <w:rPr>
          <w:rFonts w:asciiTheme="minorHAnsi" w:hAnsiTheme="minorHAnsi" w:cstheme="minorHAnsi"/>
          <w:szCs w:val="22"/>
        </w:rPr>
      </w:pPr>
    </w:p>
    <w:p w14:paraId="39D83E18" w14:textId="398E42AC" w:rsidR="00665CD5" w:rsidRPr="00955EB7" w:rsidRDefault="00E62962"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Such an approach would undermine </w:t>
      </w:r>
      <w:r w:rsidRPr="00955EB7">
        <w:rPr>
          <w:rFonts w:asciiTheme="minorHAnsi" w:hAnsiTheme="minorHAnsi" w:cstheme="minorHAnsi"/>
          <w:i/>
          <w:szCs w:val="22"/>
        </w:rPr>
        <w:t xml:space="preserve">Yonge </w:t>
      </w:r>
      <w:r w:rsidRPr="00955EB7">
        <w:rPr>
          <w:rFonts w:asciiTheme="minorHAnsi" w:hAnsiTheme="minorHAnsi" w:cstheme="minorHAnsi"/>
          <w:szCs w:val="22"/>
        </w:rPr>
        <w:t>(which could be explained as being isolated to its facts)</w:t>
      </w:r>
      <w:r w:rsidRPr="00955EB7">
        <w:rPr>
          <w:rStyle w:val="FootnoteReference"/>
          <w:rFonts w:asciiTheme="minorHAnsi" w:hAnsiTheme="minorHAnsi" w:cstheme="minorHAnsi"/>
          <w:szCs w:val="22"/>
        </w:rPr>
        <w:footnoteReference w:id="104"/>
      </w:r>
      <w:r w:rsidRPr="00955EB7">
        <w:rPr>
          <w:rFonts w:asciiTheme="minorHAnsi" w:hAnsiTheme="minorHAnsi" w:cstheme="minorHAnsi"/>
          <w:szCs w:val="22"/>
        </w:rPr>
        <w:t xml:space="preserve"> but would not necessarily undermine </w:t>
      </w:r>
      <w:r w:rsidRPr="00955EB7">
        <w:rPr>
          <w:rFonts w:asciiTheme="minorHAnsi" w:hAnsiTheme="minorHAnsi" w:cstheme="minorHAnsi"/>
          <w:i/>
          <w:szCs w:val="22"/>
        </w:rPr>
        <w:t>Collen</w:t>
      </w:r>
      <w:r w:rsidRPr="00955EB7">
        <w:rPr>
          <w:rFonts w:asciiTheme="minorHAnsi" w:hAnsiTheme="minorHAnsi" w:cstheme="minorHAnsi"/>
          <w:szCs w:val="22"/>
        </w:rPr>
        <w:t xml:space="preserve">, because </w:t>
      </w:r>
      <w:r w:rsidRPr="00955EB7">
        <w:rPr>
          <w:rFonts w:asciiTheme="minorHAnsi" w:hAnsiTheme="minorHAnsi" w:cstheme="minorHAnsi"/>
          <w:i/>
          <w:szCs w:val="22"/>
        </w:rPr>
        <w:t>Collen</w:t>
      </w:r>
      <w:r w:rsidRPr="00955EB7">
        <w:rPr>
          <w:rFonts w:asciiTheme="minorHAnsi" w:hAnsiTheme="minorHAnsi" w:cstheme="minorHAnsi"/>
          <w:szCs w:val="22"/>
        </w:rPr>
        <w:t xml:space="preserve"> </w:t>
      </w:r>
      <w:r w:rsidR="00CE1640">
        <w:rPr>
          <w:rFonts w:asciiTheme="minorHAnsi" w:hAnsiTheme="minorHAnsi" w:cstheme="minorHAnsi"/>
          <w:szCs w:val="22"/>
        </w:rPr>
        <w:t>‘</w:t>
      </w:r>
      <w:r w:rsidRPr="00955EB7">
        <w:rPr>
          <w:rFonts w:asciiTheme="minorHAnsi" w:hAnsiTheme="minorHAnsi" w:cstheme="minorHAnsi"/>
          <w:szCs w:val="22"/>
        </w:rPr>
        <w:t>left uncertain</w:t>
      </w:r>
      <w:r w:rsidR="00CE1640">
        <w:rPr>
          <w:rFonts w:asciiTheme="minorHAnsi" w:hAnsiTheme="minorHAnsi" w:cstheme="minorHAnsi"/>
          <w:szCs w:val="22"/>
        </w:rPr>
        <w:t>’</w:t>
      </w:r>
      <w:r w:rsidRPr="00955EB7">
        <w:rPr>
          <w:rFonts w:asciiTheme="minorHAnsi" w:hAnsiTheme="minorHAnsi" w:cstheme="minorHAnsi"/>
          <w:szCs w:val="22"/>
        </w:rPr>
        <w:t xml:space="preserve"> the time at which liability for breach of warranty of authority attached to B.</w:t>
      </w:r>
      <w:r w:rsidRPr="00955EB7">
        <w:rPr>
          <w:rStyle w:val="FootnoteReference"/>
          <w:rFonts w:asciiTheme="minorHAnsi" w:hAnsiTheme="minorHAnsi" w:cstheme="minorHAnsi"/>
          <w:szCs w:val="22"/>
        </w:rPr>
        <w:footnoteReference w:id="105"/>
      </w:r>
      <w:r w:rsidR="008F135B" w:rsidRPr="00955EB7">
        <w:rPr>
          <w:rFonts w:asciiTheme="minorHAnsi" w:hAnsiTheme="minorHAnsi" w:cstheme="minorHAnsi"/>
          <w:szCs w:val="22"/>
        </w:rPr>
        <w:t xml:space="preserve"> </w:t>
      </w:r>
      <w:r w:rsidR="000959E0" w:rsidRPr="00955EB7">
        <w:rPr>
          <w:rFonts w:asciiTheme="minorHAnsi" w:hAnsiTheme="minorHAnsi" w:cstheme="minorHAnsi"/>
          <w:i/>
          <w:szCs w:val="22"/>
        </w:rPr>
        <w:t>Yonge</w:t>
      </w:r>
      <w:r w:rsidR="000959E0" w:rsidRPr="00955EB7">
        <w:rPr>
          <w:rFonts w:asciiTheme="minorHAnsi" w:hAnsiTheme="minorHAnsi" w:cstheme="minorHAnsi"/>
          <w:szCs w:val="22"/>
        </w:rPr>
        <w:t xml:space="preserve"> took the view that liability attached </w:t>
      </w:r>
      <w:r w:rsidR="00955EB7" w:rsidRPr="00955EB7">
        <w:rPr>
          <w:rFonts w:asciiTheme="minorHAnsi" w:hAnsiTheme="minorHAnsi" w:cstheme="minorHAnsi"/>
          <w:szCs w:val="22"/>
        </w:rPr>
        <w:t>t</w:t>
      </w:r>
      <w:r w:rsidR="000959E0" w:rsidRPr="00955EB7">
        <w:rPr>
          <w:rFonts w:asciiTheme="minorHAnsi" w:hAnsiTheme="minorHAnsi" w:cstheme="minorHAnsi"/>
          <w:szCs w:val="22"/>
        </w:rPr>
        <w:t>o B as soon as authority ceased and that B’s authority ceased automatically with A’s loss if mental capacity.</w:t>
      </w:r>
      <w:r w:rsidR="000959E0" w:rsidRPr="00955EB7">
        <w:rPr>
          <w:rStyle w:val="FootnoteReference"/>
          <w:rFonts w:asciiTheme="minorHAnsi" w:hAnsiTheme="minorHAnsi" w:cstheme="minorHAnsi"/>
          <w:szCs w:val="22"/>
        </w:rPr>
        <w:footnoteReference w:id="106"/>
      </w:r>
      <w:r w:rsidR="000959E0" w:rsidRPr="00955EB7">
        <w:rPr>
          <w:rFonts w:asciiTheme="minorHAnsi" w:hAnsiTheme="minorHAnsi" w:cstheme="minorHAnsi"/>
          <w:szCs w:val="22"/>
        </w:rPr>
        <w:t xml:space="preserve"> However, if the </w:t>
      </w:r>
      <w:r w:rsidR="000959E0" w:rsidRPr="00955EB7">
        <w:rPr>
          <w:rFonts w:asciiTheme="minorHAnsi" w:hAnsiTheme="minorHAnsi" w:cstheme="minorHAnsi"/>
          <w:i/>
          <w:szCs w:val="22"/>
        </w:rPr>
        <w:t>Imperial Loan</w:t>
      </w:r>
      <w:r w:rsidR="000959E0" w:rsidRPr="00955EB7">
        <w:rPr>
          <w:rFonts w:asciiTheme="minorHAnsi" w:hAnsiTheme="minorHAnsi" w:cstheme="minorHAnsi"/>
          <w:szCs w:val="22"/>
        </w:rPr>
        <w:t xml:space="preserve"> rule applied in an agency context, liability could attach to B only once he had knowledge of A’s mental incapacity (and would depend, </w:t>
      </w:r>
      <w:r w:rsidR="000959E0" w:rsidRPr="00955EB7">
        <w:rPr>
          <w:rFonts w:asciiTheme="minorHAnsi" w:hAnsiTheme="minorHAnsi" w:cstheme="minorHAnsi"/>
          <w:i/>
          <w:szCs w:val="22"/>
        </w:rPr>
        <w:t>inter alia</w:t>
      </w:r>
      <w:r w:rsidR="000959E0" w:rsidRPr="00955EB7">
        <w:rPr>
          <w:rFonts w:asciiTheme="minorHAnsi" w:hAnsiTheme="minorHAnsi" w:cstheme="minorHAnsi"/>
          <w:szCs w:val="22"/>
        </w:rPr>
        <w:t>, on the scope of any residual authority that B may have).</w:t>
      </w:r>
      <w:r w:rsidR="000959E0" w:rsidRPr="00955EB7">
        <w:rPr>
          <w:rStyle w:val="FootnoteReference"/>
          <w:rFonts w:asciiTheme="minorHAnsi" w:hAnsiTheme="minorHAnsi" w:cstheme="minorHAnsi"/>
          <w:szCs w:val="22"/>
        </w:rPr>
        <w:footnoteReference w:id="107"/>
      </w:r>
      <w:r w:rsidR="000959E0" w:rsidRPr="00955EB7">
        <w:rPr>
          <w:rFonts w:asciiTheme="minorHAnsi" w:hAnsiTheme="minorHAnsi" w:cstheme="minorHAnsi"/>
          <w:szCs w:val="22"/>
        </w:rPr>
        <w:t xml:space="preserve"> The application of the </w:t>
      </w:r>
      <w:r w:rsidR="000959E0" w:rsidRPr="00955EB7">
        <w:rPr>
          <w:rFonts w:asciiTheme="minorHAnsi" w:hAnsiTheme="minorHAnsi" w:cstheme="minorHAnsi"/>
          <w:i/>
          <w:szCs w:val="22"/>
        </w:rPr>
        <w:t>Imperial Loan</w:t>
      </w:r>
      <w:r w:rsidR="000959E0" w:rsidRPr="00955EB7">
        <w:rPr>
          <w:rFonts w:asciiTheme="minorHAnsi" w:hAnsiTheme="minorHAnsi" w:cstheme="minorHAnsi"/>
          <w:szCs w:val="22"/>
        </w:rPr>
        <w:t xml:space="preserve"> rule to the agency context would resurrect, to some extent, the approach adopted in </w:t>
      </w:r>
      <w:r w:rsidR="000959E0" w:rsidRPr="00955EB7">
        <w:rPr>
          <w:rFonts w:asciiTheme="minorHAnsi" w:hAnsiTheme="minorHAnsi" w:cstheme="minorHAnsi"/>
          <w:i/>
          <w:szCs w:val="22"/>
        </w:rPr>
        <w:t>Smout v Ilbery</w:t>
      </w:r>
      <w:r w:rsidR="000959E0" w:rsidRPr="00955EB7">
        <w:rPr>
          <w:rFonts w:asciiTheme="minorHAnsi" w:hAnsiTheme="minorHAnsi" w:cstheme="minorHAnsi"/>
          <w:szCs w:val="22"/>
        </w:rPr>
        <w:t xml:space="preserve"> (</w:t>
      </w:r>
      <w:r w:rsidR="000959E0" w:rsidRPr="00955EB7">
        <w:rPr>
          <w:rFonts w:asciiTheme="minorHAnsi" w:hAnsiTheme="minorHAnsi" w:cstheme="minorHAnsi"/>
          <w:i/>
        </w:rPr>
        <w:t>Smout</w:t>
      </w:r>
      <w:r w:rsidR="000959E0" w:rsidRPr="00955EB7">
        <w:rPr>
          <w:rFonts w:asciiTheme="minorHAnsi" w:hAnsiTheme="minorHAnsi" w:cstheme="minorHAnsi"/>
          <w:szCs w:val="22"/>
        </w:rPr>
        <w:t>) (a mid-nineteenth century case of the Court of Exchequer)</w:t>
      </w:r>
      <w:r w:rsidR="00D114E4" w:rsidRPr="00955EB7">
        <w:rPr>
          <w:rFonts w:asciiTheme="minorHAnsi" w:hAnsiTheme="minorHAnsi" w:cstheme="minorHAnsi"/>
          <w:szCs w:val="22"/>
        </w:rPr>
        <w:t>, according to which liability could attach to B when he had actual or constructive knowledge that authority had been revoked</w:t>
      </w:r>
      <w:r w:rsidR="000959E0" w:rsidRPr="00955EB7">
        <w:rPr>
          <w:rFonts w:asciiTheme="minorHAnsi" w:hAnsiTheme="minorHAnsi" w:cstheme="minorHAnsi"/>
          <w:szCs w:val="22"/>
        </w:rPr>
        <w:t>.</w:t>
      </w:r>
      <w:r w:rsidR="00D114E4" w:rsidRPr="00955EB7">
        <w:rPr>
          <w:rStyle w:val="FootnoteReference"/>
          <w:rFonts w:asciiTheme="minorHAnsi" w:hAnsiTheme="minorHAnsi" w:cstheme="minorHAnsi"/>
          <w:szCs w:val="22"/>
        </w:rPr>
        <w:footnoteReference w:id="108"/>
      </w:r>
      <w:r w:rsidR="00D114E4" w:rsidRPr="00955EB7">
        <w:rPr>
          <w:rFonts w:asciiTheme="minorHAnsi" w:hAnsiTheme="minorHAnsi" w:cstheme="minorHAnsi"/>
          <w:szCs w:val="22"/>
        </w:rPr>
        <w:t xml:space="preserve"> This case, which some believed to be compatible with </w:t>
      </w:r>
      <w:r w:rsidR="00D114E4" w:rsidRPr="00955EB7">
        <w:rPr>
          <w:rFonts w:asciiTheme="minorHAnsi" w:hAnsiTheme="minorHAnsi" w:cstheme="minorHAnsi"/>
          <w:i/>
          <w:szCs w:val="22"/>
        </w:rPr>
        <w:t>Collen</w:t>
      </w:r>
      <w:r w:rsidR="00D114E4" w:rsidRPr="00955EB7">
        <w:rPr>
          <w:rFonts w:asciiTheme="minorHAnsi" w:hAnsiTheme="minorHAnsi" w:cstheme="minorHAnsi"/>
          <w:szCs w:val="22"/>
        </w:rPr>
        <w:t>,</w:t>
      </w:r>
      <w:r w:rsidR="00D114E4" w:rsidRPr="00955EB7">
        <w:rPr>
          <w:rStyle w:val="FootnoteReference"/>
          <w:rFonts w:asciiTheme="minorHAnsi" w:hAnsiTheme="minorHAnsi" w:cstheme="minorHAnsi"/>
          <w:szCs w:val="22"/>
        </w:rPr>
        <w:footnoteReference w:id="109"/>
      </w:r>
      <w:r w:rsidR="00D114E4" w:rsidRPr="00955EB7">
        <w:rPr>
          <w:rFonts w:asciiTheme="minorHAnsi" w:hAnsiTheme="minorHAnsi" w:cstheme="minorHAnsi"/>
          <w:szCs w:val="22"/>
        </w:rPr>
        <w:t xml:space="preserve"> was given a final blow in </w:t>
      </w:r>
      <w:r w:rsidR="00D114E4" w:rsidRPr="00955EB7">
        <w:rPr>
          <w:rFonts w:asciiTheme="minorHAnsi" w:hAnsiTheme="minorHAnsi" w:cstheme="minorHAnsi"/>
          <w:i/>
          <w:szCs w:val="22"/>
        </w:rPr>
        <w:t>Yonge</w:t>
      </w:r>
      <w:r w:rsidR="00D114E4" w:rsidRPr="00955EB7">
        <w:rPr>
          <w:rFonts w:asciiTheme="minorHAnsi" w:hAnsiTheme="minorHAnsi" w:cstheme="minorHAnsi"/>
          <w:szCs w:val="22"/>
        </w:rPr>
        <w:t xml:space="preserve">, when the latter confirmed that </w:t>
      </w:r>
      <w:r w:rsidR="00D114E4" w:rsidRPr="00955EB7">
        <w:rPr>
          <w:rFonts w:asciiTheme="minorHAnsi" w:hAnsiTheme="minorHAnsi" w:cstheme="minorHAnsi"/>
          <w:i/>
        </w:rPr>
        <w:t>Smout</w:t>
      </w:r>
      <w:r w:rsidR="00D114E4" w:rsidRPr="00955EB7">
        <w:rPr>
          <w:rFonts w:asciiTheme="minorHAnsi" w:hAnsiTheme="minorHAnsi" w:cstheme="minorHAnsi"/>
        </w:rPr>
        <w:t xml:space="preserve"> had been overruled by </w:t>
      </w:r>
      <w:r w:rsidR="00D114E4" w:rsidRPr="00955EB7">
        <w:rPr>
          <w:rFonts w:asciiTheme="minorHAnsi" w:hAnsiTheme="minorHAnsi" w:cstheme="minorHAnsi"/>
          <w:i/>
          <w:szCs w:val="22"/>
        </w:rPr>
        <w:t>Collen</w:t>
      </w:r>
      <w:r w:rsidR="00D114E4" w:rsidRPr="00955EB7">
        <w:rPr>
          <w:rFonts w:asciiTheme="minorHAnsi" w:hAnsiTheme="minorHAnsi" w:cstheme="minorHAnsi"/>
          <w:szCs w:val="22"/>
        </w:rPr>
        <w:t>.</w:t>
      </w:r>
      <w:r w:rsidR="00D114E4" w:rsidRPr="00955EB7">
        <w:rPr>
          <w:rStyle w:val="FootnoteReference"/>
          <w:rFonts w:asciiTheme="minorHAnsi" w:hAnsiTheme="minorHAnsi" w:cstheme="minorHAnsi"/>
          <w:szCs w:val="22"/>
        </w:rPr>
        <w:footnoteReference w:id="110"/>
      </w:r>
      <w:r w:rsidR="00E36E1D" w:rsidRPr="00955EB7">
        <w:rPr>
          <w:rFonts w:asciiTheme="minorHAnsi" w:hAnsiTheme="minorHAnsi" w:cstheme="minorHAnsi"/>
          <w:szCs w:val="22"/>
        </w:rPr>
        <w:t xml:space="preserve"> The departure from </w:t>
      </w:r>
      <w:r w:rsidR="000E1ECA" w:rsidRPr="00955EB7">
        <w:rPr>
          <w:rFonts w:asciiTheme="minorHAnsi" w:hAnsiTheme="minorHAnsi" w:cstheme="minorHAnsi"/>
          <w:i/>
        </w:rPr>
        <w:t>Smout</w:t>
      </w:r>
      <w:r w:rsidR="000E1ECA" w:rsidRPr="00955EB7">
        <w:rPr>
          <w:rFonts w:asciiTheme="minorHAnsi" w:hAnsiTheme="minorHAnsi" w:cstheme="minorHAnsi"/>
        </w:rPr>
        <w:t xml:space="preserve"> may be seen as regrettable, as the incorporation of both actual and constructive knowledge (when B ought to have known about A’s mental incapacity by exercising </w:t>
      </w:r>
      <w:r w:rsidR="00CE1640">
        <w:rPr>
          <w:rFonts w:asciiTheme="minorHAnsi" w:hAnsiTheme="minorHAnsi" w:cstheme="minorHAnsi"/>
        </w:rPr>
        <w:t>‘</w:t>
      </w:r>
      <w:r w:rsidR="000E1ECA" w:rsidRPr="00955EB7">
        <w:rPr>
          <w:rFonts w:asciiTheme="minorHAnsi" w:hAnsiTheme="minorHAnsi" w:cstheme="minorHAnsi"/>
        </w:rPr>
        <w:t>due diligence</w:t>
      </w:r>
      <w:r w:rsidR="00CE1640">
        <w:rPr>
          <w:rFonts w:asciiTheme="minorHAnsi" w:hAnsiTheme="minorHAnsi" w:cstheme="minorHAnsi"/>
        </w:rPr>
        <w:t>’</w:t>
      </w:r>
      <w:r w:rsidR="000E1ECA" w:rsidRPr="00955EB7">
        <w:rPr>
          <w:rFonts w:asciiTheme="minorHAnsi" w:hAnsiTheme="minorHAnsi" w:cstheme="minorHAnsi"/>
        </w:rPr>
        <w:t>)</w:t>
      </w:r>
      <w:r w:rsidR="000E1ECA" w:rsidRPr="00955EB7">
        <w:rPr>
          <w:rStyle w:val="FootnoteReference"/>
          <w:rFonts w:asciiTheme="minorHAnsi" w:hAnsiTheme="minorHAnsi" w:cstheme="minorHAnsi"/>
        </w:rPr>
        <w:footnoteReference w:id="111"/>
      </w:r>
      <w:r w:rsidR="000E1ECA" w:rsidRPr="00955EB7">
        <w:rPr>
          <w:rFonts w:asciiTheme="minorHAnsi" w:hAnsiTheme="minorHAnsi" w:cstheme="minorHAnsi"/>
        </w:rPr>
        <w:t xml:space="preserve"> in assessing B’s liability, had the potential to ensure an objective an</w:t>
      </w:r>
      <w:r w:rsidR="00271341" w:rsidRPr="00955EB7">
        <w:rPr>
          <w:rFonts w:asciiTheme="minorHAnsi" w:hAnsiTheme="minorHAnsi" w:cstheme="minorHAnsi"/>
        </w:rPr>
        <w:t>d</w:t>
      </w:r>
      <w:r w:rsidR="000E1ECA" w:rsidRPr="00955EB7">
        <w:rPr>
          <w:rFonts w:asciiTheme="minorHAnsi" w:hAnsiTheme="minorHAnsi" w:cstheme="minorHAnsi"/>
        </w:rPr>
        <w:t xml:space="preserve"> balanced approach which </w:t>
      </w:r>
      <w:r w:rsidR="000E1ECA" w:rsidRPr="00955EB7">
        <w:rPr>
          <w:rFonts w:asciiTheme="minorHAnsi" w:hAnsiTheme="minorHAnsi" w:cstheme="minorHAnsi"/>
        </w:rPr>
        <w:lastRenderedPageBreak/>
        <w:t xml:space="preserve">considered the circumstances of the transaction and the interests of both parties. Nevertheless, the application of the </w:t>
      </w:r>
      <w:r w:rsidR="000E1ECA" w:rsidRPr="00955EB7">
        <w:rPr>
          <w:rFonts w:asciiTheme="minorHAnsi" w:hAnsiTheme="minorHAnsi" w:cstheme="minorHAnsi"/>
          <w:i/>
        </w:rPr>
        <w:t>Imperial Loan</w:t>
      </w:r>
      <w:r w:rsidR="000E1ECA" w:rsidRPr="00955EB7">
        <w:rPr>
          <w:rFonts w:asciiTheme="minorHAnsi" w:hAnsiTheme="minorHAnsi" w:cstheme="minorHAnsi"/>
        </w:rPr>
        <w:t xml:space="preserve"> rule in the context of agency contracts, if based on a broad reading of knowledge to include both actual and constructive knowledge, brings back some of the positive elements previously associated with </w:t>
      </w:r>
      <w:r w:rsidR="000E1ECA" w:rsidRPr="00955EB7">
        <w:rPr>
          <w:rFonts w:asciiTheme="minorHAnsi" w:hAnsiTheme="minorHAnsi" w:cstheme="minorHAnsi"/>
          <w:i/>
        </w:rPr>
        <w:t>Smout</w:t>
      </w:r>
      <w:r w:rsidR="000E1ECA" w:rsidRPr="00955EB7">
        <w:rPr>
          <w:rFonts w:asciiTheme="minorHAnsi" w:hAnsiTheme="minorHAnsi" w:cstheme="minorHAnsi"/>
        </w:rPr>
        <w:t>, but does so</w:t>
      </w:r>
      <w:r w:rsidR="00A9512E" w:rsidRPr="00955EB7">
        <w:rPr>
          <w:rFonts w:asciiTheme="minorHAnsi" w:hAnsiTheme="minorHAnsi" w:cstheme="minorHAnsi"/>
        </w:rPr>
        <w:t xml:space="preserve"> indirectly, focused </w:t>
      </w:r>
      <w:r w:rsidR="00665CD5" w:rsidRPr="00955EB7">
        <w:rPr>
          <w:rFonts w:asciiTheme="minorHAnsi" w:hAnsiTheme="minorHAnsi" w:cstheme="minorHAnsi"/>
        </w:rPr>
        <w:t>not on the contractual relation between B and C, but on the contract between A and B.</w:t>
      </w:r>
      <w:r w:rsidR="00826D16" w:rsidRPr="00955EB7">
        <w:rPr>
          <w:rFonts w:asciiTheme="minorHAnsi" w:hAnsiTheme="minorHAnsi" w:cstheme="minorHAnsi"/>
        </w:rPr>
        <w:t xml:space="preserve"> </w:t>
      </w:r>
      <w:r w:rsidR="00665CD5" w:rsidRPr="00955EB7">
        <w:rPr>
          <w:rFonts w:asciiTheme="minorHAnsi" w:hAnsiTheme="minorHAnsi" w:cstheme="minorHAnsi"/>
          <w:szCs w:val="22"/>
        </w:rPr>
        <w:t xml:space="preserve">In </w:t>
      </w:r>
      <w:r w:rsidR="00665CD5" w:rsidRPr="00955EB7">
        <w:rPr>
          <w:rFonts w:asciiTheme="minorHAnsi" w:hAnsiTheme="minorHAnsi" w:cstheme="minorHAnsi"/>
          <w:i/>
          <w:szCs w:val="22"/>
        </w:rPr>
        <w:t>Yonge</w:t>
      </w:r>
      <w:r w:rsidR="00665CD5" w:rsidRPr="00955EB7">
        <w:rPr>
          <w:rFonts w:asciiTheme="minorHAnsi" w:hAnsiTheme="minorHAnsi" w:cstheme="minorHAnsi"/>
          <w:szCs w:val="22"/>
        </w:rPr>
        <w:t xml:space="preserve">, the potential for B to be found liable for breach of warranty of authority was </w:t>
      </w:r>
      <w:r w:rsidR="00CE1640">
        <w:rPr>
          <w:rFonts w:asciiTheme="minorHAnsi" w:hAnsiTheme="minorHAnsi" w:cstheme="minorHAnsi"/>
          <w:szCs w:val="22"/>
        </w:rPr>
        <w:t>‘</w:t>
      </w:r>
      <w:r w:rsidR="00665CD5" w:rsidRPr="00955EB7">
        <w:rPr>
          <w:rFonts w:asciiTheme="minorHAnsi" w:hAnsiTheme="minorHAnsi" w:cstheme="minorHAnsi"/>
          <w:szCs w:val="22"/>
        </w:rPr>
        <w:t>carried too far</w:t>
      </w:r>
      <w:r w:rsidR="00CE1640">
        <w:rPr>
          <w:rFonts w:asciiTheme="minorHAnsi" w:hAnsiTheme="minorHAnsi" w:cstheme="minorHAnsi"/>
          <w:szCs w:val="22"/>
        </w:rPr>
        <w:t>’</w:t>
      </w:r>
      <w:r w:rsidR="00665CD5" w:rsidRPr="00955EB7">
        <w:rPr>
          <w:rFonts w:asciiTheme="minorHAnsi" w:hAnsiTheme="minorHAnsi" w:cstheme="minorHAnsi"/>
          <w:szCs w:val="22"/>
        </w:rPr>
        <w:t>.</w:t>
      </w:r>
      <w:r w:rsidR="00665CD5" w:rsidRPr="00955EB7">
        <w:rPr>
          <w:rStyle w:val="FootnoteReference"/>
          <w:rFonts w:asciiTheme="minorHAnsi" w:hAnsiTheme="minorHAnsi" w:cstheme="minorHAnsi"/>
          <w:szCs w:val="22"/>
        </w:rPr>
        <w:footnoteReference w:id="112"/>
      </w:r>
      <w:r w:rsidR="00665CD5" w:rsidRPr="00955EB7">
        <w:rPr>
          <w:rFonts w:asciiTheme="minorHAnsi" w:hAnsiTheme="minorHAnsi" w:cstheme="minorHAnsi"/>
          <w:szCs w:val="22"/>
        </w:rPr>
        <w:t xml:space="preserve"> Holding B </w:t>
      </w:r>
      <w:r w:rsidR="00CE1640">
        <w:rPr>
          <w:rFonts w:asciiTheme="minorHAnsi" w:hAnsiTheme="minorHAnsi" w:cstheme="minorHAnsi"/>
          <w:szCs w:val="22"/>
        </w:rPr>
        <w:t>‘</w:t>
      </w:r>
      <w:r w:rsidR="00665CD5" w:rsidRPr="00955EB7">
        <w:rPr>
          <w:rFonts w:asciiTheme="minorHAnsi" w:hAnsiTheme="minorHAnsi" w:cstheme="minorHAnsi"/>
          <w:szCs w:val="22"/>
        </w:rPr>
        <w:t xml:space="preserve">personally </w:t>
      </w:r>
      <w:r w:rsidR="00553C75" w:rsidRPr="00955EB7">
        <w:rPr>
          <w:rFonts w:asciiTheme="minorHAnsi" w:hAnsiTheme="minorHAnsi" w:cstheme="minorHAnsi"/>
          <w:szCs w:val="22"/>
        </w:rPr>
        <w:t>responsible</w:t>
      </w:r>
      <w:r w:rsidR="00CE1640">
        <w:rPr>
          <w:rFonts w:asciiTheme="minorHAnsi" w:hAnsiTheme="minorHAnsi" w:cstheme="minorHAnsi"/>
          <w:szCs w:val="22"/>
        </w:rPr>
        <w:t>’</w:t>
      </w:r>
      <w:r w:rsidR="00553C75" w:rsidRPr="00955EB7">
        <w:rPr>
          <w:rFonts w:asciiTheme="minorHAnsi" w:hAnsiTheme="minorHAnsi" w:cstheme="minorHAnsi"/>
          <w:szCs w:val="22"/>
        </w:rPr>
        <w:t xml:space="preserve"> where his actual authority to act on A’s behalf is lost without his fault or knowledge, is </w:t>
      </w:r>
      <w:r w:rsidR="00CE1640">
        <w:rPr>
          <w:rFonts w:asciiTheme="minorHAnsi" w:hAnsiTheme="minorHAnsi" w:cstheme="minorHAnsi"/>
          <w:szCs w:val="22"/>
        </w:rPr>
        <w:t>‘</w:t>
      </w:r>
      <w:r w:rsidR="00553C75" w:rsidRPr="00955EB7">
        <w:rPr>
          <w:rFonts w:asciiTheme="minorHAnsi" w:hAnsiTheme="minorHAnsi" w:cstheme="minorHAnsi"/>
          <w:szCs w:val="22"/>
        </w:rPr>
        <w:t>unreasonable</w:t>
      </w:r>
      <w:r w:rsidR="00CE1640">
        <w:rPr>
          <w:rFonts w:asciiTheme="minorHAnsi" w:hAnsiTheme="minorHAnsi" w:cstheme="minorHAnsi"/>
          <w:szCs w:val="22"/>
        </w:rPr>
        <w:t>’</w:t>
      </w:r>
      <w:r w:rsidR="00553C75" w:rsidRPr="00955EB7">
        <w:rPr>
          <w:rFonts w:asciiTheme="minorHAnsi" w:hAnsiTheme="minorHAnsi" w:cstheme="minorHAnsi"/>
          <w:szCs w:val="22"/>
        </w:rPr>
        <w:t xml:space="preserve"> and </w:t>
      </w:r>
      <w:r w:rsidR="00CE1640">
        <w:rPr>
          <w:rFonts w:asciiTheme="minorHAnsi" w:hAnsiTheme="minorHAnsi" w:cstheme="minorHAnsi"/>
          <w:szCs w:val="22"/>
        </w:rPr>
        <w:t>‘</w:t>
      </w:r>
      <w:r w:rsidR="00553C75" w:rsidRPr="00955EB7">
        <w:rPr>
          <w:rFonts w:asciiTheme="minorHAnsi" w:hAnsiTheme="minorHAnsi" w:cstheme="minorHAnsi"/>
          <w:szCs w:val="22"/>
        </w:rPr>
        <w:t>inconsistent</w:t>
      </w:r>
      <w:r w:rsidR="00CE1640">
        <w:rPr>
          <w:rFonts w:asciiTheme="minorHAnsi" w:hAnsiTheme="minorHAnsi" w:cstheme="minorHAnsi"/>
          <w:szCs w:val="22"/>
        </w:rPr>
        <w:t>’</w:t>
      </w:r>
      <w:r w:rsidR="00553C75" w:rsidRPr="00955EB7">
        <w:rPr>
          <w:rFonts w:asciiTheme="minorHAnsi" w:hAnsiTheme="minorHAnsi" w:cstheme="minorHAnsi"/>
          <w:szCs w:val="22"/>
        </w:rPr>
        <w:t xml:space="preserve"> with the general principle confirmed in </w:t>
      </w:r>
      <w:r w:rsidR="00553C75" w:rsidRPr="00955EB7">
        <w:rPr>
          <w:rFonts w:asciiTheme="minorHAnsi" w:hAnsiTheme="minorHAnsi" w:cstheme="minorHAnsi"/>
          <w:i/>
          <w:szCs w:val="22"/>
        </w:rPr>
        <w:t>Imperial Loan</w:t>
      </w:r>
      <w:r w:rsidR="00553C75" w:rsidRPr="00955EB7">
        <w:rPr>
          <w:rFonts w:asciiTheme="minorHAnsi" w:hAnsiTheme="minorHAnsi" w:cstheme="minorHAnsi"/>
          <w:szCs w:val="22"/>
        </w:rPr>
        <w:t>.</w:t>
      </w:r>
      <w:r w:rsidR="00553C75" w:rsidRPr="00955EB7">
        <w:rPr>
          <w:rStyle w:val="FootnoteReference"/>
          <w:rFonts w:asciiTheme="minorHAnsi" w:hAnsiTheme="minorHAnsi" w:cstheme="minorHAnsi"/>
          <w:szCs w:val="22"/>
        </w:rPr>
        <w:footnoteReference w:id="113"/>
      </w:r>
      <w:r w:rsidR="00826D16" w:rsidRPr="00955EB7">
        <w:rPr>
          <w:rFonts w:asciiTheme="minorHAnsi" w:hAnsiTheme="minorHAnsi" w:cstheme="minorHAnsi"/>
          <w:szCs w:val="22"/>
        </w:rPr>
        <w:t xml:space="preserve"> In assessing the parties’ obligations and liabilities under a contract where A lost the mental capacity to understand the nature of the transaction, the other party (B or C)’s knowledge of A’s mental incapacity should be relevant</w:t>
      </w:r>
      <w:r w:rsidR="00826D16" w:rsidRPr="00955EB7">
        <w:rPr>
          <w:rStyle w:val="FootnoteReference"/>
          <w:rFonts w:asciiTheme="minorHAnsi" w:hAnsiTheme="minorHAnsi" w:cstheme="minorHAnsi"/>
          <w:szCs w:val="22"/>
        </w:rPr>
        <w:footnoteReference w:id="114"/>
      </w:r>
      <w:r w:rsidR="00826D16" w:rsidRPr="00955EB7">
        <w:rPr>
          <w:rFonts w:asciiTheme="minorHAnsi" w:hAnsiTheme="minorHAnsi" w:cstheme="minorHAnsi"/>
          <w:szCs w:val="22"/>
        </w:rPr>
        <w:t xml:space="preserve"> and it should make no difference that A is contracting via an agent.</w:t>
      </w:r>
      <w:r w:rsidR="00826D16" w:rsidRPr="00955EB7">
        <w:rPr>
          <w:rStyle w:val="FootnoteReference"/>
          <w:rFonts w:asciiTheme="minorHAnsi" w:hAnsiTheme="minorHAnsi" w:cstheme="minorHAnsi"/>
          <w:szCs w:val="22"/>
        </w:rPr>
        <w:footnoteReference w:id="115"/>
      </w:r>
    </w:p>
    <w:p w14:paraId="3BAC8618" w14:textId="77777777" w:rsidR="00BC5DD5" w:rsidRDefault="00BC5DD5" w:rsidP="00A06D14">
      <w:pPr>
        <w:spacing w:line="360" w:lineRule="auto"/>
        <w:rPr>
          <w:rFonts w:asciiTheme="minorHAnsi" w:hAnsiTheme="minorHAnsi" w:cstheme="minorHAnsi"/>
          <w:szCs w:val="22"/>
        </w:rPr>
      </w:pPr>
    </w:p>
    <w:p w14:paraId="4DD1813E" w14:textId="71836351" w:rsidR="00826D16" w:rsidRPr="00955EB7" w:rsidRDefault="00826D16"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Further challenges are posed by the inconsistency between </w:t>
      </w:r>
      <w:r w:rsidRPr="00955EB7">
        <w:rPr>
          <w:rFonts w:asciiTheme="minorHAnsi" w:hAnsiTheme="minorHAnsi" w:cstheme="minorHAnsi"/>
          <w:i/>
          <w:szCs w:val="22"/>
        </w:rPr>
        <w:t xml:space="preserve">Yonge </w:t>
      </w:r>
      <w:r w:rsidRPr="00955EB7">
        <w:rPr>
          <w:rFonts w:asciiTheme="minorHAnsi" w:hAnsiTheme="minorHAnsi" w:cstheme="minorHAnsi"/>
          <w:szCs w:val="22"/>
        </w:rPr>
        <w:t xml:space="preserve">and </w:t>
      </w:r>
      <w:r w:rsidRPr="00955EB7">
        <w:rPr>
          <w:rFonts w:asciiTheme="minorHAnsi" w:hAnsiTheme="minorHAnsi" w:cstheme="minorHAnsi"/>
          <w:i/>
          <w:szCs w:val="22"/>
        </w:rPr>
        <w:t>Drew</w:t>
      </w:r>
      <w:r w:rsidRPr="00955EB7">
        <w:rPr>
          <w:rFonts w:asciiTheme="minorHAnsi" w:hAnsiTheme="minorHAnsi" w:cstheme="minorHAnsi"/>
          <w:szCs w:val="22"/>
        </w:rPr>
        <w:t xml:space="preserve"> in determining</w:t>
      </w:r>
      <w:r w:rsidR="00EE274C" w:rsidRPr="00955EB7">
        <w:rPr>
          <w:rFonts w:asciiTheme="minorHAnsi" w:hAnsiTheme="minorHAnsi" w:cstheme="minorHAnsi"/>
          <w:szCs w:val="22"/>
        </w:rPr>
        <w:t xml:space="preserve"> the parties’ liabilities.</w:t>
      </w:r>
      <w:r w:rsidR="00EE274C" w:rsidRPr="00955EB7">
        <w:rPr>
          <w:rStyle w:val="FootnoteReference"/>
          <w:rFonts w:asciiTheme="minorHAnsi" w:hAnsiTheme="minorHAnsi" w:cstheme="minorHAnsi"/>
          <w:szCs w:val="22"/>
        </w:rPr>
        <w:footnoteReference w:id="116"/>
      </w:r>
      <w:r w:rsidR="00EE274C" w:rsidRPr="00955EB7">
        <w:rPr>
          <w:rFonts w:asciiTheme="minorHAnsi" w:hAnsiTheme="minorHAnsi" w:cstheme="minorHAnsi"/>
          <w:szCs w:val="22"/>
        </w:rPr>
        <w:t xml:space="preserve"> Both cases seem to agree that A’s mental incapacity revokes B’s actual authority to act on A’s behalf, rendering the agency contract void.</w:t>
      </w:r>
      <w:r w:rsidR="00EE274C" w:rsidRPr="00955EB7">
        <w:rPr>
          <w:rStyle w:val="FootnoteReference"/>
          <w:rFonts w:asciiTheme="minorHAnsi" w:hAnsiTheme="minorHAnsi" w:cstheme="minorHAnsi"/>
          <w:szCs w:val="22"/>
        </w:rPr>
        <w:footnoteReference w:id="117"/>
      </w:r>
      <w:r w:rsidR="00851CFA" w:rsidRPr="00955EB7">
        <w:rPr>
          <w:rFonts w:asciiTheme="minorHAnsi" w:hAnsiTheme="minorHAnsi" w:cstheme="minorHAnsi"/>
          <w:szCs w:val="22"/>
        </w:rPr>
        <w:t xml:space="preserve"> However, </w:t>
      </w:r>
      <w:r w:rsidR="00851CFA" w:rsidRPr="00955EB7">
        <w:rPr>
          <w:rFonts w:asciiTheme="minorHAnsi" w:hAnsiTheme="minorHAnsi" w:cstheme="minorHAnsi"/>
          <w:i/>
          <w:szCs w:val="22"/>
        </w:rPr>
        <w:t>Drew</w:t>
      </w:r>
      <w:r w:rsidR="00851CFA" w:rsidRPr="00955EB7">
        <w:rPr>
          <w:rFonts w:asciiTheme="minorHAnsi" w:hAnsiTheme="minorHAnsi" w:cstheme="minorHAnsi"/>
          <w:szCs w:val="22"/>
        </w:rPr>
        <w:t xml:space="preserve"> seems to suggest that B may retain power to bind A to a contract with C if there is apparent authority,</w:t>
      </w:r>
      <w:r w:rsidR="00851CFA" w:rsidRPr="00955EB7">
        <w:rPr>
          <w:rStyle w:val="FootnoteReference"/>
          <w:rFonts w:asciiTheme="minorHAnsi" w:hAnsiTheme="minorHAnsi" w:cstheme="minorHAnsi"/>
          <w:szCs w:val="22"/>
        </w:rPr>
        <w:footnoteReference w:id="118"/>
      </w:r>
      <w:r w:rsidR="00607ACB" w:rsidRPr="00955EB7">
        <w:rPr>
          <w:rFonts w:asciiTheme="minorHAnsi" w:hAnsiTheme="minorHAnsi" w:cstheme="minorHAnsi"/>
          <w:szCs w:val="22"/>
        </w:rPr>
        <w:t xml:space="preserve"> while </w:t>
      </w:r>
      <w:r w:rsidR="00607ACB" w:rsidRPr="00955EB7">
        <w:rPr>
          <w:rFonts w:asciiTheme="minorHAnsi" w:hAnsiTheme="minorHAnsi" w:cstheme="minorHAnsi"/>
          <w:i/>
          <w:szCs w:val="22"/>
        </w:rPr>
        <w:t xml:space="preserve">Yonge </w:t>
      </w:r>
      <w:r w:rsidR="00607ACB" w:rsidRPr="00955EB7">
        <w:rPr>
          <w:rFonts w:asciiTheme="minorHAnsi" w:hAnsiTheme="minorHAnsi" w:cstheme="minorHAnsi"/>
          <w:szCs w:val="22"/>
        </w:rPr>
        <w:t>appears to confirm that B is deprived of such power.</w:t>
      </w:r>
      <w:r w:rsidR="00607ACB" w:rsidRPr="00955EB7">
        <w:rPr>
          <w:rStyle w:val="FootnoteReference"/>
          <w:rFonts w:asciiTheme="minorHAnsi" w:hAnsiTheme="minorHAnsi" w:cstheme="minorHAnsi"/>
          <w:szCs w:val="22"/>
        </w:rPr>
        <w:footnoteReference w:id="119"/>
      </w:r>
      <w:r w:rsidR="00607ACB" w:rsidRPr="00955EB7">
        <w:rPr>
          <w:rFonts w:asciiTheme="minorHAnsi" w:hAnsiTheme="minorHAnsi" w:cstheme="minorHAnsi"/>
          <w:szCs w:val="22"/>
        </w:rPr>
        <w:t xml:space="preserve"> As </w:t>
      </w:r>
      <w:r w:rsidR="00607ACB" w:rsidRPr="00955EB7">
        <w:rPr>
          <w:rFonts w:asciiTheme="minorHAnsi" w:hAnsiTheme="minorHAnsi" w:cstheme="minorHAnsi"/>
        </w:rPr>
        <w:t xml:space="preserve">Higgins rightly notes, </w:t>
      </w:r>
      <w:r w:rsidR="00607ACB" w:rsidRPr="00955EB7">
        <w:rPr>
          <w:rFonts w:asciiTheme="minorHAnsi" w:hAnsiTheme="minorHAnsi" w:cstheme="minorHAnsi"/>
          <w:i/>
          <w:szCs w:val="22"/>
        </w:rPr>
        <w:t xml:space="preserve">Drew </w:t>
      </w:r>
      <w:r w:rsidR="00607ACB" w:rsidRPr="00955EB7">
        <w:rPr>
          <w:rFonts w:asciiTheme="minorHAnsi" w:hAnsiTheme="minorHAnsi" w:cstheme="minorHAnsi"/>
          <w:szCs w:val="22"/>
        </w:rPr>
        <w:t xml:space="preserve">and </w:t>
      </w:r>
      <w:r w:rsidR="00607ACB" w:rsidRPr="00955EB7">
        <w:rPr>
          <w:rFonts w:asciiTheme="minorHAnsi" w:hAnsiTheme="minorHAnsi" w:cstheme="minorHAnsi"/>
          <w:i/>
          <w:szCs w:val="22"/>
        </w:rPr>
        <w:t>Yonge</w:t>
      </w:r>
      <w:r w:rsidR="00607ACB" w:rsidRPr="00955EB7">
        <w:rPr>
          <w:rFonts w:asciiTheme="minorHAnsi" w:hAnsiTheme="minorHAnsi" w:cstheme="minorHAnsi"/>
          <w:szCs w:val="22"/>
        </w:rPr>
        <w:t xml:space="preserve"> should be </w:t>
      </w:r>
      <w:r w:rsidR="00CE1640">
        <w:rPr>
          <w:rFonts w:asciiTheme="minorHAnsi" w:hAnsiTheme="minorHAnsi" w:cstheme="minorHAnsi"/>
          <w:szCs w:val="22"/>
        </w:rPr>
        <w:t>‘</w:t>
      </w:r>
      <w:r w:rsidR="00607ACB" w:rsidRPr="00955EB7">
        <w:rPr>
          <w:rFonts w:asciiTheme="minorHAnsi" w:hAnsiTheme="minorHAnsi" w:cstheme="minorHAnsi"/>
          <w:szCs w:val="22"/>
        </w:rPr>
        <w:t>confined to their special facts</w:t>
      </w:r>
      <w:r w:rsidR="00CE1640">
        <w:rPr>
          <w:rFonts w:asciiTheme="minorHAnsi" w:hAnsiTheme="minorHAnsi" w:cstheme="minorHAnsi"/>
          <w:szCs w:val="22"/>
        </w:rPr>
        <w:t>’</w:t>
      </w:r>
      <w:r w:rsidR="00607ACB" w:rsidRPr="00955EB7">
        <w:rPr>
          <w:rFonts w:asciiTheme="minorHAnsi" w:hAnsiTheme="minorHAnsi" w:cstheme="minorHAnsi"/>
          <w:szCs w:val="22"/>
        </w:rPr>
        <w:t xml:space="preserve">, which would </w:t>
      </w:r>
      <w:r w:rsidR="00CE1640">
        <w:rPr>
          <w:rFonts w:asciiTheme="minorHAnsi" w:hAnsiTheme="minorHAnsi" w:cstheme="minorHAnsi"/>
          <w:szCs w:val="22"/>
        </w:rPr>
        <w:t>‘</w:t>
      </w:r>
      <w:r w:rsidR="00607ACB" w:rsidRPr="00955EB7">
        <w:rPr>
          <w:rFonts w:asciiTheme="minorHAnsi" w:hAnsiTheme="minorHAnsi" w:cstheme="minorHAnsi"/>
          <w:szCs w:val="22"/>
        </w:rPr>
        <w:t>leave the door open</w:t>
      </w:r>
      <w:r w:rsidR="00CE1640">
        <w:rPr>
          <w:rFonts w:asciiTheme="minorHAnsi" w:hAnsiTheme="minorHAnsi" w:cstheme="minorHAnsi"/>
          <w:szCs w:val="22"/>
        </w:rPr>
        <w:t>’</w:t>
      </w:r>
      <w:r w:rsidR="00607ACB" w:rsidRPr="00955EB7">
        <w:rPr>
          <w:rFonts w:asciiTheme="minorHAnsi" w:hAnsiTheme="minorHAnsi" w:cstheme="minorHAnsi"/>
          <w:szCs w:val="22"/>
        </w:rPr>
        <w:t xml:space="preserve"> for the development of </w:t>
      </w:r>
      <w:r w:rsidR="00CE1640">
        <w:rPr>
          <w:rFonts w:asciiTheme="minorHAnsi" w:hAnsiTheme="minorHAnsi" w:cstheme="minorHAnsi"/>
          <w:szCs w:val="22"/>
        </w:rPr>
        <w:t>‘</w:t>
      </w:r>
      <w:r w:rsidR="00607ACB" w:rsidRPr="00955EB7">
        <w:rPr>
          <w:rFonts w:asciiTheme="minorHAnsi" w:hAnsiTheme="minorHAnsi" w:cstheme="minorHAnsi"/>
          <w:szCs w:val="22"/>
        </w:rPr>
        <w:t>a reasonable rule to cover all cases</w:t>
      </w:r>
      <w:r w:rsidR="00CE1640">
        <w:rPr>
          <w:rFonts w:asciiTheme="minorHAnsi" w:hAnsiTheme="minorHAnsi" w:cstheme="minorHAnsi"/>
          <w:szCs w:val="22"/>
        </w:rPr>
        <w:t>’</w:t>
      </w:r>
      <w:r w:rsidR="00607ACB" w:rsidRPr="00955EB7">
        <w:rPr>
          <w:rFonts w:asciiTheme="minorHAnsi" w:hAnsiTheme="minorHAnsi" w:cstheme="minorHAnsi"/>
          <w:szCs w:val="22"/>
        </w:rPr>
        <w:t xml:space="preserve"> involving A’s loss of mental capacity.</w:t>
      </w:r>
      <w:r w:rsidR="00607ACB" w:rsidRPr="00955EB7">
        <w:rPr>
          <w:rStyle w:val="FootnoteReference"/>
          <w:rFonts w:asciiTheme="minorHAnsi" w:hAnsiTheme="minorHAnsi" w:cstheme="minorHAnsi"/>
          <w:szCs w:val="22"/>
        </w:rPr>
        <w:footnoteReference w:id="120"/>
      </w:r>
      <w:r w:rsidR="00607ACB" w:rsidRPr="00955EB7">
        <w:rPr>
          <w:rFonts w:asciiTheme="minorHAnsi" w:hAnsiTheme="minorHAnsi" w:cstheme="minorHAnsi"/>
          <w:szCs w:val="22"/>
        </w:rPr>
        <w:t xml:space="preserve"> Both </w:t>
      </w:r>
      <w:r w:rsidR="00607ACB" w:rsidRPr="00955EB7">
        <w:rPr>
          <w:rFonts w:asciiTheme="minorHAnsi" w:hAnsiTheme="minorHAnsi" w:cstheme="minorHAnsi"/>
          <w:i/>
          <w:szCs w:val="22"/>
        </w:rPr>
        <w:t xml:space="preserve">Drew </w:t>
      </w:r>
      <w:r w:rsidR="00607ACB" w:rsidRPr="00955EB7">
        <w:rPr>
          <w:rFonts w:asciiTheme="minorHAnsi" w:hAnsiTheme="minorHAnsi" w:cstheme="minorHAnsi"/>
          <w:szCs w:val="22"/>
        </w:rPr>
        <w:t xml:space="preserve">and </w:t>
      </w:r>
      <w:r w:rsidR="00607ACB" w:rsidRPr="00955EB7">
        <w:rPr>
          <w:rFonts w:asciiTheme="minorHAnsi" w:hAnsiTheme="minorHAnsi" w:cstheme="minorHAnsi"/>
          <w:i/>
          <w:szCs w:val="22"/>
        </w:rPr>
        <w:t>Yonge</w:t>
      </w:r>
      <w:r w:rsidR="00607ACB" w:rsidRPr="00955EB7">
        <w:rPr>
          <w:rFonts w:asciiTheme="minorHAnsi" w:hAnsiTheme="minorHAnsi" w:cstheme="minorHAnsi"/>
          <w:szCs w:val="22"/>
        </w:rPr>
        <w:t xml:space="preserve"> are decisions where the courts were concerned with protecting C’s interests. In </w:t>
      </w:r>
      <w:r w:rsidR="00607ACB" w:rsidRPr="00955EB7">
        <w:rPr>
          <w:rFonts w:asciiTheme="minorHAnsi" w:hAnsiTheme="minorHAnsi" w:cstheme="minorHAnsi"/>
          <w:i/>
          <w:szCs w:val="22"/>
        </w:rPr>
        <w:t>Yonge</w:t>
      </w:r>
      <w:r w:rsidR="00607ACB" w:rsidRPr="00955EB7">
        <w:rPr>
          <w:rFonts w:asciiTheme="minorHAnsi" w:hAnsiTheme="minorHAnsi" w:cstheme="minorHAnsi"/>
          <w:szCs w:val="22"/>
        </w:rPr>
        <w:t xml:space="preserve">, </w:t>
      </w:r>
      <w:r w:rsidR="003868A0" w:rsidRPr="00955EB7">
        <w:rPr>
          <w:rFonts w:asciiTheme="minorHAnsi" w:hAnsiTheme="minorHAnsi" w:cstheme="minorHAnsi"/>
          <w:szCs w:val="22"/>
        </w:rPr>
        <w:t xml:space="preserve">Buckley </w:t>
      </w:r>
      <w:r w:rsidR="00447530" w:rsidRPr="00955EB7">
        <w:rPr>
          <w:rFonts w:asciiTheme="minorHAnsi" w:hAnsiTheme="minorHAnsi" w:cstheme="minorHAnsi"/>
          <w:szCs w:val="22"/>
        </w:rPr>
        <w:t>LJ</w:t>
      </w:r>
      <w:r w:rsidR="003868A0" w:rsidRPr="00955EB7">
        <w:rPr>
          <w:rFonts w:asciiTheme="minorHAnsi" w:hAnsiTheme="minorHAnsi" w:cstheme="minorHAnsi"/>
          <w:szCs w:val="22"/>
        </w:rPr>
        <w:t xml:space="preserve"> agreed with Willes J’s approach in </w:t>
      </w:r>
      <w:r w:rsidR="003868A0" w:rsidRPr="00955EB7">
        <w:rPr>
          <w:rFonts w:asciiTheme="minorHAnsi" w:hAnsiTheme="minorHAnsi" w:cstheme="minorHAnsi"/>
          <w:i/>
          <w:szCs w:val="22"/>
        </w:rPr>
        <w:t>Collen</w:t>
      </w:r>
      <w:r w:rsidR="003868A0" w:rsidRPr="00955EB7">
        <w:rPr>
          <w:rFonts w:asciiTheme="minorHAnsi" w:hAnsiTheme="minorHAnsi" w:cstheme="minorHAnsi"/>
          <w:szCs w:val="22"/>
        </w:rPr>
        <w:t>, that in a choice between B and C’s interests, the party more deserving of protection was C, as B represented to C that he had authority to act on A’s behalf.</w:t>
      </w:r>
      <w:r w:rsidR="003868A0" w:rsidRPr="00955EB7">
        <w:rPr>
          <w:rStyle w:val="FootnoteReference"/>
          <w:rFonts w:asciiTheme="minorHAnsi" w:hAnsiTheme="minorHAnsi" w:cstheme="minorHAnsi"/>
          <w:szCs w:val="22"/>
        </w:rPr>
        <w:footnoteReference w:id="121"/>
      </w:r>
      <w:r w:rsidR="001A0636" w:rsidRPr="00955EB7">
        <w:rPr>
          <w:rFonts w:asciiTheme="minorHAnsi" w:hAnsiTheme="minorHAnsi" w:cstheme="minorHAnsi"/>
          <w:szCs w:val="22"/>
        </w:rPr>
        <w:t xml:space="preserve"> In </w:t>
      </w:r>
      <w:r w:rsidR="001A0636" w:rsidRPr="00955EB7">
        <w:rPr>
          <w:rFonts w:asciiTheme="minorHAnsi" w:hAnsiTheme="minorHAnsi" w:cstheme="minorHAnsi"/>
          <w:i/>
          <w:szCs w:val="22"/>
        </w:rPr>
        <w:t>Drew</w:t>
      </w:r>
      <w:r w:rsidR="001A0636" w:rsidRPr="00955EB7">
        <w:rPr>
          <w:rFonts w:asciiTheme="minorHAnsi" w:hAnsiTheme="minorHAnsi" w:cstheme="minorHAnsi"/>
          <w:szCs w:val="22"/>
        </w:rPr>
        <w:t xml:space="preserve">, when faced with a choice between protecting A or C’s interests, </w:t>
      </w:r>
      <w:r w:rsidR="002E3849" w:rsidRPr="00955EB7">
        <w:rPr>
          <w:rFonts w:asciiTheme="minorHAnsi" w:hAnsiTheme="minorHAnsi" w:cstheme="minorHAnsi"/>
          <w:szCs w:val="22"/>
        </w:rPr>
        <w:t>Bramwell LJ indicated a preference for C, commenting with reference to A</w:t>
      </w:r>
      <w:r w:rsidR="007E308B" w:rsidRPr="00955EB7">
        <w:rPr>
          <w:rFonts w:asciiTheme="minorHAnsi" w:hAnsiTheme="minorHAnsi" w:cstheme="minorHAnsi"/>
          <w:szCs w:val="22"/>
        </w:rPr>
        <w:t xml:space="preserve"> that </w:t>
      </w:r>
      <w:r w:rsidR="00CE1640">
        <w:rPr>
          <w:rFonts w:asciiTheme="minorHAnsi" w:hAnsiTheme="minorHAnsi" w:cstheme="minorHAnsi"/>
          <w:szCs w:val="22"/>
        </w:rPr>
        <w:t>‘</w:t>
      </w:r>
      <w:r w:rsidR="002E3849" w:rsidRPr="00955EB7">
        <w:rPr>
          <w:rFonts w:asciiTheme="minorHAnsi" w:hAnsiTheme="minorHAnsi" w:cstheme="minorHAnsi"/>
          <w:szCs w:val="22"/>
        </w:rPr>
        <w:t>insanity</w:t>
      </w:r>
      <w:r w:rsidR="00CE1640">
        <w:rPr>
          <w:rFonts w:asciiTheme="minorHAnsi" w:hAnsiTheme="minorHAnsi" w:cstheme="minorHAnsi"/>
          <w:szCs w:val="22"/>
        </w:rPr>
        <w:t>’</w:t>
      </w:r>
      <w:r w:rsidR="007E308B" w:rsidRPr="00955EB7">
        <w:rPr>
          <w:rFonts w:asciiTheme="minorHAnsi" w:hAnsiTheme="minorHAnsi" w:cstheme="minorHAnsi"/>
          <w:szCs w:val="22"/>
        </w:rPr>
        <w:t xml:space="preserve"> was </w:t>
      </w:r>
      <w:r w:rsidR="00CE1640">
        <w:rPr>
          <w:rFonts w:asciiTheme="minorHAnsi" w:hAnsiTheme="minorHAnsi" w:cstheme="minorHAnsi"/>
          <w:szCs w:val="22"/>
        </w:rPr>
        <w:t>‘</w:t>
      </w:r>
      <w:r w:rsidR="007E308B" w:rsidRPr="00955EB7">
        <w:rPr>
          <w:rFonts w:asciiTheme="minorHAnsi" w:hAnsiTheme="minorHAnsi" w:cstheme="minorHAnsi"/>
          <w:szCs w:val="22"/>
        </w:rPr>
        <w:t>a misfortune</w:t>
      </w:r>
      <w:r w:rsidR="00CE1640">
        <w:rPr>
          <w:rFonts w:asciiTheme="minorHAnsi" w:hAnsiTheme="minorHAnsi" w:cstheme="minorHAnsi"/>
          <w:szCs w:val="22"/>
        </w:rPr>
        <w:t>’</w:t>
      </w:r>
      <w:r w:rsidR="007E308B" w:rsidRPr="00955EB7">
        <w:rPr>
          <w:rFonts w:asciiTheme="minorHAnsi" w:hAnsiTheme="minorHAnsi" w:cstheme="minorHAnsi"/>
          <w:szCs w:val="22"/>
        </w:rPr>
        <w:t xml:space="preserve"> rather than </w:t>
      </w:r>
      <w:r w:rsidR="00CE1640">
        <w:rPr>
          <w:rFonts w:asciiTheme="minorHAnsi" w:hAnsiTheme="minorHAnsi" w:cstheme="minorHAnsi"/>
          <w:szCs w:val="22"/>
        </w:rPr>
        <w:t>‘</w:t>
      </w:r>
      <w:r w:rsidR="007E308B" w:rsidRPr="00955EB7">
        <w:rPr>
          <w:rFonts w:asciiTheme="minorHAnsi" w:hAnsiTheme="minorHAnsi" w:cstheme="minorHAnsi"/>
          <w:szCs w:val="22"/>
        </w:rPr>
        <w:t>a privilege</w:t>
      </w:r>
      <w:r w:rsidR="00CE1640">
        <w:rPr>
          <w:rFonts w:asciiTheme="minorHAnsi" w:hAnsiTheme="minorHAnsi" w:cstheme="minorHAnsi"/>
          <w:szCs w:val="22"/>
        </w:rPr>
        <w:t>’</w:t>
      </w:r>
      <w:r w:rsidR="007E308B" w:rsidRPr="00955EB7">
        <w:rPr>
          <w:rFonts w:asciiTheme="minorHAnsi" w:hAnsiTheme="minorHAnsi" w:cstheme="minorHAnsi"/>
          <w:szCs w:val="22"/>
        </w:rPr>
        <w:t xml:space="preserve"> and justified the choice to protect C by stressing that A’s condition </w:t>
      </w:r>
      <w:r w:rsidR="00CE1640">
        <w:rPr>
          <w:rFonts w:asciiTheme="minorHAnsi" w:hAnsiTheme="minorHAnsi" w:cstheme="minorHAnsi"/>
          <w:szCs w:val="22"/>
        </w:rPr>
        <w:t>‘</w:t>
      </w:r>
      <w:r w:rsidR="007E308B" w:rsidRPr="00955EB7">
        <w:rPr>
          <w:rFonts w:asciiTheme="minorHAnsi" w:hAnsiTheme="minorHAnsi" w:cstheme="minorHAnsi"/>
          <w:szCs w:val="22"/>
        </w:rPr>
        <w:t>must not be allowed to injure innocent persons</w:t>
      </w:r>
      <w:r w:rsidR="00CE1640">
        <w:rPr>
          <w:rFonts w:asciiTheme="minorHAnsi" w:hAnsiTheme="minorHAnsi" w:cstheme="minorHAnsi"/>
          <w:szCs w:val="22"/>
        </w:rPr>
        <w:t>’</w:t>
      </w:r>
      <w:r w:rsidR="007E308B" w:rsidRPr="00955EB7">
        <w:rPr>
          <w:rFonts w:asciiTheme="minorHAnsi" w:hAnsiTheme="minorHAnsi" w:cstheme="minorHAnsi"/>
          <w:szCs w:val="22"/>
        </w:rPr>
        <w:t>.</w:t>
      </w:r>
      <w:r w:rsidR="007E308B" w:rsidRPr="00955EB7">
        <w:rPr>
          <w:rStyle w:val="FootnoteReference"/>
          <w:rFonts w:asciiTheme="minorHAnsi" w:hAnsiTheme="minorHAnsi" w:cstheme="minorHAnsi"/>
          <w:szCs w:val="22"/>
        </w:rPr>
        <w:footnoteReference w:id="122"/>
      </w:r>
      <w:r w:rsidR="007E308B" w:rsidRPr="00955EB7">
        <w:rPr>
          <w:rFonts w:asciiTheme="minorHAnsi" w:hAnsiTheme="minorHAnsi" w:cstheme="minorHAnsi"/>
          <w:szCs w:val="22"/>
        </w:rPr>
        <w:t xml:space="preserve"> </w:t>
      </w:r>
    </w:p>
    <w:p w14:paraId="13FAC4AB" w14:textId="77777777" w:rsidR="00BC5DD5" w:rsidRDefault="00BC5DD5" w:rsidP="00A06D14">
      <w:pPr>
        <w:spacing w:line="360" w:lineRule="auto"/>
        <w:rPr>
          <w:rFonts w:asciiTheme="minorHAnsi" w:hAnsiTheme="minorHAnsi" w:cstheme="minorHAnsi"/>
          <w:szCs w:val="22"/>
        </w:rPr>
      </w:pPr>
    </w:p>
    <w:p w14:paraId="440DADB4" w14:textId="2BB8643D" w:rsidR="007E308B" w:rsidRPr="00955EB7" w:rsidRDefault="007E308B"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focus on protecting C’s interests indicates a concern for protecting the security of transactions. </w:t>
      </w:r>
      <w:r w:rsidR="00B66EDA" w:rsidRPr="00955EB7">
        <w:rPr>
          <w:rFonts w:asciiTheme="minorHAnsi" w:hAnsiTheme="minorHAnsi" w:cstheme="minorHAnsi"/>
          <w:szCs w:val="22"/>
        </w:rPr>
        <w:t>N</w:t>
      </w:r>
      <w:r w:rsidRPr="00955EB7">
        <w:rPr>
          <w:rFonts w:asciiTheme="minorHAnsi" w:hAnsiTheme="minorHAnsi" w:cstheme="minorHAnsi"/>
          <w:szCs w:val="22"/>
        </w:rPr>
        <w:t xml:space="preserve">evertheless, the protection of C’s interests must be balanced against the need to also protect A and B’s interests. In a framework where A’s mental incapacity renders the contract with B automatically void and B loses the actual authority to act on A’s behalf irrespective of B’s knowledge </w:t>
      </w:r>
      <w:r w:rsidR="00955EB7" w:rsidRPr="00955EB7">
        <w:rPr>
          <w:rFonts w:asciiTheme="minorHAnsi" w:hAnsiTheme="minorHAnsi" w:cstheme="minorHAnsi"/>
          <w:szCs w:val="22"/>
        </w:rPr>
        <w:t>of</w:t>
      </w:r>
      <w:r w:rsidRPr="00955EB7">
        <w:rPr>
          <w:rFonts w:asciiTheme="minorHAnsi" w:hAnsiTheme="minorHAnsi" w:cstheme="minorHAnsi"/>
          <w:szCs w:val="22"/>
        </w:rPr>
        <w:t xml:space="preserve"> A’</w:t>
      </w:r>
      <w:r w:rsidR="00DD134C" w:rsidRPr="00955EB7">
        <w:rPr>
          <w:rFonts w:asciiTheme="minorHAnsi" w:hAnsiTheme="minorHAnsi" w:cstheme="minorHAnsi"/>
          <w:szCs w:val="22"/>
        </w:rPr>
        <w:t>s</w:t>
      </w:r>
      <w:r w:rsidRPr="00955EB7">
        <w:rPr>
          <w:rFonts w:asciiTheme="minorHAnsi" w:hAnsiTheme="minorHAnsi" w:cstheme="minorHAnsi"/>
          <w:szCs w:val="22"/>
        </w:rPr>
        <w:t xml:space="preserve"> condition, neither A, nor B are effectively protected. The failure to consider B’s knowledge</w:t>
      </w:r>
      <w:r w:rsidR="008938D3" w:rsidRPr="00955EB7">
        <w:rPr>
          <w:rFonts w:asciiTheme="minorHAnsi" w:hAnsiTheme="minorHAnsi" w:cstheme="minorHAnsi"/>
          <w:szCs w:val="22"/>
        </w:rPr>
        <w:t xml:space="preserve"> (whether actual or constructive) of A’s mental incapacity leaves B vulnerable to breach </w:t>
      </w:r>
      <w:r w:rsidR="008938D3" w:rsidRPr="00955EB7">
        <w:rPr>
          <w:rFonts w:asciiTheme="minorHAnsi" w:hAnsiTheme="minorHAnsi" w:cstheme="minorHAnsi"/>
          <w:szCs w:val="22"/>
        </w:rPr>
        <w:lastRenderedPageBreak/>
        <w:t xml:space="preserve">of warranty of authority under </w:t>
      </w:r>
      <w:r w:rsidR="000F78C5" w:rsidRPr="00955EB7">
        <w:rPr>
          <w:rFonts w:asciiTheme="minorHAnsi" w:hAnsiTheme="minorHAnsi" w:cstheme="minorHAnsi"/>
          <w:szCs w:val="22"/>
        </w:rPr>
        <w:t>the</w:t>
      </w:r>
      <w:r w:rsidR="008938D3" w:rsidRPr="00955EB7">
        <w:rPr>
          <w:rFonts w:asciiTheme="minorHAnsi" w:hAnsiTheme="minorHAnsi" w:cstheme="minorHAnsi"/>
          <w:szCs w:val="22"/>
        </w:rPr>
        <w:t xml:space="preserve"> implied collateral contract with C.</w:t>
      </w:r>
      <w:r w:rsidR="008938D3" w:rsidRPr="00955EB7">
        <w:rPr>
          <w:rStyle w:val="FootnoteReference"/>
          <w:rFonts w:asciiTheme="minorHAnsi" w:hAnsiTheme="minorHAnsi" w:cstheme="minorHAnsi"/>
          <w:szCs w:val="22"/>
        </w:rPr>
        <w:footnoteReference w:id="123"/>
      </w:r>
      <w:r w:rsidR="008938D3" w:rsidRPr="00955EB7">
        <w:rPr>
          <w:rFonts w:asciiTheme="minorHAnsi" w:hAnsiTheme="minorHAnsi" w:cstheme="minorHAnsi"/>
          <w:szCs w:val="22"/>
        </w:rPr>
        <w:t xml:space="preserve"> Furthermore, if A’s mental incapacity renders the agency contract with B automatically void, </w:t>
      </w:r>
      <w:r w:rsidR="000457EE" w:rsidRPr="00955EB7">
        <w:rPr>
          <w:rFonts w:asciiTheme="minorHAnsi" w:hAnsiTheme="minorHAnsi" w:cstheme="minorHAnsi"/>
          <w:szCs w:val="22"/>
        </w:rPr>
        <w:t xml:space="preserve">this fails to provide sufficient protection to A’s interests, as it overlooks his preferences and choices. Bramwell </w:t>
      </w:r>
      <w:r w:rsidR="00447530" w:rsidRPr="00955EB7">
        <w:rPr>
          <w:rFonts w:asciiTheme="minorHAnsi" w:hAnsiTheme="minorHAnsi" w:cstheme="minorHAnsi"/>
          <w:szCs w:val="22"/>
        </w:rPr>
        <w:t>LJ</w:t>
      </w:r>
      <w:r w:rsidR="000457EE" w:rsidRPr="00955EB7">
        <w:rPr>
          <w:rFonts w:asciiTheme="minorHAnsi" w:hAnsiTheme="minorHAnsi" w:cstheme="minorHAnsi"/>
          <w:szCs w:val="22"/>
        </w:rPr>
        <w:t xml:space="preserve">’s dictum in </w:t>
      </w:r>
      <w:r w:rsidR="000457EE" w:rsidRPr="00955EB7">
        <w:rPr>
          <w:rFonts w:asciiTheme="minorHAnsi" w:hAnsiTheme="minorHAnsi" w:cstheme="minorHAnsi"/>
          <w:i/>
          <w:szCs w:val="22"/>
        </w:rPr>
        <w:t>Drew</w:t>
      </w:r>
      <w:r w:rsidR="000457EE" w:rsidRPr="00955EB7">
        <w:rPr>
          <w:rFonts w:asciiTheme="minorHAnsi" w:hAnsiTheme="minorHAnsi" w:cstheme="minorHAnsi"/>
          <w:szCs w:val="22"/>
        </w:rPr>
        <w:t xml:space="preserve">, that </w:t>
      </w:r>
      <w:r w:rsidR="00CE1640">
        <w:rPr>
          <w:rFonts w:asciiTheme="minorHAnsi" w:hAnsiTheme="minorHAnsi" w:cstheme="minorHAnsi"/>
          <w:szCs w:val="22"/>
        </w:rPr>
        <w:t>‘</w:t>
      </w:r>
      <w:r w:rsidR="000457EE" w:rsidRPr="00955EB7">
        <w:rPr>
          <w:rFonts w:asciiTheme="minorHAnsi" w:hAnsiTheme="minorHAnsi" w:cstheme="minorHAnsi"/>
          <w:szCs w:val="22"/>
        </w:rPr>
        <w:t>if a man becomes so far insane as to have no mind, perhaps he ought to be deemed dead for the purpose of contracting</w:t>
      </w:r>
      <w:r w:rsidR="00CE1640">
        <w:rPr>
          <w:rFonts w:asciiTheme="minorHAnsi" w:hAnsiTheme="minorHAnsi" w:cstheme="minorHAnsi"/>
          <w:szCs w:val="22"/>
        </w:rPr>
        <w:t>’</w:t>
      </w:r>
      <w:r w:rsidR="000457EE" w:rsidRPr="00955EB7">
        <w:rPr>
          <w:rFonts w:asciiTheme="minorHAnsi" w:hAnsiTheme="minorHAnsi" w:cstheme="minorHAnsi"/>
          <w:szCs w:val="22"/>
        </w:rPr>
        <w:t>,</w:t>
      </w:r>
      <w:r w:rsidR="000457EE" w:rsidRPr="00955EB7">
        <w:rPr>
          <w:rStyle w:val="FootnoteReference"/>
          <w:rFonts w:asciiTheme="minorHAnsi" w:hAnsiTheme="minorHAnsi" w:cstheme="minorHAnsi"/>
          <w:szCs w:val="22"/>
        </w:rPr>
        <w:footnoteReference w:id="124"/>
      </w:r>
      <w:r w:rsidR="000457EE" w:rsidRPr="00955EB7">
        <w:rPr>
          <w:rFonts w:asciiTheme="minorHAnsi" w:hAnsiTheme="minorHAnsi" w:cstheme="minorHAnsi"/>
          <w:szCs w:val="22"/>
        </w:rPr>
        <w:t xml:space="preserve"> appears to equate A’s mental incapacity with his </w:t>
      </w:r>
      <w:r w:rsidR="00CE1640">
        <w:rPr>
          <w:rFonts w:asciiTheme="minorHAnsi" w:hAnsiTheme="minorHAnsi" w:cstheme="minorHAnsi"/>
          <w:szCs w:val="22"/>
        </w:rPr>
        <w:t>‘</w:t>
      </w:r>
      <w:r w:rsidR="000457EE" w:rsidRPr="00955EB7">
        <w:rPr>
          <w:rFonts w:asciiTheme="minorHAnsi" w:hAnsiTheme="minorHAnsi" w:cstheme="minorHAnsi"/>
          <w:szCs w:val="22"/>
        </w:rPr>
        <w:t>civil death</w:t>
      </w:r>
      <w:r w:rsidR="00CE1640">
        <w:rPr>
          <w:rFonts w:asciiTheme="minorHAnsi" w:hAnsiTheme="minorHAnsi" w:cstheme="minorHAnsi"/>
          <w:szCs w:val="22"/>
        </w:rPr>
        <w:t>’</w:t>
      </w:r>
      <w:r w:rsidR="000457EE" w:rsidRPr="00955EB7">
        <w:rPr>
          <w:rStyle w:val="FootnoteReference"/>
          <w:rFonts w:asciiTheme="minorHAnsi" w:hAnsiTheme="minorHAnsi" w:cstheme="minorHAnsi"/>
          <w:szCs w:val="22"/>
        </w:rPr>
        <w:footnoteReference w:id="125"/>
      </w:r>
      <w:r w:rsidR="000457EE" w:rsidRPr="00955EB7">
        <w:rPr>
          <w:rFonts w:asciiTheme="minorHAnsi" w:hAnsiTheme="minorHAnsi" w:cstheme="minorHAnsi"/>
          <w:szCs w:val="22"/>
        </w:rPr>
        <w:t xml:space="preserve"> and reflects no concern for A’s wishes and for the need to respect his autonomy and dignity. </w:t>
      </w:r>
    </w:p>
    <w:p w14:paraId="37FF5E7C" w14:textId="77777777" w:rsidR="00BC5DD5" w:rsidRDefault="00BC5DD5" w:rsidP="00A06D14">
      <w:pPr>
        <w:spacing w:line="360" w:lineRule="auto"/>
        <w:rPr>
          <w:rFonts w:asciiTheme="minorHAnsi" w:hAnsiTheme="minorHAnsi" w:cstheme="minorHAnsi"/>
          <w:szCs w:val="22"/>
        </w:rPr>
      </w:pPr>
    </w:p>
    <w:p w14:paraId="587A1328" w14:textId="16578E6B" w:rsidR="000457EE" w:rsidRPr="00955EB7" w:rsidRDefault="000457EE"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On the other hand, a framework that recognises the application of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to the agency context and which relies on a broad interpretation of the knowledge requirement to include both actual and constructive knowledge has the potential to achieve a more balanced approach between the interests of A, B and C. B’s loss of his actual authority to act on A’s behalf would depend on his knowledge of A’s mental incapacity. The inclusion of constructive knowledge</w:t>
      </w:r>
      <w:r w:rsidR="00313232" w:rsidRPr="00955EB7">
        <w:rPr>
          <w:rFonts w:asciiTheme="minorHAnsi" w:hAnsiTheme="minorHAnsi" w:cstheme="minorHAnsi"/>
          <w:szCs w:val="22"/>
        </w:rPr>
        <w:t>,</w:t>
      </w:r>
      <w:r w:rsidRPr="00955EB7">
        <w:rPr>
          <w:rFonts w:asciiTheme="minorHAnsi" w:hAnsiTheme="minorHAnsi" w:cstheme="minorHAnsi"/>
          <w:szCs w:val="22"/>
        </w:rPr>
        <w:t xml:space="preserve"> in addition to actual knowledge</w:t>
      </w:r>
      <w:r w:rsidR="00313232" w:rsidRPr="00955EB7">
        <w:rPr>
          <w:rFonts w:asciiTheme="minorHAnsi" w:hAnsiTheme="minorHAnsi" w:cstheme="minorHAnsi"/>
          <w:szCs w:val="22"/>
        </w:rPr>
        <w:t>,</w:t>
      </w:r>
      <w:r w:rsidRPr="00955EB7">
        <w:rPr>
          <w:rFonts w:asciiTheme="minorHAnsi" w:hAnsiTheme="minorHAnsi" w:cstheme="minorHAnsi"/>
          <w:szCs w:val="22"/>
        </w:rPr>
        <w:t xml:space="preserve"> would </w:t>
      </w:r>
      <w:r w:rsidR="00313232" w:rsidRPr="00955EB7">
        <w:rPr>
          <w:rFonts w:asciiTheme="minorHAnsi" w:hAnsiTheme="minorHAnsi" w:cstheme="minorHAnsi"/>
          <w:szCs w:val="22"/>
        </w:rPr>
        <w:t>protect A (or C respectively), as it would cover the situations where B ought to have known about A’s mental incapacity (including on the basis of the circumstances of the transaction). Even where B loses his actual authority to act on A’s behalf, based on his (actual or constructive) knowledge of A’s mental incapacity, he may still retain residual authority to take steps to ensure that A’s interests are effectively protected.</w:t>
      </w:r>
      <w:r w:rsidR="00313232" w:rsidRPr="00955EB7">
        <w:rPr>
          <w:rStyle w:val="FootnoteReference"/>
          <w:rFonts w:asciiTheme="minorHAnsi" w:hAnsiTheme="minorHAnsi" w:cstheme="minorHAnsi"/>
          <w:szCs w:val="22"/>
        </w:rPr>
        <w:footnoteReference w:id="126"/>
      </w:r>
      <w:r w:rsidR="00313232" w:rsidRPr="00955EB7">
        <w:rPr>
          <w:rFonts w:asciiTheme="minorHAnsi" w:hAnsiTheme="minorHAnsi" w:cstheme="minorHAnsi"/>
          <w:szCs w:val="22"/>
        </w:rPr>
        <w:t xml:space="preserve"> Furthermore, a framework where the agency contract between A and B is rendered voidable (rather than void), places more weight on A’s preferences and provides greater protection for values such as autonomy and dignity.</w:t>
      </w:r>
      <w:r w:rsidR="00313232" w:rsidRPr="00955EB7">
        <w:rPr>
          <w:rStyle w:val="FootnoteReference"/>
          <w:rFonts w:asciiTheme="minorHAnsi" w:hAnsiTheme="minorHAnsi" w:cstheme="minorHAnsi"/>
          <w:szCs w:val="22"/>
        </w:rPr>
        <w:footnoteReference w:id="127"/>
      </w:r>
      <w:r w:rsidR="00313232" w:rsidRPr="00955EB7">
        <w:rPr>
          <w:rFonts w:asciiTheme="minorHAnsi" w:hAnsiTheme="minorHAnsi" w:cstheme="minorHAnsi"/>
          <w:szCs w:val="22"/>
        </w:rPr>
        <w:t xml:space="preserve"> In addition, a broad interpretation of constructive knowledge moves the focus away from A’s medical condition (and whether this was known by, or apparent to B) to include the circumstances of the transaction.</w:t>
      </w:r>
    </w:p>
    <w:p w14:paraId="430DEC0A" w14:textId="77777777" w:rsidR="00BC5DD5" w:rsidRDefault="00BC5DD5" w:rsidP="00A06D14">
      <w:pPr>
        <w:spacing w:line="360" w:lineRule="auto"/>
        <w:rPr>
          <w:rFonts w:asciiTheme="minorHAnsi" w:hAnsiTheme="minorHAnsi" w:cstheme="minorHAnsi"/>
          <w:szCs w:val="22"/>
        </w:rPr>
      </w:pPr>
    </w:p>
    <w:p w14:paraId="0033CFC5" w14:textId="4E1FAF6D" w:rsidR="003000E4" w:rsidRPr="00955EB7" w:rsidRDefault="00313232"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When </w:t>
      </w:r>
      <w:r w:rsidRPr="00955EB7">
        <w:rPr>
          <w:rFonts w:asciiTheme="minorHAnsi" w:hAnsiTheme="minorHAnsi" w:cstheme="minorHAnsi"/>
        </w:rPr>
        <w:t xml:space="preserve">Brett </w:t>
      </w:r>
      <w:r w:rsidR="00447530" w:rsidRPr="00955EB7">
        <w:rPr>
          <w:rFonts w:asciiTheme="minorHAnsi" w:hAnsiTheme="minorHAnsi" w:cstheme="minorHAnsi"/>
        </w:rPr>
        <w:t>LJ</w:t>
      </w:r>
      <w:r w:rsidRPr="00955EB7">
        <w:rPr>
          <w:rFonts w:asciiTheme="minorHAnsi" w:hAnsiTheme="minorHAnsi" w:cstheme="minorHAnsi"/>
        </w:rPr>
        <w:t xml:space="preserve"> delivered his </w:t>
      </w:r>
      <w:r w:rsidR="00B67A7B" w:rsidRPr="00955EB7">
        <w:rPr>
          <w:rFonts w:asciiTheme="minorHAnsi" w:hAnsiTheme="minorHAnsi" w:cstheme="minorHAnsi"/>
        </w:rPr>
        <w:t>judgment</w:t>
      </w:r>
      <w:r w:rsidRPr="00955EB7">
        <w:rPr>
          <w:rFonts w:asciiTheme="minorHAnsi" w:hAnsiTheme="minorHAnsi" w:cstheme="minorHAnsi"/>
        </w:rPr>
        <w:t xml:space="preserve"> in the Court of Appeal decision in </w:t>
      </w:r>
      <w:r w:rsidRPr="00955EB7">
        <w:rPr>
          <w:rFonts w:asciiTheme="minorHAnsi" w:hAnsiTheme="minorHAnsi" w:cstheme="minorHAnsi"/>
          <w:i/>
        </w:rPr>
        <w:t>Drew</w:t>
      </w:r>
      <w:r w:rsidRPr="00955EB7">
        <w:rPr>
          <w:rFonts w:asciiTheme="minorHAnsi" w:hAnsiTheme="minorHAnsi" w:cstheme="minorHAnsi"/>
        </w:rPr>
        <w:t xml:space="preserve">, at the end of the nineteenth century, he reflected on the question whether a principal’s mental incapacity ended the agent’s authority and remarked that </w:t>
      </w:r>
      <w:r w:rsidR="00CE1640">
        <w:rPr>
          <w:rFonts w:asciiTheme="minorHAnsi" w:hAnsiTheme="minorHAnsi" w:cstheme="minorHAnsi"/>
        </w:rPr>
        <w:t>‘</w:t>
      </w:r>
      <w:r w:rsidRPr="00955EB7">
        <w:rPr>
          <w:rFonts w:asciiTheme="minorHAnsi" w:hAnsiTheme="minorHAnsi" w:cstheme="minorHAnsi"/>
        </w:rPr>
        <w:t>one would expect to find that this question has been long decided on clear principles</w:t>
      </w:r>
      <w:r w:rsidR="00CE1640">
        <w:rPr>
          <w:rFonts w:asciiTheme="minorHAnsi" w:hAnsiTheme="minorHAnsi" w:cstheme="minorHAnsi"/>
        </w:rPr>
        <w:t>’</w:t>
      </w:r>
      <w:r w:rsidRPr="00955EB7">
        <w:rPr>
          <w:rFonts w:asciiTheme="minorHAnsi" w:hAnsiTheme="minorHAnsi" w:cstheme="minorHAnsi"/>
        </w:rPr>
        <w:t xml:space="preserve"> but that </w:t>
      </w:r>
      <w:r w:rsidR="00CE1640">
        <w:rPr>
          <w:rFonts w:asciiTheme="minorHAnsi" w:hAnsiTheme="minorHAnsi" w:cstheme="minorHAnsi"/>
        </w:rPr>
        <w:t>‘</w:t>
      </w:r>
      <w:r w:rsidRPr="00955EB7">
        <w:rPr>
          <w:rFonts w:asciiTheme="minorHAnsi" w:hAnsiTheme="minorHAnsi" w:cstheme="minorHAnsi"/>
        </w:rPr>
        <w:t>no satisfactory conclusion has been arrived at</w:t>
      </w:r>
      <w:r w:rsidR="00CE1640">
        <w:rPr>
          <w:rFonts w:asciiTheme="minorHAnsi" w:hAnsiTheme="minorHAnsi" w:cstheme="minorHAnsi"/>
        </w:rPr>
        <w:t>’</w:t>
      </w:r>
      <w:r w:rsidRPr="00955EB7">
        <w:rPr>
          <w:rFonts w:asciiTheme="minorHAnsi" w:hAnsiTheme="minorHAnsi" w:cstheme="minorHAnsi"/>
        </w:rPr>
        <w:t>.</w:t>
      </w:r>
      <w:r w:rsidRPr="00955EB7">
        <w:rPr>
          <w:rStyle w:val="FootnoteReference"/>
          <w:rFonts w:asciiTheme="minorHAnsi" w:hAnsiTheme="minorHAnsi" w:cstheme="minorHAnsi"/>
        </w:rPr>
        <w:footnoteReference w:id="128"/>
      </w:r>
      <w:r w:rsidRPr="00955EB7">
        <w:rPr>
          <w:rFonts w:asciiTheme="minorHAnsi" w:hAnsiTheme="minorHAnsi" w:cstheme="minorHAnsi"/>
        </w:rPr>
        <w:t xml:space="preserve"> The Court of Appeal found ultimately that </w:t>
      </w:r>
      <w:r w:rsidR="00CE1640">
        <w:rPr>
          <w:rFonts w:asciiTheme="minorHAnsi" w:hAnsiTheme="minorHAnsi" w:cstheme="minorHAnsi"/>
        </w:rPr>
        <w:t>‘</w:t>
      </w:r>
      <w:r w:rsidRPr="00955EB7">
        <w:rPr>
          <w:rFonts w:asciiTheme="minorHAnsi" w:hAnsiTheme="minorHAnsi" w:cstheme="minorHAnsi"/>
        </w:rPr>
        <w:t>insanity</w:t>
      </w:r>
      <w:r w:rsidR="00CE1640">
        <w:rPr>
          <w:rFonts w:asciiTheme="minorHAnsi" w:hAnsiTheme="minorHAnsi" w:cstheme="minorHAnsi"/>
        </w:rPr>
        <w:t>’</w:t>
      </w:r>
      <w:r w:rsidRPr="00955EB7">
        <w:rPr>
          <w:rFonts w:asciiTheme="minorHAnsi" w:hAnsiTheme="minorHAnsi" w:cstheme="minorHAnsi"/>
        </w:rPr>
        <w:t xml:space="preserve"> of the kind affecting the principal did </w:t>
      </w:r>
      <w:r w:rsidR="00CE1640">
        <w:rPr>
          <w:rFonts w:asciiTheme="minorHAnsi" w:hAnsiTheme="minorHAnsi" w:cstheme="minorHAnsi"/>
        </w:rPr>
        <w:t>‘</w:t>
      </w:r>
      <w:r w:rsidRPr="00955EB7">
        <w:rPr>
          <w:rFonts w:asciiTheme="minorHAnsi" w:hAnsiTheme="minorHAnsi" w:cstheme="minorHAnsi"/>
        </w:rPr>
        <w:t>put an end to</w:t>
      </w:r>
      <w:r w:rsidR="00CE1640">
        <w:rPr>
          <w:rFonts w:asciiTheme="minorHAnsi" w:hAnsiTheme="minorHAnsi" w:cstheme="minorHAnsi"/>
        </w:rPr>
        <w:t>’</w:t>
      </w:r>
      <w:r w:rsidRPr="00955EB7">
        <w:rPr>
          <w:rFonts w:asciiTheme="minorHAnsi" w:hAnsiTheme="minorHAnsi" w:cstheme="minorHAnsi"/>
        </w:rPr>
        <w:t xml:space="preserve"> the agent’s authority</w:t>
      </w:r>
      <w:r w:rsidR="000E2C22" w:rsidRPr="00955EB7">
        <w:rPr>
          <w:rFonts w:asciiTheme="minorHAnsi" w:hAnsiTheme="minorHAnsi" w:cstheme="minorHAnsi"/>
        </w:rPr>
        <w:t xml:space="preserve">, but that this conclusion may not apply to every type of </w:t>
      </w:r>
      <w:r w:rsidR="00CE1640">
        <w:rPr>
          <w:rFonts w:asciiTheme="minorHAnsi" w:hAnsiTheme="minorHAnsi" w:cstheme="minorHAnsi"/>
        </w:rPr>
        <w:t>‘</w:t>
      </w:r>
      <w:r w:rsidR="000E2C22" w:rsidRPr="00955EB7">
        <w:rPr>
          <w:rFonts w:asciiTheme="minorHAnsi" w:hAnsiTheme="minorHAnsi" w:cstheme="minorHAnsi"/>
        </w:rPr>
        <w:t>insanity</w:t>
      </w:r>
      <w:r w:rsidR="00CE1640">
        <w:rPr>
          <w:rFonts w:asciiTheme="minorHAnsi" w:hAnsiTheme="minorHAnsi" w:cstheme="minorHAnsi"/>
        </w:rPr>
        <w:t>’</w:t>
      </w:r>
      <w:r w:rsidRPr="00955EB7">
        <w:rPr>
          <w:rFonts w:asciiTheme="minorHAnsi" w:hAnsiTheme="minorHAnsi" w:cstheme="minorHAnsi"/>
        </w:rPr>
        <w:t>.</w:t>
      </w:r>
      <w:r w:rsidR="000E2C22" w:rsidRPr="00955EB7">
        <w:rPr>
          <w:rStyle w:val="FootnoteReference"/>
          <w:rFonts w:asciiTheme="minorHAnsi" w:hAnsiTheme="minorHAnsi" w:cstheme="minorHAnsi"/>
        </w:rPr>
        <w:footnoteReference w:id="129"/>
      </w:r>
      <w:r w:rsidR="000E2C22" w:rsidRPr="00955EB7">
        <w:rPr>
          <w:rFonts w:asciiTheme="minorHAnsi" w:hAnsiTheme="minorHAnsi" w:cstheme="minorHAnsi"/>
        </w:rPr>
        <w:t xml:space="preserve"> A case comment published shortly after the decision in </w:t>
      </w:r>
      <w:r w:rsidR="000E2C22" w:rsidRPr="00955EB7">
        <w:rPr>
          <w:rFonts w:asciiTheme="minorHAnsi" w:hAnsiTheme="minorHAnsi" w:cstheme="minorHAnsi"/>
          <w:i/>
        </w:rPr>
        <w:t xml:space="preserve">Drew </w:t>
      </w:r>
      <w:r w:rsidR="000E2C22" w:rsidRPr="00955EB7">
        <w:rPr>
          <w:rFonts w:asciiTheme="minorHAnsi" w:hAnsiTheme="minorHAnsi" w:cstheme="minorHAnsi"/>
        </w:rPr>
        <w:t xml:space="preserve">noted that this decision </w:t>
      </w:r>
      <w:r w:rsidR="00CE1640">
        <w:rPr>
          <w:rFonts w:asciiTheme="minorHAnsi" w:hAnsiTheme="minorHAnsi" w:cstheme="minorHAnsi"/>
        </w:rPr>
        <w:t>‘</w:t>
      </w:r>
      <w:r w:rsidR="000E2C22" w:rsidRPr="00955EB7">
        <w:rPr>
          <w:rFonts w:asciiTheme="minorHAnsi" w:hAnsiTheme="minorHAnsi" w:cstheme="minorHAnsi"/>
        </w:rPr>
        <w:t>can hardly be said to have settled the general question</w:t>
      </w:r>
      <w:r w:rsidR="00CE1640">
        <w:rPr>
          <w:rFonts w:asciiTheme="minorHAnsi" w:hAnsiTheme="minorHAnsi" w:cstheme="minorHAnsi"/>
        </w:rPr>
        <w:t>’</w:t>
      </w:r>
      <w:r w:rsidR="000E2C22" w:rsidRPr="00955EB7">
        <w:rPr>
          <w:rFonts w:asciiTheme="minorHAnsi" w:hAnsiTheme="minorHAnsi" w:cstheme="minorHAnsi"/>
        </w:rPr>
        <w:t xml:space="preserve"> regarding the effect of a principal’s mental incapacity on the agent’s authority.</w:t>
      </w:r>
      <w:r w:rsidR="000E2C22" w:rsidRPr="00955EB7">
        <w:rPr>
          <w:rStyle w:val="FootnoteReference"/>
          <w:rFonts w:asciiTheme="minorHAnsi" w:hAnsiTheme="minorHAnsi" w:cstheme="minorHAnsi"/>
        </w:rPr>
        <w:footnoteReference w:id="130"/>
      </w:r>
      <w:r w:rsidR="000E2C22" w:rsidRPr="00955EB7">
        <w:rPr>
          <w:rFonts w:asciiTheme="minorHAnsi" w:hAnsiTheme="minorHAnsi" w:cstheme="minorHAnsi"/>
        </w:rPr>
        <w:t xml:space="preserve"> In the twenty-first century, despite the fact that both the Court of Appeal and the Supreme Court have engaged with this question,</w:t>
      </w:r>
      <w:r w:rsidR="000E2C22" w:rsidRPr="00955EB7">
        <w:rPr>
          <w:rStyle w:val="FootnoteReference"/>
          <w:rFonts w:asciiTheme="minorHAnsi" w:hAnsiTheme="minorHAnsi" w:cstheme="minorHAnsi"/>
        </w:rPr>
        <w:footnoteReference w:id="131"/>
      </w:r>
      <w:r w:rsidR="000E2C22" w:rsidRPr="00955EB7">
        <w:rPr>
          <w:rFonts w:asciiTheme="minorHAnsi" w:hAnsiTheme="minorHAnsi" w:cstheme="minorHAnsi"/>
        </w:rPr>
        <w:t xml:space="preserve"> the issue continues to </w:t>
      </w:r>
      <w:r w:rsidR="00955EB7" w:rsidRPr="00955EB7">
        <w:rPr>
          <w:rFonts w:asciiTheme="minorHAnsi" w:hAnsiTheme="minorHAnsi" w:cstheme="minorHAnsi"/>
        </w:rPr>
        <w:t>be clothed with uncertainty</w:t>
      </w:r>
      <w:r w:rsidR="000E2C22" w:rsidRPr="00955EB7">
        <w:rPr>
          <w:rFonts w:asciiTheme="minorHAnsi" w:hAnsiTheme="minorHAnsi" w:cstheme="minorHAnsi"/>
        </w:rPr>
        <w:t>.</w:t>
      </w:r>
      <w:r w:rsidR="000E2C22" w:rsidRPr="00955EB7">
        <w:rPr>
          <w:rStyle w:val="FootnoteReference"/>
          <w:rFonts w:asciiTheme="minorHAnsi" w:hAnsiTheme="minorHAnsi" w:cstheme="minorHAnsi"/>
        </w:rPr>
        <w:footnoteReference w:id="132"/>
      </w:r>
      <w:r w:rsidR="00930BBC" w:rsidRPr="00955EB7">
        <w:rPr>
          <w:rFonts w:asciiTheme="minorHAnsi" w:hAnsiTheme="minorHAnsi" w:cstheme="minorHAnsi"/>
        </w:rPr>
        <w:t xml:space="preserve"> In the Supreme Court decision </w:t>
      </w:r>
      <w:r w:rsidR="00930BBC" w:rsidRPr="00955EB7">
        <w:rPr>
          <w:rFonts w:asciiTheme="minorHAnsi" w:hAnsiTheme="minorHAnsi" w:cstheme="minorHAnsi"/>
        </w:rPr>
        <w:lastRenderedPageBreak/>
        <w:t xml:space="preserve">in </w:t>
      </w:r>
      <w:r w:rsidR="00930BBC" w:rsidRPr="00955EB7">
        <w:rPr>
          <w:rFonts w:asciiTheme="minorHAnsi" w:hAnsiTheme="minorHAnsi" w:cstheme="minorHAnsi"/>
          <w:i/>
        </w:rPr>
        <w:t>Dunhill</w:t>
      </w:r>
      <w:r w:rsidR="00930BBC" w:rsidRPr="00955EB7">
        <w:rPr>
          <w:rFonts w:asciiTheme="minorHAnsi" w:hAnsiTheme="minorHAnsi" w:cstheme="minorHAnsi"/>
        </w:rPr>
        <w:t xml:space="preserve">, Lady Hale made the obiter comment that the authorities in this area of law are </w:t>
      </w:r>
      <w:r w:rsidR="00CE1640">
        <w:rPr>
          <w:rFonts w:asciiTheme="minorHAnsi" w:hAnsiTheme="minorHAnsi" w:cstheme="minorHAnsi"/>
        </w:rPr>
        <w:t>‘</w:t>
      </w:r>
      <w:r w:rsidR="00930BBC" w:rsidRPr="00955EB7">
        <w:rPr>
          <w:rFonts w:asciiTheme="minorHAnsi" w:hAnsiTheme="minorHAnsi" w:cstheme="minorHAnsi"/>
        </w:rPr>
        <w:t>in a state of some confusion</w:t>
      </w:r>
      <w:r w:rsidR="00CE1640">
        <w:rPr>
          <w:rFonts w:asciiTheme="minorHAnsi" w:hAnsiTheme="minorHAnsi" w:cstheme="minorHAnsi"/>
        </w:rPr>
        <w:t>’</w:t>
      </w:r>
      <w:r w:rsidR="00930BBC" w:rsidRPr="00955EB7">
        <w:rPr>
          <w:rFonts w:asciiTheme="minorHAnsi" w:hAnsiTheme="minorHAnsi" w:cstheme="minorHAnsi"/>
        </w:rPr>
        <w:t xml:space="preserve">, before </w:t>
      </w:r>
      <w:r w:rsidR="00DC3DDF" w:rsidRPr="00955EB7">
        <w:rPr>
          <w:rFonts w:asciiTheme="minorHAnsi" w:hAnsiTheme="minorHAnsi" w:cstheme="minorHAnsi"/>
        </w:rPr>
        <w:t xml:space="preserve">voicing </w:t>
      </w:r>
      <w:r w:rsidR="00930BBC" w:rsidRPr="00955EB7">
        <w:rPr>
          <w:rFonts w:asciiTheme="minorHAnsi" w:hAnsiTheme="minorHAnsi" w:cstheme="minorHAnsi"/>
        </w:rPr>
        <w:t xml:space="preserve">relief that </w:t>
      </w:r>
      <w:r w:rsidR="00CE1640">
        <w:rPr>
          <w:rFonts w:asciiTheme="minorHAnsi" w:hAnsiTheme="minorHAnsi" w:cstheme="minorHAnsi"/>
        </w:rPr>
        <w:t>‘</w:t>
      </w:r>
      <w:r w:rsidR="00930BBC" w:rsidRPr="00955EB7">
        <w:rPr>
          <w:rFonts w:asciiTheme="minorHAnsi" w:hAnsiTheme="minorHAnsi" w:cstheme="minorHAnsi"/>
        </w:rPr>
        <w:t>fortunately, the issue does not arise</w:t>
      </w:r>
      <w:r w:rsidR="00CE1640">
        <w:rPr>
          <w:rFonts w:asciiTheme="minorHAnsi" w:hAnsiTheme="minorHAnsi" w:cstheme="minorHAnsi"/>
        </w:rPr>
        <w:t>’</w:t>
      </w:r>
      <w:r w:rsidR="00930BBC" w:rsidRPr="00955EB7">
        <w:rPr>
          <w:rFonts w:asciiTheme="minorHAnsi" w:hAnsiTheme="minorHAnsi" w:cstheme="minorHAnsi"/>
        </w:rPr>
        <w:t xml:space="preserve">, making it unnecessary for the court </w:t>
      </w:r>
      <w:r w:rsidR="00CE1640">
        <w:rPr>
          <w:rFonts w:asciiTheme="minorHAnsi" w:hAnsiTheme="minorHAnsi" w:cstheme="minorHAnsi"/>
        </w:rPr>
        <w:t>‘</w:t>
      </w:r>
      <w:r w:rsidR="00930BBC" w:rsidRPr="00955EB7">
        <w:rPr>
          <w:rFonts w:asciiTheme="minorHAnsi" w:hAnsiTheme="minorHAnsi" w:cstheme="minorHAnsi"/>
        </w:rPr>
        <w:t>to express any opinion, one way or another, as to the present state of the law</w:t>
      </w:r>
      <w:r w:rsidR="00CE1640">
        <w:rPr>
          <w:rFonts w:asciiTheme="minorHAnsi" w:hAnsiTheme="minorHAnsi" w:cstheme="minorHAnsi"/>
        </w:rPr>
        <w:t>’</w:t>
      </w:r>
      <w:r w:rsidR="00930BBC" w:rsidRPr="00955EB7">
        <w:rPr>
          <w:rFonts w:asciiTheme="minorHAnsi" w:hAnsiTheme="minorHAnsi" w:cstheme="minorHAnsi"/>
        </w:rPr>
        <w:t xml:space="preserve"> (in particular whether the </w:t>
      </w:r>
      <w:r w:rsidR="00930BBC" w:rsidRPr="00955EB7">
        <w:rPr>
          <w:rFonts w:asciiTheme="minorHAnsi" w:hAnsiTheme="minorHAnsi" w:cstheme="minorHAnsi"/>
          <w:i/>
        </w:rPr>
        <w:t>Imperial Loan</w:t>
      </w:r>
      <w:r w:rsidR="00930BBC" w:rsidRPr="00955EB7">
        <w:rPr>
          <w:rFonts w:asciiTheme="minorHAnsi" w:hAnsiTheme="minorHAnsi" w:cstheme="minorHAnsi"/>
        </w:rPr>
        <w:t xml:space="preserve"> rule applies to the relation between principal and agent).</w:t>
      </w:r>
      <w:r w:rsidR="00930BBC" w:rsidRPr="00955EB7">
        <w:rPr>
          <w:rStyle w:val="FootnoteReference"/>
          <w:rFonts w:asciiTheme="minorHAnsi" w:hAnsiTheme="minorHAnsi" w:cstheme="minorHAnsi"/>
        </w:rPr>
        <w:footnoteReference w:id="133"/>
      </w:r>
      <w:r w:rsidR="00930BBC" w:rsidRPr="00955EB7">
        <w:rPr>
          <w:rFonts w:asciiTheme="minorHAnsi" w:hAnsiTheme="minorHAnsi" w:cstheme="minorHAnsi"/>
        </w:rPr>
        <w:t xml:space="preserve"> While the High Court in </w:t>
      </w:r>
      <w:r w:rsidR="00930BBC" w:rsidRPr="00955EB7">
        <w:rPr>
          <w:rFonts w:asciiTheme="minorHAnsi" w:hAnsiTheme="minorHAnsi" w:cstheme="minorHAnsi"/>
          <w:i/>
        </w:rPr>
        <w:t>Blankley</w:t>
      </w:r>
      <w:r w:rsidR="00B30E30" w:rsidRPr="00955EB7">
        <w:rPr>
          <w:rFonts w:asciiTheme="minorHAnsi" w:hAnsiTheme="minorHAnsi" w:cstheme="minorHAnsi"/>
        </w:rPr>
        <w:t xml:space="preserve"> indicated preference for the application of the </w:t>
      </w:r>
      <w:r w:rsidR="00B30E30" w:rsidRPr="00955EB7">
        <w:rPr>
          <w:rFonts w:asciiTheme="minorHAnsi" w:hAnsiTheme="minorHAnsi" w:cstheme="minorHAnsi"/>
          <w:i/>
        </w:rPr>
        <w:t>Imperial Loan</w:t>
      </w:r>
      <w:r w:rsidR="00B30E30" w:rsidRPr="00955EB7">
        <w:rPr>
          <w:rFonts w:asciiTheme="minorHAnsi" w:hAnsiTheme="minorHAnsi" w:cstheme="minorHAnsi"/>
        </w:rPr>
        <w:t xml:space="preserve"> rule in an agency context,</w:t>
      </w:r>
      <w:r w:rsidR="00B30E30" w:rsidRPr="00955EB7">
        <w:rPr>
          <w:rStyle w:val="FootnoteReference"/>
          <w:rFonts w:asciiTheme="minorHAnsi" w:hAnsiTheme="minorHAnsi" w:cstheme="minorHAnsi"/>
        </w:rPr>
        <w:footnoteReference w:id="134"/>
      </w:r>
      <w:r w:rsidR="00B30E30" w:rsidRPr="00955EB7">
        <w:rPr>
          <w:rFonts w:asciiTheme="minorHAnsi" w:hAnsiTheme="minorHAnsi" w:cstheme="minorHAnsi"/>
        </w:rPr>
        <w:t xml:space="preserve"> the Court of Appeal was less forthright in confirming this, recognising instead the need for a </w:t>
      </w:r>
      <w:r w:rsidR="00CE1640">
        <w:rPr>
          <w:rFonts w:asciiTheme="minorHAnsi" w:hAnsiTheme="minorHAnsi" w:cstheme="minorHAnsi"/>
        </w:rPr>
        <w:t>‘</w:t>
      </w:r>
      <w:r w:rsidR="00B30E30" w:rsidRPr="00955EB7">
        <w:rPr>
          <w:rFonts w:asciiTheme="minorHAnsi" w:hAnsiTheme="minorHAnsi" w:cstheme="minorHAnsi"/>
        </w:rPr>
        <w:t>fresh examination or reconsideration</w:t>
      </w:r>
      <w:r w:rsidR="00CE1640">
        <w:rPr>
          <w:rFonts w:asciiTheme="minorHAnsi" w:hAnsiTheme="minorHAnsi" w:cstheme="minorHAnsi"/>
        </w:rPr>
        <w:t>’</w:t>
      </w:r>
      <w:r w:rsidR="00B30E30" w:rsidRPr="00955EB7">
        <w:rPr>
          <w:rFonts w:asciiTheme="minorHAnsi" w:hAnsiTheme="minorHAnsi" w:cstheme="minorHAnsi"/>
        </w:rPr>
        <w:t xml:space="preserve"> of </w:t>
      </w:r>
      <w:r w:rsidR="00B30E30" w:rsidRPr="00955EB7">
        <w:rPr>
          <w:rFonts w:asciiTheme="minorHAnsi" w:hAnsiTheme="minorHAnsi" w:cstheme="minorHAnsi"/>
          <w:i/>
        </w:rPr>
        <w:t>Yonge</w:t>
      </w:r>
      <w:r w:rsidR="00B30E30" w:rsidRPr="00955EB7">
        <w:rPr>
          <w:rFonts w:asciiTheme="minorHAnsi" w:hAnsiTheme="minorHAnsi" w:cstheme="minorHAnsi"/>
        </w:rPr>
        <w:t xml:space="preserve"> and </w:t>
      </w:r>
      <w:r w:rsidR="00CE1640">
        <w:rPr>
          <w:rFonts w:asciiTheme="minorHAnsi" w:hAnsiTheme="minorHAnsi" w:cstheme="minorHAnsi"/>
        </w:rPr>
        <w:t>‘</w:t>
      </w:r>
      <w:r w:rsidR="00B30E30" w:rsidRPr="00955EB7">
        <w:rPr>
          <w:rFonts w:asciiTheme="minorHAnsi" w:hAnsiTheme="minorHAnsi" w:cstheme="minorHAnsi"/>
        </w:rPr>
        <w:t>related authorities</w:t>
      </w:r>
      <w:r w:rsidR="00CE1640">
        <w:rPr>
          <w:rFonts w:asciiTheme="minorHAnsi" w:hAnsiTheme="minorHAnsi" w:cstheme="minorHAnsi"/>
        </w:rPr>
        <w:t>’</w:t>
      </w:r>
      <w:r w:rsidR="00B30E30" w:rsidRPr="00955EB7">
        <w:rPr>
          <w:rFonts w:asciiTheme="minorHAnsi" w:hAnsiTheme="minorHAnsi" w:cstheme="minorHAnsi"/>
        </w:rPr>
        <w:t xml:space="preserve"> and indicating preference for an approach where B’s knowledge of A’s condition has relevance in determining the contractual relation between A and B.</w:t>
      </w:r>
      <w:r w:rsidR="00B30E30" w:rsidRPr="00955EB7">
        <w:rPr>
          <w:rStyle w:val="FootnoteReference"/>
          <w:rFonts w:asciiTheme="minorHAnsi" w:hAnsiTheme="minorHAnsi" w:cstheme="minorHAnsi"/>
        </w:rPr>
        <w:footnoteReference w:id="135"/>
      </w:r>
      <w:r w:rsidR="00B30E30" w:rsidRPr="00955EB7">
        <w:rPr>
          <w:rFonts w:asciiTheme="minorHAnsi" w:hAnsiTheme="minorHAnsi" w:cstheme="minorHAnsi"/>
        </w:rPr>
        <w:t xml:space="preserve"> According to Richards </w:t>
      </w:r>
      <w:r w:rsidR="00447530" w:rsidRPr="00955EB7">
        <w:rPr>
          <w:rFonts w:asciiTheme="minorHAnsi" w:hAnsiTheme="minorHAnsi" w:cstheme="minorHAnsi"/>
        </w:rPr>
        <w:t>LJ</w:t>
      </w:r>
      <w:r w:rsidR="00B30E30" w:rsidRPr="00955EB7">
        <w:rPr>
          <w:rFonts w:asciiTheme="minorHAnsi" w:hAnsiTheme="minorHAnsi" w:cstheme="minorHAnsi"/>
        </w:rPr>
        <w:t>,</w:t>
      </w:r>
      <w:r w:rsidR="006B41F5" w:rsidRPr="00955EB7">
        <w:rPr>
          <w:rFonts w:asciiTheme="minorHAnsi" w:hAnsiTheme="minorHAnsi" w:cstheme="minorHAnsi"/>
        </w:rPr>
        <w:t xml:space="preserve"> A’s supervening mental incapacity should not terminate automatically the contractual relation between A and B (which, in </w:t>
      </w:r>
      <w:r w:rsidR="006B41F5" w:rsidRPr="00955EB7">
        <w:rPr>
          <w:rFonts w:asciiTheme="minorHAnsi" w:hAnsiTheme="minorHAnsi" w:cstheme="minorHAnsi"/>
          <w:i/>
        </w:rPr>
        <w:t>Blankley</w:t>
      </w:r>
      <w:r w:rsidR="006B41F5" w:rsidRPr="00955EB7">
        <w:rPr>
          <w:rFonts w:asciiTheme="minorHAnsi" w:hAnsiTheme="minorHAnsi" w:cstheme="minorHAnsi"/>
        </w:rPr>
        <w:t xml:space="preserve">, involved a client and a solicitor), B should continue to have authority to act on A’s behalf while B has no knowledge of A’s mental incapacity and should continue to have authority </w:t>
      </w:r>
      <w:r w:rsidR="00CE1640">
        <w:rPr>
          <w:rFonts w:asciiTheme="minorHAnsi" w:hAnsiTheme="minorHAnsi" w:cstheme="minorHAnsi"/>
        </w:rPr>
        <w:t>‘</w:t>
      </w:r>
      <w:r w:rsidR="006B41F5" w:rsidRPr="00955EB7">
        <w:rPr>
          <w:rFonts w:asciiTheme="minorHAnsi" w:hAnsiTheme="minorHAnsi" w:cstheme="minorHAnsi"/>
        </w:rPr>
        <w:t>to take necessary steps</w:t>
      </w:r>
      <w:r w:rsidR="00CE1640">
        <w:rPr>
          <w:rFonts w:asciiTheme="minorHAnsi" w:hAnsiTheme="minorHAnsi" w:cstheme="minorHAnsi"/>
        </w:rPr>
        <w:t>’</w:t>
      </w:r>
      <w:r w:rsidR="006B41F5" w:rsidRPr="00955EB7">
        <w:rPr>
          <w:rFonts w:asciiTheme="minorHAnsi" w:hAnsiTheme="minorHAnsi" w:cstheme="minorHAnsi"/>
        </w:rPr>
        <w:t xml:space="preserve"> to protect A’s position upon becoming aware of A’s mental incapacity.</w:t>
      </w:r>
      <w:r w:rsidR="006B41F5" w:rsidRPr="00955EB7">
        <w:rPr>
          <w:rStyle w:val="FootnoteReference"/>
          <w:rFonts w:asciiTheme="minorHAnsi" w:hAnsiTheme="minorHAnsi" w:cstheme="minorHAnsi"/>
        </w:rPr>
        <w:footnoteReference w:id="136"/>
      </w:r>
      <w:r w:rsidR="00B104C6" w:rsidRPr="00955EB7">
        <w:rPr>
          <w:rFonts w:asciiTheme="minorHAnsi" w:hAnsiTheme="minorHAnsi" w:cstheme="minorHAnsi"/>
        </w:rPr>
        <w:t xml:space="preserve"> However, these remarks were made obiter and the Court of Appeal expressed </w:t>
      </w:r>
      <w:r w:rsidR="003000E4" w:rsidRPr="00955EB7">
        <w:rPr>
          <w:rFonts w:asciiTheme="minorHAnsi" w:hAnsiTheme="minorHAnsi" w:cstheme="minorHAnsi"/>
        </w:rPr>
        <w:t>relief</w:t>
      </w:r>
      <w:r w:rsidR="00B104C6" w:rsidRPr="00955EB7">
        <w:rPr>
          <w:rFonts w:asciiTheme="minorHAnsi" w:hAnsiTheme="minorHAnsi" w:cstheme="minorHAnsi"/>
        </w:rPr>
        <w:t xml:space="preserve"> that the case did not require the court </w:t>
      </w:r>
      <w:r w:rsidR="00CE1640">
        <w:rPr>
          <w:rFonts w:asciiTheme="minorHAnsi" w:hAnsiTheme="minorHAnsi" w:cstheme="minorHAnsi"/>
        </w:rPr>
        <w:t>‘</w:t>
      </w:r>
      <w:r w:rsidR="00B104C6" w:rsidRPr="00955EB7">
        <w:rPr>
          <w:rFonts w:asciiTheme="minorHAnsi" w:hAnsiTheme="minorHAnsi" w:cstheme="minorHAnsi"/>
        </w:rPr>
        <w:t>to re-examine the principle</w:t>
      </w:r>
      <w:r w:rsidR="00CE1640">
        <w:rPr>
          <w:rFonts w:asciiTheme="minorHAnsi" w:hAnsiTheme="minorHAnsi" w:cstheme="minorHAnsi"/>
        </w:rPr>
        <w:t>’</w:t>
      </w:r>
      <w:r w:rsidR="00B104C6" w:rsidRPr="00955EB7">
        <w:rPr>
          <w:rFonts w:asciiTheme="minorHAnsi" w:hAnsiTheme="minorHAnsi" w:cstheme="minorHAnsi"/>
        </w:rPr>
        <w:t xml:space="preserve"> in </w:t>
      </w:r>
      <w:r w:rsidR="00B104C6" w:rsidRPr="00955EB7">
        <w:rPr>
          <w:rFonts w:asciiTheme="minorHAnsi" w:hAnsiTheme="minorHAnsi" w:cstheme="minorHAnsi"/>
          <w:i/>
        </w:rPr>
        <w:t>Yonge</w:t>
      </w:r>
      <w:r w:rsidR="00B104C6" w:rsidRPr="00955EB7">
        <w:rPr>
          <w:rFonts w:asciiTheme="minorHAnsi" w:hAnsiTheme="minorHAnsi" w:cstheme="minorHAnsi"/>
        </w:rPr>
        <w:t xml:space="preserve"> or </w:t>
      </w:r>
      <w:r w:rsidR="00CE1640">
        <w:rPr>
          <w:rFonts w:asciiTheme="minorHAnsi" w:hAnsiTheme="minorHAnsi" w:cstheme="minorHAnsi"/>
        </w:rPr>
        <w:t>‘</w:t>
      </w:r>
      <w:r w:rsidR="00B104C6" w:rsidRPr="00955EB7">
        <w:rPr>
          <w:rFonts w:asciiTheme="minorHAnsi" w:hAnsiTheme="minorHAnsi" w:cstheme="minorHAnsi"/>
        </w:rPr>
        <w:t xml:space="preserve">to grasp the </w:t>
      </w:r>
      <w:r w:rsidR="00DA3679" w:rsidRPr="00955EB7">
        <w:rPr>
          <w:rFonts w:asciiTheme="minorHAnsi" w:hAnsiTheme="minorHAnsi" w:cstheme="minorHAnsi"/>
        </w:rPr>
        <w:t>‘</w:t>
      </w:r>
      <w:r w:rsidR="00B104C6" w:rsidRPr="00955EB7">
        <w:rPr>
          <w:rFonts w:asciiTheme="minorHAnsi" w:hAnsiTheme="minorHAnsi" w:cstheme="minorHAnsi"/>
        </w:rPr>
        <w:t>hot potato</w:t>
      </w:r>
      <w:r w:rsidR="00DA3679" w:rsidRPr="00955EB7">
        <w:rPr>
          <w:rFonts w:asciiTheme="minorHAnsi" w:hAnsiTheme="minorHAnsi" w:cstheme="minorHAnsi"/>
        </w:rPr>
        <w:t>’</w:t>
      </w:r>
      <w:r w:rsidR="00B104C6" w:rsidRPr="00955EB7">
        <w:rPr>
          <w:rFonts w:asciiTheme="minorHAnsi" w:hAnsiTheme="minorHAnsi" w:cstheme="minorHAnsi"/>
        </w:rPr>
        <w:t xml:space="preserve"> left on one side by the Supreme Court</w:t>
      </w:r>
      <w:r w:rsidR="00CE1640">
        <w:rPr>
          <w:rFonts w:asciiTheme="minorHAnsi" w:hAnsiTheme="minorHAnsi" w:cstheme="minorHAnsi"/>
        </w:rPr>
        <w:t>’</w:t>
      </w:r>
      <w:r w:rsidR="00B104C6" w:rsidRPr="00955EB7">
        <w:rPr>
          <w:rFonts w:asciiTheme="minorHAnsi" w:hAnsiTheme="minorHAnsi" w:cstheme="minorHAnsi"/>
        </w:rPr>
        <w:t xml:space="preserve"> in </w:t>
      </w:r>
      <w:r w:rsidR="00B104C6" w:rsidRPr="00955EB7">
        <w:rPr>
          <w:rFonts w:asciiTheme="minorHAnsi" w:hAnsiTheme="minorHAnsi" w:cstheme="minorHAnsi"/>
          <w:i/>
        </w:rPr>
        <w:t>Dunhill</w:t>
      </w:r>
      <w:r w:rsidR="00B104C6" w:rsidRPr="00955EB7">
        <w:rPr>
          <w:rFonts w:asciiTheme="minorHAnsi" w:hAnsiTheme="minorHAnsi" w:cstheme="minorHAnsi"/>
        </w:rPr>
        <w:t>.</w:t>
      </w:r>
      <w:r w:rsidR="00B104C6" w:rsidRPr="00955EB7">
        <w:rPr>
          <w:rStyle w:val="FootnoteReference"/>
          <w:rFonts w:asciiTheme="minorHAnsi" w:hAnsiTheme="minorHAnsi" w:cstheme="minorHAnsi"/>
        </w:rPr>
        <w:footnoteReference w:id="137"/>
      </w:r>
      <w:r w:rsidR="00B104C6" w:rsidRPr="00955EB7">
        <w:rPr>
          <w:rFonts w:asciiTheme="minorHAnsi" w:hAnsiTheme="minorHAnsi" w:cstheme="minorHAnsi"/>
        </w:rPr>
        <w:t xml:space="preserve"> </w:t>
      </w:r>
      <w:r w:rsidR="00B104C6" w:rsidRPr="00955EB7">
        <w:rPr>
          <w:rFonts w:asciiTheme="minorHAnsi" w:hAnsiTheme="minorHAnsi" w:cstheme="minorHAnsi"/>
          <w:szCs w:val="22"/>
        </w:rPr>
        <w:t xml:space="preserve">A choice between confirming the principle in </w:t>
      </w:r>
      <w:r w:rsidR="00B104C6" w:rsidRPr="00955EB7">
        <w:rPr>
          <w:rFonts w:asciiTheme="minorHAnsi" w:hAnsiTheme="minorHAnsi" w:cstheme="minorHAnsi"/>
          <w:i/>
          <w:szCs w:val="22"/>
        </w:rPr>
        <w:t>Yonge</w:t>
      </w:r>
      <w:r w:rsidR="00B104C6" w:rsidRPr="00955EB7">
        <w:rPr>
          <w:rFonts w:asciiTheme="minorHAnsi" w:hAnsiTheme="minorHAnsi" w:cstheme="minorHAnsi"/>
          <w:szCs w:val="22"/>
        </w:rPr>
        <w:t xml:space="preserve"> or recognising the application of the </w:t>
      </w:r>
      <w:r w:rsidR="00B104C6" w:rsidRPr="00955EB7">
        <w:rPr>
          <w:rFonts w:asciiTheme="minorHAnsi" w:hAnsiTheme="minorHAnsi" w:cstheme="minorHAnsi"/>
          <w:i/>
          <w:szCs w:val="22"/>
        </w:rPr>
        <w:t>Imperial Loan</w:t>
      </w:r>
      <w:r w:rsidR="00B104C6" w:rsidRPr="00955EB7">
        <w:rPr>
          <w:rFonts w:asciiTheme="minorHAnsi" w:hAnsiTheme="minorHAnsi" w:cstheme="minorHAnsi"/>
          <w:szCs w:val="22"/>
        </w:rPr>
        <w:t xml:space="preserve"> rule to agency contracts may appear, in the first instance, as a choice between two unattractive alternatives. However, as we have seen, while both options are open to criticism, the challenges associated with the </w:t>
      </w:r>
      <w:r w:rsidR="00B104C6" w:rsidRPr="00955EB7">
        <w:rPr>
          <w:rFonts w:asciiTheme="minorHAnsi" w:hAnsiTheme="minorHAnsi" w:cstheme="minorHAnsi"/>
          <w:i/>
          <w:szCs w:val="22"/>
        </w:rPr>
        <w:t>Imperial Loan</w:t>
      </w:r>
      <w:r w:rsidR="00B104C6" w:rsidRPr="00955EB7">
        <w:rPr>
          <w:rFonts w:asciiTheme="minorHAnsi" w:hAnsiTheme="minorHAnsi" w:cstheme="minorHAnsi"/>
          <w:szCs w:val="22"/>
        </w:rPr>
        <w:t xml:space="preserve"> rule can be addressed by adopting a wide interpretation of the knowledge requirement to include constructive knowledge based on the circumstances of the transaction. This provides a more balanced framework for protecting the interests of </w:t>
      </w:r>
      <w:r w:rsidR="003000E4" w:rsidRPr="00955EB7">
        <w:rPr>
          <w:rFonts w:asciiTheme="minorHAnsi" w:hAnsiTheme="minorHAnsi" w:cstheme="minorHAnsi"/>
          <w:szCs w:val="22"/>
        </w:rPr>
        <w:t>the contracting parties, an approach that considers not only economic values (such as the security of transactions), but also social values (such as the protection of human dignity) and, consequently, a way out of this dilemma of conflicting authorities.</w:t>
      </w:r>
    </w:p>
    <w:p w14:paraId="263C8672" w14:textId="7AFE9B27" w:rsidR="003000E4" w:rsidRPr="00955EB7" w:rsidRDefault="003000E4" w:rsidP="00A06D14">
      <w:pPr>
        <w:spacing w:line="360" w:lineRule="auto"/>
        <w:rPr>
          <w:rFonts w:asciiTheme="minorHAnsi" w:hAnsiTheme="minorHAnsi" w:cstheme="minorHAnsi"/>
          <w:szCs w:val="22"/>
        </w:rPr>
      </w:pPr>
    </w:p>
    <w:p w14:paraId="5D172DE9" w14:textId="587753C8" w:rsidR="003000E4" w:rsidRPr="00955EB7" w:rsidRDefault="00CE1640" w:rsidP="00A06D14">
      <w:pPr>
        <w:spacing w:line="360" w:lineRule="auto"/>
        <w:jc w:val="center"/>
        <w:rPr>
          <w:rFonts w:asciiTheme="minorHAnsi" w:hAnsiTheme="minorHAnsi" w:cstheme="minorHAnsi"/>
          <w:b/>
          <w:szCs w:val="22"/>
        </w:rPr>
      </w:pPr>
      <w:r w:rsidRPr="00955EB7">
        <w:rPr>
          <w:rFonts w:asciiTheme="minorHAnsi" w:hAnsiTheme="minorHAnsi" w:cstheme="minorHAnsi"/>
          <w:b/>
          <w:i/>
          <w:szCs w:val="22"/>
        </w:rPr>
        <w:t>Quo Vadis</w:t>
      </w:r>
      <w:r w:rsidRPr="00955EB7">
        <w:rPr>
          <w:rFonts w:asciiTheme="minorHAnsi" w:hAnsiTheme="minorHAnsi" w:cstheme="minorHAnsi"/>
          <w:b/>
          <w:szCs w:val="22"/>
        </w:rPr>
        <w:t xml:space="preserve">? Finding </w:t>
      </w:r>
      <w:r>
        <w:rPr>
          <w:rFonts w:asciiTheme="minorHAnsi" w:hAnsiTheme="minorHAnsi" w:cstheme="minorHAnsi"/>
          <w:b/>
          <w:szCs w:val="22"/>
        </w:rPr>
        <w:t>t</w:t>
      </w:r>
      <w:r w:rsidRPr="00955EB7">
        <w:rPr>
          <w:rFonts w:asciiTheme="minorHAnsi" w:hAnsiTheme="minorHAnsi" w:cstheme="minorHAnsi"/>
          <w:b/>
          <w:szCs w:val="22"/>
        </w:rPr>
        <w:t xml:space="preserve">he Way Forward </w:t>
      </w:r>
      <w:r>
        <w:rPr>
          <w:rFonts w:asciiTheme="minorHAnsi" w:hAnsiTheme="minorHAnsi" w:cstheme="minorHAnsi"/>
          <w:b/>
          <w:szCs w:val="22"/>
        </w:rPr>
        <w:t>t</w:t>
      </w:r>
      <w:r w:rsidRPr="00955EB7">
        <w:rPr>
          <w:rFonts w:asciiTheme="minorHAnsi" w:hAnsiTheme="minorHAnsi" w:cstheme="minorHAnsi"/>
          <w:b/>
          <w:szCs w:val="22"/>
        </w:rPr>
        <w:t xml:space="preserve">hrough </w:t>
      </w:r>
      <w:r>
        <w:rPr>
          <w:rFonts w:asciiTheme="minorHAnsi" w:hAnsiTheme="minorHAnsi" w:cstheme="minorHAnsi"/>
          <w:b/>
          <w:szCs w:val="22"/>
        </w:rPr>
        <w:t>t</w:t>
      </w:r>
      <w:r w:rsidRPr="00955EB7">
        <w:rPr>
          <w:rFonts w:asciiTheme="minorHAnsi" w:hAnsiTheme="minorHAnsi" w:cstheme="minorHAnsi"/>
          <w:b/>
          <w:szCs w:val="22"/>
        </w:rPr>
        <w:t xml:space="preserve">he Lens </w:t>
      </w:r>
      <w:r>
        <w:rPr>
          <w:rFonts w:asciiTheme="minorHAnsi" w:hAnsiTheme="minorHAnsi" w:cstheme="minorHAnsi"/>
          <w:b/>
          <w:szCs w:val="22"/>
        </w:rPr>
        <w:t>of the</w:t>
      </w:r>
      <w:r w:rsidRPr="00955EB7">
        <w:rPr>
          <w:rFonts w:asciiTheme="minorHAnsi" w:hAnsiTheme="minorHAnsi" w:cstheme="minorHAnsi"/>
          <w:b/>
          <w:szCs w:val="22"/>
        </w:rPr>
        <w:t xml:space="preserve"> </w:t>
      </w:r>
      <w:r>
        <w:rPr>
          <w:rFonts w:asciiTheme="minorHAnsi" w:hAnsiTheme="minorHAnsi" w:cstheme="minorHAnsi"/>
          <w:b/>
          <w:szCs w:val="22"/>
        </w:rPr>
        <w:t>CRPD</w:t>
      </w:r>
    </w:p>
    <w:p w14:paraId="14931BE9" w14:textId="77777777" w:rsidR="003000E4" w:rsidRPr="00955EB7" w:rsidRDefault="003000E4" w:rsidP="00A06D14">
      <w:pPr>
        <w:spacing w:line="360" w:lineRule="auto"/>
        <w:rPr>
          <w:rFonts w:asciiTheme="minorHAnsi" w:hAnsiTheme="minorHAnsi" w:cstheme="minorHAnsi"/>
          <w:szCs w:val="22"/>
        </w:rPr>
      </w:pPr>
    </w:p>
    <w:p w14:paraId="1F5F2CE5" w14:textId="0FF7C1BB" w:rsidR="006010FB" w:rsidRPr="00955EB7" w:rsidRDefault="003000E4"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This section aims to add weight to the argument that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 (interpreted widely to include the circumstances of the transaction) should apply also to the agency context, by arguing that the proposed way forward is closer to the vision pursued by the UN </w:t>
      </w:r>
      <w:r w:rsidRPr="00955EB7">
        <w:rPr>
          <w:rFonts w:asciiTheme="minorHAnsi" w:hAnsiTheme="minorHAnsi" w:cstheme="minorHAnsi"/>
          <w:i/>
          <w:szCs w:val="22"/>
        </w:rPr>
        <w:t>Convention on the Rights of Persons with Disabilities</w:t>
      </w:r>
      <w:r w:rsidRPr="00955EB7">
        <w:rPr>
          <w:rFonts w:asciiTheme="minorHAnsi" w:hAnsiTheme="minorHAnsi" w:cstheme="minorHAnsi"/>
          <w:szCs w:val="22"/>
        </w:rPr>
        <w:t>. The CRPD was ratified b</w:t>
      </w:r>
      <w:r w:rsidR="00F14FB5" w:rsidRPr="00955EB7">
        <w:rPr>
          <w:rFonts w:asciiTheme="minorHAnsi" w:hAnsiTheme="minorHAnsi" w:cstheme="minorHAnsi"/>
          <w:szCs w:val="22"/>
        </w:rPr>
        <w:t>y</w:t>
      </w:r>
      <w:r w:rsidRPr="00955EB7">
        <w:rPr>
          <w:rFonts w:asciiTheme="minorHAnsi" w:hAnsiTheme="minorHAnsi" w:cstheme="minorHAnsi"/>
          <w:szCs w:val="22"/>
        </w:rPr>
        <w:t xml:space="preserve"> the United Kingdom in </w:t>
      </w:r>
      <w:r w:rsidR="008D35D6" w:rsidRPr="00955EB7">
        <w:rPr>
          <w:rFonts w:asciiTheme="minorHAnsi" w:hAnsiTheme="minorHAnsi" w:cstheme="minorHAnsi"/>
          <w:szCs w:val="22"/>
        </w:rPr>
        <w:t xml:space="preserve">2009 and whilst it has not been incorporated into domestic law and, consequently has </w:t>
      </w:r>
      <w:r w:rsidR="00CE1640">
        <w:rPr>
          <w:rFonts w:asciiTheme="minorHAnsi" w:hAnsiTheme="minorHAnsi" w:cstheme="minorHAnsi"/>
          <w:szCs w:val="22"/>
        </w:rPr>
        <w:t>‘</w:t>
      </w:r>
      <w:r w:rsidR="008D35D6" w:rsidRPr="00955EB7">
        <w:rPr>
          <w:rFonts w:asciiTheme="minorHAnsi" w:hAnsiTheme="minorHAnsi" w:cstheme="minorHAnsi"/>
          <w:szCs w:val="22"/>
        </w:rPr>
        <w:t>no direct effect in English law</w:t>
      </w:r>
      <w:r w:rsidR="00CE1640">
        <w:rPr>
          <w:rFonts w:asciiTheme="minorHAnsi" w:hAnsiTheme="minorHAnsi" w:cstheme="minorHAnsi"/>
          <w:szCs w:val="22"/>
        </w:rPr>
        <w:t>’</w:t>
      </w:r>
      <w:r w:rsidR="008D35D6" w:rsidRPr="00955EB7">
        <w:rPr>
          <w:rFonts w:asciiTheme="minorHAnsi" w:hAnsiTheme="minorHAnsi" w:cstheme="minorHAnsi"/>
          <w:szCs w:val="22"/>
        </w:rPr>
        <w:t>,</w:t>
      </w:r>
      <w:r w:rsidR="008D35D6" w:rsidRPr="00955EB7">
        <w:rPr>
          <w:rStyle w:val="FootnoteReference"/>
          <w:rFonts w:asciiTheme="minorHAnsi" w:hAnsiTheme="minorHAnsi" w:cstheme="minorHAnsi"/>
          <w:szCs w:val="22"/>
        </w:rPr>
        <w:footnoteReference w:id="138"/>
      </w:r>
      <w:r w:rsidR="006010FB" w:rsidRPr="00955EB7">
        <w:rPr>
          <w:rFonts w:asciiTheme="minorHAnsi" w:hAnsiTheme="minorHAnsi" w:cstheme="minorHAnsi"/>
          <w:szCs w:val="22"/>
        </w:rPr>
        <w:t xml:space="preserve"> its ratification requires that domestic law conforms </w:t>
      </w:r>
      <w:r w:rsidR="00CE1640">
        <w:rPr>
          <w:rFonts w:asciiTheme="minorHAnsi" w:hAnsiTheme="minorHAnsi" w:cstheme="minorHAnsi"/>
          <w:szCs w:val="22"/>
        </w:rPr>
        <w:t>‘</w:t>
      </w:r>
      <w:r w:rsidR="006010FB" w:rsidRPr="00955EB7">
        <w:rPr>
          <w:rFonts w:asciiTheme="minorHAnsi" w:hAnsiTheme="minorHAnsi" w:cstheme="minorHAnsi"/>
          <w:szCs w:val="22"/>
        </w:rPr>
        <w:t>wherever possible</w:t>
      </w:r>
      <w:r w:rsidR="00CE1640">
        <w:rPr>
          <w:rFonts w:asciiTheme="minorHAnsi" w:hAnsiTheme="minorHAnsi" w:cstheme="minorHAnsi"/>
          <w:szCs w:val="22"/>
        </w:rPr>
        <w:t>’</w:t>
      </w:r>
      <w:r w:rsidR="006010FB" w:rsidRPr="00955EB7">
        <w:rPr>
          <w:rFonts w:asciiTheme="minorHAnsi" w:hAnsiTheme="minorHAnsi" w:cstheme="minorHAnsi"/>
          <w:szCs w:val="22"/>
        </w:rPr>
        <w:t xml:space="preserve"> with the </w:t>
      </w:r>
      <w:r w:rsidR="00CE1640">
        <w:rPr>
          <w:rFonts w:asciiTheme="minorHAnsi" w:hAnsiTheme="minorHAnsi" w:cstheme="minorHAnsi"/>
          <w:szCs w:val="22"/>
        </w:rPr>
        <w:t>‘</w:t>
      </w:r>
      <w:r w:rsidR="006010FB" w:rsidRPr="00955EB7">
        <w:rPr>
          <w:rFonts w:asciiTheme="minorHAnsi" w:hAnsiTheme="minorHAnsi" w:cstheme="minorHAnsi"/>
          <w:szCs w:val="22"/>
        </w:rPr>
        <w:t>norms and values</w:t>
      </w:r>
      <w:r w:rsidR="00CE1640">
        <w:rPr>
          <w:rFonts w:asciiTheme="minorHAnsi" w:hAnsiTheme="minorHAnsi" w:cstheme="minorHAnsi"/>
          <w:szCs w:val="22"/>
        </w:rPr>
        <w:t>’</w:t>
      </w:r>
      <w:r w:rsidR="006010FB" w:rsidRPr="00955EB7">
        <w:rPr>
          <w:rFonts w:asciiTheme="minorHAnsi" w:hAnsiTheme="minorHAnsi" w:cstheme="minorHAnsi"/>
          <w:szCs w:val="22"/>
        </w:rPr>
        <w:t xml:space="preserve"> enshrined in the Convention.</w:t>
      </w:r>
      <w:r w:rsidR="006010FB" w:rsidRPr="00955EB7">
        <w:rPr>
          <w:rStyle w:val="FootnoteReference"/>
          <w:rFonts w:asciiTheme="minorHAnsi" w:hAnsiTheme="minorHAnsi" w:cstheme="minorHAnsi"/>
          <w:szCs w:val="22"/>
        </w:rPr>
        <w:footnoteReference w:id="139"/>
      </w:r>
      <w:r w:rsidR="006010FB" w:rsidRPr="00955EB7">
        <w:rPr>
          <w:rFonts w:asciiTheme="minorHAnsi" w:hAnsiTheme="minorHAnsi" w:cstheme="minorHAnsi"/>
          <w:szCs w:val="22"/>
        </w:rPr>
        <w:t xml:space="preserve"> The discussion is divided in two parts: it start</w:t>
      </w:r>
      <w:r w:rsidR="00955EB7">
        <w:rPr>
          <w:rFonts w:asciiTheme="minorHAnsi" w:hAnsiTheme="minorHAnsi" w:cstheme="minorHAnsi"/>
          <w:szCs w:val="22"/>
        </w:rPr>
        <w:t>s</w:t>
      </w:r>
      <w:r w:rsidR="006010FB" w:rsidRPr="00955EB7">
        <w:rPr>
          <w:rFonts w:asciiTheme="minorHAnsi" w:hAnsiTheme="minorHAnsi" w:cstheme="minorHAnsi"/>
          <w:szCs w:val="22"/>
        </w:rPr>
        <w:t xml:space="preserve"> by looking at some of the </w:t>
      </w:r>
      <w:r w:rsidR="009833D8" w:rsidRPr="00955EB7">
        <w:rPr>
          <w:rFonts w:asciiTheme="minorHAnsi" w:hAnsiTheme="minorHAnsi" w:cstheme="minorHAnsi"/>
          <w:szCs w:val="22"/>
        </w:rPr>
        <w:t>CRPD</w:t>
      </w:r>
      <w:r w:rsidR="006010FB" w:rsidRPr="00955EB7">
        <w:rPr>
          <w:rFonts w:asciiTheme="minorHAnsi" w:hAnsiTheme="minorHAnsi" w:cstheme="minorHAnsi"/>
          <w:szCs w:val="22"/>
        </w:rPr>
        <w:t xml:space="preserve"> principles </w:t>
      </w:r>
      <w:r w:rsidR="009833D8" w:rsidRPr="00955EB7">
        <w:rPr>
          <w:rFonts w:asciiTheme="minorHAnsi" w:hAnsiTheme="minorHAnsi" w:cstheme="minorHAnsi"/>
          <w:szCs w:val="22"/>
        </w:rPr>
        <w:t>which have relevance to the issue of contractual capacity, before moving on to consider how the concept of contractual capacity can be aligned to the values pursued by the Convention.</w:t>
      </w:r>
    </w:p>
    <w:p w14:paraId="1350A223" w14:textId="77777777" w:rsidR="00BC5DD5" w:rsidRDefault="00BC5DD5" w:rsidP="00A06D14">
      <w:pPr>
        <w:spacing w:line="360" w:lineRule="auto"/>
        <w:rPr>
          <w:rFonts w:asciiTheme="minorHAnsi" w:hAnsiTheme="minorHAnsi" w:cstheme="minorHAnsi"/>
          <w:szCs w:val="22"/>
        </w:rPr>
      </w:pPr>
    </w:p>
    <w:p w14:paraId="514FB876" w14:textId="08252031" w:rsidR="00536738" w:rsidRPr="00955EB7" w:rsidRDefault="009833D8" w:rsidP="00A06D14">
      <w:pPr>
        <w:spacing w:line="360" w:lineRule="auto"/>
        <w:rPr>
          <w:rFonts w:asciiTheme="minorHAnsi" w:hAnsiTheme="minorHAnsi" w:cstheme="minorHAnsi"/>
          <w:szCs w:val="22"/>
        </w:rPr>
      </w:pPr>
      <w:r w:rsidRPr="00955EB7">
        <w:rPr>
          <w:rFonts w:asciiTheme="minorHAnsi" w:hAnsiTheme="minorHAnsi" w:cstheme="minorHAnsi"/>
          <w:szCs w:val="22"/>
        </w:rPr>
        <w:t>The CRPD is the first international human rights instrument focused specifically on the rights of persons with disabilities.</w:t>
      </w:r>
      <w:r w:rsidRPr="00955EB7">
        <w:rPr>
          <w:rStyle w:val="FootnoteReference"/>
          <w:rFonts w:asciiTheme="minorHAnsi" w:hAnsiTheme="minorHAnsi" w:cstheme="minorHAnsi"/>
          <w:szCs w:val="22"/>
        </w:rPr>
        <w:footnoteReference w:id="140"/>
      </w:r>
      <w:r w:rsidRPr="00955EB7">
        <w:rPr>
          <w:rFonts w:asciiTheme="minorHAnsi" w:hAnsiTheme="minorHAnsi" w:cstheme="minorHAnsi"/>
          <w:szCs w:val="22"/>
        </w:rPr>
        <w:t xml:space="preserve"> The Convention reframes the </w:t>
      </w:r>
      <w:r w:rsidR="004A7415" w:rsidRPr="00955EB7">
        <w:rPr>
          <w:rFonts w:asciiTheme="minorHAnsi" w:hAnsiTheme="minorHAnsi" w:cstheme="minorHAnsi"/>
          <w:szCs w:val="22"/>
        </w:rPr>
        <w:t>interests of persons with disabilities in terms of human rights, stresses that persons with disabilities are human rights subjects with full entitlements in society, rather than disempowered victims,</w:t>
      </w:r>
      <w:r w:rsidR="00E37213" w:rsidRPr="00955EB7">
        <w:rPr>
          <w:rFonts w:asciiTheme="minorHAnsi" w:hAnsiTheme="minorHAnsi" w:cstheme="minorHAnsi"/>
          <w:szCs w:val="22"/>
        </w:rPr>
        <w:t xml:space="preserve"> and perceives disability as an aspect of human diversity.</w:t>
      </w:r>
      <w:r w:rsidR="00E37213" w:rsidRPr="00955EB7">
        <w:rPr>
          <w:rStyle w:val="FootnoteReference"/>
          <w:rFonts w:asciiTheme="minorHAnsi" w:hAnsiTheme="minorHAnsi" w:cstheme="minorHAnsi"/>
          <w:szCs w:val="22"/>
        </w:rPr>
        <w:footnoteReference w:id="141"/>
      </w:r>
      <w:r w:rsidR="00E37213" w:rsidRPr="00955EB7">
        <w:rPr>
          <w:rFonts w:asciiTheme="minorHAnsi" w:hAnsiTheme="minorHAnsi" w:cstheme="minorHAnsi"/>
          <w:szCs w:val="22"/>
        </w:rPr>
        <w:t xml:space="preserve"> Article 12 CRPD, which embodies the Convention’s ethos for ensuring the full and equal enjoyment of human rights and fundamental freedoms by persons with disabilities, puts forward a vision of universal legal capacity closely linked with the concept of universal human dignity.</w:t>
      </w:r>
      <w:r w:rsidR="00E37213" w:rsidRPr="00955EB7">
        <w:rPr>
          <w:rStyle w:val="FootnoteReference"/>
          <w:rFonts w:asciiTheme="minorHAnsi" w:hAnsiTheme="minorHAnsi" w:cstheme="minorHAnsi"/>
          <w:szCs w:val="22"/>
        </w:rPr>
        <w:footnoteReference w:id="142"/>
      </w:r>
      <w:r w:rsidR="00536738" w:rsidRPr="00955EB7">
        <w:rPr>
          <w:rFonts w:asciiTheme="minorHAnsi" w:hAnsiTheme="minorHAnsi" w:cstheme="minorHAnsi"/>
          <w:szCs w:val="22"/>
        </w:rPr>
        <w:t xml:space="preserve"> </w:t>
      </w:r>
    </w:p>
    <w:p w14:paraId="2E08FBF6" w14:textId="77777777" w:rsidR="00BC5DD5" w:rsidRDefault="00BC5DD5" w:rsidP="00A06D14">
      <w:pPr>
        <w:spacing w:line="360" w:lineRule="auto"/>
        <w:rPr>
          <w:rFonts w:asciiTheme="minorHAnsi" w:hAnsiTheme="minorHAnsi" w:cstheme="minorHAnsi"/>
          <w:szCs w:val="22"/>
        </w:rPr>
      </w:pPr>
    </w:p>
    <w:p w14:paraId="47A9D25A" w14:textId="1768E43F" w:rsidR="009833D8" w:rsidRPr="00955EB7" w:rsidRDefault="00536738" w:rsidP="00A06D14">
      <w:pPr>
        <w:spacing w:line="360" w:lineRule="auto"/>
        <w:rPr>
          <w:rFonts w:asciiTheme="minorHAnsi" w:hAnsiTheme="minorHAnsi" w:cstheme="minorHAnsi"/>
          <w:szCs w:val="22"/>
        </w:rPr>
      </w:pPr>
      <w:r w:rsidRPr="00955EB7">
        <w:rPr>
          <w:rFonts w:asciiTheme="minorHAnsi" w:hAnsiTheme="minorHAnsi" w:cstheme="minorHAnsi"/>
          <w:szCs w:val="22"/>
        </w:rPr>
        <w:t>The Convention stresses that persons with disabilities are persons before the law, with the right to enjoy legal capacity in all aspects of life (which implies the equal rights to enter into legally binding agreements), whilst acknowledging that some persons with disabilities may require support in exercising legal capacity.</w:t>
      </w:r>
      <w:r w:rsidRPr="00955EB7">
        <w:rPr>
          <w:rStyle w:val="FootnoteReference"/>
          <w:rFonts w:asciiTheme="minorHAnsi" w:hAnsiTheme="minorHAnsi" w:cstheme="minorHAnsi"/>
          <w:szCs w:val="22"/>
        </w:rPr>
        <w:footnoteReference w:id="143"/>
      </w:r>
      <w:r w:rsidRPr="00955EB7">
        <w:rPr>
          <w:rFonts w:asciiTheme="minorHAnsi" w:hAnsiTheme="minorHAnsi" w:cstheme="minorHAnsi"/>
          <w:szCs w:val="22"/>
        </w:rPr>
        <w:t xml:space="preserve"> This provision aims to tackle the participation barriers faced by persons with disabilities (in particular persons with cognitive disabilities),</w:t>
      </w:r>
      <w:r w:rsidRPr="00955EB7">
        <w:rPr>
          <w:rStyle w:val="FootnoteReference"/>
          <w:rFonts w:asciiTheme="minorHAnsi" w:hAnsiTheme="minorHAnsi" w:cstheme="minorHAnsi"/>
          <w:szCs w:val="22"/>
        </w:rPr>
        <w:footnoteReference w:id="144"/>
      </w:r>
      <w:r w:rsidRPr="00955EB7">
        <w:rPr>
          <w:rFonts w:asciiTheme="minorHAnsi" w:hAnsiTheme="minorHAnsi" w:cstheme="minorHAnsi"/>
          <w:szCs w:val="22"/>
        </w:rPr>
        <w:t xml:space="preserve"> including legal barriers when disability is equated with mental incapacity, resulting in denial of legal capacity and the adoption of substituted decision-making.</w:t>
      </w:r>
      <w:r w:rsidRPr="00955EB7">
        <w:rPr>
          <w:rStyle w:val="FootnoteReference"/>
          <w:rFonts w:asciiTheme="minorHAnsi" w:hAnsiTheme="minorHAnsi" w:cstheme="minorHAnsi"/>
          <w:szCs w:val="22"/>
        </w:rPr>
        <w:footnoteReference w:id="145"/>
      </w:r>
      <w:r w:rsidRPr="00955EB7">
        <w:rPr>
          <w:rFonts w:asciiTheme="minorHAnsi" w:hAnsiTheme="minorHAnsi" w:cstheme="minorHAnsi"/>
          <w:szCs w:val="22"/>
        </w:rPr>
        <w:t xml:space="preserve"> The denial of legal capacity removes the opportunity for people to make their own choices, resulting in dependency on others and in the deprivation of individual autonomy and human dignity.</w:t>
      </w:r>
      <w:r w:rsidRPr="00955EB7">
        <w:rPr>
          <w:rStyle w:val="FootnoteReference"/>
          <w:rFonts w:asciiTheme="minorHAnsi" w:hAnsiTheme="minorHAnsi" w:cstheme="minorHAnsi"/>
          <w:szCs w:val="22"/>
        </w:rPr>
        <w:footnoteReference w:id="146"/>
      </w:r>
      <w:r w:rsidR="007B7CDF" w:rsidRPr="00955EB7">
        <w:rPr>
          <w:rFonts w:asciiTheme="minorHAnsi" w:hAnsiTheme="minorHAnsi" w:cstheme="minorHAnsi"/>
          <w:szCs w:val="22"/>
        </w:rPr>
        <w:t xml:space="preserve"> The Convention is, however, unclear about the link between the concepts of legal capacity and mental capacity</w:t>
      </w:r>
      <w:r w:rsidR="007B7CDF" w:rsidRPr="00955EB7">
        <w:rPr>
          <w:rStyle w:val="FootnoteReference"/>
          <w:rFonts w:asciiTheme="minorHAnsi" w:hAnsiTheme="minorHAnsi" w:cstheme="minorHAnsi"/>
          <w:szCs w:val="22"/>
        </w:rPr>
        <w:footnoteReference w:id="147"/>
      </w:r>
      <w:r w:rsidR="007B7CDF" w:rsidRPr="00955EB7">
        <w:rPr>
          <w:rFonts w:asciiTheme="minorHAnsi" w:hAnsiTheme="minorHAnsi" w:cstheme="minorHAnsi"/>
          <w:szCs w:val="22"/>
        </w:rPr>
        <w:t xml:space="preserve"> and provides no guidance on the impact of the concept of universal legal capacity on the mental incapacity defence in contract law.</w:t>
      </w:r>
      <w:r w:rsidR="007B7CDF" w:rsidRPr="00955EB7">
        <w:rPr>
          <w:rStyle w:val="FootnoteReference"/>
          <w:rFonts w:asciiTheme="minorHAnsi" w:hAnsiTheme="minorHAnsi" w:cstheme="minorHAnsi"/>
          <w:szCs w:val="22"/>
        </w:rPr>
        <w:footnoteReference w:id="148"/>
      </w:r>
    </w:p>
    <w:p w14:paraId="65D311A5" w14:textId="77777777" w:rsidR="00BC5DD5" w:rsidRDefault="00BC5DD5" w:rsidP="00A06D14">
      <w:pPr>
        <w:spacing w:line="360" w:lineRule="auto"/>
        <w:rPr>
          <w:rFonts w:asciiTheme="minorHAnsi" w:hAnsiTheme="minorHAnsi" w:cstheme="minorHAnsi"/>
          <w:szCs w:val="22"/>
        </w:rPr>
      </w:pPr>
    </w:p>
    <w:p w14:paraId="16EE6A6F" w14:textId="29B6D340" w:rsidR="007B7CDF" w:rsidRPr="00955EB7" w:rsidRDefault="007B7CDF" w:rsidP="00A06D14">
      <w:pPr>
        <w:spacing w:line="360" w:lineRule="auto"/>
        <w:rPr>
          <w:rFonts w:asciiTheme="minorHAnsi" w:hAnsiTheme="minorHAnsi" w:cstheme="minorHAnsi"/>
          <w:szCs w:val="22"/>
        </w:rPr>
      </w:pPr>
      <w:r w:rsidRPr="00955EB7">
        <w:rPr>
          <w:rFonts w:asciiTheme="minorHAnsi" w:hAnsiTheme="minorHAnsi" w:cstheme="minorHAnsi"/>
          <w:szCs w:val="22"/>
        </w:rPr>
        <w:t>The mental incapacity defence in contract law can be compatible with the CRPD if it can be invoked by anyone and the mental incapacity and disability concepts are not equated.</w:t>
      </w:r>
      <w:r w:rsidRPr="00955EB7">
        <w:rPr>
          <w:rStyle w:val="FootnoteReference"/>
          <w:rFonts w:asciiTheme="minorHAnsi" w:hAnsiTheme="minorHAnsi" w:cstheme="minorHAnsi"/>
          <w:szCs w:val="22"/>
        </w:rPr>
        <w:footnoteReference w:id="149"/>
      </w:r>
      <w:r w:rsidR="00B14D20" w:rsidRPr="00955EB7">
        <w:rPr>
          <w:rFonts w:asciiTheme="minorHAnsi" w:hAnsiTheme="minorHAnsi" w:cstheme="minorHAnsi"/>
          <w:szCs w:val="22"/>
        </w:rPr>
        <w:t xml:space="preserve"> However, even a disability-neutral concept of mental incapacity may be incompatible with the Convention</w:t>
      </w:r>
      <w:r w:rsidR="00223B73" w:rsidRPr="00955EB7">
        <w:rPr>
          <w:rFonts w:asciiTheme="minorHAnsi" w:hAnsiTheme="minorHAnsi" w:cstheme="minorHAnsi"/>
          <w:szCs w:val="22"/>
        </w:rPr>
        <w:t xml:space="preserve"> if the differential treatment on the basis of mental capacity has a disproportionate impact on persons with disabilities,</w:t>
      </w:r>
      <w:r w:rsidR="00223B73" w:rsidRPr="00955EB7">
        <w:rPr>
          <w:rStyle w:val="FootnoteReference"/>
          <w:rFonts w:asciiTheme="minorHAnsi" w:hAnsiTheme="minorHAnsi" w:cstheme="minorHAnsi"/>
          <w:szCs w:val="22"/>
        </w:rPr>
        <w:footnoteReference w:id="150"/>
      </w:r>
      <w:r w:rsidR="00223B73" w:rsidRPr="00955EB7">
        <w:rPr>
          <w:rFonts w:asciiTheme="minorHAnsi" w:hAnsiTheme="minorHAnsi" w:cstheme="minorHAnsi"/>
          <w:szCs w:val="22"/>
        </w:rPr>
        <w:t xml:space="preserve"> resulting in indirect discrimination and a </w:t>
      </w:r>
      <w:r w:rsidR="00223B73" w:rsidRPr="00955EB7">
        <w:rPr>
          <w:rFonts w:asciiTheme="minorHAnsi" w:hAnsiTheme="minorHAnsi" w:cstheme="minorHAnsi"/>
          <w:szCs w:val="22"/>
        </w:rPr>
        <w:lastRenderedPageBreak/>
        <w:t xml:space="preserve">breach of Article 12(2) (equal enjoyment of legal capacity) and Article 5(2) CRPD (no </w:t>
      </w:r>
      <w:r w:rsidR="00CE1640">
        <w:rPr>
          <w:rFonts w:asciiTheme="minorHAnsi" w:hAnsiTheme="minorHAnsi" w:cstheme="minorHAnsi"/>
          <w:szCs w:val="22"/>
        </w:rPr>
        <w:t>‘</w:t>
      </w:r>
      <w:r w:rsidR="00223B73" w:rsidRPr="00955EB7">
        <w:rPr>
          <w:rFonts w:asciiTheme="minorHAnsi" w:hAnsiTheme="minorHAnsi" w:cstheme="minorHAnsi"/>
          <w:szCs w:val="22"/>
        </w:rPr>
        <w:t>discrimination on the basis of disability</w:t>
      </w:r>
      <w:r w:rsidR="00CE1640">
        <w:rPr>
          <w:rFonts w:asciiTheme="minorHAnsi" w:hAnsiTheme="minorHAnsi" w:cstheme="minorHAnsi"/>
          <w:szCs w:val="22"/>
        </w:rPr>
        <w:t>’</w:t>
      </w:r>
      <w:r w:rsidR="00223B73" w:rsidRPr="00955EB7">
        <w:rPr>
          <w:rFonts w:asciiTheme="minorHAnsi" w:hAnsiTheme="minorHAnsi" w:cstheme="minorHAnsi"/>
          <w:szCs w:val="22"/>
        </w:rPr>
        <w:t>)</w:t>
      </w:r>
      <w:r w:rsidR="00DC3DDF" w:rsidRPr="00955EB7">
        <w:rPr>
          <w:rFonts w:asciiTheme="minorHAnsi" w:hAnsiTheme="minorHAnsi" w:cstheme="minorHAnsi"/>
          <w:szCs w:val="22"/>
        </w:rPr>
        <w:t>,</w:t>
      </w:r>
      <w:r w:rsidR="00223B73" w:rsidRPr="00955EB7">
        <w:rPr>
          <w:rFonts w:asciiTheme="minorHAnsi" w:hAnsiTheme="minorHAnsi" w:cstheme="minorHAnsi"/>
          <w:szCs w:val="22"/>
        </w:rPr>
        <w:t xml:space="preserve"> and this cannot be objectively justified.</w:t>
      </w:r>
      <w:r w:rsidR="00223B73" w:rsidRPr="00955EB7">
        <w:rPr>
          <w:rStyle w:val="FootnoteReference"/>
          <w:rFonts w:asciiTheme="minorHAnsi" w:hAnsiTheme="minorHAnsi" w:cstheme="minorHAnsi"/>
          <w:szCs w:val="22"/>
        </w:rPr>
        <w:footnoteReference w:id="151"/>
      </w:r>
      <w:r w:rsidR="00355EBB" w:rsidRPr="00955EB7">
        <w:rPr>
          <w:rFonts w:asciiTheme="minorHAnsi" w:hAnsiTheme="minorHAnsi" w:cstheme="minorHAnsi"/>
          <w:szCs w:val="22"/>
        </w:rPr>
        <w:t xml:space="preserve"> Such objective justification may be p</w:t>
      </w:r>
      <w:r w:rsidR="00AF5F02" w:rsidRPr="00955EB7">
        <w:rPr>
          <w:rFonts w:asciiTheme="minorHAnsi" w:hAnsiTheme="minorHAnsi" w:cstheme="minorHAnsi"/>
          <w:szCs w:val="22"/>
        </w:rPr>
        <w:t>rovided by a mental incapacity defence that meets a three-part test, showing that it pursues a legitimate aim under the CRPD, which is assessed objectively, and constitutes a reasonable means to achieve a relevant aim.</w:t>
      </w:r>
      <w:r w:rsidR="00AF5F02" w:rsidRPr="00955EB7">
        <w:rPr>
          <w:rStyle w:val="FootnoteReference"/>
          <w:rFonts w:asciiTheme="minorHAnsi" w:hAnsiTheme="minorHAnsi" w:cstheme="minorHAnsi"/>
          <w:szCs w:val="22"/>
        </w:rPr>
        <w:footnoteReference w:id="152"/>
      </w:r>
      <w:r w:rsidR="00AF5F02" w:rsidRPr="00955EB7">
        <w:rPr>
          <w:rFonts w:asciiTheme="minorHAnsi" w:hAnsiTheme="minorHAnsi" w:cstheme="minorHAnsi"/>
          <w:szCs w:val="22"/>
        </w:rPr>
        <w:t xml:space="preserve"> In the context of a grossly imbalanced transaction entered into by a party who lacked the mental capacity to understand its nature and who received no support in making the decision (such as independent legal advice), intervention based on the mental incapacity defence may be supported by a broad reading of Article 3(a) (safeguarding human dignity), Article 11 (protecting individuals in situations of risk, including serious financial risk) and Article 16 CRPD (protecting individuals from exploitation, including passive exploitation by the other contracting parties).</w:t>
      </w:r>
      <w:r w:rsidR="00AF5F02" w:rsidRPr="00955EB7">
        <w:rPr>
          <w:rStyle w:val="FootnoteReference"/>
          <w:rFonts w:asciiTheme="minorHAnsi" w:hAnsiTheme="minorHAnsi" w:cstheme="minorHAnsi"/>
          <w:szCs w:val="22"/>
        </w:rPr>
        <w:footnoteReference w:id="153"/>
      </w:r>
      <w:r w:rsidR="00AF5F02" w:rsidRPr="00955EB7">
        <w:rPr>
          <w:rFonts w:asciiTheme="minorHAnsi" w:hAnsiTheme="minorHAnsi" w:cstheme="minorHAnsi"/>
          <w:szCs w:val="22"/>
        </w:rPr>
        <w:t xml:space="preserve"> Such a defence must move beyond a party’s medical condition (and whether this was known by or apparent to the other party) to also assess environmental factors such as the circumstances of the transaction</w:t>
      </w:r>
      <w:r w:rsidR="00950DD9" w:rsidRPr="00955EB7">
        <w:rPr>
          <w:rFonts w:asciiTheme="minorHAnsi" w:hAnsiTheme="minorHAnsi" w:cstheme="minorHAnsi"/>
          <w:szCs w:val="22"/>
        </w:rPr>
        <w:t xml:space="preserve">. It </w:t>
      </w:r>
      <w:r w:rsidR="00AF5F02" w:rsidRPr="00955EB7">
        <w:rPr>
          <w:rFonts w:asciiTheme="minorHAnsi" w:hAnsiTheme="minorHAnsi" w:cstheme="minorHAnsi"/>
          <w:szCs w:val="22"/>
        </w:rPr>
        <w:t xml:space="preserve">must </w:t>
      </w:r>
      <w:r w:rsidR="00950DD9" w:rsidRPr="00955EB7">
        <w:rPr>
          <w:rFonts w:asciiTheme="minorHAnsi" w:hAnsiTheme="minorHAnsi" w:cstheme="minorHAnsi"/>
          <w:szCs w:val="22"/>
        </w:rPr>
        <w:t xml:space="preserve">also </w:t>
      </w:r>
      <w:r w:rsidR="00AF5F02" w:rsidRPr="00955EB7">
        <w:rPr>
          <w:rFonts w:asciiTheme="minorHAnsi" w:hAnsiTheme="minorHAnsi" w:cstheme="minorHAnsi"/>
          <w:szCs w:val="22"/>
        </w:rPr>
        <w:t>reflect a concern not only for economic values (including the secur</w:t>
      </w:r>
      <w:r w:rsidR="00950DD9" w:rsidRPr="00955EB7">
        <w:rPr>
          <w:rFonts w:asciiTheme="minorHAnsi" w:hAnsiTheme="minorHAnsi" w:cstheme="minorHAnsi"/>
          <w:szCs w:val="22"/>
        </w:rPr>
        <w:t>ity of transactions) but also social values (including individual autonomy and human dignity). Furthermore, in the absence of guidance provided by the CRPD on how to balance the protection of individual autonomy with potential interventions to safeguard human dignity,</w:t>
      </w:r>
      <w:r w:rsidR="00950DD9" w:rsidRPr="00955EB7">
        <w:rPr>
          <w:rStyle w:val="FootnoteReference"/>
          <w:rFonts w:asciiTheme="minorHAnsi" w:hAnsiTheme="minorHAnsi" w:cstheme="minorHAnsi"/>
          <w:szCs w:val="22"/>
        </w:rPr>
        <w:footnoteReference w:id="154"/>
      </w:r>
      <w:r w:rsidR="00950DD9" w:rsidRPr="00955EB7">
        <w:rPr>
          <w:rFonts w:asciiTheme="minorHAnsi" w:hAnsiTheme="minorHAnsi" w:cstheme="minorHAnsi"/>
          <w:szCs w:val="22"/>
        </w:rPr>
        <w:t xml:space="preserve"> the mental incapacity defence in contract law could provide a safety net in situations where a party who did not understand the implications of a transaction entered into a grossly imbalanced contract to his detriment.</w:t>
      </w:r>
      <w:r w:rsidR="00950DD9" w:rsidRPr="00955EB7">
        <w:rPr>
          <w:rStyle w:val="FootnoteReference"/>
          <w:rFonts w:asciiTheme="minorHAnsi" w:hAnsiTheme="minorHAnsi" w:cstheme="minorHAnsi"/>
          <w:szCs w:val="22"/>
        </w:rPr>
        <w:footnoteReference w:id="155"/>
      </w:r>
    </w:p>
    <w:p w14:paraId="01DCDF57" w14:textId="77777777" w:rsidR="00BC5DD5" w:rsidRDefault="00BC5DD5" w:rsidP="00A06D14">
      <w:pPr>
        <w:spacing w:line="360" w:lineRule="auto"/>
        <w:rPr>
          <w:rFonts w:asciiTheme="minorHAnsi" w:hAnsiTheme="minorHAnsi" w:cstheme="minorHAnsi"/>
          <w:szCs w:val="22"/>
        </w:rPr>
      </w:pPr>
    </w:p>
    <w:p w14:paraId="3CFEE8DE" w14:textId="6D58C726" w:rsidR="00950DD9" w:rsidRPr="00955EB7" w:rsidRDefault="0090531B" w:rsidP="00A06D14">
      <w:pPr>
        <w:spacing w:line="360" w:lineRule="auto"/>
        <w:rPr>
          <w:rFonts w:asciiTheme="minorHAnsi" w:hAnsiTheme="minorHAnsi" w:cstheme="minorHAnsi"/>
          <w:szCs w:val="22"/>
        </w:rPr>
      </w:pPr>
      <w:r w:rsidRPr="00955EB7">
        <w:rPr>
          <w:rFonts w:asciiTheme="minorHAnsi" w:hAnsiTheme="minorHAnsi" w:cstheme="minorHAnsi"/>
          <w:szCs w:val="22"/>
        </w:rPr>
        <w:t>L</w:t>
      </w:r>
      <w:r w:rsidR="00950DD9" w:rsidRPr="00955EB7">
        <w:rPr>
          <w:rFonts w:asciiTheme="minorHAnsi" w:hAnsiTheme="minorHAnsi" w:cstheme="minorHAnsi"/>
          <w:szCs w:val="22"/>
        </w:rPr>
        <w:t>egal frameworks should always start from a presumption of contractual capacity</w:t>
      </w:r>
      <w:r w:rsidR="007E1366" w:rsidRPr="00955EB7">
        <w:rPr>
          <w:rFonts w:asciiTheme="minorHAnsi" w:hAnsiTheme="minorHAnsi" w:cstheme="minorHAnsi"/>
          <w:szCs w:val="22"/>
        </w:rPr>
        <w:t>, recognising that some parties may require support in exercising capacity</w:t>
      </w:r>
      <w:r w:rsidR="003C22F0" w:rsidRPr="00955EB7">
        <w:rPr>
          <w:rFonts w:asciiTheme="minorHAnsi" w:hAnsiTheme="minorHAnsi" w:cstheme="minorHAnsi"/>
          <w:szCs w:val="22"/>
        </w:rPr>
        <w:t xml:space="preserve">, </w:t>
      </w:r>
      <w:r w:rsidR="007E1366" w:rsidRPr="00955EB7">
        <w:rPr>
          <w:rFonts w:asciiTheme="minorHAnsi" w:hAnsiTheme="minorHAnsi" w:cstheme="minorHAnsi"/>
          <w:szCs w:val="22"/>
        </w:rPr>
        <w:t>subject to safeguards that ensure respect for their will and preferences</w:t>
      </w:r>
      <w:r w:rsidRPr="00955EB7">
        <w:rPr>
          <w:rFonts w:asciiTheme="minorHAnsi" w:hAnsiTheme="minorHAnsi" w:cstheme="minorHAnsi"/>
          <w:szCs w:val="22"/>
        </w:rPr>
        <w:t>.</w:t>
      </w:r>
      <w:r w:rsidR="007E1366" w:rsidRPr="00955EB7">
        <w:rPr>
          <w:rStyle w:val="FootnoteReference"/>
          <w:rFonts w:asciiTheme="minorHAnsi" w:hAnsiTheme="minorHAnsi" w:cstheme="minorHAnsi"/>
          <w:szCs w:val="22"/>
        </w:rPr>
        <w:footnoteReference w:id="156"/>
      </w:r>
      <w:r w:rsidR="007E1366" w:rsidRPr="00955EB7">
        <w:rPr>
          <w:rFonts w:asciiTheme="minorHAnsi" w:hAnsiTheme="minorHAnsi" w:cstheme="minorHAnsi"/>
          <w:szCs w:val="22"/>
        </w:rPr>
        <w:t xml:space="preserve"> </w:t>
      </w:r>
      <w:r w:rsidRPr="00955EB7">
        <w:rPr>
          <w:rFonts w:asciiTheme="minorHAnsi" w:hAnsiTheme="minorHAnsi" w:cstheme="minorHAnsi"/>
          <w:szCs w:val="22"/>
        </w:rPr>
        <w:t>S</w:t>
      </w:r>
      <w:r w:rsidR="007E1366" w:rsidRPr="00955EB7">
        <w:rPr>
          <w:rFonts w:asciiTheme="minorHAnsi" w:hAnsiTheme="minorHAnsi" w:cstheme="minorHAnsi"/>
          <w:szCs w:val="22"/>
        </w:rPr>
        <w:t xml:space="preserve">uch frameworks also need to </w:t>
      </w:r>
      <w:r w:rsidRPr="00955EB7">
        <w:rPr>
          <w:rFonts w:asciiTheme="minorHAnsi" w:hAnsiTheme="minorHAnsi" w:cstheme="minorHAnsi"/>
          <w:szCs w:val="22"/>
        </w:rPr>
        <w:t xml:space="preserve">address the </w:t>
      </w:r>
      <w:r w:rsidR="00CE1640">
        <w:rPr>
          <w:rFonts w:asciiTheme="minorHAnsi" w:hAnsiTheme="minorHAnsi" w:cstheme="minorHAnsi"/>
          <w:szCs w:val="22"/>
        </w:rPr>
        <w:t>‘</w:t>
      </w:r>
      <w:r w:rsidRPr="00955EB7">
        <w:rPr>
          <w:rFonts w:asciiTheme="minorHAnsi" w:hAnsiTheme="minorHAnsi" w:cstheme="minorHAnsi"/>
          <w:szCs w:val="22"/>
        </w:rPr>
        <w:t>troubling situations</w:t>
      </w:r>
      <w:r w:rsidR="00CE1640">
        <w:rPr>
          <w:rFonts w:asciiTheme="minorHAnsi" w:hAnsiTheme="minorHAnsi" w:cstheme="minorHAnsi"/>
          <w:szCs w:val="22"/>
        </w:rPr>
        <w:t>’</w:t>
      </w:r>
      <w:r w:rsidRPr="00955EB7">
        <w:rPr>
          <w:rFonts w:asciiTheme="minorHAnsi" w:hAnsiTheme="minorHAnsi" w:cstheme="minorHAnsi"/>
          <w:szCs w:val="22"/>
        </w:rPr>
        <w:t xml:space="preserve"> where a party’s decisions place him at a </w:t>
      </w:r>
      <w:r w:rsidR="00CE1640">
        <w:rPr>
          <w:rFonts w:asciiTheme="minorHAnsi" w:hAnsiTheme="minorHAnsi" w:cstheme="minorHAnsi"/>
          <w:szCs w:val="22"/>
        </w:rPr>
        <w:t>‘</w:t>
      </w:r>
      <w:r w:rsidRPr="00955EB7">
        <w:rPr>
          <w:rFonts w:asciiTheme="minorHAnsi" w:hAnsiTheme="minorHAnsi" w:cstheme="minorHAnsi"/>
          <w:szCs w:val="22"/>
        </w:rPr>
        <w:t>serious risk</w:t>
      </w:r>
      <w:r w:rsidR="00CE1640">
        <w:rPr>
          <w:rFonts w:asciiTheme="minorHAnsi" w:hAnsiTheme="minorHAnsi" w:cstheme="minorHAnsi"/>
          <w:szCs w:val="22"/>
        </w:rPr>
        <w:t>’</w:t>
      </w:r>
      <w:r w:rsidRPr="00955EB7">
        <w:rPr>
          <w:rFonts w:asciiTheme="minorHAnsi" w:hAnsiTheme="minorHAnsi" w:cstheme="minorHAnsi"/>
          <w:szCs w:val="22"/>
        </w:rPr>
        <w:t xml:space="preserve"> that he did not understand,</w:t>
      </w:r>
      <w:r w:rsidRPr="00955EB7">
        <w:rPr>
          <w:rStyle w:val="FootnoteReference"/>
          <w:rFonts w:asciiTheme="minorHAnsi" w:hAnsiTheme="minorHAnsi" w:cstheme="minorHAnsi"/>
          <w:szCs w:val="22"/>
        </w:rPr>
        <w:footnoteReference w:id="157"/>
      </w:r>
      <w:r w:rsidRPr="00955EB7">
        <w:rPr>
          <w:rFonts w:asciiTheme="minorHAnsi" w:hAnsiTheme="minorHAnsi" w:cstheme="minorHAnsi"/>
          <w:szCs w:val="22"/>
        </w:rPr>
        <w:t xml:space="preserve"> including grossly imbalanced transactions that </w:t>
      </w:r>
      <w:r w:rsidR="003C22F0" w:rsidRPr="00955EB7">
        <w:rPr>
          <w:rFonts w:asciiTheme="minorHAnsi" w:hAnsiTheme="minorHAnsi" w:cstheme="minorHAnsi"/>
          <w:szCs w:val="22"/>
        </w:rPr>
        <w:t>a</w:t>
      </w:r>
      <w:r w:rsidRPr="00955EB7">
        <w:rPr>
          <w:rFonts w:asciiTheme="minorHAnsi" w:hAnsiTheme="minorHAnsi" w:cstheme="minorHAnsi"/>
          <w:szCs w:val="22"/>
        </w:rPr>
        <w:t xml:space="preserve"> party entered into</w:t>
      </w:r>
      <w:r w:rsidR="003C22F0" w:rsidRPr="00955EB7">
        <w:rPr>
          <w:rFonts w:asciiTheme="minorHAnsi" w:hAnsiTheme="minorHAnsi" w:cstheme="minorHAnsi"/>
          <w:szCs w:val="22"/>
        </w:rPr>
        <w:t>,</w:t>
      </w:r>
      <w:r w:rsidRPr="00955EB7">
        <w:rPr>
          <w:rFonts w:asciiTheme="minorHAnsi" w:hAnsiTheme="minorHAnsi" w:cstheme="minorHAnsi"/>
          <w:szCs w:val="22"/>
        </w:rPr>
        <w:t xml:space="preserve"> outside a framework of support, which place </w:t>
      </w:r>
      <w:r w:rsidR="003C22F0" w:rsidRPr="00955EB7">
        <w:rPr>
          <w:rFonts w:asciiTheme="minorHAnsi" w:hAnsiTheme="minorHAnsi" w:cstheme="minorHAnsi"/>
          <w:szCs w:val="22"/>
        </w:rPr>
        <w:t>him</w:t>
      </w:r>
      <w:r w:rsidRPr="00955EB7">
        <w:rPr>
          <w:rFonts w:asciiTheme="minorHAnsi" w:hAnsiTheme="minorHAnsi" w:cstheme="minorHAnsi"/>
          <w:szCs w:val="22"/>
        </w:rPr>
        <w:t xml:space="preserve"> at a serious financial </w:t>
      </w:r>
      <w:r w:rsidR="003C22F0" w:rsidRPr="00955EB7">
        <w:rPr>
          <w:rFonts w:asciiTheme="minorHAnsi" w:hAnsiTheme="minorHAnsi" w:cstheme="minorHAnsi"/>
          <w:szCs w:val="22"/>
        </w:rPr>
        <w:t>risk</w:t>
      </w:r>
      <w:r w:rsidRPr="00955EB7">
        <w:rPr>
          <w:rFonts w:asciiTheme="minorHAnsi" w:hAnsiTheme="minorHAnsi" w:cstheme="minorHAnsi"/>
          <w:szCs w:val="22"/>
        </w:rPr>
        <w:t>.</w:t>
      </w:r>
      <w:r w:rsidR="003C22F0" w:rsidRPr="00955EB7">
        <w:rPr>
          <w:rFonts w:asciiTheme="minorHAnsi" w:hAnsiTheme="minorHAnsi" w:cstheme="minorHAnsi"/>
          <w:szCs w:val="22"/>
        </w:rPr>
        <w:t xml:space="preserve"> The need to respond to such concerns would justify, in exceptional circumstances, a departure from the absolute stance adopted by the Committee on the Rights of Persons with Disabilities (ComRPD)</w:t>
      </w:r>
      <w:r w:rsidR="003C22F0" w:rsidRPr="00955EB7">
        <w:rPr>
          <w:rFonts w:asciiTheme="minorHAnsi" w:hAnsiTheme="minorHAnsi" w:cstheme="minorHAnsi"/>
        </w:rPr>
        <w:t xml:space="preserve"> in their interpretation of Article 12 of the CRPD.</w:t>
      </w:r>
      <w:r w:rsidR="003C22F0" w:rsidRPr="00955EB7">
        <w:rPr>
          <w:rStyle w:val="FootnoteReference"/>
          <w:rFonts w:asciiTheme="minorHAnsi" w:hAnsiTheme="minorHAnsi" w:cstheme="minorHAnsi"/>
        </w:rPr>
        <w:footnoteReference w:id="158"/>
      </w:r>
      <w:r w:rsidR="003C22F0" w:rsidRPr="00955EB7">
        <w:rPr>
          <w:rFonts w:asciiTheme="minorHAnsi" w:hAnsiTheme="minorHAnsi" w:cstheme="minorHAnsi"/>
        </w:rPr>
        <w:t xml:space="preserve"> Going beyond the CRPD text, </w:t>
      </w:r>
      <w:r w:rsidR="003C22F0" w:rsidRPr="00955EB7">
        <w:rPr>
          <w:rFonts w:asciiTheme="minorHAnsi" w:hAnsiTheme="minorHAnsi" w:cstheme="minorHAnsi"/>
          <w:szCs w:val="22"/>
        </w:rPr>
        <w:t>ComRPD perceives all mental capacity assessments based on functional tests as being incompatible with the Convention and rejects any separation between legal standing (to hold rights) and legal agency (to exercise rights).</w:t>
      </w:r>
      <w:r w:rsidR="003C22F0" w:rsidRPr="00955EB7">
        <w:rPr>
          <w:rStyle w:val="FootnoteReference"/>
          <w:rFonts w:asciiTheme="minorHAnsi" w:hAnsiTheme="minorHAnsi" w:cstheme="minorHAnsi"/>
          <w:szCs w:val="22"/>
        </w:rPr>
        <w:footnoteReference w:id="159"/>
      </w:r>
      <w:r w:rsidR="003C22F0" w:rsidRPr="00955EB7">
        <w:rPr>
          <w:rFonts w:asciiTheme="minorHAnsi" w:hAnsiTheme="minorHAnsi" w:cstheme="minorHAnsi"/>
          <w:szCs w:val="22"/>
        </w:rPr>
        <w:t xml:space="preserve"> However, it fails to consider the situations where a party who lacked the mental capacity to understand the nature of a transaction acted outside a framework of support and entered unto a grossly imbalanced contact to his detriment.</w:t>
      </w:r>
      <w:r w:rsidR="001E7C48" w:rsidRPr="00955EB7">
        <w:rPr>
          <w:rFonts w:asciiTheme="minorHAnsi" w:hAnsiTheme="minorHAnsi" w:cstheme="minorHAnsi"/>
          <w:szCs w:val="22"/>
        </w:rPr>
        <w:t xml:space="preserve"> Abandoning the mental incapacity defence because of potential implications for a party’s legal </w:t>
      </w:r>
      <w:r w:rsidR="001E7C48" w:rsidRPr="00955EB7">
        <w:rPr>
          <w:rFonts w:asciiTheme="minorHAnsi" w:hAnsiTheme="minorHAnsi" w:cstheme="minorHAnsi"/>
          <w:szCs w:val="22"/>
        </w:rPr>
        <w:lastRenderedPageBreak/>
        <w:t>agency would risk leaving such parties unprotected, creating a legal vacuum that could not be filled by other doctrines (</w:t>
      </w:r>
      <w:r w:rsidR="00E353CE" w:rsidRPr="00955EB7">
        <w:rPr>
          <w:rFonts w:asciiTheme="minorHAnsi" w:hAnsiTheme="minorHAnsi" w:cstheme="minorHAnsi"/>
          <w:szCs w:val="22"/>
        </w:rPr>
        <w:t>e.g.</w:t>
      </w:r>
      <w:r w:rsidR="001E7C48" w:rsidRPr="00955EB7">
        <w:rPr>
          <w:rFonts w:asciiTheme="minorHAnsi" w:hAnsiTheme="minorHAnsi" w:cstheme="minorHAnsi"/>
          <w:szCs w:val="22"/>
        </w:rPr>
        <w:t xml:space="preserve"> there are questions over the extent to which doctrines such as undue influence and unconscionability could cover situations where the other party’s unacceptable conduct was passive).</w:t>
      </w:r>
      <w:r w:rsidR="001E7C48" w:rsidRPr="00955EB7">
        <w:rPr>
          <w:rStyle w:val="FootnoteReference"/>
          <w:rFonts w:asciiTheme="minorHAnsi" w:hAnsiTheme="minorHAnsi" w:cstheme="minorHAnsi"/>
          <w:szCs w:val="22"/>
        </w:rPr>
        <w:footnoteReference w:id="160"/>
      </w:r>
      <w:r w:rsidR="001E7C48" w:rsidRPr="00955EB7">
        <w:rPr>
          <w:rFonts w:asciiTheme="minorHAnsi" w:hAnsiTheme="minorHAnsi" w:cstheme="minorHAnsi"/>
          <w:szCs w:val="22"/>
        </w:rPr>
        <w:t xml:space="preserve"> In fact, parties can exercise their universal legal capacity more effectively in a legal framework that includes, as a safety net, a mental incapacity defence in contract law focused on economic and social values, such as the protection of individual autonomy and human dignity.</w:t>
      </w:r>
    </w:p>
    <w:p w14:paraId="2CB6C09E" w14:textId="77777777" w:rsidR="00BC5DD5" w:rsidRDefault="00BC5DD5" w:rsidP="00A06D14">
      <w:pPr>
        <w:spacing w:line="360" w:lineRule="auto"/>
        <w:rPr>
          <w:rFonts w:asciiTheme="minorHAnsi" w:hAnsiTheme="minorHAnsi" w:cstheme="minorHAnsi"/>
          <w:szCs w:val="22"/>
        </w:rPr>
      </w:pPr>
    </w:p>
    <w:p w14:paraId="2041E56F" w14:textId="1170BAB1" w:rsidR="001E7C48" w:rsidRPr="00955EB7" w:rsidRDefault="001E7C48"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way forward proposed in this article (that the </w:t>
      </w:r>
      <w:r w:rsidRPr="00955EB7">
        <w:rPr>
          <w:rFonts w:asciiTheme="minorHAnsi" w:hAnsiTheme="minorHAnsi" w:cstheme="minorHAnsi"/>
          <w:i/>
          <w:szCs w:val="22"/>
        </w:rPr>
        <w:t>Imperial Loan</w:t>
      </w:r>
      <w:r w:rsidRPr="00955EB7">
        <w:rPr>
          <w:rFonts w:asciiTheme="minorHAnsi" w:hAnsiTheme="minorHAnsi" w:cstheme="minorHAnsi"/>
          <w:szCs w:val="22"/>
        </w:rPr>
        <w:t xml:space="preserve"> rule,</w:t>
      </w:r>
      <w:r w:rsidR="00311F4D" w:rsidRPr="00955EB7">
        <w:rPr>
          <w:rFonts w:asciiTheme="minorHAnsi" w:hAnsiTheme="minorHAnsi" w:cstheme="minorHAnsi"/>
          <w:szCs w:val="22"/>
        </w:rPr>
        <w:t xml:space="preserve"> based on a wide interpretation of constructive knowledge to include the circumstances of the transaction, should also cover agency agreements in English law), is closer to the CRPD vision than the alternative of confirming the principle in </w:t>
      </w:r>
      <w:r w:rsidR="00311F4D" w:rsidRPr="00955EB7">
        <w:rPr>
          <w:rFonts w:asciiTheme="minorHAnsi" w:hAnsiTheme="minorHAnsi" w:cstheme="minorHAnsi"/>
          <w:i/>
          <w:szCs w:val="22"/>
        </w:rPr>
        <w:t>Yonge</w:t>
      </w:r>
      <w:r w:rsidR="00311F4D" w:rsidRPr="00955EB7">
        <w:rPr>
          <w:rFonts w:asciiTheme="minorHAnsi" w:hAnsiTheme="minorHAnsi" w:cstheme="minorHAnsi"/>
          <w:szCs w:val="22"/>
        </w:rPr>
        <w:t>. The CRPD rejects a perception of people as objects of care, rather than as subjects of rights.</w:t>
      </w:r>
      <w:r w:rsidR="00311F4D" w:rsidRPr="00955EB7">
        <w:rPr>
          <w:rStyle w:val="FootnoteReference"/>
          <w:rFonts w:asciiTheme="minorHAnsi" w:hAnsiTheme="minorHAnsi" w:cstheme="minorHAnsi"/>
          <w:szCs w:val="22"/>
        </w:rPr>
        <w:footnoteReference w:id="161"/>
      </w:r>
      <w:r w:rsidR="00311F4D" w:rsidRPr="00955EB7">
        <w:rPr>
          <w:rFonts w:asciiTheme="minorHAnsi" w:hAnsiTheme="minorHAnsi" w:cstheme="minorHAnsi"/>
          <w:szCs w:val="22"/>
        </w:rPr>
        <w:t xml:space="preserve"> The approach reflected in </w:t>
      </w:r>
      <w:r w:rsidR="00311F4D" w:rsidRPr="00955EB7">
        <w:rPr>
          <w:rFonts w:asciiTheme="minorHAnsi" w:hAnsiTheme="minorHAnsi" w:cstheme="minorHAnsi"/>
          <w:i/>
          <w:szCs w:val="22"/>
        </w:rPr>
        <w:t>Yonge</w:t>
      </w:r>
      <w:r w:rsidR="00311F4D" w:rsidRPr="00955EB7">
        <w:rPr>
          <w:rFonts w:asciiTheme="minorHAnsi" w:hAnsiTheme="minorHAnsi" w:cstheme="minorHAnsi"/>
          <w:szCs w:val="22"/>
        </w:rPr>
        <w:t>, to render the contract automatically void upon A’s mental incapacity, could be equated with the perception rejected by the CRPD, as it views A as someone who, due to lack of mental capacity, cannot adopt acts that have legal consequences. Whilst this may appear, in the first instance, to protect A, it can amount to a paternalistic measure that infantilises A and denies him the respect of the law.</w:t>
      </w:r>
      <w:r w:rsidR="00311F4D" w:rsidRPr="00955EB7">
        <w:rPr>
          <w:rStyle w:val="FootnoteReference"/>
          <w:rFonts w:asciiTheme="minorHAnsi" w:hAnsiTheme="minorHAnsi" w:cstheme="minorHAnsi"/>
          <w:szCs w:val="22"/>
        </w:rPr>
        <w:footnoteReference w:id="162"/>
      </w:r>
      <w:r w:rsidR="00311F4D" w:rsidRPr="00955EB7">
        <w:rPr>
          <w:rFonts w:asciiTheme="minorHAnsi" w:hAnsiTheme="minorHAnsi" w:cstheme="minorHAnsi"/>
          <w:szCs w:val="22"/>
        </w:rPr>
        <w:t xml:space="preserve"> On the other hand, the </w:t>
      </w:r>
      <w:r w:rsidR="00311F4D" w:rsidRPr="00955EB7">
        <w:rPr>
          <w:rFonts w:asciiTheme="minorHAnsi" w:hAnsiTheme="minorHAnsi" w:cstheme="minorHAnsi"/>
          <w:i/>
          <w:szCs w:val="22"/>
        </w:rPr>
        <w:t>Imperial Loan</w:t>
      </w:r>
      <w:r w:rsidR="00311F4D" w:rsidRPr="00955EB7">
        <w:rPr>
          <w:rFonts w:asciiTheme="minorHAnsi" w:hAnsiTheme="minorHAnsi" w:cstheme="minorHAnsi"/>
          <w:szCs w:val="22"/>
        </w:rPr>
        <w:t xml:space="preserve"> rule, by rendering the contract voidable rather than void, considers A’s will and preferences regarding the transaction.</w:t>
      </w:r>
    </w:p>
    <w:p w14:paraId="26BC4DB6" w14:textId="77777777" w:rsidR="00BC5DD5" w:rsidRDefault="00BC5DD5" w:rsidP="00A06D14">
      <w:pPr>
        <w:spacing w:line="360" w:lineRule="auto"/>
        <w:rPr>
          <w:rFonts w:asciiTheme="minorHAnsi" w:hAnsiTheme="minorHAnsi" w:cstheme="minorHAnsi"/>
          <w:szCs w:val="22"/>
        </w:rPr>
      </w:pPr>
    </w:p>
    <w:p w14:paraId="1BC79F39" w14:textId="7A082D3C" w:rsidR="00311F4D" w:rsidRPr="00955EB7" w:rsidRDefault="00311F4D"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The CRPD </w:t>
      </w:r>
      <w:r w:rsidR="005D3E17" w:rsidRPr="00955EB7">
        <w:rPr>
          <w:rFonts w:asciiTheme="minorHAnsi" w:hAnsiTheme="minorHAnsi" w:cstheme="minorHAnsi"/>
          <w:szCs w:val="22"/>
        </w:rPr>
        <w:t>reflects a move away from the medical model of disability in favour of a predominantly social model focused on environmental factors.</w:t>
      </w:r>
      <w:r w:rsidR="005D3E17" w:rsidRPr="00955EB7">
        <w:rPr>
          <w:rStyle w:val="FootnoteReference"/>
          <w:rFonts w:asciiTheme="minorHAnsi" w:hAnsiTheme="minorHAnsi" w:cstheme="minorHAnsi"/>
          <w:szCs w:val="22"/>
        </w:rPr>
        <w:footnoteReference w:id="163"/>
      </w:r>
      <w:r w:rsidR="005D3E17" w:rsidRPr="00955EB7">
        <w:rPr>
          <w:rFonts w:asciiTheme="minorHAnsi" w:hAnsiTheme="minorHAnsi" w:cstheme="minorHAnsi"/>
          <w:szCs w:val="22"/>
        </w:rPr>
        <w:t xml:space="preserve"> A wide interpretation of the </w:t>
      </w:r>
      <w:r w:rsidR="005D3E17" w:rsidRPr="00955EB7">
        <w:rPr>
          <w:rFonts w:asciiTheme="minorHAnsi" w:hAnsiTheme="minorHAnsi" w:cstheme="minorHAnsi"/>
          <w:i/>
          <w:szCs w:val="22"/>
        </w:rPr>
        <w:t>Imperial Loan</w:t>
      </w:r>
      <w:r w:rsidR="005D3E17" w:rsidRPr="00955EB7">
        <w:rPr>
          <w:rFonts w:asciiTheme="minorHAnsi" w:hAnsiTheme="minorHAnsi" w:cstheme="minorHAnsi"/>
          <w:szCs w:val="22"/>
        </w:rPr>
        <w:t xml:space="preserve"> rule</w:t>
      </w:r>
      <w:r w:rsidR="00407FE3" w:rsidRPr="00955EB7">
        <w:rPr>
          <w:rFonts w:asciiTheme="minorHAnsi" w:hAnsiTheme="minorHAnsi" w:cstheme="minorHAnsi"/>
          <w:szCs w:val="22"/>
        </w:rPr>
        <w:t xml:space="preserve"> to include the circumstances of the transaction, moves the focus away from </w:t>
      </w:r>
      <w:r w:rsidR="000E12B4" w:rsidRPr="00955EB7">
        <w:rPr>
          <w:rFonts w:asciiTheme="minorHAnsi" w:hAnsiTheme="minorHAnsi" w:cstheme="minorHAnsi"/>
          <w:szCs w:val="22"/>
        </w:rPr>
        <w:t xml:space="preserve">A’s medical condition and whether this was known by or apparent to the other party, to assess environmental factors. Under this framework, a grossly imbalanced transaction could provide an indication of a substantively unfair contract, which could trigger the need to question the procedural fairness of the transaction </w:t>
      </w:r>
      <w:r w:rsidR="00E353CE" w:rsidRPr="00955EB7">
        <w:rPr>
          <w:rFonts w:asciiTheme="minorHAnsi" w:hAnsiTheme="minorHAnsi" w:cstheme="minorHAnsi"/>
          <w:szCs w:val="22"/>
        </w:rPr>
        <w:t>(e.g.</w:t>
      </w:r>
      <w:r w:rsidR="000E12B4" w:rsidRPr="00955EB7">
        <w:rPr>
          <w:rFonts w:asciiTheme="minorHAnsi" w:hAnsiTheme="minorHAnsi" w:cstheme="minorHAnsi"/>
          <w:szCs w:val="22"/>
        </w:rPr>
        <w:t xml:space="preserve"> issues of disparity in the parties’ capacities to understand the transaction and the </w:t>
      </w:r>
      <w:r w:rsidR="00E664CA" w:rsidRPr="00955EB7">
        <w:rPr>
          <w:rFonts w:asciiTheme="minorHAnsi" w:hAnsiTheme="minorHAnsi" w:cstheme="minorHAnsi"/>
          <w:szCs w:val="22"/>
        </w:rPr>
        <w:t>absence</w:t>
      </w:r>
      <w:r w:rsidR="000E12B4" w:rsidRPr="00955EB7">
        <w:rPr>
          <w:rFonts w:asciiTheme="minorHAnsi" w:hAnsiTheme="minorHAnsi" w:cstheme="minorHAnsi"/>
          <w:szCs w:val="22"/>
        </w:rPr>
        <w:t xml:space="preserve"> of independent legal advice). This would be assessed objectively</w:t>
      </w:r>
      <w:r w:rsidR="00E664CA" w:rsidRPr="00955EB7">
        <w:rPr>
          <w:rFonts w:asciiTheme="minorHAnsi" w:hAnsiTheme="minorHAnsi" w:cstheme="minorHAnsi"/>
          <w:szCs w:val="22"/>
        </w:rPr>
        <w:t xml:space="preserve"> and would include fairness-based consideration,</w:t>
      </w:r>
      <w:r w:rsidR="00E664CA" w:rsidRPr="00955EB7">
        <w:rPr>
          <w:rStyle w:val="FootnoteReference"/>
          <w:rFonts w:asciiTheme="minorHAnsi" w:hAnsiTheme="minorHAnsi" w:cstheme="minorHAnsi"/>
          <w:szCs w:val="22"/>
        </w:rPr>
        <w:footnoteReference w:id="164"/>
      </w:r>
      <w:r w:rsidR="00E664CA" w:rsidRPr="00955EB7">
        <w:rPr>
          <w:rFonts w:asciiTheme="minorHAnsi" w:hAnsiTheme="minorHAnsi" w:cstheme="minorHAnsi"/>
          <w:szCs w:val="22"/>
        </w:rPr>
        <w:t xml:space="preserve"> but within a clearly defined framework where substantive fairness alone could not, in itself, invalidate a contract, but could be a trigger for investigating the procedural fairness of the transaction. It would also represent a move away from a focus solely on A’s absent consent or the other party’s wrongful conduct</w:t>
      </w:r>
      <w:r w:rsidR="00E6179D" w:rsidRPr="00955EB7">
        <w:rPr>
          <w:rFonts w:asciiTheme="minorHAnsi" w:hAnsiTheme="minorHAnsi" w:cstheme="minorHAnsi"/>
          <w:szCs w:val="22"/>
        </w:rPr>
        <w:t>, to determine the circumstances where intervention is justified based on substantive and procedural factors.</w:t>
      </w:r>
      <w:r w:rsidR="00E6179D" w:rsidRPr="00955EB7">
        <w:rPr>
          <w:rStyle w:val="FootnoteReference"/>
          <w:rFonts w:asciiTheme="minorHAnsi" w:hAnsiTheme="minorHAnsi" w:cstheme="minorHAnsi"/>
          <w:szCs w:val="22"/>
        </w:rPr>
        <w:footnoteReference w:id="165"/>
      </w:r>
    </w:p>
    <w:p w14:paraId="4AD7714D" w14:textId="77777777" w:rsidR="00BC5DD5" w:rsidRDefault="00BC5DD5" w:rsidP="00A06D14">
      <w:pPr>
        <w:spacing w:line="360" w:lineRule="auto"/>
        <w:rPr>
          <w:rFonts w:asciiTheme="minorHAnsi" w:hAnsiTheme="minorHAnsi" w:cstheme="minorHAnsi"/>
          <w:szCs w:val="22"/>
        </w:rPr>
      </w:pPr>
    </w:p>
    <w:p w14:paraId="206148E4" w14:textId="20FDFCC9" w:rsidR="00E6179D" w:rsidRPr="00955EB7" w:rsidRDefault="00E6179D" w:rsidP="00A06D14">
      <w:pPr>
        <w:spacing w:line="360" w:lineRule="auto"/>
        <w:rPr>
          <w:rFonts w:asciiTheme="minorHAnsi" w:hAnsiTheme="minorHAnsi" w:cstheme="minorHAnsi"/>
          <w:szCs w:val="22"/>
        </w:rPr>
      </w:pPr>
      <w:r w:rsidRPr="00955EB7">
        <w:rPr>
          <w:rFonts w:asciiTheme="minorHAnsi" w:hAnsiTheme="minorHAnsi" w:cstheme="minorHAnsi"/>
          <w:szCs w:val="22"/>
        </w:rPr>
        <w:lastRenderedPageBreak/>
        <w:t>The CRPD demands equal respect for persons with disabilities and a perception of disability as an aspect of human diversity.</w:t>
      </w:r>
      <w:r w:rsidRPr="00955EB7">
        <w:rPr>
          <w:rStyle w:val="FootnoteReference"/>
          <w:rFonts w:asciiTheme="minorHAnsi" w:hAnsiTheme="minorHAnsi" w:cstheme="minorHAnsi"/>
          <w:szCs w:val="22"/>
        </w:rPr>
        <w:footnoteReference w:id="166"/>
      </w:r>
      <w:r w:rsidRPr="00955EB7">
        <w:rPr>
          <w:rFonts w:asciiTheme="minorHAnsi" w:hAnsiTheme="minorHAnsi" w:cstheme="minorHAnsi"/>
          <w:szCs w:val="22"/>
        </w:rPr>
        <w:t xml:space="preserve"> Whilst more recent cases in English contract law have moved away from the negative language employed </w:t>
      </w:r>
      <w:r w:rsidR="008B0096" w:rsidRPr="00955EB7">
        <w:rPr>
          <w:rFonts w:asciiTheme="minorHAnsi" w:hAnsiTheme="minorHAnsi" w:cstheme="minorHAnsi"/>
          <w:szCs w:val="22"/>
        </w:rPr>
        <w:t>in</w:t>
      </w:r>
      <w:r w:rsidRPr="00955EB7">
        <w:rPr>
          <w:rFonts w:asciiTheme="minorHAnsi" w:hAnsiTheme="minorHAnsi" w:cstheme="minorHAnsi"/>
          <w:szCs w:val="22"/>
        </w:rPr>
        <w:t xml:space="preserve"> earlier decisions (where reference was made to </w:t>
      </w:r>
      <w:r w:rsidR="00CE1640">
        <w:rPr>
          <w:rFonts w:asciiTheme="minorHAnsi" w:hAnsiTheme="minorHAnsi" w:cstheme="minorHAnsi"/>
          <w:szCs w:val="22"/>
        </w:rPr>
        <w:t>‘</w:t>
      </w:r>
      <w:r w:rsidRPr="00955EB7">
        <w:rPr>
          <w:rFonts w:asciiTheme="minorHAnsi" w:hAnsiTheme="minorHAnsi" w:cstheme="minorHAnsi"/>
          <w:szCs w:val="22"/>
        </w:rPr>
        <w:t>lunatics</w:t>
      </w:r>
      <w:r w:rsidR="00CE1640">
        <w:rPr>
          <w:rFonts w:asciiTheme="minorHAnsi" w:hAnsiTheme="minorHAnsi" w:cstheme="minorHAnsi"/>
          <w:szCs w:val="22"/>
        </w:rPr>
        <w:t>’</w:t>
      </w:r>
      <w:r w:rsidRPr="00955EB7">
        <w:rPr>
          <w:rFonts w:asciiTheme="minorHAnsi" w:hAnsiTheme="minorHAnsi" w:cstheme="minorHAnsi"/>
          <w:szCs w:val="22"/>
        </w:rPr>
        <w:t>)</w:t>
      </w:r>
      <w:r w:rsidR="008B0096" w:rsidRPr="00955EB7">
        <w:rPr>
          <w:rFonts w:asciiTheme="minorHAnsi" w:hAnsiTheme="minorHAnsi" w:cstheme="minorHAnsi"/>
          <w:szCs w:val="22"/>
        </w:rPr>
        <w:t>,</w:t>
      </w:r>
      <w:r w:rsidRPr="00955EB7">
        <w:rPr>
          <w:rStyle w:val="FootnoteReference"/>
          <w:rFonts w:asciiTheme="minorHAnsi" w:hAnsiTheme="minorHAnsi" w:cstheme="minorHAnsi"/>
          <w:szCs w:val="22"/>
        </w:rPr>
        <w:footnoteReference w:id="167"/>
      </w:r>
      <w:r w:rsidR="008B0096" w:rsidRPr="00955EB7">
        <w:rPr>
          <w:rFonts w:asciiTheme="minorHAnsi" w:hAnsiTheme="minorHAnsi" w:cstheme="minorHAnsi"/>
          <w:szCs w:val="22"/>
        </w:rPr>
        <w:t xml:space="preserve"> to refer instead to people as </w:t>
      </w:r>
      <w:r w:rsidR="00CE1640">
        <w:rPr>
          <w:rFonts w:asciiTheme="minorHAnsi" w:hAnsiTheme="minorHAnsi" w:cstheme="minorHAnsi"/>
          <w:szCs w:val="22"/>
        </w:rPr>
        <w:t>‘</w:t>
      </w:r>
      <w:r w:rsidR="008B0096" w:rsidRPr="00955EB7">
        <w:rPr>
          <w:rFonts w:asciiTheme="minorHAnsi" w:hAnsiTheme="minorHAnsi" w:cstheme="minorHAnsi"/>
          <w:szCs w:val="22"/>
        </w:rPr>
        <w:t>persons</w:t>
      </w:r>
      <w:r w:rsidR="00CE1640">
        <w:rPr>
          <w:rFonts w:asciiTheme="minorHAnsi" w:hAnsiTheme="minorHAnsi" w:cstheme="minorHAnsi"/>
          <w:szCs w:val="22"/>
        </w:rPr>
        <w:t>’</w:t>
      </w:r>
      <w:r w:rsidR="00D1174B" w:rsidRPr="00955EB7">
        <w:rPr>
          <w:rFonts w:asciiTheme="minorHAnsi" w:hAnsiTheme="minorHAnsi" w:cstheme="minorHAnsi"/>
          <w:szCs w:val="22"/>
        </w:rPr>
        <w:t>,</w:t>
      </w:r>
      <w:r w:rsidR="008B0096" w:rsidRPr="00955EB7">
        <w:rPr>
          <w:rStyle w:val="FootnoteReference"/>
          <w:rFonts w:asciiTheme="minorHAnsi" w:hAnsiTheme="minorHAnsi" w:cstheme="minorHAnsi"/>
          <w:szCs w:val="22"/>
        </w:rPr>
        <w:footnoteReference w:id="168"/>
      </w:r>
      <w:r w:rsidR="00D1174B" w:rsidRPr="00955EB7">
        <w:rPr>
          <w:rFonts w:asciiTheme="minorHAnsi" w:hAnsiTheme="minorHAnsi" w:cstheme="minorHAnsi"/>
          <w:szCs w:val="22"/>
        </w:rPr>
        <w:t xml:space="preserve"> it is important that this positive change in language is also matched by a focus on the circumstances of the transaction and away from A’s medical condition. The proposed way forward for a broad definition of constructive knowledge aims to achieve this aim.</w:t>
      </w:r>
    </w:p>
    <w:p w14:paraId="347C5425" w14:textId="77777777" w:rsidR="00BC5DD5" w:rsidRDefault="00BC5DD5" w:rsidP="00A06D14">
      <w:pPr>
        <w:spacing w:line="360" w:lineRule="auto"/>
        <w:rPr>
          <w:rFonts w:asciiTheme="minorHAnsi" w:hAnsiTheme="minorHAnsi" w:cstheme="minorHAnsi"/>
          <w:szCs w:val="22"/>
        </w:rPr>
      </w:pPr>
    </w:p>
    <w:p w14:paraId="1A4199F4" w14:textId="46227F59" w:rsidR="00D1174B" w:rsidRPr="00955EB7" w:rsidRDefault="00D1174B" w:rsidP="00A06D14">
      <w:pPr>
        <w:spacing w:line="360" w:lineRule="auto"/>
        <w:rPr>
          <w:rFonts w:asciiTheme="minorHAnsi" w:hAnsiTheme="minorHAnsi" w:cstheme="minorHAnsi"/>
          <w:szCs w:val="22"/>
        </w:rPr>
      </w:pPr>
      <w:r w:rsidRPr="00955EB7">
        <w:rPr>
          <w:rFonts w:asciiTheme="minorHAnsi" w:hAnsiTheme="minorHAnsi" w:cstheme="minorHAnsi"/>
          <w:szCs w:val="22"/>
        </w:rPr>
        <w:t xml:space="preserve">Finally, the CRPD views the protection of individual autonomy and the safeguarding of human dignity as being interrelated and sees the role of social values as permeating all areas of law </w:t>
      </w:r>
      <w:r w:rsidR="00C91485" w:rsidRPr="00955EB7">
        <w:rPr>
          <w:rFonts w:asciiTheme="minorHAnsi" w:hAnsiTheme="minorHAnsi" w:cstheme="minorHAnsi"/>
          <w:szCs w:val="22"/>
        </w:rPr>
        <w:t>and</w:t>
      </w:r>
      <w:r w:rsidR="00EC1C02" w:rsidRPr="00955EB7">
        <w:rPr>
          <w:rFonts w:asciiTheme="minorHAnsi" w:hAnsiTheme="minorHAnsi" w:cstheme="minorHAnsi"/>
          <w:szCs w:val="22"/>
        </w:rPr>
        <w:t>,</w:t>
      </w:r>
      <w:r w:rsidR="00C91485" w:rsidRPr="00955EB7">
        <w:rPr>
          <w:rFonts w:asciiTheme="minorHAnsi" w:hAnsiTheme="minorHAnsi" w:cstheme="minorHAnsi"/>
          <w:szCs w:val="22"/>
        </w:rPr>
        <w:t xml:space="preserve"> </w:t>
      </w:r>
      <w:r w:rsidRPr="00955EB7">
        <w:rPr>
          <w:rFonts w:asciiTheme="minorHAnsi" w:hAnsiTheme="minorHAnsi" w:cstheme="minorHAnsi"/>
          <w:szCs w:val="22"/>
        </w:rPr>
        <w:t>by implication</w:t>
      </w:r>
      <w:r w:rsidR="00EC1C02" w:rsidRPr="00955EB7">
        <w:rPr>
          <w:rFonts w:asciiTheme="minorHAnsi" w:hAnsiTheme="minorHAnsi" w:cstheme="minorHAnsi"/>
          <w:szCs w:val="22"/>
        </w:rPr>
        <w:t>,</w:t>
      </w:r>
      <w:r w:rsidRPr="00955EB7">
        <w:rPr>
          <w:rFonts w:asciiTheme="minorHAnsi" w:hAnsiTheme="minorHAnsi" w:cstheme="minorHAnsi"/>
          <w:szCs w:val="22"/>
        </w:rPr>
        <w:t xml:space="preserve"> c</w:t>
      </w:r>
      <w:r w:rsidR="00C91485" w:rsidRPr="00955EB7">
        <w:rPr>
          <w:rFonts w:asciiTheme="minorHAnsi" w:hAnsiTheme="minorHAnsi" w:cstheme="minorHAnsi"/>
          <w:szCs w:val="22"/>
        </w:rPr>
        <w:t>ontract law.</w:t>
      </w:r>
      <w:r w:rsidR="00EC1C02" w:rsidRPr="00955EB7">
        <w:rPr>
          <w:rStyle w:val="FootnoteReference"/>
          <w:rFonts w:asciiTheme="minorHAnsi" w:hAnsiTheme="minorHAnsi" w:cstheme="minorHAnsi"/>
          <w:szCs w:val="22"/>
        </w:rPr>
        <w:footnoteReference w:id="169"/>
      </w:r>
      <w:r w:rsidR="00C91485" w:rsidRPr="00955EB7">
        <w:rPr>
          <w:rFonts w:asciiTheme="minorHAnsi" w:hAnsiTheme="minorHAnsi" w:cstheme="minorHAnsi"/>
          <w:szCs w:val="22"/>
        </w:rPr>
        <w:t xml:space="preserve"> A wide interpretation of the </w:t>
      </w:r>
      <w:r w:rsidR="00C91485" w:rsidRPr="00955EB7">
        <w:rPr>
          <w:rFonts w:asciiTheme="minorHAnsi" w:hAnsiTheme="minorHAnsi" w:cstheme="minorHAnsi"/>
          <w:i/>
          <w:szCs w:val="22"/>
        </w:rPr>
        <w:t>Imperial Loan</w:t>
      </w:r>
      <w:r w:rsidR="00C91485" w:rsidRPr="00955EB7">
        <w:rPr>
          <w:rFonts w:asciiTheme="minorHAnsi" w:hAnsiTheme="minorHAnsi" w:cstheme="minorHAnsi"/>
          <w:szCs w:val="22"/>
        </w:rPr>
        <w:t xml:space="preserve"> rule to include the circumstances of the transactions reflects a concern not only for economic values (including the security of transactions) but also for social values (including the protection of autonomy and dignity). It responds to wider social concerns (balancing the need to protect vulnerable contracting parties from exploitation, while ensuring that these parties are treated with respect), at a time when the number of people who develop mental health conditions such as dementia is on the increase.</w:t>
      </w:r>
      <w:r w:rsidR="00C91485" w:rsidRPr="00955EB7">
        <w:rPr>
          <w:rStyle w:val="FootnoteReference"/>
          <w:rFonts w:asciiTheme="minorHAnsi" w:hAnsiTheme="minorHAnsi" w:cstheme="minorHAnsi"/>
          <w:szCs w:val="22"/>
        </w:rPr>
        <w:footnoteReference w:id="170"/>
      </w:r>
      <w:r w:rsidR="00C91485" w:rsidRPr="00955EB7">
        <w:rPr>
          <w:rFonts w:asciiTheme="minorHAnsi" w:hAnsiTheme="minorHAnsi" w:cstheme="minorHAnsi"/>
          <w:szCs w:val="22"/>
        </w:rPr>
        <w:t xml:space="preserve"> It also reflects a perception of contract law which, unconfined to the economic sector and a </w:t>
      </w:r>
      <w:r w:rsidR="00C91485" w:rsidRPr="00955EB7">
        <w:rPr>
          <w:rFonts w:asciiTheme="minorHAnsi" w:hAnsiTheme="minorHAnsi" w:cstheme="minorHAnsi"/>
          <w:i/>
          <w:szCs w:val="22"/>
        </w:rPr>
        <w:t>laissez-faire</w:t>
      </w:r>
      <w:r w:rsidR="00C91485" w:rsidRPr="00955EB7">
        <w:rPr>
          <w:rFonts w:asciiTheme="minorHAnsi" w:hAnsiTheme="minorHAnsi" w:cstheme="minorHAnsi"/>
          <w:szCs w:val="22"/>
        </w:rPr>
        <w:t xml:space="preserve"> interpretation, plays a multi-dimensional role that includes the social sphere.</w:t>
      </w:r>
      <w:r w:rsidR="00C91485" w:rsidRPr="00955EB7">
        <w:rPr>
          <w:rStyle w:val="FootnoteReference"/>
          <w:rFonts w:asciiTheme="minorHAnsi" w:hAnsiTheme="minorHAnsi" w:cstheme="minorHAnsi"/>
          <w:szCs w:val="22"/>
        </w:rPr>
        <w:footnoteReference w:id="171"/>
      </w:r>
      <w:r w:rsidR="00C91485" w:rsidRPr="00955EB7">
        <w:rPr>
          <w:rFonts w:asciiTheme="minorHAnsi" w:hAnsiTheme="minorHAnsi" w:cstheme="minorHAnsi"/>
          <w:szCs w:val="22"/>
        </w:rPr>
        <w:t xml:space="preserve"> This approach recognises the inter-relation between public and private law</w:t>
      </w:r>
      <w:r w:rsidR="00C9407B" w:rsidRPr="00955EB7">
        <w:rPr>
          <w:rFonts w:asciiTheme="minorHAnsi" w:hAnsiTheme="minorHAnsi" w:cstheme="minorHAnsi"/>
          <w:szCs w:val="22"/>
        </w:rPr>
        <w:t xml:space="preserve"> and the relevance of concepts such as autonomy and dignity in both spheres.</w:t>
      </w:r>
      <w:r w:rsidR="00C9407B" w:rsidRPr="00955EB7">
        <w:rPr>
          <w:rStyle w:val="FootnoteReference"/>
          <w:rFonts w:asciiTheme="minorHAnsi" w:hAnsiTheme="minorHAnsi" w:cstheme="minorHAnsi"/>
          <w:szCs w:val="22"/>
        </w:rPr>
        <w:footnoteReference w:id="172"/>
      </w:r>
      <w:r w:rsidR="00C9407B" w:rsidRPr="00955EB7">
        <w:rPr>
          <w:rFonts w:asciiTheme="minorHAnsi" w:hAnsiTheme="minorHAnsi" w:cstheme="minorHAnsi"/>
          <w:szCs w:val="22"/>
        </w:rPr>
        <w:t xml:space="preserve"> Far from being associated with a revolution in English contract law, this continues its evolution away from a sole focus on individual values and the parties’ pursuit of self-interest, to include wider social values.</w:t>
      </w:r>
      <w:r w:rsidR="00C9407B" w:rsidRPr="00955EB7">
        <w:rPr>
          <w:rStyle w:val="FootnoteReference"/>
          <w:rFonts w:asciiTheme="minorHAnsi" w:hAnsiTheme="minorHAnsi" w:cstheme="minorHAnsi"/>
          <w:szCs w:val="22"/>
        </w:rPr>
        <w:footnoteReference w:id="173"/>
      </w:r>
      <w:r w:rsidR="00C9407B" w:rsidRPr="00955EB7">
        <w:rPr>
          <w:rFonts w:asciiTheme="minorHAnsi" w:hAnsiTheme="minorHAnsi" w:cstheme="minorHAnsi"/>
          <w:szCs w:val="22"/>
        </w:rPr>
        <w:t xml:space="preserve"> Consequently, the role of contract law is not only to facilitate transactions, but also to connect people in mutual relations.</w:t>
      </w:r>
      <w:r w:rsidR="00C9407B" w:rsidRPr="00955EB7">
        <w:rPr>
          <w:rStyle w:val="FootnoteReference"/>
          <w:rFonts w:asciiTheme="minorHAnsi" w:hAnsiTheme="minorHAnsi" w:cstheme="minorHAnsi"/>
          <w:szCs w:val="22"/>
        </w:rPr>
        <w:footnoteReference w:id="174"/>
      </w:r>
      <w:r w:rsidR="00C9407B" w:rsidRPr="00955EB7">
        <w:rPr>
          <w:rFonts w:asciiTheme="minorHAnsi" w:hAnsiTheme="minorHAnsi" w:cstheme="minorHAnsi"/>
          <w:szCs w:val="22"/>
        </w:rPr>
        <w:t xml:space="preserve"> Rather than focusing the intervention on A’s absent consent or on any unlawful conduct that may be attributed to the other party (B or C), such intervention would be rooted on wider norms that govern how parties should treat each other and under </w:t>
      </w:r>
      <w:r w:rsidR="007F2D32" w:rsidRPr="00955EB7">
        <w:rPr>
          <w:rFonts w:asciiTheme="minorHAnsi" w:hAnsiTheme="minorHAnsi" w:cstheme="minorHAnsi"/>
          <w:szCs w:val="22"/>
        </w:rPr>
        <w:t>what circumstances the state would not support a significantly asymmetrical contract.</w:t>
      </w:r>
      <w:r w:rsidR="007F2D32" w:rsidRPr="00955EB7">
        <w:rPr>
          <w:rStyle w:val="FootnoteReference"/>
          <w:rFonts w:asciiTheme="minorHAnsi" w:hAnsiTheme="minorHAnsi" w:cstheme="minorHAnsi"/>
          <w:szCs w:val="22"/>
        </w:rPr>
        <w:footnoteReference w:id="175"/>
      </w:r>
    </w:p>
    <w:p w14:paraId="5840B700" w14:textId="77777777" w:rsidR="00BC5DD5" w:rsidRDefault="00BC5DD5" w:rsidP="00A06D14">
      <w:pPr>
        <w:spacing w:line="360" w:lineRule="auto"/>
        <w:rPr>
          <w:rFonts w:asciiTheme="minorHAnsi" w:hAnsiTheme="minorHAnsi" w:cstheme="minorHAnsi"/>
          <w:szCs w:val="22"/>
        </w:rPr>
      </w:pPr>
    </w:p>
    <w:p w14:paraId="52B7C230" w14:textId="20B4EEFA" w:rsidR="007F2D32" w:rsidRPr="00955EB7" w:rsidRDefault="007F2D32" w:rsidP="00A06D14">
      <w:pPr>
        <w:spacing w:line="360" w:lineRule="auto"/>
        <w:rPr>
          <w:rFonts w:asciiTheme="minorHAnsi" w:hAnsiTheme="minorHAnsi" w:cstheme="minorHAnsi"/>
          <w:szCs w:val="22"/>
        </w:rPr>
      </w:pPr>
      <w:r w:rsidRPr="00955EB7">
        <w:rPr>
          <w:rFonts w:asciiTheme="minorHAnsi" w:hAnsiTheme="minorHAnsi" w:cstheme="minorHAnsi"/>
          <w:szCs w:val="22"/>
        </w:rPr>
        <w:t>The approach put forward in this article would not undermine certainty (as fairness-based arguments would be considered within a clearly defined framework),</w:t>
      </w:r>
      <w:r w:rsidR="00691CE5" w:rsidRPr="00955EB7">
        <w:rPr>
          <w:rFonts w:asciiTheme="minorHAnsi" w:hAnsiTheme="minorHAnsi" w:cstheme="minorHAnsi"/>
          <w:szCs w:val="22"/>
        </w:rPr>
        <w:t xml:space="preserve"> nor would it undermine freedom of contract and sanctity of contract (as these principles as not absolute), and intervention may be justified in grossly imbalanced contracts involving a party who lacked the mental capacity to understand the transaction and did not operate within a </w:t>
      </w:r>
      <w:r w:rsidR="00691CE5" w:rsidRPr="00955EB7">
        <w:rPr>
          <w:rFonts w:asciiTheme="minorHAnsi" w:hAnsiTheme="minorHAnsi" w:cstheme="minorHAnsi"/>
          <w:szCs w:val="22"/>
        </w:rPr>
        <w:lastRenderedPageBreak/>
        <w:t>framework of support, such as the provision of independent legal advice.</w:t>
      </w:r>
      <w:r w:rsidR="00EC1C02" w:rsidRPr="00955EB7">
        <w:rPr>
          <w:rStyle w:val="FootnoteReference"/>
          <w:rFonts w:asciiTheme="minorHAnsi" w:hAnsiTheme="minorHAnsi" w:cstheme="minorHAnsi"/>
          <w:szCs w:val="22"/>
        </w:rPr>
        <w:footnoteReference w:id="176"/>
      </w:r>
      <w:r w:rsidR="00691CE5" w:rsidRPr="00955EB7">
        <w:rPr>
          <w:rFonts w:asciiTheme="minorHAnsi" w:hAnsiTheme="minorHAnsi" w:cstheme="minorHAnsi"/>
          <w:szCs w:val="22"/>
        </w:rPr>
        <w:t xml:space="preserve"> It is an approach that is closer to the CRPD framework of values than the alternative presented in </w:t>
      </w:r>
      <w:r w:rsidR="00691CE5" w:rsidRPr="00955EB7">
        <w:rPr>
          <w:rFonts w:asciiTheme="minorHAnsi" w:hAnsiTheme="minorHAnsi" w:cstheme="minorHAnsi"/>
          <w:i/>
          <w:szCs w:val="22"/>
        </w:rPr>
        <w:t>Yonge</w:t>
      </w:r>
      <w:r w:rsidR="00691CE5" w:rsidRPr="00955EB7">
        <w:rPr>
          <w:rFonts w:asciiTheme="minorHAnsi" w:hAnsiTheme="minorHAnsi" w:cstheme="minorHAnsi"/>
          <w:szCs w:val="22"/>
        </w:rPr>
        <w:t xml:space="preserve">, or the confinement of the </w:t>
      </w:r>
      <w:r w:rsidR="00691CE5" w:rsidRPr="00955EB7">
        <w:rPr>
          <w:rFonts w:asciiTheme="minorHAnsi" w:hAnsiTheme="minorHAnsi" w:cstheme="minorHAnsi"/>
          <w:i/>
          <w:szCs w:val="22"/>
        </w:rPr>
        <w:t>Imperial Loan</w:t>
      </w:r>
      <w:r w:rsidR="00691CE5" w:rsidRPr="00955EB7">
        <w:rPr>
          <w:rFonts w:asciiTheme="minorHAnsi" w:hAnsiTheme="minorHAnsi" w:cstheme="minorHAnsi"/>
          <w:szCs w:val="22"/>
        </w:rPr>
        <w:t xml:space="preserve"> rule to a narrow interpretation of the knowledge-based requirement. Such reference to the CRPD values could confirm the most appropriate way forward in cases involving a principal’s mental capacity, like Ariadne’s thread showing the way out of the labyrinth.</w:t>
      </w:r>
    </w:p>
    <w:p w14:paraId="6115F8F2" w14:textId="442574D9" w:rsidR="00691CE5" w:rsidRPr="00955EB7" w:rsidRDefault="00691CE5" w:rsidP="00A06D14">
      <w:pPr>
        <w:spacing w:line="360" w:lineRule="auto"/>
        <w:rPr>
          <w:rFonts w:asciiTheme="minorHAnsi" w:hAnsiTheme="minorHAnsi" w:cstheme="minorHAnsi"/>
          <w:szCs w:val="22"/>
        </w:rPr>
      </w:pPr>
    </w:p>
    <w:p w14:paraId="6C007EB3" w14:textId="1B5D2D5E" w:rsidR="00691CE5" w:rsidRPr="00955EB7" w:rsidRDefault="00CE1640" w:rsidP="00A06D14">
      <w:pPr>
        <w:spacing w:line="360" w:lineRule="auto"/>
        <w:jc w:val="center"/>
        <w:rPr>
          <w:rFonts w:asciiTheme="minorHAnsi" w:hAnsiTheme="minorHAnsi" w:cstheme="minorHAnsi"/>
          <w:b/>
          <w:szCs w:val="22"/>
        </w:rPr>
      </w:pPr>
      <w:r w:rsidRPr="00955EB7">
        <w:rPr>
          <w:rFonts w:asciiTheme="minorHAnsi" w:hAnsiTheme="minorHAnsi" w:cstheme="minorHAnsi"/>
          <w:b/>
          <w:szCs w:val="22"/>
        </w:rPr>
        <w:t>Conclusion</w:t>
      </w:r>
    </w:p>
    <w:p w14:paraId="6FEDB18E" w14:textId="0CC180F0" w:rsidR="00691CE5" w:rsidRPr="00955EB7" w:rsidRDefault="00691CE5" w:rsidP="00A06D14">
      <w:pPr>
        <w:spacing w:line="360" w:lineRule="auto"/>
        <w:rPr>
          <w:rFonts w:asciiTheme="minorHAnsi" w:hAnsiTheme="minorHAnsi" w:cstheme="minorHAnsi"/>
          <w:b/>
          <w:szCs w:val="22"/>
        </w:rPr>
      </w:pPr>
    </w:p>
    <w:p w14:paraId="668F8549" w14:textId="34A1E116" w:rsidR="00AF181D" w:rsidRPr="00955EB7" w:rsidRDefault="00691CE5" w:rsidP="00A06D14">
      <w:pPr>
        <w:spacing w:line="360" w:lineRule="auto"/>
        <w:rPr>
          <w:rFonts w:asciiTheme="minorHAnsi" w:hAnsiTheme="minorHAnsi" w:cstheme="minorHAnsi"/>
        </w:rPr>
      </w:pPr>
      <w:r w:rsidRPr="00955EB7">
        <w:rPr>
          <w:rFonts w:asciiTheme="minorHAnsi" w:hAnsiTheme="minorHAnsi" w:cstheme="minorHAnsi"/>
          <w:szCs w:val="22"/>
        </w:rPr>
        <w:t xml:space="preserve">Cases involving agency contacts affected by a principal (A)’s mental incapacity may present courts with a dilemma: confirm the decision in </w:t>
      </w:r>
      <w:r w:rsidRPr="00955EB7">
        <w:rPr>
          <w:rFonts w:asciiTheme="minorHAnsi" w:hAnsiTheme="minorHAnsi" w:cstheme="minorHAnsi"/>
          <w:i/>
          <w:szCs w:val="22"/>
        </w:rPr>
        <w:t>Yonge</w:t>
      </w:r>
      <w:r w:rsidRPr="00955EB7">
        <w:rPr>
          <w:rFonts w:asciiTheme="minorHAnsi" w:hAnsiTheme="minorHAnsi" w:cstheme="minorHAnsi"/>
          <w:szCs w:val="22"/>
        </w:rPr>
        <w:t xml:space="preserve"> and render the contract automatically void,</w:t>
      </w:r>
      <w:r w:rsidR="00A55D26" w:rsidRPr="00955EB7">
        <w:rPr>
          <w:rFonts w:asciiTheme="minorHAnsi" w:hAnsiTheme="minorHAnsi" w:cstheme="minorHAnsi"/>
          <w:szCs w:val="22"/>
        </w:rPr>
        <w:t xml:space="preserve"> or recognise the application of the </w:t>
      </w:r>
      <w:r w:rsidR="00A55D26" w:rsidRPr="00955EB7">
        <w:rPr>
          <w:rFonts w:asciiTheme="minorHAnsi" w:hAnsiTheme="minorHAnsi" w:cstheme="minorHAnsi"/>
          <w:i/>
          <w:szCs w:val="22"/>
        </w:rPr>
        <w:t>Imperial Loan</w:t>
      </w:r>
      <w:r w:rsidR="00A55D26" w:rsidRPr="00955EB7">
        <w:rPr>
          <w:rFonts w:asciiTheme="minorHAnsi" w:hAnsiTheme="minorHAnsi" w:cstheme="minorHAnsi"/>
          <w:szCs w:val="22"/>
        </w:rPr>
        <w:t xml:space="preserve"> rule in an agency context, where the contract would be valid</w:t>
      </w:r>
      <w:r w:rsidR="0066478E" w:rsidRPr="00955EB7">
        <w:rPr>
          <w:rFonts w:asciiTheme="minorHAnsi" w:hAnsiTheme="minorHAnsi" w:cstheme="minorHAnsi"/>
          <w:szCs w:val="22"/>
        </w:rPr>
        <w:t>,</w:t>
      </w:r>
      <w:r w:rsidR="00A55D26" w:rsidRPr="00955EB7">
        <w:rPr>
          <w:rFonts w:asciiTheme="minorHAnsi" w:hAnsiTheme="minorHAnsi" w:cstheme="minorHAnsi"/>
          <w:szCs w:val="22"/>
        </w:rPr>
        <w:t xml:space="preserve"> but could be rendered voidable if A could show his incapacity at the time of the agreement and the other party’s knowledge </w:t>
      </w:r>
      <w:r w:rsidR="0066478E" w:rsidRPr="00955EB7">
        <w:rPr>
          <w:rFonts w:asciiTheme="minorHAnsi" w:hAnsiTheme="minorHAnsi" w:cstheme="minorHAnsi"/>
          <w:szCs w:val="22"/>
        </w:rPr>
        <w:t>of this condition</w:t>
      </w:r>
      <w:r w:rsidR="00A55D26" w:rsidRPr="00955EB7">
        <w:rPr>
          <w:rFonts w:asciiTheme="minorHAnsi" w:hAnsiTheme="minorHAnsi" w:cstheme="minorHAnsi"/>
          <w:szCs w:val="22"/>
        </w:rPr>
        <w:t>. The Court of Appeal and the Supreme Court have recognised this as a problematic area of law, due to the lack of a clear answer.</w:t>
      </w:r>
      <w:r w:rsidR="00A55D26" w:rsidRPr="00955EB7">
        <w:rPr>
          <w:rStyle w:val="FootnoteReference"/>
          <w:rFonts w:asciiTheme="minorHAnsi" w:hAnsiTheme="minorHAnsi" w:cstheme="minorHAnsi"/>
          <w:szCs w:val="22"/>
        </w:rPr>
        <w:footnoteReference w:id="177"/>
      </w:r>
      <w:r w:rsidR="00A55D26" w:rsidRPr="00955EB7">
        <w:rPr>
          <w:rFonts w:asciiTheme="minorHAnsi" w:hAnsiTheme="minorHAnsi" w:cstheme="minorHAnsi"/>
          <w:szCs w:val="22"/>
        </w:rPr>
        <w:t xml:space="preserve"> </w:t>
      </w:r>
      <w:r w:rsidR="00A55D26" w:rsidRPr="00955EB7">
        <w:rPr>
          <w:rFonts w:asciiTheme="minorHAnsi" w:hAnsiTheme="minorHAnsi" w:cstheme="minorHAnsi"/>
          <w:i/>
          <w:szCs w:val="22"/>
        </w:rPr>
        <w:t xml:space="preserve">Yonge </w:t>
      </w:r>
      <w:r w:rsidR="00094BD3" w:rsidRPr="00955EB7">
        <w:rPr>
          <w:rFonts w:asciiTheme="minorHAnsi" w:hAnsiTheme="minorHAnsi" w:cstheme="minorHAnsi"/>
          <w:szCs w:val="22"/>
        </w:rPr>
        <w:t>has been seen to require</w:t>
      </w:r>
      <w:r w:rsidR="00A55D26" w:rsidRPr="00955EB7">
        <w:rPr>
          <w:rFonts w:asciiTheme="minorHAnsi" w:hAnsiTheme="minorHAnsi" w:cstheme="minorHAnsi"/>
        </w:rPr>
        <w:t xml:space="preserve"> </w:t>
      </w:r>
      <w:r w:rsidR="00094BD3" w:rsidRPr="00955EB7">
        <w:rPr>
          <w:rFonts w:asciiTheme="minorHAnsi" w:hAnsiTheme="minorHAnsi" w:cstheme="minorHAnsi"/>
        </w:rPr>
        <w:t>re-examination</w:t>
      </w:r>
      <w:r w:rsidR="00A55D26" w:rsidRPr="00955EB7">
        <w:rPr>
          <w:rFonts w:asciiTheme="minorHAnsi" w:hAnsiTheme="minorHAnsi" w:cstheme="minorHAnsi"/>
        </w:rPr>
        <w:t>,</w:t>
      </w:r>
      <w:r w:rsidR="00A55D26" w:rsidRPr="00955EB7">
        <w:rPr>
          <w:rStyle w:val="FootnoteReference"/>
          <w:rFonts w:asciiTheme="minorHAnsi" w:hAnsiTheme="minorHAnsi" w:cstheme="minorHAnsi"/>
        </w:rPr>
        <w:footnoteReference w:id="178"/>
      </w:r>
      <w:r w:rsidR="00A55D26" w:rsidRPr="00955EB7">
        <w:rPr>
          <w:rFonts w:asciiTheme="minorHAnsi" w:hAnsiTheme="minorHAnsi" w:cstheme="minorHAnsi"/>
        </w:rPr>
        <w:t xml:space="preserve"> but </w:t>
      </w:r>
      <w:r w:rsidR="00A55D26" w:rsidRPr="00955EB7">
        <w:rPr>
          <w:rFonts w:asciiTheme="minorHAnsi" w:hAnsiTheme="minorHAnsi" w:cstheme="minorHAnsi"/>
          <w:i/>
        </w:rPr>
        <w:t>Imperial Loan</w:t>
      </w:r>
      <w:r w:rsidR="00A55D26" w:rsidRPr="00955EB7">
        <w:rPr>
          <w:rFonts w:asciiTheme="minorHAnsi" w:hAnsiTheme="minorHAnsi" w:cstheme="minorHAnsi"/>
        </w:rPr>
        <w:t xml:space="preserve"> may seem an unattractive alternati</w:t>
      </w:r>
      <w:r w:rsidR="00094BD3" w:rsidRPr="00955EB7">
        <w:rPr>
          <w:rFonts w:asciiTheme="minorHAnsi" w:hAnsiTheme="minorHAnsi" w:cstheme="minorHAnsi"/>
        </w:rPr>
        <w:t>ve</w:t>
      </w:r>
      <w:r w:rsidR="00E008A6" w:rsidRPr="00955EB7">
        <w:rPr>
          <w:rFonts w:asciiTheme="minorHAnsi" w:hAnsiTheme="minorHAnsi" w:cstheme="minorHAnsi"/>
        </w:rPr>
        <w:t xml:space="preserve"> if it</w:t>
      </w:r>
      <w:r w:rsidR="00094BD3" w:rsidRPr="00955EB7">
        <w:rPr>
          <w:rFonts w:asciiTheme="minorHAnsi" w:hAnsiTheme="minorHAnsi" w:cstheme="minorHAnsi"/>
        </w:rPr>
        <w:t xml:space="preserve"> provides insufficient protection to A by setting the bar too high for this party. However, if we adopt a wide interpretation of the knowledge requirement in </w:t>
      </w:r>
      <w:r w:rsidR="00094BD3" w:rsidRPr="00955EB7">
        <w:rPr>
          <w:rFonts w:asciiTheme="minorHAnsi" w:hAnsiTheme="minorHAnsi" w:cstheme="minorHAnsi"/>
          <w:i/>
        </w:rPr>
        <w:t>Imperial Loan</w:t>
      </w:r>
      <w:r w:rsidR="00094BD3" w:rsidRPr="00955EB7">
        <w:rPr>
          <w:rFonts w:asciiTheme="minorHAnsi" w:hAnsiTheme="minorHAnsi" w:cstheme="minorHAnsi"/>
        </w:rPr>
        <w:t xml:space="preserve"> to include constructive knowledge, the </w:t>
      </w:r>
      <w:r w:rsidR="00094BD3" w:rsidRPr="00955EB7">
        <w:rPr>
          <w:rFonts w:asciiTheme="minorHAnsi" w:hAnsiTheme="minorHAnsi" w:cstheme="minorHAnsi"/>
          <w:i/>
        </w:rPr>
        <w:t>Imperial Loan</w:t>
      </w:r>
      <w:r w:rsidR="00094BD3" w:rsidRPr="00955EB7">
        <w:rPr>
          <w:rFonts w:asciiTheme="minorHAnsi" w:hAnsiTheme="minorHAnsi" w:cstheme="minorHAnsi"/>
        </w:rPr>
        <w:t xml:space="preserve"> rule becomes a much more attractive choice. The way forward proposed in this article</w:t>
      </w:r>
      <w:r w:rsidR="009911F8" w:rsidRPr="00955EB7">
        <w:rPr>
          <w:rFonts w:asciiTheme="minorHAnsi" w:hAnsiTheme="minorHAnsi" w:cstheme="minorHAnsi"/>
        </w:rPr>
        <w:t xml:space="preserve"> is to </w:t>
      </w:r>
      <w:r w:rsidR="00520BBF" w:rsidRPr="00955EB7">
        <w:rPr>
          <w:rFonts w:asciiTheme="minorHAnsi" w:hAnsiTheme="minorHAnsi" w:cstheme="minorHAnsi"/>
        </w:rPr>
        <w:t>confirm</w:t>
      </w:r>
      <w:r w:rsidR="00480498" w:rsidRPr="00955EB7">
        <w:rPr>
          <w:rFonts w:asciiTheme="minorHAnsi" w:hAnsiTheme="minorHAnsi" w:cstheme="minorHAnsi"/>
        </w:rPr>
        <w:t xml:space="preserve"> that the </w:t>
      </w:r>
      <w:r w:rsidR="00480498" w:rsidRPr="00955EB7">
        <w:rPr>
          <w:rFonts w:asciiTheme="minorHAnsi" w:hAnsiTheme="minorHAnsi" w:cstheme="minorHAnsi"/>
          <w:i/>
        </w:rPr>
        <w:t>Imperial Loan</w:t>
      </w:r>
      <w:r w:rsidR="00480498" w:rsidRPr="00955EB7">
        <w:rPr>
          <w:rFonts w:asciiTheme="minorHAnsi" w:hAnsiTheme="minorHAnsi" w:cstheme="minorHAnsi"/>
        </w:rPr>
        <w:t xml:space="preserve"> rule applies to agency agreements</w:t>
      </w:r>
      <w:r w:rsidR="00E008A6" w:rsidRPr="00955EB7">
        <w:rPr>
          <w:rFonts w:asciiTheme="minorHAnsi" w:hAnsiTheme="minorHAnsi" w:cstheme="minorHAnsi"/>
        </w:rPr>
        <w:t>,</w:t>
      </w:r>
      <w:r w:rsidR="00480498" w:rsidRPr="00955EB7">
        <w:rPr>
          <w:rStyle w:val="FootnoteReference"/>
          <w:rFonts w:asciiTheme="minorHAnsi" w:hAnsiTheme="minorHAnsi" w:cstheme="minorHAnsi"/>
        </w:rPr>
        <w:footnoteReference w:id="179"/>
      </w:r>
      <w:r w:rsidR="00480498" w:rsidRPr="00955EB7">
        <w:rPr>
          <w:rFonts w:asciiTheme="minorHAnsi" w:hAnsiTheme="minorHAnsi" w:cstheme="minorHAnsi"/>
        </w:rPr>
        <w:t xml:space="preserve"> but to also call for a wide interpretation of this rule. Consequently, A could invalidate a contract on grounds of mental incapacity if he could show that </w:t>
      </w:r>
      <w:r w:rsidR="003E31B3" w:rsidRPr="00955EB7">
        <w:rPr>
          <w:rFonts w:asciiTheme="minorHAnsi" w:hAnsiTheme="minorHAnsi" w:cstheme="minorHAnsi"/>
        </w:rPr>
        <w:t>the other party (B or C) had actual knowledge of A’s incapacity</w:t>
      </w:r>
      <w:r w:rsidR="00E008A6" w:rsidRPr="00955EB7">
        <w:rPr>
          <w:rFonts w:asciiTheme="minorHAnsi" w:hAnsiTheme="minorHAnsi" w:cstheme="minorHAnsi"/>
        </w:rPr>
        <w:t>,</w:t>
      </w:r>
      <w:r w:rsidR="003E31B3" w:rsidRPr="00955EB7">
        <w:rPr>
          <w:rFonts w:asciiTheme="minorHAnsi" w:hAnsiTheme="minorHAnsi" w:cstheme="minorHAnsi"/>
        </w:rPr>
        <w:t xml:space="preserve"> or had constructive knowledge of A’s condition because either the incapacity was apparent</w:t>
      </w:r>
      <w:r w:rsidR="00E008A6" w:rsidRPr="00955EB7">
        <w:rPr>
          <w:rFonts w:asciiTheme="minorHAnsi" w:hAnsiTheme="minorHAnsi" w:cstheme="minorHAnsi"/>
        </w:rPr>
        <w:t>,</w:t>
      </w:r>
      <w:r w:rsidR="003E31B3" w:rsidRPr="00955EB7">
        <w:rPr>
          <w:rFonts w:asciiTheme="minorHAnsi" w:hAnsiTheme="minorHAnsi" w:cstheme="minorHAnsi"/>
        </w:rPr>
        <w:t xml:space="preserve"> or because the circumstances of the transaction fixed the other party with notice of the incapacity </w:t>
      </w:r>
      <w:r w:rsidR="00E008A6" w:rsidRPr="00955EB7">
        <w:rPr>
          <w:rFonts w:asciiTheme="minorHAnsi" w:hAnsiTheme="minorHAnsi" w:cstheme="minorHAnsi"/>
        </w:rPr>
        <w:t>that</w:t>
      </w:r>
      <w:r w:rsidR="003E31B3" w:rsidRPr="00955EB7">
        <w:rPr>
          <w:rFonts w:asciiTheme="minorHAnsi" w:hAnsiTheme="minorHAnsi" w:cstheme="minorHAnsi"/>
        </w:rPr>
        <w:t xml:space="preserve"> the other party could not rebut.</w:t>
      </w:r>
      <w:r w:rsidR="003E31B3" w:rsidRPr="00955EB7">
        <w:rPr>
          <w:rStyle w:val="FootnoteReference"/>
          <w:rFonts w:asciiTheme="minorHAnsi" w:hAnsiTheme="minorHAnsi" w:cstheme="minorHAnsi"/>
        </w:rPr>
        <w:footnoteReference w:id="180"/>
      </w:r>
      <w:r w:rsidR="003E31B3" w:rsidRPr="00955EB7">
        <w:rPr>
          <w:rFonts w:asciiTheme="minorHAnsi" w:hAnsiTheme="minorHAnsi" w:cstheme="minorHAnsi"/>
        </w:rPr>
        <w:t xml:space="preserve"> Whilst the first two circumstances are concerned with procedural unfairness alone, the latter may also include reference to substantive unfairness (if we are faced with a grossly imbalanced contract), which would need to be supported by a procedural unfairness claim (if there is disparity in the parties’ mental capacities and the transaction has been entered into in the absence of independent legal advice).</w:t>
      </w:r>
      <w:r w:rsidR="003E31B3" w:rsidRPr="00955EB7">
        <w:rPr>
          <w:rStyle w:val="FootnoteReference"/>
          <w:rFonts w:asciiTheme="minorHAnsi" w:hAnsiTheme="minorHAnsi" w:cstheme="minorHAnsi"/>
        </w:rPr>
        <w:footnoteReference w:id="181"/>
      </w:r>
      <w:r w:rsidR="003E31B3" w:rsidRPr="00955EB7">
        <w:rPr>
          <w:rFonts w:asciiTheme="minorHAnsi" w:hAnsiTheme="minorHAnsi" w:cstheme="minorHAnsi"/>
        </w:rPr>
        <w:t xml:space="preserve"> </w:t>
      </w:r>
    </w:p>
    <w:p w14:paraId="6FCE16BF" w14:textId="77777777" w:rsidR="00A06D14" w:rsidRDefault="00A06D14" w:rsidP="00A06D14">
      <w:pPr>
        <w:spacing w:line="360" w:lineRule="auto"/>
        <w:rPr>
          <w:rFonts w:asciiTheme="minorHAnsi" w:hAnsiTheme="minorHAnsi" w:cstheme="minorHAnsi"/>
        </w:rPr>
      </w:pPr>
    </w:p>
    <w:p w14:paraId="43CB07BE" w14:textId="5577CBB1" w:rsidR="008C1FA0" w:rsidRPr="00955EB7" w:rsidRDefault="003E31B3" w:rsidP="00A06D14">
      <w:pPr>
        <w:spacing w:line="360" w:lineRule="auto"/>
        <w:rPr>
          <w:rFonts w:asciiTheme="minorHAnsi" w:hAnsiTheme="minorHAnsi" w:cstheme="minorHAnsi"/>
        </w:rPr>
      </w:pPr>
      <w:r w:rsidRPr="00955EB7">
        <w:rPr>
          <w:rFonts w:asciiTheme="minorHAnsi" w:hAnsiTheme="minorHAnsi" w:cstheme="minorHAnsi"/>
        </w:rPr>
        <w:t xml:space="preserve">As the application of the </w:t>
      </w:r>
      <w:r w:rsidRPr="00955EB7">
        <w:rPr>
          <w:rFonts w:asciiTheme="minorHAnsi" w:hAnsiTheme="minorHAnsi" w:cstheme="minorHAnsi"/>
          <w:i/>
        </w:rPr>
        <w:t>Imperial Loan</w:t>
      </w:r>
      <w:r w:rsidRPr="00955EB7">
        <w:rPr>
          <w:rFonts w:asciiTheme="minorHAnsi" w:hAnsiTheme="minorHAnsi" w:cstheme="minorHAnsi"/>
        </w:rPr>
        <w:t xml:space="preserve"> rule could render the </w:t>
      </w:r>
      <w:r w:rsidR="00D06368" w:rsidRPr="00955EB7">
        <w:rPr>
          <w:rFonts w:asciiTheme="minorHAnsi" w:hAnsiTheme="minorHAnsi" w:cstheme="minorHAnsi"/>
        </w:rPr>
        <w:t xml:space="preserve">contract voidable, rather than void, A has more freedom to exercise choice regarding the outcome of the transaction, in accordance to his will and preferences. Furthermore, a wide interpretation of constructive knowledge as part of the </w:t>
      </w:r>
      <w:r w:rsidR="00D06368" w:rsidRPr="00955EB7">
        <w:rPr>
          <w:rFonts w:asciiTheme="minorHAnsi" w:hAnsiTheme="minorHAnsi" w:cstheme="minorHAnsi"/>
          <w:i/>
        </w:rPr>
        <w:t>Imperial Loan</w:t>
      </w:r>
      <w:r w:rsidR="00D06368" w:rsidRPr="00955EB7">
        <w:rPr>
          <w:rFonts w:asciiTheme="minorHAnsi" w:hAnsiTheme="minorHAnsi" w:cstheme="minorHAnsi"/>
        </w:rPr>
        <w:t xml:space="preserve"> rule would be concerned with the context of the transaction, moving the focus away from A’s medical condition. In addition, an examination of the fairness of the transaction (either procedural fairness alone or alongside substantive fairness) reflects </w:t>
      </w:r>
      <w:r w:rsidR="00D06368" w:rsidRPr="00955EB7">
        <w:rPr>
          <w:rFonts w:asciiTheme="minorHAnsi" w:hAnsiTheme="minorHAnsi" w:cstheme="minorHAnsi"/>
        </w:rPr>
        <w:lastRenderedPageBreak/>
        <w:t>concern for social values (rather than a sole focus on economic interests for the security of transactions). This approach is closer to the CRPD framework of values, including its vision to perceive people as subjects of rights, to move away from a focus on the medical condition of individuals and consider the circumstances of the interactions between the parties</w:t>
      </w:r>
      <w:r w:rsidR="00912C99" w:rsidRPr="00955EB7">
        <w:rPr>
          <w:rFonts w:asciiTheme="minorHAnsi" w:hAnsiTheme="minorHAnsi" w:cstheme="minorHAnsi"/>
        </w:rPr>
        <w:t>,</w:t>
      </w:r>
      <w:r w:rsidR="00D06368" w:rsidRPr="00955EB7">
        <w:rPr>
          <w:rFonts w:asciiTheme="minorHAnsi" w:hAnsiTheme="minorHAnsi" w:cstheme="minorHAnsi"/>
        </w:rPr>
        <w:t xml:space="preserve"> </w:t>
      </w:r>
      <w:r w:rsidR="00912C99" w:rsidRPr="00955EB7">
        <w:rPr>
          <w:rFonts w:asciiTheme="minorHAnsi" w:hAnsiTheme="minorHAnsi" w:cstheme="minorHAnsi"/>
        </w:rPr>
        <w:t>to ensure respect for all</w:t>
      </w:r>
      <w:r w:rsidR="00AF181D" w:rsidRPr="00955EB7">
        <w:rPr>
          <w:rFonts w:asciiTheme="minorHAnsi" w:hAnsiTheme="minorHAnsi" w:cstheme="minorHAnsi"/>
        </w:rPr>
        <w:t>,</w:t>
      </w:r>
      <w:r w:rsidR="00912C99" w:rsidRPr="00955EB7">
        <w:rPr>
          <w:rFonts w:asciiTheme="minorHAnsi" w:hAnsiTheme="minorHAnsi" w:cstheme="minorHAnsi"/>
        </w:rPr>
        <w:t xml:space="preserve"> and to </w:t>
      </w:r>
      <w:r w:rsidR="00335E6C" w:rsidRPr="00955EB7">
        <w:rPr>
          <w:rFonts w:asciiTheme="minorHAnsi" w:hAnsiTheme="minorHAnsi" w:cstheme="minorHAnsi"/>
        </w:rPr>
        <w:t>recognise that the protection of individual autonomy and human dignity are inter-related objectives.</w:t>
      </w:r>
      <w:r w:rsidR="00335E6C" w:rsidRPr="00955EB7">
        <w:rPr>
          <w:rStyle w:val="FootnoteReference"/>
          <w:rFonts w:asciiTheme="minorHAnsi" w:hAnsiTheme="minorHAnsi" w:cstheme="minorHAnsi"/>
        </w:rPr>
        <w:footnoteReference w:id="182"/>
      </w:r>
      <w:r w:rsidR="008C1FA0" w:rsidRPr="00955EB7">
        <w:rPr>
          <w:rFonts w:asciiTheme="minorHAnsi" w:hAnsiTheme="minorHAnsi" w:cstheme="minorHAnsi"/>
        </w:rPr>
        <w:t xml:space="preserve"> </w:t>
      </w:r>
    </w:p>
    <w:p w14:paraId="7CB64088" w14:textId="77777777" w:rsidR="00A06D14" w:rsidRDefault="00A06D14" w:rsidP="00A06D14">
      <w:pPr>
        <w:spacing w:line="360" w:lineRule="auto"/>
        <w:rPr>
          <w:rFonts w:asciiTheme="minorHAnsi" w:hAnsiTheme="minorHAnsi" w:cstheme="minorHAnsi"/>
        </w:rPr>
      </w:pPr>
    </w:p>
    <w:p w14:paraId="72D48D7E" w14:textId="67BDE3A3" w:rsidR="003E31B3" w:rsidRPr="00955EB7" w:rsidRDefault="008C1FA0" w:rsidP="00A06D14">
      <w:pPr>
        <w:spacing w:line="360" w:lineRule="auto"/>
        <w:rPr>
          <w:rFonts w:asciiTheme="minorHAnsi" w:hAnsiTheme="minorHAnsi" w:cstheme="minorHAnsi"/>
        </w:rPr>
      </w:pPr>
      <w:r w:rsidRPr="00955EB7">
        <w:rPr>
          <w:rFonts w:asciiTheme="minorHAnsi" w:hAnsiTheme="minorHAnsi" w:cstheme="minorHAnsi"/>
        </w:rPr>
        <w:t xml:space="preserve">In </w:t>
      </w:r>
      <w:r w:rsidRPr="00955EB7">
        <w:rPr>
          <w:rFonts w:asciiTheme="minorHAnsi" w:hAnsiTheme="minorHAnsi" w:cstheme="minorHAnsi"/>
          <w:i/>
        </w:rPr>
        <w:t>Dunhill</w:t>
      </w:r>
      <w:r w:rsidRPr="00955EB7">
        <w:rPr>
          <w:rFonts w:asciiTheme="minorHAnsi" w:hAnsiTheme="minorHAnsi" w:cstheme="minorHAnsi"/>
        </w:rPr>
        <w:t xml:space="preserve"> and </w:t>
      </w:r>
      <w:r w:rsidRPr="00955EB7">
        <w:rPr>
          <w:rFonts w:asciiTheme="minorHAnsi" w:hAnsiTheme="minorHAnsi" w:cstheme="minorHAnsi"/>
          <w:i/>
        </w:rPr>
        <w:t>Blankley</w:t>
      </w:r>
      <w:r w:rsidRPr="00955EB7">
        <w:rPr>
          <w:rFonts w:asciiTheme="minorHAnsi" w:hAnsiTheme="minorHAnsi" w:cstheme="minorHAnsi"/>
        </w:rPr>
        <w:t xml:space="preserve">, the Supreme Court and the Court of Appeal respectively were spared the task of committing to follow either </w:t>
      </w:r>
      <w:r w:rsidRPr="00955EB7">
        <w:rPr>
          <w:rFonts w:asciiTheme="minorHAnsi" w:hAnsiTheme="minorHAnsi" w:cstheme="minorHAnsi"/>
          <w:i/>
        </w:rPr>
        <w:t>Yonge</w:t>
      </w:r>
      <w:r w:rsidRPr="00955EB7">
        <w:rPr>
          <w:rFonts w:asciiTheme="minorHAnsi" w:hAnsiTheme="minorHAnsi" w:cstheme="minorHAnsi"/>
        </w:rPr>
        <w:t xml:space="preserve"> or </w:t>
      </w:r>
      <w:r w:rsidRPr="00955EB7">
        <w:rPr>
          <w:rFonts w:asciiTheme="minorHAnsi" w:hAnsiTheme="minorHAnsi" w:cstheme="minorHAnsi"/>
          <w:i/>
        </w:rPr>
        <w:t>Imperial Loan</w:t>
      </w:r>
      <w:r w:rsidR="009E5DC5" w:rsidRPr="00955EB7">
        <w:rPr>
          <w:rFonts w:asciiTheme="minorHAnsi" w:hAnsiTheme="minorHAnsi" w:cstheme="minorHAnsi"/>
          <w:i/>
        </w:rPr>
        <w:t xml:space="preserve"> </w:t>
      </w:r>
      <w:r w:rsidR="009E5DC5" w:rsidRPr="00955EB7">
        <w:rPr>
          <w:rFonts w:asciiTheme="minorHAnsi" w:hAnsiTheme="minorHAnsi" w:cstheme="minorHAnsi"/>
        </w:rPr>
        <w:t>in agency contracts involving a principal’s mental incapacity</w:t>
      </w:r>
      <w:r w:rsidRPr="00955EB7">
        <w:rPr>
          <w:rFonts w:asciiTheme="minorHAnsi" w:hAnsiTheme="minorHAnsi" w:cstheme="minorHAnsi"/>
        </w:rPr>
        <w:t>.</w:t>
      </w:r>
      <w:r w:rsidR="004824E2">
        <w:rPr>
          <w:rFonts w:asciiTheme="minorHAnsi" w:hAnsiTheme="minorHAnsi" w:cstheme="minorHAnsi"/>
        </w:rPr>
        <w:t xml:space="preserve"> </w:t>
      </w:r>
      <w:r w:rsidR="009E5DC5" w:rsidRPr="00955EB7">
        <w:rPr>
          <w:rFonts w:asciiTheme="minorHAnsi" w:hAnsiTheme="minorHAnsi" w:cstheme="minorHAnsi"/>
        </w:rPr>
        <w:t xml:space="preserve">The time has not yet arrived to grasp this </w:t>
      </w:r>
      <w:r w:rsidR="00CE1640">
        <w:rPr>
          <w:rFonts w:asciiTheme="minorHAnsi" w:hAnsiTheme="minorHAnsi" w:cstheme="minorHAnsi"/>
        </w:rPr>
        <w:t>‘</w:t>
      </w:r>
      <w:r w:rsidR="009E5DC5" w:rsidRPr="00955EB7">
        <w:rPr>
          <w:rFonts w:asciiTheme="minorHAnsi" w:hAnsiTheme="minorHAnsi" w:cstheme="minorHAnsi"/>
        </w:rPr>
        <w:t>hot potato</w:t>
      </w:r>
      <w:r w:rsidR="00CE1640">
        <w:rPr>
          <w:rFonts w:asciiTheme="minorHAnsi" w:hAnsiTheme="minorHAnsi" w:cstheme="minorHAnsi"/>
        </w:rPr>
        <w:t>’</w:t>
      </w:r>
      <w:r w:rsidR="009E5DC5" w:rsidRPr="00955EB7">
        <w:rPr>
          <w:rFonts w:asciiTheme="minorHAnsi" w:hAnsiTheme="minorHAnsi" w:cstheme="minorHAnsi"/>
        </w:rPr>
        <w:t xml:space="preserve"> (an analogy put forward in </w:t>
      </w:r>
      <w:r w:rsidR="009E5DC5" w:rsidRPr="00955EB7">
        <w:rPr>
          <w:rFonts w:asciiTheme="minorHAnsi" w:hAnsiTheme="minorHAnsi" w:cstheme="minorHAnsi"/>
          <w:i/>
        </w:rPr>
        <w:t>Blankley</w:t>
      </w:r>
      <w:r w:rsidR="009E5DC5" w:rsidRPr="00955EB7">
        <w:rPr>
          <w:rFonts w:asciiTheme="minorHAnsi" w:hAnsiTheme="minorHAnsi" w:cstheme="minorHAnsi"/>
        </w:rPr>
        <w:t>).</w:t>
      </w:r>
      <w:r w:rsidR="009E5DC5" w:rsidRPr="00955EB7">
        <w:rPr>
          <w:rStyle w:val="FootnoteReference"/>
          <w:rFonts w:asciiTheme="minorHAnsi" w:hAnsiTheme="minorHAnsi" w:cstheme="minorHAnsi"/>
        </w:rPr>
        <w:footnoteReference w:id="183"/>
      </w:r>
      <w:r w:rsidR="009E5DC5" w:rsidRPr="00955EB7">
        <w:rPr>
          <w:rFonts w:asciiTheme="minorHAnsi" w:hAnsiTheme="minorHAnsi" w:cstheme="minorHAnsi"/>
        </w:rPr>
        <w:t xml:space="preserve"> Yet, before long, that time will come. When sitting at a crossroad, in choosing which path to follow, let us hope that the courts will choose the path that recognises the role that contract law has to play in the social sphere and is closer to the CRPD vision for protecti</w:t>
      </w:r>
      <w:r w:rsidR="00AF181D" w:rsidRPr="00955EB7">
        <w:rPr>
          <w:rFonts w:asciiTheme="minorHAnsi" w:hAnsiTheme="minorHAnsi" w:cstheme="minorHAnsi"/>
        </w:rPr>
        <w:t xml:space="preserve">ng </w:t>
      </w:r>
      <w:r w:rsidR="009E5DC5" w:rsidRPr="00955EB7">
        <w:rPr>
          <w:rFonts w:asciiTheme="minorHAnsi" w:hAnsiTheme="minorHAnsi" w:cstheme="minorHAnsi"/>
        </w:rPr>
        <w:t>autonomy and dignity. While in the first instance, it may appear that the courts are faced with a conundrum, if we apply the CRPD lens, the choice is no longer difficult.</w:t>
      </w:r>
    </w:p>
    <w:sectPr w:rsidR="003E31B3" w:rsidRPr="00955EB7" w:rsidSect="00BC5DD5">
      <w:footerReference w:type="default" r:id="rId7"/>
      <w:pgSz w:w="11906" w:h="16838"/>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5AAD" w14:textId="77777777" w:rsidR="007518CE" w:rsidRDefault="007518CE" w:rsidP="00685782">
      <w:r>
        <w:separator/>
      </w:r>
    </w:p>
  </w:endnote>
  <w:endnote w:type="continuationSeparator" w:id="0">
    <w:p w14:paraId="6E1D4908" w14:textId="77777777" w:rsidR="007518CE" w:rsidRDefault="007518CE" w:rsidP="0068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660283"/>
      <w:docPartObj>
        <w:docPartGallery w:val="Page Numbers (Bottom of Page)"/>
        <w:docPartUnique/>
      </w:docPartObj>
    </w:sdtPr>
    <w:sdtEndPr>
      <w:rPr>
        <w:noProof/>
        <w:sz w:val="16"/>
        <w:szCs w:val="16"/>
      </w:rPr>
    </w:sdtEndPr>
    <w:sdtContent>
      <w:p w14:paraId="1C35EFA8" w14:textId="53DB0333" w:rsidR="003B7D73" w:rsidRDefault="003B7D73" w:rsidP="00780EFE">
        <w:pPr>
          <w:pStyle w:val="Footer"/>
          <w:jc w:val="right"/>
        </w:pPr>
        <w:r w:rsidRPr="00780EFE">
          <w:rPr>
            <w:sz w:val="16"/>
            <w:szCs w:val="16"/>
          </w:rPr>
          <w:fldChar w:fldCharType="begin"/>
        </w:r>
        <w:r w:rsidRPr="00780EFE">
          <w:rPr>
            <w:sz w:val="16"/>
            <w:szCs w:val="16"/>
          </w:rPr>
          <w:instrText xml:space="preserve"> PAGE   \* MERGEFORMAT </w:instrText>
        </w:r>
        <w:r w:rsidRPr="00780EFE">
          <w:rPr>
            <w:sz w:val="16"/>
            <w:szCs w:val="16"/>
          </w:rPr>
          <w:fldChar w:fldCharType="separate"/>
        </w:r>
        <w:r w:rsidRPr="00780EFE">
          <w:rPr>
            <w:noProof/>
            <w:sz w:val="16"/>
            <w:szCs w:val="16"/>
          </w:rPr>
          <w:t>2</w:t>
        </w:r>
        <w:r w:rsidRPr="00780EFE">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8E3C5" w14:textId="77777777" w:rsidR="007518CE" w:rsidRDefault="007518CE" w:rsidP="00685782">
      <w:r>
        <w:separator/>
      </w:r>
    </w:p>
  </w:footnote>
  <w:footnote w:type="continuationSeparator" w:id="0">
    <w:p w14:paraId="70FAB050" w14:textId="77777777" w:rsidR="007518CE" w:rsidRDefault="007518CE" w:rsidP="00685782">
      <w:r>
        <w:continuationSeparator/>
      </w:r>
    </w:p>
  </w:footnote>
  <w:footnote w:id="1">
    <w:p w14:paraId="702FD30A" w14:textId="48FB6EB6" w:rsidR="003B7D73" w:rsidRPr="00CA67F0" w:rsidRDefault="003B7D73" w:rsidP="009074D7">
      <w:pPr>
        <w:pStyle w:val="FootnoteText"/>
        <w:rPr>
          <w:rFonts w:asciiTheme="minorHAnsi" w:hAnsiTheme="minorHAnsi"/>
        </w:rPr>
      </w:pPr>
      <w:r w:rsidRPr="00CA67F0">
        <w:rPr>
          <w:rStyle w:val="FootnoteReference"/>
          <w:rFonts w:asciiTheme="minorHAnsi" w:hAnsiTheme="minorHAnsi"/>
        </w:rPr>
        <w:t>*</w:t>
      </w:r>
      <w:r w:rsidRPr="00CA67F0">
        <w:rPr>
          <w:rFonts w:asciiTheme="minorHAnsi" w:hAnsiTheme="minorHAnsi"/>
        </w:rPr>
        <w:t xml:space="preserve"> Senior Lecturer in Law, Keele University, </w:t>
      </w:r>
      <w:hyperlink r:id="rId1" w:history="1">
        <w:r w:rsidRPr="00CA67F0">
          <w:rPr>
            <w:rStyle w:val="Hyperlink"/>
            <w:rFonts w:asciiTheme="minorHAnsi" w:hAnsiTheme="minorHAnsi"/>
            <w:color w:val="auto"/>
          </w:rPr>
          <w:t>e.varney@keele.ac.uk</w:t>
        </w:r>
      </w:hyperlink>
      <w:r w:rsidRPr="00CA67F0">
        <w:rPr>
          <w:rFonts w:asciiTheme="minorHAnsi" w:hAnsiTheme="minorHAnsi"/>
        </w:rPr>
        <w:t xml:space="preserve">. I would like to thank Mike Varney, Abi Pearson, Kelvin Johnstone and the anonymous reviewers for constructive comments. Any errors are my own. </w:t>
      </w:r>
    </w:p>
  </w:footnote>
  <w:footnote w:id="2">
    <w:p w14:paraId="000742C3" w14:textId="3099B4E0" w:rsidR="003B7D73" w:rsidRPr="00CA67F0" w:rsidRDefault="003B7D73" w:rsidP="009074D7">
      <w:pPr>
        <w:pStyle w:val="FootnoteText"/>
      </w:pPr>
      <w:r w:rsidRPr="00CA67F0">
        <w:rPr>
          <w:rStyle w:val="FootnoteReference"/>
        </w:rPr>
        <w:footnoteRef/>
      </w:r>
      <w:r w:rsidRPr="00CA67F0">
        <w:rPr>
          <w:rFonts w:asciiTheme="minorHAnsi" w:hAnsiTheme="minorHAnsi" w:cstheme="minorHAnsi"/>
          <w:i/>
          <w:szCs w:val="22"/>
        </w:rPr>
        <w:t xml:space="preserve"> </w:t>
      </w:r>
      <w:bookmarkStart w:id="1" w:name="_Hlk532933042"/>
      <w:r w:rsidRPr="00CA67F0">
        <w:rPr>
          <w:rFonts w:asciiTheme="minorHAnsi" w:hAnsiTheme="minorHAnsi" w:cstheme="minorHAnsi"/>
          <w:i/>
          <w:szCs w:val="22"/>
        </w:rPr>
        <w:t xml:space="preserve">Molton v Camroux </w:t>
      </w:r>
      <w:r w:rsidRPr="00CA67F0">
        <w:rPr>
          <w:rFonts w:asciiTheme="minorHAnsi" w:hAnsiTheme="minorHAnsi" w:cstheme="minorHAnsi"/>
        </w:rPr>
        <w:t>(1848) 2 Exch 487, at 501</w:t>
      </w:r>
      <w:bookmarkEnd w:id="1"/>
      <w:r w:rsidRPr="00CA67F0">
        <w:rPr>
          <w:rFonts w:asciiTheme="minorHAnsi" w:hAnsiTheme="minorHAnsi" w:cstheme="minorHAnsi"/>
        </w:rPr>
        <w:t>.</w:t>
      </w:r>
      <w:r w:rsidRPr="00CA67F0">
        <w:t xml:space="preserve"> </w:t>
      </w:r>
    </w:p>
  </w:footnote>
  <w:footnote w:id="3">
    <w:p w14:paraId="2DAE6BBD" w14:textId="4CE2089A" w:rsidR="003B7D73" w:rsidRPr="00CA67F0" w:rsidRDefault="003B7D73" w:rsidP="009074D7">
      <w:pPr>
        <w:pStyle w:val="FootnoteText"/>
      </w:pPr>
      <w:r w:rsidRPr="00CA67F0">
        <w:rPr>
          <w:rStyle w:val="FootnoteReference"/>
        </w:rPr>
        <w:footnoteRef/>
      </w:r>
      <w:r w:rsidRPr="00CA67F0">
        <w:rPr>
          <w:rFonts w:asciiTheme="minorHAnsi" w:hAnsiTheme="minorHAnsi" w:cstheme="minorHAnsi"/>
        </w:rPr>
        <w:t xml:space="preserve"> </w:t>
      </w:r>
      <w:bookmarkStart w:id="2" w:name="_Hlk531712980"/>
      <w:bookmarkStart w:id="3" w:name="_Hlk532933269"/>
      <w:r w:rsidRPr="00CA67F0">
        <w:rPr>
          <w:rFonts w:asciiTheme="minorHAnsi" w:hAnsiTheme="minorHAnsi" w:cstheme="minorHAnsi"/>
          <w:i/>
          <w:szCs w:val="22"/>
        </w:rPr>
        <w:t xml:space="preserve">Imperial Loan v Stone </w:t>
      </w:r>
      <w:bookmarkEnd w:id="2"/>
      <w:r w:rsidRPr="00CA67F0">
        <w:rPr>
          <w:rFonts w:asciiTheme="minorHAnsi" w:hAnsiTheme="minorHAnsi" w:cstheme="minorHAnsi"/>
          <w:szCs w:val="22"/>
        </w:rPr>
        <w:t>[1892] 1 QB 599</w:t>
      </w:r>
      <w:bookmarkEnd w:id="3"/>
      <w:r w:rsidRPr="00CA67F0">
        <w:rPr>
          <w:rFonts w:asciiTheme="minorHAnsi" w:hAnsiTheme="minorHAnsi" w:cstheme="minorHAnsi"/>
          <w:szCs w:val="22"/>
        </w:rPr>
        <w:t>.</w:t>
      </w:r>
    </w:p>
  </w:footnote>
  <w:footnote w:id="4">
    <w:p w14:paraId="3187BB13" w14:textId="5B3FB125" w:rsidR="003B7D73" w:rsidRPr="00CA67F0" w:rsidRDefault="003B7D73">
      <w:pPr>
        <w:pStyle w:val="FootnoteText"/>
      </w:pPr>
      <w:r w:rsidRPr="00CA67F0">
        <w:rPr>
          <w:rStyle w:val="FootnoteReference"/>
        </w:rPr>
        <w:footnoteRef/>
      </w:r>
      <w:r w:rsidRPr="00CA67F0">
        <w:t xml:space="preserve"> </w:t>
      </w:r>
      <w:r w:rsidRPr="00CA67F0">
        <w:rPr>
          <w:rFonts w:asciiTheme="minorHAnsi" w:hAnsiTheme="minorHAnsi" w:cstheme="minorHAnsi"/>
        </w:rPr>
        <w:t xml:space="preserve">Peter Watts, ‘Contracts made by Agents on Behalf of Principals with Latent Mental Incapacity: The Common Law Position’ (2015) 74 CLJ 140 at 142 and 154. See </w:t>
      </w:r>
      <w:r w:rsidRPr="00CA67F0">
        <w:rPr>
          <w:i/>
        </w:rPr>
        <w:t>Daily Telegraph v McLaughlin</w:t>
      </w:r>
      <w:r w:rsidRPr="00CA67F0">
        <w:t xml:space="preserve"> [1904] AC 776 (with reference to a power of attorney).</w:t>
      </w:r>
    </w:p>
  </w:footnote>
  <w:footnote w:id="5">
    <w:p w14:paraId="7268AF6B" w14:textId="015ED65A" w:rsidR="003B7D73" w:rsidRPr="00CA67F0" w:rsidRDefault="003B7D73" w:rsidP="009074D7">
      <w:pPr>
        <w:pStyle w:val="FootnoteText"/>
      </w:pPr>
      <w:r w:rsidRPr="00CA67F0">
        <w:rPr>
          <w:rStyle w:val="FootnoteReference"/>
        </w:rPr>
        <w:footnoteRef/>
      </w:r>
      <w:r w:rsidRPr="00CA67F0">
        <w:t xml:space="preserve"> </w:t>
      </w:r>
      <w:bookmarkStart w:id="4" w:name="_Hlk531713044"/>
      <w:r w:rsidRPr="00CA67F0">
        <w:rPr>
          <w:i/>
          <w:szCs w:val="22"/>
        </w:rPr>
        <w:t xml:space="preserve">Yonge v Toynbee </w:t>
      </w:r>
      <w:bookmarkEnd w:id="4"/>
      <w:r w:rsidRPr="00CA67F0">
        <w:rPr>
          <w:szCs w:val="22"/>
        </w:rPr>
        <w:t>[1910] 1 KB 215.</w:t>
      </w:r>
    </w:p>
  </w:footnote>
  <w:footnote w:id="6">
    <w:p w14:paraId="0FDF7132" w14:textId="69C9CCE0"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P </w:t>
      </w:r>
      <w:bookmarkStart w:id="5" w:name="_Hlk531713301"/>
      <w:r w:rsidRPr="00CA67F0">
        <w:rPr>
          <w:rFonts w:asciiTheme="minorHAnsi" w:hAnsiTheme="minorHAnsi" w:cstheme="minorHAnsi"/>
        </w:rPr>
        <w:t>Watts</w:t>
      </w:r>
      <w:bookmarkEnd w:id="5"/>
      <w:r w:rsidRPr="00CA67F0">
        <w:rPr>
          <w:rFonts w:asciiTheme="minorHAnsi" w:hAnsiTheme="minorHAnsi" w:cstheme="minorHAnsi"/>
        </w:rPr>
        <w:t xml:space="preserve">, </w:t>
      </w:r>
      <w:r w:rsidRPr="00CA67F0">
        <w:rPr>
          <w:rFonts w:asciiTheme="minorHAnsi" w:hAnsiTheme="minorHAnsi" w:cstheme="minorHAnsi"/>
          <w:i/>
        </w:rPr>
        <w:t xml:space="preserve">Bowstead &amp; Reynolds on Agency, </w:t>
      </w:r>
      <w:r w:rsidRPr="00CA67F0">
        <w:rPr>
          <w:rFonts w:asciiTheme="minorHAnsi" w:hAnsiTheme="minorHAnsi" w:cstheme="minorHAnsi"/>
        </w:rPr>
        <w:t>21</w:t>
      </w:r>
      <w:r w:rsidRPr="00CA67F0">
        <w:rPr>
          <w:rFonts w:asciiTheme="minorHAnsi" w:hAnsiTheme="minorHAnsi" w:cstheme="minorHAnsi"/>
          <w:vertAlign w:val="superscript"/>
        </w:rPr>
        <w:t xml:space="preserve">st </w:t>
      </w:r>
      <w:r w:rsidRPr="00CA67F0">
        <w:rPr>
          <w:rFonts w:asciiTheme="minorHAnsi" w:hAnsiTheme="minorHAnsi" w:cstheme="minorHAnsi"/>
        </w:rPr>
        <w:t>edn, Sweet and Maxwell, London, 2017, 2-009.</w:t>
      </w:r>
    </w:p>
  </w:footnote>
  <w:footnote w:id="7">
    <w:p w14:paraId="7E9135C4" w14:textId="5072BAB7" w:rsidR="003B7D73" w:rsidRPr="00CA67F0" w:rsidRDefault="003B7D73" w:rsidP="009074D7">
      <w:pPr>
        <w:rPr>
          <w:rFonts w:cstheme="minorHAnsi"/>
          <w:sz w:val="20"/>
          <w:szCs w:val="20"/>
        </w:rPr>
      </w:pPr>
      <w:r w:rsidRPr="00CA67F0">
        <w:rPr>
          <w:rStyle w:val="FootnoteReference"/>
        </w:rPr>
        <w:footnoteRef/>
      </w:r>
      <w:r w:rsidRPr="00CA67F0">
        <w:t xml:space="preserve"> </w:t>
      </w:r>
      <w:bookmarkStart w:id="6" w:name="_Hlk531713495"/>
      <w:r w:rsidRPr="00CA67F0">
        <w:rPr>
          <w:rFonts w:cstheme="minorHAnsi"/>
          <w:i/>
          <w:sz w:val="20"/>
          <w:szCs w:val="20"/>
        </w:rPr>
        <w:t xml:space="preserve">Dunhill v Burgin </w:t>
      </w:r>
      <w:bookmarkEnd w:id="6"/>
      <w:r w:rsidRPr="00CA67F0">
        <w:rPr>
          <w:rFonts w:cstheme="minorHAnsi"/>
          <w:sz w:val="20"/>
          <w:szCs w:val="20"/>
        </w:rPr>
        <w:t>[2014] UKSC 18; [2014] 1 WLR 933; [2014] 2 All ER 364, at 31.</w:t>
      </w:r>
    </w:p>
  </w:footnote>
  <w:footnote w:id="8">
    <w:p w14:paraId="3BA7D33B" w14:textId="0FDDCAE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Blankley v Central Manchester and Manchester Children's University Hospitals NHS Trust</w:t>
      </w:r>
      <w:r w:rsidRPr="00CA67F0">
        <w:rPr>
          <w:rFonts w:asciiTheme="minorHAnsi" w:hAnsiTheme="minorHAnsi" w:cstheme="minorHAnsi"/>
        </w:rPr>
        <w:t xml:space="preserve"> [2015] EWCA Civ 18; [2015] 1 WLR 4307, at </w:t>
      </w:r>
      <w:r w:rsidRPr="00CA67F0">
        <w:rPr>
          <w:rFonts w:asciiTheme="minorHAnsi" w:hAnsiTheme="minorHAnsi" w:cstheme="minorHAnsi"/>
          <w:szCs w:val="22"/>
        </w:rPr>
        <w:t>36-37</w:t>
      </w:r>
      <w:r w:rsidRPr="00CA67F0">
        <w:rPr>
          <w:rFonts w:asciiTheme="minorHAnsi" w:hAnsiTheme="minorHAnsi" w:cstheme="minorHAnsi"/>
        </w:rPr>
        <w:t>.</w:t>
      </w:r>
    </w:p>
  </w:footnote>
  <w:footnote w:id="9">
    <w:p w14:paraId="32DB45C3" w14:textId="1F899131"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A </w:t>
      </w:r>
      <w:bookmarkStart w:id="7" w:name="_Hlk531717103"/>
      <w:r w:rsidRPr="00CA67F0">
        <w:rPr>
          <w:rFonts w:asciiTheme="minorHAnsi" w:hAnsiTheme="minorHAnsi" w:cstheme="minorHAnsi"/>
        </w:rPr>
        <w:t>Hudson</w:t>
      </w:r>
      <w:bookmarkEnd w:id="7"/>
      <w:r w:rsidRPr="00CA67F0">
        <w:rPr>
          <w:rFonts w:asciiTheme="minorHAnsi" w:hAnsiTheme="minorHAnsi" w:cstheme="minorHAnsi"/>
        </w:rPr>
        <w:t xml:space="preserve">, ‘Mental Incapacity Revisited’ (1986) </w:t>
      </w:r>
      <w:r w:rsidRPr="00CA67F0">
        <w:rPr>
          <w:rFonts w:asciiTheme="minorHAnsi" w:hAnsiTheme="minorHAnsi" w:cstheme="minorHAnsi"/>
          <w:i/>
        </w:rPr>
        <w:t>The Conveyancer and Property Lawyer</w:t>
      </w:r>
      <w:r w:rsidRPr="00CA67F0">
        <w:rPr>
          <w:rFonts w:asciiTheme="minorHAnsi" w:hAnsiTheme="minorHAnsi" w:cstheme="minorHAnsi"/>
        </w:rPr>
        <w:t xml:space="preserve"> 178.</w:t>
      </w:r>
    </w:p>
  </w:footnote>
  <w:footnote w:id="10">
    <w:p w14:paraId="2ABD7690" w14:textId="4EAF0243" w:rsidR="003B7D73" w:rsidRPr="00CA67F0" w:rsidRDefault="003B7D73" w:rsidP="009074D7">
      <w:pPr>
        <w:pStyle w:val="FootnoteText"/>
      </w:pPr>
      <w:r w:rsidRPr="00CA67F0">
        <w:rPr>
          <w:rStyle w:val="FootnoteReference"/>
        </w:rPr>
        <w:footnoteRef/>
      </w:r>
      <w:r w:rsidRPr="00CA67F0">
        <w:t xml:space="preserve"> Eliza </w:t>
      </w:r>
      <w:bookmarkStart w:id="8" w:name="_Hlk532940209"/>
      <w:r w:rsidRPr="00CA67F0">
        <w:t>Varney, ‘Redefining Contractual Capacity</w:t>
      </w:r>
      <w:bookmarkEnd w:id="8"/>
      <w:r w:rsidRPr="00CA67F0">
        <w:t xml:space="preserve">? The UN Convention on the Rights of Persons with Disabilities and the Incapacity Defence in English Contract Law’ (2017) 37 </w:t>
      </w:r>
      <w:r w:rsidRPr="00CA67F0">
        <w:rPr>
          <w:i/>
        </w:rPr>
        <w:t>Legal Studies</w:t>
      </w:r>
      <w:r w:rsidRPr="00CA67F0">
        <w:t xml:space="preserve"> 493.</w:t>
      </w:r>
    </w:p>
  </w:footnote>
  <w:footnote w:id="11">
    <w:p w14:paraId="5D06C793" w14:textId="55D322FD"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GA Res 61/611, 13 December 2006, A/61/611, 15 IHRR 255, Art 12 (UN).</w:t>
      </w:r>
    </w:p>
  </w:footnote>
  <w:footnote w:id="12">
    <w:p w14:paraId="5620F4C6" w14:textId="71A6D198" w:rsidR="003B7D73" w:rsidRPr="00CA67F0" w:rsidRDefault="003B7D73" w:rsidP="009074D7">
      <w:pPr>
        <w:pStyle w:val="FootnoteText"/>
      </w:pPr>
      <w:r w:rsidRPr="00CA67F0">
        <w:rPr>
          <w:rStyle w:val="FootnoteReference"/>
        </w:rPr>
        <w:footnoteRef/>
      </w:r>
      <w:r w:rsidRPr="00CA67F0">
        <w:t xml:space="preserve"> </w:t>
      </w:r>
      <w:bookmarkStart w:id="9" w:name="_Hlk531717934"/>
      <w:r w:rsidRPr="00CA67F0">
        <w:rPr>
          <w:rFonts w:asciiTheme="minorHAnsi" w:hAnsiTheme="minorHAnsi" w:cstheme="minorHAnsi"/>
        </w:rPr>
        <w:t>Alzheimer's Society</w:t>
      </w:r>
      <w:bookmarkEnd w:id="9"/>
      <w:r w:rsidRPr="00CA67F0">
        <w:rPr>
          <w:rFonts w:asciiTheme="minorHAnsi" w:hAnsiTheme="minorHAnsi" w:cstheme="minorHAnsi"/>
        </w:rPr>
        <w:t xml:space="preserve">, </w:t>
      </w:r>
      <w:r w:rsidRPr="00CA67F0">
        <w:rPr>
          <w:rFonts w:asciiTheme="minorHAnsi" w:hAnsiTheme="minorHAnsi" w:cstheme="minorHAnsi"/>
          <w:i/>
        </w:rPr>
        <w:t>Dementia UK: Update</w:t>
      </w:r>
      <w:r w:rsidRPr="00CA67F0">
        <w:rPr>
          <w:rFonts w:asciiTheme="minorHAnsi" w:hAnsiTheme="minorHAnsi" w:cstheme="minorHAnsi"/>
        </w:rPr>
        <w:t>, 2014; Hudson, above, n 8 at 181</w:t>
      </w:r>
      <w:r w:rsidRPr="00CA67F0">
        <w:t>.</w:t>
      </w:r>
    </w:p>
  </w:footnote>
  <w:footnote w:id="13">
    <w:p w14:paraId="341949CF" w14:textId="6BDFD3EA"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bookmarkStart w:id="10" w:name="_Hlk531757470"/>
      <w:bookmarkStart w:id="11" w:name="_Hlk532940327"/>
      <w:r w:rsidRPr="00CA67F0">
        <w:t xml:space="preserve">Gunther </w:t>
      </w:r>
      <w:r w:rsidRPr="00CA67F0">
        <w:rPr>
          <w:rFonts w:asciiTheme="minorHAnsi" w:hAnsiTheme="minorHAnsi" w:cstheme="minorHAnsi"/>
        </w:rPr>
        <w:t>Teubner</w:t>
      </w:r>
      <w:bookmarkEnd w:id="10"/>
      <w:r w:rsidRPr="00CA67F0">
        <w:rPr>
          <w:rFonts w:asciiTheme="minorHAnsi" w:hAnsiTheme="minorHAnsi" w:cstheme="minorHAnsi"/>
        </w:rPr>
        <w:t>, ‘Contracting Worlds</w:t>
      </w:r>
      <w:bookmarkEnd w:id="11"/>
      <w:r w:rsidRPr="00CA67F0">
        <w:rPr>
          <w:rFonts w:asciiTheme="minorHAnsi" w:hAnsiTheme="minorHAnsi" w:cstheme="minorHAnsi"/>
        </w:rPr>
        <w:t xml:space="preserve">: The Many Autonomies of Private Law’ (2000) 9 </w:t>
      </w:r>
      <w:r w:rsidRPr="00CA67F0">
        <w:rPr>
          <w:rFonts w:asciiTheme="minorHAnsi" w:hAnsiTheme="minorHAnsi" w:cstheme="minorHAnsi"/>
          <w:i/>
        </w:rPr>
        <w:t>Social and Legal Studies</w:t>
      </w:r>
      <w:r w:rsidRPr="00CA67F0">
        <w:rPr>
          <w:rFonts w:asciiTheme="minorHAnsi" w:hAnsiTheme="minorHAnsi" w:cstheme="minorHAnsi"/>
        </w:rPr>
        <w:t xml:space="preserve"> 399 at 400.</w:t>
      </w:r>
    </w:p>
  </w:footnote>
  <w:footnote w:id="14">
    <w:p w14:paraId="41620CCE" w14:textId="4C0A8099"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S </w:t>
      </w:r>
      <w:bookmarkStart w:id="12" w:name="_Hlk531768646"/>
      <w:r w:rsidRPr="00CA67F0">
        <w:t>Whittaker</w:t>
      </w:r>
      <w:bookmarkEnd w:id="12"/>
      <w:r w:rsidRPr="00CA67F0">
        <w:t xml:space="preserve">, ‘Personal Incapacity’ in </w:t>
      </w:r>
      <w:r w:rsidRPr="00CA67F0">
        <w:rPr>
          <w:rFonts w:asciiTheme="minorHAnsi" w:hAnsiTheme="minorHAnsi" w:cstheme="minorHAnsi"/>
        </w:rPr>
        <w:t xml:space="preserve">H </w:t>
      </w:r>
      <w:bookmarkStart w:id="13" w:name="_Hlk531761819"/>
      <w:r w:rsidRPr="00CA67F0">
        <w:rPr>
          <w:rFonts w:asciiTheme="minorHAnsi" w:hAnsiTheme="minorHAnsi" w:cstheme="minorHAnsi"/>
        </w:rPr>
        <w:t xml:space="preserve">Beale et.al, </w:t>
      </w:r>
      <w:bookmarkEnd w:id="13"/>
      <w:r w:rsidRPr="00CA67F0">
        <w:rPr>
          <w:rFonts w:asciiTheme="minorHAnsi" w:hAnsiTheme="minorHAnsi" w:cstheme="minorHAnsi"/>
        </w:rPr>
        <w:t xml:space="preserve">eds, </w:t>
      </w:r>
      <w:r w:rsidRPr="00CA67F0">
        <w:rPr>
          <w:rFonts w:asciiTheme="minorHAnsi" w:hAnsiTheme="minorHAnsi" w:cstheme="minorHAnsi"/>
          <w:i/>
        </w:rPr>
        <w:t xml:space="preserve">Chitty on Contracts, </w:t>
      </w:r>
      <w:r w:rsidRPr="00CA67F0">
        <w:rPr>
          <w:rFonts w:asciiTheme="minorHAnsi" w:hAnsiTheme="minorHAnsi" w:cstheme="minorHAnsi"/>
        </w:rPr>
        <w:t>33</w:t>
      </w:r>
      <w:r w:rsidRPr="00CA67F0">
        <w:rPr>
          <w:rFonts w:asciiTheme="minorHAnsi" w:hAnsiTheme="minorHAnsi" w:cstheme="minorHAnsi"/>
          <w:vertAlign w:val="superscript"/>
        </w:rPr>
        <w:t>rd</w:t>
      </w:r>
      <w:r w:rsidRPr="00CA67F0">
        <w:rPr>
          <w:rFonts w:asciiTheme="minorHAnsi" w:hAnsiTheme="minorHAnsi" w:cstheme="minorHAnsi"/>
        </w:rPr>
        <w:t xml:space="preserve"> edn, Sweet and Maxwell, London, 2018, para 9-001.</w:t>
      </w:r>
    </w:p>
  </w:footnote>
  <w:footnote w:id="15">
    <w:p w14:paraId="4881CC02" w14:textId="27C3B1BA"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Mental Capacity Act</w:t>
      </w:r>
      <w:r w:rsidRPr="00CA67F0">
        <w:rPr>
          <w:rFonts w:asciiTheme="minorHAnsi" w:hAnsiTheme="minorHAnsi" w:cstheme="minorHAnsi"/>
          <w:i/>
        </w:rPr>
        <w:t xml:space="preserve"> </w:t>
      </w:r>
      <w:r w:rsidRPr="00CA67F0">
        <w:rPr>
          <w:rFonts w:asciiTheme="minorHAnsi" w:hAnsiTheme="minorHAnsi" w:cstheme="minorHAnsi"/>
        </w:rPr>
        <w:t>2005 (UK), ss 2 and 3. This article is not concerned with contracts that are regulated under the Mental Capacity Act</w:t>
      </w:r>
      <w:r w:rsidRPr="00CA67F0">
        <w:rPr>
          <w:rFonts w:asciiTheme="minorHAnsi" w:hAnsiTheme="minorHAnsi" w:cstheme="minorHAnsi"/>
          <w:i/>
        </w:rPr>
        <w:t xml:space="preserve"> </w:t>
      </w:r>
      <w:r w:rsidRPr="00CA67F0">
        <w:rPr>
          <w:rFonts w:asciiTheme="minorHAnsi" w:hAnsiTheme="minorHAnsi" w:cstheme="minorHAnsi"/>
        </w:rPr>
        <w:t xml:space="preserve">2005. For a discussion of these issues, see </w:t>
      </w:r>
      <w:bookmarkStart w:id="14" w:name="_Hlk532940848"/>
      <w:r w:rsidRPr="00CA67F0">
        <w:t>Whittaker</w:t>
      </w:r>
      <w:bookmarkEnd w:id="14"/>
      <w:r w:rsidRPr="00CA67F0">
        <w:t>, above, n 1</w:t>
      </w:r>
      <w:r w:rsidR="00982389" w:rsidRPr="00CA67F0">
        <w:t>3</w:t>
      </w:r>
      <w:r w:rsidRPr="00CA67F0">
        <w:t xml:space="preserve">, </w:t>
      </w:r>
      <w:r w:rsidRPr="00CA67F0">
        <w:rPr>
          <w:rFonts w:asciiTheme="minorHAnsi" w:hAnsiTheme="minorHAnsi" w:cstheme="minorHAnsi"/>
        </w:rPr>
        <w:t>paras 9-100 and 9-097.</w:t>
      </w:r>
    </w:p>
  </w:footnote>
  <w:footnote w:id="16">
    <w:p w14:paraId="434903D2" w14:textId="72967D74"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 xml:space="preserve">[1892] 1 QB 599; </w:t>
      </w:r>
      <w:r w:rsidRPr="00CA67F0">
        <w:rPr>
          <w:rFonts w:asciiTheme="minorHAnsi" w:hAnsiTheme="minorHAnsi" w:cstheme="minorHAnsi"/>
        </w:rPr>
        <w:t xml:space="preserve">E </w:t>
      </w:r>
      <w:bookmarkStart w:id="15" w:name="_Hlk531762749"/>
      <w:r w:rsidRPr="00CA67F0">
        <w:rPr>
          <w:rFonts w:asciiTheme="minorHAnsi" w:hAnsiTheme="minorHAnsi" w:cstheme="minorHAnsi"/>
        </w:rPr>
        <w:t>Peel</w:t>
      </w:r>
      <w:bookmarkEnd w:id="15"/>
      <w:r w:rsidRPr="00CA67F0">
        <w:rPr>
          <w:rFonts w:asciiTheme="minorHAnsi" w:hAnsiTheme="minorHAnsi" w:cstheme="minorHAnsi"/>
        </w:rPr>
        <w:t xml:space="preserve">, </w:t>
      </w:r>
      <w:r w:rsidRPr="00CA67F0">
        <w:rPr>
          <w:rFonts w:asciiTheme="minorHAnsi" w:hAnsiTheme="minorHAnsi" w:cstheme="minorHAnsi"/>
          <w:i/>
        </w:rPr>
        <w:t>Treitel on the Law of Contract</w:t>
      </w:r>
      <w:r w:rsidRPr="00CA67F0">
        <w:rPr>
          <w:rFonts w:asciiTheme="minorHAnsi" w:hAnsiTheme="minorHAnsi" w:cstheme="minorHAnsi"/>
        </w:rPr>
        <w:t>, 14</w:t>
      </w:r>
      <w:r w:rsidRPr="00CA67F0">
        <w:rPr>
          <w:rFonts w:asciiTheme="minorHAnsi" w:hAnsiTheme="minorHAnsi" w:cstheme="minorHAnsi"/>
          <w:vertAlign w:val="superscript"/>
        </w:rPr>
        <w:t>th</w:t>
      </w:r>
      <w:r w:rsidRPr="00CA67F0">
        <w:rPr>
          <w:rFonts w:asciiTheme="minorHAnsi" w:hAnsiTheme="minorHAnsi" w:cstheme="minorHAnsi"/>
        </w:rPr>
        <w:t xml:space="preserve"> edn, Sweet and Maxwell, London, 2015, para 12-054.</w:t>
      </w:r>
    </w:p>
  </w:footnote>
  <w:footnote w:id="17">
    <w:p w14:paraId="4E855585" w14:textId="1985E9A4" w:rsidR="003B7D73" w:rsidRPr="00CA67F0" w:rsidRDefault="003B7D73" w:rsidP="009074D7">
      <w:pPr>
        <w:pStyle w:val="FootnoteText"/>
      </w:pPr>
      <w:r w:rsidRPr="00CA67F0">
        <w:rPr>
          <w:rStyle w:val="FootnoteReference"/>
        </w:rPr>
        <w:footnoteRef/>
      </w:r>
      <w:r w:rsidRPr="00CA67F0">
        <w:t xml:space="preserve"> Mental Capacity Act 2005, s 7. See Whittaker, above, n 1</w:t>
      </w:r>
      <w:r w:rsidR="00982389" w:rsidRPr="00CA67F0">
        <w:t>3</w:t>
      </w:r>
      <w:r w:rsidRPr="00CA67F0">
        <w:t xml:space="preserve">, </w:t>
      </w:r>
      <w:r w:rsidRPr="00CA67F0">
        <w:rPr>
          <w:rFonts w:asciiTheme="minorHAnsi" w:hAnsiTheme="minorHAnsi" w:cstheme="minorHAnsi"/>
        </w:rPr>
        <w:t>para 9-097.</w:t>
      </w:r>
    </w:p>
  </w:footnote>
  <w:footnote w:id="18">
    <w:p w14:paraId="779A5CD6" w14:textId="4160ED7A"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Peel, above, n 15, para 12-053.</w:t>
      </w:r>
    </w:p>
  </w:footnote>
  <w:footnote w:id="19">
    <w:p w14:paraId="18BE6AA5" w14:textId="3E83444D"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 xml:space="preserve">[1892] 1 QB 599, at 601; </w:t>
      </w:r>
      <w:r w:rsidRPr="00CA67F0">
        <w:rPr>
          <w:rFonts w:asciiTheme="minorHAnsi" w:hAnsiTheme="minorHAnsi" w:cstheme="minorHAnsi"/>
          <w:i/>
        </w:rPr>
        <w:t xml:space="preserve">Re Beany </w:t>
      </w:r>
      <w:r w:rsidRPr="00CA67F0">
        <w:rPr>
          <w:rFonts w:asciiTheme="minorHAnsi" w:hAnsiTheme="minorHAnsi" w:cstheme="minorHAnsi"/>
        </w:rPr>
        <w:t xml:space="preserve">[1978] 1 WLR 770. </w:t>
      </w:r>
      <w:r w:rsidRPr="00CA67F0">
        <w:t>See Whittaker, above, n 1</w:t>
      </w:r>
      <w:r w:rsidR="00982389" w:rsidRPr="00CA67F0">
        <w:t>3</w:t>
      </w:r>
      <w:r w:rsidRPr="00CA67F0">
        <w:t xml:space="preserve">, </w:t>
      </w:r>
      <w:r w:rsidRPr="00CA67F0">
        <w:rPr>
          <w:rFonts w:asciiTheme="minorHAnsi" w:hAnsiTheme="minorHAnsi" w:cstheme="minorHAnsi"/>
        </w:rPr>
        <w:t>para 9-089.</w:t>
      </w:r>
    </w:p>
  </w:footnote>
  <w:footnote w:id="20">
    <w:p w14:paraId="59BDC8BF" w14:textId="4CE015CA" w:rsidR="003B7D73" w:rsidRPr="00CA67F0" w:rsidRDefault="003B7D73" w:rsidP="009074D7">
      <w:pPr>
        <w:pStyle w:val="FootnoteText"/>
        <w:rPr>
          <w:rFonts w:asciiTheme="minorHAnsi" w:hAnsiTheme="minorHAnsi" w:cstheme="minorHAnsi"/>
        </w:rPr>
      </w:pPr>
      <w:r w:rsidRPr="00CA67F0">
        <w:rPr>
          <w:rStyle w:val="FootnoteReference"/>
          <w:rFonts w:asciiTheme="minorHAnsi" w:hAnsiTheme="minorHAnsi" w:cstheme="minorHAnsi"/>
        </w:rPr>
        <w:footnoteRef/>
      </w:r>
      <w:r w:rsidRPr="00CA67F0">
        <w:rPr>
          <w:rFonts w:asciiTheme="minorHAnsi" w:hAnsiTheme="minorHAnsi" w:cstheme="minorHAnsi"/>
        </w:rPr>
        <w:t xml:space="preserve"> Mental Capacity Act</w:t>
      </w:r>
      <w:r w:rsidRPr="00CA67F0">
        <w:rPr>
          <w:rFonts w:asciiTheme="minorHAnsi" w:hAnsiTheme="minorHAnsi" w:cstheme="minorHAnsi"/>
          <w:i/>
        </w:rPr>
        <w:t xml:space="preserve"> </w:t>
      </w:r>
      <w:r w:rsidRPr="00CA67F0">
        <w:rPr>
          <w:rFonts w:asciiTheme="minorHAnsi" w:hAnsiTheme="minorHAnsi" w:cstheme="minorHAnsi"/>
        </w:rPr>
        <w:t>2005, s 2(1). See also Mental Capacity Act</w:t>
      </w:r>
      <w:r w:rsidRPr="00CA67F0">
        <w:rPr>
          <w:rFonts w:asciiTheme="minorHAnsi" w:hAnsiTheme="minorHAnsi" w:cstheme="minorHAnsi"/>
          <w:i/>
        </w:rPr>
        <w:t xml:space="preserve"> </w:t>
      </w:r>
      <w:r w:rsidRPr="00CA67F0">
        <w:rPr>
          <w:rFonts w:asciiTheme="minorHAnsi" w:hAnsiTheme="minorHAnsi" w:cstheme="minorHAnsi"/>
        </w:rPr>
        <w:t xml:space="preserve">2005, s 3(1). </w:t>
      </w:r>
      <w:r w:rsidRPr="00CA67F0">
        <w:t>See Whittaker, above, n 1</w:t>
      </w:r>
      <w:r w:rsidR="00982389" w:rsidRPr="00CA67F0">
        <w:t>3</w:t>
      </w:r>
      <w:r w:rsidRPr="00CA67F0">
        <w:t xml:space="preserve">, </w:t>
      </w:r>
      <w:r w:rsidRPr="00CA67F0">
        <w:rPr>
          <w:rFonts w:asciiTheme="minorHAnsi" w:hAnsiTheme="minorHAnsi" w:cstheme="minorHAnsi"/>
        </w:rPr>
        <w:t>para 9-092.</w:t>
      </w:r>
    </w:p>
  </w:footnote>
  <w:footnote w:id="21">
    <w:p w14:paraId="378D1EB9" w14:textId="0F214A44" w:rsidR="003B7D73" w:rsidRPr="00CA67F0" w:rsidRDefault="003B7D73" w:rsidP="009074D7">
      <w:pPr>
        <w:pStyle w:val="FootnoteText"/>
        <w:rPr>
          <w:rFonts w:asciiTheme="minorHAnsi" w:hAnsiTheme="minorHAnsi" w:cstheme="minorHAnsi"/>
        </w:rPr>
      </w:pPr>
      <w:r w:rsidRPr="00CA67F0">
        <w:rPr>
          <w:rStyle w:val="FootnoteReference"/>
          <w:rFonts w:asciiTheme="minorHAnsi" w:hAnsiTheme="minorHAnsi" w:cstheme="minorHAnsi"/>
        </w:rPr>
        <w:footnoteRef/>
      </w:r>
      <w:r w:rsidRPr="00CA67F0">
        <w:rPr>
          <w:rFonts w:asciiTheme="minorHAnsi" w:hAnsiTheme="minorHAnsi" w:cstheme="minorHAnsi"/>
        </w:rPr>
        <w:t xml:space="preserve"> </w:t>
      </w:r>
      <w:r w:rsidRPr="00CA67F0">
        <w:rPr>
          <w:rFonts w:asciiTheme="minorHAnsi" w:hAnsiTheme="minorHAnsi" w:cstheme="minorHAnsi"/>
          <w:i/>
        </w:rPr>
        <w:t>Local Authority X v MM</w:t>
      </w:r>
      <w:r w:rsidRPr="00CA67F0">
        <w:rPr>
          <w:rFonts w:asciiTheme="minorHAnsi" w:hAnsiTheme="minorHAnsi" w:cstheme="minorHAnsi"/>
        </w:rPr>
        <w:t xml:space="preserve"> (an adult) [2007] EWHC 2003; [2007] 11 WLUK 442; [2009] 1 FLR 487, at 79–80, per Munby J. See A </w:t>
      </w:r>
      <w:bookmarkStart w:id="16" w:name="_Hlk531764433"/>
      <w:r w:rsidRPr="00CA67F0">
        <w:rPr>
          <w:rFonts w:asciiTheme="minorHAnsi" w:hAnsiTheme="minorHAnsi" w:cstheme="minorHAnsi"/>
        </w:rPr>
        <w:t>Burrows</w:t>
      </w:r>
      <w:bookmarkEnd w:id="16"/>
      <w:r w:rsidRPr="00CA67F0">
        <w:rPr>
          <w:rFonts w:asciiTheme="minorHAnsi" w:hAnsiTheme="minorHAnsi" w:cstheme="minorHAnsi"/>
        </w:rPr>
        <w:t xml:space="preserve">, </w:t>
      </w:r>
      <w:r w:rsidRPr="00CA67F0">
        <w:rPr>
          <w:rFonts w:asciiTheme="minorHAnsi" w:hAnsiTheme="minorHAnsi" w:cstheme="minorHAnsi"/>
          <w:i/>
        </w:rPr>
        <w:t>A Restatement of the English Law of Contract</w:t>
      </w:r>
      <w:r w:rsidRPr="00CA67F0">
        <w:rPr>
          <w:rFonts w:asciiTheme="minorHAnsi" w:hAnsiTheme="minorHAnsi" w:cstheme="minorHAnsi"/>
        </w:rPr>
        <w:t>, Oxford University Press, Oxford, 2016, para 43.</w:t>
      </w:r>
    </w:p>
  </w:footnote>
  <w:footnote w:id="22">
    <w:p w14:paraId="18933B00" w14:textId="7781E560"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[1892] 1 QB 599</w:t>
      </w:r>
      <w:r w:rsidRPr="00CA67F0">
        <w:t>, at 601, per Lord Esher.</w:t>
      </w:r>
    </w:p>
  </w:footnote>
  <w:footnote w:id="23">
    <w:p w14:paraId="68DFF677" w14:textId="05230390"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Molton </w:t>
      </w:r>
      <w:r w:rsidRPr="00CA67F0">
        <w:rPr>
          <w:rFonts w:asciiTheme="minorHAnsi" w:hAnsiTheme="minorHAnsi" w:cstheme="minorHAnsi"/>
        </w:rPr>
        <w:t>(1848) 2 Exch. 487.</w:t>
      </w:r>
    </w:p>
  </w:footnote>
  <w:footnote w:id="24">
    <w:p w14:paraId="1A3FB9D8" w14:textId="3CC2A5F4" w:rsidR="003B7D73" w:rsidRPr="00CA67F0" w:rsidRDefault="003B7D73" w:rsidP="009074D7">
      <w:pPr>
        <w:rPr>
          <w:rFonts w:cstheme="minorHAnsi"/>
          <w:sz w:val="20"/>
          <w:szCs w:val="20"/>
        </w:rPr>
      </w:pPr>
      <w:r w:rsidRPr="00CA67F0">
        <w:rPr>
          <w:rStyle w:val="FootnoteReference"/>
        </w:rPr>
        <w:footnoteRef/>
      </w:r>
      <w:r w:rsidRPr="00CA67F0">
        <w:t xml:space="preserve"> </w:t>
      </w:r>
      <w:bookmarkStart w:id="17" w:name="_Hlk531765623"/>
      <w:r w:rsidRPr="00CA67F0">
        <w:rPr>
          <w:rFonts w:cstheme="minorHAnsi"/>
          <w:i/>
          <w:sz w:val="20"/>
          <w:szCs w:val="20"/>
        </w:rPr>
        <w:t xml:space="preserve">Beverley’s Case </w:t>
      </w:r>
      <w:bookmarkEnd w:id="17"/>
      <w:r w:rsidRPr="00CA67F0">
        <w:rPr>
          <w:rFonts w:cstheme="minorHAnsi"/>
          <w:sz w:val="20"/>
          <w:szCs w:val="20"/>
        </w:rPr>
        <w:t>(1603) 4 Co Rep 123b.</w:t>
      </w:r>
    </w:p>
  </w:footnote>
  <w:footnote w:id="25">
    <w:p w14:paraId="48FA4ADD" w14:textId="1C18A5B3" w:rsidR="003B7D73" w:rsidRPr="00CA67F0" w:rsidRDefault="003B7D73" w:rsidP="009074D7">
      <w:pPr>
        <w:pStyle w:val="FootnoteText"/>
        <w:rPr>
          <w:rFonts w:asciiTheme="minorHAnsi" w:hAnsiTheme="minorHAnsi" w:cstheme="minorHAnsi"/>
          <w:i/>
        </w:rPr>
      </w:pPr>
      <w:r w:rsidRPr="00CA67F0">
        <w:rPr>
          <w:rStyle w:val="FootnoteReference"/>
        </w:rPr>
        <w:footnoteRef/>
      </w:r>
      <w:r w:rsidRPr="00CA67F0">
        <w:t xml:space="preserve"> </w:t>
      </w:r>
      <w:r w:rsidRPr="00CA67F0">
        <w:rPr>
          <w:rFonts w:asciiTheme="minorHAnsi" w:hAnsiTheme="minorHAnsi" w:cstheme="minorHAnsi"/>
          <w:i/>
          <w:szCs w:val="22"/>
        </w:rPr>
        <w:t xml:space="preserve">Molton </w:t>
      </w:r>
      <w:r w:rsidRPr="00CA67F0">
        <w:rPr>
          <w:rFonts w:asciiTheme="minorHAnsi" w:hAnsiTheme="minorHAnsi" w:cstheme="minorHAnsi"/>
        </w:rPr>
        <w:t>(1848) 2 Exch 487, at 503</w:t>
      </w:r>
      <w:r w:rsidRPr="00CA67F0">
        <w:t xml:space="preserve"> (affirmed by the </w:t>
      </w:r>
      <w:r w:rsidRPr="00CA67F0">
        <w:rPr>
          <w:rFonts w:asciiTheme="minorHAnsi" w:hAnsiTheme="minorHAnsi" w:cstheme="minorHAnsi"/>
          <w:szCs w:val="22"/>
        </w:rPr>
        <w:t xml:space="preserve">Exchequer Chamber in </w:t>
      </w:r>
      <w:r w:rsidRPr="00CA67F0">
        <w:rPr>
          <w:rFonts w:asciiTheme="minorHAnsi" w:hAnsiTheme="minorHAnsi" w:cstheme="minorHAnsi"/>
          <w:i/>
        </w:rPr>
        <w:t>Molton v Camroux</w:t>
      </w:r>
      <w:r w:rsidRPr="00CA67F0">
        <w:rPr>
          <w:rFonts w:asciiTheme="minorHAnsi" w:hAnsiTheme="minorHAnsi" w:cstheme="minorHAnsi"/>
        </w:rPr>
        <w:t xml:space="preserve"> (1849) 4 Exch 17).</w:t>
      </w:r>
    </w:p>
  </w:footnote>
  <w:footnote w:id="26">
    <w:p w14:paraId="79EE71A2" w14:textId="4E7BD090"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Watts, above, n 3 at 145.</w:t>
      </w:r>
    </w:p>
  </w:footnote>
  <w:footnote w:id="27">
    <w:p w14:paraId="0182E6AC" w14:textId="46CB527B"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Henry of Bracton, </w:t>
      </w:r>
      <w:r w:rsidRPr="00CA67F0">
        <w:rPr>
          <w:rFonts w:asciiTheme="minorHAnsi" w:hAnsiTheme="minorHAnsi" w:cstheme="minorHAnsi"/>
          <w:i/>
        </w:rPr>
        <w:t>De Legibus Et Consuetudinibus Angliæ</w:t>
      </w:r>
      <w:r w:rsidRPr="00CA67F0">
        <w:rPr>
          <w:rFonts w:asciiTheme="minorHAnsi" w:hAnsiTheme="minorHAnsi" w:cstheme="minorHAnsi"/>
        </w:rPr>
        <w:t xml:space="preserve"> (</w:t>
      </w:r>
      <w:r w:rsidRPr="00CA67F0">
        <w:rPr>
          <w:rFonts w:asciiTheme="minorHAnsi" w:hAnsiTheme="minorHAnsi" w:cstheme="minorHAnsi"/>
          <w:i/>
        </w:rPr>
        <w:t>The Laws and Customs of England</w:t>
      </w:r>
      <w:r w:rsidRPr="00CA67F0">
        <w:rPr>
          <w:rFonts w:asciiTheme="minorHAnsi" w:hAnsiTheme="minorHAnsi" w:cstheme="minorHAnsi"/>
        </w:rPr>
        <w:t>), c. 1210-1268.</w:t>
      </w:r>
    </w:p>
  </w:footnote>
  <w:footnote w:id="28">
    <w:p w14:paraId="458BC063" w14:textId="607F078D"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G Spark, </w:t>
      </w:r>
      <w:r w:rsidRPr="00CA67F0">
        <w:rPr>
          <w:rFonts w:asciiTheme="minorHAnsi" w:hAnsiTheme="minorHAnsi" w:cstheme="minorHAnsi"/>
          <w:i/>
        </w:rPr>
        <w:t>Vitiation of Contracts: International Contractual Principles and English Law</w:t>
      </w:r>
      <w:r w:rsidRPr="00CA67F0">
        <w:rPr>
          <w:rFonts w:asciiTheme="minorHAnsi" w:hAnsiTheme="minorHAnsi" w:cstheme="minorHAnsi"/>
        </w:rPr>
        <w:t>, Cambridge University Press, Cambridge, 2013, p 57.</w:t>
      </w:r>
    </w:p>
  </w:footnote>
  <w:footnote w:id="29">
    <w:p w14:paraId="38958506" w14:textId="0038FE41" w:rsidR="003B7D73" w:rsidRPr="00CA67F0" w:rsidRDefault="003B7D73" w:rsidP="009074D7">
      <w:pPr>
        <w:pStyle w:val="FootnoteText"/>
      </w:pPr>
      <w:r w:rsidRPr="00CA67F0">
        <w:rPr>
          <w:rStyle w:val="FootnoteReference"/>
        </w:rPr>
        <w:footnoteRef/>
      </w:r>
      <w:r w:rsidRPr="00CA67F0">
        <w:t xml:space="preserve"> Henry</w:t>
      </w:r>
      <w:r w:rsidRPr="00CA67F0">
        <w:rPr>
          <w:rFonts w:asciiTheme="minorHAnsi" w:hAnsiTheme="minorHAnsi" w:cstheme="minorHAnsi"/>
        </w:rPr>
        <w:t xml:space="preserve"> Goudy, ‘Contracts by Lunatics’ (1901) 17 LQR 147, 150.</w:t>
      </w:r>
    </w:p>
  </w:footnote>
  <w:footnote w:id="30">
    <w:p w14:paraId="232909BE" w14:textId="5A5C691C"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Loudon </w:t>
      </w:r>
      <w:r w:rsidRPr="00CA67F0">
        <w:rPr>
          <w:rFonts w:asciiTheme="minorHAnsi" w:hAnsiTheme="minorHAnsi" w:cstheme="minorHAnsi"/>
        </w:rPr>
        <w:t>v</w:t>
      </w:r>
      <w:r w:rsidRPr="00CA67F0">
        <w:rPr>
          <w:rFonts w:asciiTheme="minorHAnsi" w:hAnsiTheme="minorHAnsi" w:cstheme="minorHAnsi"/>
          <w:i/>
        </w:rPr>
        <w:t xml:space="preserve"> Elder’s CB</w:t>
      </w:r>
      <w:r w:rsidRPr="00CA67F0">
        <w:rPr>
          <w:rFonts w:asciiTheme="minorHAnsi" w:hAnsiTheme="minorHAnsi" w:cstheme="minorHAnsi"/>
        </w:rPr>
        <w:t xml:space="preserve"> (1923) SLT 226. See J Smits, </w:t>
      </w:r>
      <w:r w:rsidRPr="00CA67F0">
        <w:rPr>
          <w:rFonts w:asciiTheme="minorHAnsi" w:hAnsiTheme="minorHAnsi" w:cstheme="minorHAnsi"/>
          <w:i/>
        </w:rPr>
        <w:t>Contract Law: A Comparative Introduction</w:t>
      </w:r>
      <w:r w:rsidRPr="00CA67F0">
        <w:rPr>
          <w:rFonts w:asciiTheme="minorHAnsi" w:hAnsiTheme="minorHAnsi" w:cstheme="minorHAnsi"/>
        </w:rPr>
        <w:t>, Edward Elgar, Cheltenham, 2014, p 98.</w:t>
      </w:r>
    </w:p>
  </w:footnote>
  <w:footnote w:id="31">
    <w:p w14:paraId="021F0A7A" w14:textId="708BBD2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Proform Sports Management </w:t>
      </w:r>
      <w:r w:rsidRPr="00CA67F0">
        <w:rPr>
          <w:rFonts w:asciiTheme="minorHAnsi" w:hAnsiTheme="minorHAnsi" w:cstheme="minorHAnsi"/>
        </w:rPr>
        <w:t>v</w:t>
      </w:r>
      <w:r w:rsidRPr="00CA67F0">
        <w:rPr>
          <w:rFonts w:asciiTheme="minorHAnsi" w:hAnsiTheme="minorHAnsi" w:cstheme="minorHAnsi"/>
          <w:i/>
        </w:rPr>
        <w:t xml:space="preserve"> Proactive Sports Management </w:t>
      </w:r>
      <w:r w:rsidRPr="00CA67F0">
        <w:rPr>
          <w:rFonts w:asciiTheme="minorHAnsi" w:hAnsiTheme="minorHAnsi" w:cstheme="minorHAnsi"/>
        </w:rPr>
        <w:t xml:space="preserve">[2006] EWHC 2903; [2007] 1 All ER 542. See </w:t>
      </w:r>
      <w:r w:rsidRPr="00CA67F0">
        <w:t>Whittaker, above, n 1</w:t>
      </w:r>
      <w:r w:rsidR="00982389" w:rsidRPr="00CA67F0">
        <w:t>3</w:t>
      </w:r>
      <w:r w:rsidRPr="00CA67F0">
        <w:t xml:space="preserve">, </w:t>
      </w:r>
      <w:r w:rsidRPr="00CA67F0">
        <w:rPr>
          <w:rFonts w:asciiTheme="minorHAnsi" w:hAnsiTheme="minorHAnsi" w:cstheme="minorHAnsi"/>
        </w:rPr>
        <w:t>para 9-007.</w:t>
      </w:r>
    </w:p>
  </w:footnote>
  <w:footnote w:id="32">
    <w:p w14:paraId="38652FEA" w14:textId="3BE5B88C"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Barclays Bank </w:t>
      </w:r>
      <w:r w:rsidRPr="00CA67F0">
        <w:rPr>
          <w:rFonts w:asciiTheme="minorHAnsi" w:hAnsiTheme="minorHAnsi" w:cstheme="minorHAnsi"/>
        </w:rPr>
        <w:t>v</w:t>
      </w:r>
      <w:r w:rsidRPr="00CA67F0">
        <w:rPr>
          <w:rFonts w:asciiTheme="minorHAnsi" w:hAnsiTheme="minorHAnsi" w:cstheme="minorHAnsi"/>
          <w:i/>
        </w:rPr>
        <w:t xml:space="preserve"> Schwartz</w:t>
      </w:r>
      <w:r w:rsidRPr="00CA67F0">
        <w:rPr>
          <w:rFonts w:asciiTheme="minorHAnsi" w:hAnsiTheme="minorHAnsi" w:cstheme="minorHAnsi"/>
        </w:rPr>
        <w:t xml:space="preserve">, The Times, August 2, 1995, per Lord </w:t>
      </w:r>
      <w:r w:rsidRPr="00CA67F0">
        <w:rPr>
          <w:rFonts w:asciiTheme="minorHAnsi" w:hAnsiTheme="minorHAnsi" w:cstheme="minorHAnsi"/>
          <w:szCs w:val="22"/>
        </w:rPr>
        <w:t xml:space="preserve">Millett. See </w:t>
      </w:r>
      <w:r w:rsidRPr="00CA67F0">
        <w:t>Whittaker, above, n 1</w:t>
      </w:r>
      <w:r w:rsidR="00982389" w:rsidRPr="00CA67F0">
        <w:t>3</w:t>
      </w:r>
      <w:r w:rsidRPr="00CA67F0">
        <w:t xml:space="preserve">, </w:t>
      </w:r>
      <w:r w:rsidRPr="00CA67F0">
        <w:rPr>
          <w:rFonts w:asciiTheme="minorHAnsi" w:hAnsiTheme="minorHAnsi" w:cstheme="minorHAnsi"/>
        </w:rPr>
        <w:t>para 9-007.</w:t>
      </w:r>
    </w:p>
  </w:footnote>
  <w:footnote w:id="33">
    <w:p w14:paraId="54FED9F5" w14:textId="76E5B217"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Goudy, above, n 28 at 150.</w:t>
      </w:r>
    </w:p>
  </w:footnote>
  <w:footnote w:id="34">
    <w:p w14:paraId="62D6632F" w14:textId="257DFA4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 </w:t>
      </w:r>
      <w:bookmarkStart w:id="18" w:name="_Hlk531765813"/>
      <w:r w:rsidRPr="00CA67F0">
        <w:rPr>
          <w:rFonts w:asciiTheme="minorHAnsi" w:hAnsiTheme="minorHAnsi" w:cstheme="minorHAnsi"/>
        </w:rPr>
        <w:t>Cook</w:t>
      </w:r>
      <w:bookmarkEnd w:id="18"/>
      <w:r w:rsidRPr="00CA67F0">
        <w:rPr>
          <w:rFonts w:asciiTheme="minorHAnsi" w:hAnsiTheme="minorHAnsi" w:cstheme="minorHAnsi"/>
        </w:rPr>
        <w:t xml:space="preserve">, ‘Mental Deficiency and the English Law of Contract’ (1921) 21 </w:t>
      </w:r>
      <w:r w:rsidRPr="00CA67F0">
        <w:rPr>
          <w:rFonts w:asciiTheme="minorHAnsi" w:hAnsiTheme="minorHAnsi" w:cstheme="minorHAnsi"/>
          <w:i/>
        </w:rPr>
        <w:t xml:space="preserve">Columbia Law Review </w:t>
      </w:r>
      <w:r w:rsidRPr="00CA67F0">
        <w:rPr>
          <w:rFonts w:asciiTheme="minorHAnsi" w:hAnsiTheme="minorHAnsi" w:cstheme="minorHAnsi"/>
        </w:rPr>
        <w:t>424 at 438.</w:t>
      </w:r>
    </w:p>
  </w:footnote>
  <w:footnote w:id="35">
    <w:p w14:paraId="5B9B5F15" w14:textId="1B929711" w:rsidR="003B7D73" w:rsidRPr="00CA67F0" w:rsidRDefault="003B7D73">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143.</w:t>
      </w:r>
    </w:p>
  </w:footnote>
  <w:footnote w:id="36">
    <w:p w14:paraId="16D990A3" w14:textId="53013B5B" w:rsidR="003B7D73" w:rsidRPr="00CA67F0" w:rsidRDefault="003B7D73">
      <w:pPr>
        <w:pStyle w:val="FootnoteText"/>
      </w:pPr>
      <w:r w:rsidRPr="00CA67F0">
        <w:rPr>
          <w:rStyle w:val="FootnoteReference"/>
        </w:rPr>
        <w:footnoteRef/>
      </w:r>
      <w:r w:rsidRPr="00CA67F0">
        <w:t xml:space="preserve"> Ibid.</w:t>
      </w:r>
    </w:p>
  </w:footnote>
  <w:footnote w:id="37">
    <w:p w14:paraId="6C0B0AE4" w14:textId="62CD5FB8" w:rsidR="003B7D73" w:rsidRPr="00CA67F0" w:rsidRDefault="003B7D73">
      <w:pPr>
        <w:pStyle w:val="FootnoteText"/>
      </w:pPr>
      <w:r w:rsidRPr="00CA67F0">
        <w:rPr>
          <w:rStyle w:val="FootnoteReference"/>
        </w:rPr>
        <w:footnoteRef/>
      </w:r>
      <w:r w:rsidRPr="00CA67F0">
        <w:t xml:space="preserve"> </w:t>
      </w:r>
      <w:bookmarkStart w:id="19" w:name="_Hlk531762326"/>
      <w:bookmarkStart w:id="20" w:name="_Hlk535571842"/>
      <w:r w:rsidRPr="00CA67F0">
        <w:t>Whittaker</w:t>
      </w:r>
      <w:bookmarkEnd w:id="19"/>
      <w:r w:rsidRPr="00CA67F0">
        <w:t>, above, n 1</w:t>
      </w:r>
      <w:bookmarkEnd w:id="20"/>
      <w:r w:rsidR="00982389" w:rsidRPr="00CA67F0">
        <w:t>3</w:t>
      </w:r>
      <w:r w:rsidRPr="00CA67F0">
        <w:t>, para 9-081, footnote 372.</w:t>
      </w:r>
    </w:p>
  </w:footnote>
  <w:footnote w:id="38">
    <w:p w14:paraId="70C9850D" w14:textId="35CEDBE7"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[1892] 1 QB 599, at 602, per Lopes LJ.</w:t>
      </w:r>
    </w:p>
  </w:footnote>
  <w:footnote w:id="39">
    <w:p w14:paraId="635D9884" w14:textId="619E63FE"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See discussion in </w:t>
      </w:r>
      <w:bookmarkStart w:id="21" w:name="_Hlk531769604"/>
      <w:r w:rsidRPr="00CA67F0">
        <w:rPr>
          <w:rFonts w:asciiTheme="minorHAnsi" w:hAnsiTheme="minorHAnsi" w:cstheme="minorHAnsi"/>
          <w:i/>
        </w:rPr>
        <w:t xml:space="preserve">Hart </w:t>
      </w:r>
      <w:bookmarkEnd w:id="21"/>
      <w:r w:rsidRPr="00CA67F0">
        <w:rPr>
          <w:rFonts w:asciiTheme="minorHAnsi" w:hAnsiTheme="minorHAnsi" w:cstheme="minorHAnsi"/>
        </w:rPr>
        <w:t>v</w:t>
      </w:r>
      <w:r w:rsidRPr="00CA67F0">
        <w:rPr>
          <w:rFonts w:asciiTheme="minorHAnsi" w:hAnsiTheme="minorHAnsi" w:cstheme="minorHAnsi"/>
          <w:i/>
        </w:rPr>
        <w:t xml:space="preserve"> O'Connor</w:t>
      </w:r>
      <w:r w:rsidRPr="00CA67F0">
        <w:rPr>
          <w:rFonts w:asciiTheme="minorHAnsi" w:hAnsiTheme="minorHAnsi" w:cstheme="minorHAnsi"/>
        </w:rPr>
        <w:t xml:space="preserve"> [1985] AC 1000, at 1021.</w:t>
      </w:r>
    </w:p>
  </w:footnote>
  <w:footnote w:id="40">
    <w:p w14:paraId="2AAB1557" w14:textId="016AB169"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at 1027, per Lord Brightman.</w:t>
      </w:r>
    </w:p>
  </w:footnote>
  <w:footnote w:id="41">
    <w:p w14:paraId="48177238" w14:textId="2F8F2169" w:rsidR="003B7D73" w:rsidRPr="00CA67F0" w:rsidRDefault="003B7D73" w:rsidP="009074D7">
      <w:pPr>
        <w:pStyle w:val="FootnoteText"/>
        <w:rPr>
          <w:rFonts w:asciiTheme="minorHAnsi" w:hAnsiTheme="minorHAnsi" w:cstheme="minorHAnsi"/>
        </w:rPr>
      </w:pPr>
      <w:r w:rsidRPr="00CA67F0">
        <w:rPr>
          <w:rStyle w:val="FootnoteReference"/>
          <w:rFonts w:asciiTheme="minorHAnsi" w:hAnsiTheme="minorHAnsi" w:cstheme="minorHAnsi"/>
        </w:rPr>
        <w:footnoteRef/>
      </w:r>
      <w:r w:rsidRPr="00CA67F0">
        <w:rPr>
          <w:rFonts w:asciiTheme="minorHAnsi" w:hAnsiTheme="minorHAnsi" w:cstheme="minorHAnsi"/>
        </w:rPr>
        <w:t xml:space="preserve"> </w:t>
      </w:r>
      <w:bookmarkStart w:id="22" w:name="_Hlk531770177"/>
      <w:r w:rsidRPr="00CA67F0">
        <w:rPr>
          <w:rFonts w:asciiTheme="minorHAnsi" w:hAnsiTheme="minorHAnsi" w:cstheme="minorHAnsi"/>
          <w:i/>
        </w:rPr>
        <w:t xml:space="preserve">Archer </w:t>
      </w:r>
      <w:bookmarkEnd w:id="22"/>
      <w:r w:rsidRPr="00CA67F0">
        <w:rPr>
          <w:rFonts w:asciiTheme="minorHAnsi" w:hAnsiTheme="minorHAnsi" w:cstheme="minorHAnsi"/>
        </w:rPr>
        <w:t>v</w:t>
      </w:r>
      <w:r w:rsidRPr="00CA67F0">
        <w:rPr>
          <w:rFonts w:asciiTheme="minorHAnsi" w:hAnsiTheme="minorHAnsi" w:cstheme="minorHAnsi"/>
          <w:i/>
        </w:rPr>
        <w:t xml:space="preserve"> Cutler</w:t>
      </w:r>
      <w:r w:rsidRPr="00CA67F0">
        <w:rPr>
          <w:rFonts w:asciiTheme="minorHAnsi" w:hAnsiTheme="minorHAnsi" w:cstheme="minorHAnsi"/>
        </w:rPr>
        <w:t xml:space="preserve"> [1980] 1 NZLR 386.</w:t>
      </w:r>
    </w:p>
  </w:footnote>
  <w:footnote w:id="42">
    <w:p w14:paraId="65865D9F" w14:textId="1F1F9D85"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at 401.</w:t>
      </w:r>
    </w:p>
  </w:footnote>
  <w:footnote w:id="43">
    <w:p w14:paraId="6C196EEF" w14:textId="3BF10E04"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at 402.</w:t>
      </w:r>
    </w:p>
  </w:footnote>
  <w:footnote w:id="44">
    <w:p w14:paraId="3409F22F" w14:textId="6761D70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Hart </w:t>
      </w:r>
      <w:r w:rsidRPr="00CA67F0">
        <w:rPr>
          <w:rFonts w:asciiTheme="minorHAnsi" w:hAnsiTheme="minorHAnsi" w:cstheme="minorHAnsi"/>
        </w:rPr>
        <w:t>[1985] AC 1000, at 1027.</w:t>
      </w:r>
    </w:p>
  </w:footnote>
  <w:footnote w:id="45">
    <w:p w14:paraId="67FE1BEA" w14:textId="298ED3C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David </w:t>
      </w:r>
      <w:bookmarkStart w:id="23" w:name="_Hlk531770989"/>
      <w:r w:rsidRPr="00CA67F0">
        <w:rPr>
          <w:rFonts w:asciiTheme="minorHAnsi" w:hAnsiTheme="minorHAnsi" w:cstheme="minorHAnsi"/>
        </w:rPr>
        <w:t>Tiplady</w:t>
      </w:r>
      <w:bookmarkEnd w:id="23"/>
      <w:r w:rsidRPr="00CA67F0">
        <w:rPr>
          <w:rFonts w:asciiTheme="minorHAnsi" w:hAnsiTheme="minorHAnsi" w:cstheme="minorHAnsi"/>
        </w:rPr>
        <w:t>, ‘The Judicial Control of Contractual Unfairness’ (1983) 46 MLR 601 at 618.</w:t>
      </w:r>
    </w:p>
  </w:footnote>
  <w:footnote w:id="46">
    <w:p w14:paraId="6F37AE3D" w14:textId="44B8F3E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Hudson, above, n 8 at 178.</w:t>
      </w:r>
    </w:p>
  </w:footnote>
  <w:footnote w:id="47">
    <w:p w14:paraId="04AFB878" w14:textId="3F112480" w:rsidR="003B7D73" w:rsidRPr="00CA67F0" w:rsidRDefault="003B7D73">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Hart </w:t>
      </w:r>
      <w:r w:rsidRPr="00CA67F0">
        <w:rPr>
          <w:rFonts w:asciiTheme="minorHAnsi" w:hAnsiTheme="minorHAnsi" w:cstheme="minorHAnsi"/>
        </w:rPr>
        <w:t>[1985] AC 1000, at 1027.</w:t>
      </w:r>
    </w:p>
  </w:footnote>
  <w:footnote w:id="48">
    <w:p w14:paraId="570EBCA1" w14:textId="6C569782" w:rsidR="003B7D73" w:rsidRPr="00CA67F0" w:rsidRDefault="003B7D73">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Molton v Camroux </w:t>
      </w:r>
      <w:r w:rsidRPr="00CA67F0">
        <w:rPr>
          <w:rFonts w:asciiTheme="minorHAnsi" w:hAnsiTheme="minorHAnsi" w:cstheme="minorHAnsi"/>
        </w:rPr>
        <w:t xml:space="preserve">(1848) 2 Exch 487, at 503; </w:t>
      </w:r>
      <w:r w:rsidRPr="00CA67F0">
        <w:rPr>
          <w:rFonts w:asciiTheme="minorHAnsi" w:hAnsiTheme="minorHAnsi" w:cstheme="minorHAnsi"/>
          <w:i/>
        </w:rPr>
        <w:t>Molton v Camroux</w:t>
      </w:r>
      <w:r w:rsidRPr="00CA67F0">
        <w:rPr>
          <w:rFonts w:asciiTheme="minorHAnsi" w:hAnsiTheme="minorHAnsi" w:cstheme="minorHAnsi"/>
        </w:rPr>
        <w:t xml:space="preserve"> (1849) 4 Exch 17, at 17.</w:t>
      </w:r>
    </w:p>
  </w:footnote>
  <w:footnote w:id="49">
    <w:p w14:paraId="6D533AE9" w14:textId="0EFE3EB2" w:rsidR="003B7D73" w:rsidRPr="00CA67F0" w:rsidRDefault="003B7D73">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 xml:space="preserve">[1892] 1 QB 599, at 603. See </w:t>
      </w:r>
      <w:r w:rsidRPr="00CA67F0">
        <w:t>Whittaker, above, n 1</w:t>
      </w:r>
      <w:r w:rsidR="00982389" w:rsidRPr="00CA67F0">
        <w:t>3</w:t>
      </w:r>
      <w:r w:rsidRPr="00CA67F0">
        <w:t xml:space="preserve">, </w:t>
      </w:r>
      <w:r w:rsidRPr="00CA67F0">
        <w:rPr>
          <w:rFonts w:asciiTheme="minorHAnsi" w:hAnsiTheme="minorHAnsi" w:cstheme="minorHAnsi"/>
        </w:rPr>
        <w:t>paras 9-080 and 0-081.</w:t>
      </w:r>
    </w:p>
  </w:footnote>
  <w:footnote w:id="50">
    <w:p w14:paraId="6CB1CF09" w14:textId="0AC2D33D" w:rsidR="003B7D73" w:rsidRPr="00CA67F0" w:rsidRDefault="003B7D73">
      <w:pPr>
        <w:pStyle w:val="FootnoteText"/>
      </w:pPr>
      <w:r w:rsidRPr="00CA67F0">
        <w:rPr>
          <w:rStyle w:val="FootnoteReference"/>
        </w:rPr>
        <w:footnoteRef/>
      </w:r>
      <w:r w:rsidRPr="00CA67F0">
        <w:t xml:space="preserve"> Whittaker, above, n 1</w:t>
      </w:r>
      <w:r w:rsidR="00982389" w:rsidRPr="00CA67F0">
        <w:t>3</w:t>
      </w:r>
      <w:r w:rsidRPr="00CA67F0">
        <w:t xml:space="preserve">, </w:t>
      </w:r>
      <w:r w:rsidRPr="00CA67F0">
        <w:rPr>
          <w:rFonts w:asciiTheme="minorHAnsi" w:hAnsiTheme="minorHAnsi" w:cstheme="minorHAnsi"/>
        </w:rPr>
        <w:t>para 9-083.</w:t>
      </w:r>
    </w:p>
  </w:footnote>
  <w:footnote w:id="51">
    <w:p w14:paraId="68AE6E87" w14:textId="0672FFD4" w:rsidR="003B7D73" w:rsidRPr="00CA67F0" w:rsidRDefault="003B7D73" w:rsidP="009074D7">
      <w:pPr>
        <w:pStyle w:val="FootnoteText"/>
        <w:rPr>
          <w:rFonts w:asciiTheme="minorHAnsi" w:hAnsiTheme="minorHAnsi" w:cstheme="minorHAnsi"/>
        </w:rPr>
      </w:pPr>
      <w:r w:rsidRPr="00CA67F0">
        <w:rPr>
          <w:rStyle w:val="FootnoteReference"/>
          <w:rFonts w:asciiTheme="minorHAnsi" w:hAnsiTheme="minorHAnsi" w:cstheme="minorHAnsi"/>
        </w:rPr>
        <w:footnoteRef/>
      </w:r>
      <w:r w:rsidRPr="00CA67F0">
        <w:rPr>
          <w:rFonts w:asciiTheme="minorHAnsi" w:hAnsiTheme="minorHAnsi" w:cstheme="minorHAnsi"/>
        </w:rPr>
        <w:t xml:space="preserve"> </w:t>
      </w:r>
      <w:bookmarkStart w:id="24" w:name="_Hlk531772130"/>
      <w:r w:rsidRPr="00CA67F0">
        <w:rPr>
          <w:rFonts w:asciiTheme="minorHAnsi" w:hAnsiTheme="minorHAnsi" w:cstheme="minorHAnsi"/>
          <w:i/>
        </w:rPr>
        <w:t xml:space="preserve">York Glass </w:t>
      </w:r>
      <w:bookmarkEnd w:id="24"/>
      <w:r w:rsidRPr="00CA67F0">
        <w:rPr>
          <w:rFonts w:asciiTheme="minorHAnsi" w:hAnsiTheme="minorHAnsi" w:cstheme="minorHAnsi"/>
        </w:rPr>
        <w:t>v</w:t>
      </w:r>
      <w:r w:rsidRPr="00CA67F0">
        <w:rPr>
          <w:rFonts w:asciiTheme="minorHAnsi" w:hAnsiTheme="minorHAnsi" w:cstheme="minorHAnsi"/>
          <w:i/>
        </w:rPr>
        <w:t xml:space="preserve"> Jubb</w:t>
      </w:r>
      <w:r w:rsidRPr="00CA67F0">
        <w:rPr>
          <w:rFonts w:asciiTheme="minorHAnsi" w:hAnsiTheme="minorHAnsi" w:cstheme="minorHAnsi"/>
        </w:rPr>
        <w:t xml:space="preserve"> (1925) 134 LT 36, [1925] All ER 285 at 292. See </w:t>
      </w:r>
      <w:r w:rsidRPr="00CA67F0">
        <w:t>Whittaker, above, n 1</w:t>
      </w:r>
      <w:r w:rsidR="00982389" w:rsidRPr="00CA67F0">
        <w:t>3</w:t>
      </w:r>
      <w:r w:rsidRPr="00CA67F0">
        <w:t xml:space="preserve">, </w:t>
      </w:r>
      <w:r w:rsidRPr="00CA67F0">
        <w:rPr>
          <w:rFonts w:asciiTheme="minorHAnsi" w:hAnsiTheme="minorHAnsi" w:cstheme="minorHAnsi"/>
        </w:rPr>
        <w:t>para 9-082.</w:t>
      </w:r>
    </w:p>
  </w:footnote>
  <w:footnote w:id="52">
    <w:p w14:paraId="04A9736A" w14:textId="63C8DDAF"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Dunhill </w:t>
      </w:r>
      <w:r w:rsidRPr="00CA67F0">
        <w:rPr>
          <w:rFonts w:cstheme="minorHAnsi"/>
        </w:rPr>
        <w:t>[2014] UKSC 18, at 25,</w:t>
      </w:r>
      <w:r w:rsidRPr="00CA67F0">
        <w:t xml:space="preserve"> per Lady Hale.</w:t>
      </w:r>
    </w:p>
  </w:footnote>
  <w:footnote w:id="53">
    <w:p w14:paraId="261B624F" w14:textId="04CD1FFE" w:rsidR="003B7D73" w:rsidRPr="00CA67F0" w:rsidRDefault="003B7D73" w:rsidP="009074D7">
      <w:pPr>
        <w:pStyle w:val="FootnoteText"/>
      </w:pPr>
      <w:r w:rsidRPr="00CA67F0">
        <w:rPr>
          <w:rStyle w:val="FootnoteReference"/>
        </w:rPr>
        <w:footnoteRef/>
      </w:r>
      <w:r w:rsidRPr="00CA67F0">
        <w:t xml:space="preserve"> </w:t>
      </w:r>
      <w:bookmarkStart w:id="25" w:name="_Hlk531772767"/>
      <w:r w:rsidRPr="00CA67F0">
        <w:rPr>
          <w:rFonts w:asciiTheme="minorHAnsi" w:hAnsiTheme="minorHAnsi" w:cstheme="minorHAnsi"/>
          <w:i/>
        </w:rPr>
        <w:t xml:space="preserve">Josife </w:t>
      </w:r>
      <w:bookmarkEnd w:id="25"/>
      <w:r w:rsidRPr="00CA67F0">
        <w:rPr>
          <w:rFonts w:asciiTheme="minorHAnsi" w:hAnsiTheme="minorHAnsi" w:cstheme="minorHAnsi"/>
        </w:rPr>
        <w:t>v</w:t>
      </w:r>
      <w:r w:rsidRPr="00CA67F0">
        <w:rPr>
          <w:rFonts w:asciiTheme="minorHAnsi" w:hAnsiTheme="minorHAnsi" w:cstheme="minorHAnsi"/>
          <w:i/>
        </w:rPr>
        <w:t xml:space="preserve"> Summertrot Holdings</w:t>
      </w:r>
      <w:r w:rsidRPr="00CA67F0">
        <w:rPr>
          <w:rFonts w:asciiTheme="minorHAnsi" w:hAnsiTheme="minorHAnsi" w:cstheme="minorHAnsi"/>
        </w:rPr>
        <w:t xml:space="preserve"> [2014] EWHC 996; [2014] 4 WLUK 181; [2014] BPIR. 1250, at 19, per Norris J. See </w:t>
      </w:r>
      <w:r w:rsidRPr="00CA67F0">
        <w:t>Whittaker, above, n 1</w:t>
      </w:r>
      <w:r w:rsidR="00982389" w:rsidRPr="00CA67F0">
        <w:t>3</w:t>
      </w:r>
      <w:r w:rsidRPr="00CA67F0">
        <w:t>, p</w:t>
      </w:r>
      <w:r w:rsidRPr="00CA67F0">
        <w:rPr>
          <w:rFonts w:asciiTheme="minorHAnsi" w:hAnsiTheme="minorHAnsi" w:cstheme="minorHAnsi"/>
        </w:rPr>
        <w:t>ara 9-078.</w:t>
      </w:r>
    </w:p>
  </w:footnote>
  <w:footnote w:id="54">
    <w:p w14:paraId="67A3E732" w14:textId="10AD4D8A"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[1892] 1 QB 599, at 601, per Lord Esher.</w:t>
      </w:r>
    </w:p>
  </w:footnote>
  <w:footnote w:id="55">
    <w:p w14:paraId="47E7004A" w14:textId="4C50FAA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5, para 10-020.</w:t>
      </w:r>
    </w:p>
  </w:footnote>
  <w:footnote w:id="56">
    <w:p w14:paraId="766F42DB" w14:textId="579D9957"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para 2-009.</w:t>
      </w:r>
    </w:p>
  </w:footnote>
  <w:footnote w:id="57">
    <w:p w14:paraId="0D79933C" w14:textId="59ADFA3E" w:rsidR="003B7D73" w:rsidRPr="00CA67F0" w:rsidRDefault="003B7D73" w:rsidP="009074D7">
      <w:pPr>
        <w:pStyle w:val="FootnoteText"/>
      </w:pPr>
      <w:r w:rsidRPr="00CA67F0">
        <w:rPr>
          <w:rStyle w:val="FootnoteReference"/>
        </w:rPr>
        <w:footnoteRef/>
      </w:r>
      <w:r w:rsidRPr="00CA67F0">
        <w:t xml:space="preserve"> </w:t>
      </w:r>
      <w:bookmarkStart w:id="26" w:name="_Hlk532941328"/>
      <w:r w:rsidRPr="00CA67F0">
        <w:rPr>
          <w:rFonts w:asciiTheme="minorHAnsi" w:hAnsiTheme="minorHAnsi" w:cstheme="minorHAnsi"/>
        </w:rPr>
        <w:t xml:space="preserve">Watts, above, n </w:t>
      </w:r>
      <w:bookmarkEnd w:id="26"/>
      <w:r w:rsidRPr="00CA67F0">
        <w:rPr>
          <w:rFonts w:asciiTheme="minorHAnsi" w:hAnsiTheme="minorHAnsi" w:cstheme="minorHAnsi"/>
        </w:rPr>
        <w:t>3.</w:t>
      </w:r>
    </w:p>
  </w:footnote>
  <w:footnote w:id="58">
    <w:p w14:paraId="02CE9203" w14:textId="1A7E75D5" w:rsidR="003B7D73" w:rsidRPr="00CA67F0" w:rsidRDefault="003B7D73" w:rsidP="009074D7">
      <w:pPr>
        <w:pStyle w:val="FootnoteText"/>
        <w:rPr>
          <w:i/>
        </w:rPr>
      </w:pPr>
      <w:r w:rsidRPr="00CA67F0">
        <w:rPr>
          <w:rStyle w:val="FootnoteReference"/>
        </w:rPr>
        <w:footnoteRef/>
      </w:r>
      <w:r w:rsidRPr="00CA67F0">
        <w:rPr>
          <w:rFonts w:asciiTheme="minorHAnsi" w:hAnsiTheme="minorHAnsi" w:cstheme="minorHAnsi"/>
          <w:szCs w:val="22"/>
        </w:rPr>
        <w:t xml:space="preserve"> Ibid</w:t>
      </w:r>
      <w:r w:rsidRPr="00CA67F0">
        <w:rPr>
          <w:rFonts w:asciiTheme="minorHAnsi" w:hAnsiTheme="minorHAnsi" w:cstheme="minorHAnsi"/>
          <w:i/>
          <w:szCs w:val="22"/>
        </w:rPr>
        <w:t>,</w:t>
      </w:r>
      <w:r w:rsidRPr="00CA67F0">
        <w:rPr>
          <w:rFonts w:asciiTheme="minorHAnsi" w:hAnsiTheme="minorHAnsi" w:cstheme="minorHAnsi"/>
          <w:szCs w:val="22"/>
        </w:rPr>
        <w:t xml:space="preserve"> p </w:t>
      </w:r>
      <w:r w:rsidRPr="00CA67F0">
        <w:rPr>
          <w:rFonts w:asciiTheme="minorHAnsi" w:hAnsiTheme="minorHAnsi" w:cstheme="minorHAnsi"/>
        </w:rPr>
        <w:t>144</w:t>
      </w:r>
      <w:r w:rsidRPr="00CA67F0">
        <w:rPr>
          <w:rFonts w:asciiTheme="minorHAnsi" w:hAnsiTheme="minorHAnsi" w:cstheme="minorHAnsi"/>
          <w:szCs w:val="22"/>
        </w:rPr>
        <w:t>.</w:t>
      </w:r>
    </w:p>
  </w:footnote>
  <w:footnote w:id="59">
    <w:p w14:paraId="7FF6E6AC" w14:textId="27CB92AF"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Ibid</w:t>
      </w:r>
      <w:r w:rsidRPr="00CA67F0">
        <w:rPr>
          <w:rFonts w:asciiTheme="minorHAnsi" w:hAnsiTheme="minorHAnsi" w:cstheme="minorHAnsi"/>
        </w:rPr>
        <w:t>.</w:t>
      </w:r>
    </w:p>
  </w:footnote>
  <w:footnote w:id="60">
    <w:p w14:paraId="37E1A496" w14:textId="12A69683" w:rsidR="003B7D73" w:rsidRPr="00CA67F0" w:rsidRDefault="003B7D73" w:rsidP="009074D7">
      <w:pPr>
        <w:pStyle w:val="FootnoteText"/>
        <w:rPr>
          <w:rFonts w:asciiTheme="minorHAnsi" w:hAnsiTheme="minorHAnsi" w:cstheme="minorHAnsi"/>
          <w:i/>
        </w:rPr>
      </w:pPr>
      <w:r w:rsidRPr="00CA67F0">
        <w:rPr>
          <w:rStyle w:val="FootnoteReference"/>
        </w:rPr>
        <w:footnoteRef/>
      </w:r>
      <w:r w:rsidRPr="00CA67F0">
        <w:t xml:space="preserve"> Ibid</w:t>
      </w:r>
      <w:r w:rsidRPr="00CA67F0">
        <w:rPr>
          <w:rFonts w:asciiTheme="minorHAnsi" w:hAnsiTheme="minorHAnsi" w:cstheme="minorHAnsi"/>
        </w:rPr>
        <w:t xml:space="preserve">, p 140; See </w:t>
      </w:r>
      <w:bookmarkStart w:id="27" w:name="_Hlk531779529"/>
      <w:r w:rsidRPr="00CA67F0">
        <w:rPr>
          <w:rFonts w:asciiTheme="minorHAnsi" w:hAnsiTheme="minorHAnsi" w:cstheme="minorHAnsi"/>
          <w:i/>
        </w:rPr>
        <w:t xml:space="preserve">Rama </w:t>
      </w:r>
      <w:bookmarkEnd w:id="27"/>
      <w:r w:rsidRPr="00CA67F0">
        <w:rPr>
          <w:rFonts w:asciiTheme="minorHAnsi" w:hAnsiTheme="minorHAnsi" w:cstheme="minorHAnsi"/>
          <w:i/>
        </w:rPr>
        <w:t xml:space="preserve">Corporation v Proved Tin &amp; General Investments </w:t>
      </w:r>
      <w:r w:rsidRPr="00CA67F0">
        <w:rPr>
          <w:rFonts w:asciiTheme="minorHAnsi" w:hAnsiTheme="minorHAnsi" w:cstheme="minorHAnsi"/>
        </w:rPr>
        <w:t>[1952] 2 QB 147.</w:t>
      </w:r>
    </w:p>
  </w:footnote>
  <w:footnote w:id="61">
    <w:p w14:paraId="281F3122" w14:textId="0266013B"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143.</w:t>
      </w:r>
      <w:r w:rsidRPr="00CA67F0">
        <w:t xml:space="preserve"> </w:t>
      </w:r>
    </w:p>
  </w:footnote>
  <w:footnote w:id="62">
    <w:p w14:paraId="711B665C" w14:textId="1E49ECB5"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 153;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63">
    <w:p w14:paraId="4DEFF85F" w14:textId="3719B1B6"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Rama </w:t>
      </w:r>
      <w:r w:rsidRPr="00CA67F0">
        <w:rPr>
          <w:rFonts w:asciiTheme="minorHAnsi" w:hAnsiTheme="minorHAnsi" w:cstheme="minorHAnsi"/>
        </w:rPr>
        <w:t>[1952] 2 QB 147.</w:t>
      </w:r>
    </w:p>
  </w:footnote>
  <w:footnote w:id="64">
    <w:p w14:paraId="394F41B7" w14:textId="150A9F0B"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65">
    <w:p w14:paraId="5CEA3607" w14:textId="538437D2"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153.</w:t>
      </w:r>
    </w:p>
  </w:footnote>
  <w:footnote w:id="66">
    <w:p w14:paraId="415DE697" w14:textId="77363567"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Ibid</w:t>
      </w:r>
      <w:r w:rsidRPr="00CA67F0">
        <w:rPr>
          <w:rFonts w:asciiTheme="minorHAnsi" w:hAnsiTheme="minorHAnsi" w:cstheme="minorHAnsi"/>
          <w:i/>
        </w:rPr>
        <w:t>,</w:t>
      </w:r>
      <w:r w:rsidRPr="00CA67F0">
        <w:rPr>
          <w:rFonts w:asciiTheme="minorHAnsi" w:hAnsiTheme="minorHAnsi" w:cstheme="minorHAnsi"/>
        </w:rPr>
        <w:t xml:space="preserve"> p 141</w:t>
      </w:r>
      <w:r w:rsidRPr="00CA67F0">
        <w:rPr>
          <w:rFonts w:asciiTheme="minorHAnsi" w:hAnsiTheme="minorHAnsi" w:cstheme="minorHAnsi"/>
          <w:szCs w:val="22"/>
        </w:rPr>
        <w:t>.</w:t>
      </w:r>
    </w:p>
  </w:footnote>
  <w:footnote w:id="67">
    <w:p w14:paraId="0794F83A" w14:textId="72F66494" w:rsidR="003B7D73" w:rsidRPr="00CA67F0" w:rsidRDefault="003B7D73" w:rsidP="009074D7">
      <w:pPr>
        <w:pStyle w:val="FootnoteText"/>
      </w:pPr>
      <w:r w:rsidRPr="00CA67F0">
        <w:rPr>
          <w:rStyle w:val="FootnoteReference"/>
        </w:rPr>
        <w:footnoteRef/>
      </w:r>
      <w:r w:rsidRPr="00CA67F0">
        <w:t xml:space="preserve"> Ibid.</w:t>
      </w:r>
    </w:p>
  </w:footnote>
  <w:footnote w:id="68">
    <w:p w14:paraId="08C2A953" w14:textId="40511282" w:rsidR="003B7D73" w:rsidRPr="00CA67F0" w:rsidRDefault="003B7D73" w:rsidP="009074D7">
      <w:pPr>
        <w:pStyle w:val="FootnoteText"/>
      </w:pPr>
      <w:r w:rsidRPr="00CA67F0">
        <w:rPr>
          <w:rStyle w:val="FootnoteReference"/>
        </w:rPr>
        <w:footnoteRef/>
      </w:r>
      <w:r w:rsidRPr="00CA67F0">
        <w:t xml:space="preserve"> F </w:t>
      </w:r>
      <w:r w:rsidRPr="00CA67F0">
        <w:rPr>
          <w:rFonts w:asciiTheme="minorHAnsi" w:hAnsiTheme="minorHAnsi" w:cstheme="minorHAnsi"/>
          <w:szCs w:val="22"/>
        </w:rPr>
        <w:t xml:space="preserve">Pollock, </w:t>
      </w:r>
      <w:r w:rsidRPr="00CA67F0">
        <w:rPr>
          <w:rFonts w:asciiTheme="minorHAnsi" w:hAnsiTheme="minorHAnsi" w:cstheme="minorHAnsi"/>
          <w:i/>
          <w:szCs w:val="22"/>
        </w:rPr>
        <w:t>Principles of Contract</w:t>
      </w:r>
      <w:r w:rsidRPr="00CA67F0">
        <w:rPr>
          <w:rFonts w:asciiTheme="minorHAnsi" w:hAnsiTheme="minorHAnsi" w:cstheme="minorHAnsi"/>
          <w:szCs w:val="22"/>
        </w:rPr>
        <w:t>, 13</w:t>
      </w:r>
      <w:r w:rsidRPr="00CA67F0">
        <w:rPr>
          <w:rFonts w:asciiTheme="minorHAnsi" w:hAnsiTheme="minorHAnsi" w:cstheme="minorHAnsi"/>
          <w:szCs w:val="22"/>
          <w:vertAlign w:val="superscript"/>
        </w:rPr>
        <w:t>th</w:t>
      </w:r>
      <w:r w:rsidRPr="00CA67F0">
        <w:rPr>
          <w:rFonts w:asciiTheme="minorHAnsi" w:hAnsiTheme="minorHAnsi" w:cstheme="minorHAnsi"/>
          <w:szCs w:val="22"/>
        </w:rPr>
        <w:t xml:space="preserve"> edn, Stevens &amp; Sons, London, 1950, 45.</w:t>
      </w:r>
    </w:p>
  </w:footnote>
  <w:footnote w:id="69">
    <w:p w14:paraId="4A354396" w14:textId="4A25E167"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Gerard</w:t>
      </w:r>
      <w:r w:rsidRPr="00CA67F0">
        <w:rPr>
          <w:rFonts w:asciiTheme="minorHAnsi" w:hAnsiTheme="minorHAnsi" w:cstheme="minorHAnsi"/>
        </w:rPr>
        <w:t xml:space="preserve"> McMeel, ‘Philosophical Foundations of the Law of Agency’ (2000) 116 LQR 387.</w:t>
      </w:r>
    </w:p>
  </w:footnote>
  <w:footnote w:id="70">
    <w:p w14:paraId="0EE74A63" w14:textId="1AC4EF31"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bookmarkStart w:id="28" w:name="_Hlk531782699"/>
      <w:r w:rsidRPr="00CA67F0">
        <w:rPr>
          <w:rFonts w:asciiTheme="minorHAnsi" w:hAnsiTheme="minorHAnsi" w:cstheme="minorHAnsi"/>
          <w:i/>
        </w:rPr>
        <w:t xml:space="preserve">Collen </w:t>
      </w:r>
      <w:bookmarkEnd w:id="28"/>
      <w:r w:rsidRPr="00CA67F0">
        <w:rPr>
          <w:rFonts w:asciiTheme="minorHAnsi" w:hAnsiTheme="minorHAnsi" w:cstheme="minorHAnsi"/>
          <w:i/>
        </w:rPr>
        <w:t>v Wright</w:t>
      </w:r>
      <w:r w:rsidRPr="00CA67F0">
        <w:rPr>
          <w:rFonts w:asciiTheme="minorHAnsi" w:hAnsiTheme="minorHAnsi" w:cstheme="minorHAnsi"/>
        </w:rPr>
        <w:t xml:space="preserve"> (1857) 8 E &amp; B 647.</w:t>
      </w:r>
    </w:p>
  </w:footnote>
  <w:footnote w:id="71">
    <w:p w14:paraId="3F6F3DE4" w14:textId="125E506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xml:space="preserve">, para 10-020; </w:t>
      </w:r>
      <w:r w:rsidRPr="00CA67F0">
        <w:rPr>
          <w:rFonts w:asciiTheme="minorHAnsi" w:hAnsiTheme="minorHAnsi" w:cstheme="minorHAnsi"/>
          <w:i/>
        </w:rPr>
        <w:t xml:space="preserve">Rama </w:t>
      </w:r>
      <w:r w:rsidRPr="00CA67F0">
        <w:rPr>
          <w:rFonts w:asciiTheme="minorHAnsi" w:hAnsiTheme="minorHAnsi" w:cstheme="minorHAnsi"/>
        </w:rPr>
        <w:t>[1952] 2 QB 147.</w:t>
      </w:r>
    </w:p>
  </w:footnote>
  <w:footnote w:id="72">
    <w:p w14:paraId="6591B146" w14:textId="4F0C920F"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rPr>
        <w:t xml:space="preserve">Collen </w:t>
      </w:r>
      <w:r w:rsidRPr="00CA67F0">
        <w:rPr>
          <w:rFonts w:asciiTheme="minorHAnsi" w:hAnsiTheme="minorHAnsi" w:cstheme="minorHAnsi"/>
        </w:rPr>
        <w:t>(1857) 8 E &amp; B 647.</w:t>
      </w:r>
    </w:p>
  </w:footnote>
  <w:footnote w:id="73">
    <w:p w14:paraId="374FA23B" w14:textId="6400A2F9" w:rsidR="003B7D73" w:rsidRPr="00CA67F0" w:rsidRDefault="003B7D73" w:rsidP="009074D7">
      <w:pPr>
        <w:pStyle w:val="FootnoteText"/>
      </w:pPr>
      <w:r w:rsidRPr="00CA67F0">
        <w:rPr>
          <w:rStyle w:val="FootnoteReference"/>
        </w:rPr>
        <w:footnoteRef/>
      </w:r>
      <w:r w:rsidRPr="00CA67F0">
        <w:t xml:space="preserve"> </w:t>
      </w:r>
      <w:bookmarkStart w:id="29" w:name="_Hlk531869087"/>
      <w:r w:rsidRPr="00CA67F0">
        <w:rPr>
          <w:i/>
        </w:rPr>
        <w:t xml:space="preserve">Jones </w:t>
      </w:r>
      <w:bookmarkEnd w:id="29"/>
      <w:r w:rsidRPr="00CA67F0">
        <w:rPr>
          <w:i/>
        </w:rPr>
        <w:t>v Hope</w:t>
      </w:r>
      <w:r w:rsidRPr="00CA67F0">
        <w:t xml:space="preserve"> (1880) 3 TLR 247.</w:t>
      </w:r>
    </w:p>
  </w:footnote>
  <w:footnote w:id="74">
    <w:p w14:paraId="4ABBF305" w14:textId="474036F8" w:rsidR="003B7D73" w:rsidRPr="00CA67F0" w:rsidRDefault="003B7D73" w:rsidP="009074D7">
      <w:pPr>
        <w:pStyle w:val="FootnoteText"/>
      </w:pPr>
      <w:r w:rsidRPr="00CA67F0">
        <w:rPr>
          <w:rStyle w:val="FootnoteReference"/>
        </w:rPr>
        <w:footnoteRef/>
      </w:r>
      <w:r w:rsidRPr="00CA67F0">
        <w:rPr>
          <w:rFonts w:asciiTheme="minorHAnsi" w:hAnsiTheme="minorHAnsi" w:cstheme="minorHAnsi"/>
        </w:rPr>
        <w:t xml:space="preserve"> Watts, above, n </w:t>
      </w:r>
      <w:r w:rsidR="00982389" w:rsidRPr="00CA67F0">
        <w:rPr>
          <w:rFonts w:asciiTheme="minorHAnsi" w:hAnsiTheme="minorHAnsi" w:cstheme="minorHAnsi"/>
        </w:rPr>
        <w:t>5</w:t>
      </w:r>
      <w:r w:rsidRPr="00CA67F0">
        <w:rPr>
          <w:rFonts w:asciiTheme="minorHAnsi" w:hAnsiTheme="minorHAnsi" w:cstheme="minorHAnsi"/>
        </w:rPr>
        <w:t xml:space="preserve">, para 10-026, with reference to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at 36 and </w:t>
      </w:r>
      <w:r w:rsidRPr="00CA67F0">
        <w:rPr>
          <w:rFonts w:asciiTheme="minorHAnsi" w:hAnsiTheme="minorHAnsi" w:cstheme="minorHAnsi"/>
          <w:i/>
        </w:rPr>
        <w:t>Fore Street Warehouse v Durrant</w:t>
      </w:r>
      <w:r w:rsidRPr="00CA67F0">
        <w:rPr>
          <w:rFonts w:asciiTheme="minorHAnsi" w:hAnsiTheme="minorHAnsi" w:cstheme="minorHAnsi"/>
        </w:rPr>
        <w:t xml:space="preserve"> (1883) 10 QBD 471.</w:t>
      </w:r>
    </w:p>
  </w:footnote>
  <w:footnote w:id="75">
    <w:p w14:paraId="02B7D742" w14:textId="57448E44"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para 2-009.</w:t>
      </w:r>
    </w:p>
  </w:footnote>
  <w:footnote w:id="76">
    <w:p w14:paraId="6ECDD6A3" w14:textId="2A44F9BF"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A </w:t>
      </w:r>
      <w:bookmarkStart w:id="30" w:name="_Hlk522291102"/>
      <w:bookmarkStart w:id="31" w:name="_Hlk532942063"/>
      <w:r w:rsidRPr="00CA67F0">
        <w:rPr>
          <w:rFonts w:asciiTheme="minorHAnsi" w:hAnsiTheme="minorHAnsi" w:cstheme="minorHAnsi"/>
        </w:rPr>
        <w:t>Hudson</w:t>
      </w:r>
      <w:bookmarkEnd w:id="30"/>
      <w:r w:rsidRPr="00CA67F0">
        <w:rPr>
          <w:rFonts w:asciiTheme="minorHAnsi" w:hAnsiTheme="minorHAnsi" w:cstheme="minorHAnsi"/>
        </w:rPr>
        <w:t xml:space="preserve">, ‘Agency and Insanity’ </w:t>
      </w:r>
      <w:bookmarkEnd w:id="31"/>
      <w:r w:rsidRPr="00CA67F0">
        <w:rPr>
          <w:rFonts w:asciiTheme="minorHAnsi" w:hAnsiTheme="minorHAnsi" w:cstheme="minorHAnsi"/>
        </w:rPr>
        <w:t xml:space="preserve">(1959) 37 </w:t>
      </w:r>
      <w:r w:rsidRPr="00CA67F0">
        <w:rPr>
          <w:rFonts w:asciiTheme="minorHAnsi" w:hAnsiTheme="minorHAnsi" w:cstheme="minorHAnsi"/>
          <w:i/>
        </w:rPr>
        <w:t>Canadian Bar Review</w:t>
      </w:r>
      <w:r w:rsidRPr="00CA67F0">
        <w:rPr>
          <w:rFonts w:asciiTheme="minorHAnsi" w:hAnsiTheme="minorHAnsi" w:cstheme="minorHAnsi"/>
        </w:rPr>
        <w:t xml:space="preserve"> 497.</w:t>
      </w:r>
    </w:p>
  </w:footnote>
  <w:footnote w:id="77">
    <w:p w14:paraId="0A740677" w14:textId="728BBBD2" w:rsidR="003B7D73" w:rsidRPr="00CA67F0" w:rsidRDefault="003B7D73" w:rsidP="009074D7">
      <w:pPr>
        <w:pStyle w:val="FootnoteText"/>
        <w:rPr>
          <w:rFonts w:cstheme="minorHAnsi"/>
        </w:rPr>
      </w:pPr>
      <w:r w:rsidRPr="00CA67F0">
        <w:rPr>
          <w:rStyle w:val="FootnoteReference"/>
        </w:rPr>
        <w:footnoteRef/>
      </w:r>
      <w:r w:rsidRPr="00CA67F0">
        <w:t xml:space="preserve"> Ibid</w:t>
      </w:r>
      <w:r w:rsidRPr="00CA67F0">
        <w:rPr>
          <w:i/>
        </w:rPr>
        <w:t>,</w:t>
      </w:r>
      <w:r w:rsidRPr="00CA67F0">
        <w:t xml:space="preserve"> p 498. See </w:t>
      </w:r>
      <w:bookmarkStart w:id="32" w:name="_Hlk531860792"/>
      <w:r w:rsidRPr="00CA67F0">
        <w:rPr>
          <w:rFonts w:cstheme="minorHAnsi"/>
          <w:i/>
        </w:rPr>
        <w:t xml:space="preserve">Drew </w:t>
      </w:r>
      <w:bookmarkEnd w:id="32"/>
      <w:r w:rsidRPr="00CA67F0">
        <w:rPr>
          <w:rFonts w:cstheme="minorHAnsi"/>
          <w:i/>
        </w:rPr>
        <w:t>v Nunn</w:t>
      </w:r>
      <w:r w:rsidRPr="00CA67F0">
        <w:rPr>
          <w:rFonts w:cstheme="minorHAnsi"/>
        </w:rPr>
        <w:t xml:space="preserve"> (1879) 4 QBD 661.</w:t>
      </w:r>
    </w:p>
  </w:footnote>
  <w:footnote w:id="78">
    <w:p w14:paraId="01B4C0E6" w14:textId="2E66C65B"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pp 498-499.</w:t>
      </w:r>
    </w:p>
  </w:footnote>
  <w:footnote w:id="79">
    <w:p w14:paraId="774E9DFA" w14:textId="0589ABFA" w:rsidR="003B7D73" w:rsidRPr="00CA67F0" w:rsidRDefault="003B7D73" w:rsidP="009074D7">
      <w:pPr>
        <w:pStyle w:val="FootnoteText"/>
      </w:pPr>
      <w:r w:rsidRPr="00CA67F0">
        <w:rPr>
          <w:rStyle w:val="FootnoteReference"/>
        </w:rPr>
        <w:footnoteRef/>
      </w:r>
      <w:r w:rsidRPr="00CA67F0">
        <w:t xml:space="preserve"> Ibid. See </w:t>
      </w:r>
      <w:bookmarkStart w:id="33" w:name="_Hlk531778940"/>
      <w:r w:rsidRPr="00CA67F0">
        <w:rPr>
          <w:rFonts w:asciiTheme="minorHAnsi" w:hAnsiTheme="minorHAnsi" w:cstheme="minorHAnsi"/>
        </w:rPr>
        <w:t xml:space="preserve">Watts, above, n </w:t>
      </w:r>
      <w:bookmarkEnd w:id="33"/>
      <w:r w:rsidRPr="00CA67F0">
        <w:rPr>
          <w:rFonts w:asciiTheme="minorHAnsi" w:hAnsiTheme="minorHAnsi" w:cstheme="minorHAnsi"/>
        </w:rPr>
        <w:t>3 at 153.</w:t>
      </w:r>
    </w:p>
  </w:footnote>
  <w:footnote w:id="80">
    <w:p w14:paraId="41123AE0" w14:textId="0D974E2B"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Hudson, above, n 75 at 503.</w:t>
      </w:r>
    </w:p>
  </w:footnote>
  <w:footnote w:id="81">
    <w:p w14:paraId="1143656F" w14:textId="009E91E1" w:rsidR="003B7D73" w:rsidRPr="00CA67F0" w:rsidRDefault="003B7D73" w:rsidP="009074D7">
      <w:pPr>
        <w:pStyle w:val="FootnoteText"/>
      </w:pPr>
      <w:r w:rsidRPr="00CA67F0">
        <w:rPr>
          <w:rStyle w:val="FootnoteReference"/>
        </w:rPr>
        <w:footnoteRef/>
      </w:r>
      <w:r w:rsidRPr="00CA67F0">
        <w:t xml:space="preserve"> </w:t>
      </w:r>
      <w:r w:rsidRPr="00CA67F0">
        <w:rPr>
          <w:i/>
        </w:rPr>
        <w:t xml:space="preserve">Daily Telegraph v </w:t>
      </w:r>
      <w:bookmarkStart w:id="34" w:name="_Hlk531861393"/>
      <w:r w:rsidRPr="00CA67F0">
        <w:rPr>
          <w:i/>
        </w:rPr>
        <w:t>McLaughlin</w:t>
      </w:r>
      <w:r w:rsidRPr="00CA67F0">
        <w:t xml:space="preserve"> </w:t>
      </w:r>
      <w:bookmarkEnd w:id="34"/>
      <w:r w:rsidRPr="00CA67F0">
        <w:t>[1904] AC 776.</w:t>
      </w:r>
    </w:p>
  </w:footnote>
  <w:footnote w:id="82">
    <w:p w14:paraId="43DC368D" w14:textId="1B696745" w:rsidR="003B7D73" w:rsidRPr="00CA67F0" w:rsidRDefault="003B7D73" w:rsidP="009074D7">
      <w:pPr>
        <w:pStyle w:val="FootnoteText"/>
      </w:pPr>
      <w:r w:rsidRPr="00CA67F0">
        <w:rPr>
          <w:rStyle w:val="FootnoteReference"/>
        </w:rPr>
        <w:footnoteRef/>
      </w:r>
      <w:r w:rsidRPr="00CA67F0">
        <w:t xml:space="preserve"> </w:t>
      </w:r>
      <w:r w:rsidRPr="00CA67F0">
        <w:rPr>
          <w:i/>
        </w:rPr>
        <w:t xml:space="preserve">Daily Telegraph v </w:t>
      </w:r>
      <w:bookmarkStart w:id="35" w:name="_Hlk531867200"/>
      <w:r w:rsidRPr="00CA67F0">
        <w:rPr>
          <w:i/>
        </w:rPr>
        <w:t xml:space="preserve">McLaughlin </w:t>
      </w:r>
      <w:bookmarkEnd w:id="35"/>
      <w:r w:rsidRPr="00CA67F0">
        <w:t>(1904) 1 CLR 423. See</w:t>
      </w:r>
      <w:r w:rsidRPr="00CA67F0">
        <w:rPr>
          <w:rFonts w:asciiTheme="minorHAnsi" w:hAnsiTheme="minorHAnsi" w:cstheme="minorHAnsi"/>
        </w:rPr>
        <w:t xml:space="preserve"> Hudson, above, n 75, p 498.</w:t>
      </w:r>
    </w:p>
  </w:footnote>
  <w:footnote w:id="83">
    <w:p w14:paraId="21646B10" w14:textId="008E7BAB"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i/>
        </w:rPr>
        <w:t>McLaughlin</w:t>
      </w:r>
      <w:r w:rsidRPr="00CA67F0">
        <w:t xml:space="preserve"> [1904] AC 776, at 779-780, per Lord Macnaghten. See F </w:t>
      </w:r>
      <w:bookmarkStart w:id="36" w:name="_Hlk531864112"/>
      <w:r w:rsidRPr="00CA67F0">
        <w:t xml:space="preserve">Reynolds, ‘Agency’ </w:t>
      </w:r>
      <w:bookmarkEnd w:id="36"/>
      <w:r w:rsidRPr="00CA67F0">
        <w:t xml:space="preserve">in </w:t>
      </w:r>
      <w:r w:rsidRPr="00CA67F0">
        <w:rPr>
          <w:rFonts w:asciiTheme="minorHAnsi" w:hAnsiTheme="minorHAnsi" w:cstheme="minorHAnsi"/>
        </w:rPr>
        <w:t xml:space="preserve">H Beale et.al, eds, </w:t>
      </w:r>
      <w:r w:rsidRPr="00CA67F0">
        <w:rPr>
          <w:rFonts w:asciiTheme="minorHAnsi" w:hAnsiTheme="minorHAnsi" w:cstheme="minorHAnsi"/>
          <w:i/>
        </w:rPr>
        <w:t xml:space="preserve">Chitty on Contracts, </w:t>
      </w:r>
      <w:r w:rsidRPr="00CA67F0">
        <w:rPr>
          <w:rFonts w:asciiTheme="minorHAnsi" w:hAnsiTheme="minorHAnsi" w:cstheme="minorHAnsi"/>
        </w:rPr>
        <w:t>33</w:t>
      </w:r>
      <w:r w:rsidRPr="00CA67F0">
        <w:rPr>
          <w:rFonts w:asciiTheme="minorHAnsi" w:hAnsiTheme="minorHAnsi" w:cstheme="minorHAnsi"/>
          <w:vertAlign w:val="superscript"/>
        </w:rPr>
        <w:t>rd</w:t>
      </w:r>
      <w:r w:rsidRPr="00CA67F0">
        <w:rPr>
          <w:rFonts w:asciiTheme="minorHAnsi" w:hAnsiTheme="minorHAnsi" w:cstheme="minorHAnsi"/>
        </w:rPr>
        <w:t xml:space="preserve"> edn, Sweet and Maxwell, London 2018, para 31-038. This article is not concerned with the grant of authority under a power of attorney and makes no reference to powers of attorney under the </w:t>
      </w:r>
      <w:r w:rsidRPr="00CA67F0">
        <w:rPr>
          <w:rFonts w:asciiTheme="minorHAnsi" w:hAnsiTheme="minorHAnsi" w:cstheme="minorHAnsi"/>
          <w:i/>
        </w:rPr>
        <w:t>Powers of Attorney Act</w:t>
      </w:r>
      <w:r w:rsidRPr="00CA67F0">
        <w:rPr>
          <w:rFonts w:asciiTheme="minorHAnsi" w:hAnsiTheme="minorHAnsi" w:cstheme="minorHAnsi"/>
        </w:rPr>
        <w:t xml:space="preserve"> 1971 or lasting powers of attorney under the Mental Capacity Act</w:t>
      </w:r>
      <w:r w:rsidRPr="00CA67F0">
        <w:rPr>
          <w:rFonts w:asciiTheme="minorHAnsi" w:hAnsiTheme="minorHAnsi" w:cstheme="minorHAnsi"/>
          <w:i/>
        </w:rPr>
        <w:t xml:space="preserve"> </w:t>
      </w:r>
      <w:r w:rsidRPr="00CA67F0">
        <w:rPr>
          <w:rFonts w:asciiTheme="minorHAnsi" w:hAnsiTheme="minorHAnsi" w:cstheme="minorHAnsi"/>
        </w:rPr>
        <w:t xml:space="preserve">2005. For a discussion of these issues, see </w:t>
      </w:r>
      <w:r w:rsidRPr="00CA67F0">
        <w:t>Whittaker, above, n 1</w:t>
      </w:r>
      <w:r w:rsidR="00982389" w:rsidRPr="00CA67F0">
        <w:t>3</w:t>
      </w:r>
      <w:r w:rsidRPr="00CA67F0">
        <w:t xml:space="preserve">, </w:t>
      </w:r>
      <w:r w:rsidRPr="00CA67F0">
        <w:rPr>
          <w:rFonts w:asciiTheme="minorHAnsi" w:hAnsiTheme="minorHAnsi" w:cstheme="minorHAnsi"/>
        </w:rPr>
        <w:t xml:space="preserve">paras 9-103 and 9-104. </w:t>
      </w:r>
    </w:p>
  </w:footnote>
  <w:footnote w:id="84">
    <w:p w14:paraId="7A68C359" w14:textId="0FB32660"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Reynolds, above, n 82 at para </w:t>
      </w:r>
      <w:r w:rsidRPr="00CA67F0">
        <w:rPr>
          <w:rFonts w:asciiTheme="minorHAnsi" w:hAnsiTheme="minorHAnsi" w:cstheme="minorHAnsi"/>
        </w:rPr>
        <w:t xml:space="preserve">31-038; </w:t>
      </w:r>
      <w:bookmarkStart w:id="37" w:name="_Hlk532941202"/>
      <w:r w:rsidRPr="00CA67F0">
        <w:rPr>
          <w:rFonts w:asciiTheme="minorHAnsi" w:hAnsiTheme="minorHAnsi" w:cstheme="minorHAnsi"/>
        </w:rPr>
        <w:t xml:space="preserve">Burrows, above, n </w:t>
      </w:r>
      <w:bookmarkEnd w:id="37"/>
      <w:r w:rsidRPr="00CA67F0">
        <w:rPr>
          <w:rFonts w:asciiTheme="minorHAnsi" w:hAnsiTheme="minorHAnsi" w:cstheme="minorHAnsi"/>
        </w:rPr>
        <w:t xml:space="preserve">20, para 35(5); H Beale ‘Mistakes as to the Terms or as to Identity’ in H Beale et.al, eds, </w:t>
      </w:r>
      <w:r w:rsidRPr="00CA67F0">
        <w:rPr>
          <w:rFonts w:asciiTheme="minorHAnsi" w:hAnsiTheme="minorHAnsi" w:cstheme="minorHAnsi"/>
          <w:i/>
        </w:rPr>
        <w:t>Chitty on Contracts</w:t>
      </w:r>
      <w:r w:rsidRPr="00CA67F0">
        <w:rPr>
          <w:rFonts w:asciiTheme="minorHAnsi" w:hAnsiTheme="minorHAnsi" w:cstheme="minorHAnsi"/>
        </w:rPr>
        <w:t xml:space="preserve">, 33rd edn, Sweet and Maxwell, London 2018, para 3-049 et. seq. See </w:t>
      </w:r>
      <w:r w:rsidRPr="00CA67F0">
        <w:rPr>
          <w:rFonts w:asciiTheme="minorHAnsi" w:hAnsiTheme="minorHAnsi" w:cstheme="minorHAnsi"/>
          <w:i/>
        </w:rPr>
        <w:t>Thoroughgood's Case</w:t>
      </w:r>
      <w:r w:rsidRPr="00CA67F0">
        <w:rPr>
          <w:rFonts w:asciiTheme="minorHAnsi" w:hAnsiTheme="minorHAnsi" w:cstheme="minorHAnsi"/>
        </w:rPr>
        <w:t xml:space="preserve"> (1584) 2 Co. Rep. 9; </w:t>
      </w:r>
      <w:r w:rsidRPr="00CA67F0">
        <w:rPr>
          <w:rFonts w:asciiTheme="minorHAnsi" w:hAnsiTheme="minorHAnsi" w:cstheme="minorHAnsi"/>
          <w:i/>
        </w:rPr>
        <w:t xml:space="preserve">Saunders v Anglia Building Society </w:t>
      </w:r>
      <w:r w:rsidRPr="00CA67F0">
        <w:rPr>
          <w:rFonts w:asciiTheme="minorHAnsi" w:hAnsiTheme="minorHAnsi" w:cstheme="minorHAnsi"/>
        </w:rPr>
        <w:t xml:space="preserve">[1971] AC 1004; </w:t>
      </w:r>
      <w:r w:rsidRPr="00CA67F0">
        <w:rPr>
          <w:rFonts w:asciiTheme="minorHAnsi" w:hAnsiTheme="minorHAnsi" w:cstheme="minorHAnsi"/>
          <w:i/>
        </w:rPr>
        <w:t>Yedina v Yedin</w:t>
      </w:r>
      <w:r w:rsidRPr="00CA67F0">
        <w:rPr>
          <w:rFonts w:asciiTheme="minorHAnsi" w:hAnsiTheme="minorHAnsi" w:cstheme="minorHAnsi"/>
        </w:rPr>
        <w:t xml:space="preserve"> [2017] EWHC 3319 (Ch).</w:t>
      </w:r>
    </w:p>
  </w:footnote>
  <w:footnote w:id="85">
    <w:p w14:paraId="39781629" w14:textId="66D3FB94"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86">
    <w:p w14:paraId="6657213C" w14:textId="6D673A46"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142.</w:t>
      </w:r>
    </w:p>
  </w:footnote>
  <w:footnote w:id="87">
    <w:p w14:paraId="61FA575A" w14:textId="4F4E204A"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bookmarkStart w:id="38" w:name="_Hlk531866362"/>
      <w:r w:rsidRPr="00CA67F0">
        <w:rPr>
          <w:rFonts w:asciiTheme="minorHAnsi" w:hAnsiTheme="minorHAnsi" w:cstheme="minorHAnsi"/>
          <w:i/>
        </w:rPr>
        <w:t xml:space="preserve">Gibbons </w:t>
      </w:r>
      <w:bookmarkEnd w:id="38"/>
      <w:r w:rsidRPr="00CA67F0">
        <w:rPr>
          <w:rFonts w:asciiTheme="minorHAnsi" w:hAnsiTheme="minorHAnsi" w:cstheme="minorHAnsi"/>
          <w:i/>
        </w:rPr>
        <w:t>v Wright</w:t>
      </w:r>
      <w:r w:rsidRPr="00CA67F0">
        <w:rPr>
          <w:rFonts w:asciiTheme="minorHAnsi" w:hAnsiTheme="minorHAnsi" w:cstheme="minorHAnsi"/>
        </w:rPr>
        <w:t xml:space="preserve"> 91 CLR 423 (HC (Aus)). See </w:t>
      </w:r>
      <w:bookmarkStart w:id="39" w:name="_Hlk531861178"/>
      <w:r w:rsidRPr="00CA67F0">
        <w:rPr>
          <w:rFonts w:asciiTheme="minorHAnsi" w:hAnsiTheme="minorHAnsi" w:cstheme="minorHAnsi"/>
        </w:rPr>
        <w:t xml:space="preserve">Hudson, above, n </w:t>
      </w:r>
      <w:bookmarkEnd w:id="39"/>
      <w:r w:rsidRPr="00CA67F0">
        <w:rPr>
          <w:rFonts w:asciiTheme="minorHAnsi" w:hAnsiTheme="minorHAnsi" w:cstheme="minorHAnsi"/>
        </w:rPr>
        <w:t>75 at 498.</w:t>
      </w:r>
    </w:p>
  </w:footnote>
  <w:footnote w:id="88">
    <w:p w14:paraId="341730B4" w14:textId="1AE3C69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Gibbons </w:t>
      </w:r>
      <w:r w:rsidRPr="00CA67F0">
        <w:rPr>
          <w:rFonts w:asciiTheme="minorHAnsi" w:hAnsiTheme="minorHAnsi" w:cstheme="minorHAnsi"/>
        </w:rPr>
        <w:t xml:space="preserve">91 CLR 423 (HC (Aus)), at </w:t>
      </w:r>
      <w:r w:rsidRPr="00CA67F0">
        <w:t>486, per Dixon CJ, Kitto and Taylor JJ.</w:t>
      </w:r>
    </w:p>
  </w:footnote>
  <w:footnote w:id="89">
    <w:p w14:paraId="27177F90" w14:textId="0B231986"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P </w:t>
      </w:r>
      <w:bookmarkStart w:id="40" w:name="_Hlk532942450"/>
      <w:r w:rsidRPr="00CA67F0">
        <w:rPr>
          <w:rFonts w:asciiTheme="minorHAnsi" w:hAnsiTheme="minorHAnsi" w:cstheme="minorHAnsi"/>
        </w:rPr>
        <w:t xml:space="preserve">MacDonald Eggers, </w:t>
      </w:r>
      <w:r w:rsidRPr="00CA67F0">
        <w:rPr>
          <w:rFonts w:asciiTheme="minorHAnsi" w:hAnsiTheme="minorHAnsi" w:cstheme="minorHAnsi"/>
          <w:i/>
        </w:rPr>
        <w:t xml:space="preserve">Vitiation </w:t>
      </w:r>
      <w:bookmarkEnd w:id="40"/>
      <w:r w:rsidRPr="00CA67F0">
        <w:rPr>
          <w:rFonts w:asciiTheme="minorHAnsi" w:hAnsiTheme="minorHAnsi" w:cstheme="minorHAnsi"/>
          <w:i/>
        </w:rPr>
        <w:t>of Contractual Consent</w:t>
      </w:r>
      <w:r w:rsidRPr="00CA67F0">
        <w:rPr>
          <w:rFonts w:asciiTheme="minorHAnsi" w:hAnsiTheme="minorHAnsi" w:cstheme="minorHAnsi"/>
        </w:rPr>
        <w:t>, Routledge, London 2016), p 132.</w:t>
      </w:r>
    </w:p>
  </w:footnote>
  <w:footnote w:id="90">
    <w:p w14:paraId="1640CC70" w14:textId="493C751F" w:rsidR="003B7D73" w:rsidRPr="00CA67F0" w:rsidRDefault="003B7D73" w:rsidP="009074D7">
      <w:pPr>
        <w:pStyle w:val="FootnoteText"/>
      </w:pPr>
      <w:r w:rsidRPr="00CA67F0">
        <w:rPr>
          <w:rStyle w:val="FootnoteReference"/>
        </w:rPr>
        <w:footnoteRef/>
      </w:r>
      <w:r w:rsidRPr="00CA67F0">
        <w:t xml:space="preserve"> </w:t>
      </w:r>
      <w:r w:rsidRPr="00CA67F0">
        <w:rPr>
          <w:i/>
        </w:rPr>
        <w:t xml:space="preserve">McLaughlin </w:t>
      </w:r>
      <w:r w:rsidRPr="00CA67F0">
        <w:t xml:space="preserve">(1904) 1 CLR 423; </w:t>
      </w:r>
      <w:r w:rsidRPr="00CA67F0">
        <w:rPr>
          <w:i/>
        </w:rPr>
        <w:t>McLaughlin</w:t>
      </w:r>
      <w:r w:rsidRPr="00CA67F0">
        <w:t xml:space="preserve"> [1904] AC 776. See </w:t>
      </w:r>
      <w:r w:rsidRPr="00CA67F0">
        <w:rPr>
          <w:rFonts w:asciiTheme="minorHAnsi" w:hAnsiTheme="minorHAnsi" w:cstheme="minorHAnsi"/>
        </w:rPr>
        <w:t>Watts, above, n 3 at 148.</w:t>
      </w:r>
    </w:p>
  </w:footnote>
  <w:footnote w:id="91">
    <w:p w14:paraId="5D04CDF6" w14:textId="2E4A3AAD"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Gibbons </w:t>
      </w:r>
      <w:r w:rsidRPr="00CA67F0">
        <w:rPr>
          <w:rFonts w:asciiTheme="minorHAnsi" w:hAnsiTheme="minorHAnsi" w:cstheme="minorHAnsi"/>
        </w:rPr>
        <w:t>91 C.L.R. 423 (HC (Aus)), at 486.</w:t>
      </w:r>
    </w:p>
  </w:footnote>
  <w:footnote w:id="92">
    <w:p w14:paraId="7C3747BA" w14:textId="2F66035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93">
    <w:p w14:paraId="26B1B287" w14:textId="76379C9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Elliot v Ince </w:t>
      </w:r>
      <w:r w:rsidRPr="00CA67F0">
        <w:rPr>
          <w:rFonts w:asciiTheme="minorHAnsi" w:hAnsiTheme="minorHAnsi" w:cstheme="minorHAnsi"/>
        </w:rPr>
        <w:t>(1857) 7 De GM. &amp; G. 475. See Watts, above, n 3 at 151.</w:t>
      </w:r>
    </w:p>
  </w:footnote>
  <w:footnote w:id="94">
    <w:p w14:paraId="111985FD" w14:textId="4E7F04D4" w:rsidR="003B7D73" w:rsidRPr="00CA67F0" w:rsidRDefault="003B7D73" w:rsidP="009074D7">
      <w:pPr>
        <w:pStyle w:val="FootnoteText"/>
      </w:pPr>
      <w:r w:rsidRPr="00CA67F0">
        <w:rPr>
          <w:rStyle w:val="FootnoteReference"/>
        </w:rPr>
        <w:footnoteRef/>
      </w:r>
      <w:r w:rsidRPr="00CA67F0">
        <w:t xml:space="preserve"> </w:t>
      </w:r>
      <w:bookmarkStart w:id="42" w:name="_Hlk531867956"/>
      <w:r w:rsidRPr="00CA67F0">
        <w:rPr>
          <w:rFonts w:asciiTheme="minorHAnsi" w:hAnsiTheme="minorHAnsi" w:cstheme="minorHAnsi"/>
          <w:i/>
        </w:rPr>
        <w:t xml:space="preserve">Stead </w:t>
      </w:r>
      <w:bookmarkEnd w:id="42"/>
      <w:r w:rsidRPr="00CA67F0">
        <w:rPr>
          <w:rFonts w:asciiTheme="minorHAnsi" w:hAnsiTheme="minorHAnsi" w:cstheme="minorHAnsi"/>
          <w:i/>
        </w:rPr>
        <w:t xml:space="preserve">v Thornton </w:t>
      </w:r>
      <w:r w:rsidRPr="00CA67F0">
        <w:rPr>
          <w:rFonts w:asciiTheme="minorHAnsi" w:hAnsiTheme="minorHAnsi" w:cstheme="minorHAnsi"/>
        </w:rPr>
        <w:t xml:space="preserve">(1832) 3 B. &amp; Ad. 357; </w:t>
      </w:r>
      <w:bookmarkStart w:id="43" w:name="_Hlk531868046"/>
      <w:r w:rsidRPr="00CA67F0">
        <w:rPr>
          <w:rFonts w:asciiTheme="minorHAnsi" w:hAnsiTheme="minorHAnsi" w:cstheme="minorHAnsi"/>
          <w:i/>
        </w:rPr>
        <w:t xml:space="preserve">Tarbuck </w:t>
      </w:r>
      <w:bookmarkEnd w:id="43"/>
      <w:r w:rsidRPr="00CA67F0">
        <w:rPr>
          <w:rFonts w:asciiTheme="minorHAnsi" w:hAnsiTheme="minorHAnsi" w:cstheme="minorHAnsi"/>
          <w:i/>
        </w:rPr>
        <w:t xml:space="preserve">v Bispham </w:t>
      </w:r>
      <w:r w:rsidRPr="00CA67F0">
        <w:rPr>
          <w:rFonts w:asciiTheme="minorHAnsi" w:hAnsiTheme="minorHAnsi" w:cstheme="minorHAnsi"/>
        </w:rPr>
        <w:t>(1836) 2 M. &amp; W. 2. See Watts, above, n 3 at 151.</w:t>
      </w:r>
    </w:p>
  </w:footnote>
  <w:footnote w:id="95">
    <w:p w14:paraId="3D02A78D" w14:textId="79E906DD"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Drew </w:t>
      </w:r>
      <w:r w:rsidRPr="00CA67F0">
        <w:rPr>
          <w:rFonts w:cstheme="minorHAnsi"/>
        </w:rPr>
        <w:t xml:space="preserve">(1879) 4 QBD 661. See </w:t>
      </w:r>
      <w:r w:rsidRPr="00CA67F0">
        <w:rPr>
          <w:rFonts w:asciiTheme="minorHAnsi" w:hAnsiTheme="minorHAnsi" w:cstheme="minorHAnsi"/>
        </w:rPr>
        <w:t>Watts, above, n 3 at 152.</w:t>
      </w:r>
    </w:p>
  </w:footnote>
  <w:footnote w:id="96">
    <w:p w14:paraId="0A4C0F36" w14:textId="7BB941EB"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152.</w:t>
      </w:r>
    </w:p>
  </w:footnote>
  <w:footnote w:id="97">
    <w:p w14:paraId="54776325" w14:textId="7CF1C077"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G </w:t>
      </w:r>
      <w:bookmarkStart w:id="44" w:name="_Hlk531868516"/>
      <w:bookmarkStart w:id="45" w:name="_Hlk532942662"/>
      <w:r w:rsidRPr="00CA67F0">
        <w:rPr>
          <w:rFonts w:asciiTheme="minorHAnsi" w:hAnsiTheme="minorHAnsi" w:cstheme="minorHAnsi"/>
        </w:rPr>
        <w:t>Fridman</w:t>
      </w:r>
      <w:bookmarkEnd w:id="44"/>
      <w:r w:rsidRPr="00CA67F0">
        <w:rPr>
          <w:rFonts w:asciiTheme="minorHAnsi" w:hAnsiTheme="minorHAnsi" w:cstheme="minorHAnsi"/>
        </w:rPr>
        <w:t xml:space="preserve">, ‘Lawyers as Agents’ </w:t>
      </w:r>
      <w:bookmarkEnd w:id="45"/>
      <w:r w:rsidRPr="00CA67F0">
        <w:rPr>
          <w:rFonts w:asciiTheme="minorHAnsi" w:hAnsiTheme="minorHAnsi" w:cstheme="minorHAnsi"/>
        </w:rPr>
        <w:t xml:space="preserve">(1987) 36 </w:t>
      </w:r>
      <w:r w:rsidRPr="00CA67F0">
        <w:rPr>
          <w:rFonts w:asciiTheme="minorHAnsi" w:hAnsiTheme="minorHAnsi" w:cstheme="minorHAnsi"/>
          <w:i/>
        </w:rPr>
        <w:t>University of New Brunswick Law Journal</w:t>
      </w:r>
      <w:r w:rsidRPr="00CA67F0">
        <w:rPr>
          <w:rFonts w:asciiTheme="minorHAnsi" w:hAnsiTheme="minorHAnsi" w:cstheme="minorHAnsi"/>
        </w:rPr>
        <w:t xml:space="preserve"> 9 at 21-22.</w:t>
      </w:r>
    </w:p>
  </w:footnote>
  <w:footnote w:id="98">
    <w:p w14:paraId="4FCB0EAC" w14:textId="41A5D512"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rPr>
        <w:t xml:space="preserve">Collen </w:t>
      </w:r>
      <w:r w:rsidRPr="00CA67F0">
        <w:rPr>
          <w:rFonts w:asciiTheme="minorHAnsi" w:hAnsiTheme="minorHAnsi" w:cstheme="minorHAnsi"/>
        </w:rPr>
        <w:t xml:space="preserve">(1857) 8 E &amp; B 647; Robert </w:t>
      </w:r>
      <w:bookmarkStart w:id="46" w:name="_Hlk531869009"/>
      <w:bookmarkStart w:id="47" w:name="_Hlk532942853"/>
      <w:r w:rsidRPr="00CA67F0">
        <w:rPr>
          <w:rFonts w:asciiTheme="minorHAnsi" w:hAnsiTheme="minorHAnsi" w:cstheme="minorHAnsi"/>
        </w:rPr>
        <w:t>Dick</w:t>
      </w:r>
      <w:bookmarkEnd w:id="46"/>
      <w:r w:rsidRPr="00CA67F0">
        <w:rPr>
          <w:rFonts w:asciiTheme="minorHAnsi" w:hAnsiTheme="minorHAnsi" w:cstheme="minorHAnsi"/>
        </w:rPr>
        <w:t xml:space="preserve">, ‘Administration of Estates </w:t>
      </w:r>
      <w:bookmarkEnd w:id="47"/>
      <w:r w:rsidRPr="00CA67F0">
        <w:rPr>
          <w:rFonts w:asciiTheme="minorHAnsi" w:hAnsiTheme="minorHAnsi" w:cstheme="minorHAnsi"/>
        </w:rPr>
        <w:t xml:space="preserve">and the Mentally and Physically Infirm’ (1975) 2 </w:t>
      </w:r>
      <w:r w:rsidRPr="00CA67F0">
        <w:rPr>
          <w:rFonts w:asciiTheme="minorHAnsi" w:hAnsiTheme="minorHAnsi" w:cstheme="minorHAnsi"/>
          <w:i/>
        </w:rPr>
        <w:t>Estates &amp; Trusts Quarterly</w:t>
      </w:r>
      <w:r w:rsidRPr="00CA67F0">
        <w:rPr>
          <w:rFonts w:asciiTheme="minorHAnsi" w:hAnsiTheme="minorHAnsi" w:cstheme="minorHAnsi"/>
        </w:rPr>
        <w:t xml:space="preserve"> 256.</w:t>
      </w:r>
    </w:p>
  </w:footnote>
  <w:footnote w:id="99">
    <w:p w14:paraId="6DB4CEEC" w14:textId="18F63049" w:rsidR="003B7D73" w:rsidRPr="00CA67F0" w:rsidRDefault="003B7D73" w:rsidP="009074D7">
      <w:pPr>
        <w:pStyle w:val="FootnoteText"/>
      </w:pPr>
      <w:r w:rsidRPr="00CA67F0">
        <w:rPr>
          <w:rStyle w:val="FootnoteReference"/>
        </w:rPr>
        <w:footnoteRef/>
      </w:r>
      <w:r w:rsidRPr="00CA67F0">
        <w:t xml:space="preserve"> </w:t>
      </w:r>
      <w:r w:rsidRPr="00CA67F0">
        <w:rPr>
          <w:i/>
        </w:rPr>
        <w:t xml:space="preserve">Jones </w:t>
      </w:r>
      <w:r w:rsidRPr="00CA67F0">
        <w:t>(1880) 3 TLR 247.</w:t>
      </w:r>
    </w:p>
  </w:footnote>
  <w:footnote w:id="100">
    <w:p w14:paraId="784434A0" w14:textId="0D22DB78"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i/>
          <w:szCs w:val="22"/>
        </w:rPr>
        <w:t xml:space="preserve">Yonge </w:t>
      </w:r>
      <w:r w:rsidRPr="00CA67F0">
        <w:rPr>
          <w:szCs w:val="22"/>
        </w:rPr>
        <w:t xml:space="preserve">[1910] 1 KB 215, at 227;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2-060</w:t>
      </w:r>
      <w:bookmarkStart w:id="48" w:name="_Hlk531869706"/>
      <w:r w:rsidRPr="00CA67F0">
        <w:rPr>
          <w:rFonts w:asciiTheme="minorHAnsi" w:hAnsiTheme="minorHAnsi" w:cstheme="minorHAnsi"/>
        </w:rPr>
        <w:t xml:space="preserve">. </w:t>
      </w:r>
      <w:bookmarkEnd w:id="48"/>
    </w:p>
  </w:footnote>
  <w:footnote w:id="101">
    <w:p w14:paraId="0F06E2DD" w14:textId="0DA48CB3"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szCs w:val="22"/>
        </w:rPr>
        <w:t>Ibid</w:t>
      </w:r>
      <w:r w:rsidRPr="00CA67F0">
        <w:rPr>
          <w:rFonts w:asciiTheme="minorHAnsi" w:hAnsiTheme="minorHAnsi" w:cstheme="minorHAnsi"/>
        </w:rPr>
        <w:t>.</w:t>
      </w:r>
    </w:p>
  </w:footnote>
  <w:footnote w:id="102">
    <w:p w14:paraId="0B97B3B0" w14:textId="0D4A5141" w:rsidR="003B7D73" w:rsidRPr="00CA67F0" w:rsidRDefault="003B7D73" w:rsidP="009074D7">
      <w:pPr>
        <w:pStyle w:val="FootnoteText"/>
      </w:pPr>
      <w:r w:rsidRPr="00CA67F0">
        <w:rPr>
          <w:rStyle w:val="FootnoteReference"/>
        </w:rPr>
        <w:footnoteRef/>
      </w:r>
      <w:r w:rsidRPr="00CA67F0">
        <w:rPr>
          <w:rFonts w:asciiTheme="minorHAnsi" w:hAnsiTheme="minorHAnsi" w:cstheme="minorHAnsi"/>
        </w:rPr>
        <w:t xml:space="preserve"> Watts, above, n </w:t>
      </w:r>
      <w:r w:rsidR="00982389" w:rsidRPr="00CA67F0">
        <w:rPr>
          <w:rFonts w:asciiTheme="minorHAnsi" w:hAnsiTheme="minorHAnsi" w:cstheme="minorHAnsi"/>
        </w:rPr>
        <w:t>5</w:t>
      </w:r>
      <w:r w:rsidRPr="00CA67F0">
        <w:rPr>
          <w:rFonts w:asciiTheme="minorHAnsi" w:hAnsiTheme="minorHAnsi" w:cstheme="minorHAnsi"/>
        </w:rPr>
        <w:t xml:space="preserve">, para 10-026, with reference to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at 36 and </w:t>
      </w:r>
      <w:r w:rsidRPr="00CA67F0">
        <w:rPr>
          <w:rFonts w:asciiTheme="minorHAnsi" w:hAnsiTheme="minorHAnsi" w:cstheme="minorHAnsi"/>
          <w:i/>
        </w:rPr>
        <w:t xml:space="preserve">Fore Street </w:t>
      </w:r>
      <w:r w:rsidRPr="00CA67F0">
        <w:rPr>
          <w:rFonts w:asciiTheme="minorHAnsi" w:hAnsiTheme="minorHAnsi" w:cstheme="minorHAnsi"/>
        </w:rPr>
        <w:t>(1883) 10 QBD 471.</w:t>
      </w:r>
    </w:p>
  </w:footnote>
  <w:footnote w:id="103">
    <w:p w14:paraId="76DE146E" w14:textId="7B134A5C" w:rsidR="003B7D73" w:rsidRPr="00CA67F0" w:rsidRDefault="003B7D73" w:rsidP="009074D7">
      <w:pPr>
        <w:pStyle w:val="FootnoteText"/>
      </w:pPr>
      <w:r w:rsidRPr="00CA67F0">
        <w:rPr>
          <w:rStyle w:val="FootnoteReference"/>
        </w:rPr>
        <w:footnoteRef/>
      </w:r>
      <w:r w:rsidRPr="00CA67F0">
        <w:t xml:space="preserve"> Ibid.</w:t>
      </w:r>
    </w:p>
  </w:footnote>
  <w:footnote w:id="104">
    <w:p w14:paraId="7A90D7A1" w14:textId="7F8182F1"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P </w:t>
      </w:r>
      <w:bookmarkStart w:id="49" w:name="_Hlk522437055"/>
      <w:r w:rsidRPr="00CA67F0">
        <w:rPr>
          <w:rFonts w:asciiTheme="minorHAnsi" w:hAnsiTheme="minorHAnsi" w:cstheme="minorHAnsi"/>
        </w:rPr>
        <w:t>Higgins</w:t>
      </w:r>
      <w:bookmarkEnd w:id="49"/>
      <w:r w:rsidRPr="00CA67F0">
        <w:rPr>
          <w:rFonts w:asciiTheme="minorHAnsi" w:hAnsiTheme="minorHAnsi" w:cstheme="minorHAnsi"/>
        </w:rPr>
        <w:t xml:space="preserve">, ‘The Effect of Insanity on Agency Transactions’ (1961) 1 </w:t>
      </w:r>
      <w:r w:rsidRPr="00CA67F0">
        <w:rPr>
          <w:rFonts w:asciiTheme="minorHAnsi" w:hAnsiTheme="minorHAnsi" w:cstheme="minorHAnsi"/>
          <w:i/>
        </w:rPr>
        <w:t>University of Tasmania Law Review</w:t>
      </w:r>
      <w:r w:rsidRPr="00CA67F0">
        <w:rPr>
          <w:rFonts w:asciiTheme="minorHAnsi" w:hAnsiTheme="minorHAnsi" w:cstheme="minorHAnsi"/>
        </w:rPr>
        <w:t xml:space="preserve"> 569.</w:t>
      </w:r>
    </w:p>
  </w:footnote>
  <w:footnote w:id="105">
    <w:p w14:paraId="032EE31B" w14:textId="43F3E414"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‘Notes on Recent Cases’ (1909-1910) 35 </w:t>
      </w:r>
      <w:r w:rsidRPr="00CA67F0">
        <w:rPr>
          <w:rFonts w:asciiTheme="minorHAnsi" w:hAnsiTheme="minorHAnsi" w:cstheme="minorHAnsi"/>
          <w:i/>
        </w:rPr>
        <w:t>Law Magazine and Review; a Quarterly Review of Jurisprudence</w:t>
      </w:r>
      <w:r w:rsidRPr="00CA67F0">
        <w:rPr>
          <w:rFonts w:asciiTheme="minorHAnsi" w:hAnsiTheme="minorHAnsi" w:cstheme="minorHAnsi"/>
        </w:rPr>
        <w:t>, 5</w:t>
      </w:r>
      <w:r w:rsidRPr="00CA67F0">
        <w:rPr>
          <w:rFonts w:asciiTheme="minorHAnsi" w:hAnsiTheme="minorHAnsi" w:cstheme="minorHAnsi"/>
          <w:vertAlign w:val="superscript"/>
        </w:rPr>
        <w:t>th</w:t>
      </w:r>
      <w:r w:rsidRPr="00CA67F0">
        <w:rPr>
          <w:rFonts w:asciiTheme="minorHAnsi" w:hAnsiTheme="minorHAnsi" w:cstheme="minorHAnsi"/>
        </w:rPr>
        <w:t xml:space="preserve"> Ser 339 at 341.</w:t>
      </w:r>
    </w:p>
  </w:footnote>
  <w:footnote w:id="106">
    <w:p w14:paraId="654DF0CE" w14:textId="0462E088" w:rsidR="003B7D73" w:rsidRPr="00CA67F0" w:rsidRDefault="003B7D73" w:rsidP="009074D7">
      <w:pPr>
        <w:pStyle w:val="FootnoteText"/>
      </w:pPr>
      <w:r w:rsidRPr="00CA67F0">
        <w:rPr>
          <w:rStyle w:val="FootnoteReference"/>
        </w:rPr>
        <w:footnoteRef/>
      </w:r>
      <w:r w:rsidRPr="00CA67F0">
        <w:t xml:space="preserve"> Ibid.</w:t>
      </w:r>
    </w:p>
  </w:footnote>
  <w:footnote w:id="107">
    <w:p w14:paraId="0C9873AB" w14:textId="771BE91A"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10-026.</w:t>
      </w:r>
    </w:p>
  </w:footnote>
  <w:footnote w:id="108">
    <w:p w14:paraId="3D2E30AD" w14:textId="15FBA119" w:rsidR="003B7D73" w:rsidRPr="00CA67F0" w:rsidRDefault="003B7D73" w:rsidP="009074D7">
      <w:pPr>
        <w:pStyle w:val="FootnoteText"/>
      </w:pPr>
      <w:r w:rsidRPr="00CA67F0">
        <w:rPr>
          <w:rStyle w:val="FootnoteReference"/>
        </w:rPr>
        <w:footnoteRef/>
      </w:r>
      <w:r w:rsidRPr="00CA67F0">
        <w:t xml:space="preserve"> </w:t>
      </w:r>
      <w:bookmarkStart w:id="50" w:name="_Hlk531944363"/>
      <w:r w:rsidRPr="00CA67F0">
        <w:rPr>
          <w:rFonts w:asciiTheme="minorHAnsi" w:hAnsiTheme="minorHAnsi" w:cstheme="minorHAnsi"/>
          <w:i/>
        </w:rPr>
        <w:t xml:space="preserve">Smout </w:t>
      </w:r>
      <w:bookmarkEnd w:id="50"/>
      <w:r w:rsidRPr="00CA67F0">
        <w:rPr>
          <w:rFonts w:asciiTheme="minorHAnsi" w:hAnsiTheme="minorHAnsi" w:cstheme="minorHAnsi"/>
          <w:i/>
        </w:rPr>
        <w:t>v Ilbery</w:t>
      </w:r>
      <w:r w:rsidRPr="00CA67F0">
        <w:rPr>
          <w:rFonts w:asciiTheme="minorHAnsi" w:hAnsiTheme="minorHAnsi" w:cstheme="minorHAnsi"/>
        </w:rPr>
        <w:t xml:space="preserve"> (1842) 10 M &amp; W 1</w:t>
      </w:r>
      <w:r w:rsidRPr="00CA67F0">
        <w:t>, at 11, per Alderson B.</w:t>
      </w:r>
    </w:p>
  </w:footnote>
  <w:footnote w:id="109">
    <w:p w14:paraId="6EF913E1" w14:textId="0BF9CC9E"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rPr>
        <w:t xml:space="preserve">Salton v New Beeston Cycle Company </w:t>
      </w:r>
      <w:r w:rsidRPr="00CA67F0">
        <w:rPr>
          <w:rFonts w:asciiTheme="minorHAnsi" w:hAnsiTheme="minorHAnsi" w:cstheme="minorHAnsi"/>
        </w:rPr>
        <w:t>[1900] 1 Ch 43. See ‘</w:t>
      </w:r>
      <w:bookmarkStart w:id="51" w:name="_Hlk522201574"/>
      <w:r w:rsidRPr="00CA67F0">
        <w:rPr>
          <w:rFonts w:asciiTheme="minorHAnsi" w:hAnsiTheme="minorHAnsi" w:cstheme="minorHAnsi"/>
        </w:rPr>
        <w:t xml:space="preserve">Liability of Solicitor </w:t>
      </w:r>
      <w:bookmarkEnd w:id="51"/>
      <w:r w:rsidRPr="00CA67F0">
        <w:rPr>
          <w:rFonts w:asciiTheme="minorHAnsi" w:hAnsiTheme="minorHAnsi" w:cstheme="minorHAnsi"/>
        </w:rPr>
        <w:t xml:space="preserve">Acting after Revocation of Authority’ (1910) 30 </w:t>
      </w:r>
      <w:r w:rsidRPr="00CA67F0">
        <w:rPr>
          <w:rFonts w:asciiTheme="minorHAnsi" w:hAnsiTheme="minorHAnsi" w:cstheme="minorHAnsi"/>
          <w:i/>
        </w:rPr>
        <w:t xml:space="preserve">Canadian Law Times </w:t>
      </w:r>
      <w:r w:rsidRPr="00CA67F0">
        <w:rPr>
          <w:rFonts w:asciiTheme="minorHAnsi" w:hAnsiTheme="minorHAnsi" w:cstheme="minorHAnsi"/>
        </w:rPr>
        <w:t>734 at 736.</w:t>
      </w:r>
    </w:p>
  </w:footnote>
  <w:footnote w:id="110">
    <w:p w14:paraId="3615161E" w14:textId="44203B4F" w:rsidR="003B7D73" w:rsidRPr="00CA67F0" w:rsidRDefault="003B7D73" w:rsidP="009074D7">
      <w:pPr>
        <w:pStyle w:val="FootnoteText"/>
      </w:pPr>
      <w:r w:rsidRPr="00CA67F0">
        <w:rPr>
          <w:rStyle w:val="FootnoteReference"/>
        </w:rPr>
        <w:footnoteRef/>
      </w:r>
      <w:r w:rsidRPr="00CA67F0">
        <w:t xml:space="preserve"> </w:t>
      </w:r>
      <w:r w:rsidRPr="00CA67F0">
        <w:rPr>
          <w:i/>
          <w:szCs w:val="22"/>
        </w:rPr>
        <w:t xml:space="preserve">Yonge </w:t>
      </w:r>
      <w:r w:rsidRPr="00CA67F0">
        <w:rPr>
          <w:szCs w:val="22"/>
        </w:rPr>
        <w:t>[1910] 1 KB 215, at 226-228, per Buckley LJ, cf Vaughan Williams LJ at 235</w:t>
      </w:r>
      <w:r w:rsidRPr="00CA67F0">
        <w:rPr>
          <w:rFonts w:asciiTheme="minorHAnsi" w:hAnsiTheme="minorHAnsi" w:cstheme="minorHAnsi"/>
        </w:rPr>
        <w:t>.</w:t>
      </w:r>
    </w:p>
  </w:footnote>
  <w:footnote w:id="111">
    <w:p w14:paraId="1FA0320B" w14:textId="6D4FE932"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Smout </w:t>
      </w:r>
      <w:r w:rsidRPr="00CA67F0">
        <w:rPr>
          <w:rFonts w:asciiTheme="minorHAnsi" w:hAnsiTheme="minorHAnsi" w:cstheme="minorHAnsi"/>
        </w:rPr>
        <w:t xml:space="preserve">(1842) 10 M &amp; W 1, at 11, </w:t>
      </w:r>
      <w:r w:rsidRPr="00CA67F0">
        <w:t>per Alderson B.</w:t>
      </w:r>
    </w:p>
  </w:footnote>
  <w:footnote w:id="112">
    <w:p w14:paraId="3EBA76D3" w14:textId="68C10D04"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Implied Warranty of Authority’ (1911) 31 Canadian Law Times</w:t>
      </w:r>
      <w:r w:rsidRPr="00CA67F0">
        <w:rPr>
          <w:rFonts w:asciiTheme="minorHAnsi" w:hAnsiTheme="minorHAnsi" w:cstheme="minorHAnsi"/>
          <w:i/>
        </w:rPr>
        <w:t xml:space="preserve"> </w:t>
      </w:r>
      <w:r w:rsidRPr="00CA67F0">
        <w:rPr>
          <w:rFonts w:asciiTheme="minorHAnsi" w:hAnsiTheme="minorHAnsi" w:cstheme="minorHAnsi"/>
        </w:rPr>
        <w:t>363, 367.</w:t>
      </w:r>
    </w:p>
  </w:footnote>
  <w:footnote w:id="113">
    <w:p w14:paraId="1D874983" w14:textId="04CA7705" w:rsidR="003B7D73" w:rsidRPr="00CA67F0" w:rsidRDefault="003B7D73" w:rsidP="009074D7">
      <w:pPr>
        <w:pStyle w:val="FootnoteText"/>
      </w:pPr>
      <w:r w:rsidRPr="00CA67F0">
        <w:rPr>
          <w:rStyle w:val="FootnoteReference"/>
        </w:rPr>
        <w:footnoteRef/>
      </w:r>
      <w:r w:rsidRPr="00CA67F0">
        <w:t xml:space="preserve"> </w:t>
      </w:r>
      <w:bookmarkStart w:id="52" w:name="_Hlk531946941"/>
      <w:r w:rsidRPr="00CA67F0">
        <w:rPr>
          <w:rFonts w:asciiTheme="minorHAnsi" w:hAnsiTheme="minorHAnsi" w:cstheme="minorHAnsi"/>
        </w:rPr>
        <w:t xml:space="preserve">Fridman, above, n </w:t>
      </w:r>
      <w:bookmarkEnd w:id="52"/>
      <w:r w:rsidRPr="00CA67F0">
        <w:rPr>
          <w:rFonts w:asciiTheme="minorHAnsi" w:hAnsiTheme="minorHAnsi" w:cstheme="minorHAnsi"/>
        </w:rPr>
        <w:t>96 at 22.</w:t>
      </w:r>
    </w:p>
  </w:footnote>
  <w:footnote w:id="114">
    <w:p w14:paraId="444DA236" w14:textId="57EFABEA"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G </w:t>
      </w:r>
      <w:bookmarkStart w:id="53" w:name="_Hlk531941477"/>
      <w:r w:rsidRPr="00CA67F0">
        <w:rPr>
          <w:rFonts w:asciiTheme="minorHAnsi" w:hAnsiTheme="minorHAnsi" w:cstheme="minorHAnsi"/>
        </w:rPr>
        <w:t>Treitel</w:t>
      </w:r>
      <w:bookmarkEnd w:id="53"/>
      <w:r w:rsidRPr="00CA67F0">
        <w:rPr>
          <w:rFonts w:asciiTheme="minorHAnsi" w:hAnsiTheme="minorHAnsi" w:cstheme="minorHAnsi"/>
        </w:rPr>
        <w:t xml:space="preserve">, </w:t>
      </w:r>
      <w:r w:rsidRPr="00CA67F0">
        <w:rPr>
          <w:rFonts w:asciiTheme="minorHAnsi" w:hAnsiTheme="minorHAnsi" w:cstheme="minorHAnsi"/>
          <w:i/>
        </w:rPr>
        <w:t>An Outline of the Law of Contract</w:t>
      </w:r>
      <w:r w:rsidRPr="00CA67F0">
        <w:rPr>
          <w:rFonts w:asciiTheme="minorHAnsi" w:hAnsiTheme="minorHAnsi" w:cstheme="minorHAnsi"/>
        </w:rPr>
        <w:t>, 6</w:t>
      </w:r>
      <w:r w:rsidRPr="00CA67F0">
        <w:rPr>
          <w:rFonts w:asciiTheme="minorHAnsi" w:hAnsiTheme="minorHAnsi" w:cstheme="minorHAnsi"/>
          <w:vertAlign w:val="superscript"/>
        </w:rPr>
        <w:t>th</w:t>
      </w:r>
      <w:r w:rsidRPr="00CA67F0">
        <w:rPr>
          <w:rFonts w:asciiTheme="minorHAnsi" w:hAnsiTheme="minorHAnsi" w:cstheme="minorHAnsi"/>
        </w:rPr>
        <w:t xml:space="preserve"> edn, Oxford University Press, Oxford, 2004, p 309.</w:t>
      </w:r>
    </w:p>
  </w:footnote>
  <w:footnote w:id="115">
    <w:p w14:paraId="5AE30108" w14:textId="6644B5E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Fridman, above, n 96 at 22.</w:t>
      </w:r>
    </w:p>
  </w:footnote>
  <w:footnote w:id="116">
    <w:p w14:paraId="02C82748" w14:textId="750477B9" w:rsidR="003B7D73" w:rsidRPr="00CA67F0" w:rsidRDefault="003B7D73" w:rsidP="009074D7">
      <w:pPr>
        <w:pStyle w:val="FootnoteText"/>
      </w:pPr>
      <w:r w:rsidRPr="00CA67F0">
        <w:rPr>
          <w:rStyle w:val="FootnoteReference"/>
        </w:rPr>
        <w:footnoteRef/>
      </w:r>
      <w:r w:rsidRPr="00CA67F0">
        <w:t xml:space="preserve"> </w:t>
      </w:r>
      <w:bookmarkStart w:id="54" w:name="_Hlk531868565"/>
      <w:bookmarkStart w:id="55" w:name="_Hlk532943092"/>
      <w:r w:rsidRPr="00CA67F0">
        <w:rPr>
          <w:rFonts w:asciiTheme="minorHAnsi" w:hAnsiTheme="minorHAnsi" w:cstheme="minorHAnsi"/>
        </w:rPr>
        <w:t xml:space="preserve">Higgins, above, n </w:t>
      </w:r>
      <w:bookmarkEnd w:id="54"/>
      <w:bookmarkEnd w:id="55"/>
      <w:r w:rsidRPr="00CA67F0">
        <w:rPr>
          <w:rFonts w:asciiTheme="minorHAnsi" w:hAnsiTheme="minorHAnsi" w:cstheme="minorHAnsi"/>
        </w:rPr>
        <w:t>103 at 569.</w:t>
      </w:r>
    </w:p>
  </w:footnote>
  <w:footnote w:id="117">
    <w:p w14:paraId="7516EA7E" w14:textId="4771F59C"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Dick, above, n 97 at 266.</w:t>
      </w:r>
    </w:p>
  </w:footnote>
  <w:footnote w:id="118">
    <w:p w14:paraId="620079CB" w14:textId="79E82FD2"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Drew </w:t>
      </w:r>
      <w:r w:rsidRPr="00CA67F0">
        <w:rPr>
          <w:rFonts w:cstheme="minorHAnsi"/>
        </w:rPr>
        <w:t xml:space="preserve">(1879) 4 QBD 661, at 667, per Brett LJ See </w:t>
      </w:r>
      <w:r w:rsidRPr="00CA67F0">
        <w:rPr>
          <w:rFonts w:asciiTheme="minorHAnsi" w:hAnsiTheme="minorHAnsi" w:cstheme="minorHAnsi"/>
        </w:rPr>
        <w:t>Higgins, above, n 103 at 575.</w:t>
      </w:r>
    </w:p>
  </w:footnote>
  <w:footnote w:id="119">
    <w:p w14:paraId="52CB7E34" w14:textId="5B7F766F"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Higgins, above, n 103 at 578.</w:t>
      </w:r>
    </w:p>
  </w:footnote>
  <w:footnote w:id="120">
    <w:p w14:paraId="1EB494C0" w14:textId="66D17C5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Ibid, p 579.</w:t>
      </w:r>
    </w:p>
  </w:footnote>
  <w:footnote w:id="121">
    <w:p w14:paraId="4B4909E6" w14:textId="3241CFBE" w:rsidR="003B7D73" w:rsidRPr="00CA67F0" w:rsidRDefault="003B7D73" w:rsidP="009074D7">
      <w:pPr>
        <w:pStyle w:val="FootnoteText"/>
      </w:pPr>
      <w:r w:rsidRPr="00CA67F0">
        <w:rPr>
          <w:rStyle w:val="FootnoteReference"/>
        </w:rPr>
        <w:footnoteRef/>
      </w:r>
      <w:r w:rsidRPr="00CA67F0">
        <w:t xml:space="preserve"> </w:t>
      </w:r>
      <w:r w:rsidRPr="00CA67F0">
        <w:rPr>
          <w:i/>
          <w:szCs w:val="22"/>
        </w:rPr>
        <w:t xml:space="preserve">Yonge </w:t>
      </w:r>
      <w:r w:rsidRPr="00CA67F0">
        <w:rPr>
          <w:szCs w:val="22"/>
        </w:rPr>
        <w:t xml:space="preserve">[1910] 1 KB 215, at 225-226, per Buckley LJ; </w:t>
      </w:r>
      <w:r w:rsidRPr="00CA67F0">
        <w:rPr>
          <w:rFonts w:asciiTheme="minorHAnsi" w:hAnsiTheme="minorHAnsi" w:cstheme="minorHAnsi"/>
          <w:i/>
        </w:rPr>
        <w:t xml:space="preserve">Collen </w:t>
      </w:r>
      <w:r w:rsidRPr="00CA67F0">
        <w:rPr>
          <w:rFonts w:asciiTheme="minorHAnsi" w:hAnsiTheme="minorHAnsi" w:cstheme="minorHAnsi"/>
        </w:rPr>
        <w:t>(1857) 8 E &amp; B 647, at 657, per Willes J</w:t>
      </w:r>
    </w:p>
  </w:footnote>
  <w:footnote w:id="122">
    <w:p w14:paraId="30390053" w14:textId="1506E18D"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Drew </w:t>
      </w:r>
      <w:r w:rsidRPr="00CA67F0">
        <w:rPr>
          <w:rFonts w:cstheme="minorHAnsi"/>
        </w:rPr>
        <w:t xml:space="preserve">(1879) 4 QBD 661, at 668, per </w:t>
      </w:r>
      <w:r w:rsidRPr="00CA67F0">
        <w:rPr>
          <w:rFonts w:asciiTheme="minorHAnsi" w:hAnsiTheme="minorHAnsi" w:cstheme="minorHAnsi"/>
          <w:szCs w:val="22"/>
        </w:rPr>
        <w:t>Bramwell LJ.</w:t>
      </w:r>
    </w:p>
  </w:footnote>
  <w:footnote w:id="123">
    <w:p w14:paraId="7B2B46F0" w14:textId="10EA4371"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Collen </w:t>
      </w:r>
      <w:r w:rsidRPr="00CA67F0">
        <w:rPr>
          <w:rFonts w:asciiTheme="minorHAnsi" w:hAnsiTheme="minorHAnsi" w:cstheme="minorHAnsi"/>
        </w:rPr>
        <w:t>(1857) 8 E &amp; B 647.</w:t>
      </w:r>
    </w:p>
  </w:footnote>
  <w:footnote w:id="124">
    <w:p w14:paraId="770ECDE1" w14:textId="71C38DD1"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Drew </w:t>
      </w:r>
      <w:r w:rsidRPr="00CA67F0">
        <w:rPr>
          <w:rFonts w:cstheme="minorHAnsi"/>
        </w:rPr>
        <w:t xml:space="preserve">(1879) 4 QBD 661, at 668-669, per </w:t>
      </w:r>
      <w:r w:rsidRPr="00CA67F0">
        <w:rPr>
          <w:rFonts w:asciiTheme="minorHAnsi" w:hAnsiTheme="minorHAnsi" w:cstheme="minorHAnsi"/>
          <w:szCs w:val="22"/>
        </w:rPr>
        <w:t>Bramwell LJ.</w:t>
      </w:r>
    </w:p>
  </w:footnote>
  <w:footnote w:id="125">
    <w:p w14:paraId="2FEB1622" w14:textId="15C00B0C"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Anna </w:t>
      </w:r>
      <w:bookmarkStart w:id="56" w:name="_Hlk531955091"/>
      <w:r w:rsidRPr="00CA67F0">
        <w:rPr>
          <w:rFonts w:asciiTheme="minorHAnsi" w:hAnsiTheme="minorHAnsi" w:cstheme="minorHAnsi"/>
        </w:rPr>
        <w:t>Lawson</w:t>
      </w:r>
      <w:bookmarkEnd w:id="56"/>
      <w:r w:rsidRPr="00CA67F0">
        <w:rPr>
          <w:rFonts w:asciiTheme="minorHAnsi" w:hAnsiTheme="minorHAnsi" w:cstheme="minorHAnsi"/>
        </w:rPr>
        <w:t xml:space="preserve">, ‘The United Nations Convention on the Rights of Persons with Disabilities: New Era or False Dawn?’ (2007) 34 </w:t>
      </w:r>
      <w:r w:rsidRPr="00CA67F0">
        <w:rPr>
          <w:rFonts w:asciiTheme="minorHAnsi" w:hAnsiTheme="minorHAnsi" w:cstheme="minorHAnsi"/>
          <w:i/>
        </w:rPr>
        <w:t>Syracuse Journal of International Law and Commerce</w:t>
      </w:r>
      <w:r w:rsidRPr="00CA67F0">
        <w:rPr>
          <w:rFonts w:asciiTheme="minorHAnsi" w:hAnsiTheme="minorHAnsi" w:cstheme="minorHAnsi"/>
        </w:rPr>
        <w:t xml:space="preserve"> 563 at 569.</w:t>
      </w:r>
    </w:p>
  </w:footnote>
  <w:footnote w:id="126">
    <w:p w14:paraId="04AE2FA6" w14:textId="43EF76F0"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xml:space="preserve">, para 10-026, with reference to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at 36 and </w:t>
      </w:r>
      <w:r w:rsidRPr="00CA67F0">
        <w:rPr>
          <w:rFonts w:asciiTheme="minorHAnsi" w:hAnsiTheme="minorHAnsi" w:cstheme="minorHAnsi"/>
          <w:i/>
        </w:rPr>
        <w:t xml:space="preserve">Fore Street </w:t>
      </w:r>
      <w:r w:rsidRPr="00CA67F0">
        <w:rPr>
          <w:rFonts w:asciiTheme="minorHAnsi" w:hAnsiTheme="minorHAnsi" w:cstheme="minorHAnsi"/>
        </w:rPr>
        <w:t>(1883) 10 QBD 471.</w:t>
      </w:r>
    </w:p>
  </w:footnote>
  <w:footnote w:id="127">
    <w:p w14:paraId="34AC6527" w14:textId="54B29D45" w:rsidR="003B7D73" w:rsidRPr="00CA67F0" w:rsidRDefault="003B7D73" w:rsidP="009074D7">
      <w:pPr>
        <w:pStyle w:val="FootnoteText"/>
      </w:pPr>
      <w:r w:rsidRPr="00CA67F0">
        <w:rPr>
          <w:rStyle w:val="FootnoteReference"/>
        </w:rPr>
        <w:footnoteRef/>
      </w:r>
      <w:r w:rsidRPr="00CA67F0">
        <w:t xml:space="preserve"> </w:t>
      </w:r>
      <w:bookmarkStart w:id="57" w:name="_Hlk532942484"/>
      <w:r w:rsidRPr="00CA67F0">
        <w:rPr>
          <w:rFonts w:asciiTheme="minorHAnsi" w:hAnsiTheme="minorHAnsi" w:cstheme="minorHAnsi"/>
        </w:rPr>
        <w:t xml:space="preserve">MacDonald Eggers, above, n </w:t>
      </w:r>
      <w:bookmarkEnd w:id="57"/>
      <w:r w:rsidRPr="00CA67F0">
        <w:rPr>
          <w:rFonts w:asciiTheme="minorHAnsi" w:hAnsiTheme="minorHAnsi" w:cstheme="minorHAnsi"/>
        </w:rPr>
        <w:t>88 at 141.</w:t>
      </w:r>
    </w:p>
  </w:footnote>
  <w:footnote w:id="128">
    <w:p w14:paraId="02BE0C7F" w14:textId="4C4C6CC0"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Drew </w:t>
      </w:r>
      <w:r w:rsidRPr="00CA67F0">
        <w:rPr>
          <w:rFonts w:cstheme="minorHAnsi"/>
        </w:rPr>
        <w:t>(1879) 4 QBD 661, at 665, per Brett LJ.</w:t>
      </w:r>
    </w:p>
  </w:footnote>
  <w:footnote w:id="129">
    <w:p w14:paraId="53942C85" w14:textId="0D0F3340"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at 669, per </w:t>
      </w:r>
      <w:r w:rsidRPr="00CA67F0">
        <w:rPr>
          <w:rFonts w:asciiTheme="minorHAnsi" w:hAnsiTheme="minorHAnsi" w:cstheme="minorHAnsi"/>
          <w:szCs w:val="22"/>
        </w:rPr>
        <w:t>Bramwell LJ.</w:t>
      </w:r>
    </w:p>
  </w:footnote>
  <w:footnote w:id="130">
    <w:p w14:paraId="7DA5CB07" w14:textId="0C2C2B9A"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‘Effect of the Lunacy on a Principal’ (1878-1879) 23 </w:t>
      </w:r>
      <w:r w:rsidRPr="00CA67F0">
        <w:rPr>
          <w:rFonts w:asciiTheme="minorHAnsi" w:hAnsiTheme="minorHAnsi" w:cstheme="minorHAnsi"/>
          <w:i/>
        </w:rPr>
        <w:t>Solicitors' Journal and Reporter</w:t>
      </w:r>
      <w:r w:rsidRPr="00CA67F0">
        <w:rPr>
          <w:rFonts w:asciiTheme="minorHAnsi" w:hAnsiTheme="minorHAnsi" w:cstheme="minorHAnsi"/>
        </w:rPr>
        <w:t xml:space="preserve"> 813 at 815-816.</w:t>
      </w:r>
    </w:p>
  </w:footnote>
  <w:footnote w:id="131">
    <w:p w14:paraId="3B0525E7" w14:textId="0B8780E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w:t>
      </w:r>
      <w:r w:rsidRPr="00CA67F0">
        <w:rPr>
          <w:rFonts w:cstheme="minorHAnsi"/>
          <w:i/>
        </w:rPr>
        <w:t xml:space="preserve">Dunhill </w:t>
      </w:r>
      <w:r w:rsidRPr="00CA67F0">
        <w:rPr>
          <w:rFonts w:cstheme="minorHAnsi"/>
        </w:rPr>
        <w:t>[2014] UKSC 18.</w:t>
      </w:r>
    </w:p>
  </w:footnote>
  <w:footnote w:id="132">
    <w:p w14:paraId="171A1F2D" w14:textId="63482FDD"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133">
    <w:p w14:paraId="525C696A" w14:textId="63611C48"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Dunhill </w:t>
      </w:r>
      <w:r w:rsidRPr="00CA67F0">
        <w:rPr>
          <w:rFonts w:cstheme="minorHAnsi"/>
        </w:rPr>
        <w:t xml:space="preserve">[2014] UKSC 18, at 31, per Lady Hale. See </w:t>
      </w:r>
      <w:r w:rsidRPr="00CA67F0">
        <w:t xml:space="preserve">Whittaker, above, n </w:t>
      </w:r>
      <w:r w:rsidR="00982389" w:rsidRPr="00CA67F0">
        <w:t>3</w:t>
      </w:r>
      <w:r w:rsidRPr="00CA67F0">
        <w:t xml:space="preserve">, </w:t>
      </w:r>
      <w:r w:rsidRPr="00CA67F0">
        <w:rPr>
          <w:rFonts w:asciiTheme="minorHAnsi" w:hAnsiTheme="minorHAnsi" w:cstheme="minorHAnsi"/>
        </w:rPr>
        <w:t>para 9-102.</w:t>
      </w:r>
    </w:p>
  </w:footnote>
  <w:footnote w:id="134">
    <w:p w14:paraId="5CC85879" w14:textId="4C36559D"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[2014] EWHC 168 (QB), at 30, per Phillips J.</w:t>
      </w:r>
    </w:p>
  </w:footnote>
  <w:footnote w:id="135">
    <w:p w14:paraId="27678F22" w14:textId="3EE63F54"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[2015] EWCA Civ 18, at 36, per Richards LJ.</w:t>
      </w:r>
    </w:p>
  </w:footnote>
  <w:footnote w:id="136">
    <w:p w14:paraId="5BAC7474" w14:textId="1F86DEAF"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See </w:t>
      </w:r>
      <w:r w:rsidRPr="00CA67F0">
        <w:rPr>
          <w:rFonts w:asciiTheme="minorHAnsi" w:hAnsiTheme="minorHAnsi" w:cstheme="minorHAnsi"/>
        </w:rPr>
        <w:t xml:space="preserve">Watts, above, n </w:t>
      </w:r>
      <w:r w:rsidR="00982389" w:rsidRPr="00CA67F0">
        <w:rPr>
          <w:rFonts w:asciiTheme="minorHAnsi" w:hAnsiTheme="minorHAnsi" w:cstheme="minorHAnsi"/>
        </w:rPr>
        <w:t>5</w:t>
      </w:r>
      <w:r w:rsidRPr="00CA67F0">
        <w:rPr>
          <w:rFonts w:asciiTheme="minorHAnsi" w:hAnsiTheme="minorHAnsi" w:cstheme="minorHAnsi"/>
        </w:rPr>
        <w:t>, para 2-009.</w:t>
      </w:r>
    </w:p>
  </w:footnote>
  <w:footnote w:id="137">
    <w:p w14:paraId="49469A93" w14:textId="1419A1F7"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at 37, per Richards LJ. </w:t>
      </w:r>
      <w:r w:rsidRPr="00CA67F0">
        <w:rPr>
          <w:rFonts w:cstheme="minorHAnsi"/>
        </w:rPr>
        <w:t xml:space="preserve">See </w:t>
      </w:r>
      <w:r w:rsidRPr="00CA67F0">
        <w:t>Whittaker, above, n 1</w:t>
      </w:r>
      <w:r w:rsidR="00982389" w:rsidRPr="00CA67F0">
        <w:t>3</w:t>
      </w:r>
      <w:r w:rsidRPr="00CA67F0">
        <w:t xml:space="preserve">, </w:t>
      </w:r>
      <w:r w:rsidRPr="00CA67F0">
        <w:rPr>
          <w:rFonts w:asciiTheme="minorHAnsi" w:hAnsiTheme="minorHAnsi" w:cstheme="minorHAnsi"/>
        </w:rPr>
        <w:t>para 9-102.</w:t>
      </w:r>
    </w:p>
  </w:footnote>
  <w:footnote w:id="138">
    <w:p w14:paraId="7554329B" w14:textId="61396D8B" w:rsidR="003B7D73" w:rsidRPr="00CA67F0" w:rsidRDefault="003B7D73" w:rsidP="009074D7">
      <w:pPr>
        <w:pStyle w:val="FootnoteText"/>
        <w:rPr>
          <w:rFonts w:asciiTheme="minorHAnsi" w:hAnsiTheme="minorHAnsi" w:cstheme="minorHAnsi"/>
        </w:rPr>
      </w:pPr>
      <w:r w:rsidRPr="00CA67F0">
        <w:rPr>
          <w:rStyle w:val="FootnoteReference"/>
          <w:rFonts w:asciiTheme="minorHAnsi" w:hAnsiTheme="minorHAnsi" w:cstheme="minorHAnsi"/>
        </w:rPr>
        <w:footnoteRef/>
      </w:r>
      <w:r w:rsidRPr="00CA67F0">
        <w:rPr>
          <w:rFonts w:asciiTheme="minorHAnsi" w:hAnsiTheme="minorHAnsi" w:cstheme="minorHAnsi"/>
        </w:rPr>
        <w:t xml:space="preserve"> </w:t>
      </w:r>
      <w:r w:rsidRPr="00CA67F0">
        <w:rPr>
          <w:rFonts w:asciiTheme="minorHAnsi" w:hAnsiTheme="minorHAnsi" w:cstheme="minorHAnsi"/>
          <w:i/>
        </w:rPr>
        <w:t xml:space="preserve">R (on the application of NM) v Islington LBC </w:t>
      </w:r>
      <w:r w:rsidRPr="00CA67F0">
        <w:rPr>
          <w:rFonts w:asciiTheme="minorHAnsi" w:hAnsiTheme="minorHAnsi" w:cstheme="minorHAnsi"/>
        </w:rPr>
        <w:t>[2012] EWHC 414, at 98, per Sales J</w:t>
      </w:r>
      <w:r w:rsidRPr="00CA67F0">
        <w:rPr>
          <w:rFonts w:asciiTheme="minorHAnsi" w:hAnsiTheme="minorHAnsi" w:cstheme="minorHAnsi"/>
          <w:szCs w:val="22"/>
        </w:rPr>
        <w:t>.</w:t>
      </w:r>
    </w:p>
  </w:footnote>
  <w:footnote w:id="139">
    <w:p w14:paraId="0F90B0F0" w14:textId="2B848C47"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AH v West London Mental Health Trust</w:t>
      </w:r>
      <w:r w:rsidRPr="00CA67F0">
        <w:rPr>
          <w:rFonts w:asciiTheme="minorHAnsi" w:hAnsiTheme="minorHAnsi" w:cstheme="minorHAnsi"/>
        </w:rPr>
        <w:t xml:space="preserve"> [2011] UKUT 74; [2011] 2 WLUK 614; [2011] MHLR 85, at 16, per </w:t>
      </w:r>
      <w:r w:rsidRPr="00CA67F0">
        <w:rPr>
          <w:rFonts w:asciiTheme="minorHAnsi" w:hAnsiTheme="minorHAnsi" w:cstheme="minorHAnsi"/>
          <w:szCs w:val="22"/>
        </w:rPr>
        <w:t>Carnwath LJ.</w:t>
      </w:r>
    </w:p>
  </w:footnote>
  <w:footnote w:id="140">
    <w:p w14:paraId="2ECAA5F1" w14:textId="0CC34D9D"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Arlene </w:t>
      </w:r>
      <w:r w:rsidRPr="00CA67F0">
        <w:rPr>
          <w:rFonts w:asciiTheme="minorHAnsi" w:hAnsiTheme="minorHAnsi" w:cstheme="minorHAnsi"/>
        </w:rPr>
        <w:t xml:space="preserve">Kanter, ‘The Promise and Challenge of the United Nations </w:t>
      </w:r>
      <w:r w:rsidRPr="00CA67F0">
        <w:rPr>
          <w:rFonts w:asciiTheme="minorHAnsi" w:hAnsiTheme="minorHAnsi" w:cstheme="minorHAnsi"/>
          <w:i/>
        </w:rPr>
        <w:t>Convention on the Rights of Persons with Disabilities</w:t>
      </w:r>
      <w:r w:rsidRPr="00CA67F0">
        <w:rPr>
          <w:rFonts w:asciiTheme="minorHAnsi" w:hAnsiTheme="minorHAnsi" w:cstheme="minorHAnsi"/>
        </w:rPr>
        <w:t xml:space="preserve">’ (2007) 34 </w:t>
      </w:r>
      <w:r w:rsidRPr="00CA67F0">
        <w:rPr>
          <w:rFonts w:asciiTheme="minorHAnsi" w:hAnsiTheme="minorHAnsi" w:cstheme="minorHAnsi"/>
          <w:i/>
        </w:rPr>
        <w:t>Syracuse Journal of International Law and Commerce</w:t>
      </w:r>
      <w:r w:rsidRPr="00CA67F0">
        <w:rPr>
          <w:rFonts w:asciiTheme="minorHAnsi" w:hAnsiTheme="minorHAnsi" w:cstheme="minorHAnsi"/>
        </w:rPr>
        <w:t xml:space="preserve"> 287 at 288.</w:t>
      </w:r>
    </w:p>
  </w:footnote>
  <w:footnote w:id="141">
    <w:p w14:paraId="1D4EFC6D" w14:textId="3456909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xml:space="preserve">, Arts 1, 3(d) and 12(1); </w:t>
      </w:r>
      <w:bookmarkStart w:id="58" w:name="_Hlk531962766"/>
      <w:r w:rsidRPr="00CA67F0">
        <w:t xml:space="preserve">Rosemary </w:t>
      </w:r>
      <w:r w:rsidRPr="00CA67F0">
        <w:rPr>
          <w:rFonts w:asciiTheme="minorHAnsi" w:hAnsiTheme="minorHAnsi" w:cstheme="minorHAnsi"/>
        </w:rPr>
        <w:t>Kayess and Phillip French</w:t>
      </w:r>
      <w:bookmarkEnd w:id="58"/>
      <w:r w:rsidRPr="00CA67F0">
        <w:rPr>
          <w:rFonts w:asciiTheme="minorHAnsi" w:hAnsiTheme="minorHAnsi" w:cstheme="minorHAnsi"/>
        </w:rPr>
        <w:t xml:space="preserve">, ‘Out of Darkness into Light? Introducing the Convention on the Rights of Persons with Disabilities’ (2008) 8 </w:t>
      </w:r>
      <w:r w:rsidRPr="00CA67F0">
        <w:rPr>
          <w:rFonts w:asciiTheme="minorHAnsi" w:hAnsiTheme="minorHAnsi" w:cstheme="minorHAnsi"/>
          <w:i/>
        </w:rPr>
        <w:t>Human Rights Law Review</w:t>
      </w:r>
      <w:r w:rsidRPr="00CA67F0">
        <w:rPr>
          <w:rFonts w:asciiTheme="minorHAnsi" w:hAnsiTheme="minorHAnsi" w:cstheme="minorHAnsi"/>
        </w:rPr>
        <w:t xml:space="preserve"> 1.</w:t>
      </w:r>
    </w:p>
  </w:footnote>
  <w:footnote w:id="142">
    <w:p w14:paraId="4925FBC4" w14:textId="68843F36"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xml:space="preserve">, Arts 1, 3(a) and 12; </w:t>
      </w:r>
      <w:bookmarkStart w:id="59" w:name="_Hlk531963003"/>
      <w:r w:rsidRPr="00CA67F0">
        <w:rPr>
          <w:rFonts w:asciiTheme="minorHAnsi" w:hAnsiTheme="minorHAnsi" w:cstheme="minorHAnsi"/>
          <w:szCs w:val="22"/>
        </w:rPr>
        <w:t>Committee on the Rights of Persons with Disabilities (ComRPD)</w:t>
      </w:r>
      <w:r w:rsidRPr="00CA67F0">
        <w:rPr>
          <w:rFonts w:asciiTheme="minorHAnsi" w:hAnsiTheme="minorHAnsi" w:cstheme="minorHAnsi"/>
        </w:rPr>
        <w:t>, General Comment No. 1</w:t>
      </w:r>
      <w:bookmarkEnd w:id="59"/>
      <w:r w:rsidRPr="00CA67F0">
        <w:rPr>
          <w:rFonts w:asciiTheme="minorHAnsi" w:hAnsiTheme="minorHAnsi" w:cstheme="minorHAnsi"/>
        </w:rPr>
        <w:t>: Article 12 (Equal Recognition before the Law), 19 May 2014, UN Doc CRPD/C/GC/1, para 13.</w:t>
      </w:r>
    </w:p>
  </w:footnote>
  <w:footnote w:id="143">
    <w:p w14:paraId="4AE53F1C" w14:textId="2A0C647B"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Art 12(1)-(3)</w:t>
      </w:r>
      <w:r w:rsidRPr="00CA67F0">
        <w:rPr>
          <w:rFonts w:asciiTheme="minorHAnsi" w:hAnsiTheme="minorHAnsi" w:cstheme="minorHAnsi"/>
        </w:rPr>
        <w:t>.</w:t>
      </w:r>
    </w:p>
  </w:footnote>
  <w:footnote w:id="144">
    <w:p w14:paraId="515C29BC" w14:textId="615FDA31"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M </w:t>
      </w:r>
      <w:bookmarkStart w:id="60" w:name="_Hlk531963270"/>
      <w:r w:rsidRPr="00CA67F0">
        <w:rPr>
          <w:rFonts w:asciiTheme="minorHAnsi" w:hAnsiTheme="minorHAnsi" w:cstheme="minorHAnsi"/>
        </w:rPr>
        <w:t>Oliver</w:t>
      </w:r>
      <w:bookmarkEnd w:id="60"/>
      <w:r w:rsidRPr="00CA67F0">
        <w:rPr>
          <w:rFonts w:asciiTheme="minorHAnsi" w:hAnsiTheme="minorHAnsi" w:cstheme="minorHAnsi"/>
        </w:rPr>
        <w:t xml:space="preserve">, </w:t>
      </w:r>
      <w:r w:rsidRPr="00CA67F0">
        <w:rPr>
          <w:rFonts w:asciiTheme="minorHAnsi" w:hAnsiTheme="minorHAnsi" w:cstheme="minorHAnsi"/>
          <w:i/>
        </w:rPr>
        <w:t>The Politics of Disablement</w:t>
      </w:r>
      <w:r w:rsidRPr="00CA67F0">
        <w:rPr>
          <w:rFonts w:asciiTheme="minorHAnsi" w:hAnsiTheme="minorHAnsi" w:cstheme="minorHAnsi"/>
        </w:rPr>
        <w:t>, Palgrave, Basingstoke, 1990.</w:t>
      </w:r>
    </w:p>
  </w:footnote>
  <w:footnote w:id="145">
    <w:p w14:paraId="2B98010E" w14:textId="354270D4"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M </w:t>
      </w:r>
      <w:bookmarkStart w:id="61" w:name="_Hlk531963422"/>
      <w:r w:rsidRPr="00CA67F0">
        <w:rPr>
          <w:rFonts w:asciiTheme="minorHAnsi" w:hAnsiTheme="minorHAnsi" w:cstheme="minorHAnsi"/>
        </w:rPr>
        <w:t>Bach</w:t>
      </w:r>
      <w:bookmarkEnd w:id="61"/>
      <w:r w:rsidRPr="00CA67F0">
        <w:rPr>
          <w:rFonts w:asciiTheme="minorHAnsi" w:hAnsiTheme="minorHAnsi" w:cstheme="minorHAnsi"/>
        </w:rPr>
        <w:t>, ‘The Right to Legal Capacity under the UN Convention on the Rights of Persons with Disabilities: Key Concepts and Directions for Law Reform’, Toronto, Institute for Research and Development on Inclusion and Society (Toronto 2009), 1.</w:t>
      </w:r>
    </w:p>
  </w:footnote>
  <w:footnote w:id="146">
    <w:p w14:paraId="3DCDEA30" w14:textId="3E13D558"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Robert</w:t>
      </w:r>
      <w:r w:rsidRPr="00CA67F0">
        <w:rPr>
          <w:rFonts w:asciiTheme="minorHAnsi" w:hAnsiTheme="minorHAnsi" w:cstheme="minorHAnsi"/>
        </w:rPr>
        <w:t xml:space="preserve"> </w:t>
      </w:r>
      <w:bookmarkStart w:id="62" w:name="_Hlk531963603"/>
      <w:r w:rsidRPr="00CA67F0">
        <w:rPr>
          <w:rFonts w:asciiTheme="minorHAnsi" w:hAnsiTheme="minorHAnsi" w:cstheme="minorHAnsi"/>
        </w:rPr>
        <w:t>Dinerstein</w:t>
      </w:r>
      <w:bookmarkEnd w:id="62"/>
      <w:r w:rsidRPr="00CA67F0">
        <w:rPr>
          <w:rFonts w:asciiTheme="minorHAnsi" w:hAnsiTheme="minorHAnsi" w:cstheme="minorHAnsi"/>
        </w:rPr>
        <w:t xml:space="preserve">, ‘Implementing Legal Capacity under Article 12 of the UN </w:t>
      </w:r>
      <w:r w:rsidRPr="00CA67F0">
        <w:rPr>
          <w:rFonts w:asciiTheme="minorHAnsi" w:hAnsiTheme="minorHAnsi" w:cstheme="minorHAnsi"/>
          <w:i/>
        </w:rPr>
        <w:t>Convention on the Rights of Persons with Disabilities</w:t>
      </w:r>
      <w:r w:rsidRPr="00CA67F0">
        <w:rPr>
          <w:rFonts w:asciiTheme="minorHAnsi" w:hAnsiTheme="minorHAnsi" w:cstheme="minorHAnsi"/>
        </w:rPr>
        <w:t xml:space="preserve">: The Difficult Road from Guardianship to Supported Decision-Making’ (2012) 19 </w:t>
      </w:r>
      <w:r w:rsidRPr="00CA67F0">
        <w:rPr>
          <w:rFonts w:asciiTheme="minorHAnsi" w:hAnsiTheme="minorHAnsi" w:cstheme="minorHAnsi"/>
          <w:i/>
        </w:rPr>
        <w:t>Human Rights Brief</w:t>
      </w:r>
      <w:r w:rsidRPr="00CA67F0">
        <w:rPr>
          <w:rFonts w:asciiTheme="minorHAnsi" w:hAnsiTheme="minorHAnsi" w:cstheme="minorHAnsi"/>
        </w:rPr>
        <w:t xml:space="preserve"> 8, 9.</w:t>
      </w:r>
    </w:p>
  </w:footnote>
  <w:footnote w:id="147">
    <w:p w14:paraId="1066EC22" w14:textId="49B5F1A9"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Peter Bartlett, ‘The United Nations </w:t>
      </w:r>
      <w:r w:rsidRPr="00CA67F0">
        <w:rPr>
          <w:rFonts w:asciiTheme="minorHAnsi" w:hAnsiTheme="minorHAnsi" w:cstheme="minorHAnsi"/>
          <w:i/>
        </w:rPr>
        <w:t>Convention on the Rights of Persons with Disabilities</w:t>
      </w:r>
      <w:r w:rsidRPr="00CA67F0">
        <w:rPr>
          <w:rFonts w:asciiTheme="minorHAnsi" w:hAnsiTheme="minorHAnsi" w:cstheme="minorHAnsi"/>
        </w:rPr>
        <w:t xml:space="preserve"> and Mental Health Law’ (2012) 75 MLR 752, 769.</w:t>
      </w:r>
    </w:p>
  </w:footnote>
  <w:footnote w:id="148">
    <w:p w14:paraId="34C2F449" w14:textId="366731A9" w:rsidR="003B7D73" w:rsidRPr="00CA67F0" w:rsidRDefault="003B7D73" w:rsidP="009074D7">
      <w:pPr>
        <w:pStyle w:val="FootnoteText"/>
      </w:pPr>
      <w:r w:rsidRPr="00CA67F0">
        <w:rPr>
          <w:rStyle w:val="FootnoteReference"/>
        </w:rPr>
        <w:footnoteRef/>
      </w:r>
      <w:r w:rsidRPr="00CA67F0">
        <w:t xml:space="preserve"> </w:t>
      </w:r>
      <w:bookmarkStart w:id="63" w:name="_Hlk531958554"/>
      <w:r w:rsidRPr="00CA67F0">
        <w:t>Varney, above, n</w:t>
      </w:r>
      <w:r w:rsidRPr="00CA67F0">
        <w:rPr>
          <w:rFonts w:asciiTheme="minorHAnsi" w:hAnsiTheme="minorHAnsi" w:cstheme="minorHAnsi"/>
        </w:rPr>
        <w:t xml:space="preserve"> </w:t>
      </w:r>
      <w:bookmarkEnd w:id="63"/>
      <w:r w:rsidRPr="00CA67F0">
        <w:rPr>
          <w:rFonts w:asciiTheme="minorHAnsi" w:hAnsiTheme="minorHAnsi" w:cstheme="minorHAnsi"/>
        </w:rPr>
        <w:t>9 at 495.</w:t>
      </w:r>
    </w:p>
  </w:footnote>
  <w:footnote w:id="149">
    <w:p w14:paraId="73BE1667" w14:textId="2FE8EB5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Bach, above, n 144 at 4-5.</w:t>
      </w:r>
    </w:p>
  </w:footnote>
  <w:footnote w:id="150">
    <w:p w14:paraId="1A65F5F3" w14:textId="6F55FBF8"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bookmarkStart w:id="64" w:name="_Hlk532314765"/>
      <w:r w:rsidRPr="00CA67F0">
        <w:t xml:space="preserve">Eilionoir </w:t>
      </w:r>
      <w:r w:rsidRPr="00CA67F0">
        <w:rPr>
          <w:rFonts w:asciiTheme="minorHAnsi" w:hAnsiTheme="minorHAnsi" w:cstheme="minorHAnsi"/>
        </w:rPr>
        <w:t>Flynn</w:t>
      </w:r>
      <w:bookmarkEnd w:id="64"/>
      <w:r w:rsidRPr="00CA67F0">
        <w:rPr>
          <w:rFonts w:asciiTheme="minorHAnsi" w:hAnsiTheme="minorHAnsi" w:cstheme="minorHAnsi"/>
        </w:rPr>
        <w:t xml:space="preserve">, ‘Mental (in)Capacity or Legal Capacity: A Human Rights Analysis of the Proposed Fusion of Mental Health and Mental Capacity Law in Northern Ireland’ (2013) 64 </w:t>
      </w:r>
      <w:r w:rsidRPr="00CA67F0">
        <w:rPr>
          <w:rFonts w:asciiTheme="minorHAnsi" w:hAnsiTheme="minorHAnsi" w:cstheme="minorHAnsi"/>
          <w:i/>
        </w:rPr>
        <w:t>Northern Ireland Legal Quarterly</w:t>
      </w:r>
      <w:r w:rsidRPr="00CA67F0">
        <w:rPr>
          <w:rFonts w:asciiTheme="minorHAnsi" w:hAnsiTheme="minorHAnsi" w:cstheme="minorHAnsi"/>
        </w:rPr>
        <w:t xml:space="preserve"> 485 at 497.</w:t>
      </w:r>
    </w:p>
  </w:footnote>
  <w:footnote w:id="151">
    <w:p w14:paraId="26C3BDBD" w14:textId="3554E63D"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W </w:t>
      </w:r>
      <w:bookmarkStart w:id="65" w:name="_Hlk532315102"/>
      <w:r w:rsidRPr="00CA67F0">
        <w:rPr>
          <w:rFonts w:asciiTheme="minorHAnsi" w:hAnsiTheme="minorHAnsi" w:cstheme="minorHAnsi"/>
        </w:rPr>
        <w:t>Martin et.al</w:t>
      </w:r>
      <w:bookmarkEnd w:id="65"/>
      <w:r w:rsidRPr="00CA67F0">
        <w:rPr>
          <w:rFonts w:asciiTheme="minorHAnsi" w:hAnsiTheme="minorHAnsi" w:cstheme="minorHAnsi"/>
        </w:rPr>
        <w:t xml:space="preserve">, ‘Achieving CRPD Compliance. Is the </w:t>
      </w:r>
      <w:r w:rsidRPr="00CA67F0">
        <w:rPr>
          <w:rFonts w:asciiTheme="minorHAnsi" w:hAnsiTheme="minorHAnsi" w:cstheme="minorHAnsi"/>
          <w:i/>
        </w:rPr>
        <w:t>Mental Capacity Act</w:t>
      </w:r>
      <w:r w:rsidRPr="00CA67F0">
        <w:rPr>
          <w:rFonts w:asciiTheme="minorHAnsi" w:hAnsiTheme="minorHAnsi" w:cstheme="minorHAnsi"/>
        </w:rPr>
        <w:t xml:space="preserve"> of England and Wales Compatible with the </w:t>
      </w:r>
      <w:r w:rsidRPr="00CA67F0">
        <w:rPr>
          <w:rFonts w:asciiTheme="minorHAnsi" w:hAnsiTheme="minorHAnsi" w:cstheme="minorHAnsi"/>
          <w:i/>
        </w:rPr>
        <w:t>UN Convention on the Rights of Persons with Disabilities</w:t>
      </w:r>
      <w:r w:rsidRPr="00CA67F0">
        <w:rPr>
          <w:rFonts w:asciiTheme="minorHAnsi" w:hAnsiTheme="minorHAnsi" w:cstheme="minorHAnsi"/>
        </w:rPr>
        <w:t>? If Not, What Next? An Essex Autonomy Project Position Paper’, Report submitted to the UK Ministry of Justice, 22 September 2014 at 6.</w:t>
      </w:r>
    </w:p>
  </w:footnote>
  <w:footnote w:id="152">
    <w:p w14:paraId="4BA35199" w14:textId="59153D7E"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 7.</w:t>
      </w:r>
    </w:p>
  </w:footnote>
  <w:footnote w:id="153">
    <w:p w14:paraId="70DA7B47" w14:textId="506D9253" w:rsidR="003B7D73" w:rsidRPr="00CA67F0" w:rsidRDefault="003B7D73" w:rsidP="009074D7">
      <w:pPr>
        <w:pStyle w:val="FootnoteText"/>
      </w:pPr>
      <w:r w:rsidRPr="00CA67F0">
        <w:rPr>
          <w:rStyle w:val="FootnoteReference"/>
        </w:rPr>
        <w:footnoteRef/>
      </w:r>
      <w:r w:rsidRPr="00CA67F0">
        <w:t xml:space="preserve"> Ibid</w:t>
      </w:r>
      <w:r w:rsidRPr="00CA67F0">
        <w:rPr>
          <w:i/>
        </w:rPr>
        <w:t>,</w:t>
      </w:r>
      <w:r w:rsidRPr="00CA67F0">
        <w:t xml:space="preserve"> p 30</w:t>
      </w:r>
      <w:r w:rsidRPr="00CA67F0">
        <w:rPr>
          <w:rFonts w:asciiTheme="minorHAnsi" w:hAnsiTheme="minorHAnsi" w:cstheme="minorHAnsi"/>
        </w:rPr>
        <w:t>.</w:t>
      </w:r>
    </w:p>
  </w:footnote>
  <w:footnote w:id="154">
    <w:p w14:paraId="578DF63B" w14:textId="322ED1E4"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John Dawson, ‘A Realistic Approach to assessing Mental Health Laws’ compliance with the UNCRPD’ (2015) 40 </w:t>
      </w:r>
      <w:r w:rsidRPr="00CA67F0">
        <w:rPr>
          <w:rFonts w:asciiTheme="minorHAnsi" w:hAnsiTheme="minorHAnsi" w:cstheme="minorHAnsi"/>
          <w:i/>
        </w:rPr>
        <w:t xml:space="preserve">International Journal of Law and Psychiatry </w:t>
      </w:r>
      <w:r w:rsidRPr="00CA67F0">
        <w:rPr>
          <w:rFonts w:asciiTheme="minorHAnsi" w:hAnsiTheme="minorHAnsi" w:cstheme="minorHAnsi"/>
        </w:rPr>
        <w:t>70.</w:t>
      </w:r>
    </w:p>
  </w:footnote>
  <w:footnote w:id="155">
    <w:p w14:paraId="7680C8A6" w14:textId="15989B3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Martin et.al, above, n 150 at 9.</w:t>
      </w:r>
    </w:p>
  </w:footnote>
  <w:footnote w:id="156">
    <w:p w14:paraId="56B7226F" w14:textId="4B3DB470"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xml:space="preserve">, Arts 1 and 12(3). See </w:t>
      </w:r>
      <w:r w:rsidRPr="00CA67F0">
        <w:rPr>
          <w:rFonts w:asciiTheme="minorHAnsi" w:hAnsiTheme="minorHAnsi" w:cstheme="minorHAnsi"/>
        </w:rPr>
        <w:t>ComRPD, General Comment No. 1.</w:t>
      </w:r>
    </w:p>
  </w:footnote>
  <w:footnote w:id="157">
    <w:p w14:paraId="4013EB6C" w14:textId="50B54D30"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Lucy Series, ‘Relationships, Autonomy and Legal Capacity: Mental Capacity and Support Paradigms’ (2015) 40 </w:t>
      </w:r>
      <w:r w:rsidRPr="00CA67F0">
        <w:rPr>
          <w:rFonts w:asciiTheme="minorHAnsi" w:hAnsiTheme="minorHAnsi" w:cstheme="minorHAnsi"/>
          <w:i/>
        </w:rPr>
        <w:t>International Journal of Law and Psychiatry</w:t>
      </w:r>
      <w:r w:rsidRPr="00CA67F0">
        <w:rPr>
          <w:rFonts w:asciiTheme="minorHAnsi" w:hAnsiTheme="minorHAnsi" w:cstheme="minorHAnsi"/>
        </w:rPr>
        <w:t xml:space="preserve"> 80 at 87.</w:t>
      </w:r>
    </w:p>
  </w:footnote>
  <w:footnote w:id="158">
    <w:p w14:paraId="198F8B37" w14:textId="0A82CAA0"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ComRPD, General Comment No. 1.</w:t>
      </w:r>
    </w:p>
  </w:footnote>
  <w:footnote w:id="159">
    <w:p w14:paraId="02682892" w14:textId="2D774408"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Ibid</w:t>
      </w:r>
      <w:r w:rsidRPr="00CA67F0">
        <w:rPr>
          <w:i/>
        </w:rPr>
        <w:t>,</w:t>
      </w:r>
      <w:r w:rsidRPr="00CA67F0">
        <w:t xml:space="preserve"> paras 14-15</w:t>
      </w:r>
      <w:r w:rsidRPr="00CA67F0">
        <w:rPr>
          <w:rFonts w:asciiTheme="minorHAnsi" w:hAnsiTheme="minorHAnsi" w:cstheme="minorHAnsi"/>
        </w:rPr>
        <w:t>.</w:t>
      </w:r>
    </w:p>
  </w:footnote>
  <w:footnote w:id="160">
    <w:p w14:paraId="68345CAD" w14:textId="07A80842"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J</w:t>
      </w:r>
      <w:bookmarkStart w:id="66" w:name="_Hlk532944164"/>
      <w:r w:rsidRPr="00CA67F0">
        <w:rPr>
          <w:rFonts w:asciiTheme="minorHAnsi" w:hAnsiTheme="minorHAnsi" w:cstheme="minorHAnsi"/>
        </w:rPr>
        <w:t xml:space="preserve"> Morgan, </w:t>
      </w:r>
      <w:r w:rsidRPr="00CA67F0">
        <w:rPr>
          <w:rFonts w:asciiTheme="minorHAnsi" w:hAnsiTheme="minorHAnsi" w:cstheme="minorHAnsi"/>
          <w:i/>
        </w:rPr>
        <w:t xml:space="preserve">Great Debates </w:t>
      </w:r>
      <w:bookmarkEnd w:id="66"/>
      <w:r w:rsidRPr="00CA67F0">
        <w:rPr>
          <w:rFonts w:asciiTheme="minorHAnsi" w:hAnsiTheme="minorHAnsi" w:cstheme="minorHAnsi"/>
          <w:i/>
        </w:rPr>
        <w:t>in Contract Law</w:t>
      </w:r>
      <w:r w:rsidRPr="00CA67F0">
        <w:rPr>
          <w:rFonts w:asciiTheme="minorHAnsi" w:hAnsiTheme="minorHAnsi" w:cstheme="minorHAnsi"/>
        </w:rPr>
        <w:t>, 2</w:t>
      </w:r>
      <w:r w:rsidRPr="00CA67F0">
        <w:rPr>
          <w:rFonts w:asciiTheme="minorHAnsi" w:hAnsiTheme="minorHAnsi" w:cstheme="minorHAnsi"/>
          <w:vertAlign w:val="superscript"/>
        </w:rPr>
        <w:t>nd</w:t>
      </w:r>
      <w:r w:rsidRPr="00CA67F0">
        <w:rPr>
          <w:rFonts w:asciiTheme="minorHAnsi" w:hAnsiTheme="minorHAnsi" w:cstheme="minorHAnsi"/>
        </w:rPr>
        <w:t xml:space="preserve"> edn, Palgrave, London, 2015, p 214; See </w:t>
      </w:r>
      <w:r w:rsidRPr="00CA67F0">
        <w:rPr>
          <w:rFonts w:asciiTheme="minorHAnsi" w:hAnsiTheme="minorHAnsi" w:cstheme="minorHAnsi"/>
          <w:i/>
        </w:rPr>
        <w:t xml:space="preserve">Alec Lobb </w:t>
      </w:r>
      <w:r w:rsidRPr="00CA67F0">
        <w:rPr>
          <w:rFonts w:asciiTheme="minorHAnsi" w:hAnsiTheme="minorHAnsi" w:cstheme="minorHAnsi"/>
        </w:rPr>
        <w:t>v</w:t>
      </w:r>
      <w:r w:rsidRPr="00CA67F0">
        <w:rPr>
          <w:rFonts w:asciiTheme="minorHAnsi" w:hAnsiTheme="minorHAnsi" w:cstheme="minorHAnsi"/>
          <w:i/>
        </w:rPr>
        <w:t xml:space="preserve"> Total Oil</w:t>
      </w:r>
      <w:r w:rsidRPr="00CA67F0">
        <w:rPr>
          <w:rFonts w:asciiTheme="minorHAnsi" w:hAnsiTheme="minorHAnsi" w:cstheme="minorHAnsi"/>
        </w:rPr>
        <w:t xml:space="preserve"> [1985] 1 WLR 173.</w:t>
      </w:r>
    </w:p>
  </w:footnote>
  <w:footnote w:id="161">
    <w:p w14:paraId="02606562" w14:textId="4F34A1A2"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Arts 1 and 12</w:t>
      </w:r>
      <w:r w:rsidRPr="00CA67F0">
        <w:rPr>
          <w:rFonts w:asciiTheme="minorHAnsi" w:hAnsiTheme="minorHAnsi" w:cstheme="minorHAnsi"/>
        </w:rPr>
        <w:t>.</w:t>
      </w:r>
    </w:p>
  </w:footnote>
  <w:footnote w:id="162">
    <w:p w14:paraId="501609F9" w14:textId="44290C52"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M Trebilcock and S Elliott, ‘The Scope and Limits of Legal Paternalism: Altruism and Coercion in Family Financial Arrangements’ in P Benson, ed, </w:t>
      </w:r>
      <w:r w:rsidRPr="00CA67F0">
        <w:rPr>
          <w:rFonts w:asciiTheme="minorHAnsi" w:hAnsiTheme="minorHAnsi" w:cstheme="minorHAnsi"/>
          <w:i/>
        </w:rPr>
        <w:t>The Theory of Contract Law: New Essays</w:t>
      </w:r>
      <w:r w:rsidRPr="00CA67F0">
        <w:rPr>
          <w:rFonts w:asciiTheme="minorHAnsi" w:hAnsiTheme="minorHAnsi" w:cstheme="minorHAnsi"/>
        </w:rPr>
        <w:t>, Cambridge University Press, Cambridge, 2008, p 69.</w:t>
      </w:r>
    </w:p>
  </w:footnote>
  <w:footnote w:id="163">
    <w:p w14:paraId="09A1767D" w14:textId="5B347A5E"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Sarah </w:t>
      </w:r>
      <w:bookmarkStart w:id="67" w:name="_Hlk532319268"/>
      <w:r w:rsidRPr="00CA67F0">
        <w:rPr>
          <w:rFonts w:asciiTheme="minorHAnsi" w:hAnsiTheme="minorHAnsi" w:cstheme="minorHAnsi"/>
        </w:rPr>
        <w:t>Fraser Butlin</w:t>
      </w:r>
      <w:bookmarkEnd w:id="67"/>
      <w:r w:rsidRPr="00CA67F0">
        <w:rPr>
          <w:rFonts w:asciiTheme="minorHAnsi" w:hAnsiTheme="minorHAnsi" w:cstheme="minorHAnsi"/>
        </w:rPr>
        <w:t xml:space="preserve">, ‘The UN Convention on the Rights of Persons with Disabilities: Does the Equality Act 2010 Measure up to UK International Commitments?’ (2011) 40 </w:t>
      </w:r>
      <w:r w:rsidRPr="00CA67F0">
        <w:rPr>
          <w:rFonts w:asciiTheme="minorHAnsi" w:hAnsiTheme="minorHAnsi" w:cstheme="minorHAnsi"/>
          <w:i/>
        </w:rPr>
        <w:t>Industrial Law Journal</w:t>
      </w:r>
      <w:r w:rsidRPr="00CA67F0">
        <w:rPr>
          <w:rFonts w:asciiTheme="minorHAnsi" w:hAnsiTheme="minorHAnsi" w:cstheme="minorHAnsi"/>
        </w:rPr>
        <w:t xml:space="preserve"> 428.</w:t>
      </w:r>
    </w:p>
  </w:footnote>
  <w:footnote w:id="164">
    <w:p w14:paraId="314C24DE" w14:textId="5F8B461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H </w:t>
      </w:r>
      <w:bookmarkStart w:id="68" w:name="_Hlk531757989"/>
      <w:bookmarkStart w:id="69" w:name="_Hlk532944334"/>
      <w:r w:rsidRPr="00CA67F0">
        <w:rPr>
          <w:rFonts w:asciiTheme="minorHAnsi" w:hAnsiTheme="minorHAnsi" w:cstheme="minorHAnsi"/>
        </w:rPr>
        <w:t>Collins</w:t>
      </w:r>
      <w:bookmarkEnd w:id="68"/>
      <w:r w:rsidRPr="00CA67F0">
        <w:rPr>
          <w:rFonts w:asciiTheme="minorHAnsi" w:hAnsiTheme="minorHAnsi" w:cstheme="minorHAnsi"/>
        </w:rPr>
        <w:t xml:space="preserve">, </w:t>
      </w:r>
      <w:r w:rsidRPr="00CA67F0">
        <w:rPr>
          <w:rFonts w:asciiTheme="minorHAnsi" w:hAnsiTheme="minorHAnsi" w:cstheme="minorHAnsi"/>
          <w:i/>
        </w:rPr>
        <w:t>The Law of Contract</w:t>
      </w:r>
      <w:bookmarkEnd w:id="69"/>
      <w:r w:rsidRPr="00CA67F0">
        <w:rPr>
          <w:rFonts w:asciiTheme="minorHAnsi" w:hAnsiTheme="minorHAnsi" w:cstheme="minorHAnsi"/>
        </w:rPr>
        <w:t>, 4</w:t>
      </w:r>
      <w:r w:rsidRPr="00CA67F0">
        <w:rPr>
          <w:rFonts w:asciiTheme="minorHAnsi" w:hAnsiTheme="minorHAnsi" w:cstheme="minorHAnsi"/>
          <w:vertAlign w:val="superscript"/>
        </w:rPr>
        <w:t>th</w:t>
      </w:r>
      <w:r w:rsidRPr="00CA67F0">
        <w:rPr>
          <w:rFonts w:asciiTheme="minorHAnsi" w:hAnsiTheme="minorHAnsi" w:cstheme="minorHAnsi"/>
        </w:rPr>
        <w:t xml:space="preserve"> edn, Oxford University Press, Oxford, 2003, p 118.</w:t>
      </w:r>
    </w:p>
  </w:footnote>
  <w:footnote w:id="165">
    <w:p w14:paraId="1CCF8A60" w14:textId="75FE137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S </w:t>
      </w:r>
      <w:bookmarkStart w:id="70" w:name="_Hlk531769156"/>
      <w:r w:rsidRPr="00CA67F0">
        <w:rPr>
          <w:rFonts w:asciiTheme="minorHAnsi" w:hAnsiTheme="minorHAnsi" w:cstheme="minorHAnsi"/>
        </w:rPr>
        <w:t>Waddams</w:t>
      </w:r>
      <w:bookmarkEnd w:id="70"/>
      <w:r w:rsidRPr="00CA67F0">
        <w:rPr>
          <w:rFonts w:asciiTheme="minorHAnsi" w:hAnsiTheme="minorHAnsi" w:cstheme="minorHAnsi"/>
        </w:rPr>
        <w:t xml:space="preserve">, </w:t>
      </w:r>
      <w:r w:rsidRPr="00CA67F0">
        <w:rPr>
          <w:rFonts w:asciiTheme="minorHAnsi" w:hAnsiTheme="minorHAnsi" w:cstheme="minorHAnsi"/>
          <w:i/>
        </w:rPr>
        <w:t>Principle and Policy in Contract Law</w:t>
      </w:r>
      <w:r w:rsidRPr="00CA67F0">
        <w:rPr>
          <w:rFonts w:asciiTheme="minorHAnsi" w:hAnsiTheme="minorHAnsi" w:cstheme="minorHAnsi"/>
        </w:rPr>
        <w:t>, Cambridge University Press, Cambridge, 2011, p 112.</w:t>
      </w:r>
    </w:p>
  </w:footnote>
  <w:footnote w:id="166">
    <w:p w14:paraId="36FF3083" w14:textId="1532DFFB"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Art 3(d).</w:t>
      </w:r>
    </w:p>
  </w:footnote>
  <w:footnote w:id="167">
    <w:p w14:paraId="1FB008D1" w14:textId="6D57A435" w:rsidR="003B7D73" w:rsidRPr="00CA67F0" w:rsidRDefault="003B7D73" w:rsidP="009074D7">
      <w:pPr>
        <w:pStyle w:val="FootnoteText"/>
      </w:pPr>
      <w:r w:rsidRPr="00CA67F0">
        <w:rPr>
          <w:rStyle w:val="FootnoteReference"/>
        </w:rPr>
        <w:footnoteRef/>
      </w:r>
      <w:r w:rsidRPr="00CA67F0">
        <w:t xml:space="preserve"> See, for example, </w:t>
      </w:r>
      <w:r w:rsidRPr="00CA67F0">
        <w:rPr>
          <w:rFonts w:asciiTheme="minorHAnsi" w:hAnsiTheme="minorHAnsi" w:cstheme="minorHAnsi"/>
          <w:i/>
          <w:szCs w:val="22"/>
        </w:rPr>
        <w:t xml:space="preserve">Imperial Loan </w:t>
      </w:r>
      <w:r w:rsidRPr="00CA67F0">
        <w:rPr>
          <w:rFonts w:asciiTheme="minorHAnsi" w:hAnsiTheme="minorHAnsi" w:cstheme="minorHAnsi"/>
          <w:szCs w:val="22"/>
        </w:rPr>
        <w:t>[1892] 1 QB 599</w:t>
      </w:r>
      <w:r w:rsidRPr="00CA67F0">
        <w:t xml:space="preserve">; </w:t>
      </w:r>
      <w:r w:rsidRPr="00CA67F0">
        <w:rPr>
          <w:rFonts w:asciiTheme="minorHAnsi" w:hAnsiTheme="minorHAnsi" w:cstheme="minorHAnsi"/>
          <w:i/>
        </w:rPr>
        <w:t xml:space="preserve">Hart </w:t>
      </w:r>
      <w:r w:rsidRPr="00CA67F0">
        <w:rPr>
          <w:rFonts w:asciiTheme="minorHAnsi" w:hAnsiTheme="minorHAnsi" w:cstheme="minorHAnsi"/>
        </w:rPr>
        <w:t>[1985] AC 1000.</w:t>
      </w:r>
    </w:p>
  </w:footnote>
  <w:footnote w:id="168">
    <w:p w14:paraId="0EAB7B69" w14:textId="1A8701BE" w:rsidR="003B7D73" w:rsidRPr="00CA67F0" w:rsidRDefault="003B7D73" w:rsidP="009074D7">
      <w:pPr>
        <w:pStyle w:val="FootnoteText"/>
      </w:pPr>
      <w:r w:rsidRPr="00CA67F0">
        <w:rPr>
          <w:rStyle w:val="FootnoteReference"/>
        </w:rPr>
        <w:footnoteRef/>
      </w:r>
      <w:r w:rsidRPr="00CA67F0">
        <w:t xml:space="preserve"> </w:t>
      </w:r>
      <w:r w:rsidRPr="00CA67F0">
        <w:rPr>
          <w:rFonts w:cstheme="minorHAnsi"/>
          <w:i/>
        </w:rPr>
        <w:t xml:space="preserve">Dunhill </w:t>
      </w:r>
      <w:r w:rsidRPr="00CA67F0">
        <w:rPr>
          <w:rFonts w:cstheme="minorHAnsi"/>
        </w:rPr>
        <w:t xml:space="preserve">[2014] UKSC 18, at 25. See </w:t>
      </w:r>
      <w:r w:rsidRPr="00CA67F0">
        <w:t>Whittaker, above, n 1</w:t>
      </w:r>
      <w:r w:rsidR="00982389" w:rsidRPr="00CA67F0">
        <w:t>3</w:t>
      </w:r>
      <w:r w:rsidRPr="00CA67F0">
        <w:t xml:space="preserve">, </w:t>
      </w:r>
      <w:r w:rsidRPr="00CA67F0">
        <w:rPr>
          <w:rFonts w:asciiTheme="minorHAnsi" w:hAnsiTheme="minorHAnsi" w:cstheme="minorHAnsi"/>
        </w:rPr>
        <w:t>para 9-075, note 339.</w:t>
      </w:r>
    </w:p>
  </w:footnote>
  <w:footnote w:id="169">
    <w:p w14:paraId="1BA5BA61" w14:textId="0ADE152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Art 3(a) and 4.</w:t>
      </w:r>
    </w:p>
  </w:footnote>
  <w:footnote w:id="170">
    <w:p w14:paraId="4EA9B7A2" w14:textId="58AF5340"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Hudson, above, n 8 at 181; Alzheimer's Society, above, n 11.</w:t>
      </w:r>
    </w:p>
  </w:footnote>
  <w:footnote w:id="171">
    <w:p w14:paraId="7B19354B" w14:textId="5919AC2B" w:rsidR="003B7D73" w:rsidRPr="00CA67F0" w:rsidRDefault="003B7D73" w:rsidP="009074D7">
      <w:pPr>
        <w:pStyle w:val="FootnoteText"/>
      </w:pPr>
      <w:r w:rsidRPr="00CA67F0">
        <w:rPr>
          <w:rStyle w:val="FootnoteReference"/>
        </w:rPr>
        <w:footnoteRef/>
      </w:r>
      <w:r w:rsidRPr="00CA67F0">
        <w:t xml:space="preserve"> </w:t>
      </w:r>
      <w:bookmarkStart w:id="71" w:name="_Hlk532319598"/>
      <w:r w:rsidRPr="00CA67F0">
        <w:rPr>
          <w:rFonts w:asciiTheme="minorHAnsi" w:hAnsiTheme="minorHAnsi" w:cstheme="minorHAnsi"/>
        </w:rPr>
        <w:t xml:space="preserve">Collins, above, n </w:t>
      </w:r>
      <w:bookmarkEnd w:id="71"/>
      <w:r w:rsidRPr="00CA67F0">
        <w:rPr>
          <w:rFonts w:asciiTheme="minorHAnsi" w:hAnsiTheme="minorHAnsi" w:cstheme="minorHAnsi"/>
        </w:rPr>
        <w:t>163, p 4.</w:t>
      </w:r>
    </w:p>
  </w:footnote>
  <w:footnote w:id="172">
    <w:p w14:paraId="2EDBB519" w14:textId="005A3745"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Ibid</w:t>
      </w:r>
      <w:r w:rsidRPr="00CA67F0">
        <w:rPr>
          <w:rFonts w:asciiTheme="minorHAnsi" w:hAnsiTheme="minorHAnsi" w:cstheme="minorHAnsi"/>
          <w:i/>
        </w:rPr>
        <w:t>,</w:t>
      </w:r>
      <w:r w:rsidRPr="00CA67F0">
        <w:rPr>
          <w:rFonts w:asciiTheme="minorHAnsi" w:hAnsiTheme="minorHAnsi" w:cstheme="minorHAnsi"/>
        </w:rPr>
        <w:t xml:space="preserve"> p 3.</w:t>
      </w:r>
    </w:p>
  </w:footnote>
  <w:footnote w:id="173">
    <w:p w14:paraId="017DA661" w14:textId="128F0DC7"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Patrick Atiyah, ‘Contract and Fair Exchange’ (1985) 35 </w:t>
      </w:r>
      <w:r w:rsidRPr="00CA67F0">
        <w:rPr>
          <w:rFonts w:asciiTheme="minorHAnsi" w:hAnsiTheme="minorHAnsi" w:cstheme="minorHAnsi"/>
          <w:i/>
        </w:rPr>
        <w:t>University of Toronto Law Journal</w:t>
      </w:r>
      <w:r w:rsidRPr="00CA67F0">
        <w:rPr>
          <w:rFonts w:asciiTheme="minorHAnsi" w:hAnsiTheme="minorHAnsi" w:cstheme="minorHAnsi"/>
        </w:rPr>
        <w:t xml:space="preserve"> 1 at 3.</w:t>
      </w:r>
    </w:p>
  </w:footnote>
  <w:footnote w:id="174">
    <w:p w14:paraId="6CF4CD7B" w14:textId="48EED95E" w:rsidR="003B7D73" w:rsidRPr="00CA67F0" w:rsidRDefault="003B7D73" w:rsidP="009074D7">
      <w:pPr>
        <w:pStyle w:val="FootnoteText"/>
      </w:pPr>
      <w:r w:rsidRPr="00CA67F0">
        <w:rPr>
          <w:rStyle w:val="FootnoteReference"/>
        </w:rPr>
        <w:footnoteRef/>
      </w:r>
      <w:r w:rsidRPr="00CA67F0">
        <w:t xml:space="preserve"> </w:t>
      </w:r>
      <w:bookmarkStart w:id="72" w:name="_Hlk532324211"/>
      <w:r w:rsidRPr="00CA67F0">
        <w:rPr>
          <w:rFonts w:asciiTheme="minorHAnsi" w:hAnsiTheme="minorHAnsi" w:cstheme="minorHAnsi"/>
        </w:rPr>
        <w:t xml:space="preserve">Teubner, above n </w:t>
      </w:r>
      <w:bookmarkEnd w:id="72"/>
      <w:r w:rsidRPr="00CA67F0">
        <w:rPr>
          <w:rFonts w:asciiTheme="minorHAnsi" w:hAnsiTheme="minorHAnsi" w:cstheme="minorHAnsi"/>
        </w:rPr>
        <w:t>12 at 400.</w:t>
      </w:r>
    </w:p>
  </w:footnote>
  <w:footnote w:id="175">
    <w:p w14:paraId="6EEF9F73" w14:textId="0E15CCA2"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M Chen-Wishart, ‘Undue Influence: Beyond Impaired Consent and Wrongdoing towards a Relational Analysis’ in A Burrows and A Rodger, eds, </w:t>
      </w:r>
      <w:r w:rsidRPr="00CA67F0">
        <w:rPr>
          <w:rFonts w:asciiTheme="minorHAnsi" w:hAnsiTheme="minorHAnsi" w:cstheme="minorHAnsi"/>
          <w:i/>
        </w:rPr>
        <w:t>Mapping the Law: Essays in Memory of Peter Birks</w:t>
      </w:r>
      <w:r w:rsidRPr="00CA67F0">
        <w:rPr>
          <w:rFonts w:asciiTheme="minorHAnsi" w:hAnsiTheme="minorHAnsi" w:cstheme="minorHAnsi"/>
        </w:rPr>
        <w:t xml:space="preserve">, Oxford University Press, Oxford, 2006; Seana Shiffrin, ‘Paternalism, Unconscionability Doctrine and Accommodation’ 29 </w:t>
      </w:r>
      <w:r w:rsidRPr="00CA67F0">
        <w:rPr>
          <w:rFonts w:asciiTheme="minorHAnsi" w:hAnsiTheme="minorHAnsi" w:cstheme="minorHAnsi"/>
          <w:i/>
        </w:rPr>
        <w:t>Philosophy and Public Affairs</w:t>
      </w:r>
      <w:r w:rsidRPr="00CA67F0">
        <w:rPr>
          <w:rFonts w:asciiTheme="minorHAnsi" w:hAnsiTheme="minorHAnsi" w:cstheme="minorHAnsi"/>
        </w:rPr>
        <w:t xml:space="preserve"> 205 at 227-228; Morgan, above, n 159, p 208.</w:t>
      </w:r>
    </w:p>
  </w:footnote>
  <w:footnote w:id="176">
    <w:p w14:paraId="2D106C5B" w14:textId="7558226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 xml:space="preserve">P Benson, ‘The Unity of Contract Law’ in P Benson, ed, </w:t>
      </w:r>
      <w:r w:rsidRPr="00CA67F0">
        <w:rPr>
          <w:rFonts w:asciiTheme="minorHAnsi" w:hAnsiTheme="minorHAnsi" w:cstheme="minorHAnsi"/>
          <w:i/>
        </w:rPr>
        <w:t>The Theory of Contract Law: New Essays</w:t>
      </w:r>
      <w:r w:rsidRPr="00CA67F0">
        <w:rPr>
          <w:rFonts w:asciiTheme="minorHAnsi" w:hAnsiTheme="minorHAnsi" w:cstheme="minorHAnsi"/>
        </w:rPr>
        <w:t>, Cambridge University Press, Cambridge, 2008, p 185; Morgan, above, n 159 at 214.</w:t>
      </w:r>
    </w:p>
  </w:footnote>
  <w:footnote w:id="177">
    <w:p w14:paraId="2F0F3A81" w14:textId="2EDD9AD3"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 xml:space="preserve">[2015] EWCA Civ 18, at 36; </w:t>
      </w:r>
      <w:r w:rsidRPr="00CA67F0">
        <w:rPr>
          <w:rFonts w:cstheme="minorHAnsi"/>
          <w:i/>
        </w:rPr>
        <w:t xml:space="preserve">Dunhill </w:t>
      </w:r>
      <w:r w:rsidRPr="00CA67F0">
        <w:rPr>
          <w:rFonts w:cstheme="minorHAnsi"/>
        </w:rPr>
        <w:t>[2014] UKSC 18, at 31.</w:t>
      </w:r>
    </w:p>
  </w:footnote>
  <w:footnote w:id="178">
    <w:p w14:paraId="3601AF2A" w14:textId="5CA844E8"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[2015] EWCA Civ 18, at 36, per Richards LJ.</w:t>
      </w:r>
    </w:p>
  </w:footnote>
  <w:footnote w:id="179">
    <w:p w14:paraId="5E92ADE3" w14:textId="512C315E"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rPr>
        <w:t>Watts, above, n 3 at 148.</w:t>
      </w:r>
    </w:p>
  </w:footnote>
  <w:footnote w:id="180">
    <w:p w14:paraId="3E7ADE04" w14:textId="276EB14D" w:rsidR="003B7D73" w:rsidRPr="00CA67F0" w:rsidRDefault="003B7D73" w:rsidP="009074D7">
      <w:pPr>
        <w:pStyle w:val="FootnoteText"/>
      </w:pPr>
      <w:r w:rsidRPr="00CA67F0">
        <w:rPr>
          <w:rStyle w:val="FootnoteReference"/>
        </w:rPr>
        <w:footnoteRef/>
      </w:r>
      <w:r w:rsidRPr="00CA67F0">
        <w:t xml:space="preserve"> Varney, above, n</w:t>
      </w:r>
      <w:r w:rsidRPr="00CA67F0">
        <w:rPr>
          <w:rFonts w:asciiTheme="minorHAnsi" w:hAnsiTheme="minorHAnsi" w:cstheme="minorHAnsi"/>
        </w:rPr>
        <w:t xml:space="preserve"> 9 at 511.</w:t>
      </w:r>
    </w:p>
  </w:footnote>
  <w:footnote w:id="181">
    <w:p w14:paraId="23AC794D" w14:textId="5C949BC1" w:rsidR="003B7D73" w:rsidRPr="00CA67F0" w:rsidRDefault="003B7D73" w:rsidP="009074D7">
      <w:pPr>
        <w:pStyle w:val="FootnoteText"/>
        <w:rPr>
          <w:rFonts w:asciiTheme="minorHAnsi" w:hAnsiTheme="minorHAnsi" w:cstheme="minorHAnsi"/>
        </w:rPr>
      </w:pPr>
      <w:r w:rsidRPr="00CA67F0">
        <w:rPr>
          <w:rStyle w:val="FootnoteReference"/>
        </w:rPr>
        <w:footnoteRef/>
      </w:r>
      <w:r w:rsidRPr="00CA67F0">
        <w:t xml:space="preserve"> </w:t>
      </w:r>
      <w:r w:rsidRPr="00CA67F0">
        <w:rPr>
          <w:rFonts w:asciiTheme="minorHAnsi" w:hAnsiTheme="minorHAnsi" w:cstheme="minorHAnsi"/>
        </w:rPr>
        <w:t xml:space="preserve">Patrick Atiyah, </w:t>
      </w:r>
      <w:r w:rsidRPr="00CA67F0">
        <w:rPr>
          <w:rFonts w:asciiTheme="minorHAnsi" w:hAnsiTheme="minorHAnsi" w:cstheme="minorHAnsi"/>
          <w:i/>
        </w:rPr>
        <w:t>An Introduction to the Law of Contract</w:t>
      </w:r>
      <w:r w:rsidRPr="00CA67F0">
        <w:rPr>
          <w:rFonts w:asciiTheme="minorHAnsi" w:hAnsiTheme="minorHAnsi" w:cstheme="minorHAnsi"/>
        </w:rPr>
        <w:t>, 5</w:t>
      </w:r>
      <w:r w:rsidRPr="00CA67F0">
        <w:rPr>
          <w:rFonts w:asciiTheme="minorHAnsi" w:hAnsiTheme="minorHAnsi" w:cstheme="minorHAnsi"/>
          <w:vertAlign w:val="superscript"/>
        </w:rPr>
        <w:t>th</w:t>
      </w:r>
      <w:r w:rsidRPr="00CA67F0">
        <w:rPr>
          <w:rFonts w:asciiTheme="minorHAnsi" w:hAnsiTheme="minorHAnsi" w:cstheme="minorHAnsi"/>
        </w:rPr>
        <w:t xml:space="preserve"> edn, Oxford University Press, Oxford, 1995, p 6; Collins, above, n 163, p 274.</w:t>
      </w:r>
    </w:p>
  </w:footnote>
  <w:footnote w:id="182">
    <w:p w14:paraId="2AE5E2C0" w14:textId="6E76EEC9"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szCs w:val="22"/>
        </w:rPr>
        <w:t>Convention on the Rights of Persons with Disabilities</w:t>
      </w:r>
      <w:r w:rsidRPr="00CA67F0">
        <w:t>, Arts 1, 3(a) and (d), 12 and Preamble, para (e).</w:t>
      </w:r>
    </w:p>
  </w:footnote>
  <w:footnote w:id="183">
    <w:p w14:paraId="4E9473A7" w14:textId="4581C5A5" w:rsidR="003B7D73" w:rsidRPr="00CA67F0" w:rsidRDefault="003B7D73" w:rsidP="009074D7">
      <w:pPr>
        <w:pStyle w:val="FootnoteText"/>
      </w:pPr>
      <w:r w:rsidRPr="00CA67F0">
        <w:rPr>
          <w:rStyle w:val="FootnoteReference"/>
        </w:rPr>
        <w:footnoteRef/>
      </w:r>
      <w:r w:rsidRPr="00CA67F0">
        <w:t xml:space="preserve"> </w:t>
      </w:r>
      <w:r w:rsidRPr="00CA67F0">
        <w:rPr>
          <w:rFonts w:asciiTheme="minorHAnsi" w:hAnsiTheme="minorHAnsi" w:cstheme="minorHAnsi"/>
          <w:i/>
        </w:rPr>
        <w:t xml:space="preserve">Blankley </w:t>
      </w:r>
      <w:r w:rsidRPr="00CA67F0">
        <w:rPr>
          <w:rFonts w:asciiTheme="minorHAnsi" w:hAnsiTheme="minorHAnsi" w:cstheme="minorHAnsi"/>
        </w:rPr>
        <w:t>[2015] EWCA Civ 18, at 35, per Richards LJ</w:t>
      </w:r>
      <w:r w:rsidRPr="00CA67F0">
        <w:t>, citing Mr Spearman QC (for the Respondent).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82"/>
    <w:rsid w:val="00011CC1"/>
    <w:rsid w:val="00013FF3"/>
    <w:rsid w:val="00014997"/>
    <w:rsid w:val="000162B5"/>
    <w:rsid w:val="000457EE"/>
    <w:rsid w:val="000518EF"/>
    <w:rsid w:val="00066966"/>
    <w:rsid w:val="00084F90"/>
    <w:rsid w:val="00094BD3"/>
    <w:rsid w:val="000959E0"/>
    <w:rsid w:val="000C4691"/>
    <w:rsid w:val="000E0233"/>
    <w:rsid w:val="000E12B4"/>
    <w:rsid w:val="000E1ECA"/>
    <w:rsid w:val="000E2C22"/>
    <w:rsid w:val="000F4415"/>
    <w:rsid w:val="000F5AF6"/>
    <w:rsid w:val="000F78C5"/>
    <w:rsid w:val="00105E5E"/>
    <w:rsid w:val="001163F5"/>
    <w:rsid w:val="00123FE8"/>
    <w:rsid w:val="00124FDC"/>
    <w:rsid w:val="00131971"/>
    <w:rsid w:val="00131CB4"/>
    <w:rsid w:val="001403E1"/>
    <w:rsid w:val="00143F9A"/>
    <w:rsid w:val="00177C19"/>
    <w:rsid w:val="00181D9A"/>
    <w:rsid w:val="001822F6"/>
    <w:rsid w:val="001958E7"/>
    <w:rsid w:val="001A0636"/>
    <w:rsid w:val="001A4754"/>
    <w:rsid w:val="001A6CB0"/>
    <w:rsid w:val="001B266B"/>
    <w:rsid w:val="001D0C77"/>
    <w:rsid w:val="001E6805"/>
    <w:rsid w:val="001E7C48"/>
    <w:rsid w:val="0021006C"/>
    <w:rsid w:val="00211212"/>
    <w:rsid w:val="00216A78"/>
    <w:rsid w:val="00223B73"/>
    <w:rsid w:val="00234A2A"/>
    <w:rsid w:val="00244217"/>
    <w:rsid w:val="00255F03"/>
    <w:rsid w:val="002570E6"/>
    <w:rsid w:val="00266998"/>
    <w:rsid w:val="00267D4E"/>
    <w:rsid w:val="00271341"/>
    <w:rsid w:val="00281F0B"/>
    <w:rsid w:val="00286D35"/>
    <w:rsid w:val="002A0234"/>
    <w:rsid w:val="002A0443"/>
    <w:rsid w:val="002C3D5D"/>
    <w:rsid w:val="002D4B47"/>
    <w:rsid w:val="002D5D32"/>
    <w:rsid w:val="002E3849"/>
    <w:rsid w:val="002F1B40"/>
    <w:rsid w:val="002F7CAF"/>
    <w:rsid w:val="003000E4"/>
    <w:rsid w:val="00311F4D"/>
    <w:rsid w:val="00313232"/>
    <w:rsid w:val="003359BC"/>
    <w:rsid w:val="00335E6C"/>
    <w:rsid w:val="003379BB"/>
    <w:rsid w:val="00350F5C"/>
    <w:rsid w:val="003521A6"/>
    <w:rsid w:val="00355EBB"/>
    <w:rsid w:val="00363562"/>
    <w:rsid w:val="0036472D"/>
    <w:rsid w:val="00377BA7"/>
    <w:rsid w:val="0038609C"/>
    <w:rsid w:val="003868A0"/>
    <w:rsid w:val="003B022A"/>
    <w:rsid w:val="003B3E49"/>
    <w:rsid w:val="003B7BC9"/>
    <w:rsid w:val="003B7D73"/>
    <w:rsid w:val="003C22F0"/>
    <w:rsid w:val="003D13FA"/>
    <w:rsid w:val="003D2B95"/>
    <w:rsid w:val="003D57DB"/>
    <w:rsid w:val="003E31B3"/>
    <w:rsid w:val="0040232D"/>
    <w:rsid w:val="00404D7E"/>
    <w:rsid w:val="00407FE3"/>
    <w:rsid w:val="00410F8C"/>
    <w:rsid w:val="00414652"/>
    <w:rsid w:val="00416940"/>
    <w:rsid w:val="00431E56"/>
    <w:rsid w:val="0044222E"/>
    <w:rsid w:val="00446247"/>
    <w:rsid w:val="00447530"/>
    <w:rsid w:val="00480498"/>
    <w:rsid w:val="004824E2"/>
    <w:rsid w:val="00484438"/>
    <w:rsid w:val="004A34E9"/>
    <w:rsid w:val="004A7415"/>
    <w:rsid w:val="004B158F"/>
    <w:rsid w:val="004E1742"/>
    <w:rsid w:val="004F48F4"/>
    <w:rsid w:val="00500A75"/>
    <w:rsid w:val="00510012"/>
    <w:rsid w:val="00512F58"/>
    <w:rsid w:val="005166E7"/>
    <w:rsid w:val="00520BBF"/>
    <w:rsid w:val="0053243F"/>
    <w:rsid w:val="00534E0E"/>
    <w:rsid w:val="00536738"/>
    <w:rsid w:val="00536DF4"/>
    <w:rsid w:val="0054757B"/>
    <w:rsid w:val="005515EB"/>
    <w:rsid w:val="00551A8A"/>
    <w:rsid w:val="00553C75"/>
    <w:rsid w:val="005547A3"/>
    <w:rsid w:val="00561D4B"/>
    <w:rsid w:val="0057340F"/>
    <w:rsid w:val="00573A5D"/>
    <w:rsid w:val="00574D09"/>
    <w:rsid w:val="005909F2"/>
    <w:rsid w:val="0059128F"/>
    <w:rsid w:val="00591535"/>
    <w:rsid w:val="005959D8"/>
    <w:rsid w:val="005A05FD"/>
    <w:rsid w:val="005A45B5"/>
    <w:rsid w:val="005B3A2B"/>
    <w:rsid w:val="005C4101"/>
    <w:rsid w:val="005D3E17"/>
    <w:rsid w:val="005D5EF4"/>
    <w:rsid w:val="005D5FEC"/>
    <w:rsid w:val="005E0925"/>
    <w:rsid w:val="005E2EDA"/>
    <w:rsid w:val="006010FB"/>
    <w:rsid w:val="00605B43"/>
    <w:rsid w:val="00607ACB"/>
    <w:rsid w:val="006201F2"/>
    <w:rsid w:val="00642B25"/>
    <w:rsid w:val="00647F4D"/>
    <w:rsid w:val="00650910"/>
    <w:rsid w:val="0065565E"/>
    <w:rsid w:val="0066478E"/>
    <w:rsid w:val="00665CD5"/>
    <w:rsid w:val="00670C1D"/>
    <w:rsid w:val="0068377C"/>
    <w:rsid w:val="00685782"/>
    <w:rsid w:val="006919D8"/>
    <w:rsid w:val="00691CE5"/>
    <w:rsid w:val="00697149"/>
    <w:rsid w:val="00697B74"/>
    <w:rsid w:val="006A1279"/>
    <w:rsid w:val="006A2852"/>
    <w:rsid w:val="006B41F5"/>
    <w:rsid w:val="006B5C55"/>
    <w:rsid w:val="006D239D"/>
    <w:rsid w:val="0070134F"/>
    <w:rsid w:val="00710704"/>
    <w:rsid w:val="0071443D"/>
    <w:rsid w:val="0072627B"/>
    <w:rsid w:val="0072776D"/>
    <w:rsid w:val="007314C6"/>
    <w:rsid w:val="007518CE"/>
    <w:rsid w:val="007519F5"/>
    <w:rsid w:val="00772233"/>
    <w:rsid w:val="00772809"/>
    <w:rsid w:val="00780EFE"/>
    <w:rsid w:val="00783AF0"/>
    <w:rsid w:val="0078716F"/>
    <w:rsid w:val="00797CBD"/>
    <w:rsid w:val="007A3038"/>
    <w:rsid w:val="007B750E"/>
    <w:rsid w:val="007B7CDF"/>
    <w:rsid w:val="007C3A61"/>
    <w:rsid w:val="007D6925"/>
    <w:rsid w:val="007E1366"/>
    <w:rsid w:val="007E234B"/>
    <w:rsid w:val="007E308B"/>
    <w:rsid w:val="007F2209"/>
    <w:rsid w:val="007F2D32"/>
    <w:rsid w:val="00800B8D"/>
    <w:rsid w:val="008030BA"/>
    <w:rsid w:val="00803839"/>
    <w:rsid w:val="00812E74"/>
    <w:rsid w:val="00822EED"/>
    <w:rsid w:val="00823F07"/>
    <w:rsid w:val="00826D16"/>
    <w:rsid w:val="008323EE"/>
    <w:rsid w:val="008335CF"/>
    <w:rsid w:val="008423D0"/>
    <w:rsid w:val="00851CFA"/>
    <w:rsid w:val="008617DF"/>
    <w:rsid w:val="0088189B"/>
    <w:rsid w:val="008938D3"/>
    <w:rsid w:val="008A1438"/>
    <w:rsid w:val="008A3EE1"/>
    <w:rsid w:val="008A5480"/>
    <w:rsid w:val="008A7487"/>
    <w:rsid w:val="008B0096"/>
    <w:rsid w:val="008C1FA0"/>
    <w:rsid w:val="008C6009"/>
    <w:rsid w:val="008D35D6"/>
    <w:rsid w:val="008D7258"/>
    <w:rsid w:val="008E381B"/>
    <w:rsid w:val="008E7D1C"/>
    <w:rsid w:val="008F135B"/>
    <w:rsid w:val="00900591"/>
    <w:rsid w:val="00900B67"/>
    <w:rsid w:val="0090531B"/>
    <w:rsid w:val="009074D7"/>
    <w:rsid w:val="00912C99"/>
    <w:rsid w:val="0092321B"/>
    <w:rsid w:val="00927555"/>
    <w:rsid w:val="00930BBC"/>
    <w:rsid w:val="00933090"/>
    <w:rsid w:val="00937C28"/>
    <w:rsid w:val="009416CA"/>
    <w:rsid w:val="00950B5C"/>
    <w:rsid w:val="00950DD9"/>
    <w:rsid w:val="00955EB7"/>
    <w:rsid w:val="00972A53"/>
    <w:rsid w:val="0097745F"/>
    <w:rsid w:val="00982389"/>
    <w:rsid w:val="009833D8"/>
    <w:rsid w:val="00990B16"/>
    <w:rsid w:val="009911F8"/>
    <w:rsid w:val="009A23E1"/>
    <w:rsid w:val="009B069C"/>
    <w:rsid w:val="009B1A15"/>
    <w:rsid w:val="009B4300"/>
    <w:rsid w:val="009C173C"/>
    <w:rsid w:val="009C41D2"/>
    <w:rsid w:val="009E5DC5"/>
    <w:rsid w:val="00A06D14"/>
    <w:rsid w:val="00A4482E"/>
    <w:rsid w:val="00A55D26"/>
    <w:rsid w:val="00A565AB"/>
    <w:rsid w:val="00A62523"/>
    <w:rsid w:val="00A64A27"/>
    <w:rsid w:val="00A77186"/>
    <w:rsid w:val="00A9512E"/>
    <w:rsid w:val="00AA4D3C"/>
    <w:rsid w:val="00AB28FC"/>
    <w:rsid w:val="00AB453D"/>
    <w:rsid w:val="00AC38F1"/>
    <w:rsid w:val="00AC71EE"/>
    <w:rsid w:val="00AD6970"/>
    <w:rsid w:val="00AF181D"/>
    <w:rsid w:val="00AF5F02"/>
    <w:rsid w:val="00AF64FE"/>
    <w:rsid w:val="00B104C6"/>
    <w:rsid w:val="00B1346A"/>
    <w:rsid w:val="00B14D20"/>
    <w:rsid w:val="00B23C3A"/>
    <w:rsid w:val="00B2414D"/>
    <w:rsid w:val="00B30E30"/>
    <w:rsid w:val="00B32775"/>
    <w:rsid w:val="00B66EDA"/>
    <w:rsid w:val="00B6716C"/>
    <w:rsid w:val="00B67A7B"/>
    <w:rsid w:val="00B71B1B"/>
    <w:rsid w:val="00B803A6"/>
    <w:rsid w:val="00B96BAA"/>
    <w:rsid w:val="00BA7606"/>
    <w:rsid w:val="00BB267D"/>
    <w:rsid w:val="00BC4507"/>
    <w:rsid w:val="00BC5DD5"/>
    <w:rsid w:val="00BE20EF"/>
    <w:rsid w:val="00BE371A"/>
    <w:rsid w:val="00BE7C98"/>
    <w:rsid w:val="00C063E7"/>
    <w:rsid w:val="00C07F5C"/>
    <w:rsid w:val="00C109F0"/>
    <w:rsid w:val="00C113CE"/>
    <w:rsid w:val="00C251EE"/>
    <w:rsid w:val="00C34289"/>
    <w:rsid w:val="00C4386E"/>
    <w:rsid w:val="00C5026C"/>
    <w:rsid w:val="00C50A15"/>
    <w:rsid w:val="00C54FC9"/>
    <w:rsid w:val="00C610CD"/>
    <w:rsid w:val="00C74380"/>
    <w:rsid w:val="00C75054"/>
    <w:rsid w:val="00C8344A"/>
    <w:rsid w:val="00C91485"/>
    <w:rsid w:val="00C920A7"/>
    <w:rsid w:val="00C9407B"/>
    <w:rsid w:val="00C96D95"/>
    <w:rsid w:val="00CA283D"/>
    <w:rsid w:val="00CA6717"/>
    <w:rsid w:val="00CA67F0"/>
    <w:rsid w:val="00CB0A1C"/>
    <w:rsid w:val="00CD746A"/>
    <w:rsid w:val="00CE1640"/>
    <w:rsid w:val="00CE2912"/>
    <w:rsid w:val="00CE3F1E"/>
    <w:rsid w:val="00CF22A1"/>
    <w:rsid w:val="00CF56FE"/>
    <w:rsid w:val="00D06368"/>
    <w:rsid w:val="00D114E4"/>
    <w:rsid w:val="00D1174B"/>
    <w:rsid w:val="00D163D6"/>
    <w:rsid w:val="00D2135B"/>
    <w:rsid w:val="00D27725"/>
    <w:rsid w:val="00D445FF"/>
    <w:rsid w:val="00D50146"/>
    <w:rsid w:val="00D52227"/>
    <w:rsid w:val="00D642E5"/>
    <w:rsid w:val="00D65242"/>
    <w:rsid w:val="00D7460A"/>
    <w:rsid w:val="00D74696"/>
    <w:rsid w:val="00D7535A"/>
    <w:rsid w:val="00D7707D"/>
    <w:rsid w:val="00D77B5E"/>
    <w:rsid w:val="00DA3679"/>
    <w:rsid w:val="00DA4F44"/>
    <w:rsid w:val="00DA7998"/>
    <w:rsid w:val="00DB0FAF"/>
    <w:rsid w:val="00DC3DDF"/>
    <w:rsid w:val="00DD134C"/>
    <w:rsid w:val="00DE4A84"/>
    <w:rsid w:val="00DF0D2E"/>
    <w:rsid w:val="00E0051B"/>
    <w:rsid w:val="00E008A6"/>
    <w:rsid w:val="00E04C11"/>
    <w:rsid w:val="00E14F6A"/>
    <w:rsid w:val="00E165D7"/>
    <w:rsid w:val="00E1713D"/>
    <w:rsid w:val="00E17A43"/>
    <w:rsid w:val="00E219A4"/>
    <w:rsid w:val="00E342A0"/>
    <w:rsid w:val="00E353CE"/>
    <w:rsid w:val="00E36E1D"/>
    <w:rsid w:val="00E37213"/>
    <w:rsid w:val="00E53358"/>
    <w:rsid w:val="00E57274"/>
    <w:rsid w:val="00E579C7"/>
    <w:rsid w:val="00E61450"/>
    <w:rsid w:val="00E6179D"/>
    <w:rsid w:val="00E62962"/>
    <w:rsid w:val="00E664CA"/>
    <w:rsid w:val="00E72A58"/>
    <w:rsid w:val="00E75135"/>
    <w:rsid w:val="00E76C3C"/>
    <w:rsid w:val="00E9030B"/>
    <w:rsid w:val="00E941B2"/>
    <w:rsid w:val="00E94528"/>
    <w:rsid w:val="00EC1C02"/>
    <w:rsid w:val="00ED14E2"/>
    <w:rsid w:val="00EE274C"/>
    <w:rsid w:val="00EF1933"/>
    <w:rsid w:val="00EF5B68"/>
    <w:rsid w:val="00F14FB5"/>
    <w:rsid w:val="00F16492"/>
    <w:rsid w:val="00F1711D"/>
    <w:rsid w:val="00F22865"/>
    <w:rsid w:val="00F2417E"/>
    <w:rsid w:val="00F27D9A"/>
    <w:rsid w:val="00F30296"/>
    <w:rsid w:val="00F40C55"/>
    <w:rsid w:val="00F45BAE"/>
    <w:rsid w:val="00F52991"/>
    <w:rsid w:val="00F60E5F"/>
    <w:rsid w:val="00F666A6"/>
    <w:rsid w:val="00F76726"/>
    <w:rsid w:val="00F77600"/>
    <w:rsid w:val="00F81453"/>
    <w:rsid w:val="00F92EA0"/>
    <w:rsid w:val="00FB4724"/>
    <w:rsid w:val="00FD30DE"/>
    <w:rsid w:val="00FD3D14"/>
    <w:rsid w:val="00FF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1A6F"/>
  <w15:chartTrackingRefBased/>
  <w15:docId w15:val="{C6C7FE84-83DA-4C36-985F-D604C4F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82"/>
    <w:pPr>
      <w:jc w:val="both"/>
    </w:pPr>
    <w:rPr>
      <w:rFonts w:ascii="Calibri" w:eastAsia="Times New Roman" w:hAnsi="Calibri" w:cs="Times New Roman"/>
      <w:szCs w:val="24"/>
    </w:rPr>
  </w:style>
  <w:style w:type="paragraph" w:styleId="Heading1">
    <w:name w:val="heading 1"/>
    <w:next w:val="Normal"/>
    <w:link w:val="Heading1Char"/>
    <w:autoRedefine/>
    <w:qFormat/>
    <w:rsid w:val="00177C19"/>
    <w:pPr>
      <w:keepNext/>
      <w:spacing w:before="80"/>
      <w:jc w:val="both"/>
      <w:outlineLvl w:val="0"/>
    </w:pPr>
    <w:rPr>
      <w:rFonts w:eastAsia="Times New Roman" w:cs="Arial"/>
      <w:b/>
      <w:bCs/>
      <w:color w:val="44546A" w:themeColor="text2"/>
      <w:sz w:val="24"/>
      <w:szCs w:val="24"/>
    </w:rPr>
  </w:style>
  <w:style w:type="paragraph" w:styleId="Heading3">
    <w:name w:val="heading 3"/>
    <w:basedOn w:val="Normal"/>
    <w:next w:val="Normal"/>
    <w:link w:val="Heading3Char"/>
    <w:autoRedefine/>
    <w:qFormat/>
    <w:rsid w:val="00177C19"/>
    <w:pPr>
      <w:keepNext/>
      <w:spacing w:before="80"/>
      <w:outlineLvl w:val="2"/>
    </w:pPr>
    <w:rPr>
      <w:rFonts w:cs="Arial"/>
      <w:b/>
      <w:bCs/>
      <w:i/>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7C19"/>
    <w:rPr>
      <w:rFonts w:ascii="Calibri" w:eastAsia="Times New Roman" w:hAnsi="Calibri" w:cs="Arial"/>
      <w:b/>
      <w:bCs/>
      <w:i/>
      <w:spacing w:val="-6"/>
      <w:szCs w:val="24"/>
    </w:rPr>
  </w:style>
  <w:style w:type="character" w:customStyle="1" w:styleId="Heading1Char">
    <w:name w:val="Heading 1 Char"/>
    <w:basedOn w:val="DefaultParagraphFont"/>
    <w:link w:val="Heading1"/>
    <w:rsid w:val="00177C19"/>
    <w:rPr>
      <w:rFonts w:eastAsia="Times New Roman" w:cs="Arial"/>
      <w:b/>
      <w:bCs/>
      <w:color w:val="44546A" w:themeColor="text2"/>
      <w:sz w:val="24"/>
      <w:szCs w:val="24"/>
    </w:rPr>
  </w:style>
  <w:style w:type="paragraph" w:styleId="FootnoteText">
    <w:name w:val="footnote text"/>
    <w:aliases w:val="5_G,Footnote reference,FA Fu,Footnote Text Char Char Char Char Char,Footnote Text Char Char Char Char,Footnote Text Char Char Char,single space,Footnote Text Cha,FA Fußnotentext,Texto nota pie Car,Footnote Text Char Char"/>
    <w:basedOn w:val="Normal"/>
    <w:link w:val="FootnoteTextChar"/>
    <w:uiPriority w:val="99"/>
    <w:unhideWhenUsed/>
    <w:rsid w:val="00685782"/>
    <w:rPr>
      <w:rFonts w:eastAsia="Calibri"/>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single space Char,Footnote Text Cha Char,FA Fußnotentext Char"/>
    <w:basedOn w:val="DefaultParagraphFont"/>
    <w:link w:val="FootnoteText"/>
    <w:uiPriority w:val="99"/>
    <w:rsid w:val="00685782"/>
    <w:rPr>
      <w:rFonts w:ascii="Calibri" w:eastAsia="Calibri" w:hAnsi="Calibri" w:cs="Times New Roman"/>
      <w:sz w:val="20"/>
      <w:szCs w:val="20"/>
    </w:rPr>
  </w:style>
  <w:style w:type="character" w:styleId="FootnoteReference">
    <w:name w:val="footnote reference"/>
    <w:uiPriority w:val="99"/>
    <w:unhideWhenUsed/>
    <w:rsid w:val="00685782"/>
    <w:rPr>
      <w:vertAlign w:val="superscript"/>
    </w:rPr>
  </w:style>
  <w:style w:type="paragraph" w:styleId="BalloonText">
    <w:name w:val="Balloon Text"/>
    <w:basedOn w:val="Normal"/>
    <w:link w:val="BalloonTextChar"/>
    <w:uiPriority w:val="99"/>
    <w:semiHidden/>
    <w:unhideWhenUsed/>
    <w:rsid w:val="00CA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83D"/>
    <w:rPr>
      <w:rFonts w:ascii="Segoe UI" w:eastAsia="Times New Roman" w:hAnsi="Segoe UI" w:cs="Segoe UI"/>
      <w:sz w:val="18"/>
      <w:szCs w:val="18"/>
    </w:rPr>
  </w:style>
  <w:style w:type="paragraph" w:styleId="ListParagraph">
    <w:name w:val="List Paragraph"/>
    <w:basedOn w:val="Normal"/>
    <w:uiPriority w:val="34"/>
    <w:qFormat/>
    <w:rsid w:val="00D2135B"/>
    <w:pPr>
      <w:ind w:left="720"/>
      <w:contextualSpacing/>
    </w:pPr>
  </w:style>
  <w:style w:type="paragraph" w:styleId="Header">
    <w:name w:val="header"/>
    <w:basedOn w:val="Normal"/>
    <w:link w:val="HeaderChar"/>
    <w:uiPriority w:val="99"/>
    <w:unhideWhenUsed/>
    <w:rsid w:val="00780EFE"/>
    <w:pPr>
      <w:tabs>
        <w:tab w:val="center" w:pos="4513"/>
        <w:tab w:val="right" w:pos="9026"/>
      </w:tabs>
    </w:pPr>
  </w:style>
  <w:style w:type="character" w:customStyle="1" w:styleId="HeaderChar">
    <w:name w:val="Header Char"/>
    <w:basedOn w:val="DefaultParagraphFont"/>
    <w:link w:val="Header"/>
    <w:uiPriority w:val="99"/>
    <w:rsid w:val="00780EFE"/>
    <w:rPr>
      <w:rFonts w:ascii="Calibri" w:eastAsia="Times New Roman" w:hAnsi="Calibri" w:cs="Times New Roman"/>
      <w:szCs w:val="24"/>
    </w:rPr>
  </w:style>
  <w:style w:type="paragraph" w:styleId="Footer">
    <w:name w:val="footer"/>
    <w:basedOn w:val="Normal"/>
    <w:link w:val="FooterChar"/>
    <w:uiPriority w:val="99"/>
    <w:unhideWhenUsed/>
    <w:rsid w:val="00780EFE"/>
    <w:pPr>
      <w:tabs>
        <w:tab w:val="center" w:pos="4513"/>
        <w:tab w:val="right" w:pos="9026"/>
      </w:tabs>
    </w:pPr>
  </w:style>
  <w:style w:type="character" w:customStyle="1" w:styleId="FooterChar">
    <w:name w:val="Footer Char"/>
    <w:basedOn w:val="DefaultParagraphFont"/>
    <w:link w:val="Footer"/>
    <w:uiPriority w:val="99"/>
    <w:rsid w:val="00780EFE"/>
    <w:rPr>
      <w:rFonts w:ascii="Calibri" w:eastAsia="Times New Roman" w:hAnsi="Calibri" w:cs="Times New Roman"/>
      <w:szCs w:val="24"/>
    </w:rPr>
  </w:style>
  <w:style w:type="paragraph" w:styleId="EndnoteText">
    <w:name w:val="endnote text"/>
    <w:basedOn w:val="Normal"/>
    <w:link w:val="EndnoteTextChar"/>
    <w:uiPriority w:val="99"/>
    <w:semiHidden/>
    <w:unhideWhenUsed/>
    <w:rsid w:val="002A0443"/>
    <w:rPr>
      <w:sz w:val="20"/>
      <w:szCs w:val="20"/>
    </w:rPr>
  </w:style>
  <w:style w:type="character" w:customStyle="1" w:styleId="EndnoteTextChar">
    <w:name w:val="Endnote Text Char"/>
    <w:basedOn w:val="DefaultParagraphFont"/>
    <w:link w:val="EndnoteText"/>
    <w:uiPriority w:val="99"/>
    <w:semiHidden/>
    <w:rsid w:val="002A0443"/>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A0443"/>
    <w:rPr>
      <w:vertAlign w:val="superscript"/>
    </w:rPr>
  </w:style>
  <w:style w:type="character" w:styleId="Hyperlink">
    <w:name w:val="Hyperlink"/>
    <w:basedOn w:val="DefaultParagraphFont"/>
    <w:uiPriority w:val="99"/>
    <w:unhideWhenUsed/>
    <w:rsid w:val="00D74696"/>
    <w:rPr>
      <w:color w:val="0563C1" w:themeColor="hyperlink"/>
      <w:u w:val="single"/>
    </w:rPr>
  </w:style>
  <w:style w:type="character" w:styleId="UnresolvedMention">
    <w:name w:val="Unresolved Mention"/>
    <w:basedOn w:val="DefaultParagraphFont"/>
    <w:uiPriority w:val="99"/>
    <w:semiHidden/>
    <w:unhideWhenUsed/>
    <w:rsid w:val="00D7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163717">
      <w:bodyDiv w:val="1"/>
      <w:marLeft w:val="0"/>
      <w:marRight w:val="0"/>
      <w:marTop w:val="0"/>
      <w:marBottom w:val="0"/>
      <w:divBdr>
        <w:top w:val="none" w:sz="0" w:space="0" w:color="auto"/>
        <w:left w:val="none" w:sz="0" w:space="0" w:color="auto"/>
        <w:bottom w:val="none" w:sz="0" w:space="0" w:color="auto"/>
        <w:right w:val="none" w:sz="0" w:space="0" w:color="auto"/>
      </w:divBdr>
    </w:div>
    <w:div w:id="12242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varney@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122F-9E65-410D-96C4-0B15E404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8334</Words>
  <Characters>47504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Varney</dc:creator>
  <cp:keywords/>
  <dc:description/>
  <cp:lastModifiedBy>Eliza Varney</cp:lastModifiedBy>
  <cp:revision>4</cp:revision>
  <cp:lastPrinted>2018-12-12T21:32:00Z</cp:lastPrinted>
  <dcterms:created xsi:type="dcterms:W3CDTF">2019-03-20T11:35:00Z</dcterms:created>
  <dcterms:modified xsi:type="dcterms:W3CDTF">2019-03-20T14:16:00Z</dcterms:modified>
  <cp:category/>
</cp:coreProperties>
</file>