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A109" w14:textId="65898C00" w:rsidR="00774CFA" w:rsidRDefault="008E4517" w:rsidP="009A7F59">
      <w:pPr>
        <w:jc w:val="both"/>
        <w:rPr>
          <w:rFonts w:ascii="Times" w:hAnsi="Times"/>
          <w:b/>
        </w:rPr>
      </w:pPr>
      <w:r w:rsidRPr="009A7F59">
        <w:rPr>
          <w:rFonts w:ascii="Times" w:hAnsi="Times"/>
          <w:b/>
        </w:rPr>
        <w:t>Haematological abnormalities</w:t>
      </w:r>
      <w:r w:rsidR="00781F27">
        <w:rPr>
          <w:rFonts w:ascii="Times" w:hAnsi="Times"/>
          <w:b/>
        </w:rPr>
        <w:t xml:space="preserve"> </w:t>
      </w:r>
      <w:r w:rsidRPr="009A7F59">
        <w:rPr>
          <w:rFonts w:ascii="Times" w:hAnsi="Times"/>
          <w:b/>
        </w:rPr>
        <w:t xml:space="preserve">in </w:t>
      </w:r>
      <w:r w:rsidR="00557C2D">
        <w:rPr>
          <w:rFonts w:ascii="Times" w:hAnsi="Times"/>
          <w:b/>
        </w:rPr>
        <w:t xml:space="preserve">new onset </w:t>
      </w:r>
      <w:r w:rsidRPr="009A7F59">
        <w:rPr>
          <w:rFonts w:ascii="Times" w:hAnsi="Times"/>
          <w:b/>
        </w:rPr>
        <w:t xml:space="preserve">rheumatoid arthritis and </w:t>
      </w:r>
      <w:r w:rsidR="00E13C98">
        <w:rPr>
          <w:rFonts w:ascii="Times" w:hAnsi="Times"/>
          <w:b/>
        </w:rPr>
        <w:t>risk of common infections: a population-based study</w:t>
      </w:r>
      <w:r w:rsidR="001077DA" w:rsidRPr="001077DA">
        <w:rPr>
          <w:rFonts w:ascii="Times" w:hAnsi="Times"/>
          <w:b/>
        </w:rPr>
        <w:t xml:space="preserve"> </w:t>
      </w:r>
    </w:p>
    <w:p w14:paraId="713AB7D3" w14:textId="77777777" w:rsidR="008E4517" w:rsidRPr="009A7F59" w:rsidRDefault="008E4517" w:rsidP="009A7F59">
      <w:pPr>
        <w:jc w:val="both"/>
        <w:rPr>
          <w:rFonts w:ascii="Times" w:hAnsi="Times"/>
        </w:rPr>
      </w:pPr>
    </w:p>
    <w:p w14:paraId="1419340E" w14:textId="768DAE50" w:rsidR="00DB3251" w:rsidRPr="009A7F59" w:rsidRDefault="00DB3251" w:rsidP="00DB3251">
      <w:pPr>
        <w:jc w:val="both"/>
        <w:rPr>
          <w:rFonts w:ascii="Times" w:hAnsi="Times"/>
        </w:rPr>
      </w:pPr>
      <w:r>
        <w:rPr>
          <w:rFonts w:ascii="Times" w:hAnsi="Times"/>
        </w:rPr>
        <w:t>Elena Nikiphorou</w:t>
      </w:r>
      <w:r w:rsidRPr="006D0F05">
        <w:rPr>
          <w:rFonts w:ascii="Times" w:hAnsi="Times"/>
          <w:vertAlign w:val="superscript"/>
        </w:rPr>
        <w:t>1</w:t>
      </w:r>
      <w:r>
        <w:rPr>
          <w:rFonts w:ascii="Times" w:hAnsi="Times"/>
        </w:rPr>
        <w:t xml:space="preserve">, </w:t>
      </w:r>
      <w:r w:rsidRPr="009A7F59">
        <w:rPr>
          <w:rFonts w:ascii="Times" w:hAnsi="Times"/>
        </w:rPr>
        <w:t>Simon de Lusignan</w:t>
      </w:r>
      <w:r>
        <w:rPr>
          <w:rFonts w:ascii="Times" w:hAnsi="Times"/>
          <w:vertAlign w:val="superscript"/>
        </w:rPr>
        <w:t>2</w:t>
      </w:r>
      <w:r w:rsidRPr="009A7F59">
        <w:rPr>
          <w:rFonts w:ascii="Times" w:hAnsi="Times"/>
        </w:rPr>
        <w:t xml:space="preserve">, </w:t>
      </w:r>
      <w:r w:rsidR="00794946">
        <w:rPr>
          <w:rFonts w:ascii="Times" w:hAnsi="Times"/>
        </w:rPr>
        <w:t>Christian Mallen</w:t>
      </w:r>
      <w:r w:rsidR="00794946">
        <w:rPr>
          <w:rFonts w:ascii="Times" w:hAnsi="Times"/>
          <w:vertAlign w:val="superscript"/>
        </w:rPr>
        <w:t>3</w:t>
      </w:r>
      <w:r w:rsidR="009A10B0">
        <w:rPr>
          <w:rFonts w:ascii="Times" w:hAnsi="Times"/>
        </w:rPr>
        <w:t>, Kaivan Khavandi</w:t>
      </w:r>
      <w:r w:rsidR="00794946">
        <w:rPr>
          <w:rFonts w:ascii="Times" w:hAnsi="Times"/>
          <w:vertAlign w:val="superscript"/>
        </w:rPr>
        <w:t>4</w:t>
      </w:r>
      <w:r w:rsidR="00794946">
        <w:rPr>
          <w:rFonts w:ascii="Times" w:hAnsi="Times"/>
        </w:rPr>
        <w:t xml:space="preserve">, </w:t>
      </w:r>
      <w:r w:rsidR="00B5298B" w:rsidRPr="00632F19">
        <w:rPr>
          <w:rFonts w:ascii="Times" w:hAnsi="Times"/>
        </w:rPr>
        <w:t>Jacqueline Roberts</w:t>
      </w:r>
      <w:r w:rsidR="00B5298B">
        <w:rPr>
          <w:rFonts w:ascii="Times" w:hAnsi="Times"/>
          <w:vertAlign w:val="superscript"/>
        </w:rPr>
        <w:t>4</w:t>
      </w:r>
      <w:r w:rsidR="00B5298B">
        <w:rPr>
          <w:rFonts w:ascii="Times" w:hAnsi="Times"/>
        </w:rPr>
        <w:t xml:space="preserve">, </w:t>
      </w:r>
      <w:r>
        <w:rPr>
          <w:rFonts w:ascii="Times" w:hAnsi="Times"/>
        </w:rPr>
        <w:t xml:space="preserve">Christopher </w:t>
      </w:r>
      <w:r w:rsidR="00C0409D">
        <w:rPr>
          <w:rFonts w:ascii="Times" w:hAnsi="Times"/>
        </w:rPr>
        <w:t xml:space="preserve">D </w:t>
      </w:r>
      <w:r>
        <w:rPr>
          <w:rFonts w:ascii="Times" w:hAnsi="Times"/>
        </w:rPr>
        <w:t>Buckley</w:t>
      </w:r>
      <w:r w:rsidR="00794946">
        <w:rPr>
          <w:rFonts w:ascii="Times" w:hAnsi="Times"/>
          <w:vertAlign w:val="superscript"/>
        </w:rPr>
        <w:t>5,6</w:t>
      </w:r>
      <w:r>
        <w:rPr>
          <w:rFonts w:ascii="Times" w:hAnsi="Times"/>
        </w:rPr>
        <w:t xml:space="preserve">, </w:t>
      </w:r>
      <w:r w:rsidR="00794946">
        <w:rPr>
          <w:rFonts w:ascii="Times" w:hAnsi="Times"/>
        </w:rPr>
        <w:t>James Galloway</w:t>
      </w:r>
      <w:r w:rsidR="00794946">
        <w:rPr>
          <w:rFonts w:ascii="Times" w:hAnsi="Times"/>
          <w:vertAlign w:val="superscript"/>
        </w:rPr>
        <w:t>7</w:t>
      </w:r>
      <w:r w:rsidR="00794946">
        <w:rPr>
          <w:rFonts w:ascii="Times" w:hAnsi="Times"/>
        </w:rPr>
        <w:t xml:space="preserve">, </w:t>
      </w:r>
      <w:r w:rsidRPr="009A7F59">
        <w:rPr>
          <w:rFonts w:ascii="Times" w:hAnsi="Times"/>
        </w:rPr>
        <w:t>Karim Raza</w:t>
      </w:r>
      <w:r w:rsidR="00794946">
        <w:rPr>
          <w:rFonts w:ascii="Times" w:hAnsi="Times"/>
          <w:vertAlign w:val="superscript"/>
        </w:rPr>
        <w:t>5,8</w:t>
      </w:r>
    </w:p>
    <w:p w14:paraId="25EEC40C" w14:textId="77777777" w:rsidR="00DB3251" w:rsidRPr="009A7F59" w:rsidRDefault="00DB3251" w:rsidP="00DB3251">
      <w:pPr>
        <w:jc w:val="both"/>
        <w:rPr>
          <w:rFonts w:ascii="Times" w:hAnsi="Times"/>
        </w:rPr>
      </w:pPr>
    </w:p>
    <w:p w14:paraId="7A48998D" w14:textId="21A0178A" w:rsidR="00B5298B" w:rsidRPr="001077DA" w:rsidRDefault="00DB3251" w:rsidP="001077DA">
      <w:pPr>
        <w:contextualSpacing/>
      </w:pPr>
      <w:r>
        <w:rPr>
          <w:rFonts w:ascii="Times" w:hAnsi="Times"/>
          <w:vertAlign w:val="superscript"/>
        </w:rPr>
        <w:t xml:space="preserve">1 </w:t>
      </w:r>
      <w:r w:rsidR="00F600F3">
        <w:t>Department of Inflammation Biology, King’s College London &amp; Department of Rheumatology, King’s College Hospital</w:t>
      </w:r>
      <w:r w:rsidR="00E14300">
        <w:t>, London, UK</w:t>
      </w:r>
    </w:p>
    <w:p w14:paraId="36972033" w14:textId="7A20698A" w:rsidR="00DB3251" w:rsidRDefault="00DB3251" w:rsidP="001077DA">
      <w:pPr>
        <w:contextualSpacing/>
        <w:rPr>
          <w:rFonts w:ascii="Times" w:hAnsi="Times"/>
        </w:rPr>
      </w:pPr>
      <w:r>
        <w:rPr>
          <w:rFonts w:ascii="Times" w:hAnsi="Times"/>
          <w:vertAlign w:val="superscript"/>
        </w:rPr>
        <w:t>2</w:t>
      </w:r>
      <w:r w:rsidRPr="009A7F59">
        <w:rPr>
          <w:rFonts w:ascii="Times" w:hAnsi="Times"/>
          <w:vertAlign w:val="superscript"/>
        </w:rPr>
        <w:t xml:space="preserve"> </w:t>
      </w:r>
      <w:r w:rsidRPr="009A7F59">
        <w:rPr>
          <w:rFonts w:ascii="Times" w:hAnsi="Times"/>
        </w:rPr>
        <w:t>Department of Clinical and Experimental Medicine, University of Surrey, Guildford</w:t>
      </w:r>
      <w:r w:rsidR="00E14300">
        <w:rPr>
          <w:rFonts w:ascii="Times" w:hAnsi="Times"/>
        </w:rPr>
        <w:t>, UK</w:t>
      </w:r>
    </w:p>
    <w:p w14:paraId="07B62A11" w14:textId="1C3E71B8" w:rsidR="00794946" w:rsidRDefault="00794946" w:rsidP="001077DA">
      <w:pPr>
        <w:contextualSpacing/>
        <w:rPr>
          <w:rFonts w:ascii="Times" w:hAnsi="Times"/>
        </w:rPr>
      </w:pPr>
      <w:r>
        <w:rPr>
          <w:rFonts w:ascii="Times" w:hAnsi="Times"/>
          <w:vertAlign w:val="superscript"/>
        </w:rPr>
        <w:t>3</w:t>
      </w:r>
      <w:r>
        <w:rPr>
          <w:rFonts w:ascii="Times" w:hAnsi="Times"/>
        </w:rPr>
        <w:t xml:space="preserve"> Arthritis Research UK Primary Care Centre, Research Institute for Primary Care &amp; Health Sciences, </w:t>
      </w:r>
      <w:proofErr w:type="spellStart"/>
      <w:r>
        <w:rPr>
          <w:rFonts w:ascii="Times" w:hAnsi="Times"/>
        </w:rPr>
        <w:t>Keele</w:t>
      </w:r>
      <w:proofErr w:type="spellEnd"/>
      <w:r>
        <w:rPr>
          <w:rFonts w:ascii="Times" w:hAnsi="Times"/>
        </w:rPr>
        <w:t xml:space="preserve"> University, Staffordshire</w:t>
      </w:r>
      <w:r w:rsidR="00E14300">
        <w:rPr>
          <w:rFonts w:ascii="Times" w:hAnsi="Times"/>
        </w:rPr>
        <w:t>, UK</w:t>
      </w:r>
    </w:p>
    <w:p w14:paraId="7BC20143" w14:textId="3E946C1F" w:rsidR="00794946" w:rsidRDefault="00794946" w:rsidP="001077DA">
      <w:pPr>
        <w:spacing w:before="100" w:beforeAutospacing="1" w:after="100" w:afterAutospacing="1"/>
        <w:contextualSpacing/>
        <w:rPr>
          <w:rFonts w:ascii="Times" w:hAnsi="Times"/>
        </w:rPr>
      </w:pPr>
      <w:r>
        <w:rPr>
          <w:rFonts w:ascii="Times" w:hAnsi="Times"/>
          <w:vertAlign w:val="superscript"/>
        </w:rPr>
        <w:t>4</w:t>
      </w:r>
      <w:r>
        <w:rPr>
          <w:rFonts w:ascii="Times" w:hAnsi="Times"/>
        </w:rPr>
        <w:t xml:space="preserve"> Pfizer Medical Affairs, Inflammation &amp;</w:t>
      </w:r>
      <w:r w:rsidRPr="00BC3AEB">
        <w:rPr>
          <w:rFonts w:ascii="Times" w:hAnsi="Times"/>
        </w:rPr>
        <w:t xml:space="preserve"> Immunology, Pfizer Innovative Health</w:t>
      </w:r>
      <w:r w:rsidR="00E14300">
        <w:rPr>
          <w:rFonts w:ascii="Times" w:hAnsi="Times"/>
        </w:rPr>
        <w:t>, UK</w:t>
      </w:r>
    </w:p>
    <w:p w14:paraId="6861878D" w14:textId="3747D66B" w:rsidR="00794946" w:rsidRDefault="00794946" w:rsidP="001077DA">
      <w:pPr>
        <w:tabs>
          <w:tab w:val="left" w:pos="740"/>
        </w:tabs>
        <w:contextualSpacing/>
        <w:rPr>
          <w:rFonts w:ascii="Times" w:hAnsi="Times"/>
        </w:rPr>
      </w:pPr>
      <w:r>
        <w:rPr>
          <w:rFonts w:ascii="Times" w:hAnsi="Times"/>
          <w:vertAlign w:val="superscript"/>
        </w:rPr>
        <w:t>5</w:t>
      </w:r>
      <w:r w:rsidRPr="009A7F59">
        <w:rPr>
          <w:rFonts w:ascii="Times" w:hAnsi="Times"/>
        </w:rPr>
        <w:t xml:space="preserve"> </w:t>
      </w:r>
      <w:r>
        <w:rPr>
          <w:rFonts w:ascii="Times" w:hAnsi="Times"/>
        </w:rPr>
        <w:t xml:space="preserve">Rheumatology Research Group, </w:t>
      </w:r>
      <w:r w:rsidRPr="009A7F59">
        <w:rPr>
          <w:rFonts w:ascii="Times" w:hAnsi="Times"/>
          <w:shd w:val="clear" w:color="auto" w:fill="FFFFFF"/>
        </w:rPr>
        <w:t>Institute of Inflammation and Ageing</w:t>
      </w:r>
      <w:r w:rsidRPr="009A7F59">
        <w:rPr>
          <w:rFonts w:ascii="Times" w:hAnsi="Times"/>
        </w:rPr>
        <w:t xml:space="preserve">, </w:t>
      </w:r>
      <w:r w:rsidRPr="009A7F59">
        <w:rPr>
          <w:rFonts w:ascii="Times" w:hAnsi="Times"/>
          <w:shd w:val="clear" w:color="auto" w:fill="FFFFFF"/>
        </w:rPr>
        <w:t>College of Medical and Dental Sciences</w:t>
      </w:r>
      <w:r w:rsidRPr="009A7F59">
        <w:rPr>
          <w:rFonts w:ascii="Times" w:hAnsi="Times"/>
        </w:rPr>
        <w:t xml:space="preserve">, </w:t>
      </w:r>
      <w:r w:rsidRPr="009A7F59">
        <w:rPr>
          <w:rFonts w:ascii="Times" w:hAnsi="Times"/>
          <w:shd w:val="clear" w:color="auto" w:fill="FFFFFF"/>
        </w:rPr>
        <w:t>University of Birmingham</w:t>
      </w:r>
      <w:r w:rsidR="00E14300">
        <w:rPr>
          <w:rFonts w:ascii="Times" w:hAnsi="Times"/>
        </w:rPr>
        <w:t>,</w:t>
      </w:r>
      <w:r w:rsidR="00E14300" w:rsidRPr="00E14300">
        <w:rPr>
          <w:rFonts w:ascii="Times" w:hAnsi="Times"/>
          <w:shd w:val="clear" w:color="auto" w:fill="FFFFFF"/>
        </w:rPr>
        <w:t xml:space="preserve"> </w:t>
      </w:r>
      <w:r w:rsidR="00E14300" w:rsidRPr="009A7F59">
        <w:rPr>
          <w:rFonts w:ascii="Times" w:hAnsi="Times"/>
          <w:shd w:val="clear" w:color="auto" w:fill="FFFFFF"/>
        </w:rPr>
        <w:t>Birmingham</w:t>
      </w:r>
      <w:r w:rsidR="00E14300">
        <w:rPr>
          <w:rFonts w:ascii="Times" w:hAnsi="Times"/>
          <w:shd w:val="clear" w:color="auto" w:fill="FFFFFF"/>
        </w:rPr>
        <w:t>,</w:t>
      </w:r>
      <w:r w:rsidR="00E14300">
        <w:rPr>
          <w:rFonts w:ascii="Times" w:hAnsi="Times"/>
        </w:rPr>
        <w:t xml:space="preserve"> UK</w:t>
      </w:r>
    </w:p>
    <w:p w14:paraId="12B9C4DD" w14:textId="27C4AE28" w:rsidR="00794946" w:rsidRDefault="00794946" w:rsidP="001077DA">
      <w:pPr>
        <w:contextualSpacing/>
        <w:rPr>
          <w:rFonts w:ascii="Times" w:hAnsi="Times"/>
        </w:rPr>
      </w:pPr>
      <w:r>
        <w:rPr>
          <w:rFonts w:ascii="Times" w:hAnsi="Times"/>
          <w:vertAlign w:val="superscript"/>
        </w:rPr>
        <w:t>6</w:t>
      </w:r>
      <w:r w:rsidRPr="0016788D">
        <w:rPr>
          <w:rFonts w:ascii="Times" w:hAnsi="Times"/>
          <w:vertAlign w:val="superscript"/>
        </w:rPr>
        <w:t xml:space="preserve"> </w:t>
      </w:r>
      <w:r>
        <w:rPr>
          <w:rFonts w:ascii="Times" w:hAnsi="Times"/>
        </w:rPr>
        <w:t>Kennedy Institute of Rheu</w:t>
      </w:r>
      <w:r w:rsidR="001077DA">
        <w:rPr>
          <w:rFonts w:ascii="Times" w:hAnsi="Times"/>
        </w:rPr>
        <w:t>matology, University of Oxford</w:t>
      </w:r>
      <w:r w:rsidR="00E14300">
        <w:rPr>
          <w:rFonts w:ascii="Times" w:hAnsi="Times"/>
        </w:rPr>
        <w:t>, Oxford, UK</w:t>
      </w:r>
    </w:p>
    <w:p w14:paraId="5EBB1DFD" w14:textId="559CF284" w:rsidR="00DB3251" w:rsidRPr="006D0F05" w:rsidRDefault="00794946" w:rsidP="001077DA">
      <w:pPr>
        <w:contextualSpacing/>
        <w:rPr>
          <w:rFonts w:ascii="Times" w:hAnsi="Times"/>
        </w:rPr>
      </w:pPr>
      <w:r>
        <w:rPr>
          <w:rFonts w:ascii="Times" w:hAnsi="Times"/>
          <w:vertAlign w:val="superscript"/>
        </w:rPr>
        <w:t xml:space="preserve">7 </w:t>
      </w:r>
      <w:r w:rsidR="00114CDC" w:rsidRPr="00114CDC">
        <w:rPr>
          <w:rFonts w:ascii="Times" w:hAnsi="Times"/>
        </w:rPr>
        <w:t>Centre for Rheumatic Diseases</w:t>
      </w:r>
      <w:r>
        <w:rPr>
          <w:rFonts w:ascii="Times" w:hAnsi="Times"/>
        </w:rPr>
        <w:t>, King’s Colle</w:t>
      </w:r>
      <w:r w:rsidR="001077DA">
        <w:rPr>
          <w:rFonts w:ascii="Times" w:hAnsi="Times"/>
        </w:rPr>
        <w:t xml:space="preserve">ge London, Denmark Hill, </w:t>
      </w:r>
      <w:proofErr w:type="gramStart"/>
      <w:r w:rsidR="001077DA">
        <w:rPr>
          <w:rFonts w:ascii="Times" w:hAnsi="Times"/>
        </w:rPr>
        <w:t>London</w:t>
      </w:r>
      <w:proofErr w:type="gramEnd"/>
      <w:r w:rsidR="00E14300">
        <w:rPr>
          <w:rFonts w:ascii="Times" w:hAnsi="Times"/>
        </w:rPr>
        <w:t>, UK</w:t>
      </w:r>
    </w:p>
    <w:p w14:paraId="61763C34" w14:textId="311C3C2D" w:rsidR="00794946" w:rsidRDefault="00794946" w:rsidP="001077DA">
      <w:pPr>
        <w:contextualSpacing/>
        <w:rPr>
          <w:rFonts w:ascii="Times" w:hAnsi="Times"/>
        </w:rPr>
      </w:pPr>
      <w:r>
        <w:rPr>
          <w:rFonts w:ascii="Times" w:hAnsi="Times"/>
          <w:vertAlign w:val="superscript"/>
        </w:rPr>
        <w:t>8</w:t>
      </w:r>
      <w:r>
        <w:rPr>
          <w:rFonts w:ascii="Times" w:hAnsi="Times"/>
        </w:rPr>
        <w:t xml:space="preserve"> Department of Rheumatology, Sandwell and West Birmingham Hospitals NHS Trust, Birmingham</w:t>
      </w:r>
      <w:r w:rsidR="00E14300">
        <w:rPr>
          <w:rFonts w:ascii="Times" w:hAnsi="Times"/>
        </w:rPr>
        <w:t>, UK</w:t>
      </w:r>
    </w:p>
    <w:p w14:paraId="47777289" w14:textId="77777777" w:rsidR="008E4517" w:rsidRPr="009A7F59" w:rsidRDefault="008E4517" w:rsidP="009A7F59">
      <w:pPr>
        <w:rPr>
          <w:rFonts w:ascii="Times" w:hAnsi="Times"/>
        </w:rPr>
      </w:pPr>
    </w:p>
    <w:p w14:paraId="45690829" w14:textId="77777777" w:rsidR="008E4517" w:rsidRPr="001077DA" w:rsidRDefault="008E4517" w:rsidP="009A7F59">
      <w:pPr>
        <w:rPr>
          <w:rFonts w:ascii="Times" w:hAnsi="Times"/>
          <w:b/>
        </w:rPr>
      </w:pPr>
      <w:r w:rsidRPr="001077DA">
        <w:rPr>
          <w:rFonts w:ascii="Times" w:hAnsi="Times"/>
          <w:b/>
        </w:rPr>
        <w:t>Corresponding author:</w:t>
      </w:r>
    </w:p>
    <w:p w14:paraId="4736540B" w14:textId="0689AA9A" w:rsidR="008E4517" w:rsidRPr="009A7F59" w:rsidRDefault="008E4517" w:rsidP="009A7F59">
      <w:pPr>
        <w:rPr>
          <w:rFonts w:ascii="Times" w:hAnsi="Times"/>
          <w:shd w:val="clear" w:color="auto" w:fill="FFFFFF"/>
        </w:rPr>
      </w:pPr>
      <w:r w:rsidRPr="009A7F59">
        <w:rPr>
          <w:rFonts w:ascii="Times" w:hAnsi="Times"/>
          <w:shd w:val="clear" w:color="auto" w:fill="FFFFFF"/>
        </w:rPr>
        <w:t>Prof</w:t>
      </w:r>
      <w:r w:rsidR="001077DA">
        <w:rPr>
          <w:rFonts w:ascii="Times" w:hAnsi="Times"/>
          <w:shd w:val="clear" w:color="auto" w:fill="FFFFFF"/>
        </w:rPr>
        <w:t>.</w:t>
      </w:r>
      <w:r w:rsidRPr="009A7F59">
        <w:rPr>
          <w:rFonts w:ascii="Times" w:hAnsi="Times"/>
          <w:shd w:val="clear" w:color="auto" w:fill="FFFFFF"/>
        </w:rPr>
        <w:t xml:space="preserve"> Karim Raza</w:t>
      </w:r>
    </w:p>
    <w:p w14:paraId="0A430842" w14:textId="0A33F6A4" w:rsidR="008E4517" w:rsidRDefault="008E4517" w:rsidP="009A7F59">
      <w:pPr>
        <w:rPr>
          <w:rFonts w:ascii="Times" w:hAnsi="Times"/>
          <w:shd w:val="clear" w:color="auto" w:fill="FFFFFF"/>
        </w:rPr>
      </w:pPr>
      <w:r w:rsidRPr="009A7F59">
        <w:rPr>
          <w:rFonts w:ascii="Times" w:hAnsi="Times"/>
          <w:shd w:val="clear" w:color="auto" w:fill="FFFFFF"/>
        </w:rPr>
        <w:t>Institute of Inflammation and Ageing</w:t>
      </w:r>
      <w:r w:rsidRPr="009A7F59">
        <w:rPr>
          <w:rFonts w:ascii="Times" w:hAnsi="Times"/>
        </w:rPr>
        <w:t xml:space="preserve">, </w:t>
      </w:r>
      <w:r w:rsidRPr="009A7F59">
        <w:rPr>
          <w:rFonts w:ascii="Times" w:hAnsi="Times"/>
          <w:shd w:val="clear" w:color="auto" w:fill="FFFFFF"/>
        </w:rPr>
        <w:t>College of Medical and Dental Sciences</w:t>
      </w:r>
      <w:r w:rsidRPr="009A7F59">
        <w:rPr>
          <w:rFonts w:ascii="Times" w:hAnsi="Times"/>
        </w:rPr>
        <w:t xml:space="preserve">, </w:t>
      </w:r>
      <w:r w:rsidRPr="009A7F59">
        <w:rPr>
          <w:rFonts w:ascii="Times" w:hAnsi="Times"/>
          <w:shd w:val="clear" w:color="auto" w:fill="FFFFFF"/>
        </w:rPr>
        <w:t>University of Birmingham</w:t>
      </w:r>
      <w:r w:rsidRPr="009A7F59">
        <w:rPr>
          <w:rFonts w:ascii="Times" w:hAnsi="Times"/>
        </w:rPr>
        <w:t xml:space="preserve">, </w:t>
      </w:r>
      <w:r w:rsidRPr="009A7F59">
        <w:rPr>
          <w:rFonts w:ascii="Times" w:hAnsi="Times"/>
          <w:shd w:val="clear" w:color="auto" w:fill="FFFFFF"/>
        </w:rPr>
        <w:t>Edgbaston</w:t>
      </w:r>
      <w:r w:rsidRPr="009A7F59">
        <w:rPr>
          <w:rFonts w:ascii="Times" w:hAnsi="Times"/>
        </w:rPr>
        <w:t xml:space="preserve">, </w:t>
      </w:r>
      <w:r w:rsidRPr="009A7F59">
        <w:rPr>
          <w:rFonts w:ascii="Times" w:hAnsi="Times"/>
          <w:shd w:val="clear" w:color="auto" w:fill="FFFFFF"/>
        </w:rPr>
        <w:t>Birmingham,</w:t>
      </w:r>
      <w:r w:rsidR="001077DA">
        <w:rPr>
          <w:rFonts w:ascii="Times" w:hAnsi="Times"/>
          <w:shd w:val="clear" w:color="auto" w:fill="FFFFFF"/>
        </w:rPr>
        <w:t xml:space="preserve"> </w:t>
      </w:r>
      <w:r w:rsidRPr="009A7F59">
        <w:rPr>
          <w:rFonts w:ascii="Times" w:hAnsi="Times"/>
          <w:shd w:val="clear" w:color="auto" w:fill="FFFFFF"/>
        </w:rPr>
        <w:t>B15 2TT</w:t>
      </w:r>
      <w:r w:rsidRPr="009A7F59">
        <w:rPr>
          <w:rFonts w:ascii="Times" w:hAnsi="Times"/>
        </w:rPr>
        <w:t xml:space="preserve">, </w:t>
      </w:r>
      <w:r w:rsidRPr="009A7F59">
        <w:rPr>
          <w:rFonts w:ascii="Times" w:hAnsi="Times"/>
          <w:shd w:val="clear" w:color="auto" w:fill="FFFFFF"/>
        </w:rPr>
        <w:t>UK</w:t>
      </w:r>
    </w:p>
    <w:p w14:paraId="240CA6BD" w14:textId="17DF3D04" w:rsidR="001077DA" w:rsidRDefault="001077DA" w:rsidP="009A7F59">
      <w:pPr>
        <w:rPr>
          <w:rFonts w:ascii="Times" w:hAnsi="Times"/>
          <w:shd w:val="clear" w:color="auto" w:fill="FFFFFF"/>
        </w:rPr>
      </w:pPr>
      <w:r>
        <w:rPr>
          <w:rFonts w:ascii="Times" w:hAnsi="Times"/>
          <w:shd w:val="clear" w:color="auto" w:fill="FFFFFF"/>
        </w:rPr>
        <w:t xml:space="preserve">Email: </w:t>
      </w:r>
      <w:hyperlink r:id="rId8" w:history="1">
        <w:r w:rsidRPr="003C33D5">
          <w:rPr>
            <w:rStyle w:val="Hyperlink"/>
            <w:rFonts w:ascii="Times" w:hAnsi="Times"/>
            <w:shd w:val="clear" w:color="auto" w:fill="FFFFFF"/>
          </w:rPr>
          <w:t>k.raza@bham.ac.uk</w:t>
        </w:r>
      </w:hyperlink>
      <w:r>
        <w:rPr>
          <w:rFonts w:ascii="Times" w:hAnsi="Times"/>
          <w:shd w:val="clear" w:color="auto" w:fill="FFFFFF"/>
        </w:rPr>
        <w:t xml:space="preserve"> </w:t>
      </w:r>
    </w:p>
    <w:p w14:paraId="6A3474E1" w14:textId="5A744BEF" w:rsidR="001077DA" w:rsidRPr="009A7F59" w:rsidRDefault="001077DA" w:rsidP="009A7F59">
      <w:pPr>
        <w:rPr>
          <w:rFonts w:ascii="Times" w:hAnsi="Times"/>
          <w:shd w:val="clear" w:color="auto" w:fill="FFFFFF"/>
        </w:rPr>
      </w:pPr>
      <w:r>
        <w:rPr>
          <w:rFonts w:ascii="Times" w:hAnsi="Times"/>
          <w:shd w:val="clear" w:color="auto" w:fill="FFFFFF"/>
        </w:rPr>
        <w:t xml:space="preserve">Phone: </w:t>
      </w:r>
      <w:r w:rsidRPr="001077DA">
        <w:rPr>
          <w:rFonts w:ascii="Times" w:hAnsi="Times"/>
          <w:shd w:val="clear" w:color="auto" w:fill="FFFFFF"/>
        </w:rPr>
        <w:t>00 44 121 3713242</w:t>
      </w:r>
    </w:p>
    <w:p w14:paraId="2EE33FEC" w14:textId="77777777" w:rsidR="00A71DA0" w:rsidRDefault="00A71DA0" w:rsidP="009A7F59">
      <w:pPr>
        <w:jc w:val="both"/>
        <w:rPr>
          <w:rFonts w:ascii="Times" w:hAnsi="Times"/>
          <w:shd w:val="clear" w:color="auto" w:fill="FFFFFF"/>
        </w:rPr>
      </w:pPr>
    </w:p>
    <w:p w14:paraId="0671656A" w14:textId="0A165D82" w:rsidR="00654547" w:rsidRDefault="00A71DA0" w:rsidP="009A7F59">
      <w:pPr>
        <w:jc w:val="both"/>
        <w:rPr>
          <w:rFonts w:ascii="Times" w:hAnsi="Times"/>
        </w:rPr>
      </w:pPr>
      <w:r w:rsidRPr="00A71DA0">
        <w:rPr>
          <w:rFonts w:ascii="Times" w:hAnsi="Times"/>
          <w:b/>
        </w:rPr>
        <w:t>Word count</w:t>
      </w:r>
      <w:r w:rsidR="001077DA">
        <w:rPr>
          <w:rFonts w:ascii="Times" w:hAnsi="Times"/>
          <w:b/>
        </w:rPr>
        <w:t xml:space="preserve">: </w:t>
      </w:r>
      <w:r w:rsidR="00654547">
        <w:rPr>
          <w:rFonts w:ascii="Times" w:hAnsi="Times"/>
        </w:rPr>
        <w:t xml:space="preserve">Manuscript: </w:t>
      </w:r>
      <w:r w:rsidR="008C3F88">
        <w:rPr>
          <w:rFonts w:ascii="Times" w:hAnsi="Times"/>
        </w:rPr>
        <w:t>3</w:t>
      </w:r>
      <w:r w:rsidR="001077DA">
        <w:rPr>
          <w:rFonts w:ascii="Times" w:hAnsi="Times"/>
        </w:rPr>
        <w:t>301</w:t>
      </w:r>
    </w:p>
    <w:p w14:paraId="4FA6BB05" w14:textId="77777777" w:rsidR="001077DA" w:rsidRDefault="001077DA" w:rsidP="009A7F59">
      <w:pPr>
        <w:jc w:val="both"/>
        <w:rPr>
          <w:rFonts w:ascii="Times" w:hAnsi="Times"/>
        </w:rPr>
      </w:pPr>
    </w:p>
    <w:p w14:paraId="07AD6B9D" w14:textId="77777777" w:rsidR="00635D70" w:rsidRDefault="00635D70">
      <w:pPr>
        <w:rPr>
          <w:rFonts w:ascii="Times" w:hAnsi="Times"/>
          <w:b/>
        </w:rPr>
      </w:pPr>
      <w:r>
        <w:rPr>
          <w:rFonts w:ascii="Times" w:hAnsi="Times"/>
          <w:b/>
        </w:rPr>
        <w:br w:type="page"/>
      </w:r>
    </w:p>
    <w:p w14:paraId="44B60929" w14:textId="5E088399" w:rsidR="00025EA6" w:rsidRDefault="004A16B6" w:rsidP="00424C4D">
      <w:pPr>
        <w:spacing w:line="360" w:lineRule="auto"/>
        <w:jc w:val="both"/>
        <w:rPr>
          <w:rFonts w:ascii="Times" w:hAnsi="Times"/>
          <w:b/>
        </w:rPr>
      </w:pPr>
      <w:r>
        <w:rPr>
          <w:rFonts w:ascii="Times" w:hAnsi="Times"/>
          <w:b/>
        </w:rPr>
        <w:lastRenderedPageBreak/>
        <w:t>Abstract</w:t>
      </w:r>
    </w:p>
    <w:p w14:paraId="40F0FB6C" w14:textId="233D4C49" w:rsidR="00FD255F" w:rsidRDefault="004A16B6" w:rsidP="00424C4D">
      <w:pPr>
        <w:spacing w:line="360" w:lineRule="auto"/>
        <w:jc w:val="both"/>
        <w:rPr>
          <w:rFonts w:ascii="Times" w:hAnsi="Times"/>
          <w:b/>
        </w:rPr>
      </w:pPr>
      <w:r>
        <w:rPr>
          <w:rFonts w:ascii="Times" w:hAnsi="Times"/>
          <w:b/>
        </w:rPr>
        <w:t>Objective</w:t>
      </w:r>
      <w:r w:rsidR="00E14300">
        <w:rPr>
          <w:rFonts w:ascii="Times" w:hAnsi="Times"/>
          <w:b/>
        </w:rPr>
        <w:t>s</w:t>
      </w:r>
    </w:p>
    <w:p w14:paraId="7002DC3C" w14:textId="49132A3A" w:rsidR="00FD255F" w:rsidRDefault="00FD255F" w:rsidP="00424C4D">
      <w:pPr>
        <w:spacing w:line="360" w:lineRule="auto"/>
        <w:jc w:val="both"/>
        <w:rPr>
          <w:rFonts w:ascii="Times" w:hAnsi="Times"/>
        </w:rPr>
      </w:pPr>
      <w:r>
        <w:rPr>
          <w:rFonts w:ascii="Times" w:hAnsi="Times"/>
        </w:rPr>
        <w:t>To describe the prevalence of haematological abnormalities in individuals with rheumatoid arthritis</w:t>
      </w:r>
      <w:r w:rsidR="002D2EC8">
        <w:rPr>
          <w:rFonts w:ascii="Times" w:hAnsi="Times"/>
        </w:rPr>
        <w:t xml:space="preserve"> (RA) </w:t>
      </w:r>
      <w:r w:rsidR="00F801B8">
        <w:rPr>
          <w:rFonts w:ascii="Times" w:hAnsi="Times"/>
        </w:rPr>
        <w:t>at the point of</w:t>
      </w:r>
      <w:r w:rsidR="002D2EC8">
        <w:rPr>
          <w:rFonts w:ascii="Times" w:hAnsi="Times"/>
        </w:rPr>
        <w:t xml:space="preserve"> diagnosis in primary care,</w:t>
      </w:r>
      <w:r>
        <w:rPr>
          <w:rFonts w:ascii="Times" w:hAnsi="Times"/>
        </w:rPr>
        <w:t xml:space="preserve"> </w:t>
      </w:r>
      <w:r w:rsidR="002D2EC8">
        <w:rPr>
          <w:rFonts w:ascii="Times" w:hAnsi="Times"/>
        </w:rPr>
        <w:t xml:space="preserve">and </w:t>
      </w:r>
      <w:r w:rsidR="00F801B8">
        <w:rPr>
          <w:rFonts w:ascii="Times" w:hAnsi="Times"/>
        </w:rPr>
        <w:t xml:space="preserve">the </w:t>
      </w:r>
      <w:r w:rsidR="00E13C98">
        <w:rPr>
          <w:rFonts w:ascii="Times" w:hAnsi="Times"/>
        </w:rPr>
        <w:t>associations between</w:t>
      </w:r>
      <w:r w:rsidR="002D2EC8">
        <w:rPr>
          <w:rFonts w:ascii="Times" w:hAnsi="Times"/>
        </w:rPr>
        <w:t xml:space="preserve"> haematological abnormalities</w:t>
      </w:r>
      <w:r w:rsidR="008E209A">
        <w:rPr>
          <w:rFonts w:ascii="Times" w:hAnsi="Times"/>
        </w:rPr>
        <w:t xml:space="preserve">, </w:t>
      </w:r>
      <w:r w:rsidR="002D2EC8">
        <w:rPr>
          <w:rFonts w:ascii="Times" w:hAnsi="Times"/>
        </w:rPr>
        <w:t>vaccination</w:t>
      </w:r>
      <w:r w:rsidR="00E61518">
        <w:rPr>
          <w:rFonts w:ascii="Times" w:hAnsi="Times"/>
        </w:rPr>
        <w:t>s</w:t>
      </w:r>
      <w:r>
        <w:rPr>
          <w:rFonts w:ascii="Times" w:hAnsi="Times"/>
        </w:rPr>
        <w:t xml:space="preserve"> </w:t>
      </w:r>
      <w:r w:rsidR="00E13C98">
        <w:rPr>
          <w:rFonts w:ascii="Times" w:hAnsi="Times"/>
        </w:rPr>
        <w:t>and</w:t>
      </w:r>
      <w:r>
        <w:rPr>
          <w:rFonts w:ascii="Times" w:hAnsi="Times"/>
        </w:rPr>
        <w:t xml:space="preserve"> subsequent risk of </w:t>
      </w:r>
      <w:r w:rsidR="00E61518">
        <w:rPr>
          <w:rFonts w:ascii="Times" w:hAnsi="Times"/>
        </w:rPr>
        <w:t xml:space="preserve">common </w:t>
      </w:r>
      <w:r>
        <w:rPr>
          <w:rFonts w:ascii="Times" w:hAnsi="Times"/>
        </w:rPr>
        <w:t xml:space="preserve">infections. </w:t>
      </w:r>
    </w:p>
    <w:p w14:paraId="165E8111" w14:textId="77777777" w:rsidR="002D2EC8" w:rsidRPr="002D2EC8" w:rsidRDefault="002D2EC8" w:rsidP="00424C4D">
      <w:pPr>
        <w:spacing w:line="360" w:lineRule="auto"/>
        <w:jc w:val="both"/>
        <w:rPr>
          <w:rFonts w:ascii="Times" w:hAnsi="Times"/>
        </w:rPr>
      </w:pPr>
    </w:p>
    <w:p w14:paraId="6D75E4A0" w14:textId="55A2E30D" w:rsidR="00FD255F" w:rsidRDefault="004A16B6" w:rsidP="00424C4D">
      <w:pPr>
        <w:spacing w:line="360" w:lineRule="auto"/>
        <w:jc w:val="both"/>
        <w:rPr>
          <w:rFonts w:ascii="Times" w:hAnsi="Times"/>
          <w:b/>
        </w:rPr>
      </w:pPr>
      <w:r>
        <w:rPr>
          <w:rFonts w:ascii="Times" w:hAnsi="Times"/>
          <w:b/>
        </w:rPr>
        <w:t>Methods</w:t>
      </w:r>
    </w:p>
    <w:p w14:paraId="428A1CBA" w14:textId="744B2B58" w:rsidR="002D2EC8" w:rsidRDefault="00256065" w:rsidP="00424C4D">
      <w:pPr>
        <w:spacing w:line="360" w:lineRule="auto"/>
        <w:jc w:val="both"/>
        <w:rPr>
          <w:rFonts w:ascii="Times" w:hAnsi="Times"/>
        </w:rPr>
      </w:pPr>
      <w:r>
        <w:rPr>
          <w:rFonts w:ascii="Times" w:hAnsi="Times"/>
        </w:rPr>
        <w:t>We studied 6,5</w:t>
      </w:r>
      <w:r w:rsidR="002D2EC8">
        <w:rPr>
          <w:rFonts w:ascii="Times" w:hAnsi="Times"/>
        </w:rPr>
        <w:t xml:space="preserve">91 individuals with </w:t>
      </w:r>
      <w:r w:rsidR="00414564">
        <w:rPr>
          <w:rFonts w:ascii="Times" w:hAnsi="Times"/>
        </w:rPr>
        <w:t>newly diagnosed</w:t>
      </w:r>
      <w:r w:rsidR="002D2EC8">
        <w:rPr>
          <w:rFonts w:ascii="Times" w:hAnsi="Times"/>
        </w:rPr>
        <w:t xml:space="preserve"> RA between 2004 and 2016 inclusive </w:t>
      </w:r>
      <w:r w:rsidR="00F801B8">
        <w:rPr>
          <w:rFonts w:ascii="Times" w:hAnsi="Times"/>
        </w:rPr>
        <w:t>using</w:t>
      </w:r>
      <w:r w:rsidR="002D2EC8">
        <w:rPr>
          <w:rFonts w:ascii="Times" w:hAnsi="Times"/>
        </w:rPr>
        <w:t xml:space="preserve"> </w:t>
      </w:r>
      <w:r w:rsidR="002D2EC8" w:rsidRPr="00256065">
        <w:rPr>
          <w:rFonts w:ascii="Times" w:hAnsi="Times"/>
        </w:rPr>
        <w:t xml:space="preserve">the UK Royal College of General Practitioners (RCGP) Research and Surveillance Centre (RSC) primary care database. </w:t>
      </w:r>
      <w:r w:rsidR="002D2EC8">
        <w:rPr>
          <w:rFonts w:ascii="Times" w:hAnsi="Times"/>
        </w:rPr>
        <w:t>The prevalence of haematological abnormalities a</w:t>
      </w:r>
      <w:r w:rsidR="00F109EC">
        <w:rPr>
          <w:rFonts w:ascii="Times" w:hAnsi="Times"/>
        </w:rPr>
        <w:t>t</w:t>
      </w:r>
      <w:r w:rsidR="002D2EC8">
        <w:rPr>
          <w:rFonts w:ascii="Times" w:hAnsi="Times"/>
        </w:rPr>
        <w:t xml:space="preserve"> diagnosis (anaemia, neutropenia and lymphopenia</w:t>
      </w:r>
      <w:r>
        <w:rPr>
          <w:rFonts w:ascii="Times" w:hAnsi="Times"/>
        </w:rPr>
        <w:t>) w</w:t>
      </w:r>
      <w:r w:rsidR="008E209A">
        <w:rPr>
          <w:rFonts w:ascii="Times" w:hAnsi="Times"/>
        </w:rPr>
        <w:t>as</w:t>
      </w:r>
      <w:r>
        <w:rPr>
          <w:rFonts w:ascii="Times" w:hAnsi="Times"/>
        </w:rPr>
        <w:t xml:space="preserve"> established</w:t>
      </w:r>
      <w:r w:rsidR="002D2EC8">
        <w:rPr>
          <w:rFonts w:ascii="Times" w:hAnsi="Times"/>
        </w:rPr>
        <w:t xml:space="preserve">. </w:t>
      </w:r>
      <w:r w:rsidR="001C4EAD">
        <w:rPr>
          <w:rFonts w:ascii="Times" w:hAnsi="Times"/>
        </w:rPr>
        <w:t>C</w:t>
      </w:r>
      <w:r w:rsidR="002D2EC8">
        <w:rPr>
          <w:rFonts w:ascii="Times" w:hAnsi="Times"/>
        </w:rPr>
        <w:t xml:space="preserve">ox proportional </w:t>
      </w:r>
      <w:r>
        <w:rPr>
          <w:rFonts w:ascii="Times" w:hAnsi="Times"/>
        </w:rPr>
        <w:t>hazards models</w:t>
      </w:r>
      <w:r w:rsidR="00E13C98">
        <w:rPr>
          <w:rFonts w:ascii="Times" w:hAnsi="Times"/>
        </w:rPr>
        <w:t xml:space="preserve"> were used to evaluate </w:t>
      </w:r>
      <w:r w:rsidR="00F801B8">
        <w:rPr>
          <w:rFonts w:ascii="Times" w:hAnsi="Times"/>
        </w:rPr>
        <w:t>i</w:t>
      </w:r>
      <w:r w:rsidR="001C4EAD">
        <w:rPr>
          <w:rFonts w:ascii="Times" w:hAnsi="Times"/>
        </w:rPr>
        <w:t xml:space="preserve">) the association between each haematological abnormality and time to </w:t>
      </w:r>
      <w:r w:rsidR="00E61518">
        <w:rPr>
          <w:rFonts w:ascii="Times" w:hAnsi="Times"/>
        </w:rPr>
        <w:t xml:space="preserve">common </w:t>
      </w:r>
      <w:r w:rsidR="00E13C98">
        <w:rPr>
          <w:rFonts w:ascii="Times" w:hAnsi="Times"/>
        </w:rPr>
        <w:t xml:space="preserve">infections; </w:t>
      </w:r>
      <w:r w:rsidR="00F801B8">
        <w:rPr>
          <w:rFonts w:ascii="Times" w:hAnsi="Times"/>
        </w:rPr>
        <w:t>ii</w:t>
      </w:r>
      <w:r w:rsidR="001C4EAD">
        <w:rPr>
          <w:rFonts w:ascii="Times" w:hAnsi="Times"/>
        </w:rPr>
        <w:t>) the influence of</w:t>
      </w:r>
      <w:r>
        <w:rPr>
          <w:rFonts w:ascii="Times" w:hAnsi="Times"/>
        </w:rPr>
        <w:t xml:space="preserve"> vaccination status </w:t>
      </w:r>
      <w:r w:rsidR="001C4EAD">
        <w:rPr>
          <w:rFonts w:ascii="Times" w:hAnsi="Times"/>
        </w:rPr>
        <w:t>(</w:t>
      </w:r>
      <w:r>
        <w:rPr>
          <w:rFonts w:ascii="Times" w:hAnsi="Times"/>
        </w:rPr>
        <w:t xml:space="preserve">influenza and </w:t>
      </w:r>
      <w:r w:rsidR="001C4EAD">
        <w:rPr>
          <w:rFonts w:ascii="Times" w:hAnsi="Times"/>
        </w:rPr>
        <w:t xml:space="preserve">pneumococcal vaccine) on time to </w:t>
      </w:r>
      <w:r w:rsidR="00E61518">
        <w:rPr>
          <w:rFonts w:ascii="Times" w:hAnsi="Times"/>
        </w:rPr>
        <w:t xml:space="preserve">common </w:t>
      </w:r>
      <w:r w:rsidR="001C4EAD">
        <w:rPr>
          <w:rFonts w:ascii="Times" w:hAnsi="Times"/>
        </w:rPr>
        <w:t xml:space="preserve">infections </w:t>
      </w:r>
      <w:r>
        <w:rPr>
          <w:rFonts w:ascii="Times" w:hAnsi="Times"/>
        </w:rPr>
        <w:t xml:space="preserve">in individuals with RA, compared </w:t>
      </w:r>
      <w:r w:rsidR="00D63DD0">
        <w:rPr>
          <w:rFonts w:ascii="Times" w:hAnsi="Times"/>
        </w:rPr>
        <w:t xml:space="preserve">with </w:t>
      </w:r>
      <w:r>
        <w:rPr>
          <w:rFonts w:ascii="Times" w:hAnsi="Times"/>
        </w:rPr>
        <w:t>a matched cohort of individuals without RA.</w:t>
      </w:r>
    </w:p>
    <w:p w14:paraId="704EA1AD" w14:textId="77777777" w:rsidR="002D2EC8" w:rsidRPr="002D2EC8" w:rsidRDefault="002D2EC8" w:rsidP="00424C4D">
      <w:pPr>
        <w:spacing w:line="360" w:lineRule="auto"/>
        <w:jc w:val="both"/>
        <w:rPr>
          <w:rFonts w:ascii="Times" w:hAnsi="Times"/>
        </w:rPr>
      </w:pPr>
    </w:p>
    <w:p w14:paraId="0CBF780D" w14:textId="40AB1649" w:rsidR="00256065" w:rsidRDefault="004A16B6" w:rsidP="00424C4D">
      <w:pPr>
        <w:spacing w:line="360" w:lineRule="auto"/>
        <w:jc w:val="both"/>
        <w:rPr>
          <w:rFonts w:ascii="Times" w:hAnsi="Times"/>
          <w:b/>
        </w:rPr>
      </w:pPr>
      <w:r>
        <w:rPr>
          <w:rFonts w:ascii="Times" w:hAnsi="Times"/>
          <w:b/>
        </w:rPr>
        <w:t>Results</w:t>
      </w:r>
    </w:p>
    <w:p w14:paraId="792A7483" w14:textId="02CAC7D5" w:rsidR="003447BF" w:rsidRDefault="00EB2958" w:rsidP="00424C4D">
      <w:pPr>
        <w:spacing w:line="360" w:lineRule="auto"/>
        <w:jc w:val="both"/>
        <w:rPr>
          <w:rFonts w:ascii="Times" w:hAnsi="Times"/>
        </w:rPr>
      </w:pPr>
      <w:r>
        <w:rPr>
          <w:rFonts w:ascii="Times" w:hAnsi="Times"/>
        </w:rPr>
        <w:t xml:space="preserve">Anaemia was common </w:t>
      </w:r>
      <w:r w:rsidR="001C4EAD">
        <w:rPr>
          <w:rFonts w:ascii="Times" w:hAnsi="Times"/>
        </w:rPr>
        <w:t xml:space="preserve">at </w:t>
      </w:r>
      <w:r w:rsidR="00D05D00">
        <w:rPr>
          <w:rFonts w:ascii="Times" w:hAnsi="Times"/>
        </w:rPr>
        <w:t xml:space="preserve">RA </w:t>
      </w:r>
      <w:r w:rsidR="001C4EAD">
        <w:rPr>
          <w:rFonts w:ascii="Times" w:hAnsi="Times"/>
        </w:rPr>
        <w:t>diagnosis (</w:t>
      </w:r>
      <w:r>
        <w:rPr>
          <w:rFonts w:ascii="Times" w:hAnsi="Times"/>
        </w:rPr>
        <w:t>16</w:t>
      </w:r>
      <w:r w:rsidR="003447BF">
        <w:rPr>
          <w:rFonts w:ascii="Times" w:hAnsi="Times"/>
        </w:rPr>
        <w:t>.1</w:t>
      </w:r>
      <w:r>
        <w:rPr>
          <w:rFonts w:ascii="Times" w:hAnsi="Times"/>
        </w:rPr>
        <w:t xml:space="preserve">% of individuals), </w:t>
      </w:r>
      <w:r w:rsidR="001C4EAD">
        <w:rPr>
          <w:rFonts w:ascii="Times" w:hAnsi="Times"/>
        </w:rPr>
        <w:t xml:space="preserve">neutropenia </w:t>
      </w:r>
      <w:r>
        <w:rPr>
          <w:rFonts w:ascii="Times" w:hAnsi="Times"/>
        </w:rPr>
        <w:t>(</w:t>
      </w:r>
      <w:r w:rsidR="003447BF">
        <w:rPr>
          <w:rFonts w:ascii="Times" w:hAnsi="Times"/>
        </w:rPr>
        <w:t>0.6</w:t>
      </w:r>
      <w:r w:rsidR="001C4EAD">
        <w:rPr>
          <w:rFonts w:ascii="Times" w:hAnsi="Times"/>
        </w:rPr>
        <w:t>%</w:t>
      </w:r>
      <w:r>
        <w:rPr>
          <w:rFonts w:ascii="Times" w:hAnsi="Times"/>
        </w:rPr>
        <w:t>)</w:t>
      </w:r>
      <w:r w:rsidR="001C4EAD">
        <w:rPr>
          <w:rFonts w:ascii="Times" w:hAnsi="Times"/>
        </w:rPr>
        <w:t xml:space="preserve"> and lymphopenia </w:t>
      </w:r>
      <w:r>
        <w:rPr>
          <w:rFonts w:ascii="Times" w:hAnsi="Times"/>
        </w:rPr>
        <w:t>(</w:t>
      </w:r>
      <w:r w:rsidR="001C4EAD">
        <w:rPr>
          <w:rFonts w:ascii="Times" w:hAnsi="Times"/>
        </w:rPr>
        <w:t>1</w:t>
      </w:r>
      <w:r w:rsidR="003447BF">
        <w:rPr>
          <w:rFonts w:ascii="Times" w:hAnsi="Times"/>
        </w:rPr>
        <w:t>.4</w:t>
      </w:r>
      <w:r w:rsidR="001C4EAD">
        <w:rPr>
          <w:rFonts w:ascii="Times" w:hAnsi="Times"/>
        </w:rPr>
        <w:t>%)</w:t>
      </w:r>
      <w:r>
        <w:rPr>
          <w:rFonts w:ascii="Times" w:hAnsi="Times"/>
        </w:rPr>
        <w:t xml:space="preserve"> less so</w:t>
      </w:r>
      <w:r w:rsidR="001C4EAD">
        <w:rPr>
          <w:rFonts w:ascii="Times" w:hAnsi="Times"/>
        </w:rPr>
        <w:t>. Lymphopenia and anaemia were associated with increased infection</w:t>
      </w:r>
      <w:r w:rsidR="00F801B8">
        <w:rPr>
          <w:rFonts w:ascii="Times" w:hAnsi="Times"/>
        </w:rPr>
        <w:t xml:space="preserve"> ri</w:t>
      </w:r>
      <w:r w:rsidR="001C4EAD">
        <w:rPr>
          <w:rFonts w:ascii="Times" w:hAnsi="Times"/>
        </w:rPr>
        <w:t>s</w:t>
      </w:r>
      <w:r w:rsidR="00F801B8">
        <w:rPr>
          <w:rFonts w:ascii="Times" w:hAnsi="Times"/>
        </w:rPr>
        <w:t>k</w:t>
      </w:r>
      <w:r w:rsidR="001C4EAD">
        <w:rPr>
          <w:rFonts w:ascii="Times" w:hAnsi="Times"/>
        </w:rPr>
        <w:t xml:space="preserve"> (respective </w:t>
      </w:r>
      <w:r w:rsidR="00E13C98">
        <w:rPr>
          <w:rFonts w:ascii="Times" w:hAnsi="Times"/>
        </w:rPr>
        <w:t>h</w:t>
      </w:r>
      <w:r w:rsidR="00D459BB">
        <w:rPr>
          <w:rFonts w:ascii="Times" w:hAnsi="Times"/>
        </w:rPr>
        <w:t xml:space="preserve">azard </w:t>
      </w:r>
      <w:r w:rsidR="00E13C98">
        <w:rPr>
          <w:rFonts w:ascii="Times" w:hAnsi="Times"/>
        </w:rPr>
        <w:t>r</w:t>
      </w:r>
      <w:r w:rsidR="00D459BB">
        <w:rPr>
          <w:rFonts w:ascii="Times" w:hAnsi="Times"/>
        </w:rPr>
        <w:t>atio</w:t>
      </w:r>
      <w:r w:rsidR="001C4EAD">
        <w:rPr>
          <w:rFonts w:ascii="Times" w:hAnsi="Times"/>
        </w:rPr>
        <w:t>s</w:t>
      </w:r>
      <w:r w:rsidR="00D459BB">
        <w:rPr>
          <w:rFonts w:ascii="Times" w:hAnsi="Times"/>
        </w:rPr>
        <w:t xml:space="preserve"> (HR)</w:t>
      </w:r>
      <w:r w:rsidR="001C4EAD">
        <w:rPr>
          <w:rFonts w:ascii="Times" w:hAnsi="Times"/>
        </w:rPr>
        <w:t xml:space="preserve"> </w:t>
      </w:r>
      <w:r w:rsidR="001C4EAD" w:rsidRPr="001C4EAD">
        <w:rPr>
          <w:rFonts w:ascii="Times" w:hAnsi="Times"/>
        </w:rPr>
        <w:t>1.18 (</w:t>
      </w:r>
      <w:r w:rsidR="00D05D00">
        <w:rPr>
          <w:rFonts w:ascii="Times" w:hAnsi="Times"/>
        </w:rPr>
        <w:t>95%</w:t>
      </w:r>
      <w:r w:rsidR="00D459BB">
        <w:rPr>
          <w:rFonts w:ascii="Times" w:hAnsi="Times"/>
        </w:rPr>
        <w:t>CI</w:t>
      </w:r>
      <w:r w:rsidR="001C4EAD">
        <w:rPr>
          <w:rFonts w:ascii="Times" w:hAnsi="Times"/>
        </w:rPr>
        <w:t xml:space="preserve"> </w:t>
      </w:r>
      <w:r w:rsidR="001C4EAD" w:rsidRPr="001C4EAD">
        <w:rPr>
          <w:rFonts w:ascii="Times" w:hAnsi="Times"/>
        </w:rPr>
        <w:t>1.08-1.29)</w:t>
      </w:r>
      <w:r w:rsidR="001C4EAD">
        <w:rPr>
          <w:rFonts w:ascii="Times" w:hAnsi="Times"/>
        </w:rPr>
        <w:t xml:space="preserve">; </w:t>
      </w:r>
      <w:r w:rsidR="00D05D00">
        <w:rPr>
          <w:rFonts w:ascii="Times" w:hAnsi="Times"/>
        </w:rPr>
        <w:t xml:space="preserve">HR </w:t>
      </w:r>
      <w:r w:rsidR="001C4EAD">
        <w:rPr>
          <w:rFonts w:ascii="Times" w:hAnsi="Times"/>
        </w:rPr>
        <w:t>1</w:t>
      </w:r>
      <w:r w:rsidR="001C4EAD" w:rsidRPr="001C4EAD">
        <w:rPr>
          <w:rFonts w:ascii="Times" w:hAnsi="Times"/>
        </w:rPr>
        <w:t>.37 (</w:t>
      </w:r>
      <w:r w:rsidR="001C4EAD">
        <w:rPr>
          <w:rFonts w:ascii="Times" w:hAnsi="Times"/>
        </w:rPr>
        <w:t xml:space="preserve">95%CI </w:t>
      </w:r>
      <w:r w:rsidR="001C4EAD" w:rsidRPr="001C4EAD">
        <w:rPr>
          <w:rFonts w:ascii="Times" w:hAnsi="Times"/>
        </w:rPr>
        <w:t>1.08-1.73)</w:t>
      </w:r>
      <w:r w:rsidR="001C4EAD">
        <w:rPr>
          <w:rFonts w:ascii="Times" w:hAnsi="Times"/>
        </w:rPr>
        <w:t xml:space="preserve">). There was no evidence of an association </w:t>
      </w:r>
      <w:r w:rsidR="00F109EC">
        <w:rPr>
          <w:rFonts w:ascii="Times" w:hAnsi="Times"/>
        </w:rPr>
        <w:t>between</w:t>
      </w:r>
      <w:r w:rsidR="00D459BB">
        <w:rPr>
          <w:rFonts w:ascii="Times" w:hAnsi="Times"/>
        </w:rPr>
        <w:t xml:space="preserve"> neutropenia</w:t>
      </w:r>
      <w:r w:rsidR="00F801B8">
        <w:rPr>
          <w:rFonts w:ascii="Times" w:hAnsi="Times"/>
        </w:rPr>
        <w:t xml:space="preserve"> and infection risk</w:t>
      </w:r>
      <w:r w:rsidR="00D459BB">
        <w:rPr>
          <w:rFonts w:ascii="Times" w:hAnsi="Times"/>
        </w:rPr>
        <w:t xml:space="preserve"> (HR </w:t>
      </w:r>
      <w:r w:rsidR="00D459BB" w:rsidRPr="001C4EAD">
        <w:rPr>
          <w:rFonts w:ascii="Times" w:hAnsi="Times"/>
        </w:rPr>
        <w:t>0.94 (</w:t>
      </w:r>
      <w:r w:rsidR="00D459BB">
        <w:rPr>
          <w:rFonts w:ascii="Times" w:hAnsi="Times"/>
        </w:rPr>
        <w:t xml:space="preserve">95%CI 0.60-1.47). </w:t>
      </w:r>
      <w:r w:rsidR="00FD2401">
        <w:rPr>
          <w:rFonts w:ascii="Times" w:hAnsi="Times"/>
        </w:rPr>
        <w:t>Pneumonia</w:t>
      </w:r>
      <w:r w:rsidR="003447BF">
        <w:rPr>
          <w:rFonts w:ascii="Times" w:hAnsi="Times"/>
        </w:rPr>
        <w:t xml:space="preserve"> was </w:t>
      </w:r>
      <w:r w:rsidR="00FD2401">
        <w:rPr>
          <w:rFonts w:ascii="Times" w:hAnsi="Times"/>
        </w:rPr>
        <w:t xml:space="preserve">much more common </w:t>
      </w:r>
      <w:r w:rsidR="003447BF">
        <w:rPr>
          <w:rFonts w:ascii="Times" w:hAnsi="Times"/>
        </w:rPr>
        <w:t>in individuals with</w:t>
      </w:r>
      <w:r w:rsidR="00FD2401">
        <w:rPr>
          <w:rFonts w:ascii="Times" w:hAnsi="Times"/>
        </w:rPr>
        <w:t xml:space="preserve"> early</w:t>
      </w:r>
      <w:r w:rsidR="003447BF">
        <w:rPr>
          <w:rFonts w:ascii="Times" w:hAnsi="Times"/>
        </w:rPr>
        <w:t xml:space="preserve"> RA</w:t>
      </w:r>
      <w:r w:rsidR="00FD2401">
        <w:rPr>
          <w:rFonts w:ascii="Times" w:hAnsi="Times"/>
        </w:rPr>
        <w:t xml:space="preserve"> compared </w:t>
      </w:r>
      <w:r w:rsidR="00D63DD0">
        <w:rPr>
          <w:rFonts w:ascii="Times" w:hAnsi="Times"/>
        </w:rPr>
        <w:t xml:space="preserve">with </w:t>
      </w:r>
      <w:r w:rsidR="00FD2401">
        <w:rPr>
          <w:rFonts w:ascii="Times" w:hAnsi="Times"/>
        </w:rPr>
        <w:t>controls</w:t>
      </w:r>
      <w:r w:rsidR="003447BF">
        <w:rPr>
          <w:rFonts w:ascii="Times" w:hAnsi="Times"/>
        </w:rPr>
        <w:t xml:space="preserve">. </w:t>
      </w:r>
      <w:r w:rsidR="00D459BB">
        <w:rPr>
          <w:rFonts w:ascii="Times" w:hAnsi="Times"/>
        </w:rPr>
        <w:t xml:space="preserve">Influenza vaccination was associated with reduced risk of </w:t>
      </w:r>
      <w:r w:rsidR="0045293B">
        <w:rPr>
          <w:rFonts w:ascii="Times" w:hAnsi="Times"/>
        </w:rPr>
        <w:t>influenza-like illness</w:t>
      </w:r>
      <w:r w:rsidR="00D459BB">
        <w:rPr>
          <w:rFonts w:ascii="Times" w:hAnsi="Times"/>
        </w:rPr>
        <w:t xml:space="preserve"> only for individuals with RA (</w:t>
      </w:r>
      <w:r w:rsidR="00E61518">
        <w:rPr>
          <w:rFonts w:ascii="Times" w:hAnsi="Times"/>
        </w:rPr>
        <w:t xml:space="preserve">HR </w:t>
      </w:r>
      <w:r w:rsidR="00455D75">
        <w:rPr>
          <w:rFonts w:ascii="Times" w:hAnsi="Times"/>
        </w:rPr>
        <w:t xml:space="preserve">0.58 </w:t>
      </w:r>
      <w:r w:rsidR="00E61518">
        <w:rPr>
          <w:rFonts w:ascii="Times" w:hAnsi="Times"/>
        </w:rPr>
        <w:t>(95% CI</w:t>
      </w:r>
      <w:r w:rsidR="00455D75">
        <w:rPr>
          <w:rFonts w:ascii="Times" w:hAnsi="Times"/>
        </w:rPr>
        <w:t xml:space="preserve"> </w:t>
      </w:r>
      <w:r w:rsidR="00D05D00">
        <w:rPr>
          <w:rFonts w:ascii="Times" w:hAnsi="Times"/>
        </w:rPr>
        <w:t>0.</w:t>
      </w:r>
      <w:r w:rsidR="00455D75">
        <w:rPr>
          <w:rFonts w:ascii="Times" w:hAnsi="Times"/>
        </w:rPr>
        <w:t>37-0.90</w:t>
      </w:r>
      <w:r w:rsidR="00E61518">
        <w:rPr>
          <w:rFonts w:ascii="Times" w:hAnsi="Times"/>
        </w:rPr>
        <w:t xml:space="preserve">). </w:t>
      </w:r>
    </w:p>
    <w:p w14:paraId="14828B9F" w14:textId="1CAF8FA0" w:rsidR="00E61518" w:rsidRDefault="00FD255F" w:rsidP="00424C4D">
      <w:pPr>
        <w:spacing w:line="360" w:lineRule="auto"/>
        <w:jc w:val="both"/>
        <w:rPr>
          <w:rFonts w:ascii="Times" w:hAnsi="Times"/>
          <w:b/>
        </w:rPr>
      </w:pPr>
      <w:r>
        <w:rPr>
          <w:rFonts w:ascii="Times" w:hAnsi="Times"/>
          <w:b/>
        </w:rPr>
        <w:br/>
      </w:r>
      <w:r w:rsidR="004A16B6">
        <w:rPr>
          <w:rFonts w:ascii="Times" w:hAnsi="Times"/>
          <w:b/>
        </w:rPr>
        <w:t>Conclusion</w:t>
      </w:r>
    </w:p>
    <w:p w14:paraId="2FA5AAB6" w14:textId="78C83BF9" w:rsidR="00FD255F" w:rsidRDefault="00E61518" w:rsidP="00424C4D">
      <w:pPr>
        <w:spacing w:line="360" w:lineRule="auto"/>
        <w:jc w:val="both"/>
        <w:rPr>
          <w:rFonts w:ascii="Times" w:hAnsi="Times"/>
          <w:b/>
        </w:rPr>
      </w:pPr>
      <w:r>
        <w:rPr>
          <w:rFonts w:ascii="Times" w:hAnsi="Times"/>
        </w:rPr>
        <w:t xml:space="preserve">At diagnosis, anaemia and </w:t>
      </w:r>
      <w:r w:rsidR="00F226A5">
        <w:rPr>
          <w:rFonts w:ascii="Times" w:hAnsi="Times"/>
        </w:rPr>
        <w:t>lymphopenia</w:t>
      </w:r>
      <w:r>
        <w:rPr>
          <w:rFonts w:ascii="Times" w:hAnsi="Times"/>
        </w:rPr>
        <w:t xml:space="preserve">, but not </w:t>
      </w:r>
      <w:r w:rsidR="00F226A5">
        <w:rPr>
          <w:rFonts w:ascii="Times" w:hAnsi="Times"/>
        </w:rPr>
        <w:t>neutropenia</w:t>
      </w:r>
      <w:r>
        <w:rPr>
          <w:rFonts w:ascii="Times" w:hAnsi="Times"/>
        </w:rPr>
        <w:t>, increase the risk of common infections</w:t>
      </w:r>
      <w:r w:rsidR="00F226A5">
        <w:rPr>
          <w:rFonts w:ascii="Times" w:hAnsi="Times"/>
        </w:rPr>
        <w:t xml:space="preserve"> in individuals with RA. Our data support the effectiveness of the influenza vaccination in individuals with RA</w:t>
      </w:r>
      <w:r w:rsidR="00414564">
        <w:rPr>
          <w:rFonts w:ascii="Times" w:hAnsi="Times"/>
        </w:rPr>
        <w:t xml:space="preserve">. </w:t>
      </w:r>
    </w:p>
    <w:p w14:paraId="22D074F0" w14:textId="77777777" w:rsidR="00424C4D" w:rsidRDefault="00424C4D">
      <w:pPr>
        <w:rPr>
          <w:rFonts w:ascii="Times" w:hAnsi="Times"/>
          <w:b/>
        </w:rPr>
      </w:pPr>
    </w:p>
    <w:p w14:paraId="7331263A" w14:textId="77777777" w:rsidR="00E14300" w:rsidRDefault="00E14300">
      <w:pPr>
        <w:rPr>
          <w:rFonts w:ascii="Times" w:hAnsi="Times"/>
          <w:b/>
        </w:rPr>
      </w:pPr>
      <w:r>
        <w:rPr>
          <w:rFonts w:ascii="Times" w:hAnsi="Times"/>
          <w:b/>
        </w:rPr>
        <w:br w:type="page"/>
      </w:r>
    </w:p>
    <w:p w14:paraId="565BE368" w14:textId="2B84365E" w:rsidR="00E14300" w:rsidRDefault="00E14300" w:rsidP="00E14300">
      <w:pPr>
        <w:spacing w:line="360" w:lineRule="auto"/>
        <w:jc w:val="both"/>
        <w:rPr>
          <w:rFonts w:ascii="Times" w:hAnsi="Times"/>
          <w:b/>
        </w:rPr>
      </w:pPr>
      <w:r>
        <w:rPr>
          <w:rFonts w:ascii="Times" w:hAnsi="Times"/>
          <w:b/>
        </w:rPr>
        <w:lastRenderedPageBreak/>
        <w:t>Key words</w:t>
      </w:r>
    </w:p>
    <w:p w14:paraId="2946D097" w14:textId="4A9A2BC4" w:rsidR="00E14300" w:rsidRDefault="00E14300" w:rsidP="00E14300">
      <w:pPr>
        <w:rPr>
          <w:rFonts w:ascii="Times" w:hAnsi="Times"/>
        </w:rPr>
      </w:pPr>
      <w:r w:rsidRPr="00E14300">
        <w:rPr>
          <w:rFonts w:ascii="Times" w:hAnsi="Times"/>
        </w:rPr>
        <w:t xml:space="preserve">Rheumatoid </w:t>
      </w:r>
      <w:r>
        <w:rPr>
          <w:rFonts w:ascii="Times" w:hAnsi="Times"/>
        </w:rPr>
        <w:t>a</w:t>
      </w:r>
      <w:r w:rsidRPr="00E14300">
        <w:rPr>
          <w:rFonts w:ascii="Times" w:hAnsi="Times"/>
        </w:rPr>
        <w:t>rthritis</w:t>
      </w:r>
      <w:r>
        <w:rPr>
          <w:rFonts w:ascii="Times" w:hAnsi="Times"/>
        </w:rPr>
        <w:t xml:space="preserve">; </w:t>
      </w:r>
      <w:r w:rsidRPr="00E14300">
        <w:rPr>
          <w:rFonts w:ascii="Times" w:hAnsi="Times"/>
        </w:rPr>
        <w:t>An</w:t>
      </w:r>
      <w:r w:rsidR="00587E1D">
        <w:rPr>
          <w:rFonts w:ascii="Times" w:hAnsi="Times"/>
        </w:rPr>
        <w:t>a</w:t>
      </w:r>
      <w:r w:rsidRPr="00E14300">
        <w:rPr>
          <w:rFonts w:ascii="Times" w:hAnsi="Times"/>
        </w:rPr>
        <w:t>emia</w:t>
      </w:r>
      <w:r>
        <w:rPr>
          <w:rFonts w:ascii="Times" w:hAnsi="Times"/>
        </w:rPr>
        <w:t xml:space="preserve">; </w:t>
      </w:r>
      <w:r w:rsidRPr="00E14300">
        <w:rPr>
          <w:rFonts w:ascii="Times" w:hAnsi="Times"/>
        </w:rPr>
        <w:t>Lymphopenia</w:t>
      </w:r>
      <w:r>
        <w:rPr>
          <w:rFonts w:ascii="Times" w:hAnsi="Times"/>
        </w:rPr>
        <w:t xml:space="preserve">; </w:t>
      </w:r>
      <w:r w:rsidRPr="00E14300">
        <w:rPr>
          <w:rFonts w:ascii="Times" w:hAnsi="Times"/>
        </w:rPr>
        <w:t>Neutropenia</w:t>
      </w:r>
      <w:r w:rsidR="00587E1D">
        <w:rPr>
          <w:rFonts w:ascii="Times" w:hAnsi="Times"/>
        </w:rPr>
        <w:t xml:space="preserve">; </w:t>
      </w:r>
      <w:r w:rsidR="00587E1D" w:rsidRPr="00587E1D">
        <w:rPr>
          <w:rFonts w:ascii="Times" w:hAnsi="Times"/>
        </w:rPr>
        <w:t>Infection</w:t>
      </w:r>
      <w:r w:rsidR="00587E1D">
        <w:rPr>
          <w:rFonts w:ascii="Times" w:hAnsi="Times"/>
        </w:rPr>
        <w:t xml:space="preserve">; </w:t>
      </w:r>
      <w:r w:rsidR="00587E1D" w:rsidRPr="00587E1D">
        <w:rPr>
          <w:rFonts w:ascii="Times" w:hAnsi="Times"/>
        </w:rPr>
        <w:t>Influenza</w:t>
      </w:r>
      <w:r w:rsidR="00587E1D">
        <w:rPr>
          <w:rFonts w:ascii="Times" w:hAnsi="Times"/>
        </w:rPr>
        <w:t xml:space="preserve">; </w:t>
      </w:r>
      <w:r w:rsidR="00587E1D" w:rsidRPr="00587E1D">
        <w:rPr>
          <w:rFonts w:ascii="Times" w:hAnsi="Times"/>
        </w:rPr>
        <w:t>Influenza Vaccine</w:t>
      </w:r>
      <w:r w:rsidR="00587E1D">
        <w:rPr>
          <w:rFonts w:ascii="Times" w:hAnsi="Times"/>
        </w:rPr>
        <w:t xml:space="preserve">; </w:t>
      </w:r>
      <w:r w:rsidR="00587E1D" w:rsidRPr="00587E1D">
        <w:rPr>
          <w:rFonts w:ascii="Times" w:hAnsi="Times"/>
        </w:rPr>
        <w:t>Pneumococcal Vaccine</w:t>
      </w:r>
    </w:p>
    <w:p w14:paraId="512E43DC" w14:textId="2CA98F77" w:rsidR="00E14300" w:rsidRDefault="00E14300" w:rsidP="00E14300">
      <w:pPr>
        <w:rPr>
          <w:b/>
        </w:rPr>
      </w:pPr>
    </w:p>
    <w:p w14:paraId="49541220" w14:textId="4A428B02" w:rsidR="00025EA6" w:rsidRDefault="00587E1D" w:rsidP="00587E1D">
      <w:r>
        <w:rPr>
          <w:b/>
        </w:rPr>
        <w:t>Key messages</w:t>
      </w:r>
    </w:p>
    <w:p w14:paraId="75DBAC62" w14:textId="77777777" w:rsidR="00587E1D" w:rsidRPr="00587E1D" w:rsidRDefault="00587E1D" w:rsidP="00587E1D"/>
    <w:p w14:paraId="51A10946" w14:textId="778AECAF" w:rsidR="00025EA6" w:rsidRDefault="00587E1D" w:rsidP="00587E1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w:t>
      </w:r>
      <w:r w:rsidR="00ED0796" w:rsidRPr="00ED0796">
        <w:rPr>
          <w:rFonts w:ascii="Times New Roman" w:hAnsi="Times New Roman" w:cs="Times New Roman"/>
          <w:sz w:val="24"/>
          <w:szCs w:val="24"/>
        </w:rPr>
        <w:t xml:space="preserve">naemia and lymphopenia </w:t>
      </w:r>
      <w:r>
        <w:rPr>
          <w:rFonts w:ascii="Times New Roman" w:hAnsi="Times New Roman" w:cs="Times New Roman"/>
          <w:sz w:val="24"/>
          <w:szCs w:val="24"/>
        </w:rPr>
        <w:t xml:space="preserve">are associated with increased infection risk </w:t>
      </w:r>
      <w:r w:rsidR="00ED0796" w:rsidRPr="00ED0796">
        <w:rPr>
          <w:rFonts w:ascii="Times New Roman" w:hAnsi="Times New Roman" w:cs="Times New Roman"/>
          <w:sz w:val="24"/>
          <w:szCs w:val="24"/>
        </w:rPr>
        <w:t xml:space="preserve">in individuals with </w:t>
      </w:r>
      <w:r>
        <w:rPr>
          <w:rFonts w:ascii="Times New Roman" w:hAnsi="Times New Roman" w:cs="Times New Roman"/>
          <w:sz w:val="24"/>
          <w:szCs w:val="24"/>
        </w:rPr>
        <w:t>early</w:t>
      </w:r>
      <w:r w:rsidR="00557C2D">
        <w:rPr>
          <w:rFonts w:ascii="Times New Roman" w:hAnsi="Times New Roman" w:cs="Times New Roman"/>
          <w:sz w:val="24"/>
          <w:szCs w:val="24"/>
        </w:rPr>
        <w:t xml:space="preserve"> </w:t>
      </w:r>
      <w:r w:rsidR="00ED0796" w:rsidRPr="00ED0796">
        <w:rPr>
          <w:rFonts w:ascii="Times New Roman" w:hAnsi="Times New Roman" w:cs="Times New Roman"/>
          <w:sz w:val="24"/>
          <w:szCs w:val="24"/>
        </w:rPr>
        <w:t>rheumatoid arthritis</w:t>
      </w:r>
      <w:r w:rsidR="00025EA6" w:rsidRPr="00F47F86">
        <w:rPr>
          <w:rFonts w:ascii="Times New Roman" w:hAnsi="Times New Roman" w:cs="Times New Roman"/>
          <w:sz w:val="24"/>
          <w:szCs w:val="24"/>
        </w:rPr>
        <w:t>.</w:t>
      </w:r>
    </w:p>
    <w:p w14:paraId="27A6F1E2" w14:textId="77777777" w:rsidR="00587E1D" w:rsidRPr="00587E1D" w:rsidRDefault="00587E1D" w:rsidP="00587E1D">
      <w:pPr>
        <w:pStyle w:val="ListParagraph"/>
        <w:rPr>
          <w:rFonts w:ascii="Times New Roman" w:hAnsi="Times New Roman" w:cs="Times New Roman"/>
          <w:sz w:val="24"/>
          <w:szCs w:val="24"/>
        </w:rPr>
      </w:pPr>
    </w:p>
    <w:p w14:paraId="6C2227EC" w14:textId="3860F4F2" w:rsidR="00587E1D" w:rsidRPr="00587E1D" w:rsidRDefault="00ED0796" w:rsidP="00587E1D">
      <w:pPr>
        <w:pStyle w:val="ListParagraph"/>
        <w:numPr>
          <w:ilvl w:val="0"/>
          <w:numId w:val="7"/>
        </w:numPr>
        <w:rPr>
          <w:b/>
        </w:rPr>
      </w:pPr>
      <w:r w:rsidRPr="004958C2">
        <w:rPr>
          <w:rFonts w:ascii="Times New Roman" w:hAnsi="Times New Roman" w:cs="Times New Roman"/>
          <w:sz w:val="24"/>
          <w:szCs w:val="24"/>
        </w:rPr>
        <w:t xml:space="preserve">Pneumonia </w:t>
      </w:r>
      <w:r w:rsidR="00587E1D">
        <w:rPr>
          <w:rFonts w:ascii="Times New Roman" w:hAnsi="Times New Roman" w:cs="Times New Roman"/>
          <w:sz w:val="24"/>
          <w:szCs w:val="24"/>
        </w:rPr>
        <w:t>is</w:t>
      </w:r>
      <w:r w:rsidRPr="004958C2">
        <w:rPr>
          <w:rFonts w:ascii="Times New Roman" w:hAnsi="Times New Roman" w:cs="Times New Roman"/>
          <w:sz w:val="24"/>
          <w:szCs w:val="24"/>
        </w:rPr>
        <w:t xml:space="preserve"> more common in </w:t>
      </w:r>
      <w:r w:rsidR="00D959F7">
        <w:rPr>
          <w:rFonts w:ascii="Times New Roman" w:hAnsi="Times New Roman" w:cs="Times New Roman"/>
          <w:sz w:val="24"/>
          <w:szCs w:val="24"/>
        </w:rPr>
        <w:t xml:space="preserve">patients with </w:t>
      </w:r>
      <w:r w:rsidRPr="004958C2">
        <w:rPr>
          <w:rFonts w:ascii="Times New Roman" w:hAnsi="Times New Roman" w:cs="Times New Roman"/>
          <w:sz w:val="24"/>
          <w:szCs w:val="24"/>
        </w:rPr>
        <w:t xml:space="preserve">rheumatoid arthritis compared </w:t>
      </w:r>
      <w:r w:rsidR="00D63DD0">
        <w:rPr>
          <w:rFonts w:ascii="Times New Roman" w:hAnsi="Times New Roman" w:cs="Times New Roman"/>
          <w:sz w:val="24"/>
          <w:szCs w:val="24"/>
        </w:rPr>
        <w:t>with</w:t>
      </w:r>
      <w:r w:rsidR="00D63DD0" w:rsidRPr="004958C2">
        <w:rPr>
          <w:rFonts w:ascii="Times New Roman" w:hAnsi="Times New Roman" w:cs="Times New Roman"/>
          <w:sz w:val="24"/>
          <w:szCs w:val="24"/>
        </w:rPr>
        <w:t xml:space="preserve"> </w:t>
      </w:r>
      <w:r w:rsidRPr="004958C2">
        <w:rPr>
          <w:rFonts w:ascii="Times New Roman" w:hAnsi="Times New Roman" w:cs="Times New Roman"/>
          <w:sz w:val="24"/>
          <w:szCs w:val="24"/>
        </w:rPr>
        <w:t>those with</w:t>
      </w:r>
      <w:r w:rsidR="00F109EC" w:rsidRPr="004958C2">
        <w:rPr>
          <w:rFonts w:ascii="Times New Roman" w:hAnsi="Times New Roman" w:cs="Times New Roman"/>
          <w:sz w:val="24"/>
          <w:szCs w:val="24"/>
        </w:rPr>
        <w:t>out</w:t>
      </w:r>
      <w:r w:rsidRPr="004958C2">
        <w:rPr>
          <w:rFonts w:ascii="Times New Roman" w:hAnsi="Times New Roman" w:cs="Times New Roman"/>
          <w:sz w:val="24"/>
          <w:szCs w:val="24"/>
        </w:rPr>
        <w:t xml:space="preserve"> rheumatoid arthritis</w:t>
      </w:r>
      <w:r w:rsidR="00025EA6" w:rsidRPr="004958C2">
        <w:rPr>
          <w:rFonts w:ascii="Times New Roman" w:hAnsi="Times New Roman" w:cs="Times New Roman"/>
          <w:sz w:val="24"/>
          <w:szCs w:val="24"/>
        </w:rPr>
        <w:t>.</w:t>
      </w:r>
    </w:p>
    <w:p w14:paraId="756273F4" w14:textId="77777777" w:rsidR="00587E1D" w:rsidRPr="00587E1D" w:rsidRDefault="00587E1D" w:rsidP="00587E1D">
      <w:pPr>
        <w:pStyle w:val="ListParagraph"/>
        <w:rPr>
          <w:rFonts w:ascii="Times New Roman" w:hAnsi="Times New Roman" w:cs="Times New Roman"/>
          <w:sz w:val="24"/>
          <w:szCs w:val="24"/>
        </w:rPr>
      </w:pPr>
    </w:p>
    <w:p w14:paraId="5E6D2705" w14:textId="01F189A1" w:rsidR="00025EA6" w:rsidRPr="00587E1D" w:rsidRDefault="00ED0796" w:rsidP="00587E1D">
      <w:pPr>
        <w:pStyle w:val="ListParagraph"/>
        <w:numPr>
          <w:ilvl w:val="0"/>
          <w:numId w:val="7"/>
        </w:numPr>
        <w:rPr>
          <w:b/>
        </w:rPr>
      </w:pPr>
      <w:r w:rsidRPr="004958C2">
        <w:rPr>
          <w:rFonts w:ascii="Times New Roman" w:hAnsi="Times New Roman" w:cs="Times New Roman"/>
          <w:sz w:val="24"/>
          <w:szCs w:val="24"/>
        </w:rPr>
        <w:t xml:space="preserve">Influenza vaccination was associated with reduced risk of influenza-like illness in </w:t>
      </w:r>
      <w:r w:rsidR="00D959F7">
        <w:rPr>
          <w:rFonts w:ascii="Times New Roman" w:hAnsi="Times New Roman" w:cs="Times New Roman"/>
          <w:sz w:val="24"/>
          <w:szCs w:val="24"/>
        </w:rPr>
        <w:t xml:space="preserve">patients with </w:t>
      </w:r>
      <w:r w:rsidRPr="004958C2">
        <w:rPr>
          <w:rFonts w:ascii="Times New Roman" w:hAnsi="Times New Roman" w:cs="Times New Roman"/>
          <w:sz w:val="24"/>
          <w:szCs w:val="24"/>
        </w:rPr>
        <w:t>rheumatoid arthritis.</w:t>
      </w:r>
      <w:r w:rsidR="00025EA6" w:rsidRPr="00587E1D">
        <w:rPr>
          <w:rFonts w:ascii="Times" w:hAnsi="Times"/>
          <w:b/>
        </w:rPr>
        <w:br w:type="page"/>
      </w:r>
    </w:p>
    <w:p w14:paraId="352D3B32" w14:textId="77777777" w:rsidR="00455D75" w:rsidRPr="00025EA6" w:rsidRDefault="00455D75">
      <w:pPr>
        <w:rPr>
          <w:rFonts w:ascii="Times" w:hAnsi="Times"/>
        </w:rPr>
      </w:pPr>
    </w:p>
    <w:p w14:paraId="74672D2D" w14:textId="7AA1B517" w:rsidR="002E5818" w:rsidRPr="009A7F59" w:rsidRDefault="002E5818" w:rsidP="00251640">
      <w:pPr>
        <w:spacing w:line="360" w:lineRule="auto"/>
        <w:jc w:val="both"/>
        <w:rPr>
          <w:rFonts w:ascii="Times" w:hAnsi="Times"/>
        </w:rPr>
      </w:pPr>
      <w:r w:rsidRPr="009A7F59">
        <w:rPr>
          <w:rFonts w:ascii="Times" w:hAnsi="Times"/>
        </w:rPr>
        <w:t xml:space="preserve">The long-term prognosis of rheumatoid arthritis (RA) has improved with the availability of conventional synthetic and later biologic </w:t>
      </w:r>
      <w:r w:rsidR="000E102B" w:rsidRPr="009A7F59">
        <w:rPr>
          <w:rFonts w:ascii="Times" w:hAnsi="Times"/>
        </w:rPr>
        <w:t xml:space="preserve">disease modifying </w:t>
      </w:r>
      <w:proofErr w:type="spellStart"/>
      <w:r w:rsidR="000E102B" w:rsidRPr="009A7F59">
        <w:rPr>
          <w:rFonts w:ascii="Times" w:hAnsi="Times"/>
        </w:rPr>
        <w:t>antirheumatic</w:t>
      </w:r>
      <w:proofErr w:type="spellEnd"/>
      <w:r w:rsidR="000E102B" w:rsidRPr="009A7F59">
        <w:rPr>
          <w:rFonts w:ascii="Times" w:hAnsi="Times"/>
        </w:rPr>
        <w:t xml:space="preserve"> drugs (</w:t>
      </w:r>
      <w:r w:rsidRPr="009A7F59">
        <w:rPr>
          <w:rFonts w:ascii="Times" w:hAnsi="Times"/>
        </w:rPr>
        <w:t>DMARDs</w:t>
      </w:r>
      <w:r w:rsidR="000E102B" w:rsidRPr="009A7F59">
        <w:rPr>
          <w:rFonts w:ascii="Times" w:hAnsi="Times"/>
        </w:rPr>
        <w:t>)</w:t>
      </w:r>
      <w:r w:rsidRPr="009A7F59">
        <w:rPr>
          <w:rFonts w:ascii="Times" w:hAnsi="Times"/>
        </w:rPr>
        <w:t>,</w:t>
      </w:r>
      <w:r w:rsidR="006D60D5">
        <w:rPr>
          <w:rFonts w:ascii="Times" w:hAnsi="Times"/>
        </w:rPr>
        <w:fldChar w:fldCharType="begin"/>
      </w:r>
      <w:r w:rsidR="008E2E68">
        <w:rPr>
          <w:rFonts w:ascii="Times" w:hAnsi="Times"/>
        </w:rPr>
        <w:instrText xml:space="preserve"> ADDIN EN.CITE &lt;EndNote&gt;&lt;Cite&gt;&lt;Author&gt;Shourt&lt;/Author&gt;&lt;Year&gt;2012&lt;/Year&gt;&lt;RecNum&gt;23&lt;/RecNum&gt;&lt;DisplayText&gt;(1, 2)&lt;/DisplayText&gt;&lt;record&gt;&lt;rec-number&gt;23&lt;/rec-number&gt;&lt;foreign-keys&gt;&lt;key app="EN" db-id="srr5r5asztv2ehepdza5xtvkzafprwx5dxfx" timestamp="1528554828"&gt;23&lt;/key&gt;&lt;/foreign-keys&gt;&lt;ref-type name="Journal Article"&gt;17&lt;/ref-type&gt;&lt;contributors&gt;&lt;authors&gt;&lt;author&gt;Shourt, Courtney A&lt;/author&gt;&lt;author&gt;Crowson, Cynthia S&lt;/author&gt;&lt;author&gt;Gabriel, Sherine E&lt;/author&gt;&lt;author&gt;Matteson, Eric L&lt;/author&gt;&lt;/authors&gt;&lt;/contributors&gt;&lt;titles&gt;&lt;title&gt;Orthopedic surgery among patients with rheumatoid arthritis 1980–2007: a population-based study focused on surgery rates, sex, and mortality&lt;/title&gt;&lt;secondary-title&gt;The Journal of rheumatology&lt;/secondary-title&gt;&lt;/titles&gt;&lt;periodical&gt;&lt;full-title&gt;The Journal of rheumatology&lt;/full-title&gt;&lt;/periodical&gt;&lt;pages&gt;481-485&lt;/pages&gt;&lt;volume&gt;39&lt;/volume&gt;&lt;number&gt;3&lt;/number&gt;&lt;dates&gt;&lt;year&gt;2012&lt;/year&gt;&lt;/dates&gt;&lt;isbn&gt;0315-162X&lt;/isbn&gt;&lt;urls&gt;&lt;/urls&gt;&lt;/record&gt;&lt;/Cite&gt;&lt;Cite&gt;&lt;Author&gt;Salliot&lt;/Author&gt;&lt;Year&gt;2009&lt;/Year&gt;&lt;RecNum&gt;24&lt;/RecNum&gt;&lt;record&gt;&lt;rec-number&gt;24&lt;/rec-number&gt;&lt;foreign-keys&gt;&lt;key app="EN" db-id="srr5r5asztv2ehepdza5xtvkzafprwx5dxfx" timestamp="1528554894"&gt;24&lt;/key&gt;&lt;/foreign-keys&gt;&lt;ref-type name="Journal Article"&gt;17&lt;/ref-type&gt;&lt;contributors&gt;&lt;authors&gt;&lt;author&gt;Salliot, Carine&lt;/author&gt;&lt;author&gt;van der Heijde, Désirée&lt;/author&gt;&lt;/authors&gt;&lt;/contributors&gt;&lt;titles&gt;&lt;title&gt;Long-term safety of methotrexate monotherapy in patients with rheumatoid arthritis: a systematic literature research&lt;/title&gt;&lt;secondary-title&gt;Annals of the rheumatic diseases&lt;/secondary-title&gt;&lt;/titles&gt;&lt;periodical&gt;&lt;full-title&gt;Annals of the rheumatic diseases&lt;/full-title&gt;&lt;/periodical&gt;&lt;pages&gt;1100-1104&lt;/pages&gt;&lt;volume&gt;68&lt;/volume&gt;&lt;number&gt;7&lt;/number&gt;&lt;dates&gt;&lt;year&gt;2009&lt;/year&gt;&lt;/dates&gt;&lt;isbn&gt;0003-4967&lt;/isbn&gt;&lt;urls&gt;&lt;/urls&gt;&lt;/record&gt;&lt;/Cite&gt;&lt;/EndNote&gt;</w:instrText>
      </w:r>
      <w:r w:rsidR="006D60D5">
        <w:rPr>
          <w:rFonts w:ascii="Times" w:hAnsi="Times"/>
        </w:rPr>
        <w:fldChar w:fldCharType="separate"/>
      </w:r>
      <w:r w:rsidR="008E2E68">
        <w:rPr>
          <w:rFonts w:ascii="Times" w:hAnsi="Times"/>
          <w:noProof/>
        </w:rPr>
        <w:t>(1, 2)</w:t>
      </w:r>
      <w:r w:rsidR="006D60D5">
        <w:rPr>
          <w:rFonts w:ascii="Times" w:hAnsi="Times"/>
        </w:rPr>
        <w:fldChar w:fldCharType="end"/>
      </w:r>
      <w:r w:rsidRPr="009A7F59">
        <w:rPr>
          <w:rFonts w:ascii="Times" w:hAnsi="Times"/>
        </w:rPr>
        <w:t xml:space="preserve"> coupled with greater monitoring and treatment adjustment to target disease remission. European League Against Rheumatism (EULAR) recommendations suggest the primary target for treatment of RA should be a state of clinical remission, with low disease activity an acceptable therapeutic goal, particularly in patients with </w:t>
      </w:r>
      <w:r w:rsidR="00D959F7">
        <w:rPr>
          <w:rFonts w:ascii="Times" w:hAnsi="Times"/>
        </w:rPr>
        <w:t xml:space="preserve">a </w:t>
      </w:r>
      <w:r w:rsidRPr="009A7F59">
        <w:rPr>
          <w:rFonts w:ascii="Times" w:hAnsi="Times"/>
        </w:rPr>
        <w:t>long duration of disease.</w:t>
      </w:r>
      <w:r w:rsidR="00254AB8">
        <w:rPr>
          <w:rFonts w:ascii="Times" w:hAnsi="Times"/>
        </w:rPr>
        <w:fldChar w:fldCharType="begin"/>
      </w:r>
      <w:r w:rsidR="008E2E68">
        <w:rPr>
          <w:rFonts w:ascii="Times" w:hAnsi="Times"/>
        </w:rPr>
        <w:instrText xml:space="preserve"> ADDIN EN.CITE &lt;EndNote&gt;&lt;Cite&gt;&lt;Author&gt;Shourt&lt;/Author&gt;&lt;Year&gt;2012&lt;/Year&gt;&lt;RecNum&gt;1&lt;/RecNum&gt;&lt;DisplayText&gt;(1)&lt;/DisplayText&gt;&lt;record&gt;&lt;rec-number&gt;1&lt;/rec-number&gt;&lt;foreign-keys&gt;&lt;key app="EN" db-id="srr5r5asztv2ehepdza5xtvkzafprwx5dxfx" timestamp="1526820570"&gt;1&lt;/key&gt;&lt;/foreign-keys&gt;&lt;ref-type name="Journal Article"&gt;17&lt;/ref-type&gt;&lt;contributors&gt;&lt;authors&gt;&lt;author&gt;Shourt, Courtney A&lt;/author&gt;&lt;author&gt;Crowson, Cynthia S&lt;/author&gt;&lt;author&gt;Gabriel, Sherine E&lt;/author&gt;&lt;author&gt;Matteson, Eric L&lt;/author&gt;&lt;/authors&gt;&lt;/contributors&gt;&lt;titles&gt;&lt;title&gt;Orthopedic surgery among patients with rheumatoid arthritis 1980–2007: a population-based study focused on surgery rates, sex, and mortality&lt;/title&gt;&lt;secondary-title&gt;The Journal of rheumatology&lt;/secondary-title&gt;&lt;/titles&gt;&lt;periodical&gt;&lt;full-title&gt;The Journal of rheumatology&lt;/full-title&gt;&lt;/periodical&gt;&lt;pages&gt;481-485&lt;/pages&gt;&lt;volume&gt;39&lt;/volume&gt;&lt;number&gt;3&lt;/number&gt;&lt;dates&gt;&lt;year&gt;2012&lt;/year&gt;&lt;/dates&gt;&lt;isbn&gt;0315-162X&lt;/isbn&gt;&lt;urls&gt;&lt;/urls&gt;&lt;/record&gt;&lt;/Cite&gt;&lt;/EndNote&gt;</w:instrText>
      </w:r>
      <w:r w:rsidR="00254AB8">
        <w:rPr>
          <w:rFonts w:ascii="Times" w:hAnsi="Times"/>
        </w:rPr>
        <w:fldChar w:fldCharType="separate"/>
      </w:r>
      <w:r w:rsidR="008E2E68">
        <w:rPr>
          <w:rFonts w:ascii="Times" w:hAnsi="Times"/>
          <w:noProof/>
        </w:rPr>
        <w:t>(1)</w:t>
      </w:r>
      <w:r w:rsidR="00254AB8">
        <w:rPr>
          <w:rFonts w:ascii="Times" w:hAnsi="Times"/>
        </w:rPr>
        <w:fldChar w:fldCharType="end"/>
      </w:r>
      <w:r w:rsidRPr="009A7F59">
        <w:rPr>
          <w:rFonts w:ascii="Times" w:hAnsi="Times"/>
        </w:rPr>
        <w:t xml:space="preserve"> </w:t>
      </w:r>
    </w:p>
    <w:p w14:paraId="353D159A" w14:textId="77777777" w:rsidR="002E5818" w:rsidRPr="009A7F59" w:rsidRDefault="002E5818" w:rsidP="00251640">
      <w:pPr>
        <w:spacing w:line="360" w:lineRule="auto"/>
        <w:jc w:val="both"/>
        <w:rPr>
          <w:rFonts w:ascii="Times" w:hAnsi="Times"/>
        </w:rPr>
      </w:pPr>
    </w:p>
    <w:p w14:paraId="03729156" w14:textId="59B60418" w:rsidR="002E5818" w:rsidRDefault="002E5818" w:rsidP="00251640">
      <w:pPr>
        <w:spacing w:line="360" w:lineRule="auto"/>
        <w:jc w:val="both"/>
        <w:rPr>
          <w:rFonts w:ascii="Times" w:hAnsi="Times"/>
        </w:rPr>
      </w:pPr>
      <w:r w:rsidRPr="009A7F59">
        <w:rPr>
          <w:rFonts w:ascii="Times" w:hAnsi="Times"/>
        </w:rPr>
        <w:t xml:space="preserve">Haematological abnormalities </w:t>
      </w:r>
      <w:r w:rsidR="00A2735C">
        <w:rPr>
          <w:rFonts w:ascii="Times" w:hAnsi="Times"/>
        </w:rPr>
        <w:t>(</w:t>
      </w:r>
      <w:r w:rsidR="00121B22">
        <w:rPr>
          <w:rFonts w:ascii="Times" w:hAnsi="Times"/>
        </w:rPr>
        <w:t xml:space="preserve">including </w:t>
      </w:r>
      <w:r w:rsidR="00A2735C">
        <w:rPr>
          <w:rFonts w:ascii="Times" w:hAnsi="Times"/>
        </w:rPr>
        <w:t xml:space="preserve">anaemia, </w:t>
      </w:r>
      <w:r w:rsidR="00F456C0">
        <w:rPr>
          <w:rFonts w:ascii="Times" w:hAnsi="Times"/>
        </w:rPr>
        <w:t>neutropenia</w:t>
      </w:r>
      <w:r w:rsidR="00A2735C">
        <w:rPr>
          <w:rFonts w:ascii="Times" w:hAnsi="Times"/>
        </w:rPr>
        <w:t xml:space="preserve">, and </w:t>
      </w:r>
      <w:r w:rsidR="00F456C0">
        <w:rPr>
          <w:rFonts w:ascii="Times" w:hAnsi="Times"/>
        </w:rPr>
        <w:t>lymphopenia</w:t>
      </w:r>
      <w:r w:rsidR="00A2735C">
        <w:rPr>
          <w:rFonts w:ascii="Times" w:hAnsi="Times"/>
        </w:rPr>
        <w:t xml:space="preserve">) </w:t>
      </w:r>
      <w:r w:rsidRPr="009A7F59">
        <w:rPr>
          <w:rFonts w:ascii="Times" w:hAnsi="Times"/>
        </w:rPr>
        <w:t>in RA are common</w:t>
      </w:r>
      <w:r w:rsidR="00424C4D">
        <w:rPr>
          <w:rFonts w:ascii="Times" w:hAnsi="Times"/>
        </w:rPr>
        <w:t>.</w:t>
      </w:r>
      <w:r w:rsidRPr="009A7F59">
        <w:rPr>
          <w:rFonts w:ascii="Times" w:hAnsi="Times"/>
        </w:rPr>
        <w:t xml:space="preserve"> </w:t>
      </w:r>
      <w:r w:rsidR="00306708">
        <w:rPr>
          <w:rFonts w:ascii="Times" w:hAnsi="Times"/>
        </w:rPr>
        <w:t>O</w:t>
      </w:r>
      <w:r w:rsidRPr="009A7F59">
        <w:rPr>
          <w:rFonts w:ascii="Times" w:hAnsi="Times"/>
        </w:rPr>
        <w:t>ver 50% of patients with RA have anaemia</w:t>
      </w:r>
      <w:r w:rsidR="00303632">
        <w:rPr>
          <w:rFonts w:ascii="Times" w:hAnsi="Times"/>
        </w:rPr>
        <w:t>,</w:t>
      </w:r>
      <w:r w:rsidR="00254AB8">
        <w:rPr>
          <w:rFonts w:ascii="Times" w:hAnsi="Times"/>
        </w:rPr>
        <w:fldChar w:fldCharType="begin"/>
      </w:r>
      <w:r w:rsidR="008E2E68">
        <w:rPr>
          <w:rFonts w:ascii="Times" w:hAnsi="Times"/>
        </w:rPr>
        <w:instrText xml:space="preserve"> ADDIN EN.CITE &lt;EndNote&gt;&lt;Cite&gt;&lt;Author&gt;Wilson&lt;/Author&gt;&lt;Year&gt;2004&lt;/Year&gt;&lt;RecNum&gt;25&lt;/RecNum&gt;&lt;DisplayText&gt;(3)&lt;/DisplayText&gt;&lt;record&gt;&lt;rec-number&gt;25&lt;/rec-number&gt;&lt;foreign-keys&gt;&lt;key app="EN" db-id="srr5r5asztv2ehepdza5xtvkzafprwx5dxfx" timestamp="1528554990"&gt;25&lt;/key&gt;&lt;/foreign-keys&gt;&lt;ref-type name="Journal Article"&gt;17&lt;/ref-type&gt;&lt;contributors&gt;&lt;authors&gt;&lt;author&gt;Wilson, Alisa&lt;/author&gt;&lt;author&gt;Yu, Hsing-Ting&lt;/author&gt;&lt;author&gt;Goodnough, Lawrence Tim&lt;/author&gt;&lt;author&gt;Nissenson, Allen R&lt;/author&gt;&lt;/authors&gt;&lt;/contributors&gt;&lt;titles&gt;&lt;title&gt;Prevalence and outcomes of anemia in rheumatoid arthritis: a systematic review of the literature&lt;/title&gt;&lt;secondary-title&gt;The American journal of medicine&lt;/secondary-title&gt;&lt;/titles&gt;&lt;periodical&gt;&lt;full-title&gt;The American journal of medicine&lt;/full-title&gt;&lt;/periodical&gt;&lt;pages&gt;50-57&lt;/pages&gt;&lt;volume&gt;116&lt;/volume&gt;&lt;number&gt;7&lt;/number&gt;&lt;dates&gt;&lt;year&gt;2004&lt;/year&gt;&lt;/dates&gt;&lt;isbn&gt;0002-9343&lt;/isbn&gt;&lt;urls&gt;&lt;/urls&gt;&lt;/record&gt;&lt;/Cite&gt;&lt;/EndNote&gt;</w:instrText>
      </w:r>
      <w:r w:rsidR="00254AB8">
        <w:rPr>
          <w:rFonts w:ascii="Times" w:hAnsi="Times"/>
        </w:rPr>
        <w:fldChar w:fldCharType="separate"/>
      </w:r>
      <w:r w:rsidR="008E2E68">
        <w:rPr>
          <w:rFonts w:ascii="Times" w:hAnsi="Times"/>
          <w:noProof/>
        </w:rPr>
        <w:t>(3)</w:t>
      </w:r>
      <w:r w:rsidR="00254AB8">
        <w:rPr>
          <w:rFonts w:ascii="Times" w:hAnsi="Times"/>
        </w:rPr>
        <w:fldChar w:fldCharType="end"/>
      </w:r>
      <w:r w:rsidRPr="009A7F59">
        <w:rPr>
          <w:rFonts w:ascii="Times" w:hAnsi="Times"/>
        </w:rPr>
        <w:t xml:space="preserve"> </w:t>
      </w:r>
      <w:r w:rsidR="00303632">
        <w:rPr>
          <w:rFonts w:ascii="Times" w:hAnsi="Times"/>
        </w:rPr>
        <w:t>and t</w:t>
      </w:r>
      <w:r w:rsidRPr="009A7F59">
        <w:rPr>
          <w:rFonts w:ascii="Times" w:hAnsi="Times"/>
        </w:rPr>
        <w:t>he relationship between anaemia and disease activity is complex; it is logical to assume that the prevalence of anaemia should decline with improved disease control as the underlying cause is often anaemia of chronic disease.</w:t>
      </w:r>
      <w:r w:rsidR="00254AB8">
        <w:rPr>
          <w:rFonts w:ascii="Times" w:hAnsi="Times"/>
        </w:rPr>
        <w:fldChar w:fldCharType="begin"/>
      </w:r>
      <w:r w:rsidR="008E2E68">
        <w:rPr>
          <w:rFonts w:ascii="Times" w:hAnsi="Times"/>
        </w:rPr>
        <w:instrText xml:space="preserve"> ADDIN EN.CITE &lt;EndNote&gt;&lt;Cite&gt;&lt;Author&gt;Pincus&lt;/Author&gt;&lt;Year&gt;1999&lt;/Year&gt;&lt;RecNum&gt;26&lt;/RecNum&gt;&lt;DisplayText&gt;(4, 5)&lt;/DisplayText&gt;&lt;record&gt;&lt;rec-number&gt;26&lt;/rec-number&gt;&lt;foreign-keys&gt;&lt;key app="EN" db-id="srr5r5asztv2ehepdza5xtvkzafprwx5dxfx" timestamp="1528555056"&gt;26&lt;/key&gt;&lt;/foreign-keys&gt;&lt;ref-type name="Journal Article"&gt;17&lt;/ref-type&gt;&lt;contributors&gt;&lt;authors&gt;&lt;author&gt;Pincus, Theodore&lt;/author&gt;&lt;author&gt;O&amp;apos;Dell, James R&lt;/author&gt;&lt;author&gt;Kremer, Joel M&lt;/author&gt;&lt;/authors&gt;&lt;/contributors&gt;&lt;titles&gt;&lt;title&gt;Combination therapy with multiple disease-modifying antirheumatic drugs in rheumatoid arthritis: a preventive strategy&lt;/title&gt;&lt;secondary-title&gt;Annals of internal medicine&lt;/secondary-title&gt;&lt;/titles&gt;&lt;periodical&gt;&lt;full-title&gt;Annals of internal medicine&lt;/full-title&gt;&lt;/periodical&gt;&lt;pages&gt;768-774&lt;/pages&gt;&lt;volume&gt;131&lt;/volume&gt;&lt;number&gt;10&lt;/number&gt;&lt;dates&gt;&lt;year&gt;1999&lt;/year&gt;&lt;/dates&gt;&lt;isbn&gt;0003-4819&lt;/isbn&gt;&lt;urls&gt;&lt;/urls&gt;&lt;/record&gt;&lt;/Cite&gt;&lt;Cite&gt;&lt;Author&gt;Kay&lt;/Author&gt;&lt;Year&gt;2001&lt;/Year&gt;&lt;RecNum&gt;27&lt;/RecNum&gt;&lt;record&gt;&lt;rec-number&gt;27&lt;/rec-number&gt;&lt;foreign-keys&gt;&lt;key app="EN" db-id="srr5r5asztv2ehepdza5xtvkzafprwx5dxfx" timestamp="1528555112"&gt;27&lt;/key&gt;&lt;/foreign-keys&gt;&lt;ref-type name="Generic"&gt;13&lt;/ref-type&gt;&lt;contributors&gt;&lt;authors&gt;&lt;author&gt;Kay, J&lt;/author&gt;&lt;author&gt;Bryant, S&lt;/author&gt;&lt;author&gt;Cravets, MW&lt;/author&gt;&lt;author&gt;McCabe, D&lt;/author&gt;&lt;/authors&gt;&lt;/contributors&gt;&lt;titles&gt;&lt;title&gt;FRI0002 Il-1 receptor antagonist (il-1ra) treatment is associated with improvement of anaemia in rheumatoid arthritis&lt;/title&gt;&lt;/titles&gt;&lt;dates&gt;&lt;year&gt;2001&lt;/year&gt;&lt;/dates&gt;&lt;publisher&gt;BMJ Publishing Group Ltd&lt;/publisher&gt;&lt;isbn&gt;0003-4967&lt;/isbn&gt;&lt;urls&gt;&lt;/urls&gt;&lt;/record&gt;&lt;/Cite&gt;&lt;/EndNote&gt;</w:instrText>
      </w:r>
      <w:r w:rsidR="00254AB8">
        <w:rPr>
          <w:rFonts w:ascii="Times" w:hAnsi="Times"/>
        </w:rPr>
        <w:fldChar w:fldCharType="separate"/>
      </w:r>
      <w:r w:rsidR="008E2E68">
        <w:rPr>
          <w:rFonts w:ascii="Times" w:hAnsi="Times"/>
          <w:noProof/>
        </w:rPr>
        <w:t>(4, 5)</w:t>
      </w:r>
      <w:r w:rsidR="00254AB8">
        <w:rPr>
          <w:rFonts w:ascii="Times" w:hAnsi="Times"/>
        </w:rPr>
        <w:fldChar w:fldCharType="end"/>
      </w:r>
      <w:r w:rsidRPr="009A7F59">
        <w:rPr>
          <w:rFonts w:ascii="Times" w:hAnsi="Times"/>
        </w:rPr>
        <w:t xml:space="preserve"> Despite this, iron deficiency anaemia and macrocytic anaemia have also been reported</w:t>
      </w:r>
      <w:proofErr w:type="gramStart"/>
      <w:r w:rsidRPr="009A7F59">
        <w:rPr>
          <w:rFonts w:ascii="Times" w:hAnsi="Times"/>
        </w:rPr>
        <w:t>,</w:t>
      </w:r>
      <w:proofErr w:type="gramEnd"/>
      <w:r w:rsidR="00254AB8">
        <w:rPr>
          <w:rFonts w:ascii="Times" w:hAnsi="Times"/>
        </w:rPr>
        <w:fldChar w:fldCharType="begin">
          <w:fldData xml:space="preserve">PEVuZE5vdGU+PENpdGU+PEF1dGhvcj5Qb3J0ZXI8L0F1dGhvcj48WWVhcj4xOTk0PC9ZZWFyPjxS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</w:fldData>
        </w:fldChar>
      </w:r>
      <w:r w:rsidR="008E2E68">
        <w:rPr>
          <w:rFonts w:ascii="Times" w:hAnsi="Times"/>
        </w:rPr>
        <w:instrText xml:space="preserve"> ADDIN EN.CITE </w:instrText>
      </w:r>
      <w:r w:rsidR="008E2E68">
        <w:rPr>
          <w:rFonts w:ascii="Times" w:hAnsi="Times"/>
        </w:rPr>
        <w:fldChar w:fldCharType="begin">
          <w:fldData xml:space="preserve">PEVuZE5vdGU+PENpdGU+PEF1dGhvcj5Qb3J0ZXI8L0F1dGhvcj48WWVhcj4xOTk0PC9ZZWFyPjxS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254AB8">
        <w:rPr>
          <w:rFonts w:ascii="Times" w:hAnsi="Times"/>
        </w:rPr>
      </w:r>
      <w:r w:rsidR="00254AB8">
        <w:rPr>
          <w:rFonts w:ascii="Times" w:hAnsi="Times"/>
        </w:rPr>
        <w:fldChar w:fldCharType="separate"/>
      </w:r>
      <w:r w:rsidR="008E2E68">
        <w:rPr>
          <w:rFonts w:ascii="Times" w:hAnsi="Times"/>
          <w:noProof/>
        </w:rPr>
        <w:t>(6-9)</w:t>
      </w:r>
      <w:r w:rsidR="00254AB8">
        <w:rPr>
          <w:rFonts w:ascii="Times" w:hAnsi="Times"/>
        </w:rPr>
        <w:fldChar w:fldCharType="end"/>
      </w:r>
      <w:r w:rsidRPr="009A7F59">
        <w:rPr>
          <w:rFonts w:ascii="Times" w:hAnsi="Times"/>
        </w:rPr>
        <w:t xml:space="preserve"> and may relate to gastrointestinal blood loss, the presence of other autoimmune diseases and</w:t>
      </w:r>
      <w:r w:rsidR="00D26CB3">
        <w:rPr>
          <w:rFonts w:ascii="Times" w:hAnsi="Times"/>
        </w:rPr>
        <w:t xml:space="preserve"> iatrogenic</w:t>
      </w:r>
      <w:r w:rsidR="00557C2D">
        <w:rPr>
          <w:rFonts w:ascii="Times" w:hAnsi="Times"/>
        </w:rPr>
        <w:t xml:space="preserve"> causes</w:t>
      </w:r>
      <w:r w:rsidR="00D26CB3">
        <w:rPr>
          <w:rFonts w:ascii="Times" w:hAnsi="Times"/>
        </w:rPr>
        <w:t xml:space="preserve">. </w:t>
      </w:r>
      <w:r w:rsidRPr="009A7F59">
        <w:rPr>
          <w:rFonts w:ascii="Times" w:hAnsi="Times"/>
        </w:rPr>
        <w:t xml:space="preserve"> DMARDs</w:t>
      </w:r>
      <w:r w:rsidR="00557C2D">
        <w:rPr>
          <w:rFonts w:ascii="Times" w:hAnsi="Times"/>
        </w:rPr>
        <w:t xml:space="preserve"> </w:t>
      </w:r>
      <w:r w:rsidR="00557C2D" w:rsidRPr="009A7F59">
        <w:rPr>
          <w:rFonts w:ascii="Times" w:hAnsi="Times"/>
        </w:rPr>
        <w:t>treatment</w:t>
      </w:r>
      <w:r w:rsidRPr="009A7F59">
        <w:rPr>
          <w:rFonts w:ascii="Times" w:hAnsi="Times"/>
        </w:rPr>
        <w:t xml:space="preserve"> in RA patients has been observed to influence both lymphocyte and neutrophil counts. Furthermore, </w:t>
      </w:r>
      <w:r w:rsidR="00303632">
        <w:rPr>
          <w:rFonts w:ascii="Times" w:hAnsi="Times"/>
        </w:rPr>
        <w:t>studies</w:t>
      </w:r>
      <w:r w:rsidRPr="009A7F59">
        <w:rPr>
          <w:rFonts w:ascii="Times" w:hAnsi="Times"/>
        </w:rPr>
        <w:t xml:space="preserve"> have suggested an increased risk of serious infections with some RA</w:t>
      </w:r>
      <w:r w:rsidR="0038498A">
        <w:rPr>
          <w:rFonts w:ascii="Times" w:hAnsi="Times"/>
        </w:rPr>
        <w:t xml:space="preserve"> </w:t>
      </w:r>
      <w:r w:rsidR="00303632">
        <w:rPr>
          <w:rFonts w:ascii="Times" w:hAnsi="Times"/>
        </w:rPr>
        <w:t>medications</w:t>
      </w:r>
      <w:r w:rsidR="0038498A">
        <w:rPr>
          <w:rFonts w:ascii="Times" w:hAnsi="Times"/>
        </w:rPr>
        <w:t>, including with anti-tumour necrosis factor (anti-</w:t>
      </w:r>
      <w:r w:rsidRPr="009A7F59">
        <w:rPr>
          <w:rFonts w:ascii="Times" w:hAnsi="Times"/>
        </w:rPr>
        <w:t>TNF</w:t>
      </w:r>
      <w:r w:rsidR="0038498A">
        <w:rPr>
          <w:rFonts w:ascii="Times" w:hAnsi="Times"/>
        </w:rPr>
        <w:t>)</w:t>
      </w:r>
      <w:r w:rsidRPr="009A7F59">
        <w:rPr>
          <w:rFonts w:ascii="Times" w:hAnsi="Times"/>
        </w:rPr>
        <w:t xml:space="preserve"> therapies.</w:t>
      </w:r>
      <w:r w:rsidR="00254AB8">
        <w:rPr>
          <w:rFonts w:ascii="Times" w:hAnsi="Times"/>
        </w:rPr>
        <w:fldChar w:fldCharType="begin">
          <w:fldData xml:space="preserve">PEVuZE5vdGU+PENpdGU+PEF1dGhvcj5Lcm9lc2VuPC9BdXRob3I+PFllYXI+MjAwMzwvWWVhcj48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</w:fldData>
        </w:fldChar>
      </w:r>
      <w:r w:rsidR="008E2E68">
        <w:rPr>
          <w:rFonts w:ascii="Times" w:hAnsi="Times"/>
        </w:rPr>
        <w:instrText xml:space="preserve"> ADDIN EN.CITE </w:instrText>
      </w:r>
      <w:r w:rsidR="008E2E68">
        <w:rPr>
          <w:rFonts w:ascii="Times" w:hAnsi="Times"/>
        </w:rPr>
        <w:fldChar w:fldCharType="begin">
          <w:fldData xml:space="preserve">PEVuZE5vdGU+PENpdGU+PEF1dGhvcj5Lcm9lc2VuPC9BdXRob3I+PFllYXI+MjAwMzwvWWVhcj48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254AB8">
        <w:rPr>
          <w:rFonts w:ascii="Times" w:hAnsi="Times"/>
        </w:rPr>
      </w:r>
      <w:r w:rsidR="00254AB8">
        <w:rPr>
          <w:rFonts w:ascii="Times" w:hAnsi="Times"/>
        </w:rPr>
        <w:fldChar w:fldCharType="separate"/>
      </w:r>
      <w:r w:rsidR="008E2E68">
        <w:rPr>
          <w:rFonts w:ascii="Times" w:hAnsi="Times"/>
          <w:noProof/>
        </w:rPr>
        <w:t>(10-13)</w:t>
      </w:r>
      <w:r w:rsidR="00254AB8">
        <w:rPr>
          <w:rFonts w:ascii="Times" w:hAnsi="Times"/>
        </w:rPr>
        <w:fldChar w:fldCharType="end"/>
      </w:r>
      <w:r w:rsidRPr="009A7F59">
        <w:rPr>
          <w:rFonts w:ascii="Times" w:hAnsi="Times"/>
          <w:vertAlign w:val="superscript"/>
        </w:rPr>
        <w:t xml:space="preserve"> </w:t>
      </w:r>
      <w:proofErr w:type="gramStart"/>
      <w:r w:rsidRPr="009A7F59">
        <w:rPr>
          <w:rFonts w:ascii="Times" w:hAnsi="Times"/>
        </w:rPr>
        <w:t>Other</w:t>
      </w:r>
      <w:proofErr w:type="gramEnd"/>
      <w:r w:rsidRPr="009A7F59">
        <w:rPr>
          <w:rFonts w:ascii="Times" w:hAnsi="Times"/>
        </w:rPr>
        <w:t xml:space="preserve"> studies have suggested little or no detectable increase in infectious morbidity or mortality in RA patients with lymphopenia.</w:t>
      </w:r>
      <w:r w:rsidR="002D425B">
        <w:rPr>
          <w:rFonts w:ascii="Times" w:hAnsi="Times"/>
        </w:rPr>
        <w:fldChar w:fldCharType="begin">
          <w:fldData xml:space="preserve">PEVuZE5vdGU+PENpdGU+PEF1dGhvcj5Mb3JlbnppPC9BdXRob3I+PFllYXI+MjAwODwvWWVhcj48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</w:fldData>
        </w:fldChar>
      </w:r>
      <w:r w:rsidR="008E2E68">
        <w:rPr>
          <w:rFonts w:ascii="Times" w:hAnsi="Times"/>
        </w:rPr>
        <w:instrText xml:space="preserve"> ADDIN EN.CITE </w:instrText>
      </w:r>
      <w:r w:rsidR="008E2E68">
        <w:rPr>
          <w:rFonts w:ascii="Times" w:hAnsi="Times"/>
        </w:rPr>
        <w:fldChar w:fldCharType="begin">
          <w:fldData xml:space="preserve">PEVuZE5vdGU+PENpdGU+PEF1dGhvcj5Mb3JlbnppPC9BdXRob3I+PFllYXI+MjAwODwvWWVhcj48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2D425B">
        <w:rPr>
          <w:rFonts w:ascii="Times" w:hAnsi="Times"/>
        </w:rPr>
      </w:r>
      <w:r w:rsidR="002D425B">
        <w:rPr>
          <w:rFonts w:ascii="Times" w:hAnsi="Times"/>
        </w:rPr>
        <w:fldChar w:fldCharType="separate"/>
      </w:r>
      <w:r w:rsidR="008E2E68">
        <w:rPr>
          <w:rFonts w:ascii="Times" w:hAnsi="Times"/>
          <w:noProof/>
        </w:rPr>
        <w:t>(14, 15)</w:t>
      </w:r>
      <w:r w:rsidR="002D425B">
        <w:rPr>
          <w:rFonts w:ascii="Times" w:hAnsi="Times"/>
        </w:rPr>
        <w:fldChar w:fldCharType="end"/>
      </w:r>
      <w:r w:rsidRPr="009A7F59">
        <w:rPr>
          <w:rFonts w:ascii="Times" w:hAnsi="Times"/>
        </w:rPr>
        <w:t xml:space="preserve"> The effect of lymphocyte and</w:t>
      </w:r>
      <w:r w:rsidR="00424C4D">
        <w:rPr>
          <w:rFonts w:ascii="Times" w:hAnsi="Times"/>
        </w:rPr>
        <w:t xml:space="preserve"> </w:t>
      </w:r>
      <w:r w:rsidRPr="009A7F59">
        <w:rPr>
          <w:rFonts w:ascii="Times" w:hAnsi="Times"/>
        </w:rPr>
        <w:t>neutrophil count</w:t>
      </w:r>
      <w:r w:rsidR="00D26CB3">
        <w:rPr>
          <w:rFonts w:ascii="Times" w:hAnsi="Times"/>
        </w:rPr>
        <w:t>s</w:t>
      </w:r>
      <w:r w:rsidRPr="009A7F59">
        <w:rPr>
          <w:rFonts w:ascii="Times" w:hAnsi="Times"/>
        </w:rPr>
        <w:t xml:space="preserve"> </w:t>
      </w:r>
      <w:r w:rsidR="005C3953">
        <w:rPr>
          <w:rFonts w:ascii="Times" w:hAnsi="Times"/>
        </w:rPr>
        <w:t>in early RA</w:t>
      </w:r>
      <w:r w:rsidRPr="009A7F59">
        <w:rPr>
          <w:rFonts w:ascii="Times" w:hAnsi="Times"/>
        </w:rPr>
        <w:t xml:space="preserve"> on </w:t>
      </w:r>
      <w:r w:rsidR="005C3953">
        <w:rPr>
          <w:rFonts w:ascii="Times" w:hAnsi="Times"/>
        </w:rPr>
        <w:t>subsequent</w:t>
      </w:r>
      <w:r w:rsidR="005C3953" w:rsidRPr="009A7F59">
        <w:rPr>
          <w:rFonts w:ascii="Times" w:hAnsi="Times"/>
        </w:rPr>
        <w:t xml:space="preserve"> </w:t>
      </w:r>
      <w:r w:rsidRPr="009A7F59">
        <w:rPr>
          <w:rFonts w:ascii="Times" w:hAnsi="Times"/>
        </w:rPr>
        <w:t xml:space="preserve">infection is not </w:t>
      </w:r>
      <w:r w:rsidR="00424C4D">
        <w:rPr>
          <w:rFonts w:ascii="Times" w:hAnsi="Times"/>
        </w:rPr>
        <w:t>well studied</w:t>
      </w:r>
      <w:r w:rsidR="00424C4D" w:rsidRPr="009A7F59">
        <w:rPr>
          <w:rFonts w:ascii="Times" w:hAnsi="Times"/>
        </w:rPr>
        <w:t xml:space="preserve"> </w:t>
      </w:r>
      <w:r w:rsidRPr="009A7F59">
        <w:rPr>
          <w:rFonts w:ascii="Times" w:hAnsi="Times"/>
        </w:rPr>
        <w:t>and could influence treatment choices.</w:t>
      </w:r>
    </w:p>
    <w:p w14:paraId="5E8F13E2" w14:textId="7A98A837" w:rsidR="004E405D" w:rsidRDefault="004E405D" w:rsidP="00251640">
      <w:pPr>
        <w:spacing w:line="360" w:lineRule="auto"/>
        <w:jc w:val="both"/>
        <w:rPr>
          <w:rFonts w:ascii="Times" w:hAnsi="Times"/>
        </w:rPr>
      </w:pPr>
    </w:p>
    <w:p w14:paraId="4D7A370C" w14:textId="69D7D689" w:rsidR="004E405D" w:rsidRPr="009A7F59" w:rsidRDefault="00665331" w:rsidP="00251640">
      <w:pPr>
        <w:spacing w:line="360" w:lineRule="auto"/>
        <w:jc w:val="both"/>
        <w:rPr>
          <w:rFonts w:ascii="Times" w:hAnsi="Times"/>
        </w:rPr>
      </w:pPr>
      <w:r>
        <w:rPr>
          <w:rFonts w:ascii="Times" w:hAnsi="Times"/>
        </w:rPr>
        <w:t xml:space="preserve">Due to the increased risk of infection, </w:t>
      </w:r>
      <w:r w:rsidR="004E3681">
        <w:rPr>
          <w:rFonts w:ascii="Times" w:hAnsi="Times"/>
        </w:rPr>
        <w:t>EULAR g</w:t>
      </w:r>
      <w:r w:rsidR="00C53E1A">
        <w:rPr>
          <w:rFonts w:ascii="Times" w:hAnsi="Times"/>
        </w:rPr>
        <w:t xml:space="preserve">uidelines recommend </w:t>
      </w:r>
      <w:r w:rsidR="004E3681">
        <w:rPr>
          <w:rFonts w:ascii="Times" w:hAnsi="Times"/>
        </w:rPr>
        <w:t xml:space="preserve">an annual </w:t>
      </w:r>
      <w:r w:rsidR="004E405D">
        <w:rPr>
          <w:rFonts w:ascii="Times" w:hAnsi="Times"/>
        </w:rPr>
        <w:t>influenza</w:t>
      </w:r>
      <w:r w:rsidR="004E3681">
        <w:rPr>
          <w:rFonts w:ascii="Times" w:hAnsi="Times"/>
        </w:rPr>
        <w:t xml:space="preserve"> vaccination</w:t>
      </w:r>
      <w:r w:rsidR="00C53E1A">
        <w:rPr>
          <w:rFonts w:ascii="Times" w:hAnsi="Times"/>
        </w:rPr>
        <w:t xml:space="preserve"> and </w:t>
      </w:r>
      <w:r w:rsidR="004E3681">
        <w:rPr>
          <w:rFonts w:ascii="Times" w:hAnsi="Times"/>
        </w:rPr>
        <w:t xml:space="preserve">a </w:t>
      </w:r>
      <w:r w:rsidR="002C2D7F">
        <w:rPr>
          <w:rFonts w:ascii="Times" w:hAnsi="Times"/>
        </w:rPr>
        <w:t xml:space="preserve">one-off </w:t>
      </w:r>
      <w:r w:rsidR="00C53E1A">
        <w:rPr>
          <w:rFonts w:ascii="Times" w:hAnsi="Times"/>
        </w:rPr>
        <w:t>pneumococcal pneumonia</w:t>
      </w:r>
      <w:r w:rsidR="004E3681">
        <w:rPr>
          <w:rFonts w:ascii="Times" w:hAnsi="Times"/>
        </w:rPr>
        <w:t xml:space="preserve"> vaccination</w:t>
      </w:r>
      <w:r w:rsidR="00C53E1A">
        <w:rPr>
          <w:rFonts w:ascii="Times" w:hAnsi="Times"/>
        </w:rPr>
        <w:t xml:space="preserve"> for individuals with RA being treated with immunosuppressive medication</w:t>
      </w:r>
      <w:r w:rsidR="007F5E5D">
        <w:rPr>
          <w:rFonts w:ascii="Times" w:hAnsi="Times"/>
        </w:rPr>
        <w:t>.</w:t>
      </w:r>
      <w:r w:rsidR="007F5E5D">
        <w:rPr>
          <w:rFonts w:ascii="Times" w:hAnsi="Times"/>
        </w:rPr>
        <w:fldChar w:fldCharType="begin"/>
      </w:r>
      <w:r w:rsidR="008E2E68">
        <w:rPr>
          <w:rFonts w:ascii="Times" w:hAnsi="Times"/>
        </w:rPr>
        <w:instrText xml:space="preserve"> ADDIN EN.CITE &lt;EndNote&gt;&lt;Cite&gt;&lt;Author&gt;van Assen&lt;/Author&gt;&lt;Year&gt;2011&lt;/Year&gt;&lt;RecNum&gt;7&lt;/RecNum&gt;&lt;DisplayText&gt;(16)&lt;/DisplayText&gt;&lt;record&gt;&lt;rec-number&gt;7&lt;/rec-number&gt;&lt;foreign-keys&gt;&lt;key app="EN" db-id="2xf599zf4p9dede9sebxsswatt9e5f0tv9ts" timestamp="1544296190"&gt;7&lt;/key&gt;&lt;/foreign-keys&gt;&lt;ref-type name="Journal Article"&gt;17&lt;/ref-type&gt;&lt;contributors&gt;&lt;authors&gt;&lt;author&gt;van Assen, S&lt;/author&gt;&lt;author&gt;Agmon-Levin, N&lt;/author&gt;&lt;author&gt;Elkayam, O&lt;/author&gt;&lt;author&gt;Cervera, R&lt;/author&gt;&lt;author&gt;Doran, M F&lt;/author&gt;&lt;author&gt;Dougados, M&lt;/author&gt;&lt;author&gt;Emery, P&lt;/author&gt;&lt;author&gt;Geborek, P&lt;/author&gt;&lt;author&gt;Ioannidis, J P A&lt;/author&gt;&lt;author&gt;Jayne, D R W&lt;/author&gt;&lt;author&gt;Kallenberg, C G M&lt;/author&gt;&lt;author&gt;Müller-Ladner, U&lt;/author&gt;&lt;author&gt;Shoenfeld, Y&lt;/author&gt;&lt;author&gt;Stojanovich, L&lt;/author&gt;&lt;author&gt;Valesini, G&lt;/author&gt;&lt;author&gt;Wulffraat, N M&lt;/author&gt;&lt;author&gt;Bijl, M&lt;/author&gt;&lt;/authors&gt;&lt;/contributors&gt;&lt;titles&gt;&lt;title&gt;EULAR recommendations for vaccination in adult patients with autoimmune inflammatory rheumatic diseases&lt;/title&gt;&lt;secondary-title&gt;Annals of the Rheumatic Diseases&lt;/secondary-title&gt;&lt;/titles&gt;&lt;periodical&gt;&lt;full-title&gt;Annals of the Rheumatic Diseases&lt;/full-title&gt;&lt;/periodical&gt;&lt;pages&gt;414-422&lt;/pages&gt;&lt;volume&gt;70&lt;/volume&gt;&lt;number&gt;3&lt;/number&gt;&lt;dates&gt;&lt;year&gt;2011&lt;/year&gt;&lt;/dates&gt;&lt;urls&gt;&lt;related-urls&gt;&lt;url&gt;https://ard.bmj.com/content/annrheumdis/70/3/414.full.pdf&lt;/url&gt;&lt;/related-urls&gt;&lt;/urls&gt;&lt;electronic-resource-num&gt;10.1136/ard.2010.137216&lt;/electronic-resource-num&gt;&lt;/record&gt;&lt;/Cite&gt;&lt;/EndNote&gt;</w:instrText>
      </w:r>
      <w:r w:rsidR="007F5E5D">
        <w:rPr>
          <w:rFonts w:ascii="Times" w:hAnsi="Times"/>
        </w:rPr>
        <w:fldChar w:fldCharType="separate"/>
      </w:r>
      <w:r w:rsidR="008E2E68">
        <w:rPr>
          <w:rFonts w:ascii="Times" w:hAnsi="Times"/>
          <w:noProof/>
        </w:rPr>
        <w:t>(16)</w:t>
      </w:r>
      <w:r w:rsidR="007F5E5D">
        <w:rPr>
          <w:rFonts w:ascii="Times" w:hAnsi="Times"/>
        </w:rPr>
        <w:fldChar w:fldCharType="end"/>
      </w:r>
      <w:r w:rsidR="007F5E5D">
        <w:rPr>
          <w:rFonts w:ascii="Times" w:hAnsi="Times"/>
        </w:rPr>
        <w:t xml:space="preserve"> </w:t>
      </w:r>
      <w:r w:rsidR="004E3681">
        <w:rPr>
          <w:rFonts w:ascii="Times" w:hAnsi="Times"/>
        </w:rPr>
        <w:t xml:space="preserve">UK guidelines recommend the same strategy </w:t>
      </w:r>
      <w:r w:rsidR="00626FA9">
        <w:rPr>
          <w:rFonts w:ascii="Times" w:hAnsi="Times"/>
        </w:rPr>
        <w:t>for</w:t>
      </w:r>
      <w:r w:rsidR="004E4823">
        <w:rPr>
          <w:rFonts w:ascii="Times" w:hAnsi="Times"/>
        </w:rPr>
        <w:t xml:space="preserve"> other</w:t>
      </w:r>
      <w:r w:rsidR="00626FA9">
        <w:rPr>
          <w:rFonts w:ascii="Times" w:hAnsi="Times"/>
        </w:rPr>
        <w:t xml:space="preserve"> immunosuppressed individuals</w:t>
      </w:r>
      <w:r w:rsidR="007F5E5D">
        <w:rPr>
          <w:rFonts w:ascii="Times" w:hAnsi="Times"/>
        </w:rPr>
        <w:t>.</w:t>
      </w:r>
      <w:r w:rsidR="007F5E5D">
        <w:rPr>
          <w:rFonts w:ascii="Times" w:hAnsi="Times"/>
        </w:rPr>
        <w:fldChar w:fldCharType="begin">
          <w:fldData xml:space="preserve">PEVuZE5vdGU+PENpdGU+PFJlY051bT44PC9SZWNOdW0+PERpc3BsYXlUZXh0PigxNywgMTgpPC9E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</w:fldData>
        </w:fldChar>
      </w:r>
      <w:r w:rsidR="009D2623">
        <w:rPr>
          <w:rFonts w:ascii="Times" w:hAnsi="Times"/>
        </w:rPr>
        <w:instrText xml:space="preserve"> ADDIN EN.CITE </w:instrText>
      </w:r>
      <w:r w:rsidR="009D2623">
        <w:rPr>
          <w:rFonts w:ascii="Times" w:hAnsi="Times"/>
        </w:rPr>
        <w:fldChar w:fldCharType="begin">
          <w:fldData xml:space="preserve">PEVuZE5vdGU+PENpdGU+PFJlY051bT44PC9SZWNOdW0+PERpc3BsYXlUZXh0PigxNywgMTgpPC9E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</w:fldData>
        </w:fldChar>
      </w:r>
      <w:r w:rsidR="009D2623">
        <w:rPr>
          <w:rFonts w:ascii="Times" w:hAnsi="Times"/>
        </w:rPr>
        <w:instrText xml:space="preserve"> ADDIN EN.CITE.DATA </w:instrText>
      </w:r>
      <w:r w:rsidR="009D2623">
        <w:rPr>
          <w:rFonts w:ascii="Times" w:hAnsi="Times"/>
        </w:rPr>
      </w:r>
      <w:r w:rsidR="009D2623">
        <w:rPr>
          <w:rFonts w:ascii="Times" w:hAnsi="Times"/>
        </w:rPr>
        <w:fldChar w:fldCharType="end"/>
      </w:r>
      <w:r w:rsidR="007F5E5D">
        <w:rPr>
          <w:rFonts w:ascii="Times" w:hAnsi="Times"/>
        </w:rPr>
      </w:r>
      <w:r w:rsidR="007F5E5D">
        <w:rPr>
          <w:rFonts w:ascii="Times" w:hAnsi="Times"/>
        </w:rPr>
        <w:fldChar w:fldCharType="separate"/>
      </w:r>
      <w:r w:rsidR="008E2E68">
        <w:rPr>
          <w:rFonts w:ascii="Times" w:hAnsi="Times"/>
          <w:noProof/>
        </w:rPr>
        <w:t>(17, 18)</w:t>
      </w:r>
      <w:r w:rsidR="007F5E5D">
        <w:rPr>
          <w:rFonts w:ascii="Times" w:hAnsi="Times"/>
        </w:rPr>
        <w:fldChar w:fldCharType="end"/>
      </w:r>
      <w:r w:rsidR="00626FA9">
        <w:rPr>
          <w:rFonts w:ascii="Times" w:hAnsi="Times"/>
        </w:rPr>
        <w:t xml:space="preserve"> </w:t>
      </w:r>
      <w:r w:rsidR="00C53E1A">
        <w:rPr>
          <w:rFonts w:ascii="Times" w:hAnsi="Times"/>
        </w:rPr>
        <w:t>Despite this, vaccination uptake has been shown to be suboptimal for individuals with</w:t>
      </w:r>
      <w:r w:rsidR="00626FA9">
        <w:rPr>
          <w:rFonts w:ascii="Times" w:hAnsi="Times"/>
        </w:rPr>
        <w:t xml:space="preserve"> </w:t>
      </w:r>
      <w:r w:rsidR="00C53E1A">
        <w:rPr>
          <w:rFonts w:ascii="Times" w:hAnsi="Times"/>
        </w:rPr>
        <w:t>RA,</w:t>
      </w:r>
      <w:r w:rsidR="007F5E5D">
        <w:rPr>
          <w:rFonts w:ascii="Times" w:hAnsi="Times"/>
        </w:rPr>
        <w:fldChar w:fldCharType="begin">
          <w:fldData xml:space="preserve">PEVuZE5vdGU+PENpdGU+PEF1dGhvcj5Db3N0ZWxsbzwvQXV0aG9yPjxZZWFyPjIwMTY8L1llYXI+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</w:fldData>
        </w:fldChar>
      </w:r>
      <w:r w:rsidR="008E2E68">
        <w:rPr>
          <w:rFonts w:ascii="Times" w:hAnsi="Times"/>
        </w:rPr>
        <w:instrText xml:space="preserve"> ADDIN EN.CITE </w:instrText>
      </w:r>
      <w:r w:rsidR="008E2E68">
        <w:rPr>
          <w:rFonts w:ascii="Times" w:hAnsi="Times"/>
        </w:rPr>
        <w:fldChar w:fldCharType="begin">
          <w:fldData xml:space="preserve">PEVuZE5vdGU+PENpdGU+PEF1dGhvcj5Db3N0ZWxsbzwvQXV0aG9yPjxZZWFyPjIwMTY8L1llYXI+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7F5E5D">
        <w:rPr>
          <w:rFonts w:ascii="Times" w:hAnsi="Times"/>
        </w:rPr>
      </w:r>
      <w:r w:rsidR="007F5E5D">
        <w:rPr>
          <w:rFonts w:ascii="Times" w:hAnsi="Times"/>
        </w:rPr>
        <w:fldChar w:fldCharType="separate"/>
      </w:r>
      <w:r w:rsidR="008E2E68">
        <w:rPr>
          <w:rFonts w:ascii="Times" w:hAnsi="Times"/>
          <w:noProof/>
        </w:rPr>
        <w:t>(19, 20)</w:t>
      </w:r>
      <w:r w:rsidR="007F5E5D">
        <w:rPr>
          <w:rFonts w:ascii="Times" w:hAnsi="Times"/>
        </w:rPr>
        <w:fldChar w:fldCharType="end"/>
      </w:r>
      <w:r w:rsidR="004E3681">
        <w:rPr>
          <w:rFonts w:ascii="Times" w:hAnsi="Times"/>
        </w:rPr>
        <w:t xml:space="preserve"> with up to two-thirds of individuals not </w:t>
      </w:r>
      <w:r w:rsidR="002C2D7F">
        <w:rPr>
          <w:rFonts w:ascii="Times" w:hAnsi="Times"/>
        </w:rPr>
        <w:t xml:space="preserve">receiving the influenza </w:t>
      </w:r>
      <w:r w:rsidR="004E3681">
        <w:rPr>
          <w:rFonts w:ascii="Times" w:hAnsi="Times"/>
        </w:rPr>
        <w:t>vaccin</w:t>
      </w:r>
      <w:r w:rsidR="002C2D7F">
        <w:rPr>
          <w:rFonts w:ascii="Times" w:hAnsi="Times"/>
        </w:rPr>
        <w:t>e</w:t>
      </w:r>
      <w:r w:rsidR="004E3681">
        <w:rPr>
          <w:rFonts w:ascii="Times" w:hAnsi="Times"/>
        </w:rPr>
        <w:t xml:space="preserve"> annually </w:t>
      </w:r>
      <w:r w:rsidR="00626FA9">
        <w:rPr>
          <w:rFonts w:ascii="Times" w:hAnsi="Times"/>
        </w:rPr>
        <w:t>post-diagnosis</w:t>
      </w:r>
      <w:r w:rsidR="00D959F7">
        <w:rPr>
          <w:rFonts w:ascii="Times" w:hAnsi="Times"/>
        </w:rPr>
        <w:t>;</w:t>
      </w:r>
      <w:r w:rsidR="007F5E5D">
        <w:rPr>
          <w:rFonts w:ascii="Times" w:hAnsi="Times"/>
        </w:rPr>
        <w:fldChar w:fldCharType="begin"/>
      </w:r>
      <w:r w:rsidR="008E2E68">
        <w:rPr>
          <w:rFonts w:ascii="Times" w:hAnsi="Times"/>
        </w:rPr>
        <w:instrText xml:space="preserve"> ADDIN EN.CITE &lt;EndNote&gt;&lt;Cite&gt;&lt;Author&gt;Costello&lt;/Author&gt;&lt;Year&gt;2016&lt;/Year&gt;&lt;RecNum&gt;4&lt;/RecNum&gt;&lt;DisplayText&gt;(19)&lt;/DisplayText&gt;&lt;record&gt;&lt;rec-number&gt;4&lt;/rec-number&gt;&lt;foreign-keys&gt;&lt;key app="EN" db-id="2xf599zf4p9dede9sebxsswatt9e5f0tv9ts" timestamp="1540641505"&gt;4&lt;/key&gt;&lt;/foreign-keys&gt;&lt;ref-type name="Journal Article"&gt;17&lt;/ref-type&gt;&lt;contributors&gt;&lt;authors&gt;&lt;author&gt;Costello, Ruth&lt;/author&gt;&lt;author&gt;Winthrop, Kevin L.&lt;/author&gt;&lt;author&gt;Pye, Stephen R.&lt;/author&gt;&lt;author&gt;Brown, Benjamin&lt;/author&gt;&lt;author&gt;Dixon, William G.&lt;/author&gt;&lt;/authors&gt;&lt;/contributors&gt;&lt;titles&gt;&lt;title&gt;Influenza and Pneumococcal Vaccination Uptake in Patients with Rheumatoid Arthritis Treated with Immunosuppressive Therapy in the UK: A Retrospective Cohort Study Using Data from the Clinical Practice Research Datalink&lt;/title&gt;&lt;secondary-title&gt;PLOS ONE&lt;/secondary-title&gt;&lt;/titles&gt;&lt;periodical&gt;&lt;full-title&gt;PLOS ONE&lt;/full-title&gt;&lt;/periodical&gt;&lt;pages&gt;e0153848&lt;/pages&gt;&lt;volume&gt;11&lt;/volume&gt;&lt;number&gt;4&lt;/number&gt;&lt;dates&gt;&lt;year&gt;2016&lt;/year&gt;&lt;/dates&gt;&lt;publisher&gt;Public Library of Science&lt;/publisher&gt;&lt;urls&gt;&lt;related-urls&gt;&lt;url&gt;https://doi.org/10.1371/journal.pone.0153848&lt;/url&gt;&lt;/related-urls&gt;&lt;/urls&gt;&lt;electronic-resource-num&gt;10.1371/journal.pone.0153848&lt;/electronic-resource-num&gt;&lt;/record&gt;&lt;/Cite&gt;&lt;/EndNote&gt;</w:instrText>
      </w:r>
      <w:r w:rsidR="007F5E5D">
        <w:rPr>
          <w:rFonts w:ascii="Times" w:hAnsi="Times"/>
        </w:rPr>
        <w:fldChar w:fldCharType="separate"/>
      </w:r>
      <w:r w:rsidR="008E2E68">
        <w:rPr>
          <w:rFonts w:ascii="Times" w:hAnsi="Times"/>
          <w:noProof/>
        </w:rPr>
        <w:t>(19)</w:t>
      </w:r>
      <w:r w:rsidR="007F5E5D">
        <w:rPr>
          <w:rFonts w:ascii="Times" w:hAnsi="Times"/>
        </w:rPr>
        <w:fldChar w:fldCharType="end"/>
      </w:r>
      <w:r w:rsidR="00025EA6">
        <w:rPr>
          <w:rFonts w:ascii="Times" w:hAnsi="Times"/>
        </w:rPr>
        <w:t xml:space="preserve"> </w:t>
      </w:r>
      <w:r w:rsidR="00D64F54">
        <w:rPr>
          <w:rFonts w:ascii="Times" w:hAnsi="Times"/>
        </w:rPr>
        <w:t xml:space="preserve">uptake </w:t>
      </w:r>
      <w:r w:rsidR="00D959F7">
        <w:rPr>
          <w:rFonts w:ascii="Times" w:hAnsi="Times"/>
        </w:rPr>
        <w:t xml:space="preserve">is </w:t>
      </w:r>
      <w:r w:rsidR="00D64F54">
        <w:rPr>
          <w:rFonts w:ascii="Times" w:hAnsi="Times"/>
        </w:rPr>
        <w:t>especially low in younger age groups.</w:t>
      </w:r>
      <w:r w:rsidR="00D64F54">
        <w:rPr>
          <w:rFonts w:ascii="Times" w:hAnsi="Times"/>
        </w:rPr>
        <w:fldChar w:fldCharType="begin">
          <w:fldData xml:space="preserve">PEVuZE5vdGU+PENpdGU+PEF1dGhvcj5OYWthZmVybzwvQXV0aG9yPjxZZWFyPjIwMTg8L1llYXI+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</w:fldData>
        </w:fldChar>
      </w:r>
      <w:r w:rsidR="008E2E68">
        <w:rPr>
          <w:rFonts w:ascii="Times" w:hAnsi="Times"/>
        </w:rPr>
        <w:instrText xml:space="preserve"> ADDIN EN.CITE </w:instrText>
      </w:r>
      <w:r w:rsidR="008E2E68">
        <w:rPr>
          <w:rFonts w:ascii="Times" w:hAnsi="Times"/>
        </w:rPr>
        <w:fldChar w:fldCharType="begin">
          <w:fldData xml:space="preserve">PEVuZE5vdGU+PENpdGU+PEF1dGhvcj5OYWthZmVybzwvQXV0aG9yPjxZZWFyPjIwMTg8L1llYXI+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D64F54">
        <w:rPr>
          <w:rFonts w:ascii="Times" w:hAnsi="Times"/>
        </w:rPr>
      </w:r>
      <w:r w:rsidR="00D64F54">
        <w:rPr>
          <w:rFonts w:ascii="Times" w:hAnsi="Times"/>
        </w:rPr>
        <w:fldChar w:fldCharType="separate"/>
      </w:r>
      <w:r w:rsidR="008E2E68">
        <w:rPr>
          <w:rFonts w:ascii="Times" w:hAnsi="Times"/>
          <w:noProof/>
        </w:rPr>
        <w:t>(20)</w:t>
      </w:r>
      <w:r w:rsidR="00D64F54">
        <w:rPr>
          <w:rFonts w:ascii="Times" w:hAnsi="Times"/>
        </w:rPr>
        <w:fldChar w:fldCharType="end"/>
      </w:r>
      <w:r w:rsidR="004E3681">
        <w:rPr>
          <w:rFonts w:ascii="Times" w:hAnsi="Times"/>
        </w:rPr>
        <w:t xml:space="preserve"> R</w:t>
      </w:r>
      <w:r w:rsidR="00950686">
        <w:rPr>
          <w:rFonts w:ascii="Times" w:hAnsi="Times"/>
        </w:rPr>
        <w:t xml:space="preserve">eal-world </w:t>
      </w:r>
      <w:r w:rsidR="00C53E1A">
        <w:rPr>
          <w:rFonts w:ascii="Times" w:hAnsi="Times"/>
        </w:rPr>
        <w:t xml:space="preserve">evidence </w:t>
      </w:r>
      <w:r w:rsidR="002C2D7F">
        <w:rPr>
          <w:rFonts w:ascii="Times" w:hAnsi="Times"/>
        </w:rPr>
        <w:t xml:space="preserve">on </w:t>
      </w:r>
      <w:r w:rsidR="00C53E1A">
        <w:rPr>
          <w:rFonts w:ascii="Times" w:hAnsi="Times"/>
        </w:rPr>
        <w:t>the effectiveness of vaccinations on subsequent infection in individuals with RA</w:t>
      </w:r>
      <w:r w:rsidR="00950686" w:rsidRPr="00950686">
        <w:rPr>
          <w:rFonts w:ascii="Times" w:hAnsi="Times"/>
        </w:rPr>
        <w:t xml:space="preserve"> </w:t>
      </w:r>
      <w:r w:rsidR="00950686">
        <w:rPr>
          <w:rFonts w:ascii="Times" w:hAnsi="Times"/>
        </w:rPr>
        <w:t>is lacking</w:t>
      </w:r>
      <w:r w:rsidR="00C53E1A">
        <w:rPr>
          <w:rFonts w:ascii="Times" w:hAnsi="Times"/>
        </w:rPr>
        <w:t>.</w:t>
      </w:r>
      <w:r w:rsidR="00950686">
        <w:rPr>
          <w:rFonts w:ascii="Times" w:hAnsi="Times"/>
        </w:rPr>
        <w:t xml:space="preserve"> </w:t>
      </w:r>
    </w:p>
    <w:p w14:paraId="5D3E424B" w14:textId="77777777" w:rsidR="002E5818" w:rsidRPr="009A7F59" w:rsidRDefault="002E5818" w:rsidP="00251640">
      <w:pPr>
        <w:spacing w:line="360" w:lineRule="auto"/>
        <w:rPr>
          <w:rFonts w:ascii="Times" w:hAnsi="Times"/>
        </w:rPr>
      </w:pPr>
    </w:p>
    <w:p w14:paraId="72C4B46B" w14:textId="4FECF76F" w:rsidR="002E5818" w:rsidRDefault="00306708" w:rsidP="00251640">
      <w:pPr>
        <w:spacing w:line="360" w:lineRule="auto"/>
        <w:rPr>
          <w:rFonts w:ascii="Times" w:hAnsi="Times"/>
        </w:rPr>
      </w:pPr>
      <w:r>
        <w:rPr>
          <w:rFonts w:ascii="Times" w:hAnsi="Times"/>
        </w:rPr>
        <w:lastRenderedPageBreak/>
        <w:t>We aimed</w:t>
      </w:r>
      <w:r w:rsidR="00971B67">
        <w:rPr>
          <w:rFonts w:ascii="Times" w:hAnsi="Times"/>
        </w:rPr>
        <w:t xml:space="preserve"> to establish the association between </w:t>
      </w:r>
      <w:r w:rsidR="00971B67" w:rsidRPr="009A7F59">
        <w:rPr>
          <w:rFonts w:ascii="Times" w:hAnsi="Times"/>
        </w:rPr>
        <w:t>haematologic</w:t>
      </w:r>
      <w:r w:rsidR="00971B67">
        <w:rPr>
          <w:rFonts w:ascii="Times" w:hAnsi="Times"/>
        </w:rPr>
        <w:t>al</w:t>
      </w:r>
      <w:r w:rsidR="00971B67" w:rsidRPr="009A7F59">
        <w:rPr>
          <w:rFonts w:ascii="Times" w:hAnsi="Times"/>
        </w:rPr>
        <w:t xml:space="preserve"> abnormali</w:t>
      </w:r>
      <w:r w:rsidR="00971B67">
        <w:rPr>
          <w:rFonts w:ascii="Times" w:hAnsi="Times"/>
        </w:rPr>
        <w:t>t</w:t>
      </w:r>
      <w:r w:rsidR="00971B67" w:rsidRPr="009A7F59">
        <w:rPr>
          <w:rFonts w:ascii="Times" w:hAnsi="Times"/>
        </w:rPr>
        <w:t>ies</w:t>
      </w:r>
      <w:r w:rsidR="00557C2D">
        <w:rPr>
          <w:rFonts w:ascii="Times" w:hAnsi="Times"/>
        </w:rPr>
        <w:t xml:space="preserve"> at disease onset</w:t>
      </w:r>
      <w:r w:rsidR="00971B67">
        <w:rPr>
          <w:rFonts w:ascii="Times" w:hAnsi="Times"/>
        </w:rPr>
        <w:t xml:space="preserve"> and</w:t>
      </w:r>
      <w:r w:rsidR="00971B67" w:rsidRPr="009A7F59">
        <w:rPr>
          <w:rFonts w:ascii="Times" w:hAnsi="Times"/>
        </w:rPr>
        <w:t xml:space="preserve"> </w:t>
      </w:r>
      <w:r w:rsidR="00F109EC">
        <w:rPr>
          <w:rFonts w:ascii="Times" w:hAnsi="Times"/>
        </w:rPr>
        <w:t>the risk of common infection</w:t>
      </w:r>
      <w:r w:rsidR="00D959F7">
        <w:rPr>
          <w:rFonts w:ascii="Times" w:hAnsi="Times"/>
        </w:rPr>
        <w:t>s</w:t>
      </w:r>
      <w:r w:rsidR="00F109EC">
        <w:rPr>
          <w:rFonts w:ascii="Times" w:hAnsi="Times"/>
        </w:rPr>
        <w:t xml:space="preserve"> in</w:t>
      </w:r>
      <w:r w:rsidR="00971B67" w:rsidRPr="009A7F59">
        <w:rPr>
          <w:rFonts w:ascii="Times" w:hAnsi="Times"/>
        </w:rPr>
        <w:t xml:space="preserve"> a contemporary RA population</w:t>
      </w:r>
      <w:r w:rsidR="00971B67">
        <w:rPr>
          <w:rFonts w:ascii="Times" w:hAnsi="Times"/>
        </w:rPr>
        <w:t>. We also set out to</w:t>
      </w:r>
      <w:r w:rsidR="002E5818" w:rsidRPr="009A7F59">
        <w:rPr>
          <w:rFonts w:ascii="Times" w:hAnsi="Times"/>
        </w:rPr>
        <w:t xml:space="preserve"> determine </w:t>
      </w:r>
      <w:r w:rsidR="00E13C98">
        <w:rPr>
          <w:rFonts w:ascii="Times" w:hAnsi="Times"/>
        </w:rPr>
        <w:t>associations between</w:t>
      </w:r>
      <w:r w:rsidR="0016043A">
        <w:rPr>
          <w:rFonts w:ascii="Times" w:hAnsi="Times"/>
        </w:rPr>
        <w:t xml:space="preserve"> </w:t>
      </w:r>
      <w:r w:rsidR="007D04B9">
        <w:rPr>
          <w:rFonts w:ascii="Times" w:hAnsi="Times"/>
        </w:rPr>
        <w:t>vaccinations</w:t>
      </w:r>
      <w:r w:rsidR="0038427A">
        <w:rPr>
          <w:rFonts w:ascii="Times" w:hAnsi="Times"/>
        </w:rPr>
        <w:t xml:space="preserve"> for influenza and </w:t>
      </w:r>
      <w:r w:rsidR="00CA6711">
        <w:rPr>
          <w:rFonts w:ascii="Times" w:hAnsi="Times"/>
        </w:rPr>
        <w:t xml:space="preserve">pneumococcal </w:t>
      </w:r>
      <w:r w:rsidR="0038427A">
        <w:rPr>
          <w:rFonts w:ascii="Times" w:hAnsi="Times"/>
        </w:rPr>
        <w:t>pneumonia</w:t>
      </w:r>
      <w:r w:rsidR="00D26CB3">
        <w:rPr>
          <w:rFonts w:ascii="Times" w:hAnsi="Times"/>
        </w:rPr>
        <w:t xml:space="preserve"> and</w:t>
      </w:r>
      <w:r w:rsidR="00971B67">
        <w:rPr>
          <w:rFonts w:ascii="Times" w:hAnsi="Times"/>
        </w:rPr>
        <w:t>, respectively,</w:t>
      </w:r>
      <w:r w:rsidR="00F456C0">
        <w:rPr>
          <w:rFonts w:ascii="Times" w:hAnsi="Times"/>
        </w:rPr>
        <w:t xml:space="preserve"> </w:t>
      </w:r>
      <w:r w:rsidR="005A5079">
        <w:rPr>
          <w:rFonts w:ascii="Times" w:hAnsi="Times"/>
        </w:rPr>
        <w:t>subsequent incidence</w:t>
      </w:r>
      <w:r w:rsidR="002E5818" w:rsidRPr="009A7F59">
        <w:rPr>
          <w:rFonts w:ascii="Times" w:hAnsi="Times"/>
        </w:rPr>
        <w:t xml:space="preserve"> of </w:t>
      </w:r>
      <w:r w:rsidR="00971B67">
        <w:rPr>
          <w:rFonts w:ascii="Times" w:hAnsi="Times"/>
        </w:rPr>
        <w:t xml:space="preserve">influenza and pneumococcal-like </w:t>
      </w:r>
      <w:r w:rsidR="002E5818" w:rsidRPr="009A7F59">
        <w:rPr>
          <w:rFonts w:ascii="Times" w:hAnsi="Times"/>
        </w:rPr>
        <w:t>infection</w:t>
      </w:r>
      <w:r w:rsidR="00971B67">
        <w:rPr>
          <w:rFonts w:ascii="Times" w:hAnsi="Times"/>
        </w:rPr>
        <w:t>s</w:t>
      </w:r>
      <w:r w:rsidR="002E5818" w:rsidRPr="009A7F59">
        <w:rPr>
          <w:rFonts w:ascii="Times" w:hAnsi="Times"/>
        </w:rPr>
        <w:t>.</w:t>
      </w:r>
      <w:r w:rsidR="00251640">
        <w:rPr>
          <w:rFonts w:ascii="Times" w:hAnsi="Times"/>
        </w:rPr>
        <w:t xml:space="preserve"> </w:t>
      </w:r>
    </w:p>
    <w:p w14:paraId="4F7539EB" w14:textId="77777777" w:rsidR="005A5079" w:rsidRPr="009A7F59" w:rsidRDefault="005A5079" w:rsidP="00251640">
      <w:pPr>
        <w:spacing w:line="360" w:lineRule="auto"/>
        <w:rPr>
          <w:rFonts w:ascii="Times" w:hAnsi="Times"/>
        </w:rPr>
      </w:pPr>
    </w:p>
    <w:p w14:paraId="59EAAEEA" w14:textId="77777777" w:rsidR="004A16B6" w:rsidRDefault="004A16B6">
      <w:pPr>
        <w:rPr>
          <w:rFonts w:ascii="Times" w:hAnsi="Times"/>
          <w:b/>
        </w:rPr>
      </w:pPr>
      <w:r>
        <w:rPr>
          <w:rFonts w:ascii="Times" w:hAnsi="Times"/>
          <w:b/>
        </w:rPr>
        <w:br w:type="page"/>
      </w:r>
    </w:p>
    <w:p w14:paraId="6278A3FB" w14:textId="7D8C5C86" w:rsidR="002E5818" w:rsidRPr="009A7F59" w:rsidRDefault="004A16B6" w:rsidP="00251640">
      <w:pPr>
        <w:spacing w:line="360" w:lineRule="auto"/>
        <w:rPr>
          <w:rFonts w:ascii="Times" w:hAnsi="Times"/>
          <w:b/>
        </w:rPr>
      </w:pPr>
      <w:r w:rsidRPr="004A16B6">
        <w:rPr>
          <w:rFonts w:ascii="Times" w:hAnsi="Times"/>
          <w:b/>
        </w:rPr>
        <w:lastRenderedPageBreak/>
        <w:t>MATERIALS AND METHODS</w:t>
      </w:r>
    </w:p>
    <w:p w14:paraId="0169C721" w14:textId="77777777" w:rsidR="004A16B6" w:rsidRDefault="004A16B6" w:rsidP="00251640">
      <w:pPr>
        <w:spacing w:line="360" w:lineRule="auto"/>
        <w:jc w:val="both"/>
        <w:rPr>
          <w:rFonts w:ascii="Times" w:hAnsi="Times"/>
          <w:b/>
        </w:rPr>
      </w:pPr>
    </w:p>
    <w:p w14:paraId="7BD2F55F" w14:textId="77777777" w:rsidR="000E102B" w:rsidRPr="009A7F59" w:rsidRDefault="000E102B" w:rsidP="00251640">
      <w:pPr>
        <w:spacing w:line="360" w:lineRule="auto"/>
        <w:jc w:val="both"/>
        <w:rPr>
          <w:rFonts w:ascii="Times" w:hAnsi="Times"/>
          <w:b/>
        </w:rPr>
      </w:pPr>
      <w:r w:rsidRPr="009A7F59">
        <w:rPr>
          <w:rFonts w:ascii="Times" w:hAnsi="Times"/>
          <w:b/>
        </w:rPr>
        <w:t>Data sources and cohort</w:t>
      </w:r>
    </w:p>
    <w:p w14:paraId="41869590" w14:textId="3ACBBC68" w:rsidR="00381F5B" w:rsidRPr="009A7F59" w:rsidRDefault="003A7E65" w:rsidP="00251640">
      <w:pPr>
        <w:spacing w:line="360" w:lineRule="auto"/>
        <w:jc w:val="both"/>
        <w:rPr>
          <w:rFonts w:ascii="Times" w:hAnsi="Times"/>
        </w:rPr>
      </w:pPr>
      <w:bookmarkStart w:id="0" w:name="_Hlk516522809"/>
      <w:r w:rsidRPr="009A7F59">
        <w:rPr>
          <w:rFonts w:ascii="Times" w:hAnsi="Times"/>
        </w:rPr>
        <w:t xml:space="preserve">The Royal College of General Practitioners Research and Surveillance Centre (RCGP RSC) database comprises </w:t>
      </w:r>
      <w:r>
        <w:rPr>
          <w:rFonts w:ascii="Times" w:hAnsi="Times"/>
        </w:rPr>
        <w:t xml:space="preserve">the </w:t>
      </w:r>
      <w:proofErr w:type="spellStart"/>
      <w:r>
        <w:rPr>
          <w:rFonts w:ascii="Times" w:hAnsi="Times"/>
        </w:rPr>
        <w:t>pseudonymised</w:t>
      </w:r>
      <w:proofErr w:type="spellEnd"/>
      <w:r>
        <w:rPr>
          <w:rFonts w:ascii="Times" w:hAnsi="Times"/>
        </w:rPr>
        <w:t xml:space="preserve"> </w:t>
      </w:r>
      <w:r w:rsidRPr="009A7F59">
        <w:rPr>
          <w:rFonts w:ascii="Times" w:hAnsi="Times"/>
        </w:rPr>
        <w:t>primary care</w:t>
      </w:r>
      <w:r>
        <w:rPr>
          <w:rFonts w:ascii="Times" w:hAnsi="Times"/>
        </w:rPr>
        <w:t xml:space="preserve"> record</w:t>
      </w:r>
      <w:r w:rsidR="008F0F05">
        <w:rPr>
          <w:rFonts w:ascii="Times" w:hAnsi="Times"/>
        </w:rPr>
        <w:t>s</w:t>
      </w:r>
      <w:r>
        <w:rPr>
          <w:rFonts w:ascii="Times" w:hAnsi="Times"/>
        </w:rPr>
        <w:t xml:space="preserve"> of all individuals registered with a network of </w:t>
      </w:r>
      <w:r w:rsidR="008F0F05">
        <w:rPr>
          <w:rFonts w:ascii="Times" w:hAnsi="Times"/>
        </w:rPr>
        <w:t>GP</w:t>
      </w:r>
      <w:r>
        <w:rPr>
          <w:rFonts w:ascii="Times" w:hAnsi="Times"/>
        </w:rPr>
        <w:t xml:space="preserve"> practices distributed across England</w:t>
      </w:r>
      <w:r w:rsidRPr="009A7F59">
        <w:rPr>
          <w:rFonts w:ascii="Times" w:hAnsi="Times"/>
        </w:rPr>
        <w:t xml:space="preserve">, </w:t>
      </w:r>
      <w:r w:rsidR="008F0F05">
        <w:rPr>
          <w:rFonts w:ascii="Times" w:hAnsi="Times"/>
        </w:rPr>
        <w:t>and provides</w:t>
      </w:r>
      <w:r w:rsidRPr="009A7F59">
        <w:rPr>
          <w:rFonts w:ascii="Times" w:hAnsi="Times"/>
        </w:rPr>
        <w:t xml:space="preserve"> a </w:t>
      </w:r>
      <w:r w:rsidR="008F0F05">
        <w:rPr>
          <w:rFonts w:ascii="Times" w:hAnsi="Times"/>
        </w:rPr>
        <w:t xml:space="preserve">broadly </w:t>
      </w:r>
      <w:r w:rsidRPr="009A7F59">
        <w:rPr>
          <w:rFonts w:ascii="Times" w:hAnsi="Times"/>
        </w:rPr>
        <w:t>representative</w:t>
      </w:r>
      <w:r>
        <w:rPr>
          <w:rFonts w:ascii="Times" w:hAnsi="Times"/>
        </w:rPr>
        <w:t xml:space="preserve"> sample of the</w:t>
      </w:r>
      <w:r w:rsidRPr="009A7F59">
        <w:rPr>
          <w:rFonts w:ascii="Times" w:hAnsi="Times"/>
        </w:rPr>
        <w:t xml:space="preserve"> English primary care population</w:t>
      </w:r>
      <w:bookmarkEnd w:id="0"/>
      <w:r w:rsidR="00381F5B" w:rsidRPr="009A7F59">
        <w:rPr>
          <w:rFonts w:ascii="Times" w:hAnsi="Times"/>
        </w:rPr>
        <w:t>.</w:t>
      </w:r>
      <w:r w:rsidR="00B24ED9">
        <w:rPr>
          <w:rFonts w:ascii="Times" w:hAnsi="Times"/>
        </w:rPr>
        <w:fldChar w:fldCharType="begin"/>
      </w:r>
      <w:r w:rsidR="008E2E68">
        <w:rPr>
          <w:rFonts w:ascii="Times" w:hAnsi="Times"/>
        </w:rPr>
        <w:instrText xml:space="preserve"> ADDIN EN.CITE &lt;EndNote&gt;&lt;Cite&gt;&lt;Author&gt;Correa&lt;/Author&gt;&lt;Year&gt;2016&lt;/Year&gt;&lt;RecNum&gt;38&lt;/RecNum&gt;&lt;DisplayText&gt;(21)&lt;/DisplayText&gt;&lt;record&gt;&lt;rec-number&gt;38&lt;/rec-number&gt;&lt;foreign-keys&gt;&lt;key app="EN" db-id="srr5r5asztv2ehepdza5xtvkzafprwx5dxfx" timestamp="1528555915"&gt;38&lt;/key&gt;&lt;/foreign-keys&gt;&lt;ref-type name="Journal Article"&gt;17&lt;/ref-type&gt;&lt;contributors&gt;&lt;authors&gt;&lt;author&gt;Correa, Ana&lt;/author&gt;&lt;author&gt;Hinton, William&lt;/author&gt;&lt;author&gt;McGovern, Andrew&lt;/author&gt;&lt;author&gt;van Vlymen, Jeremy&lt;/author&gt;&lt;author&gt;Yonova, Ivelina&lt;/author&gt;&lt;author&gt;Jones, Simon&lt;/author&gt;&lt;author&gt;de Lusignan, Simon&lt;/author&gt;&lt;/authors&gt;&lt;/contributors&gt;&lt;titles&gt;&lt;title&gt;Royal College of General Practitioners Research and Surveillance Centre (RCGP RSC) sentinel network: a cohort profile&lt;/title&gt;&lt;secondary-title&gt;BMJ open&lt;/secondary-title&gt;&lt;/titles&gt;&lt;periodical&gt;&lt;full-title&gt;BMJ open&lt;/full-title&gt;&lt;/periodical&gt;&lt;pages&gt;e011092&lt;/pages&gt;&lt;volume&gt;6&lt;/volume&gt;&lt;number&gt;4&lt;/number&gt;&lt;dates&gt;&lt;year&gt;2016&lt;/year&gt;&lt;/dates&gt;&lt;isbn&gt;2044-6055&lt;/isbn&gt;&lt;urls&gt;&lt;/urls&gt;&lt;/record&gt;&lt;/Cite&gt;&lt;/EndNote&gt;</w:instrText>
      </w:r>
      <w:r w:rsidR="00B24ED9">
        <w:rPr>
          <w:rFonts w:ascii="Times" w:hAnsi="Times"/>
        </w:rPr>
        <w:fldChar w:fldCharType="separate"/>
      </w:r>
      <w:r w:rsidR="008E2E68">
        <w:rPr>
          <w:rFonts w:ascii="Times" w:hAnsi="Times"/>
          <w:noProof/>
        </w:rPr>
        <w:t>(21)</w:t>
      </w:r>
      <w:r w:rsidR="00B24ED9">
        <w:rPr>
          <w:rFonts w:ascii="Times" w:hAnsi="Times"/>
        </w:rPr>
        <w:fldChar w:fldCharType="end"/>
      </w:r>
      <w:r w:rsidR="00381F5B" w:rsidRPr="009A7F59">
        <w:rPr>
          <w:rFonts w:ascii="Times" w:hAnsi="Times"/>
          <w:vertAlign w:val="superscript"/>
        </w:rPr>
        <w:t xml:space="preserve"> </w:t>
      </w:r>
      <w:r>
        <w:rPr>
          <w:rFonts w:ascii="Times" w:hAnsi="Times"/>
        </w:rPr>
        <w:t xml:space="preserve">At the time of data extraction for this study, data were available from 164 GP practices with a total population of </w:t>
      </w:r>
      <w:r w:rsidRPr="00467BE9">
        <w:rPr>
          <w:rFonts w:ascii="Times" w:hAnsi="Times"/>
        </w:rPr>
        <w:t>1</w:t>
      </w:r>
      <w:r>
        <w:rPr>
          <w:rFonts w:ascii="Times" w:hAnsi="Times"/>
        </w:rPr>
        <w:t>,</w:t>
      </w:r>
      <w:r w:rsidRPr="00467BE9">
        <w:rPr>
          <w:rFonts w:ascii="Times" w:hAnsi="Times"/>
        </w:rPr>
        <w:t>475</w:t>
      </w:r>
      <w:r>
        <w:rPr>
          <w:rFonts w:ascii="Times" w:hAnsi="Times"/>
        </w:rPr>
        <w:t>,</w:t>
      </w:r>
      <w:r w:rsidRPr="00467BE9">
        <w:rPr>
          <w:rFonts w:ascii="Times" w:hAnsi="Times"/>
        </w:rPr>
        <w:t>762</w:t>
      </w:r>
      <w:r>
        <w:rPr>
          <w:rFonts w:ascii="Times" w:hAnsi="Times"/>
        </w:rPr>
        <w:t xml:space="preserve"> people. </w:t>
      </w:r>
      <w:r w:rsidR="00381F5B" w:rsidRPr="009A7F59">
        <w:rPr>
          <w:rFonts w:ascii="Times" w:hAnsi="Times"/>
        </w:rPr>
        <w:t xml:space="preserve">The RCGP RSC contains information on clinical diagnoses, anthropometric measurements, laboratory tests and prescriptions coded with the Read </w:t>
      </w:r>
      <w:r w:rsidR="009626DE">
        <w:rPr>
          <w:rFonts w:ascii="Times" w:hAnsi="Times"/>
        </w:rPr>
        <w:t>c</w:t>
      </w:r>
      <w:r w:rsidR="00381F5B" w:rsidRPr="009A7F59">
        <w:rPr>
          <w:rFonts w:ascii="Times" w:hAnsi="Times"/>
        </w:rPr>
        <w:t xml:space="preserve">linical </w:t>
      </w:r>
      <w:r w:rsidR="009626DE">
        <w:rPr>
          <w:rFonts w:ascii="Times" w:hAnsi="Times"/>
        </w:rPr>
        <w:t>c</w:t>
      </w:r>
      <w:r w:rsidR="00381F5B" w:rsidRPr="009A7F59">
        <w:rPr>
          <w:rFonts w:ascii="Times" w:hAnsi="Times"/>
        </w:rPr>
        <w:t>oding system</w:t>
      </w:r>
      <w:r w:rsidR="009626DE">
        <w:rPr>
          <w:rFonts w:ascii="Times" w:hAnsi="Times"/>
        </w:rPr>
        <w:t>s</w:t>
      </w:r>
      <w:r w:rsidR="00381F5B" w:rsidRPr="009A7F59">
        <w:rPr>
          <w:rFonts w:ascii="Times" w:hAnsi="Times"/>
        </w:rPr>
        <w:t xml:space="preserve">. </w:t>
      </w:r>
      <w:r w:rsidR="009626DE">
        <w:rPr>
          <w:rFonts w:ascii="Times" w:hAnsi="Times"/>
        </w:rPr>
        <w:t xml:space="preserve">The RCGP is also the primary infectious disease sentinel network for the UK and has been providing a weekly </w:t>
      </w:r>
      <w:r w:rsidR="00424C4D">
        <w:rPr>
          <w:rFonts w:ascii="Times" w:hAnsi="Times"/>
        </w:rPr>
        <w:t xml:space="preserve">infections </w:t>
      </w:r>
      <w:r w:rsidR="009626DE">
        <w:rPr>
          <w:rFonts w:ascii="Times" w:hAnsi="Times"/>
        </w:rPr>
        <w:t>data return since 1964. GP practices within the network are provided with regular feedback on their coding of infectious diseases and therefore the quality of infection reco</w:t>
      </w:r>
      <w:r w:rsidR="0038498A">
        <w:rPr>
          <w:rFonts w:ascii="Times" w:hAnsi="Times"/>
        </w:rPr>
        <w:t xml:space="preserve">rding within the database is </w:t>
      </w:r>
      <w:r w:rsidR="009626DE">
        <w:rPr>
          <w:rFonts w:ascii="Times" w:hAnsi="Times"/>
        </w:rPr>
        <w:t>high.</w:t>
      </w:r>
      <w:r w:rsidR="009626DE">
        <w:rPr>
          <w:rFonts w:ascii="Times" w:hAnsi="Times"/>
        </w:rPr>
        <w:fldChar w:fldCharType="begin">
          <w:fldData xml:space="preserve">PEVuZE5vdGU+PENpdGU+PEF1dGhvcj5Db3JyZWE8L0F1dGhvcj48WWVhcj4yMDE2PC9ZZWFyPjxS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</w:fldData>
        </w:fldChar>
      </w:r>
      <w:r w:rsidR="008E2E68">
        <w:rPr>
          <w:rFonts w:ascii="Times" w:hAnsi="Times"/>
        </w:rPr>
        <w:instrText xml:space="preserve"> ADDIN EN.CITE </w:instrText>
      </w:r>
      <w:r w:rsidR="008E2E68">
        <w:rPr>
          <w:rFonts w:ascii="Times" w:hAnsi="Times"/>
        </w:rPr>
        <w:fldChar w:fldCharType="begin">
          <w:fldData xml:space="preserve">PEVuZE5vdGU+PENpdGU+PEF1dGhvcj5Db3JyZWE8L0F1dGhvcj48WWVhcj4yMDE2PC9ZZWFyPjxS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</w:fldData>
        </w:fldChar>
      </w:r>
      <w:r w:rsidR="008E2E68">
        <w:rPr>
          <w:rFonts w:ascii="Times" w:hAnsi="Times"/>
        </w:rPr>
        <w:instrText xml:space="preserve"> ADDIN EN.CITE.DATA </w:instrText>
      </w:r>
      <w:r w:rsidR="008E2E68">
        <w:rPr>
          <w:rFonts w:ascii="Times" w:hAnsi="Times"/>
        </w:rPr>
      </w:r>
      <w:r w:rsidR="008E2E68">
        <w:rPr>
          <w:rFonts w:ascii="Times" w:hAnsi="Times"/>
        </w:rPr>
        <w:fldChar w:fldCharType="end"/>
      </w:r>
      <w:r w:rsidR="009626DE">
        <w:rPr>
          <w:rFonts w:ascii="Times" w:hAnsi="Times"/>
        </w:rPr>
      </w:r>
      <w:r w:rsidR="009626DE">
        <w:rPr>
          <w:rFonts w:ascii="Times" w:hAnsi="Times"/>
        </w:rPr>
        <w:fldChar w:fldCharType="separate"/>
      </w:r>
      <w:r w:rsidR="008E2E68">
        <w:rPr>
          <w:rFonts w:ascii="Times" w:hAnsi="Times"/>
          <w:noProof/>
        </w:rPr>
        <w:t>(21, 22)</w:t>
      </w:r>
      <w:r w:rsidR="009626DE">
        <w:rPr>
          <w:rFonts w:ascii="Times" w:hAnsi="Times"/>
        </w:rPr>
        <w:fldChar w:fldCharType="end"/>
      </w:r>
    </w:p>
    <w:p w14:paraId="0AB49271" w14:textId="77777777" w:rsidR="00381F5B" w:rsidRPr="009A7F59" w:rsidRDefault="00381F5B" w:rsidP="00251640">
      <w:pPr>
        <w:spacing w:line="360" w:lineRule="auto"/>
        <w:jc w:val="both"/>
        <w:rPr>
          <w:rFonts w:ascii="Times" w:hAnsi="Times"/>
        </w:rPr>
      </w:pPr>
    </w:p>
    <w:p w14:paraId="6EC37D58" w14:textId="15D36D5E" w:rsidR="00CC41E8" w:rsidRPr="00CC41E8" w:rsidRDefault="00CC41E8" w:rsidP="004E4960">
      <w:pPr>
        <w:spacing w:line="360" w:lineRule="auto"/>
        <w:jc w:val="both"/>
        <w:rPr>
          <w:rFonts w:ascii="Times" w:hAnsi="Times"/>
          <w:i/>
        </w:rPr>
      </w:pPr>
      <w:r w:rsidRPr="00CC41E8">
        <w:rPr>
          <w:rFonts w:ascii="Times" w:hAnsi="Times"/>
          <w:i/>
        </w:rPr>
        <w:t>Infections</w:t>
      </w:r>
    </w:p>
    <w:p w14:paraId="18D9B0D6" w14:textId="0BA1CD51" w:rsidR="00C14552" w:rsidRDefault="004E4960" w:rsidP="004E4960">
      <w:pPr>
        <w:spacing w:line="360" w:lineRule="auto"/>
        <w:jc w:val="both"/>
        <w:rPr>
          <w:rFonts w:ascii="Times" w:hAnsi="Times"/>
        </w:rPr>
      </w:pPr>
      <w:r w:rsidRPr="009A7F59">
        <w:rPr>
          <w:rFonts w:ascii="Times" w:hAnsi="Times"/>
        </w:rPr>
        <w:t xml:space="preserve">Our inclusion criteria specified individuals aged 18 years and older with a </w:t>
      </w:r>
      <w:r w:rsidRPr="005C3953">
        <w:rPr>
          <w:rFonts w:ascii="Times" w:hAnsi="Times"/>
        </w:rPr>
        <w:t>diagnosis of RA</w:t>
      </w:r>
      <w:r>
        <w:rPr>
          <w:rFonts w:ascii="Times" w:hAnsi="Times"/>
        </w:rPr>
        <w:t xml:space="preserve"> </w:t>
      </w:r>
      <w:r w:rsidR="00424C4D">
        <w:rPr>
          <w:rFonts w:ascii="Times" w:hAnsi="Times"/>
        </w:rPr>
        <w:t xml:space="preserve">after January 1, 2004 and </w:t>
      </w:r>
      <w:r>
        <w:rPr>
          <w:rFonts w:ascii="Times" w:hAnsi="Times"/>
        </w:rPr>
        <w:t xml:space="preserve">prior to </w:t>
      </w:r>
      <w:r w:rsidR="00F15124">
        <w:rPr>
          <w:rFonts w:ascii="Times" w:hAnsi="Times"/>
        </w:rPr>
        <w:t xml:space="preserve">January </w:t>
      </w:r>
      <w:r w:rsidR="00C14552">
        <w:rPr>
          <w:rFonts w:ascii="Times" w:hAnsi="Times"/>
        </w:rPr>
        <w:t>1</w:t>
      </w:r>
      <w:r>
        <w:rPr>
          <w:rFonts w:ascii="Times" w:hAnsi="Times"/>
        </w:rPr>
        <w:t xml:space="preserve">, </w:t>
      </w:r>
      <w:r w:rsidR="00777C86">
        <w:rPr>
          <w:rFonts w:ascii="Times" w:hAnsi="Times"/>
        </w:rPr>
        <w:t>2017</w:t>
      </w:r>
      <w:r w:rsidRPr="009A7F59">
        <w:rPr>
          <w:rFonts w:ascii="Times" w:hAnsi="Times"/>
        </w:rPr>
        <w:t xml:space="preserve">. </w:t>
      </w:r>
      <w:r>
        <w:rPr>
          <w:rFonts w:ascii="Times" w:hAnsi="Times"/>
        </w:rPr>
        <w:t xml:space="preserve">The study start date was the </w:t>
      </w:r>
      <w:r w:rsidR="00777C86">
        <w:rPr>
          <w:rFonts w:ascii="Times" w:hAnsi="Times"/>
        </w:rPr>
        <w:t xml:space="preserve">date of </w:t>
      </w:r>
      <w:r>
        <w:rPr>
          <w:rFonts w:ascii="Times" w:hAnsi="Times"/>
        </w:rPr>
        <w:t>first</w:t>
      </w:r>
      <w:r w:rsidR="00777C86">
        <w:rPr>
          <w:rFonts w:ascii="Times" w:hAnsi="Times"/>
        </w:rPr>
        <w:t xml:space="preserve"> RA</w:t>
      </w:r>
      <w:r>
        <w:rPr>
          <w:rFonts w:ascii="Times" w:hAnsi="Times"/>
        </w:rPr>
        <w:t xml:space="preserve"> diagnostic code</w:t>
      </w:r>
      <w:r w:rsidR="00424C4D">
        <w:rPr>
          <w:rFonts w:ascii="Times" w:hAnsi="Times"/>
        </w:rPr>
        <w:t>. RA cases were</w:t>
      </w:r>
      <w:r>
        <w:rPr>
          <w:rFonts w:ascii="Times" w:hAnsi="Times"/>
        </w:rPr>
        <w:t xml:space="preserve"> defined </w:t>
      </w:r>
      <w:r w:rsidRPr="009A7F59">
        <w:rPr>
          <w:rFonts w:ascii="Times" w:hAnsi="Times"/>
        </w:rPr>
        <w:t>using established criteria.</w:t>
      </w:r>
      <w:r w:rsidR="00B24ED9">
        <w:rPr>
          <w:rFonts w:ascii="Times" w:hAnsi="Times"/>
        </w:rPr>
        <w:fldChar w:fldCharType="begin"/>
      </w:r>
      <w:r w:rsidR="008E2E68">
        <w:rPr>
          <w:rFonts w:ascii="Times" w:hAnsi="Times"/>
        </w:rPr>
        <w:instrText xml:space="preserve"> ADDIN EN.CITE &lt;EndNote&gt;&lt;Cite&gt;&lt;Author&gt;Muller&lt;/Author&gt;&lt;Year&gt;2015&lt;/Year&gt;&lt;RecNum&gt;39&lt;/RecNum&gt;&lt;DisplayText&gt;(23)&lt;/DisplayText&gt;&lt;record&gt;&lt;rec-number&gt;39&lt;/rec-number&gt;&lt;foreign-keys&gt;&lt;key app="EN" db-id="srr5r5asztv2ehepdza5xtvkzafprwx5dxfx" timestamp="1528555988"&gt;39&lt;/key&gt;&lt;/foreign-keys&gt;&lt;ref-type name="Journal Article"&gt;17&lt;/ref-type&gt;&lt;contributors&gt;&lt;authors&gt;&lt;author&gt;Muller, Sara&lt;/author&gt;&lt;author&gt;Hider, Samantha L&lt;/author&gt;&lt;author&gt;Raza, Karim&lt;/author&gt;&lt;author&gt;Stack, Rebecca J&lt;/author&gt;&lt;author&gt;Hayward, Richard A&lt;/author&gt;&lt;author&gt;Mallen, Christian D&lt;/author&gt;&lt;/authors&gt;&lt;/contributors&gt;&lt;titles&gt;&lt;title&gt;An algorithm to identify rheumatoid arthritis in primary care: a Clinical Practice Research Datalink study&lt;/title&gt;&lt;secondary-title&gt;BMJ open&lt;/secondary-title&gt;&lt;/titles&gt;&lt;periodical&gt;&lt;full-title&gt;BMJ open&lt;/full-title&gt;&lt;/periodical&gt;&lt;pages&gt;e009309&lt;/pages&gt;&lt;volume&gt;5&lt;/volume&gt;&lt;number&gt;12&lt;/number&gt;&lt;dates&gt;&lt;year&gt;2015&lt;/year&gt;&lt;/dates&gt;&lt;isbn&gt;2044-6055&lt;/isbn&gt;&lt;urls&gt;&lt;/urls&gt;&lt;/record&gt;&lt;/Cite&gt;&lt;/EndNote&gt;</w:instrText>
      </w:r>
      <w:r w:rsidR="00B24ED9">
        <w:rPr>
          <w:rFonts w:ascii="Times" w:hAnsi="Times"/>
        </w:rPr>
        <w:fldChar w:fldCharType="separate"/>
      </w:r>
      <w:r w:rsidR="008E2E68">
        <w:rPr>
          <w:rFonts w:ascii="Times" w:hAnsi="Times"/>
          <w:noProof/>
        </w:rPr>
        <w:t>(23)</w:t>
      </w:r>
      <w:r w:rsidR="00B24ED9">
        <w:rPr>
          <w:rFonts w:ascii="Times" w:hAnsi="Times"/>
        </w:rPr>
        <w:fldChar w:fldCharType="end"/>
      </w:r>
      <w:r w:rsidR="00AE3831">
        <w:rPr>
          <w:rFonts w:ascii="Times" w:hAnsi="Times"/>
        </w:rPr>
        <w:t xml:space="preserve"> </w:t>
      </w:r>
      <w:r>
        <w:rPr>
          <w:rFonts w:ascii="Times" w:hAnsi="Times"/>
        </w:rPr>
        <w:t xml:space="preserve">The follow-up period extended to the study end: either </w:t>
      </w:r>
      <w:r w:rsidR="00F15124">
        <w:rPr>
          <w:rFonts w:ascii="Times" w:hAnsi="Times"/>
        </w:rPr>
        <w:t xml:space="preserve">January </w:t>
      </w:r>
      <w:r>
        <w:rPr>
          <w:rFonts w:ascii="Times" w:hAnsi="Times"/>
        </w:rPr>
        <w:t xml:space="preserve">1, 2017, or the date of patient transfer from </w:t>
      </w:r>
      <w:r w:rsidR="00164D37">
        <w:rPr>
          <w:rFonts w:ascii="Times" w:hAnsi="Times"/>
        </w:rPr>
        <w:t>an included practice, or death.</w:t>
      </w:r>
    </w:p>
    <w:p w14:paraId="17CCA99E" w14:textId="58D1B587" w:rsidR="00F15124" w:rsidRDefault="00F15124" w:rsidP="004E4960">
      <w:pPr>
        <w:spacing w:line="360" w:lineRule="auto"/>
        <w:jc w:val="both"/>
        <w:rPr>
          <w:rFonts w:ascii="Times" w:hAnsi="Times"/>
        </w:rPr>
      </w:pPr>
    </w:p>
    <w:p w14:paraId="645D6014" w14:textId="69F76CD5" w:rsidR="00CC41E8" w:rsidRPr="00CC41E8" w:rsidRDefault="00CC41E8" w:rsidP="004E4960">
      <w:pPr>
        <w:spacing w:line="360" w:lineRule="auto"/>
        <w:jc w:val="both"/>
        <w:rPr>
          <w:rFonts w:ascii="Times" w:hAnsi="Times"/>
          <w:i/>
        </w:rPr>
      </w:pPr>
      <w:r w:rsidRPr="00CC41E8">
        <w:rPr>
          <w:rFonts w:ascii="Times" w:hAnsi="Times"/>
          <w:i/>
        </w:rPr>
        <w:t>Vaccinations</w:t>
      </w:r>
    </w:p>
    <w:p w14:paraId="3D5FE5BC" w14:textId="08F42BC7" w:rsidR="00CC41E8" w:rsidRDefault="00777C86" w:rsidP="00CC41E8">
      <w:pPr>
        <w:spacing w:line="360" w:lineRule="auto"/>
        <w:jc w:val="both"/>
      </w:pPr>
      <w:r>
        <w:t>We determined</w:t>
      </w:r>
      <w:r w:rsidR="00CC41E8" w:rsidRPr="00CC41E8">
        <w:t xml:space="preserve"> the impact of influenza and pneumococcal vaccinations on</w:t>
      </w:r>
      <w:r w:rsidR="00303632">
        <w:t xml:space="preserve">, </w:t>
      </w:r>
      <w:r w:rsidR="00303632" w:rsidRPr="00CC41E8">
        <w:t>respectively</w:t>
      </w:r>
      <w:r w:rsidR="00303632">
        <w:t>,</w:t>
      </w:r>
      <w:r w:rsidR="00CC41E8" w:rsidRPr="00CC41E8">
        <w:t xml:space="preserve"> a recorded diagnosis of an influenza-like illness and pneumonia</w:t>
      </w:r>
      <w:r w:rsidR="00303632">
        <w:t xml:space="preserve"> in individuals with RA</w:t>
      </w:r>
      <w:r w:rsidR="00CC41E8" w:rsidRPr="00CC41E8">
        <w:t xml:space="preserve">. </w:t>
      </w:r>
      <w:r>
        <w:t>A matched cohort analysis was also</w:t>
      </w:r>
      <w:r w:rsidR="00AE3831">
        <w:t xml:space="preserve"> performed to </w:t>
      </w:r>
      <w:r>
        <w:t>compare the</w:t>
      </w:r>
      <w:r w:rsidR="00AE3831">
        <w:t xml:space="preserve"> relative efficacy of influenza and pneumococcal vaccination in </w:t>
      </w:r>
      <w:r w:rsidR="00303632">
        <w:t>individuals</w:t>
      </w:r>
      <w:r w:rsidR="00303632" w:rsidDel="00303632">
        <w:t xml:space="preserve"> </w:t>
      </w:r>
      <w:r w:rsidR="00AE3831">
        <w:t xml:space="preserve">with RA compared </w:t>
      </w:r>
      <w:r w:rsidR="00D63DD0">
        <w:t>with</w:t>
      </w:r>
      <w:r w:rsidR="00AE3831">
        <w:t xml:space="preserve"> those without. For this analysis </w:t>
      </w:r>
      <w:r w:rsidR="00971B67">
        <w:t>we included</w:t>
      </w:r>
      <w:r w:rsidR="00AE3831">
        <w:t xml:space="preserve"> </w:t>
      </w:r>
      <w:r w:rsidR="00971B67">
        <w:t xml:space="preserve">individuals </w:t>
      </w:r>
      <w:r w:rsidR="00AE3831">
        <w:t xml:space="preserve">with </w:t>
      </w:r>
      <w:r w:rsidR="007943C5">
        <w:t>RA</w:t>
      </w:r>
      <w:r w:rsidR="00CC41E8" w:rsidRPr="00CC41E8">
        <w:t xml:space="preserve"> </w:t>
      </w:r>
      <w:r w:rsidR="00F109EC">
        <w:t>diagnosed with</w:t>
      </w:r>
      <w:r w:rsidR="00CC41E8" w:rsidRPr="00CC41E8">
        <w:t xml:space="preserve"> RA </w:t>
      </w:r>
      <w:r w:rsidR="00424C4D">
        <w:t xml:space="preserve">after January 2004 but </w:t>
      </w:r>
      <w:r w:rsidR="007943C5">
        <w:t>before</w:t>
      </w:r>
      <w:r w:rsidR="00CC41E8" w:rsidRPr="00CC41E8">
        <w:t xml:space="preserve"> January</w:t>
      </w:r>
      <w:r w:rsidR="00F15124">
        <w:t xml:space="preserve"> 1,</w:t>
      </w:r>
      <w:r w:rsidR="00CC41E8" w:rsidRPr="00CC41E8">
        <w:t xml:space="preserve"> 2012</w:t>
      </w:r>
      <w:r w:rsidR="007943C5">
        <w:t>.</w:t>
      </w:r>
      <w:r w:rsidR="00AE3831">
        <w:t xml:space="preserve"> Cases were</w:t>
      </w:r>
      <w:r w:rsidR="009C37C1">
        <w:t xml:space="preserve"> age and </w:t>
      </w:r>
      <w:r w:rsidR="00E04B89">
        <w:t>sex</w:t>
      </w:r>
      <w:r w:rsidR="009C37C1">
        <w:t>-</w:t>
      </w:r>
      <w:r w:rsidR="00AE3831">
        <w:t xml:space="preserve">matched </w:t>
      </w:r>
      <w:r w:rsidR="00971B67">
        <w:t>one-to-one</w:t>
      </w:r>
      <w:r w:rsidR="00AE3831">
        <w:t xml:space="preserve"> with controls </w:t>
      </w:r>
      <w:r w:rsidR="009C37C1">
        <w:t xml:space="preserve">without RA </w:t>
      </w:r>
      <w:r w:rsidR="00AE3831">
        <w:t>at a GP practice level using nearest</w:t>
      </w:r>
      <w:r w:rsidR="00303632">
        <w:t>-</w:t>
      </w:r>
      <w:r w:rsidR="00AE3831">
        <w:t>neighbour matching</w:t>
      </w:r>
      <w:r w:rsidR="007943C5">
        <w:t>.</w:t>
      </w:r>
      <w:r w:rsidR="00F15124">
        <w:t xml:space="preserve"> For this analysis</w:t>
      </w:r>
      <w:r w:rsidR="00CC41E8" w:rsidRPr="00CC41E8">
        <w:t xml:space="preserve"> </w:t>
      </w:r>
      <w:r w:rsidR="00F15124">
        <w:t xml:space="preserve">the start </w:t>
      </w:r>
      <w:r w:rsidR="00971B67">
        <w:t xml:space="preserve">of follow-up </w:t>
      </w:r>
      <w:r w:rsidR="00F15124">
        <w:t xml:space="preserve">was </w:t>
      </w:r>
      <w:r w:rsidR="00F15124" w:rsidRPr="00CC41E8">
        <w:t>January</w:t>
      </w:r>
      <w:r w:rsidR="00F15124">
        <w:t xml:space="preserve"> 1,</w:t>
      </w:r>
      <w:r w:rsidR="00F15124" w:rsidRPr="00CC41E8">
        <w:t xml:space="preserve"> 2012</w:t>
      </w:r>
      <w:r w:rsidR="00F15124">
        <w:t xml:space="preserve">. </w:t>
      </w:r>
      <w:r w:rsidR="00AE2635">
        <w:t xml:space="preserve">This approach </w:t>
      </w:r>
      <w:r w:rsidR="00EE48EA">
        <w:t>enabled</w:t>
      </w:r>
      <w:r w:rsidR="00AE2635">
        <w:t xml:space="preserve"> </w:t>
      </w:r>
      <w:r w:rsidR="00971B67">
        <w:t xml:space="preserve">comparisons of individuals with and without RA </w:t>
      </w:r>
      <w:r w:rsidR="00F15124">
        <w:t xml:space="preserve">over the same </w:t>
      </w:r>
      <w:r w:rsidR="00AE2635">
        <w:lastRenderedPageBreak/>
        <w:t>influenza</w:t>
      </w:r>
      <w:r w:rsidR="007943C5">
        <w:t xml:space="preserve"> and pneumonia</w:t>
      </w:r>
      <w:r w:rsidR="00AE2635">
        <w:t xml:space="preserve"> seasons</w:t>
      </w:r>
      <w:r w:rsidR="009215D0">
        <w:t xml:space="preserve"> </w:t>
      </w:r>
      <w:r w:rsidR="00164D37">
        <w:t xml:space="preserve">(five years </w:t>
      </w:r>
      <w:r w:rsidR="00303632">
        <w:t xml:space="preserve">total </w:t>
      </w:r>
      <w:r w:rsidR="00164D37">
        <w:t>follow-up)</w:t>
      </w:r>
      <w:r w:rsidR="00971B67">
        <w:t xml:space="preserve">, reducing </w:t>
      </w:r>
      <w:r w:rsidR="009215D0">
        <w:t>bias due to differing strains of infective path</w:t>
      </w:r>
      <w:r w:rsidR="007943C5">
        <w:t>ogens and variation in vaccination programmes</w:t>
      </w:r>
      <w:r w:rsidR="009215D0">
        <w:t>.</w:t>
      </w:r>
    </w:p>
    <w:p w14:paraId="405AE925" w14:textId="77777777" w:rsidR="00CC41E8" w:rsidRPr="00CC41E8" w:rsidRDefault="00CC41E8" w:rsidP="00CC41E8">
      <w:pPr>
        <w:spacing w:line="360" w:lineRule="auto"/>
        <w:jc w:val="both"/>
      </w:pPr>
    </w:p>
    <w:p w14:paraId="22FD3411" w14:textId="1472F660" w:rsidR="00CC41E8" w:rsidRPr="00CC41E8" w:rsidRDefault="00557C2D" w:rsidP="00CC41E8">
      <w:pPr>
        <w:spacing w:line="360" w:lineRule="auto"/>
        <w:jc w:val="both"/>
      </w:pPr>
      <w:r>
        <w:t>T</w:t>
      </w:r>
      <w:r w:rsidR="00CC41E8" w:rsidRPr="00CC41E8">
        <w:t xml:space="preserve">he influenza vaccination is </w:t>
      </w:r>
      <w:r>
        <w:t xml:space="preserve">typically </w:t>
      </w:r>
      <w:r w:rsidR="00CC41E8" w:rsidRPr="00CC41E8">
        <w:t xml:space="preserve">repeated annually, whereas the pneumococcal vaccination is given only once. Vaccination status at baseline was therefore defined for influenza vaccination to be the presence of any code or prescription for an influenza vaccination in the year before </w:t>
      </w:r>
      <w:r w:rsidR="00F456C0">
        <w:t>the start of follow-up (</w:t>
      </w:r>
      <w:r w:rsidR="00F456C0" w:rsidRPr="00CC41E8">
        <w:t>January</w:t>
      </w:r>
      <w:r w:rsidR="00F456C0">
        <w:t xml:space="preserve"> 1,</w:t>
      </w:r>
      <w:r w:rsidR="00F456C0" w:rsidRPr="00CC41E8">
        <w:t xml:space="preserve"> 2012</w:t>
      </w:r>
      <w:r w:rsidR="00F456C0">
        <w:t>)</w:t>
      </w:r>
      <w:r w:rsidR="00CC41E8" w:rsidRPr="00CC41E8">
        <w:t xml:space="preserve">. For pneumococcal vaccination it was defined as any code or prescription for a pneumococcal vaccination at any time prior to </w:t>
      </w:r>
      <w:r w:rsidR="00164D37" w:rsidRPr="00CC41E8">
        <w:t>January</w:t>
      </w:r>
      <w:r w:rsidR="00164D37">
        <w:t xml:space="preserve"> 1,</w:t>
      </w:r>
      <w:r w:rsidR="00164D37" w:rsidRPr="00CC41E8">
        <w:t xml:space="preserve"> 2012</w:t>
      </w:r>
      <w:r w:rsidR="00CC41E8" w:rsidRPr="00CC41E8">
        <w:t xml:space="preserve">. </w:t>
      </w:r>
    </w:p>
    <w:p w14:paraId="2DD7A576" w14:textId="77777777" w:rsidR="00D42CBE" w:rsidRDefault="00D42CBE" w:rsidP="00251640">
      <w:pPr>
        <w:spacing w:line="360" w:lineRule="auto"/>
        <w:jc w:val="both"/>
        <w:rPr>
          <w:rFonts w:ascii="Times" w:hAnsi="Times"/>
        </w:rPr>
      </w:pPr>
    </w:p>
    <w:p w14:paraId="4915A302" w14:textId="22AA98A9" w:rsidR="00D42CBE" w:rsidRPr="00D42CBE" w:rsidRDefault="00D42CBE" w:rsidP="00251640">
      <w:pPr>
        <w:spacing w:line="360" w:lineRule="auto"/>
        <w:jc w:val="both"/>
        <w:rPr>
          <w:rFonts w:ascii="Times" w:hAnsi="Times"/>
          <w:b/>
        </w:rPr>
      </w:pPr>
      <w:r w:rsidRPr="00D42CBE">
        <w:rPr>
          <w:rFonts w:ascii="Times" w:hAnsi="Times"/>
          <w:b/>
        </w:rPr>
        <w:t xml:space="preserve">Definition of </w:t>
      </w:r>
      <w:r w:rsidR="001D24CD">
        <w:rPr>
          <w:rFonts w:ascii="Times" w:hAnsi="Times"/>
          <w:b/>
        </w:rPr>
        <w:t>haematological abnormalities</w:t>
      </w:r>
      <w:r w:rsidR="00494391">
        <w:rPr>
          <w:rFonts w:ascii="Times" w:hAnsi="Times"/>
          <w:b/>
        </w:rPr>
        <w:t xml:space="preserve"> at baseline, in the 3 years prior to diagnosis and at 3 years </w:t>
      </w:r>
      <w:r w:rsidR="000D66D4">
        <w:rPr>
          <w:rFonts w:ascii="Times" w:hAnsi="Times"/>
          <w:b/>
        </w:rPr>
        <w:t xml:space="preserve">post diagnosis </w:t>
      </w:r>
    </w:p>
    <w:p w14:paraId="01C44C89" w14:textId="4378CA3B" w:rsidR="00494391" w:rsidRDefault="00306708" w:rsidP="00494391">
      <w:pPr>
        <w:spacing w:line="360" w:lineRule="auto"/>
        <w:jc w:val="both"/>
        <w:rPr>
          <w:rFonts w:ascii="Times" w:hAnsi="Times"/>
        </w:rPr>
      </w:pPr>
      <w:r>
        <w:rPr>
          <w:rFonts w:ascii="Times" w:hAnsi="Times"/>
        </w:rPr>
        <w:t>H</w:t>
      </w:r>
      <w:r w:rsidR="00D42CBE">
        <w:rPr>
          <w:rFonts w:ascii="Times" w:hAnsi="Times"/>
        </w:rPr>
        <w:t>aematological abnormalities</w:t>
      </w:r>
      <w:r>
        <w:rPr>
          <w:rFonts w:ascii="Times" w:hAnsi="Times"/>
        </w:rPr>
        <w:t xml:space="preserve"> and other baseline measures </w:t>
      </w:r>
      <w:r w:rsidR="00D42CBE">
        <w:rPr>
          <w:rFonts w:ascii="Times" w:hAnsi="Times"/>
        </w:rPr>
        <w:t xml:space="preserve">were derived by taking the </w:t>
      </w:r>
      <w:r>
        <w:rPr>
          <w:rFonts w:ascii="Times" w:hAnsi="Times"/>
        </w:rPr>
        <w:t>average</w:t>
      </w:r>
      <w:r w:rsidRPr="00EB2958">
        <w:rPr>
          <w:rFonts w:ascii="Times" w:hAnsi="Times"/>
        </w:rPr>
        <w:t xml:space="preserve"> </w:t>
      </w:r>
      <w:r w:rsidR="00D42CBE" w:rsidRPr="00EB2958">
        <w:rPr>
          <w:rFonts w:ascii="Times" w:hAnsi="Times"/>
        </w:rPr>
        <w:t>of</w:t>
      </w:r>
      <w:r>
        <w:rPr>
          <w:rFonts w:ascii="Times" w:hAnsi="Times"/>
        </w:rPr>
        <w:t xml:space="preserve"> up to </w:t>
      </w:r>
      <w:r w:rsidR="00D42CBE" w:rsidRPr="00EB2958">
        <w:rPr>
          <w:rFonts w:ascii="Times" w:hAnsi="Times"/>
        </w:rPr>
        <w:t xml:space="preserve">three most recent values in the 12 months </w:t>
      </w:r>
      <w:r w:rsidR="00F109EC">
        <w:rPr>
          <w:rFonts w:ascii="Times" w:hAnsi="Times"/>
        </w:rPr>
        <w:t>prior to diagnosis</w:t>
      </w:r>
      <w:r w:rsidR="00D42CBE" w:rsidRPr="00EB2958">
        <w:rPr>
          <w:rFonts w:ascii="Times" w:hAnsi="Times"/>
        </w:rPr>
        <w:t xml:space="preserve">. </w:t>
      </w:r>
      <w:r w:rsidR="00BC1C38" w:rsidRPr="00EB2958">
        <w:rPr>
          <w:rFonts w:ascii="Times" w:hAnsi="Times"/>
        </w:rPr>
        <w:t xml:space="preserve">We evaluated time trends in the proportion of individuals with haematological abnormalities at 1, 2 and 3 years </w:t>
      </w:r>
      <w:r w:rsidRPr="00EB2958">
        <w:rPr>
          <w:rFonts w:ascii="Times" w:hAnsi="Times"/>
        </w:rPr>
        <w:t>pre</w:t>
      </w:r>
      <w:r>
        <w:rPr>
          <w:rFonts w:ascii="Times" w:hAnsi="Times"/>
        </w:rPr>
        <w:t>-</w:t>
      </w:r>
      <w:r w:rsidR="00BC1C38" w:rsidRPr="00EB2958">
        <w:rPr>
          <w:rFonts w:ascii="Times" w:hAnsi="Times"/>
        </w:rPr>
        <w:t>diagnosis using the same definition. The proportion of individuals with RA with h</w:t>
      </w:r>
      <w:r w:rsidR="00494391" w:rsidRPr="00EB2958">
        <w:rPr>
          <w:rFonts w:ascii="Times" w:hAnsi="Times"/>
        </w:rPr>
        <w:t xml:space="preserve">aematological abnormalities 3 years post </w:t>
      </w:r>
      <w:r w:rsidR="00BC1C38" w:rsidRPr="00EB2958">
        <w:rPr>
          <w:rFonts w:ascii="Times" w:hAnsi="Times"/>
        </w:rPr>
        <w:t>diagnosis was</w:t>
      </w:r>
      <w:r w:rsidR="00494391" w:rsidRPr="00EB2958">
        <w:rPr>
          <w:rFonts w:ascii="Times" w:hAnsi="Times"/>
        </w:rPr>
        <w:t xml:space="preserve"> evaluated </w:t>
      </w:r>
      <w:r w:rsidR="002132DE" w:rsidRPr="00EB2958">
        <w:rPr>
          <w:rFonts w:ascii="Times" w:hAnsi="Times"/>
        </w:rPr>
        <w:t xml:space="preserve">in </w:t>
      </w:r>
      <w:r w:rsidR="00303632">
        <w:rPr>
          <w:rFonts w:ascii="Times" w:hAnsi="Times"/>
        </w:rPr>
        <w:t xml:space="preserve">those </w:t>
      </w:r>
      <w:r w:rsidR="00BC1C38" w:rsidRPr="00EB2958">
        <w:rPr>
          <w:rFonts w:ascii="Times" w:hAnsi="Times"/>
        </w:rPr>
        <w:t>with sufficient follow-up.</w:t>
      </w:r>
      <w:r w:rsidR="00494391" w:rsidRPr="00EB2958">
        <w:rPr>
          <w:rFonts w:ascii="Times" w:hAnsi="Times"/>
        </w:rPr>
        <w:t xml:space="preserve"> </w:t>
      </w:r>
    </w:p>
    <w:p w14:paraId="62B8D30C" w14:textId="77777777" w:rsidR="00494391" w:rsidRDefault="00494391" w:rsidP="00251640">
      <w:pPr>
        <w:spacing w:line="360" w:lineRule="auto"/>
        <w:jc w:val="both"/>
        <w:rPr>
          <w:rFonts w:ascii="Times" w:hAnsi="Times"/>
        </w:rPr>
      </w:pPr>
    </w:p>
    <w:p w14:paraId="2D40E839" w14:textId="14384EA7" w:rsidR="004823FD" w:rsidRDefault="00D42CBE" w:rsidP="00251640">
      <w:pPr>
        <w:spacing w:line="360" w:lineRule="auto"/>
        <w:jc w:val="both"/>
        <w:rPr>
          <w:rFonts w:ascii="Times" w:hAnsi="Times"/>
        </w:rPr>
      </w:pPr>
      <w:r>
        <w:rPr>
          <w:rFonts w:ascii="Times" w:hAnsi="Times"/>
        </w:rPr>
        <w:t xml:space="preserve">Code lists used </w:t>
      </w:r>
      <w:r w:rsidRPr="00EB2958">
        <w:rPr>
          <w:rFonts w:ascii="Times" w:hAnsi="Times"/>
        </w:rPr>
        <w:t xml:space="preserve">to define </w:t>
      </w:r>
      <w:r w:rsidR="001D24CD" w:rsidRPr="00EB2958">
        <w:rPr>
          <w:rFonts w:ascii="Times" w:hAnsi="Times"/>
        </w:rPr>
        <w:t xml:space="preserve">haematological abnormalities </w:t>
      </w:r>
      <w:r w:rsidRPr="00EB2958">
        <w:rPr>
          <w:rFonts w:ascii="Times" w:hAnsi="Times"/>
        </w:rPr>
        <w:t>were</w:t>
      </w:r>
      <w:r>
        <w:rPr>
          <w:rFonts w:ascii="Times" w:hAnsi="Times"/>
        </w:rPr>
        <w:t xml:space="preserve"> developed in accordance with published </w:t>
      </w:r>
      <w:r w:rsidR="00164D37">
        <w:rPr>
          <w:rFonts w:ascii="Times" w:hAnsi="Times"/>
        </w:rPr>
        <w:t>recommendations</w:t>
      </w:r>
      <w:r>
        <w:rPr>
          <w:rFonts w:ascii="Times" w:hAnsi="Times"/>
        </w:rPr>
        <w:t>.</w:t>
      </w:r>
      <w:r w:rsidR="00B24ED9">
        <w:rPr>
          <w:rFonts w:ascii="Times" w:hAnsi="Times"/>
        </w:rPr>
        <w:fldChar w:fldCharType="begin"/>
      </w:r>
      <w:r w:rsidR="008E2E68">
        <w:rPr>
          <w:rFonts w:ascii="Times" w:hAnsi="Times"/>
        </w:rPr>
        <w:instrText xml:space="preserve"> ADDIN EN.CITE &lt;EndNote&gt;&lt;Cite&gt;&lt;Author&gt;Davé&lt;/Author&gt;&lt;Year&gt;2009&lt;/Year&gt;&lt;RecNum&gt;40&lt;/RecNum&gt;&lt;DisplayText&gt;(24, 25)&lt;/DisplayText&gt;&lt;record&gt;&lt;rec-number&gt;40&lt;/rec-number&gt;&lt;foreign-keys&gt;&lt;key app="EN" db-id="srr5r5asztv2ehepdza5xtvkzafprwx5dxfx" timestamp="1528556059"&gt;40&lt;/key&gt;&lt;/foreign-keys&gt;&lt;ref-type name="Journal Article"&gt;17&lt;/ref-type&gt;&lt;contributors&gt;&lt;authors&gt;&lt;author&gt;Davé, Shreya&lt;/author&gt;&lt;author&gt;Petersen, Irene&lt;/author&gt;&lt;/authors&gt;&lt;/contributors&gt;&lt;titles&gt;&lt;title&gt;Creating medical and drug code lists to identify cases in primary care databases&lt;/title&gt;&lt;secondary-title&gt;Pharmacoepidemiology and drug safety&lt;/secondary-title&gt;&lt;/titles&gt;&lt;periodical&gt;&lt;full-title&gt;Pharmacoepidemiology and drug safety&lt;/full-title&gt;&lt;/periodical&gt;&lt;pages&gt;704-707&lt;/pages&gt;&lt;volume&gt;18&lt;/volume&gt;&lt;number&gt;8&lt;/number&gt;&lt;dates&gt;&lt;year&gt;2009&lt;/year&gt;&lt;/dates&gt;&lt;isbn&gt;1099-1557&lt;/isbn&gt;&lt;urls&gt;&lt;/urls&gt;&lt;/record&gt;&lt;/Cite&gt;&lt;Cite&gt;&lt;Author&gt;de Lusignan&lt;/Author&gt;&lt;Year&gt;2011&lt;/Year&gt;&lt;RecNum&gt;41&lt;/RecNum&gt;&lt;record&gt;&lt;rec-number&gt;41&lt;/rec-number&gt;&lt;foreign-keys&gt;&lt;key app="EN" db-id="srr5r5asztv2ehepdza5xtvkzafprwx5dxfx" timestamp="1528556104"&gt;41&lt;/key&gt;&lt;/foreign-keys&gt;&lt;ref-type name="Journal Article"&gt;17&lt;/ref-type&gt;&lt;contributors&gt;&lt;authors&gt;&lt;author&gt;de Lusignan, Simon&lt;/author&gt;&lt;author&gt;Liaw, Siaw-Teng&lt;/author&gt;&lt;author&gt;Michalakidis, Georgios&lt;/author&gt;&lt;author&gt;Jones, Simon&lt;/author&gt;&lt;/authors&gt;&lt;/contributors&gt;&lt;titles&gt;&lt;title&gt;Defining datasets and creating data dictionaries for quality improvement and research in chronic disease using routinely collected data: an ontology-driven approach&lt;/title&gt;&lt;secondary-title&gt;Journal of Innovation in Health Informatics&lt;/secondary-title&gt;&lt;/titles&gt;&lt;periodical&gt;&lt;full-title&gt;Journal of Innovation in Health Informatics&lt;/full-title&gt;&lt;/periodical&gt;&lt;pages&gt;127-134&lt;/pages&gt;&lt;volume&gt;19&lt;/volume&gt;&lt;number&gt;3&lt;/number&gt;&lt;dates&gt;&lt;year&gt;2011&lt;/year&gt;&lt;/dates&gt;&lt;isbn&gt;2058-4563&lt;/isbn&gt;&lt;urls&gt;&lt;/urls&gt;&lt;/record&gt;&lt;/Cite&gt;&lt;/EndNote&gt;</w:instrText>
      </w:r>
      <w:r w:rsidR="00B24ED9">
        <w:rPr>
          <w:rFonts w:ascii="Times" w:hAnsi="Times"/>
        </w:rPr>
        <w:fldChar w:fldCharType="separate"/>
      </w:r>
      <w:r w:rsidR="008E2E68">
        <w:rPr>
          <w:rFonts w:ascii="Times" w:hAnsi="Times"/>
          <w:noProof/>
        </w:rPr>
        <w:t>(24, 25)</w:t>
      </w:r>
      <w:r w:rsidR="00B24ED9">
        <w:rPr>
          <w:rFonts w:ascii="Times" w:hAnsi="Times"/>
        </w:rPr>
        <w:fldChar w:fldCharType="end"/>
      </w:r>
      <w:r w:rsidR="00B24ED9">
        <w:rPr>
          <w:rFonts w:ascii="Times" w:hAnsi="Times"/>
        </w:rPr>
        <w:t xml:space="preserve"> </w:t>
      </w:r>
      <w:r w:rsidR="004823FD">
        <w:rPr>
          <w:rFonts w:ascii="Times" w:hAnsi="Times"/>
        </w:rPr>
        <w:t xml:space="preserve">Anaemia was defined as </w:t>
      </w:r>
      <w:r w:rsidR="005A5079">
        <w:rPr>
          <w:rFonts w:ascii="Times" w:hAnsi="Times"/>
        </w:rPr>
        <w:t xml:space="preserve">a mean haemoglobin of &lt;13.5g/dl (135g/L) for men or &lt;11.5g/dl (115g/L) for women. </w:t>
      </w:r>
      <w:r w:rsidR="00F456C0">
        <w:rPr>
          <w:rFonts w:ascii="Times" w:hAnsi="Times"/>
        </w:rPr>
        <w:t>Neutropenia</w:t>
      </w:r>
      <w:r w:rsidR="005A5079">
        <w:rPr>
          <w:rFonts w:ascii="Times" w:hAnsi="Times"/>
        </w:rPr>
        <w:t xml:space="preserve"> was defined as a mean total neutrophil count of &lt;1.6</w:t>
      </w:r>
      <w:r w:rsidR="005A5079">
        <w:t>×</w:t>
      </w:r>
      <w:r w:rsidR="005A5079" w:rsidRPr="005A5079">
        <w:rPr>
          <w:rFonts w:ascii="Times" w:hAnsi="Times"/>
        </w:rPr>
        <w:t>10</w:t>
      </w:r>
      <w:r w:rsidR="005A5079" w:rsidRPr="005A5079">
        <w:rPr>
          <w:rFonts w:ascii="Times" w:hAnsi="Times"/>
          <w:vertAlign w:val="superscript"/>
        </w:rPr>
        <w:t>9</w:t>
      </w:r>
      <w:r w:rsidR="005A5079" w:rsidRPr="005A5079">
        <w:rPr>
          <w:rFonts w:ascii="Times" w:hAnsi="Times"/>
        </w:rPr>
        <w:t>/L</w:t>
      </w:r>
      <w:r w:rsidR="005A5079">
        <w:rPr>
          <w:rFonts w:ascii="Times" w:hAnsi="Times"/>
        </w:rPr>
        <w:t xml:space="preserve"> and </w:t>
      </w:r>
      <w:r w:rsidR="00F456C0">
        <w:rPr>
          <w:rFonts w:ascii="Times" w:hAnsi="Times"/>
        </w:rPr>
        <w:t>lymphopenia</w:t>
      </w:r>
      <w:r w:rsidR="005A5079">
        <w:rPr>
          <w:rFonts w:ascii="Times" w:hAnsi="Times"/>
        </w:rPr>
        <w:t xml:space="preserve"> was defined as a mean total lymphocyte count &lt; 0.75</w:t>
      </w:r>
      <w:r w:rsidR="005A5079">
        <w:t>×</w:t>
      </w:r>
      <w:r w:rsidR="005A5079" w:rsidRPr="005A5079">
        <w:rPr>
          <w:rFonts w:ascii="Times" w:hAnsi="Times"/>
        </w:rPr>
        <w:t>10</w:t>
      </w:r>
      <w:r w:rsidR="005A5079" w:rsidRPr="005A5079">
        <w:rPr>
          <w:rFonts w:ascii="Times" w:hAnsi="Times"/>
          <w:vertAlign w:val="superscript"/>
        </w:rPr>
        <w:t>9</w:t>
      </w:r>
      <w:r w:rsidR="005A5079" w:rsidRPr="005A5079">
        <w:rPr>
          <w:rFonts w:ascii="Times" w:hAnsi="Times"/>
        </w:rPr>
        <w:t>/L</w:t>
      </w:r>
      <w:r w:rsidR="005A5079">
        <w:rPr>
          <w:rFonts w:ascii="Times" w:hAnsi="Times"/>
        </w:rPr>
        <w:t xml:space="preserve">. </w:t>
      </w:r>
      <w:r w:rsidR="00306708">
        <w:rPr>
          <w:rFonts w:ascii="Times" w:hAnsi="Times"/>
        </w:rPr>
        <w:t xml:space="preserve">Further </w:t>
      </w:r>
      <w:r w:rsidR="00164D37">
        <w:rPr>
          <w:rFonts w:ascii="Times" w:hAnsi="Times"/>
        </w:rPr>
        <w:t xml:space="preserve">subdivision </w:t>
      </w:r>
      <w:r w:rsidR="00306708">
        <w:rPr>
          <w:rFonts w:ascii="Times" w:hAnsi="Times"/>
        </w:rPr>
        <w:t>by severity was not possible</w:t>
      </w:r>
      <w:r w:rsidR="00164D37">
        <w:rPr>
          <w:rFonts w:ascii="Times" w:hAnsi="Times"/>
        </w:rPr>
        <w:t xml:space="preserve"> due to </w:t>
      </w:r>
      <w:r w:rsidR="00306708">
        <w:rPr>
          <w:rFonts w:ascii="Times" w:hAnsi="Times"/>
        </w:rPr>
        <w:t xml:space="preserve">low </w:t>
      </w:r>
      <w:r w:rsidR="00164D37">
        <w:rPr>
          <w:rFonts w:ascii="Times" w:hAnsi="Times"/>
        </w:rPr>
        <w:t xml:space="preserve">numbers. </w:t>
      </w:r>
      <w:r w:rsidR="00303632">
        <w:rPr>
          <w:rFonts w:ascii="Times" w:hAnsi="Times"/>
        </w:rPr>
        <w:t>Baseline m</w:t>
      </w:r>
      <w:r w:rsidR="00303632" w:rsidRPr="00A2735C">
        <w:rPr>
          <w:rFonts w:ascii="Times" w:hAnsi="Times"/>
        </w:rPr>
        <w:t>edication</w:t>
      </w:r>
      <w:r w:rsidR="00164D37" w:rsidRPr="00A2735C">
        <w:rPr>
          <w:rFonts w:ascii="Times" w:hAnsi="Times"/>
        </w:rPr>
        <w:t xml:space="preserve"> use </w:t>
      </w:r>
      <w:r w:rsidR="00BF088C" w:rsidRPr="00A2735C">
        <w:rPr>
          <w:rFonts w:ascii="Times" w:hAnsi="Times"/>
        </w:rPr>
        <w:t xml:space="preserve">was defined as the issuing of a prescription </w:t>
      </w:r>
      <w:r w:rsidR="00164D37" w:rsidRPr="00A2735C">
        <w:rPr>
          <w:rFonts w:ascii="Times" w:hAnsi="Times"/>
        </w:rPr>
        <w:t>three months before to 30 days</w:t>
      </w:r>
      <w:r w:rsidR="00E04B89">
        <w:rPr>
          <w:rFonts w:ascii="Times" w:hAnsi="Times"/>
        </w:rPr>
        <w:t xml:space="preserve"> after</w:t>
      </w:r>
      <w:r w:rsidR="00164D37" w:rsidRPr="00A2735C">
        <w:rPr>
          <w:rFonts w:ascii="Times" w:hAnsi="Times"/>
        </w:rPr>
        <w:t xml:space="preserve"> </w:t>
      </w:r>
      <w:r w:rsidR="009C37C1">
        <w:rPr>
          <w:rFonts w:ascii="Times" w:hAnsi="Times"/>
        </w:rPr>
        <w:t>diagnosis</w:t>
      </w:r>
      <w:r w:rsidR="00BF088C" w:rsidRPr="00A2735C">
        <w:rPr>
          <w:rFonts w:ascii="Times" w:hAnsi="Times"/>
        </w:rPr>
        <w:t>.</w:t>
      </w:r>
      <w:r w:rsidR="00BF088C">
        <w:rPr>
          <w:rFonts w:ascii="Times" w:hAnsi="Times"/>
        </w:rPr>
        <w:t xml:space="preserve"> This was to allow a period for the transfer of prescribing from secondary care to primary care; </w:t>
      </w:r>
      <w:r w:rsidR="00306708">
        <w:rPr>
          <w:rFonts w:ascii="Times" w:hAnsi="Times"/>
        </w:rPr>
        <w:t xml:space="preserve">the </w:t>
      </w:r>
      <w:r w:rsidR="00BF088C">
        <w:rPr>
          <w:rFonts w:ascii="Times" w:hAnsi="Times"/>
        </w:rPr>
        <w:t xml:space="preserve">initial prescription is often issued in secondary care with </w:t>
      </w:r>
      <w:r w:rsidR="00164D37">
        <w:rPr>
          <w:rFonts w:ascii="Times" w:hAnsi="Times"/>
        </w:rPr>
        <w:t>repeat prescriptions issued from primary care</w:t>
      </w:r>
      <w:r w:rsidR="00BF088C">
        <w:rPr>
          <w:rFonts w:ascii="Times" w:hAnsi="Times"/>
        </w:rPr>
        <w:t>.</w:t>
      </w:r>
    </w:p>
    <w:p w14:paraId="2CA1D3C4" w14:textId="77777777" w:rsidR="004823FD" w:rsidRDefault="004823FD" w:rsidP="00251640">
      <w:pPr>
        <w:spacing w:line="360" w:lineRule="auto"/>
        <w:jc w:val="both"/>
        <w:rPr>
          <w:rFonts w:ascii="Times" w:hAnsi="Times"/>
        </w:rPr>
      </w:pPr>
    </w:p>
    <w:p w14:paraId="4FE782A7" w14:textId="77777777" w:rsidR="00D42CBE" w:rsidRPr="00D42CBE" w:rsidRDefault="00D42CBE" w:rsidP="008C1377">
      <w:pPr>
        <w:spacing w:line="360" w:lineRule="auto"/>
        <w:jc w:val="both"/>
        <w:rPr>
          <w:rFonts w:ascii="Times" w:hAnsi="Times"/>
          <w:b/>
        </w:rPr>
      </w:pPr>
      <w:r w:rsidRPr="00D42CBE">
        <w:rPr>
          <w:rFonts w:ascii="Times" w:hAnsi="Times"/>
          <w:b/>
        </w:rPr>
        <w:t>Outcomes</w:t>
      </w:r>
    </w:p>
    <w:p w14:paraId="63E254EA" w14:textId="5F0B117F" w:rsidR="00F456C0" w:rsidRDefault="00D42CBE" w:rsidP="00F456C0">
      <w:pPr>
        <w:spacing w:line="360" w:lineRule="auto"/>
        <w:jc w:val="both"/>
        <w:rPr>
          <w:rFonts w:ascii="Times" w:hAnsi="Times"/>
        </w:rPr>
      </w:pPr>
      <w:r>
        <w:rPr>
          <w:rFonts w:ascii="Times" w:hAnsi="Times"/>
        </w:rPr>
        <w:t xml:space="preserve">The primary outcome was the time to </w:t>
      </w:r>
      <w:r w:rsidR="00EE48EA">
        <w:rPr>
          <w:rFonts w:ascii="Times" w:hAnsi="Times"/>
        </w:rPr>
        <w:t>first recorded presentation</w:t>
      </w:r>
      <w:r w:rsidR="00733200">
        <w:rPr>
          <w:rFonts w:ascii="Times" w:hAnsi="Times"/>
        </w:rPr>
        <w:t xml:space="preserve"> with a new episode of</w:t>
      </w:r>
      <w:r>
        <w:rPr>
          <w:rFonts w:ascii="Times" w:hAnsi="Times"/>
        </w:rPr>
        <w:t xml:space="preserve"> infection</w:t>
      </w:r>
      <w:r w:rsidR="00733200">
        <w:rPr>
          <w:rFonts w:ascii="Times" w:hAnsi="Times"/>
        </w:rPr>
        <w:t xml:space="preserve"> during the study period. </w:t>
      </w:r>
      <w:r w:rsidR="00EE48EA" w:rsidRPr="008C1377">
        <w:rPr>
          <w:rFonts w:ascii="Times" w:hAnsi="Times"/>
        </w:rPr>
        <w:t xml:space="preserve">The primary outcome comprised an </w:t>
      </w:r>
      <w:r w:rsidR="00EE48EA" w:rsidRPr="004823FD">
        <w:rPr>
          <w:rFonts w:ascii="Times" w:hAnsi="Times"/>
          <w:i/>
        </w:rPr>
        <w:t>a priori</w:t>
      </w:r>
      <w:r w:rsidR="00EE48EA" w:rsidRPr="008C1377">
        <w:rPr>
          <w:rFonts w:ascii="Times" w:hAnsi="Times"/>
        </w:rPr>
        <w:t xml:space="preserve"> composite of upper respiratory tract infections; bronchitis; influenza-like</w:t>
      </w:r>
      <w:r w:rsidR="00EE48EA">
        <w:rPr>
          <w:rFonts w:ascii="Times" w:hAnsi="Times"/>
        </w:rPr>
        <w:t xml:space="preserve"> </w:t>
      </w:r>
      <w:r w:rsidR="00EE48EA" w:rsidRPr="008C1377">
        <w:rPr>
          <w:rFonts w:ascii="Times" w:hAnsi="Times"/>
        </w:rPr>
        <w:t xml:space="preserve">illness; </w:t>
      </w:r>
      <w:r w:rsidR="00EE48EA" w:rsidRPr="008C1377">
        <w:rPr>
          <w:rFonts w:ascii="Times" w:hAnsi="Times"/>
        </w:rPr>
        <w:lastRenderedPageBreak/>
        <w:t xml:space="preserve">pneumonia; intestinal infectious diseases; herpes simplex; skin and soft tissue infections; urinary tract infections; and genital and perineal infections. </w:t>
      </w:r>
      <w:bookmarkStart w:id="1" w:name="_Hlk10539968"/>
      <w:r w:rsidR="008C1377" w:rsidRPr="008C1377">
        <w:rPr>
          <w:rFonts w:ascii="Times" w:hAnsi="Times"/>
        </w:rPr>
        <w:t xml:space="preserve">The </w:t>
      </w:r>
      <w:r w:rsidR="009C37C1">
        <w:rPr>
          <w:rFonts w:ascii="Times" w:hAnsi="Times"/>
        </w:rPr>
        <w:t xml:space="preserve">Read </w:t>
      </w:r>
      <w:r w:rsidR="008C1377" w:rsidRPr="008C1377">
        <w:rPr>
          <w:rFonts w:ascii="Times" w:hAnsi="Times"/>
        </w:rPr>
        <w:t xml:space="preserve">codes used </w:t>
      </w:r>
      <w:r w:rsidR="009C37C1">
        <w:rPr>
          <w:rFonts w:ascii="Times" w:hAnsi="Times"/>
        </w:rPr>
        <w:t>to identify infections were</w:t>
      </w:r>
      <w:r w:rsidR="009C37C1" w:rsidRPr="008C1377">
        <w:rPr>
          <w:rFonts w:ascii="Times" w:hAnsi="Times"/>
        </w:rPr>
        <w:t xml:space="preserve"> </w:t>
      </w:r>
      <w:r w:rsidR="008C1377" w:rsidRPr="008C1377">
        <w:rPr>
          <w:rFonts w:ascii="Times" w:hAnsi="Times"/>
        </w:rPr>
        <w:t xml:space="preserve">taken from the validated indicators used in routine surveillance by the </w:t>
      </w:r>
      <w:r w:rsidR="009C37C1">
        <w:rPr>
          <w:rFonts w:ascii="Times" w:hAnsi="Times"/>
        </w:rPr>
        <w:t>RCGP RSC</w:t>
      </w:r>
      <w:r w:rsidR="008C1377" w:rsidRPr="008C1377">
        <w:rPr>
          <w:rFonts w:ascii="Times" w:hAnsi="Times"/>
        </w:rPr>
        <w:t>. The</w:t>
      </w:r>
      <w:r w:rsidR="00EE48EA">
        <w:rPr>
          <w:rFonts w:ascii="Times" w:hAnsi="Times"/>
        </w:rPr>
        <w:t xml:space="preserve"> chosen infections</w:t>
      </w:r>
      <w:r w:rsidR="008C1377" w:rsidRPr="008C1377">
        <w:rPr>
          <w:rFonts w:ascii="Times" w:hAnsi="Times"/>
        </w:rPr>
        <w:t xml:space="preserve"> were selected principally as they represent the majority of the primary care adult infectious disease burden, include</w:t>
      </w:r>
      <w:r w:rsidR="00EE48EA">
        <w:rPr>
          <w:rFonts w:ascii="Times" w:hAnsi="Times"/>
        </w:rPr>
        <w:t xml:space="preserve"> a mixture of</w:t>
      </w:r>
      <w:r w:rsidR="008C1377" w:rsidRPr="008C1377">
        <w:rPr>
          <w:rFonts w:ascii="Times" w:hAnsi="Times"/>
        </w:rPr>
        <w:t xml:space="preserve"> viral, bacterial and fungal infectio</w:t>
      </w:r>
      <w:r w:rsidR="008C1377" w:rsidRPr="00D51D46">
        <w:rPr>
          <w:rFonts w:ascii="Times" w:hAnsi="Times"/>
        </w:rPr>
        <w:t>ns</w:t>
      </w:r>
      <w:r w:rsidR="00D51D46">
        <w:rPr>
          <w:rFonts w:ascii="Times" w:hAnsi="Times"/>
        </w:rPr>
        <w:t xml:space="preserve"> </w:t>
      </w:r>
      <w:r w:rsidR="00D51D46" w:rsidRPr="00D51D46">
        <w:rPr>
          <w:rFonts w:ascii="Times" w:hAnsi="Times"/>
        </w:rPr>
        <w:t>and affect a range of different body systems.  They also comprise the key infectious disease monitored as part of the RCGP RSC network and therefore GPs are provided with regular feedback on the coding quality of these conditions</w:t>
      </w:r>
      <w:r w:rsidR="004D5B13" w:rsidRPr="00D51D46">
        <w:rPr>
          <w:rFonts w:ascii="Times" w:hAnsi="Times"/>
        </w:rPr>
        <w:t>.</w:t>
      </w:r>
      <w:r w:rsidR="008C1377" w:rsidRPr="004D5B13">
        <w:rPr>
          <w:rFonts w:ascii="Times" w:hAnsi="Times"/>
          <w:color w:val="FF0000"/>
        </w:rPr>
        <w:t xml:space="preserve"> </w:t>
      </w:r>
      <w:bookmarkEnd w:id="1"/>
      <w:r w:rsidR="008C1377" w:rsidRPr="00A2735C">
        <w:rPr>
          <w:rFonts w:ascii="Times" w:hAnsi="Times"/>
        </w:rPr>
        <w:t>First or new episodes of an infection are coded accordingly in the database</w:t>
      </w:r>
      <w:r w:rsidR="008C1377" w:rsidRPr="008C1377">
        <w:rPr>
          <w:rFonts w:ascii="Times" w:hAnsi="Times"/>
        </w:rPr>
        <w:t>, enabling differentiation from chronic infections or follow-up visits for the same episode</w:t>
      </w:r>
      <w:r w:rsidR="008C1377">
        <w:rPr>
          <w:rFonts w:ascii="Times" w:hAnsi="Times"/>
        </w:rPr>
        <w:t>.</w:t>
      </w:r>
      <w:r w:rsidR="00306708">
        <w:rPr>
          <w:rFonts w:ascii="Times" w:hAnsi="Times"/>
        </w:rPr>
        <w:t xml:space="preserve"> </w:t>
      </w:r>
      <w:r w:rsidR="00AC356A">
        <w:rPr>
          <w:rFonts w:ascii="Times" w:hAnsi="Times"/>
        </w:rPr>
        <w:t>For the</w:t>
      </w:r>
      <w:r w:rsidR="00F456C0">
        <w:rPr>
          <w:rFonts w:ascii="Times" w:hAnsi="Times"/>
        </w:rPr>
        <w:t xml:space="preserve"> evaluat</w:t>
      </w:r>
      <w:r w:rsidR="00AC356A">
        <w:rPr>
          <w:rFonts w:ascii="Times" w:hAnsi="Times"/>
        </w:rPr>
        <w:t>ion</w:t>
      </w:r>
      <w:r w:rsidR="00F456C0">
        <w:rPr>
          <w:rFonts w:ascii="Times" w:hAnsi="Times"/>
        </w:rPr>
        <w:t xml:space="preserve"> of influenza and pneumococcal pneumonia vaccination the outcomes were, respectively, time to first recorded presentation with an episode of </w:t>
      </w:r>
      <w:r w:rsidR="00F456C0" w:rsidRPr="00CC41E8">
        <w:t xml:space="preserve">influenza-like illness </w:t>
      </w:r>
      <w:r w:rsidR="00AC356A">
        <w:t>or</w:t>
      </w:r>
      <w:r w:rsidR="00F456C0" w:rsidRPr="00CC41E8">
        <w:t xml:space="preserve"> pneumonia</w:t>
      </w:r>
      <w:r w:rsidR="00AC356A">
        <w:t xml:space="preserve"> over the study period.</w:t>
      </w:r>
    </w:p>
    <w:p w14:paraId="25589B5F" w14:textId="77777777" w:rsidR="00AC356A" w:rsidRDefault="00AC356A" w:rsidP="008C1377">
      <w:pPr>
        <w:spacing w:line="360" w:lineRule="auto"/>
        <w:jc w:val="both"/>
        <w:rPr>
          <w:rFonts w:ascii="Times" w:hAnsi="Times"/>
          <w:b/>
        </w:rPr>
      </w:pPr>
    </w:p>
    <w:p w14:paraId="52AB87B5" w14:textId="1981FE27" w:rsidR="008C1377" w:rsidRPr="008C1377" w:rsidRDefault="008C1377" w:rsidP="008C1377">
      <w:pPr>
        <w:spacing w:line="360" w:lineRule="auto"/>
        <w:jc w:val="both"/>
        <w:rPr>
          <w:rFonts w:ascii="Times" w:hAnsi="Times"/>
          <w:b/>
        </w:rPr>
      </w:pPr>
      <w:r w:rsidRPr="008C1377">
        <w:rPr>
          <w:rFonts w:ascii="Times" w:hAnsi="Times"/>
          <w:b/>
        </w:rPr>
        <w:t>Statistical Analyses</w:t>
      </w:r>
    </w:p>
    <w:p w14:paraId="474BBDC0" w14:textId="77777777" w:rsidR="001D24CD" w:rsidRPr="009215D0" w:rsidRDefault="001D24CD" w:rsidP="001D24CD">
      <w:pPr>
        <w:spacing w:line="360" w:lineRule="auto"/>
        <w:jc w:val="both"/>
        <w:rPr>
          <w:rFonts w:ascii="Times" w:hAnsi="Times"/>
          <w:i/>
        </w:rPr>
      </w:pPr>
      <w:r w:rsidRPr="009215D0">
        <w:rPr>
          <w:rFonts w:ascii="Times" w:hAnsi="Times"/>
          <w:i/>
        </w:rPr>
        <w:t>Infections</w:t>
      </w:r>
    </w:p>
    <w:p w14:paraId="373D6080" w14:textId="71DA6132" w:rsidR="0016043A" w:rsidRDefault="008C1377" w:rsidP="008C1377">
      <w:pPr>
        <w:spacing w:line="360" w:lineRule="auto"/>
        <w:jc w:val="both"/>
        <w:rPr>
          <w:rFonts w:ascii="Times" w:hAnsi="Times"/>
        </w:rPr>
      </w:pPr>
      <w:r>
        <w:rPr>
          <w:rFonts w:ascii="Times" w:hAnsi="Times"/>
        </w:rPr>
        <w:t>We evaluated differences in baseline characteristics between those with and without haematological abnormalities</w:t>
      </w:r>
      <w:r w:rsidR="00303632">
        <w:rPr>
          <w:rFonts w:ascii="Times" w:hAnsi="Times"/>
        </w:rPr>
        <w:t>; a</w:t>
      </w:r>
      <w:r w:rsidR="00A22A89">
        <w:rPr>
          <w:rFonts w:ascii="Times" w:hAnsi="Times"/>
        </w:rPr>
        <w:t>ll reported p values are two-sided. Event rates were calculated as the number of events divided by the total person-years of follow-up, and expressed as the number per 1000 person-years.</w:t>
      </w:r>
    </w:p>
    <w:p w14:paraId="26658DE9" w14:textId="77777777" w:rsidR="0016043A" w:rsidRDefault="0016043A" w:rsidP="008C1377">
      <w:pPr>
        <w:spacing w:line="360" w:lineRule="auto"/>
        <w:jc w:val="both"/>
        <w:rPr>
          <w:rFonts w:ascii="Times" w:hAnsi="Times"/>
        </w:rPr>
      </w:pPr>
    </w:p>
    <w:p w14:paraId="726D3EFF" w14:textId="2E80E1D8" w:rsidR="005945E1" w:rsidRDefault="0016043A" w:rsidP="007C02DB">
      <w:pPr>
        <w:spacing w:line="360" w:lineRule="auto"/>
        <w:jc w:val="both"/>
        <w:rPr>
          <w:rFonts w:ascii="Times" w:hAnsi="Times"/>
        </w:rPr>
      </w:pPr>
      <w:r w:rsidRPr="00B74784">
        <w:rPr>
          <w:rFonts w:ascii="Times" w:hAnsi="Times"/>
        </w:rPr>
        <w:t>Baseline analysis</w:t>
      </w:r>
      <w:r w:rsidR="00455D75">
        <w:rPr>
          <w:rFonts w:ascii="Times" w:hAnsi="Times"/>
        </w:rPr>
        <w:t xml:space="preserve">: </w:t>
      </w:r>
      <w:r w:rsidR="00A2735C">
        <w:rPr>
          <w:rFonts w:ascii="Times" w:hAnsi="Times"/>
        </w:rPr>
        <w:t>The</w:t>
      </w:r>
      <w:r>
        <w:rPr>
          <w:rFonts w:ascii="Times" w:hAnsi="Times"/>
        </w:rPr>
        <w:t xml:space="preserve"> influence of </w:t>
      </w:r>
      <w:r w:rsidR="007D04B9">
        <w:rPr>
          <w:rFonts w:ascii="Times" w:hAnsi="Times"/>
        </w:rPr>
        <w:t xml:space="preserve">each </w:t>
      </w:r>
      <w:r>
        <w:rPr>
          <w:rFonts w:ascii="Times" w:hAnsi="Times"/>
        </w:rPr>
        <w:t xml:space="preserve">baseline </w:t>
      </w:r>
      <w:r w:rsidR="00A70C2D">
        <w:rPr>
          <w:rFonts w:ascii="Times" w:hAnsi="Times"/>
        </w:rPr>
        <w:t>haematological abnormality</w:t>
      </w:r>
      <w:r w:rsidR="00A70C2D" w:rsidRPr="00EB2958">
        <w:rPr>
          <w:rFonts w:ascii="Times" w:hAnsi="Times"/>
        </w:rPr>
        <w:t xml:space="preserve"> </w:t>
      </w:r>
      <w:r w:rsidR="007D04B9">
        <w:rPr>
          <w:rFonts w:ascii="Times" w:hAnsi="Times"/>
        </w:rPr>
        <w:t xml:space="preserve">(anaemia, lymphopenia and </w:t>
      </w:r>
      <w:r w:rsidR="00DE5054">
        <w:rPr>
          <w:rFonts w:ascii="Times" w:hAnsi="Times"/>
        </w:rPr>
        <w:t>neutropenia</w:t>
      </w:r>
      <w:r w:rsidR="007D04B9">
        <w:rPr>
          <w:rFonts w:ascii="Times" w:hAnsi="Times"/>
        </w:rPr>
        <w:t>)</w:t>
      </w:r>
      <w:r>
        <w:rPr>
          <w:rFonts w:ascii="Times" w:hAnsi="Times"/>
        </w:rPr>
        <w:t xml:space="preserve"> on</w:t>
      </w:r>
      <w:r w:rsidR="00A2735C">
        <w:rPr>
          <w:rFonts w:ascii="Times" w:hAnsi="Times"/>
        </w:rPr>
        <w:t xml:space="preserve"> time to first infection was evaluated using </w:t>
      </w:r>
      <w:r w:rsidR="0024405B">
        <w:rPr>
          <w:rFonts w:ascii="Times" w:hAnsi="Times"/>
        </w:rPr>
        <w:t xml:space="preserve">separate </w:t>
      </w:r>
      <w:r w:rsidR="00A70C2D">
        <w:rPr>
          <w:rFonts w:ascii="Times" w:hAnsi="Times"/>
        </w:rPr>
        <w:t>unadjusted</w:t>
      </w:r>
      <w:r w:rsidR="009410FC">
        <w:rPr>
          <w:rFonts w:ascii="Times" w:hAnsi="Times"/>
        </w:rPr>
        <w:t xml:space="preserve"> Cox proportional hazards models</w:t>
      </w:r>
      <w:r w:rsidR="00A70C2D">
        <w:rPr>
          <w:rFonts w:ascii="Times" w:hAnsi="Times"/>
        </w:rPr>
        <w:t xml:space="preserve"> and</w:t>
      </w:r>
      <w:r w:rsidR="0024405B">
        <w:rPr>
          <w:rFonts w:ascii="Times" w:hAnsi="Times"/>
        </w:rPr>
        <w:t xml:space="preserve"> a multivariable</w:t>
      </w:r>
      <w:r w:rsidR="00A70C2D">
        <w:rPr>
          <w:rFonts w:ascii="Times" w:hAnsi="Times"/>
        </w:rPr>
        <w:t xml:space="preserve"> adjusted </w:t>
      </w:r>
      <w:r w:rsidR="00A2735C">
        <w:rPr>
          <w:rFonts w:ascii="Times" w:hAnsi="Times"/>
        </w:rPr>
        <w:t>Cox model</w:t>
      </w:r>
      <w:r w:rsidR="00A70C2D">
        <w:rPr>
          <w:rFonts w:ascii="Times" w:hAnsi="Times"/>
        </w:rPr>
        <w:t>.</w:t>
      </w:r>
      <w:r w:rsidR="00A70C2D" w:rsidRPr="00A70C2D">
        <w:rPr>
          <w:rFonts w:ascii="Times" w:hAnsi="Times"/>
        </w:rPr>
        <w:t xml:space="preserve"> </w:t>
      </w:r>
      <w:r w:rsidR="0024405B">
        <w:rPr>
          <w:rFonts w:ascii="Times" w:hAnsi="Times"/>
        </w:rPr>
        <w:t>The multivariable</w:t>
      </w:r>
      <w:r w:rsidR="00A70C2D">
        <w:rPr>
          <w:rFonts w:ascii="Times" w:hAnsi="Times"/>
        </w:rPr>
        <w:t xml:space="preserve"> </w:t>
      </w:r>
      <w:r w:rsidR="0024405B">
        <w:rPr>
          <w:rFonts w:ascii="Times" w:hAnsi="Times"/>
        </w:rPr>
        <w:t>model was</w:t>
      </w:r>
      <w:r w:rsidR="00A70C2D">
        <w:rPr>
          <w:rFonts w:ascii="Times" w:hAnsi="Times"/>
        </w:rPr>
        <w:t xml:space="preserve"> adjusted</w:t>
      </w:r>
      <w:r w:rsidR="00A70C2D" w:rsidRPr="00A2735C">
        <w:rPr>
          <w:rFonts w:ascii="Times" w:hAnsi="Times"/>
        </w:rPr>
        <w:t xml:space="preserve"> </w:t>
      </w:r>
      <w:r w:rsidR="00A70C2D">
        <w:rPr>
          <w:rFonts w:ascii="Times" w:hAnsi="Times"/>
        </w:rPr>
        <w:t xml:space="preserve">for age, sex, </w:t>
      </w:r>
      <w:r w:rsidR="00E02059">
        <w:rPr>
          <w:rFonts w:ascii="Times" w:hAnsi="Times"/>
        </w:rPr>
        <w:t>ethnicity</w:t>
      </w:r>
      <w:r w:rsidR="00CB7998">
        <w:rPr>
          <w:rFonts w:ascii="Times" w:hAnsi="Times"/>
        </w:rPr>
        <w:t xml:space="preserve">, and baseline measures of </w:t>
      </w:r>
      <w:r w:rsidR="00F3320D">
        <w:rPr>
          <w:rFonts w:ascii="Times" w:hAnsi="Times"/>
        </w:rPr>
        <w:t>BMI</w:t>
      </w:r>
      <w:r w:rsidR="00CE1982">
        <w:rPr>
          <w:rFonts w:ascii="Times" w:hAnsi="Times"/>
        </w:rPr>
        <w:t xml:space="preserve">, smoking status, </w:t>
      </w:r>
      <w:r w:rsidR="00A70C2D">
        <w:rPr>
          <w:rFonts w:ascii="Times" w:hAnsi="Times"/>
        </w:rPr>
        <w:t>medication use,</w:t>
      </w:r>
      <w:r w:rsidR="005945E1">
        <w:rPr>
          <w:rFonts w:ascii="Times" w:hAnsi="Times"/>
        </w:rPr>
        <w:t xml:space="preserve"> </w:t>
      </w:r>
      <w:proofErr w:type="spellStart"/>
      <w:r w:rsidR="00CE1982">
        <w:rPr>
          <w:rFonts w:ascii="Times" w:hAnsi="Times"/>
        </w:rPr>
        <w:t>seropositivity</w:t>
      </w:r>
      <w:proofErr w:type="spellEnd"/>
      <w:r w:rsidR="00CE1982">
        <w:rPr>
          <w:rFonts w:ascii="Times" w:hAnsi="Times"/>
        </w:rPr>
        <w:t xml:space="preserve"> and comorbidities</w:t>
      </w:r>
      <w:r w:rsidR="00CB7998">
        <w:rPr>
          <w:rFonts w:ascii="Times" w:hAnsi="Times"/>
        </w:rPr>
        <w:t xml:space="preserve"> </w:t>
      </w:r>
      <w:r w:rsidR="009410FC">
        <w:rPr>
          <w:rFonts w:ascii="Times" w:hAnsi="Times"/>
        </w:rPr>
        <w:t>(</w:t>
      </w:r>
      <w:r w:rsidR="00CB7998">
        <w:rPr>
          <w:rFonts w:ascii="Times" w:hAnsi="Times"/>
        </w:rPr>
        <w:t>detailed in Table 1</w:t>
      </w:r>
      <w:r w:rsidR="009410FC">
        <w:rPr>
          <w:rFonts w:ascii="Times" w:hAnsi="Times"/>
        </w:rPr>
        <w:t>)</w:t>
      </w:r>
      <w:r w:rsidR="00A70C2D">
        <w:rPr>
          <w:rFonts w:ascii="Times" w:hAnsi="Times"/>
        </w:rPr>
        <w:t>.</w:t>
      </w:r>
    </w:p>
    <w:p w14:paraId="7ABA88FB" w14:textId="6BA11114" w:rsidR="00AF5401" w:rsidRDefault="00AF5401" w:rsidP="007C02DB">
      <w:pPr>
        <w:spacing w:line="360" w:lineRule="auto"/>
        <w:jc w:val="both"/>
        <w:rPr>
          <w:rFonts w:ascii="Times" w:hAnsi="Times"/>
        </w:rPr>
      </w:pPr>
    </w:p>
    <w:p w14:paraId="4614ABD8" w14:textId="7BC6ADE3" w:rsidR="001D24CD" w:rsidRPr="00D05D00" w:rsidRDefault="001D24CD" w:rsidP="008C1377">
      <w:pPr>
        <w:spacing w:line="360" w:lineRule="auto"/>
        <w:jc w:val="both"/>
        <w:rPr>
          <w:rFonts w:ascii="Times" w:hAnsi="Times"/>
        </w:rPr>
      </w:pPr>
      <w:r w:rsidRPr="00EB2958">
        <w:rPr>
          <w:rFonts w:ascii="Times" w:hAnsi="Times"/>
        </w:rPr>
        <w:t xml:space="preserve">Time-varying </w:t>
      </w:r>
      <w:r w:rsidR="00455D75" w:rsidRPr="00D05D00">
        <w:rPr>
          <w:rFonts w:ascii="Times" w:hAnsi="Times"/>
        </w:rPr>
        <w:t xml:space="preserve">analysis: </w:t>
      </w:r>
      <w:r w:rsidR="0016043A" w:rsidRPr="00EB2958">
        <w:rPr>
          <w:rFonts w:ascii="Times" w:hAnsi="Times"/>
        </w:rPr>
        <w:t xml:space="preserve">To evaluate the influence of haematological abnormalities after diagnosis on risk of infection we updated the same </w:t>
      </w:r>
      <w:r w:rsidR="0003450E">
        <w:rPr>
          <w:rFonts w:ascii="Times" w:hAnsi="Times"/>
        </w:rPr>
        <w:t xml:space="preserve">unadjusted and </w:t>
      </w:r>
      <w:r w:rsidR="0016043A" w:rsidRPr="00EB2958">
        <w:rPr>
          <w:rFonts w:ascii="Times" w:hAnsi="Times"/>
        </w:rPr>
        <w:t xml:space="preserve">adjusted Cox models </w:t>
      </w:r>
      <w:r w:rsidR="00FF47EE">
        <w:rPr>
          <w:rFonts w:ascii="Times" w:hAnsi="Times"/>
        </w:rPr>
        <w:t xml:space="preserve">used in the baseline analysis </w:t>
      </w:r>
      <w:r w:rsidR="0016043A" w:rsidRPr="00EB2958">
        <w:rPr>
          <w:rFonts w:ascii="Times" w:hAnsi="Times"/>
        </w:rPr>
        <w:t>to include</w:t>
      </w:r>
      <w:r w:rsidR="00FF47EE">
        <w:rPr>
          <w:rFonts w:ascii="Times" w:hAnsi="Times"/>
        </w:rPr>
        <w:t xml:space="preserve"> </w:t>
      </w:r>
      <w:r w:rsidR="0016043A" w:rsidRPr="00EB2958">
        <w:rPr>
          <w:rFonts w:ascii="Times" w:hAnsi="Times"/>
        </w:rPr>
        <w:t>haematological measure</w:t>
      </w:r>
      <w:r w:rsidR="00FF47EE">
        <w:rPr>
          <w:rFonts w:ascii="Times" w:hAnsi="Times"/>
        </w:rPr>
        <w:t>s</w:t>
      </w:r>
      <w:r w:rsidR="007D04B9" w:rsidRPr="00EB2958">
        <w:rPr>
          <w:rFonts w:ascii="Times" w:hAnsi="Times"/>
        </w:rPr>
        <w:t xml:space="preserve"> across follow-up as time-varying covariate</w:t>
      </w:r>
      <w:r w:rsidR="00FF47EE">
        <w:rPr>
          <w:rFonts w:ascii="Times" w:hAnsi="Times"/>
        </w:rPr>
        <w:t>s</w:t>
      </w:r>
      <w:r w:rsidR="0016043A" w:rsidRPr="00EB2958">
        <w:rPr>
          <w:rFonts w:ascii="Times" w:hAnsi="Times"/>
        </w:rPr>
        <w:t>.</w:t>
      </w:r>
      <w:r w:rsidR="00FF47EE" w:rsidRPr="00FF47EE">
        <w:rPr>
          <w:rFonts w:ascii="Times" w:hAnsi="Times"/>
        </w:rPr>
        <w:t xml:space="preserve"> </w:t>
      </w:r>
      <w:r w:rsidR="00FF47EE">
        <w:rPr>
          <w:rFonts w:ascii="Times" w:hAnsi="Times"/>
        </w:rPr>
        <w:t>Each haematological abnormality was classified as a</w:t>
      </w:r>
      <w:r w:rsidR="00FF47EE" w:rsidRPr="00EB2958">
        <w:rPr>
          <w:rFonts w:ascii="Times" w:hAnsi="Times"/>
        </w:rPr>
        <w:t xml:space="preserve"> </w:t>
      </w:r>
      <w:r w:rsidR="00FF47EE">
        <w:rPr>
          <w:rFonts w:ascii="Times" w:hAnsi="Times"/>
        </w:rPr>
        <w:t xml:space="preserve">time varying </w:t>
      </w:r>
      <w:r w:rsidR="00FF47EE" w:rsidRPr="00EB2958">
        <w:rPr>
          <w:rFonts w:ascii="Times" w:hAnsi="Times"/>
        </w:rPr>
        <w:t>binary exposure</w:t>
      </w:r>
      <w:r w:rsidR="00FF47EE">
        <w:rPr>
          <w:rFonts w:ascii="Times" w:hAnsi="Times"/>
        </w:rPr>
        <w:t xml:space="preserve">: </w:t>
      </w:r>
      <w:r w:rsidR="00FF47EE" w:rsidRPr="00EB2958">
        <w:rPr>
          <w:rFonts w:ascii="Times" w:hAnsi="Times"/>
        </w:rPr>
        <w:t>the presence or absence of an abnormality on the most recent full blood count test</w:t>
      </w:r>
      <w:r w:rsidR="00FF47EE">
        <w:rPr>
          <w:rFonts w:ascii="Times" w:hAnsi="Times"/>
        </w:rPr>
        <w:t>.</w:t>
      </w:r>
      <w:r w:rsidR="0016043A" w:rsidRPr="00EB2958">
        <w:rPr>
          <w:rFonts w:ascii="Times" w:hAnsi="Times"/>
        </w:rPr>
        <w:t xml:space="preserve"> In this analysis individuals were able to transition from one </w:t>
      </w:r>
      <w:r w:rsidR="0016043A" w:rsidRPr="00EB2958">
        <w:rPr>
          <w:rFonts w:ascii="Times" w:hAnsi="Times"/>
        </w:rPr>
        <w:lastRenderedPageBreak/>
        <w:t>haematological</w:t>
      </w:r>
      <w:r w:rsidR="00E04B89">
        <w:rPr>
          <w:rFonts w:ascii="Times" w:hAnsi="Times"/>
        </w:rPr>
        <w:t xml:space="preserve"> state to another (e.g. neutropenic to non-neutrop</w:t>
      </w:r>
      <w:r w:rsidR="0016043A" w:rsidRPr="00EB2958">
        <w:rPr>
          <w:rFonts w:ascii="Times" w:hAnsi="Times"/>
        </w:rPr>
        <w:t>enic) multiple times during the follow-up period.</w:t>
      </w:r>
      <w:r w:rsidR="008423C9" w:rsidRPr="00EB2958">
        <w:rPr>
          <w:rFonts w:ascii="Times" w:hAnsi="Times"/>
        </w:rPr>
        <w:t xml:space="preserve"> </w:t>
      </w:r>
      <w:r w:rsidR="004B63F6" w:rsidRPr="00EB2958">
        <w:rPr>
          <w:rFonts w:ascii="Times" w:hAnsi="Times"/>
        </w:rPr>
        <w:t>H</w:t>
      </w:r>
      <w:r w:rsidR="008423C9" w:rsidRPr="00EB2958">
        <w:rPr>
          <w:rFonts w:ascii="Times" w:hAnsi="Times"/>
        </w:rPr>
        <w:t>aematological results</w:t>
      </w:r>
      <w:r w:rsidR="004B63F6" w:rsidRPr="00EB2958">
        <w:rPr>
          <w:rFonts w:ascii="Times" w:hAnsi="Times"/>
        </w:rPr>
        <w:t xml:space="preserve"> recorded</w:t>
      </w:r>
      <w:r w:rsidR="008423C9" w:rsidRPr="00EB2958">
        <w:rPr>
          <w:rFonts w:ascii="Times" w:hAnsi="Times"/>
        </w:rPr>
        <w:t xml:space="preserve"> in the two weeks prior to an infection were excluded to </w:t>
      </w:r>
      <w:r w:rsidR="004B63F6" w:rsidRPr="00EB2958">
        <w:rPr>
          <w:rFonts w:ascii="Times" w:hAnsi="Times"/>
        </w:rPr>
        <w:t>reduce the likelihood the infection itself influenced the haematological measures.</w:t>
      </w:r>
    </w:p>
    <w:p w14:paraId="0FB2901B" w14:textId="77777777" w:rsidR="001D24CD" w:rsidRDefault="001D24CD" w:rsidP="001D24CD">
      <w:pPr>
        <w:spacing w:line="360" w:lineRule="auto"/>
        <w:jc w:val="both"/>
        <w:rPr>
          <w:rFonts w:ascii="Times" w:hAnsi="Times"/>
          <w:i/>
        </w:rPr>
      </w:pPr>
    </w:p>
    <w:p w14:paraId="584950EE" w14:textId="77777777" w:rsidR="001D24CD" w:rsidRDefault="001D24CD" w:rsidP="001D24CD">
      <w:pPr>
        <w:spacing w:line="360" w:lineRule="auto"/>
        <w:jc w:val="both"/>
        <w:rPr>
          <w:rFonts w:ascii="Times" w:hAnsi="Times"/>
          <w:i/>
        </w:rPr>
      </w:pPr>
      <w:r w:rsidRPr="009215D0">
        <w:rPr>
          <w:rFonts w:ascii="Times" w:hAnsi="Times"/>
          <w:i/>
        </w:rPr>
        <w:t>Vaccinations</w:t>
      </w:r>
    </w:p>
    <w:p w14:paraId="7EC9D2C5" w14:textId="62EFFDE4" w:rsidR="00AF5401" w:rsidRDefault="00AF5401" w:rsidP="007C35F5">
      <w:pPr>
        <w:spacing w:line="360" w:lineRule="auto"/>
        <w:jc w:val="both"/>
        <w:rPr>
          <w:rFonts w:ascii="Times" w:hAnsi="Times"/>
        </w:rPr>
      </w:pPr>
      <w:r>
        <w:rPr>
          <w:rFonts w:ascii="Times" w:hAnsi="Times"/>
        </w:rPr>
        <w:t>We assessed differences in the effectiveness of vaccinations for influenza and pneumococcus, among patients with RA and those without RA, by comparing incidences of these infections in subgroup</w:t>
      </w:r>
      <w:r w:rsidR="00A2735C">
        <w:rPr>
          <w:rFonts w:ascii="Times" w:hAnsi="Times"/>
        </w:rPr>
        <w:t xml:space="preserve">s who </w:t>
      </w:r>
      <w:r>
        <w:rPr>
          <w:rFonts w:ascii="Times" w:hAnsi="Times"/>
        </w:rPr>
        <w:t>had</w:t>
      </w:r>
      <w:r w:rsidR="00A2735C">
        <w:rPr>
          <w:rFonts w:ascii="Times" w:hAnsi="Times"/>
        </w:rPr>
        <w:t xml:space="preserve"> and had not</w:t>
      </w:r>
      <w:r>
        <w:rPr>
          <w:rFonts w:ascii="Times" w:hAnsi="Times"/>
        </w:rPr>
        <w:t xml:space="preserve"> undergone immunisation. Comparisons were made using the </w:t>
      </w:r>
      <w:r>
        <w:rPr>
          <w:rFonts w:ascii="Times" w:hAnsi="Times"/>
          <w:lang w:val="en-US"/>
        </w:rPr>
        <w:t>χ</w:t>
      </w:r>
      <w:r w:rsidRPr="009C3B49">
        <w:rPr>
          <w:rFonts w:ascii="Times" w:hAnsi="Times"/>
          <w:vertAlign w:val="superscript"/>
          <w:lang w:val="en-US"/>
        </w:rPr>
        <w:t>2</w:t>
      </w:r>
      <w:r w:rsidRPr="009C3B49">
        <w:rPr>
          <w:rFonts w:ascii="Times" w:hAnsi="Times"/>
        </w:rPr>
        <w:t xml:space="preserve"> </w:t>
      </w:r>
      <w:r w:rsidR="004823FD">
        <w:rPr>
          <w:rFonts w:ascii="Times" w:hAnsi="Times"/>
        </w:rPr>
        <w:t>test</w:t>
      </w:r>
      <w:r w:rsidR="005A1F20">
        <w:rPr>
          <w:rFonts w:ascii="Times" w:hAnsi="Times"/>
        </w:rPr>
        <w:t>s</w:t>
      </w:r>
      <w:r w:rsidR="004823FD">
        <w:rPr>
          <w:rFonts w:ascii="Times" w:hAnsi="Times"/>
        </w:rPr>
        <w:t xml:space="preserve">. </w:t>
      </w:r>
      <w:r w:rsidR="00306708">
        <w:rPr>
          <w:rFonts w:ascii="Times" w:hAnsi="Times"/>
        </w:rPr>
        <w:t xml:space="preserve">Time to infection by vaccination status was evaluated separately in </w:t>
      </w:r>
      <w:r w:rsidR="00650F9A">
        <w:rPr>
          <w:rFonts w:ascii="Times" w:hAnsi="Times"/>
        </w:rPr>
        <w:t>individuals</w:t>
      </w:r>
      <w:r w:rsidR="00306708">
        <w:rPr>
          <w:rFonts w:ascii="Times" w:hAnsi="Times"/>
        </w:rPr>
        <w:t xml:space="preserve"> with and without RA using una</w:t>
      </w:r>
      <w:r w:rsidR="00F109EC">
        <w:rPr>
          <w:rFonts w:ascii="Times" w:hAnsi="Times"/>
        </w:rPr>
        <w:t>djusted and adjusted Cox models</w:t>
      </w:r>
      <w:r w:rsidR="00650F9A">
        <w:rPr>
          <w:rFonts w:ascii="Times" w:hAnsi="Times"/>
        </w:rPr>
        <w:t xml:space="preserve">, with </w:t>
      </w:r>
      <w:r w:rsidR="0044117D">
        <w:rPr>
          <w:rFonts w:ascii="Times" w:hAnsi="Times"/>
        </w:rPr>
        <w:t>a</w:t>
      </w:r>
      <w:r w:rsidR="0044117D" w:rsidRPr="0044117D">
        <w:rPr>
          <w:rFonts w:ascii="Times" w:hAnsi="Times"/>
        </w:rPr>
        <w:t>djust</w:t>
      </w:r>
      <w:r w:rsidR="00650F9A">
        <w:rPr>
          <w:rFonts w:ascii="Times" w:hAnsi="Times"/>
        </w:rPr>
        <w:t>ment</w:t>
      </w:r>
      <w:r w:rsidR="0044117D" w:rsidRPr="0044117D">
        <w:rPr>
          <w:rFonts w:ascii="Times" w:hAnsi="Times"/>
        </w:rPr>
        <w:t xml:space="preserve"> for age, </w:t>
      </w:r>
      <w:r w:rsidR="00E04B89">
        <w:rPr>
          <w:rFonts w:ascii="Times" w:hAnsi="Times"/>
        </w:rPr>
        <w:t>sex</w:t>
      </w:r>
      <w:r w:rsidR="0044117D" w:rsidRPr="0044117D">
        <w:rPr>
          <w:rFonts w:ascii="Times" w:hAnsi="Times"/>
        </w:rPr>
        <w:t>, ethnicity, BMI, smoking status, comorbidities</w:t>
      </w:r>
      <w:r w:rsidR="00645518">
        <w:rPr>
          <w:rFonts w:ascii="Times" w:hAnsi="Times"/>
        </w:rPr>
        <w:t xml:space="preserve"> </w:t>
      </w:r>
      <w:r w:rsidR="0003450E">
        <w:rPr>
          <w:rFonts w:ascii="Times" w:hAnsi="Times"/>
        </w:rPr>
        <w:t xml:space="preserve">likely to </w:t>
      </w:r>
      <w:r w:rsidR="00645518">
        <w:rPr>
          <w:rFonts w:ascii="Times" w:hAnsi="Times"/>
        </w:rPr>
        <w:t>influence vaccination status</w:t>
      </w:r>
      <w:r w:rsidR="0044117D" w:rsidRPr="0044117D">
        <w:rPr>
          <w:rFonts w:ascii="Times" w:hAnsi="Times"/>
        </w:rPr>
        <w:t xml:space="preserve"> (COPD, asthma, diabetes, CKD), use of immunosuppressive agents and in those with RA</w:t>
      </w:r>
      <w:r w:rsidR="0044117D">
        <w:rPr>
          <w:rFonts w:ascii="Times" w:hAnsi="Times"/>
        </w:rPr>
        <w:t>;</w:t>
      </w:r>
      <w:r w:rsidR="0044117D" w:rsidRPr="0044117D">
        <w:rPr>
          <w:rFonts w:ascii="Times" w:hAnsi="Times"/>
        </w:rPr>
        <w:t xml:space="preserve"> the duration of RA, and RA </w:t>
      </w:r>
      <w:r w:rsidR="00557C2D">
        <w:rPr>
          <w:rFonts w:ascii="Times" w:hAnsi="Times"/>
        </w:rPr>
        <w:t>autoantibody</w:t>
      </w:r>
      <w:r w:rsidR="00557C2D" w:rsidRPr="0044117D">
        <w:rPr>
          <w:rFonts w:ascii="Times" w:hAnsi="Times"/>
        </w:rPr>
        <w:t xml:space="preserve"> </w:t>
      </w:r>
      <w:r w:rsidR="0044117D" w:rsidRPr="0044117D">
        <w:rPr>
          <w:rFonts w:ascii="Times" w:hAnsi="Times"/>
        </w:rPr>
        <w:t>status.</w:t>
      </w:r>
      <w:r w:rsidR="0044117D">
        <w:rPr>
          <w:rFonts w:ascii="Times" w:hAnsi="Times"/>
        </w:rPr>
        <w:t xml:space="preserve"> </w:t>
      </w:r>
      <w:r w:rsidR="007C35F5" w:rsidRPr="007C35F5">
        <w:rPr>
          <w:rFonts w:ascii="Times" w:hAnsi="Times"/>
        </w:rPr>
        <w:t>To test for an overall effect of</w:t>
      </w:r>
      <w:r w:rsidR="007C35F5">
        <w:rPr>
          <w:rFonts w:ascii="Times" w:hAnsi="Times"/>
        </w:rPr>
        <w:t xml:space="preserve"> </w:t>
      </w:r>
      <w:r w:rsidR="007C35F5" w:rsidRPr="007C35F5">
        <w:rPr>
          <w:rFonts w:ascii="Times" w:hAnsi="Times"/>
        </w:rPr>
        <w:t xml:space="preserve">heterogeneity by </w:t>
      </w:r>
      <w:r w:rsidR="007C35F5">
        <w:rPr>
          <w:rFonts w:ascii="Times" w:hAnsi="Times"/>
        </w:rPr>
        <w:t>RA status and vaccination status</w:t>
      </w:r>
      <w:r w:rsidR="007C35F5" w:rsidRPr="007C35F5">
        <w:rPr>
          <w:rFonts w:ascii="Times" w:hAnsi="Times"/>
        </w:rPr>
        <w:t>,</w:t>
      </w:r>
      <w:r w:rsidR="007C35F5">
        <w:rPr>
          <w:rFonts w:ascii="Times" w:hAnsi="Times"/>
        </w:rPr>
        <w:t xml:space="preserve"> </w:t>
      </w:r>
      <w:r w:rsidR="007C35F5" w:rsidRPr="007C35F5">
        <w:rPr>
          <w:rFonts w:ascii="Times" w:hAnsi="Times"/>
        </w:rPr>
        <w:t>we used a likelihood ratio test to</w:t>
      </w:r>
      <w:r w:rsidR="007C35F5">
        <w:rPr>
          <w:rFonts w:ascii="Times" w:hAnsi="Times"/>
        </w:rPr>
        <w:t xml:space="preserve"> </w:t>
      </w:r>
      <w:r w:rsidR="007C35F5" w:rsidRPr="007C35F5">
        <w:rPr>
          <w:rFonts w:ascii="Times" w:hAnsi="Times"/>
        </w:rPr>
        <w:t xml:space="preserve">compare a model with a </w:t>
      </w:r>
      <w:r w:rsidR="009A7103">
        <w:rPr>
          <w:rFonts w:ascii="Times" w:hAnsi="Times"/>
        </w:rPr>
        <w:t>RA status and vaccination status</w:t>
      </w:r>
      <w:r w:rsidR="007C35F5">
        <w:rPr>
          <w:rFonts w:ascii="Times" w:hAnsi="Times"/>
        </w:rPr>
        <w:t xml:space="preserve"> </w:t>
      </w:r>
      <w:r w:rsidR="007C35F5" w:rsidRPr="007C35F5">
        <w:rPr>
          <w:rFonts w:ascii="Times" w:hAnsi="Times"/>
        </w:rPr>
        <w:t>interaction</w:t>
      </w:r>
      <w:r w:rsidR="009A7103">
        <w:rPr>
          <w:rFonts w:ascii="Times" w:hAnsi="Times"/>
        </w:rPr>
        <w:t xml:space="preserve"> term</w:t>
      </w:r>
      <w:r w:rsidR="007C35F5" w:rsidRPr="007C35F5">
        <w:rPr>
          <w:rFonts w:ascii="Times" w:hAnsi="Times"/>
        </w:rPr>
        <w:t xml:space="preserve"> with a nested model without</w:t>
      </w:r>
      <w:r w:rsidR="007C35F5">
        <w:rPr>
          <w:rFonts w:ascii="Times" w:hAnsi="Times"/>
        </w:rPr>
        <w:t xml:space="preserve"> </w:t>
      </w:r>
      <w:r w:rsidR="007C35F5" w:rsidRPr="007C35F5">
        <w:rPr>
          <w:rFonts w:ascii="Times" w:hAnsi="Times"/>
        </w:rPr>
        <w:t>an interaction term.</w:t>
      </w:r>
      <w:r w:rsidR="007C35F5">
        <w:rPr>
          <w:rFonts w:ascii="Times" w:hAnsi="Times"/>
        </w:rPr>
        <w:t xml:space="preserve"> </w:t>
      </w:r>
      <w:r w:rsidR="00650F9A">
        <w:rPr>
          <w:rFonts w:ascii="Times" w:hAnsi="Times"/>
        </w:rPr>
        <w:t>S</w:t>
      </w:r>
      <w:r>
        <w:rPr>
          <w:rFonts w:ascii="Times" w:hAnsi="Times"/>
        </w:rPr>
        <w:t>tatistical analyses were performed in R version 3.</w:t>
      </w:r>
      <w:r w:rsidR="00650F9A">
        <w:rPr>
          <w:rFonts w:ascii="Times" w:hAnsi="Times"/>
        </w:rPr>
        <w:t>4</w:t>
      </w:r>
      <w:r>
        <w:rPr>
          <w:rFonts w:ascii="Times" w:hAnsi="Times"/>
        </w:rPr>
        <w:t>.1.</w:t>
      </w:r>
    </w:p>
    <w:p w14:paraId="05CEB3D0" w14:textId="1F926666" w:rsidR="00AF5401" w:rsidRDefault="00AF5401" w:rsidP="008C1377">
      <w:pPr>
        <w:spacing w:line="360" w:lineRule="auto"/>
        <w:jc w:val="both"/>
        <w:rPr>
          <w:rFonts w:ascii="Times" w:hAnsi="Times"/>
        </w:rPr>
      </w:pPr>
    </w:p>
    <w:p w14:paraId="4E6F0C2E" w14:textId="25F682DC" w:rsidR="00164D37" w:rsidRDefault="00164D37" w:rsidP="008C1377">
      <w:pPr>
        <w:spacing w:line="360" w:lineRule="auto"/>
        <w:jc w:val="both"/>
        <w:rPr>
          <w:rFonts w:ascii="Times" w:hAnsi="Times"/>
          <w:b/>
        </w:rPr>
      </w:pPr>
      <w:r>
        <w:rPr>
          <w:rFonts w:ascii="Times" w:hAnsi="Times"/>
          <w:b/>
        </w:rPr>
        <w:t>Ethics</w:t>
      </w:r>
    </w:p>
    <w:p w14:paraId="7D06E76B" w14:textId="26A3B2CD" w:rsidR="00164D37" w:rsidRPr="00164D37" w:rsidRDefault="00164D37" w:rsidP="008C1377">
      <w:pPr>
        <w:spacing w:line="360" w:lineRule="auto"/>
        <w:jc w:val="both"/>
        <w:rPr>
          <w:rFonts w:ascii="Times" w:hAnsi="Times"/>
          <w:b/>
        </w:rPr>
      </w:pPr>
      <w:r>
        <w:rPr>
          <w:rFonts w:ascii="Times" w:hAnsi="Times"/>
        </w:rPr>
        <w:t xml:space="preserve">Study approval was granted by the Research Committee of the RCGP RSC. The study did not </w:t>
      </w:r>
      <w:r w:rsidR="00650F9A">
        <w:rPr>
          <w:rFonts w:ascii="Times" w:hAnsi="Times"/>
        </w:rPr>
        <w:t>require</w:t>
      </w:r>
      <w:r>
        <w:rPr>
          <w:rFonts w:ascii="Times" w:hAnsi="Times"/>
        </w:rPr>
        <w:t xml:space="preserve"> formal ethics board review at a national level as defined using the NHS Health Research Authority research decision tool (</w:t>
      </w:r>
      <w:r w:rsidRPr="009C5337">
        <w:rPr>
          <w:rFonts w:ascii="Times" w:hAnsi="Times"/>
        </w:rPr>
        <w:t>http://www.hra-decisiontools.org.uk/research/</w:t>
      </w:r>
      <w:r>
        <w:rPr>
          <w:rFonts w:ascii="Times" w:hAnsi="Times"/>
        </w:rPr>
        <w:t>).</w:t>
      </w:r>
    </w:p>
    <w:p w14:paraId="2E25C9F7" w14:textId="77777777" w:rsidR="00FF2880" w:rsidRDefault="00FF2880" w:rsidP="008C1377">
      <w:pPr>
        <w:spacing w:line="360" w:lineRule="auto"/>
        <w:jc w:val="both"/>
        <w:rPr>
          <w:rFonts w:ascii="Times" w:hAnsi="Times"/>
          <w:b/>
        </w:rPr>
      </w:pPr>
    </w:p>
    <w:p w14:paraId="459A8614" w14:textId="77777777" w:rsidR="004A16B6" w:rsidRDefault="004A16B6">
      <w:pPr>
        <w:rPr>
          <w:rFonts w:ascii="Times" w:hAnsi="Times"/>
          <w:b/>
        </w:rPr>
      </w:pPr>
      <w:r>
        <w:rPr>
          <w:rFonts w:ascii="Times" w:hAnsi="Times"/>
          <w:b/>
        </w:rPr>
        <w:br w:type="page"/>
      </w:r>
    </w:p>
    <w:p w14:paraId="61544B79" w14:textId="5E5A3470" w:rsidR="00AF5401" w:rsidRDefault="00AF5401" w:rsidP="008C1377">
      <w:pPr>
        <w:spacing w:line="360" w:lineRule="auto"/>
        <w:jc w:val="both"/>
        <w:rPr>
          <w:rFonts w:ascii="Times" w:hAnsi="Times"/>
          <w:b/>
        </w:rPr>
      </w:pPr>
      <w:r w:rsidRPr="00AF5401">
        <w:rPr>
          <w:rFonts w:ascii="Times" w:hAnsi="Times"/>
          <w:b/>
        </w:rPr>
        <w:lastRenderedPageBreak/>
        <w:t>RESULTS</w:t>
      </w:r>
    </w:p>
    <w:p w14:paraId="05432AEA" w14:textId="77777777" w:rsidR="00A34CE5" w:rsidRDefault="00A34CE5" w:rsidP="008C1377">
      <w:pPr>
        <w:spacing w:line="360" w:lineRule="auto"/>
        <w:jc w:val="both"/>
        <w:rPr>
          <w:rFonts w:ascii="Times" w:hAnsi="Times"/>
          <w:b/>
        </w:rPr>
      </w:pPr>
    </w:p>
    <w:p w14:paraId="0520A9C8" w14:textId="70A1E582" w:rsidR="00775FC6" w:rsidRDefault="004D3C51" w:rsidP="008C1377">
      <w:pPr>
        <w:spacing w:line="360" w:lineRule="auto"/>
        <w:jc w:val="both"/>
        <w:rPr>
          <w:rFonts w:ascii="Times" w:hAnsi="Times"/>
        </w:rPr>
      </w:pPr>
      <w:r>
        <w:rPr>
          <w:rFonts w:ascii="Times" w:hAnsi="Times"/>
        </w:rPr>
        <w:t xml:space="preserve">6591 individuals </w:t>
      </w:r>
      <w:r w:rsidR="00650F9A">
        <w:rPr>
          <w:rFonts w:ascii="Times" w:hAnsi="Times"/>
        </w:rPr>
        <w:t>were diagnosed with RA,</w:t>
      </w:r>
      <w:r w:rsidR="00015038">
        <w:rPr>
          <w:rFonts w:ascii="Times" w:hAnsi="Times"/>
        </w:rPr>
        <w:t xml:space="preserve"> the majority</w:t>
      </w:r>
      <w:r w:rsidR="00775FC6">
        <w:rPr>
          <w:rFonts w:ascii="Times" w:hAnsi="Times"/>
        </w:rPr>
        <w:t xml:space="preserve"> (67%)</w:t>
      </w:r>
      <w:r w:rsidR="00015038">
        <w:rPr>
          <w:rFonts w:ascii="Times" w:hAnsi="Times"/>
        </w:rPr>
        <w:t xml:space="preserve"> were </w:t>
      </w:r>
      <w:r w:rsidR="00B22D7D">
        <w:rPr>
          <w:rFonts w:ascii="Times" w:hAnsi="Times"/>
        </w:rPr>
        <w:t xml:space="preserve">female </w:t>
      </w:r>
      <w:r w:rsidR="00775FC6">
        <w:rPr>
          <w:rFonts w:ascii="Times" w:hAnsi="Times"/>
        </w:rPr>
        <w:t>(Table 1)</w:t>
      </w:r>
      <w:r w:rsidR="00015038">
        <w:rPr>
          <w:rFonts w:ascii="Times" w:hAnsi="Times"/>
        </w:rPr>
        <w:t>.</w:t>
      </w:r>
      <w:r w:rsidR="00650F9A">
        <w:rPr>
          <w:rFonts w:ascii="Times" w:hAnsi="Times"/>
        </w:rPr>
        <w:t xml:space="preserve"> Median follow</w:t>
      </w:r>
      <w:r w:rsidR="009410FC">
        <w:rPr>
          <w:rFonts w:ascii="Times" w:hAnsi="Times"/>
        </w:rPr>
        <w:t>-</w:t>
      </w:r>
      <w:r w:rsidR="00650F9A">
        <w:rPr>
          <w:rFonts w:ascii="Times" w:hAnsi="Times"/>
        </w:rPr>
        <w:t>up was 2.2 years</w:t>
      </w:r>
      <w:r w:rsidR="00F109EC">
        <w:rPr>
          <w:rFonts w:ascii="Times" w:hAnsi="Times"/>
        </w:rPr>
        <w:t>.</w:t>
      </w:r>
      <w:r w:rsidR="00650F9A">
        <w:rPr>
          <w:rFonts w:ascii="Times" w:hAnsi="Times"/>
        </w:rPr>
        <w:t xml:space="preserve"> </w:t>
      </w:r>
      <w:r w:rsidR="00775FC6">
        <w:rPr>
          <w:rFonts w:ascii="Times" w:hAnsi="Times"/>
        </w:rPr>
        <w:t>At baseline anaemia was present in 1066 (16</w:t>
      </w:r>
      <w:r w:rsidR="00A70C2D">
        <w:rPr>
          <w:rFonts w:ascii="Times" w:hAnsi="Times"/>
        </w:rPr>
        <w:t>.</w:t>
      </w:r>
      <w:r w:rsidR="00D97012">
        <w:rPr>
          <w:rFonts w:ascii="Times" w:hAnsi="Times"/>
        </w:rPr>
        <w:t>2</w:t>
      </w:r>
      <w:r w:rsidR="00775FC6">
        <w:rPr>
          <w:rFonts w:ascii="Times" w:hAnsi="Times"/>
        </w:rPr>
        <w:t>%)</w:t>
      </w:r>
      <w:r w:rsidR="00EA155C">
        <w:rPr>
          <w:rFonts w:ascii="Times" w:hAnsi="Times"/>
        </w:rPr>
        <w:t>;</w:t>
      </w:r>
      <w:r w:rsidR="00775FC6">
        <w:rPr>
          <w:rFonts w:ascii="Times" w:hAnsi="Times"/>
        </w:rPr>
        <w:t xml:space="preserve"> neutropenia (n=38, </w:t>
      </w:r>
      <w:r w:rsidR="00A70C2D">
        <w:rPr>
          <w:rFonts w:ascii="Times" w:hAnsi="Times"/>
        </w:rPr>
        <w:t>0.6</w:t>
      </w:r>
      <w:r w:rsidR="00775FC6">
        <w:rPr>
          <w:rFonts w:ascii="Times" w:hAnsi="Times"/>
        </w:rPr>
        <w:t xml:space="preserve">%) and lymphopenia </w:t>
      </w:r>
      <w:r w:rsidR="00154E31">
        <w:rPr>
          <w:rFonts w:ascii="Times" w:hAnsi="Times"/>
        </w:rPr>
        <w:t>(n=</w:t>
      </w:r>
      <w:r w:rsidR="00775FC6">
        <w:rPr>
          <w:rFonts w:ascii="Times" w:hAnsi="Times"/>
        </w:rPr>
        <w:t>97, 1</w:t>
      </w:r>
      <w:r w:rsidR="00A70C2D">
        <w:rPr>
          <w:rFonts w:ascii="Times" w:hAnsi="Times"/>
        </w:rPr>
        <w:t>.</w:t>
      </w:r>
      <w:r w:rsidR="00D97012">
        <w:rPr>
          <w:rFonts w:ascii="Times" w:hAnsi="Times"/>
        </w:rPr>
        <w:t>5</w:t>
      </w:r>
      <w:r w:rsidR="00775FC6">
        <w:rPr>
          <w:rFonts w:ascii="Times" w:hAnsi="Times"/>
        </w:rPr>
        <w:t>%) were less common.</w:t>
      </w:r>
      <w:r w:rsidR="002132DE">
        <w:rPr>
          <w:rFonts w:ascii="Times" w:hAnsi="Times"/>
        </w:rPr>
        <w:t xml:space="preserve"> </w:t>
      </w:r>
      <w:r w:rsidR="00B22D7D">
        <w:rPr>
          <w:rFonts w:ascii="Times" w:hAnsi="Times"/>
        </w:rPr>
        <w:t>The proportion of individuals with anaemia increased in the years prior to diagnosis (4.5% of individuals had anaemia 3 years prior to diagnosis, 5.6% 2 years prior, and 7.5% 1 year prior). The proportion with neutropenia and lymphopenia ranged from, respectively, 0.4-0.6% and 0.2-0.4% over the same pre-diagnosis period (</w:t>
      </w:r>
      <w:r w:rsidR="0083451A">
        <w:rPr>
          <w:rFonts w:ascii="Times" w:hAnsi="Times"/>
        </w:rPr>
        <w:t>Table 2</w:t>
      </w:r>
      <w:r w:rsidR="00B22D7D">
        <w:rPr>
          <w:rFonts w:ascii="Times" w:hAnsi="Times"/>
        </w:rPr>
        <w:t xml:space="preserve">). </w:t>
      </w:r>
      <w:r w:rsidR="002132DE">
        <w:rPr>
          <w:rFonts w:ascii="Times" w:hAnsi="Times"/>
        </w:rPr>
        <w:t xml:space="preserve">At 3 years </w:t>
      </w:r>
      <w:r w:rsidR="009410FC">
        <w:rPr>
          <w:rFonts w:ascii="Times" w:hAnsi="Times"/>
        </w:rPr>
        <w:t>post-</w:t>
      </w:r>
      <w:r w:rsidR="00B22D7D">
        <w:rPr>
          <w:rFonts w:ascii="Times" w:hAnsi="Times"/>
        </w:rPr>
        <w:t xml:space="preserve">diagnosis the proportion of individuals with each haematological abnormality remained similar </w:t>
      </w:r>
      <w:r w:rsidR="00650F9A">
        <w:rPr>
          <w:rFonts w:ascii="Times" w:hAnsi="Times"/>
        </w:rPr>
        <w:t xml:space="preserve">to </w:t>
      </w:r>
      <w:r w:rsidR="00F109EC">
        <w:rPr>
          <w:rFonts w:ascii="Times" w:hAnsi="Times"/>
        </w:rPr>
        <w:t>at-</w:t>
      </w:r>
      <w:r w:rsidR="00650F9A">
        <w:rPr>
          <w:rFonts w:ascii="Times" w:hAnsi="Times"/>
        </w:rPr>
        <w:t xml:space="preserve">diagnosis </w:t>
      </w:r>
      <w:r w:rsidR="00B22D7D">
        <w:rPr>
          <w:rFonts w:ascii="Times" w:hAnsi="Times"/>
        </w:rPr>
        <w:t>(</w:t>
      </w:r>
      <w:r w:rsidR="002132DE">
        <w:rPr>
          <w:rFonts w:ascii="Times" w:hAnsi="Times"/>
        </w:rPr>
        <w:t xml:space="preserve">anaemia </w:t>
      </w:r>
      <w:r w:rsidR="00A70C2D">
        <w:rPr>
          <w:rFonts w:ascii="Times" w:hAnsi="Times"/>
        </w:rPr>
        <w:t>15.9</w:t>
      </w:r>
      <w:r w:rsidR="002132DE">
        <w:rPr>
          <w:rFonts w:ascii="Times" w:hAnsi="Times"/>
        </w:rPr>
        <w:t xml:space="preserve">%, neutropenia </w:t>
      </w:r>
      <w:r w:rsidR="00A70C2D">
        <w:rPr>
          <w:rFonts w:ascii="Times" w:hAnsi="Times"/>
        </w:rPr>
        <w:t>1.1</w:t>
      </w:r>
      <w:r w:rsidR="002132DE">
        <w:rPr>
          <w:rFonts w:ascii="Times" w:hAnsi="Times"/>
        </w:rPr>
        <w:t xml:space="preserve">%, </w:t>
      </w:r>
      <w:proofErr w:type="gramStart"/>
      <w:r w:rsidR="002132DE">
        <w:rPr>
          <w:rFonts w:ascii="Times" w:hAnsi="Times"/>
        </w:rPr>
        <w:t>lymphopenia</w:t>
      </w:r>
      <w:proofErr w:type="gramEnd"/>
      <w:r w:rsidR="002132DE">
        <w:rPr>
          <w:rFonts w:ascii="Times" w:hAnsi="Times"/>
        </w:rPr>
        <w:t xml:space="preserve"> 1.5%</w:t>
      </w:r>
      <w:r w:rsidR="00B22D7D">
        <w:rPr>
          <w:rFonts w:ascii="Times" w:hAnsi="Times"/>
        </w:rPr>
        <w:t xml:space="preserve"> (</w:t>
      </w:r>
      <w:r w:rsidR="0083451A">
        <w:rPr>
          <w:rFonts w:ascii="Times" w:hAnsi="Times"/>
        </w:rPr>
        <w:t>Table 2</w:t>
      </w:r>
      <w:r w:rsidR="002132DE">
        <w:rPr>
          <w:rFonts w:ascii="Times" w:hAnsi="Times"/>
        </w:rPr>
        <w:t>).</w:t>
      </w:r>
    </w:p>
    <w:p w14:paraId="5787579D" w14:textId="110196C3" w:rsidR="00FC19A4" w:rsidRDefault="00FC19A4" w:rsidP="008C1377">
      <w:pPr>
        <w:spacing w:line="360" w:lineRule="auto"/>
        <w:jc w:val="both"/>
        <w:rPr>
          <w:rFonts w:ascii="Times" w:hAnsi="Times"/>
        </w:rPr>
      </w:pPr>
    </w:p>
    <w:p w14:paraId="7E38F3EE" w14:textId="28FDEF4C" w:rsidR="00FC19A4" w:rsidRPr="00D4690A" w:rsidRDefault="00FC19A4" w:rsidP="008C1377">
      <w:pPr>
        <w:spacing w:line="360" w:lineRule="auto"/>
        <w:jc w:val="both"/>
        <w:rPr>
          <w:rFonts w:ascii="Times" w:hAnsi="Times"/>
          <w:b/>
          <w:i/>
        </w:rPr>
      </w:pPr>
      <w:r w:rsidRPr="00D4690A">
        <w:rPr>
          <w:rFonts w:ascii="Times" w:hAnsi="Times"/>
          <w:b/>
          <w:i/>
        </w:rPr>
        <w:t>Baseline</w:t>
      </w:r>
      <w:r>
        <w:rPr>
          <w:rFonts w:ascii="Times" w:hAnsi="Times"/>
          <w:b/>
          <w:i/>
        </w:rPr>
        <w:t xml:space="preserve"> patient</w:t>
      </w:r>
      <w:r w:rsidRPr="00D4690A">
        <w:rPr>
          <w:rFonts w:ascii="Times" w:hAnsi="Times"/>
          <w:b/>
          <w:i/>
        </w:rPr>
        <w:t xml:space="preserve"> characteristics differ by</w:t>
      </w:r>
      <w:r>
        <w:rPr>
          <w:rFonts w:ascii="Times" w:hAnsi="Times"/>
          <w:b/>
          <w:i/>
        </w:rPr>
        <w:t xml:space="preserve"> haematological status</w:t>
      </w:r>
    </w:p>
    <w:p w14:paraId="101CC57D" w14:textId="4DF5F14B" w:rsidR="004D3C51" w:rsidRDefault="0086077C" w:rsidP="008C1377">
      <w:pPr>
        <w:spacing w:line="360" w:lineRule="auto"/>
        <w:jc w:val="both"/>
        <w:rPr>
          <w:rFonts w:ascii="Times" w:hAnsi="Times"/>
        </w:rPr>
      </w:pPr>
      <w:r>
        <w:rPr>
          <w:rFonts w:ascii="Times" w:hAnsi="Times"/>
        </w:rPr>
        <w:t xml:space="preserve">Baseline characteristics of the study population, overall and </w:t>
      </w:r>
      <w:r w:rsidR="009410FC">
        <w:rPr>
          <w:rFonts w:ascii="Times" w:hAnsi="Times"/>
        </w:rPr>
        <w:t xml:space="preserve">by </w:t>
      </w:r>
      <w:r>
        <w:rPr>
          <w:rFonts w:ascii="Times" w:hAnsi="Times"/>
        </w:rPr>
        <w:t>haematologic</w:t>
      </w:r>
      <w:r w:rsidR="00023719">
        <w:rPr>
          <w:rFonts w:ascii="Times" w:hAnsi="Times"/>
        </w:rPr>
        <w:t>al abnormali</w:t>
      </w:r>
      <w:r w:rsidR="009410FC">
        <w:rPr>
          <w:rFonts w:ascii="Times" w:hAnsi="Times"/>
        </w:rPr>
        <w:t>ty</w:t>
      </w:r>
      <w:r w:rsidR="00023719">
        <w:rPr>
          <w:rFonts w:ascii="Times" w:hAnsi="Times"/>
        </w:rPr>
        <w:t>, are shown in T</w:t>
      </w:r>
      <w:r>
        <w:rPr>
          <w:rFonts w:ascii="Times" w:hAnsi="Times"/>
        </w:rPr>
        <w:t>able 1</w:t>
      </w:r>
      <w:r w:rsidR="00650F9A">
        <w:rPr>
          <w:rFonts w:ascii="Times" w:hAnsi="Times"/>
        </w:rPr>
        <w:t xml:space="preserve"> and Appendix</w:t>
      </w:r>
      <w:r w:rsidR="009410FC">
        <w:rPr>
          <w:rFonts w:ascii="Times" w:hAnsi="Times"/>
        </w:rPr>
        <w:t xml:space="preserve"> Tables</w:t>
      </w:r>
      <w:r w:rsidR="00650F9A">
        <w:rPr>
          <w:rFonts w:ascii="Times" w:hAnsi="Times"/>
        </w:rPr>
        <w:t xml:space="preserve"> 1-3</w:t>
      </w:r>
      <w:r>
        <w:rPr>
          <w:rFonts w:ascii="Times" w:hAnsi="Times"/>
        </w:rPr>
        <w:t xml:space="preserve">. </w:t>
      </w:r>
      <w:r w:rsidR="00A70C2D">
        <w:rPr>
          <w:rFonts w:ascii="Times" w:hAnsi="Times"/>
        </w:rPr>
        <w:t>I</w:t>
      </w:r>
      <w:r>
        <w:rPr>
          <w:rFonts w:ascii="Times" w:hAnsi="Times"/>
        </w:rPr>
        <w:t xml:space="preserve">ndividuals </w:t>
      </w:r>
      <w:r w:rsidR="00A70C2D">
        <w:rPr>
          <w:rFonts w:ascii="Times" w:hAnsi="Times"/>
        </w:rPr>
        <w:t xml:space="preserve">with anaemia and lymphopenia were older </w:t>
      </w:r>
      <w:r w:rsidR="00842E7F">
        <w:rPr>
          <w:rFonts w:ascii="Times" w:hAnsi="Times"/>
        </w:rPr>
        <w:t>than the study population as a whole</w:t>
      </w:r>
      <w:r w:rsidR="00A70C2D">
        <w:rPr>
          <w:rFonts w:ascii="Times" w:hAnsi="Times"/>
        </w:rPr>
        <w:t xml:space="preserve">. Individuals with anaemia were </w:t>
      </w:r>
      <w:r>
        <w:rPr>
          <w:rFonts w:ascii="Times" w:hAnsi="Times"/>
        </w:rPr>
        <w:t xml:space="preserve">more likely to be male and </w:t>
      </w:r>
      <w:r w:rsidR="00F11DC2">
        <w:rPr>
          <w:rFonts w:ascii="Times" w:hAnsi="Times"/>
        </w:rPr>
        <w:t xml:space="preserve">had greater </w:t>
      </w:r>
      <w:r>
        <w:rPr>
          <w:rFonts w:ascii="Times" w:hAnsi="Times"/>
        </w:rPr>
        <w:t>comorbidity</w:t>
      </w:r>
      <w:r w:rsidR="00842E7F">
        <w:rPr>
          <w:rFonts w:ascii="Times" w:hAnsi="Times"/>
        </w:rPr>
        <w:t>, whilst i</w:t>
      </w:r>
      <w:r w:rsidR="0058639A">
        <w:rPr>
          <w:rFonts w:ascii="Times" w:hAnsi="Times"/>
        </w:rPr>
        <w:t>ndividuals with neutropenia were more likely to be of black ethnicity.</w:t>
      </w:r>
    </w:p>
    <w:p w14:paraId="3AD1061B" w14:textId="77777777" w:rsidR="004D3C51" w:rsidRDefault="004D3C51" w:rsidP="008C1377">
      <w:pPr>
        <w:spacing w:line="360" w:lineRule="auto"/>
        <w:jc w:val="both"/>
        <w:rPr>
          <w:rFonts w:ascii="Times" w:hAnsi="Times"/>
          <w:b/>
        </w:rPr>
      </w:pPr>
    </w:p>
    <w:p w14:paraId="1D93A4BD" w14:textId="1C8145D7" w:rsidR="00D4690A" w:rsidRPr="00864972" w:rsidRDefault="009410FC" w:rsidP="008C1377">
      <w:pPr>
        <w:spacing w:line="360" w:lineRule="auto"/>
        <w:jc w:val="both"/>
        <w:rPr>
          <w:rFonts w:ascii="Times" w:hAnsi="Times"/>
          <w:b/>
          <w:i/>
        </w:rPr>
      </w:pPr>
      <w:r>
        <w:rPr>
          <w:rFonts w:ascii="Times" w:hAnsi="Times"/>
          <w:b/>
          <w:i/>
        </w:rPr>
        <w:t>A</w:t>
      </w:r>
      <w:r w:rsidR="00D4690A" w:rsidRPr="00864972">
        <w:rPr>
          <w:rFonts w:ascii="Times" w:hAnsi="Times"/>
          <w:b/>
          <w:i/>
        </w:rPr>
        <w:t xml:space="preserve">naemia and lymphopenia </w:t>
      </w:r>
      <w:r w:rsidR="008423C9">
        <w:rPr>
          <w:rFonts w:ascii="Times" w:hAnsi="Times"/>
          <w:b/>
          <w:i/>
        </w:rPr>
        <w:t>are associated with an increased</w:t>
      </w:r>
      <w:r w:rsidR="00D4690A" w:rsidRPr="00864972">
        <w:rPr>
          <w:rFonts w:ascii="Times" w:hAnsi="Times"/>
          <w:b/>
          <w:i/>
        </w:rPr>
        <w:t xml:space="preserve"> risk of infection</w:t>
      </w:r>
    </w:p>
    <w:p w14:paraId="7FE40E66" w14:textId="19457F1B" w:rsidR="004D3C51" w:rsidRDefault="00F11DC2" w:rsidP="008C1377">
      <w:pPr>
        <w:spacing w:line="360" w:lineRule="auto"/>
        <w:jc w:val="both"/>
        <w:rPr>
          <w:rFonts w:ascii="Times" w:hAnsi="Times"/>
        </w:rPr>
      </w:pPr>
      <w:r>
        <w:rPr>
          <w:rFonts w:ascii="Times" w:hAnsi="Times"/>
        </w:rPr>
        <w:t>Crude</w:t>
      </w:r>
      <w:r w:rsidR="0058639A">
        <w:rPr>
          <w:rFonts w:ascii="Times" w:hAnsi="Times"/>
        </w:rPr>
        <w:t xml:space="preserve"> </w:t>
      </w:r>
      <w:r w:rsidR="00DE5054">
        <w:rPr>
          <w:rFonts w:ascii="Times" w:hAnsi="Times"/>
        </w:rPr>
        <w:t>r</w:t>
      </w:r>
      <w:r w:rsidR="008423C9">
        <w:rPr>
          <w:rFonts w:ascii="Times" w:hAnsi="Times"/>
        </w:rPr>
        <w:t>ates of infection</w:t>
      </w:r>
      <w:r w:rsidR="00D1205D">
        <w:rPr>
          <w:rFonts w:ascii="Times" w:hAnsi="Times"/>
        </w:rPr>
        <w:t xml:space="preserve"> among individuals with</w:t>
      </w:r>
      <w:r w:rsidR="008423C9">
        <w:rPr>
          <w:rFonts w:ascii="Times" w:hAnsi="Times"/>
        </w:rPr>
        <w:t xml:space="preserve"> baseline</w:t>
      </w:r>
      <w:r w:rsidR="00D1205D">
        <w:rPr>
          <w:rFonts w:ascii="Times" w:hAnsi="Times"/>
        </w:rPr>
        <w:t xml:space="preserve"> anaemia, neutropenia and lymphopenia were 18</w:t>
      </w:r>
      <w:r w:rsidR="00945246">
        <w:rPr>
          <w:rFonts w:ascii="Times" w:hAnsi="Times"/>
        </w:rPr>
        <w:t>1.2</w:t>
      </w:r>
      <w:r w:rsidR="00D1205D">
        <w:rPr>
          <w:rFonts w:ascii="Times" w:hAnsi="Times"/>
        </w:rPr>
        <w:t>, 15</w:t>
      </w:r>
      <w:r w:rsidR="00945246">
        <w:rPr>
          <w:rFonts w:ascii="Times" w:hAnsi="Times"/>
        </w:rPr>
        <w:t>1.8</w:t>
      </w:r>
      <w:r w:rsidR="00D1205D">
        <w:rPr>
          <w:rFonts w:ascii="Times" w:hAnsi="Times"/>
        </w:rPr>
        <w:t xml:space="preserve"> and 2</w:t>
      </w:r>
      <w:r w:rsidR="00945246">
        <w:rPr>
          <w:rFonts w:ascii="Times" w:hAnsi="Times"/>
        </w:rPr>
        <w:t>56.4</w:t>
      </w:r>
      <w:r w:rsidR="00D1205D">
        <w:rPr>
          <w:rFonts w:ascii="Times" w:hAnsi="Times"/>
        </w:rPr>
        <w:t xml:space="preserve"> per 1000 person</w:t>
      </w:r>
      <w:r w:rsidR="008423C9">
        <w:rPr>
          <w:rFonts w:ascii="Times" w:hAnsi="Times"/>
        </w:rPr>
        <w:t>-</w:t>
      </w:r>
      <w:r w:rsidR="00D1205D">
        <w:rPr>
          <w:rFonts w:ascii="Times" w:hAnsi="Times"/>
        </w:rPr>
        <w:t xml:space="preserve">years, respectively, compared </w:t>
      </w:r>
      <w:r w:rsidR="00D63DD0">
        <w:rPr>
          <w:rFonts w:ascii="Times" w:hAnsi="Times"/>
        </w:rPr>
        <w:t>with</w:t>
      </w:r>
      <w:r w:rsidR="00D1205D">
        <w:rPr>
          <w:rFonts w:ascii="Times" w:hAnsi="Times"/>
        </w:rPr>
        <w:t xml:space="preserve"> 17</w:t>
      </w:r>
      <w:r w:rsidR="00945246">
        <w:rPr>
          <w:rFonts w:ascii="Times" w:hAnsi="Times"/>
        </w:rPr>
        <w:t>2.0</w:t>
      </w:r>
      <w:r w:rsidR="000213DD">
        <w:rPr>
          <w:rFonts w:ascii="Times" w:hAnsi="Times"/>
        </w:rPr>
        <w:t xml:space="preserve"> per 1000 person</w:t>
      </w:r>
      <w:r w:rsidR="008423C9">
        <w:rPr>
          <w:rFonts w:ascii="Times" w:hAnsi="Times"/>
        </w:rPr>
        <w:t>-</w:t>
      </w:r>
      <w:r w:rsidR="000213DD">
        <w:rPr>
          <w:rFonts w:ascii="Times" w:hAnsi="Times"/>
        </w:rPr>
        <w:t>years</w:t>
      </w:r>
      <w:r w:rsidR="00D1205D">
        <w:rPr>
          <w:rFonts w:ascii="Times" w:hAnsi="Times"/>
        </w:rPr>
        <w:t xml:space="preserve"> among individuals </w:t>
      </w:r>
      <w:r w:rsidR="00650F9A">
        <w:rPr>
          <w:rFonts w:ascii="Times" w:hAnsi="Times"/>
        </w:rPr>
        <w:t>without</w:t>
      </w:r>
      <w:r w:rsidR="00D1205D">
        <w:rPr>
          <w:rFonts w:ascii="Times" w:hAnsi="Times"/>
        </w:rPr>
        <w:t xml:space="preserve"> haematological abnormality.</w:t>
      </w:r>
      <w:r w:rsidR="0033063F">
        <w:rPr>
          <w:rFonts w:ascii="Times" w:hAnsi="Times"/>
        </w:rPr>
        <w:t xml:space="preserve"> </w:t>
      </w:r>
      <w:r w:rsidR="00650F9A">
        <w:rPr>
          <w:rFonts w:ascii="Times" w:hAnsi="Times"/>
        </w:rPr>
        <w:t>B</w:t>
      </w:r>
      <w:r w:rsidR="00D4690A">
        <w:rPr>
          <w:rFonts w:ascii="Times" w:hAnsi="Times"/>
        </w:rPr>
        <w:t>aseline a</w:t>
      </w:r>
      <w:r w:rsidR="0033063F">
        <w:rPr>
          <w:rFonts w:ascii="Times" w:hAnsi="Times"/>
        </w:rPr>
        <w:t>naemia and lymphopenia</w:t>
      </w:r>
      <w:r w:rsidR="00D4690A">
        <w:rPr>
          <w:rFonts w:ascii="Times" w:hAnsi="Times"/>
        </w:rPr>
        <w:t xml:space="preserve"> were associated with an increased risk of infection in both unadjusted and adjusted analyses (Table </w:t>
      </w:r>
      <w:r w:rsidR="00D0345F">
        <w:rPr>
          <w:rFonts w:ascii="Times" w:hAnsi="Times"/>
        </w:rPr>
        <w:t>3</w:t>
      </w:r>
      <w:r w:rsidR="00154E31">
        <w:rPr>
          <w:rFonts w:ascii="Times" w:hAnsi="Times"/>
        </w:rPr>
        <w:t>).</w:t>
      </w:r>
      <w:r w:rsidR="00775FC6">
        <w:rPr>
          <w:rFonts w:ascii="Times" w:hAnsi="Times"/>
        </w:rPr>
        <w:t xml:space="preserve"> </w:t>
      </w:r>
      <w:r w:rsidR="00650F9A">
        <w:rPr>
          <w:rFonts w:ascii="Times" w:hAnsi="Times"/>
        </w:rPr>
        <w:t xml:space="preserve">There was no evidence of an </w:t>
      </w:r>
      <w:r w:rsidR="009410FC">
        <w:rPr>
          <w:rFonts w:ascii="Times" w:hAnsi="Times"/>
        </w:rPr>
        <w:t xml:space="preserve">associated for </w:t>
      </w:r>
      <w:r w:rsidR="00650F9A">
        <w:rPr>
          <w:rFonts w:ascii="Times" w:hAnsi="Times"/>
        </w:rPr>
        <w:t xml:space="preserve">baseline </w:t>
      </w:r>
      <w:r w:rsidR="00154E31">
        <w:rPr>
          <w:rFonts w:ascii="Times" w:hAnsi="Times"/>
        </w:rPr>
        <w:t>neutropenia</w:t>
      </w:r>
      <w:r w:rsidR="0033063F" w:rsidRPr="00A2735C">
        <w:rPr>
          <w:rFonts w:ascii="Times" w:hAnsi="Times"/>
        </w:rPr>
        <w:t>.</w:t>
      </w:r>
      <w:r w:rsidR="002E21C2">
        <w:rPr>
          <w:rFonts w:ascii="Times" w:hAnsi="Times"/>
        </w:rPr>
        <w:t xml:space="preserve"> For </w:t>
      </w:r>
      <w:r w:rsidR="00F109EC">
        <w:rPr>
          <w:rFonts w:ascii="Times" w:hAnsi="Times"/>
        </w:rPr>
        <w:t xml:space="preserve">a breakdown of </w:t>
      </w:r>
      <w:r w:rsidR="002E21C2">
        <w:rPr>
          <w:rFonts w:ascii="Times" w:hAnsi="Times"/>
        </w:rPr>
        <w:t>infection types see Appendix Table 4</w:t>
      </w:r>
      <w:r w:rsidR="00F109EC">
        <w:rPr>
          <w:rFonts w:ascii="Times" w:hAnsi="Times"/>
        </w:rPr>
        <w:t>.</w:t>
      </w:r>
    </w:p>
    <w:p w14:paraId="331D3A98" w14:textId="77777777" w:rsidR="008423C9" w:rsidRDefault="008423C9" w:rsidP="008423C9">
      <w:pPr>
        <w:spacing w:line="360" w:lineRule="auto"/>
        <w:jc w:val="both"/>
        <w:rPr>
          <w:rFonts w:ascii="Times" w:hAnsi="Times"/>
          <w:b/>
          <w:i/>
        </w:rPr>
      </w:pPr>
    </w:p>
    <w:p w14:paraId="6DD04061" w14:textId="1A29F026" w:rsidR="008423C9" w:rsidRPr="003226FC" w:rsidRDefault="008423C9" w:rsidP="008423C9">
      <w:pPr>
        <w:spacing w:line="360" w:lineRule="auto"/>
        <w:jc w:val="both"/>
        <w:rPr>
          <w:rFonts w:ascii="Times" w:hAnsi="Times"/>
        </w:rPr>
      </w:pPr>
      <w:r>
        <w:rPr>
          <w:rFonts w:ascii="Times" w:hAnsi="Times"/>
        </w:rPr>
        <w:t xml:space="preserve">Incorporating haematological measures throughout follow-up identified many more individuals with </w:t>
      </w:r>
      <w:r w:rsidR="00E13C98">
        <w:rPr>
          <w:rFonts w:ascii="Times" w:hAnsi="Times"/>
        </w:rPr>
        <w:t>at least on</w:t>
      </w:r>
      <w:r w:rsidR="00EA155C">
        <w:rPr>
          <w:rFonts w:ascii="Times" w:hAnsi="Times"/>
        </w:rPr>
        <w:t>e</w:t>
      </w:r>
      <w:r w:rsidR="00E13C98">
        <w:rPr>
          <w:rFonts w:ascii="Times" w:hAnsi="Times"/>
        </w:rPr>
        <w:t xml:space="preserve"> test indicating </w:t>
      </w:r>
      <w:r>
        <w:rPr>
          <w:rFonts w:ascii="Times" w:hAnsi="Times"/>
        </w:rPr>
        <w:t>haematological abnormal</w:t>
      </w:r>
      <w:r w:rsidR="00E13C98">
        <w:rPr>
          <w:rFonts w:ascii="Times" w:hAnsi="Times"/>
        </w:rPr>
        <w:t>ity</w:t>
      </w:r>
      <w:r w:rsidR="00775FC6">
        <w:rPr>
          <w:rFonts w:ascii="Times" w:hAnsi="Times"/>
        </w:rPr>
        <w:t xml:space="preserve"> (anaemia 34%</w:t>
      </w:r>
      <w:r w:rsidR="00E13C98">
        <w:rPr>
          <w:rFonts w:ascii="Times" w:hAnsi="Times"/>
        </w:rPr>
        <w:t xml:space="preserve"> of individuals</w:t>
      </w:r>
      <w:r w:rsidR="00775FC6">
        <w:rPr>
          <w:rFonts w:ascii="Times" w:hAnsi="Times"/>
        </w:rPr>
        <w:t>, neutropenia 4%, lymphopenia 9%)</w:t>
      </w:r>
      <w:r>
        <w:rPr>
          <w:rFonts w:ascii="Times" w:hAnsi="Times"/>
        </w:rPr>
        <w:t>,</w:t>
      </w:r>
      <w:r w:rsidR="00E13C98">
        <w:rPr>
          <w:rFonts w:ascii="Times" w:hAnsi="Times"/>
        </w:rPr>
        <w:t xml:space="preserve"> compared </w:t>
      </w:r>
      <w:r w:rsidR="00D63DD0">
        <w:rPr>
          <w:rFonts w:ascii="Times" w:hAnsi="Times"/>
        </w:rPr>
        <w:t>with</w:t>
      </w:r>
      <w:r w:rsidR="00E13C98">
        <w:rPr>
          <w:rFonts w:ascii="Times" w:hAnsi="Times"/>
        </w:rPr>
        <w:t xml:space="preserve"> the assessment of </w:t>
      </w:r>
      <w:r>
        <w:rPr>
          <w:rFonts w:ascii="Times" w:hAnsi="Times"/>
        </w:rPr>
        <w:t>ba</w:t>
      </w:r>
      <w:r w:rsidR="005C72AD">
        <w:rPr>
          <w:rFonts w:ascii="Times" w:hAnsi="Times"/>
        </w:rPr>
        <w:t xml:space="preserve">seline haematological measures. The median number of test measures </w:t>
      </w:r>
      <w:r w:rsidR="003226FC">
        <w:rPr>
          <w:rFonts w:ascii="Times" w:hAnsi="Times"/>
        </w:rPr>
        <w:t xml:space="preserve">per individual </w:t>
      </w:r>
      <w:r w:rsidR="005C72AD">
        <w:rPr>
          <w:rFonts w:ascii="Times" w:hAnsi="Times"/>
        </w:rPr>
        <w:lastRenderedPageBreak/>
        <w:t xml:space="preserve">was 6 (IQR 2-18). </w:t>
      </w:r>
      <w:r w:rsidR="0064554F">
        <w:rPr>
          <w:rFonts w:ascii="Times" w:hAnsi="Times"/>
        </w:rPr>
        <w:t>Consistent</w:t>
      </w:r>
      <w:r w:rsidR="00E5583C">
        <w:rPr>
          <w:rFonts w:ascii="Times" w:hAnsi="Times"/>
        </w:rPr>
        <w:t xml:space="preserve"> with the analysis of baseline measures, anaemia and </w:t>
      </w:r>
      <w:r w:rsidR="004B63F6">
        <w:rPr>
          <w:rFonts w:ascii="Times" w:hAnsi="Times"/>
        </w:rPr>
        <w:t>l</w:t>
      </w:r>
      <w:r w:rsidR="004B63F6" w:rsidRPr="004B63F6">
        <w:rPr>
          <w:rFonts w:ascii="Times" w:hAnsi="Times"/>
        </w:rPr>
        <w:t>ymphopenia</w:t>
      </w:r>
      <w:r w:rsidR="004B63F6">
        <w:rPr>
          <w:rFonts w:ascii="Times" w:hAnsi="Times"/>
        </w:rPr>
        <w:t xml:space="preserve"> w</w:t>
      </w:r>
      <w:r w:rsidR="00E5583C">
        <w:rPr>
          <w:rFonts w:ascii="Times" w:hAnsi="Times"/>
        </w:rPr>
        <w:t>ere</w:t>
      </w:r>
      <w:r w:rsidR="004B63F6">
        <w:rPr>
          <w:rFonts w:ascii="Times" w:hAnsi="Times"/>
        </w:rPr>
        <w:t xml:space="preserve"> associated with an increased risk of infection</w:t>
      </w:r>
      <w:r w:rsidR="003A1CF1">
        <w:rPr>
          <w:rFonts w:ascii="Times" w:hAnsi="Times"/>
        </w:rPr>
        <w:t xml:space="preserve"> (Table </w:t>
      </w:r>
      <w:r w:rsidR="00D0345F">
        <w:rPr>
          <w:rFonts w:ascii="Times" w:hAnsi="Times"/>
        </w:rPr>
        <w:t>4</w:t>
      </w:r>
      <w:r w:rsidR="003A1CF1">
        <w:rPr>
          <w:rFonts w:ascii="Times" w:hAnsi="Times"/>
        </w:rPr>
        <w:t>)</w:t>
      </w:r>
      <w:r w:rsidR="004B63F6">
        <w:rPr>
          <w:rFonts w:ascii="Times" w:hAnsi="Times"/>
        </w:rPr>
        <w:t>.</w:t>
      </w:r>
    </w:p>
    <w:p w14:paraId="3E5C20C6" w14:textId="77777777" w:rsidR="002B2255" w:rsidRDefault="002B2255" w:rsidP="008C1377">
      <w:pPr>
        <w:spacing w:line="360" w:lineRule="auto"/>
        <w:jc w:val="both"/>
        <w:rPr>
          <w:rFonts w:ascii="Times" w:hAnsi="Times"/>
        </w:rPr>
      </w:pPr>
    </w:p>
    <w:p w14:paraId="2366C735" w14:textId="2B47E16D" w:rsidR="002B2255" w:rsidRPr="003226FC" w:rsidRDefault="004B63F6" w:rsidP="008C1377">
      <w:pPr>
        <w:spacing w:line="360" w:lineRule="auto"/>
        <w:jc w:val="both"/>
        <w:rPr>
          <w:rFonts w:ascii="Times" w:hAnsi="Times"/>
          <w:b/>
          <w:i/>
        </w:rPr>
      </w:pPr>
      <w:r w:rsidRPr="003226FC">
        <w:rPr>
          <w:rFonts w:ascii="Times" w:hAnsi="Times"/>
          <w:b/>
          <w:i/>
        </w:rPr>
        <w:t>Vaccination</w:t>
      </w:r>
    </w:p>
    <w:p w14:paraId="6F62265E" w14:textId="77777777" w:rsidR="002B2255" w:rsidRPr="00D1205D" w:rsidRDefault="002B2255" w:rsidP="008C1377">
      <w:pPr>
        <w:spacing w:line="360" w:lineRule="auto"/>
        <w:jc w:val="both"/>
        <w:rPr>
          <w:rFonts w:ascii="Times" w:hAnsi="Times"/>
        </w:rPr>
      </w:pPr>
    </w:p>
    <w:p w14:paraId="7C316CEF" w14:textId="55EEA444" w:rsidR="005C3953" w:rsidRDefault="009410FC" w:rsidP="008C1377">
      <w:pPr>
        <w:spacing w:line="360" w:lineRule="auto"/>
        <w:jc w:val="both"/>
        <w:rPr>
          <w:rFonts w:ascii="Times" w:hAnsi="Times"/>
        </w:rPr>
      </w:pPr>
      <w:r>
        <w:rPr>
          <w:rFonts w:ascii="Times" w:hAnsi="Times"/>
        </w:rPr>
        <w:t>W</w:t>
      </w:r>
      <w:r w:rsidR="00023719">
        <w:rPr>
          <w:rFonts w:ascii="Times" w:hAnsi="Times"/>
        </w:rPr>
        <w:t>e identified 3</w:t>
      </w:r>
      <w:r w:rsidR="00185D92">
        <w:rPr>
          <w:rFonts w:ascii="Times" w:hAnsi="Times"/>
        </w:rPr>
        <w:t>,</w:t>
      </w:r>
      <w:r w:rsidR="00023719">
        <w:rPr>
          <w:rFonts w:ascii="Times" w:hAnsi="Times"/>
        </w:rPr>
        <w:t>699</w:t>
      </w:r>
      <w:r w:rsidR="00B74784">
        <w:rPr>
          <w:rFonts w:ascii="Times" w:hAnsi="Times"/>
        </w:rPr>
        <w:t xml:space="preserve"> individuals</w:t>
      </w:r>
      <w:r w:rsidR="00023719">
        <w:rPr>
          <w:rFonts w:ascii="Times" w:hAnsi="Times"/>
        </w:rPr>
        <w:t xml:space="preserve"> with </w:t>
      </w:r>
      <w:r w:rsidR="00254003">
        <w:rPr>
          <w:rFonts w:ascii="Times" w:hAnsi="Times"/>
        </w:rPr>
        <w:t xml:space="preserve">a </w:t>
      </w:r>
      <w:r w:rsidR="00023719">
        <w:rPr>
          <w:rFonts w:ascii="Times" w:hAnsi="Times"/>
        </w:rPr>
        <w:t>diagnosis of RA before January 1</w:t>
      </w:r>
      <w:r w:rsidR="00023719" w:rsidRPr="00023719">
        <w:rPr>
          <w:rFonts w:ascii="Times" w:hAnsi="Times"/>
          <w:vertAlign w:val="superscript"/>
        </w:rPr>
        <w:t>st</w:t>
      </w:r>
      <w:r w:rsidR="00333FCE">
        <w:rPr>
          <w:rFonts w:ascii="Times" w:hAnsi="Times"/>
        </w:rPr>
        <w:t xml:space="preserve"> 2012, </w:t>
      </w:r>
      <w:r w:rsidR="00A765C9">
        <w:rPr>
          <w:rFonts w:ascii="Times" w:hAnsi="Times"/>
        </w:rPr>
        <w:t>and all were matched with controls</w:t>
      </w:r>
      <w:r w:rsidR="006203EF">
        <w:rPr>
          <w:rFonts w:ascii="Times" w:hAnsi="Times"/>
        </w:rPr>
        <w:t xml:space="preserve"> (Appendix </w:t>
      </w:r>
      <w:r w:rsidR="0064554F">
        <w:rPr>
          <w:rFonts w:ascii="Times" w:hAnsi="Times"/>
        </w:rPr>
        <w:t>5</w:t>
      </w:r>
      <w:r w:rsidR="006203EF">
        <w:rPr>
          <w:rFonts w:ascii="Times" w:hAnsi="Times"/>
        </w:rPr>
        <w:t>)</w:t>
      </w:r>
      <w:r w:rsidR="00333FCE">
        <w:rPr>
          <w:rFonts w:ascii="Times" w:hAnsi="Times"/>
        </w:rPr>
        <w:t>. During</w:t>
      </w:r>
      <w:r w:rsidR="00023719">
        <w:rPr>
          <w:rFonts w:ascii="Times" w:hAnsi="Times"/>
        </w:rPr>
        <w:t xml:space="preserve"> a follow-up of 31,</w:t>
      </w:r>
      <w:r w:rsidR="009D2623">
        <w:rPr>
          <w:rFonts w:ascii="Times" w:hAnsi="Times"/>
        </w:rPr>
        <w:t xml:space="preserve">660 </w:t>
      </w:r>
      <w:r w:rsidR="00023719">
        <w:rPr>
          <w:rFonts w:ascii="Times" w:hAnsi="Times"/>
        </w:rPr>
        <w:t>person-years</w:t>
      </w:r>
      <w:r w:rsidR="00333FCE">
        <w:rPr>
          <w:rFonts w:ascii="Times" w:hAnsi="Times"/>
        </w:rPr>
        <w:t xml:space="preserve">, </w:t>
      </w:r>
      <w:r w:rsidR="00B46F8D">
        <w:rPr>
          <w:rFonts w:ascii="Times" w:hAnsi="Times"/>
        </w:rPr>
        <w:t>168</w:t>
      </w:r>
      <w:r w:rsidR="00333FCE">
        <w:rPr>
          <w:rFonts w:ascii="Times" w:hAnsi="Times"/>
        </w:rPr>
        <w:t xml:space="preserve"> influenza-like illness </w:t>
      </w:r>
      <w:r w:rsidR="00B46F8D">
        <w:rPr>
          <w:rFonts w:ascii="Times" w:hAnsi="Times"/>
        </w:rPr>
        <w:t xml:space="preserve">and 150 </w:t>
      </w:r>
      <w:r w:rsidR="00333FCE">
        <w:rPr>
          <w:rFonts w:ascii="Times" w:hAnsi="Times"/>
        </w:rPr>
        <w:t>pneumonia events were recorded</w:t>
      </w:r>
      <w:r w:rsidR="00023719">
        <w:rPr>
          <w:rFonts w:ascii="Times" w:hAnsi="Times"/>
        </w:rPr>
        <w:t xml:space="preserve">. </w:t>
      </w:r>
      <w:r w:rsidR="00023719" w:rsidRPr="00023719">
        <w:rPr>
          <w:rFonts w:ascii="Times" w:hAnsi="Times"/>
        </w:rPr>
        <w:t xml:space="preserve">Table </w:t>
      </w:r>
      <w:r w:rsidR="00DE5054">
        <w:rPr>
          <w:rFonts w:ascii="Times" w:hAnsi="Times"/>
        </w:rPr>
        <w:t>5</w:t>
      </w:r>
      <w:r w:rsidR="00DE5054" w:rsidRPr="00023719">
        <w:rPr>
          <w:rFonts w:ascii="Times" w:hAnsi="Times"/>
        </w:rPr>
        <w:t xml:space="preserve"> </w:t>
      </w:r>
      <w:r w:rsidR="00023719" w:rsidRPr="00023719">
        <w:rPr>
          <w:rFonts w:ascii="Times" w:hAnsi="Times"/>
        </w:rPr>
        <w:t xml:space="preserve">shows the </w:t>
      </w:r>
      <w:r>
        <w:rPr>
          <w:rFonts w:ascii="Times" w:hAnsi="Times"/>
        </w:rPr>
        <w:t xml:space="preserve">infection </w:t>
      </w:r>
      <w:r w:rsidR="00023719">
        <w:rPr>
          <w:rFonts w:ascii="Times" w:hAnsi="Times"/>
        </w:rPr>
        <w:t xml:space="preserve">rates and </w:t>
      </w:r>
      <w:r>
        <w:rPr>
          <w:rFonts w:ascii="Times" w:hAnsi="Times"/>
        </w:rPr>
        <w:t xml:space="preserve">risk of infection </w:t>
      </w:r>
      <w:r w:rsidR="00023719">
        <w:rPr>
          <w:rFonts w:ascii="Times" w:hAnsi="Times"/>
        </w:rPr>
        <w:t>associated with vaccination status</w:t>
      </w:r>
      <w:r w:rsidR="00333FCE">
        <w:rPr>
          <w:rFonts w:ascii="Times" w:hAnsi="Times"/>
        </w:rPr>
        <w:t xml:space="preserve"> </w:t>
      </w:r>
      <w:r w:rsidR="006203EF">
        <w:rPr>
          <w:rFonts w:ascii="Times" w:hAnsi="Times"/>
        </w:rPr>
        <w:t>among individuals with and without RA</w:t>
      </w:r>
      <w:r w:rsidR="00333FCE">
        <w:rPr>
          <w:rFonts w:ascii="Times" w:hAnsi="Times"/>
        </w:rPr>
        <w:t xml:space="preserve">. </w:t>
      </w:r>
    </w:p>
    <w:p w14:paraId="12CE3672" w14:textId="77777777" w:rsidR="005C3953" w:rsidRDefault="005C3953" w:rsidP="005C3953">
      <w:pPr>
        <w:spacing w:line="360" w:lineRule="auto"/>
        <w:jc w:val="both"/>
        <w:rPr>
          <w:rFonts w:ascii="Times" w:hAnsi="Times"/>
          <w:b/>
        </w:rPr>
      </w:pPr>
    </w:p>
    <w:p w14:paraId="0459FA09" w14:textId="3F20A2F7" w:rsidR="00B74784" w:rsidRDefault="005C3953" w:rsidP="008C1377">
      <w:pPr>
        <w:spacing w:line="360" w:lineRule="auto"/>
        <w:jc w:val="both"/>
        <w:rPr>
          <w:rFonts w:ascii="Times" w:hAnsi="Times"/>
        </w:rPr>
      </w:pPr>
      <w:r w:rsidRPr="008A16F4">
        <w:rPr>
          <w:rFonts w:ascii="Times" w:hAnsi="Times"/>
        </w:rPr>
        <w:t>Pneumonia</w:t>
      </w:r>
      <w:r w:rsidR="008A16F4" w:rsidRPr="008A16F4">
        <w:rPr>
          <w:rFonts w:ascii="Times" w:hAnsi="Times"/>
        </w:rPr>
        <w:t>:</w:t>
      </w:r>
      <w:r w:rsidR="008A16F4">
        <w:rPr>
          <w:rFonts w:ascii="Times" w:hAnsi="Times"/>
          <w:b/>
        </w:rPr>
        <w:t xml:space="preserve"> </w:t>
      </w:r>
      <w:r>
        <w:rPr>
          <w:rFonts w:ascii="Times" w:hAnsi="Times"/>
        </w:rPr>
        <w:t xml:space="preserve">A higher proportion of individuals with RA were vaccinated </w:t>
      </w:r>
      <w:r w:rsidR="00CA6711">
        <w:rPr>
          <w:rFonts w:ascii="Times" w:hAnsi="Times"/>
        </w:rPr>
        <w:t>against</w:t>
      </w:r>
      <w:r>
        <w:rPr>
          <w:rFonts w:ascii="Times" w:hAnsi="Times"/>
        </w:rPr>
        <w:t xml:space="preserve"> </w:t>
      </w:r>
      <w:r w:rsidR="00185D92">
        <w:rPr>
          <w:rFonts w:ascii="Times" w:hAnsi="Times"/>
        </w:rPr>
        <w:t>pneumococcal pneumonia</w:t>
      </w:r>
      <w:r>
        <w:rPr>
          <w:rFonts w:ascii="Times" w:hAnsi="Times"/>
        </w:rPr>
        <w:t xml:space="preserve"> compared with individual without RA (16% vs 12%</w:t>
      </w:r>
      <w:r w:rsidR="00D63DD0">
        <w:rPr>
          <w:rFonts w:ascii="Times" w:hAnsi="Times"/>
        </w:rPr>
        <w:t>, p&lt;0.001 (</w:t>
      </w:r>
      <w:r>
        <w:rPr>
          <w:rFonts w:ascii="Times" w:hAnsi="Times"/>
        </w:rPr>
        <w:t xml:space="preserve">Table </w:t>
      </w:r>
      <w:r w:rsidR="00DE5054">
        <w:rPr>
          <w:rFonts w:ascii="Times" w:hAnsi="Times"/>
        </w:rPr>
        <w:t>5</w:t>
      </w:r>
      <w:r w:rsidR="00D63DD0">
        <w:rPr>
          <w:rFonts w:ascii="Times" w:hAnsi="Times"/>
        </w:rPr>
        <w:t>)</w:t>
      </w:r>
      <w:r>
        <w:rPr>
          <w:rFonts w:ascii="Times" w:hAnsi="Times"/>
        </w:rPr>
        <w:t xml:space="preserve">). </w:t>
      </w:r>
      <w:r w:rsidR="00333FCE">
        <w:rPr>
          <w:rFonts w:ascii="Times" w:hAnsi="Times"/>
        </w:rPr>
        <w:t>Event rates for pneumonia in both the vaccinated and non-vaccinated group (7.7</w:t>
      </w:r>
      <w:r w:rsidR="00A2735C">
        <w:rPr>
          <w:rFonts w:ascii="Times" w:hAnsi="Times"/>
        </w:rPr>
        <w:t xml:space="preserve"> and 6.9</w:t>
      </w:r>
      <w:r w:rsidR="00333FCE">
        <w:rPr>
          <w:rFonts w:ascii="Times" w:hAnsi="Times"/>
        </w:rPr>
        <w:t xml:space="preserve"> per </w:t>
      </w:r>
      <w:r w:rsidR="0038498A">
        <w:rPr>
          <w:rFonts w:ascii="Times" w:hAnsi="Times"/>
        </w:rPr>
        <w:t>1000-person</w:t>
      </w:r>
      <w:r w:rsidR="00333FCE">
        <w:rPr>
          <w:rFonts w:ascii="Times" w:hAnsi="Times"/>
        </w:rPr>
        <w:t xml:space="preserve"> years, respectively) exceeded those among individuals without RA (5.9</w:t>
      </w:r>
      <w:r w:rsidR="00A2735C">
        <w:rPr>
          <w:rFonts w:ascii="Times" w:hAnsi="Times"/>
        </w:rPr>
        <w:t xml:space="preserve"> and 2.1</w:t>
      </w:r>
      <w:r w:rsidR="00333FCE">
        <w:rPr>
          <w:rFonts w:ascii="Times" w:hAnsi="Times"/>
        </w:rPr>
        <w:t xml:space="preserve"> per </w:t>
      </w:r>
      <w:r w:rsidR="0038498A">
        <w:rPr>
          <w:rFonts w:ascii="Times" w:hAnsi="Times"/>
        </w:rPr>
        <w:t>1000-person</w:t>
      </w:r>
      <w:r w:rsidR="00333FCE">
        <w:rPr>
          <w:rFonts w:ascii="Times" w:hAnsi="Times"/>
        </w:rPr>
        <w:t xml:space="preserve"> years, respectively). </w:t>
      </w:r>
      <w:r w:rsidR="00CA6711">
        <w:rPr>
          <w:rFonts w:ascii="Times" w:hAnsi="Times"/>
        </w:rPr>
        <w:t>Pneumococcal</w:t>
      </w:r>
      <w:r w:rsidR="00A2735C">
        <w:rPr>
          <w:rFonts w:ascii="Times" w:hAnsi="Times"/>
        </w:rPr>
        <w:t xml:space="preserve"> vaccination was associated with a</w:t>
      </w:r>
      <w:r w:rsidR="00B74784">
        <w:rPr>
          <w:rFonts w:ascii="Times" w:hAnsi="Times"/>
        </w:rPr>
        <w:t xml:space="preserve">n increased risk of pneumonia in </w:t>
      </w:r>
      <w:r w:rsidR="009410FC">
        <w:rPr>
          <w:rFonts w:ascii="Times" w:hAnsi="Times"/>
        </w:rPr>
        <w:t>those</w:t>
      </w:r>
      <w:r w:rsidR="00B74784">
        <w:rPr>
          <w:rFonts w:ascii="Times" w:hAnsi="Times"/>
        </w:rPr>
        <w:t xml:space="preserve"> without RA but we found no evidence of an association amongst individuals with RA</w:t>
      </w:r>
      <w:r w:rsidR="003F4A5E">
        <w:rPr>
          <w:rFonts w:ascii="Times" w:hAnsi="Times"/>
        </w:rPr>
        <w:t xml:space="preserve"> (test for </w:t>
      </w:r>
      <w:proofErr w:type="spellStart"/>
      <w:r w:rsidR="003F4A5E">
        <w:rPr>
          <w:rFonts w:ascii="Times" w:hAnsi="Times"/>
        </w:rPr>
        <w:t>RA</w:t>
      </w:r>
      <w:proofErr w:type="gramStart"/>
      <w:r w:rsidR="003F4A5E">
        <w:rPr>
          <w:rFonts w:ascii="Times" w:hAnsi="Times"/>
        </w:rPr>
        <w:t>:Vaccination</w:t>
      </w:r>
      <w:proofErr w:type="spellEnd"/>
      <w:proofErr w:type="gramEnd"/>
      <w:r w:rsidR="003F4A5E">
        <w:rPr>
          <w:rFonts w:ascii="Times" w:hAnsi="Times"/>
        </w:rPr>
        <w:t xml:space="preserve"> Status interaction in multivariable model p=0.14)</w:t>
      </w:r>
      <w:r w:rsidR="00A2735C">
        <w:rPr>
          <w:rFonts w:ascii="Times" w:hAnsi="Times"/>
        </w:rPr>
        <w:t xml:space="preserve">. </w:t>
      </w:r>
    </w:p>
    <w:p w14:paraId="63B05224" w14:textId="77777777" w:rsidR="00B74784" w:rsidRDefault="00B74784" w:rsidP="008C1377">
      <w:pPr>
        <w:spacing w:line="360" w:lineRule="auto"/>
        <w:jc w:val="both"/>
        <w:rPr>
          <w:rFonts w:ascii="Times" w:hAnsi="Times"/>
        </w:rPr>
      </w:pPr>
    </w:p>
    <w:p w14:paraId="6DAE1AD4" w14:textId="666F84A5" w:rsidR="00023719" w:rsidRPr="00023719" w:rsidRDefault="00B74784" w:rsidP="008C1377">
      <w:pPr>
        <w:spacing w:line="360" w:lineRule="auto"/>
        <w:jc w:val="both"/>
        <w:rPr>
          <w:rFonts w:ascii="Times" w:hAnsi="Times"/>
        </w:rPr>
      </w:pPr>
      <w:r w:rsidRPr="008A16F4">
        <w:rPr>
          <w:rFonts w:ascii="Times" w:hAnsi="Times"/>
        </w:rPr>
        <w:t>Influenza</w:t>
      </w:r>
      <w:r w:rsidR="008A16F4">
        <w:rPr>
          <w:rFonts w:ascii="Times" w:hAnsi="Times"/>
        </w:rPr>
        <w:t xml:space="preserve">: </w:t>
      </w:r>
      <w:r>
        <w:rPr>
          <w:rFonts w:ascii="Times" w:hAnsi="Times"/>
        </w:rPr>
        <w:t xml:space="preserve">A higher proportion of individuals with RA were vaccinated </w:t>
      </w:r>
      <w:r w:rsidR="00CA6711">
        <w:rPr>
          <w:rFonts w:ascii="Times" w:hAnsi="Times"/>
        </w:rPr>
        <w:t>against</w:t>
      </w:r>
      <w:r>
        <w:rPr>
          <w:rFonts w:ascii="Times" w:hAnsi="Times"/>
        </w:rPr>
        <w:t xml:space="preserve"> influenza compared with individual</w:t>
      </w:r>
      <w:r w:rsidR="00254003">
        <w:rPr>
          <w:rFonts w:ascii="Times" w:hAnsi="Times"/>
        </w:rPr>
        <w:t>s</w:t>
      </w:r>
      <w:r>
        <w:rPr>
          <w:rFonts w:ascii="Times" w:hAnsi="Times"/>
        </w:rPr>
        <w:t xml:space="preserve"> without RA (64% vs 48%,</w:t>
      </w:r>
      <w:r w:rsidR="00486F32">
        <w:rPr>
          <w:rFonts w:ascii="Times" w:hAnsi="Times"/>
        </w:rPr>
        <w:t xml:space="preserve"> p&lt;0.001</w:t>
      </w:r>
      <w:r>
        <w:rPr>
          <w:rFonts w:ascii="Times" w:hAnsi="Times"/>
        </w:rPr>
        <w:t xml:space="preserve"> </w:t>
      </w:r>
      <w:r w:rsidR="00486F32">
        <w:rPr>
          <w:rFonts w:ascii="Times" w:hAnsi="Times"/>
        </w:rPr>
        <w:t>(</w:t>
      </w:r>
      <w:r>
        <w:rPr>
          <w:rFonts w:ascii="Times" w:hAnsi="Times"/>
        </w:rPr>
        <w:t xml:space="preserve">Table </w:t>
      </w:r>
      <w:r w:rsidR="00D0345F">
        <w:rPr>
          <w:rFonts w:ascii="Times" w:hAnsi="Times"/>
        </w:rPr>
        <w:t>5</w:t>
      </w:r>
      <w:r w:rsidR="00486F32">
        <w:rPr>
          <w:rFonts w:ascii="Times" w:hAnsi="Times"/>
        </w:rPr>
        <w:t>)</w:t>
      </w:r>
      <w:r>
        <w:rPr>
          <w:rFonts w:ascii="Times" w:hAnsi="Times"/>
        </w:rPr>
        <w:t xml:space="preserve">). Amongst </w:t>
      </w:r>
      <w:r w:rsidR="00333FCE">
        <w:rPr>
          <w:rFonts w:ascii="Times" w:hAnsi="Times"/>
        </w:rPr>
        <w:t xml:space="preserve">the non-vaccinated, the event rate for influenza-like illness among individuals with RA was </w:t>
      </w:r>
      <w:r>
        <w:rPr>
          <w:rFonts w:ascii="Times" w:hAnsi="Times"/>
        </w:rPr>
        <w:t xml:space="preserve">slightly </w:t>
      </w:r>
      <w:r w:rsidRPr="00EB2958">
        <w:rPr>
          <w:rFonts w:ascii="Times" w:hAnsi="Times"/>
        </w:rPr>
        <w:t>increased c</w:t>
      </w:r>
      <w:r>
        <w:rPr>
          <w:rFonts w:ascii="Times" w:hAnsi="Times"/>
        </w:rPr>
        <w:t xml:space="preserve">ompared with individuals without </w:t>
      </w:r>
      <w:r w:rsidR="00650F9A">
        <w:rPr>
          <w:rFonts w:ascii="Times" w:hAnsi="Times"/>
        </w:rPr>
        <w:t xml:space="preserve">RA (Table 5). </w:t>
      </w:r>
      <w:r>
        <w:rPr>
          <w:rFonts w:ascii="Times" w:hAnsi="Times"/>
        </w:rPr>
        <w:t xml:space="preserve">Vaccination </w:t>
      </w:r>
      <w:r w:rsidR="006203EF">
        <w:rPr>
          <w:rFonts w:ascii="Times" w:hAnsi="Times"/>
        </w:rPr>
        <w:t xml:space="preserve">was associated with a reduction in </w:t>
      </w:r>
      <w:r w:rsidR="00A2735C">
        <w:rPr>
          <w:rFonts w:ascii="Times" w:hAnsi="Times"/>
        </w:rPr>
        <w:t>influenza</w:t>
      </w:r>
      <w:r w:rsidR="00CA6711">
        <w:rPr>
          <w:rFonts w:ascii="Times" w:hAnsi="Times"/>
        </w:rPr>
        <w:t>-like illness</w:t>
      </w:r>
      <w:r w:rsidR="006203EF">
        <w:rPr>
          <w:rFonts w:ascii="Times" w:hAnsi="Times"/>
        </w:rPr>
        <w:t xml:space="preserve"> </w:t>
      </w:r>
      <w:r w:rsidR="009410FC">
        <w:rPr>
          <w:rFonts w:ascii="Times" w:hAnsi="Times"/>
        </w:rPr>
        <w:t xml:space="preserve">in </w:t>
      </w:r>
      <w:r w:rsidR="006203EF">
        <w:rPr>
          <w:rFonts w:ascii="Times" w:hAnsi="Times"/>
        </w:rPr>
        <w:t>those with RA (HR 0.59, 95% CI 0.36-0.98)</w:t>
      </w:r>
      <w:r w:rsidR="00A2735C">
        <w:rPr>
          <w:rFonts w:ascii="Times" w:hAnsi="Times"/>
        </w:rPr>
        <w:t xml:space="preserve"> but </w:t>
      </w:r>
      <w:r>
        <w:rPr>
          <w:rFonts w:ascii="Times" w:hAnsi="Times"/>
        </w:rPr>
        <w:t xml:space="preserve">there was no evidence of an association in those </w:t>
      </w:r>
      <w:r w:rsidR="00A2735C">
        <w:rPr>
          <w:rFonts w:ascii="Times" w:hAnsi="Times"/>
        </w:rPr>
        <w:t>without RA (HR 0.9</w:t>
      </w:r>
      <w:r>
        <w:rPr>
          <w:rFonts w:ascii="Times" w:hAnsi="Times"/>
        </w:rPr>
        <w:t>5, 95% CI 0.55-1.64)</w:t>
      </w:r>
      <w:r w:rsidR="003F4A5E">
        <w:rPr>
          <w:rFonts w:ascii="Times" w:hAnsi="Times"/>
        </w:rPr>
        <w:t xml:space="preserve"> (test for </w:t>
      </w:r>
      <w:proofErr w:type="spellStart"/>
      <w:r w:rsidR="003F4A5E">
        <w:rPr>
          <w:rFonts w:ascii="Times" w:hAnsi="Times"/>
        </w:rPr>
        <w:t>RA</w:t>
      </w:r>
      <w:proofErr w:type="gramStart"/>
      <w:r w:rsidR="003F4A5E">
        <w:rPr>
          <w:rFonts w:ascii="Times" w:hAnsi="Times"/>
        </w:rPr>
        <w:t>:Vaccination</w:t>
      </w:r>
      <w:proofErr w:type="spellEnd"/>
      <w:proofErr w:type="gramEnd"/>
      <w:r w:rsidR="003F4A5E">
        <w:rPr>
          <w:rFonts w:ascii="Times" w:hAnsi="Times"/>
        </w:rPr>
        <w:t xml:space="preserve"> Status interaction in multivariable model p=0.</w:t>
      </w:r>
      <w:r w:rsidR="007C35F5">
        <w:rPr>
          <w:rFonts w:ascii="Times" w:hAnsi="Times"/>
        </w:rPr>
        <w:t>2</w:t>
      </w:r>
      <w:r w:rsidR="003F4A5E">
        <w:rPr>
          <w:rFonts w:ascii="Times" w:hAnsi="Times"/>
        </w:rPr>
        <w:t>4).</w:t>
      </w:r>
    </w:p>
    <w:p w14:paraId="088A10F8" w14:textId="77777777" w:rsidR="000468DE" w:rsidRDefault="000468DE">
      <w:pPr>
        <w:rPr>
          <w:rFonts w:ascii="Times" w:hAnsi="Times"/>
          <w:b/>
        </w:rPr>
      </w:pPr>
    </w:p>
    <w:p w14:paraId="343767D9" w14:textId="77777777" w:rsidR="004A16B6" w:rsidRDefault="004A16B6">
      <w:pPr>
        <w:rPr>
          <w:rFonts w:ascii="Times" w:hAnsi="Times"/>
          <w:b/>
        </w:rPr>
      </w:pPr>
      <w:r>
        <w:rPr>
          <w:rFonts w:ascii="Times" w:hAnsi="Times"/>
          <w:b/>
        </w:rPr>
        <w:br w:type="page"/>
      </w:r>
    </w:p>
    <w:p w14:paraId="33B9A7E0" w14:textId="0CC67306" w:rsidR="000468DE" w:rsidRDefault="000468DE">
      <w:pPr>
        <w:rPr>
          <w:rFonts w:ascii="Times" w:hAnsi="Times"/>
          <w:b/>
        </w:rPr>
      </w:pPr>
      <w:r>
        <w:rPr>
          <w:rFonts w:ascii="Times" w:hAnsi="Times"/>
          <w:b/>
        </w:rPr>
        <w:lastRenderedPageBreak/>
        <w:t>DISCUSSION</w:t>
      </w:r>
    </w:p>
    <w:p w14:paraId="24C92ED1" w14:textId="77777777" w:rsidR="000468DE" w:rsidRDefault="000468DE">
      <w:pPr>
        <w:rPr>
          <w:rFonts w:ascii="Times" w:hAnsi="Times"/>
          <w:b/>
        </w:rPr>
      </w:pPr>
    </w:p>
    <w:p w14:paraId="16988A09" w14:textId="77777777" w:rsidR="00B74784" w:rsidRDefault="00B74784" w:rsidP="006C0E70">
      <w:pPr>
        <w:spacing w:line="360" w:lineRule="auto"/>
        <w:jc w:val="both"/>
        <w:rPr>
          <w:rFonts w:ascii="Times" w:hAnsi="Times"/>
        </w:rPr>
      </w:pPr>
    </w:p>
    <w:p w14:paraId="7ADE3933" w14:textId="6218A489" w:rsidR="00FA5EE9" w:rsidRDefault="00650F9A" w:rsidP="00D3661C">
      <w:pPr>
        <w:spacing w:line="360" w:lineRule="auto"/>
        <w:jc w:val="both"/>
        <w:rPr>
          <w:rFonts w:ascii="Times" w:hAnsi="Times"/>
        </w:rPr>
      </w:pPr>
      <w:r>
        <w:rPr>
          <w:rFonts w:ascii="Times" w:hAnsi="Times"/>
        </w:rPr>
        <w:t xml:space="preserve">This </w:t>
      </w:r>
      <w:r w:rsidR="007C2382">
        <w:rPr>
          <w:rFonts w:ascii="Times" w:hAnsi="Times"/>
        </w:rPr>
        <w:t xml:space="preserve">study provides the most comprehensive evaluation </w:t>
      </w:r>
      <w:r>
        <w:rPr>
          <w:rFonts w:ascii="Times" w:hAnsi="Times"/>
        </w:rPr>
        <w:t>to-</w:t>
      </w:r>
      <w:r w:rsidR="007C2382">
        <w:rPr>
          <w:rFonts w:ascii="Times" w:hAnsi="Times"/>
        </w:rPr>
        <w:t xml:space="preserve">date of the association between haematological abnormalities </w:t>
      </w:r>
      <w:r w:rsidR="00557C2D">
        <w:rPr>
          <w:rFonts w:ascii="Times" w:hAnsi="Times"/>
        </w:rPr>
        <w:t xml:space="preserve">at disease onset </w:t>
      </w:r>
      <w:r w:rsidR="007C2382">
        <w:rPr>
          <w:rFonts w:ascii="Times" w:hAnsi="Times"/>
        </w:rPr>
        <w:t xml:space="preserve">and risk of </w:t>
      </w:r>
      <w:r w:rsidR="0081002F">
        <w:rPr>
          <w:rFonts w:ascii="Times" w:hAnsi="Times"/>
        </w:rPr>
        <w:t xml:space="preserve">common </w:t>
      </w:r>
      <w:r w:rsidR="007C2382">
        <w:rPr>
          <w:rFonts w:ascii="Times" w:hAnsi="Times"/>
        </w:rPr>
        <w:t xml:space="preserve">infection amongst individuals with RA. </w:t>
      </w:r>
      <w:r>
        <w:rPr>
          <w:rFonts w:ascii="Times" w:hAnsi="Times"/>
        </w:rPr>
        <w:t>A</w:t>
      </w:r>
      <w:r w:rsidR="00DF13F8">
        <w:rPr>
          <w:rFonts w:ascii="Times" w:hAnsi="Times"/>
        </w:rPr>
        <w:t>naemia and lymphopenia</w:t>
      </w:r>
      <w:r w:rsidR="00B46F8D">
        <w:rPr>
          <w:rFonts w:ascii="Times" w:hAnsi="Times"/>
        </w:rPr>
        <w:t xml:space="preserve">, but not neutropenia, </w:t>
      </w:r>
      <w:r>
        <w:rPr>
          <w:rFonts w:ascii="Times" w:hAnsi="Times"/>
        </w:rPr>
        <w:t xml:space="preserve">at and after </w:t>
      </w:r>
      <w:r w:rsidR="00B46F8D">
        <w:rPr>
          <w:rFonts w:ascii="Times" w:hAnsi="Times"/>
        </w:rPr>
        <w:t>diagnosis</w:t>
      </w:r>
      <w:r w:rsidR="00DF13F8">
        <w:rPr>
          <w:rFonts w:ascii="Times" w:hAnsi="Times"/>
        </w:rPr>
        <w:t xml:space="preserve"> </w:t>
      </w:r>
      <w:r w:rsidR="002D3156">
        <w:rPr>
          <w:rFonts w:ascii="Times" w:hAnsi="Times"/>
        </w:rPr>
        <w:t xml:space="preserve">were </w:t>
      </w:r>
      <w:r w:rsidR="00DF13F8">
        <w:rPr>
          <w:rFonts w:ascii="Times" w:hAnsi="Times"/>
        </w:rPr>
        <w:t>associated with an increased risk of infection.</w:t>
      </w:r>
      <w:r w:rsidR="00A765C9">
        <w:rPr>
          <w:rFonts w:ascii="Times" w:hAnsi="Times"/>
        </w:rPr>
        <w:t xml:space="preserve"> </w:t>
      </w:r>
      <w:r w:rsidR="00626FA9">
        <w:rPr>
          <w:rFonts w:ascii="Times" w:hAnsi="Times"/>
        </w:rPr>
        <w:t>Our study provides important real-world evidence that</w:t>
      </w:r>
      <w:r w:rsidR="002D3156">
        <w:rPr>
          <w:rFonts w:ascii="Times" w:hAnsi="Times"/>
        </w:rPr>
        <w:t xml:space="preserve"> t</w:t>
      </w:r>
      <w:r w:rsidR="00A765C9">
        <w:rPr>
          <w:rFonts w:ascii="Times" w:hAnsi="Times"/>
        </w:rPr>
        <w:t xml:space="preserve">he influenza vaccine </w:t>
      </w:r>
      <w:r w:rsidR="002D3156">
        <w:rPr>
          <w:rFonts w:ascii="Times" w:hAnsi="Times"/>
        </w:rPr>
        <w:t>is</w:t>
      </w:r>
      <w:r w:rsidR="00A765C9">
        <w:rPr>
          <w:rFonts w:ascii="Times" w:hAnsi="Times"/>
        </w:rPr>
        <w:t xml:space="preserve"> effective in people with RA</w:t>
      </w:r>
      <w:r w:rsidR="00D3661C">
        <w:rPr>
          <w:rFonts w:ascii="Times" w:hAnsi="Times"/>
        </w:rPr>
        <w:t xml:space="preserve">. We also found individuals with RA had higher rates of pneumonia when compared </w:t>
      </w:r>
      <w:r w:rsidR="00D63DD0">
        <w:rPr>
          <w:rFonts w:ascii="Times" w:hAnsi="Times"/>
        </w:rPr>
        <w:t xml:space="preserve">with </w:t>
      </w:r>
      <w:r w:rsidR="00D3661C">
        <w:rPr>
          <w:rFonts w:ascii="Times" w:hAnsi="Times"/>
        </w:rPr>
        <w:t>matched individuals, and provide the first data to suggest the efficacy of the pneumococcal vaccine may differ in individuals with and without RA.</w:t>
      </w:r>
    </w:p>
    <w:p w14:paraId="71EC3191" w14:textId="77777777" w:rsidR="00EB05B1" w:rsidRDefault="00EB05B1" w:rsidP="006C0E70">
      <w:pPr>
        <w:spacing w:line="360" w:lineRule="auto"/>
        <w:jc w:val="both"/>
        <w:rPr>
          <w:bCs/>
          <w:color w:val="222222"/>
          <w:shd w:val="clear" w:color="auto" w:fill="FFFFFF"/>
        </w:rPr>
      </w:pPr>
    </w:p>
    <w:p w14:paraId="4F93D2F2" w14:textId="33D43C2D" w:rsidR="00E04D58" w:rsidRDefault="00E04D58" w:rsidP="006C0E70">
      <w:pPr>
        <w:spacing w:line="360" w:lineRule="auto"/>
        <w:jc w:val="both"/>
        <w:rPr>
          <w:rFonts w:ascii="Times" w:hAnsi="Times"/>
        </w:rPr>
      </w:pPr>
      <w:r>
        <w:rPr>
          <w:rFonts w:ascii="Times" w:hAnsi="Times"/>
        </w:rPr>
        <w:t>In this study we used a large primary care database and considered a broad range of common infections presenting to primary care physicians, meaning we provide information on more than six times as many individuals with RA and five times as many infection events as the only previous population-based study to evaluate the impact of haematological abnormalities on infection risks.</w:t>
      </w:r>
      <w:r>
        <w:rPr>
          <w:rFonts w:ascii="Times" w:hAnsi="Times"/>
        </w:rPr>
        <w:fldChar w:fldCharType="begin"/>
      </w:r>
      <w:r w:rsidR="008E2E68">
        <w:rPr>
          <w:rFonts w:ascii="Times" w:hAnsi="Times"/>
        </w:rPr>
        <w:instrText xml:space="preserve"> ADDIN EN.CITE &lt;EndNote&gt;&lt;Cite&gt;&lt;Author&gt;Crowson&lt;/Author&gt;&lt;Year&gt;2012&lt;/Year&gt;&lt;RecNum&gt;24&lt;/RecNum&gt;&lt;DisplayText&gt;(26)&lt;/DisplayText&gt;&lt;record&gt;&lt;rec-number&gt;24&lt;/rec-number&gt;&lt;foreign-keys&gt;&lt;key app="EN" db-id="fstva0r0rxdx91edsstvvzexwff2xfarva5w" timestamp="1548093229"&gt;24&lt;/key&gt;&lt;/foreign-keys&gt;&lt;ref-type name="Journal Article"&gt;17&lt;/ref-type&gt;&lt;contributors&gt;&lt;authors&gt;&lt;author&gt;Crowson, Cynthia S&lt;/author&gt;&lt;author&gt;Hoganson, Deana D&lt;/author&gt;&lt;author&gt;Fitz</w:instrText>
      </w:r>
      <w:r w:rsidR="008E2E68">
        <w:rPr>
          <w:rFonts w:ascii="Cambria Math" w:hAnsi="Cambria Math" w:cs="Cambria Math"/>
        </w:rPr>
        <w:instrText>‐</w:instrText>
      </w:r>
      <w:r w:rsidR="008E2E68">
        <w:rPr>
          <w:rFonts w:ascii="Times" w:hAnsi="Times"/>
        </w:rPr>
        <w:instrText>Gibbon, Patrick D&lt;/author&gt;&lt;author&gt;Matteson, Eric L&lt;/author&gt;&lt;/authors&gt;&lt;/contributors&gt;&lt;titles&gt;&lt;title&gt;Development and validation of a risk score for serious infection in patients with rheumatoid arthritis&lt;/title&gt;&lt;secondary-title&gt;Arthritis &amp;amp; Rheumatology&lt;/secondary-title&gt;&lt;/titles&gt;&lt;pages&gt;2847-2855&lt;/pages&gt;&lt;volume&gt;64&lt;/volume&gt;&lt;number&gt;9&lt;/number&gt;&lt;dates&gt;&lt;year&gt;2012&lt;/year&gt;&lt;/dates&gt;&lt;isbn&gt;1529-0131&lt;/isbn&gt;&lt;urls&gt;&lt;/urls&gt;&lt;/record&gt;&lt;/Cite&gt;&lt;/EndNote&gt;</w:instrText>
      </w:r>
      <w:r>
        <w:rPr>
          <w:rFonts w:ascii="Times" w:hAnsi="Times"/>
        </w:rPr>
        <w:fldChar w:fldCharType="separate"/>
      </w:r>
      <w:r w:rsidR="008E2E68">
        <w:rPr>
          <w:rFonts w:ascii="Times" w:hAnsi="Times"/>
          <w:noProof/>
        </w:rPr>
        <w:t>(26)</w:t>
      </w:r>
      <w:r>
        <w:rPr>
          <w:rFonts w:ascii="Times" w:hAnsi="Times"/>
        </w:rPr>
        <w:fldChar w:fldCharType="end"/>
      </w:r>
      <w:r>
        <w:rPr>
          <w:rFonts w:ascii="Times" w:hAnsi="Times"/>
        </w:rPr>
        <w:t xml:space="preserve"> </w:t>
      </w:r>
      <w:r w:rsidR="00965F33">
        <w:rPr>
          <w:rFonts w:ascii="Times" w:hAnsi="Times"/>
        </w:rPr>
        <w:t xml:space="preserve">In the previous study, </w:t>
      </w:r>
      <w:proofErr w:type="spellStart"/>
      <w:r>
        <w:rPr>
          <w:rFonts w:ascii="Times" w:hAnsi="Times"/>
        </w:rPr>
        <w:t>Crowson</w:t>
      </w:r>
      <w:proofErr w:type="spellEnd"/>
      <w:r>
        <w:rPr>
          <w:rFonts w:ascii="Times" w:hAnsi="Times"/>
        </w:rPr>
        <w:t xml:space="preserve"> and colleagues</w:t>
      </w:r>
      <w:r w:rsidR="008138A1">
        <w:rPr>
          <w:rFonts w:ascii="Times" w:hAnsi="Times"/>
        </w:rPr>
        <w:t xml:space="preserve"> found</w:t>
      </w:r>
      <w:r w:rsidR="00586CC7">
        <w:rPr>
          <w:rFonts w:ascii="Times" w:hAnsi="Times"/>
        </w:rPr>
        <w:t xml:space="preserve"> infection risks were increased by 45%</w:t>
      </w:r>
      <w:r w:rsidR="00965F33">
        <w:rPr>
          <w:rFonts w:ascii="Times" w:hAnsi="Times"/>
        </w:rPr>
        <w:t xml:space="preserve"> (Hazard ratio 1.45 (95%CI 0.86</w:t>
      </w:r>
      <w:proofErr w:type="gramStart"/>
      <w:r w:rsidR="00965F33">
        <w:rPr>
          <w:rFonts w:ascii="Times" w:hAnsi="Times"/>
        </w:rPr>
        <w:t>;2.43</w:t>
      </w:r>
      <w:proofErr w:type="gramEnd"/>
      <w:r w:rsidR="00965F33">
        <w:rPr>
          <w:rFonts w:ascii="Times" w:hAnsi="Times"/>
        </w:rPr>
        <w:t>)</w:t>
      </w:r>
      <w:r w:rsidR="00586CC7">
        <w:rPr>
          <w:rFonts w:ascii="Times" w:hAnsi="Times"/>
        </w:rPr>
        <w:t xml:space="preserve"> in the presence of lymphopenia and by 76%</w:t>
      </w:r>
      <w:r w:rsidR="00965F33">
        <w:rPr>
          <w:rFonts w:ascii="Times" w:hAnsi="Times"/>
        </w:rPr>
        <w:t xml:space="preserve"> (Hazard ratio 0.76 (95%CI 0.42-7.37)</w:t>
      </w:r>
      <w:r w:rsidR="00586CC7">
        <w:rPr>
          <w:rFonts w:ascii="Times" w:hAnsi="Times"/>
        </w:rPr>
        <w:t>with neutropenia</w:t>
      </w:r>
      <w:r w:rsidRPr="00E04D58">
        <w:rPr>
          <w:rFonts w:ascii="Times" w:hAnsi="Times"/>
        </w:rPr>
        <w:t xml:space="preserve"> </w:t>
      </w:r>
      <w:r>
        <w:rPr>
          <w:rFonts w:ascii="Times" w:hAnsi="Times"/>
        </w:rPr>
        <w:t>in a population-based cohort from Minnesota in the United States</w:t>
      </w:r>
      <w:r w:rsidR="00965F33">
        <w:rPr>
          <w:rFonts w:ascii="Times" w:hAnsi="Times"/>
        </w:rPr>
        <w:t>. The wide confidence intervals reported, and the different settings and infections considered (</w:t>
      </w:r>
      <w:proofErr w:type="spellStart"/>
      <w:r w:rsidR="00965F33">
        <w:rPr>
          <w:rFonts w:ascii="Times" w:hAnsi="Times"/>
        </w:rPr>
        <w:t>Crowson</w:t>
      </w:r>
      <w:proofErr w:type="spellEnd"/>
      <w:r w:rsidR="00965F33">
        <w:rPr>
          <w:rFonts w:ascii="Times" w:hAnsi="Times"/>
        </w:rPr>
        <w:t xml:space="preserve"> et al. considered only serious infections requiring hospitalisation or intravenous antibiotics), limit direct comparison of our results with this previous study.</w:t>
      </w:r>
      <w:r w:rsidR="00965F33" w:rsidRPr="00965F33">
        <w:rPr>
          <w:rFonts w:ascii="Times" w:hAnsi="Times"/>
        </w:rPr>
        <w:t xml:space="preserve"> </w:t>
      </w:r>
      <w:r w:rsidR="00965F33">
        <w:rPr>
          <w:rFonts w:ascii="Times" w:hAnsi="Times"/>
        </w:rPr>
        <w:fldChar w:fldCharType="begin"/>
      </w:r>
      <w:r w:rsidR="00965F33">
        <w:rPr>
          <w:rFonts w:ascii="Times" w:hAnsi="Times"/>
        </w:rPr>
        <w:instrText xml:space="preserve"> ADDIN EN.CITE &lt;EndNote&gt;&lt;Cite&gt;&lt;Author&gt;Crowson&lt;/Author&gt;&lt;Year&gt;2012&lt;/Year&gt;&lt;RecNum&gt;43&lt;/RecNum&gt;&lt;DisplayText&gt;(26)&lt;/DisplayText&gt;&lt;record&gt;&lt;rec-number&gt;43&lt;/rec-number&gt;&lt;foreign-keys&gt;&lt;key app="EN" db-id="srr5r5asztv2ehepdza5xtvkzafprwx5dxfx" timestamp="1528559633"&gt;43&lt;/key&gt;&lt;/foreign-keys&gt;&lt;ref-type name="Journal Article"&gt;17&lt;/ref-type&gt;&lt;contributors&gt;&lt;authors&gt;&lt;author&gt;Crowson, Cynthia S&lt;/author&gt;&lt;author&gt;Hoganson, Deana D&lt;/author&gt;&lt;author&gt;Fitz</w:instrText>
      </w:r>
      <w:r w:rsidR="00965F33">
        <w:rPr>
          <w:rFonts w:ascii="Cambria Math" w:hAnsi="Cambria Math" w:cs="Cambria Math"/>
        </w:rPr>
        <w:instrText>‐</w:instrText>
      </w:r>
      <w:r w:rsidR="00965F33">
        <w:rPr>
          <w:rFonts w:ascii="Times" w:hAnsi="Times"/>
        </w:rPr>
        <w:instrText>Gibbon, Patrick D&lt;/author&gt;&lt;author&gt;Matteson, Eric L&lt;/author&gt;&lt;/authors&gt;&lt;/contributors&gt;&lt;titles&gt;&lt;title&gt;Development and validation of a risk score for serious infection in patients with rheumatoid arthritis&lt;/title&gt;&lt;secondary-title&gt;Arthritis &amp;amp; Rheumatology&lt;/secondary-title&gt;&lt;/titles&gt;&lt;periodical&gt;&lt;full-title&gt;Arthritis &amp;amp; Rheumatology&lt;/full-title&gt;&lt;/periodical&gt;&lt;pages&gt;2847-2855&lt;/pages&gt;&lt;volume&gt;64&lt;/volume&gt;&lt;number&gt;9&lt;/number&gt;&lt;dates&gt;&lt;year&gt;2012&lt;/year&gt;&lt;/dates&gt;&lt;isbn&gt;1529-0131&lt;/isbn&gt;&lt;urls&gt;&lt;/urls&gt;&lt;/record&gt;&lt;/Cite&gt;&lt;/EndNote&gt;</w:instrText>
      </w:r>
      <w:r w:rsidR="00965F33">
        <w:rPr>
          <w:rFonts w:ascii="Times" w:hAnsi="Times"/>
        </w:rPr>
        <w:fldChar w:fldCharType="separate"/>
      </w:r>
      <w:r w:rsidR="00965F33">
        <w:rPr>
          <w:rFonts w:ascii="Times" w:hAnsi="Times"/>
          <w:noProof/>
        </w:rPr>
        <w:t>(26)</w:t>
      </w:r>
      <w:r w:rsidR="00965F33">
        <w:rPr>
          <w:rFonts w:ascii="Times" w:hAnsi="Times"/>
        </w:rPr>
        <w:fldChar w:fldCharType="end"/>
      </w:r>
    </w:p>
    <w:p w14:paraId="63AC3594" w14:textId="7DDCCC30" w:rsidR="00CA6F81" w:rsidRPr="00B2048A" w:rsidRDefault="0081002F" w:rsidP="006C0E70">
      <w:pPr>
        <w:spacing w:line="360" w:lineRule="auto"/>
        <w:jc w:val="both"/>
        <w:rPr>
          <w:rFonts w:ascii="Times" w:hAnsi="Times"/>
          <w:sz w:val="20"/>
          <w:szCs w:val="20"/>
        </w:rPr>
      </w:pPr>
      <w:r>
        <w:rPr>
          <w:rFonts w:ascii="Times" w:hAnsi="Times"/>
        </w:rPr>
        <w:t>Although we</w:t>
      </w:r>
      <w:r w:rsidR="008138A1">
        <w:rPr>
          <w:rFonts w:ascii="Times" w:hAnsi="Times"/>
        </w:rPr>
        <w:t xml:space="preserve"> </w:t>
      </w:r>
      <w:r w:rsidR="002D3156">
        <w:rPr>
          <w:rFonts w:ascii="Times" w:hAnsi="Times"/>
        </w:rPr>
        <w:t>found no evidence that t</w:t>
      </w:r>
      <w:r w:rsidR="00CA6F81">
        <w:rPr>
          <w:rFonts w:ascii="Times" w:hAnsi="Times"/>
        </w:rPr>
        <w:t>he presence of neutropenia was associated with an increase in infections</w:t>
      </w:r>
      <w:r>
        <w:rPr>
          <w:rFonts w:ascii="Times" w:hAnsi="Times"/>
        </w:rPr>
        <w:t xml:space="preserve">, </w:t>
      </w:r>
      <w:r w:rsidR="008138A1">
        <w:rPr>
          <w:rFonts w:ascii="Times" w:hAnsi="Times"/>
        </w:rPr>
        <w:t>few individuals had neutropenia limiting the power of our study. O</w:t>
      </w:r>
      <w:r w:rsidR="00CA6F81">
        <w:rPr>
          <w:rFonts w:ascii="Times" w:hAnsi="Times"/>
        </w:rPr>
        <w:t>ur findings do not</w:t>
      </w:r>
      <w:r w:rsidR="008138A1">
        <w:rPr>
          <w:rFonts w:ascii="Times" w:hAnsi="Times"/>
        </w:rPr>
        <w:t xml:space="preserve"> </w:t>
      </w:r>
      <w:r w:rsidR="00CA6F81">
        <w:rPr>
          <w:rFonts w:ascii="Times" w:hAnsi="Times"/>
        </w:rPr>
        <w:t>imply that neutropenia induced in some patients receiving DMARD</w:t>
      </w:r>
      <w:r w:rsidR="00CE5AF5">
        <w:rPr>
          <w:rFonts w:ascii="Times" w:hAnsi="Times"/>
        </w:rPr>
        <w:t>s</w:t>
      </w:r>
      <w:r w:rsidR="00CA6F81">
        <w:rPr>
          <w:rFonts w:ascii="Times" w:hAnsi="Times"/>
        </w:rPr>
        <w:t xml:space="preserve"> is benign</w:t>
      </w:r>
      <w:r w:rsidR="0041723B">
        <w:rPr>
          <w:rFonts w:ascii="Times" w:hAnsi="Times"/>
        </w:rPr>
        <w:t>, given previous studies</w:t>
      </w:r>
      <w:r w:rsidR="00CA6F81">
        <w:rPr>
          <w:rFonts w:ascii="Times" w:hAnsi="Times"/>
        </w:rPr>
        <w:t>.</w:t>
      </w:r>
      <w:r w:rsidR="00CA6F81">
        <w:rPr>
          <w:rFonts w:ascii="Times" w:hAnsi="Times"/>
        </w:rPr>
        <w:fldChar w:fldCharType="begin"/>
      </w:r>
      <w:r w:rsidR="008E2E68">
        <w:rPr>
          <w:rFonts w:ascii="Times" w:hAnsi="Times"/>
        </w:rPr>
        <w:instrText xml:space="preserve"> ADDIN EN.CITE &lt;EndNote&gt;&lt;Cite&gt;&lt;Author&gt;Lim&lt;/Author&gt;&lt;Year&gt;2005&lt;/Year&gt;&lt;RecNum&gt;49&lt;/RecNum&gt;&lt;DisplayText&gt;(27, 28)&lt;/DisplayText&gt;&lt;record&gt;&lt;rec-number&gt;49&lt;/rec-number&gt;&lt;foreign-keys&gt;&lt;key app="EN" db-id="srr5r5asztv2ehepdza5xtvkzafprwx5dxfx" timestamp="1528666576"&gt;49&lt;/key&gt;&lt;/foreign-keys&gt;&lt;ref-type name="Journal Article"&gt;17&lt;/ref-type&gt;&lt;contributors&gt;&lt;authors&gt;&lt;author&gt;Lim, AYN&lt;/author&gt;&lt;author&gt;Gaffney, K&lt;/author&gt;&lt;author&gt;Scott, DGI&lt;/author&gt;&lt;/authors&gt;&lt;/contributors&gt;&lt;titles&gt;&lt;title&gt;Methotrexate-induced pancytopenia: serious and under-reported? Our experience of 25 cases in 5 years&lt;/title&gt;&lt;secondary-title&gt;Rheumatology&lt;/secondary-title&gt;&lt;/titles&gt;&lt;periodical&gt;&lt;full-title&gt;Rheumatology&lt;/full-title&gt;&lt;/periodical&gt;&lt;pages&gt;1051-1055&lt;/pages&gt;&lt;volume&gt;44&lt;/volume&gt;&lt;number&gt;8&lt;/number&gt;&lt;dates&gt;&lt;year&gt;2005&lt;/year&gt;&lt;/dates&gt;&lt;isbn&gt;1462-0332&lt;/isbn&gt;&lt;urls&gt;&lt;/urls&gt;&lt;/record&gt;&lt;/Cite&gt;&lt;Cite&gt;&lt;Author&gt;Hastings&lt;/Author&gt;&lt;Year&gt;2010&lt;/Year&gt;&lt;RecNum&gt;50&lt;/RecNum&gt;&lt;record&gt;&lt;rec-number&gt;50&lt;/rec-number&gt;&lt;foreign-keys&gt;&lt;key app="EN" db-id="srr5r5asztv2ehepdza5xtvkzafprwx5dxfx" timestamp="1528666633"&gt;50&lt;/key&gt;&lt;/foreign-keys&gt;&lt;ref-type name="Journal Article"&gt;17&lt;/ref-type&gt;&lt;contributors&gt;&lt;authors&gt;&lt;author&gt;Hastings, Richard&lt;/author&gt;&lt;author&gt;Ding, Tina&lt;/author&gt;&lt;author&gt;Butt, Sayqa&lt;/author&gt;&lt;author&gt;Gadsby, Kate&lt;/author&gt;&lt;author&gt;Zhang, Weiya&lt;/author&gt;&lt;author&gt;Moots, Robert J&lt;/author&gt;&lt;author&gt;Deighton, Chris&lt;/author&gt;&lt;/authors&gt;&lt;/contributors&gt;&lt;titles&gt;&lt;title&gt;Neutropenia in patients receiving anti–tumor necrosis factor therapy&lt;/title&gt;&lt;secondary-title&gt;Arthritis care &amp;amp; research&lt;/secondary-title&gt;&lt;/titles&gt;&lt;periodical&gt;&lt;full-title&gt;Arthritis care &amp;amp; research&lt;/full-title&gt;&lt;/periodical&gt;&lt;pages&gt;764-769&lt;/pages&gt;&lt;volume&gt;62&lt;/volume&gt;&lt;number&gt;6&lt;/number&gt;&lt;dates&gt;&lt;year&gt;2010&lt;/year&gt;&lt;/dates&gt;&lt;isbn&gt;2151-4658&lt;/isbn&gt;&lt;urls&gt;&lt;/urls&gt;&lt;/record&gt;&lt;/Cite&gt;&lt;/EndNote&gt;</w:instrText>
      </w:r>
      <w:r w:rsidR="00CA6F81">
        <w:rPr>
          <w:rFonts w:ascii="Times" w:hAnsi="Times"/>
        </w:rPr>
        <w:fldChar w:fldCharType="separate"/>
      </w:r>
      <w:r w:rsidR="008E2E68">
        <w:rPr>
          <w:rFonts w:ascii="Times" w:hAnsi="Times"/>
          <w:noProof/>
        </w:rPr>
        <w:t>(27, 28)</w:t>
      </w:r>
      <w:r w:rsidR="00CA6F81">
        <w:rPr>
          <w:rFonts w:ascii="Times" w:hAnsi="Times"/>
        </w:rPr>
        <w:fldChar w:fldCharType="end"/>
      </w:r>
      <w:r w:rsidR="00CA6F81">
        <w:rPr>
          <w:rFonts w:ascii="Times" w:hAnsi="Times"/>
        </w:rPr>
        <w:t xml:space="preserve"> </w:t>
      </w:r>
      <w:r w:rsidR="0041723B">
        <w:rPr>
          <w:rFonts w:ascii="Times" w:hAnsi="Times"/>
        </w:rPr>
        <w:t xml:space="preserve">The </w:t>
      </w:r>
      <w:r w:rsidR="00DB4D88">
        <w:rPr>
          <w:rFonts w:ascii="Times" w:hAnsi="Times"/>
        </w:rPr>
        <w:t xml:space="preserve">high prevalence of </w:t>
      </w:r>
      <w:r w:rsidR="0087778E">
        <w:rPr>
          <w:rFonts w:ascii="Times" w:hAnsi="Times"/>
        </w:rPr>
        <w:t>anaemia</w:t>
      </w:r>
      <w:r w:rsidR="00DB4D88">
        <w:rPr>
          <w:rFonts w:ascii="Times" w:hAnsi="Times"/>
        </w:rPr>
        <w:t xml:space="preserve"> in </w:t>
      </w:r>
      <w:r w:rsidR="0087778E">
        <w:rPr>
          <w:rFonts w:ascii="Times" w:hAnsi="Times"/>
        </w:rPr>
        <w:t>individuals</w:t>
      </w:r>
      <w:r w:rsidR="00DB4D88">
        <w:rPr>
          <w:rFonts w:ascii="Times" w:hAnsi="Times"/>
        </w:rPr>
        <w:t xml:space="preserve"> with RA</w:t>
      </w:r>
      <w:r w:rsidR="0041723B">
        <w:rPr>
          <w:rFonts w:ascii="Times" w:hAnsi="Times"/>
        </w:rPr>
        <w:t xml:space="preserve"> is in keeping with previous studies</w:t>
      </w:r>
      <w:r w:rsidR="00DB4D88">
        <w:rPr>
          <w:rFonts w:ascii="Times" w:hAnsi="Times"/>
        </w:rPr>
        <w:t>,</w:t>
      </w:r>
      <w:r w:rsidR="0041723B">
        <w:rPr>
          <w:rFonts w:ascii="Times" w:hAnsi="Times"/>
        </w:rPr>
        <w:fldChar w:fldCharType="begin"/>
      </w:r>
      <w:r w:rsidR="008E2E68">
        <w:rPr>
          <w:rFonts w:ascii="Times" w:hAnsi="Times"/>
        </w:rPr>
        <w:instrText xml:space="preserve"> ADDIN EN.CITE &lt;EndNote&gt;&lt;Cite&gt;&lt;Author&gt;Costello&lt;/Author&gt;&lt;Year&gt;2016&lt;/Year&gt;&lt;RecNum&gt;4&lt;/RecNum&gt;&lt;DisplayText&gt;(19)&lt;/DisplayText&gt;&lt;record&gt;&lt;rec-number&gt;4&lt;/rec-number&gt;&lt;foreign-keys&gt;&lt;key app="EN" db-id="2xf599zf4p9dede9sebxsswatt9e5f0tv9ts" timestamp="1540641505"&gt;4&lt;/key&gt;&lt;/foreign-keys&gt;&lt;ref-type name="Journal Article"&gt;17&lt;/ref-type&gt;&lt;contributors&gt;&lt;authors&gt;&lt;author&gt;Costello, Ruth&lt;/author&gt;&lt;author&gt;Winthrop, Kevin L.&lt;/author&gt;&lt;author&gt;Pye, Stephen R.&lt;/author&gt;&lt;author&gt;Brown, Benjamin&lt;/author&gt;&lt;author&gt;Dixon, William G.&lt;/author&gt;&lt;/authors&gt;&lt;/contributors&gt;&lt;titles&gt;&lt;title&gt;Influenza and Pneumococcal Vaccination Uptake in Patients with Rheumatoid Arthritis Treated with Immunosuppressive Therapy in the UK: A Retrospective Cohort Study Using Data from the Clinical Practice Research Datalink&lt;/title&gt;&lt;secondary-title&gt;PLOS ONE&lt;/secondary-title&gt;&lt;/titles&gt;&lt;periodical&gt;&lt;full-title&gt;PLOS ONE&lt;/full-title&gt;&lt;/periodical&gt;&lt;pages&gt;e0153848&lt;/pages&gt;&lt;volume&gt;11&lt;/volume&gt;&lt;number&gt;4&lt;/number&gt;&lt;dates&gt;&lt;year&gt;2016&lt;/year&gt;&lt;/dates&gt;&lt;publisher&gt;Public Library of Science&lt;/publisher&gt;&lt;urls&gt;&lt;related-urls&gt;&lt;url&gt;https://doi.org/10.1371/journal.pone.0153848&lt;/url&gt;&lt;/related-urls&gt;&lt;/urls&gt;&lt;electronic-resource-num&gt;10.1371/journal.pone.0153848&lt;/electronic-resource-num&gt;&lt;/record&gt;&lt;/Cite&gt;&lt;/EndNote&gt;</w:instrText>
      </w:r>
      <w:r w:rsidR="0041723B">
        <w:rPr>
          <w:rFonts w:ascii="Times" w:hAnsi="Times"/>
        </w:rPr>
        <w:fldChar w:fldCharType="separate"/>
      </w:r>
      <w:r w:rsidR="008E2E68">
        <w:rPr>
          <w:rFonts w:ascii="Times" w:hAnsi="Times"/>
          <w:noProof/>
        </w:rPr>
        <w:t>(19)</w:t>
      </w:r>
      <w:r w:rsidR="0041723B">
        <w:rPr>
          <w:rFonts w:ascii="Times" w:hAnsi="Times"/>
        </w:rPr>
        <w:fldChar w:fldCharType="end"/>
      </w:r>
      <w:r w:rsidR="00DB4D88">
        <w:rPr>
          <w:rFonts w:ascii="Times" w:hAnsi="Times"/>
        </w:rPr>
        <w:t xml:space="preserve"> </w:t>
      </w:r>
      <w:r w:rsidR="006E5BE8">
        <w:rPr>
          <w:rFonts w:ascii="Times" w:hAnsi="Times"/>
        </w:rPr>
        <w:t>but further studies are required to establish whether</w:t>
      </w:r>
      <w:r w:rsidR="0041723B">
        <w:rPr>
          <w:rFonts w:ascii="Times" w:hAnsi="Times"/>
        </w:rPr>
        <w:t xml:space="preserve"> proactive </w:t>
      </w:r>
      <w:r w:rsidR="00650F9A">
        <w:rPr>
          <w:rFonts w:ascii="Times" w:hAnsi="Times"/>
        </w:rPr>
        <w:t xml:space="preserve">anaemia </w:t>
      </w:r>
      <w:r w:rsidR="0041723B">
        <w:rPr>
          <w:rFonts w:ascii="Times" w:hAnsi="Times"/>
        </w:rPr>
        <w:t xml:space="preserve">management </w:t>
      </w:r>
      <w:r w:rsidR="0041723B">
        <w:t>may be beneficial in early RA</w:t>
      </w:r>
      <w:r w:rsidR="00D959F7">
        <w:t xml:space="preserve"> in the context of infection risk</w:t>
      </w:r>
      <w:r w:rsidR="0041723B">
        <w:t>.</w:t>
      </w:r>
    </w:p>
    <w:p w14:paraId="3DE54B96" w14:textId="77777777" w:rsidR="00A76552" w:rsidRDefault="00A76552" w:rsidP="006C0E70">
      <w:pPr>
        <w:spacing w:line="360" w:lineRule="auto"/>
        <w:jc w:val="both"/>
        <w:rPr>
          <w:rFonts w:ascii="Times" w:hAnsi="Times"/>
          <w:b/>
        </w:rPr>
      </w:pPr>
    </w:p>
    <w:p w14:paraId="150FED56" w14:textId="7CC446BB" w:rsidR="00AB58EB" w:rsidRDefault="0081002F" w:rsidP="00B448CF">
      <w:pPr>
        <w:spacing w:line="360" w:lineRule="auto"/>
        <w:jc w:val="both"/>
        <w:rPr>
          <w:rFonts w:ascii="Times" w:hAnsi="Times"/>
        </w:rPr>
      </w:pPr>
      <w:r w:rsidRPr="00EB2958">
        <w:rPr>
          <w:rFonts w:ascii="Times" w:hAnsi="Times"/>
        </w:rPr>
        <w:t xml:space="preserve">Uptake of both influenza and pneumococcus vaccine </w:t>
      </w:r>
      <w:r w:rsidR="00DE5490">
        <w:rPr>
          <w:rFonts w:ascii="Times" w:hAnsi="Times"/>
        </w:rPr>
        <w:t xml:space="preserve">prior to diagnosis </w:t>
      </w:r>
      <w:r w:rsidRPr="00B055E0">
        <w:rPr>
          <w:rFonts w:ascii="Times" w:hAnsi="Times"/>
        </w:rPr>
        <w:t xml:space="preserve">was greater among </w:t>
      </w:r>
      <w:r w:rsidR="00B055E0">
        <w:rPr>
          <w:rFonts w:ascii="Times" w:hAnsi="Times"/>
        </w:rPr>
        <w:t>individuals</w:t>
      </w:r>
      <w:r w:rsidRPr="00B055E0">
        <w:rPr>
          <w:rFonts w:ascii="Times" w:hAnsi="Times"/>
        </w:rPr>
        <w:t xml:space="preserve"> with RA </w:t>
      </w:r>
      <w:r w:rsidR="00B055E0" w:rsidRPr="00B055E0">
        <w:rPr>
          <w:rFonts w:ascii="Times" w:hAnsi="Times"/>
        </w:rPr>
        <w:t xml:space="preserve">compared </w:t>
      </w:r>
      <w:r w:rsidR="00D63DD0">
        <w:rPr>
          <w:rFonts w:ascii="Times" w:hAnsi="Times"/>
        </w:rPr>
        <w:t>with</w:t>
      </w:r>
      <w:r w:rsidR="00D63DD0" w:rsidRPr="00B055E0">
        <w:rPr>
          <w:rFonts w:ascii="Times" w:hAnsi="Times"/>
        </w:rPr>
        <w:t xml:space="preserve"> </w:t>
      </w:r>
      <w:r w:rsidR="00B055E0" w:rsidRPr="00B055E0">
        <w:rPr>
          <w:rFonts w:ascii="Times" w:hAnsi="Times"/>
        </w:rPr>
        <w:t xml:space="preserve">matched controls without RA. </w:t>
      </w:r>
      <w:r w:rsidR="00E6742A">
        <w:t xml:space="preserve">In the case </w:t>
      </w:r>
      <w:r w:rsidR="00E6742A">
        <w:lastRenderedPageBreak/>
        <w:t>of influenza, after adjustment for a range of patient characteristics and comorbidities that have previously been shown to be associated with infection risk,</w:t>
      </w:r>
      <w:r w:rsidR="009108CE">
        <w:rPr>
          <w:rFonts w:ascii="Times" w:hAnsi="Times"/>
        </w:rPr>
        <w:fldChar w:fldCharType="begin"/>
      </w:r>
      <w:r w:rsidR="008E2E68">
        <w:rPr>
          <w:rFonts w:ascii="Times" w:hAnsi="Times"/>
        </w:rPr>
        <w:instrText xml:space="preserve"> ADDIN EN.CITE &lt;EndNote&gt;&lt;Cite&gt;&lt;Author&gt;Crowson&lt;/Author&gt;&lt;Year&gt;2012&lt;/Year&gt;&lt;RecNum&gt;43&lt;/RecNum&gt;&lt;DisplayText&gt;(26)&lt;/DisplayText&gt;&lt;record&gt;&lt;rec-number&gt;43&lt;/rec-number&gt;&lt;foreign-keys&gt;&lt;key app="EN" db-id="srr5r5asztv2ehepdza5xtvkzafprwx5dxfx" timestamp="1528559633"&gt;43&lt;/key&gt;&lt;/foreign-keys&gt;&lt;ref-type name="Journal Article"&gt;17&lt;/ref-type&gt;&lt;contributors&gt;&lt;authors&gt;&lt;author&gt;Crowson, Cynthia S&lt;/author&gt;&lt;author&gt;Hoganson, Deana D&lt;/author&gt;&lt;author&gt;Fitz</w:instrText>
      </w:r>
      <w:r w:rsidR="008E2E68">
        <w:rPr>
          <w:rFonts w:ascii="Cambria Math" w:hAnsi="Cambria Math" w:cs="Cambria Math"/>
        </w:rPr>
        <w:instrText>‐</w:instrText>
      </w:r>
      <w:r w:rsidR="008E2E68">
        <w:rPr>
          <w:rFonts w:ascii="Times" w:hAnsi="Times"/>
        </w:rPr>
        <w:instrText>Gibbon, Patrick D&lt;/author&gt;&lt;author&gt;Matteson, Eric L&lt;/author&gt;&lt;/authors&gt;&lt;/contributors&gt;&lt;titles&gt;&lt;title&gt;Development and validation of a risk score for serious infection in patients with rheumatoid arthritis&lt;/title&gt;&lt;secondary-title&gt;Arthritis &amp;amp; Rheumatology&lt;/secondary-title&gt;&lt;/titles&gt;&lt;periodical&gt;&lt;full-title&gt;Arthritis &amp;amp; Rheumatology&lt;/full-title&gt;&lt;/periodical&gt;&lt;pages&gt;2847-2855&lt;/pages&gt;&lt;volume&gt;64&lt;/volume&gt;&lt;number&gt;9&lt;/number&gt;&lt;dates&gt;&lt;year&gt;2012&lt;/year&gt;&lt;/dates&gt;&lt;isbn&gt;1529-0131&lt;/isbn&gt;&lt;urls&gt;&lt;/urls&gt;&lt;/record&gt;&lt;/Cite&gt;&lt;/EndNote&gt;</w:instrText>
      </w:r>
      <w:r w:rsidR="009108CE">
        <w:rPr>
          <w:rFonts w:ascii="Times" w:hAnsi="Times"/>
        </w:rPr>
        <w:fldChar w:fldCharType="separate"/>
      </w:r>
      <w:r w:rsidR="008E2E68">
        <w:rPr>
          <w:rFonts w:ascii="Times" w:hAnsi="Times"/>
          <w:noProof/>
        </w:rPr>
        <w:t>(26)</w:t>
      </w:r>
      <w:r w:rsidR="009108CE">
        <w:rPr>
          <w:rFonts w:ascii="Times" w:hAnsi="Times"/>
        </w:rPr>
        <w:fldChar w:fldCharType="end"/>
      </w:r>
      <w:r w:rsidR="009108CE">
        <w:rPr>
          <w:rFonts w:ascii="Times" w:hAnsi="Times"/>
        </w:rPr>
        <w:t xml:space="preserve"> </w:t>
      </w:r>
      <w:r w:rsidR="0038498A">
        <w:rPr>
          <w:rFonts w:ascii="Times" w:hAnsi="Times"/>
        </w:rPr>
        <w:t xml:space="preserve">an approach </w:t>
      </w:r>
      <w:r w:rsidR="006C0E70">
        <w:rPr>
          <w:rFonts w:ascii="Times" w:hAnsi="Times"/>
        </w:rPr>
        <w:t>designed to reduce the possibility of confounding by indication</w:t>
      </w:r>
      <w:r w:rsidR="00E6742A">
        <w:rPr>
          <w:rFonts w:ascii="Times" w:hAnsi="Times"/>
        </w:rPr>
        <w:t>,</w:t>
      </w:r>
      <w:r w:rsidR="006C0E70">
        <w:rPr>
          <w:rFonts w:ascii="Times" w:hAnsi="Times"/>
        </w:rPr>
        <w:fldChar w:fldCharType="begin"/>
      </w:r>
      <w:r w:rsidR="008E2E68">
        <w:rPr>
          <w:rFonts w:ascii="Times" w:hAnsi="Times"/>
        </w:rPr>
        <w:instrText xml:space="preserve"> ADDIN EN.CITE &lt;EndNote&gt;&lt;Cite&gt;&lt;Author&gt;Remschmidt&lt;/Author&gt;&lt;Year&gt;2015&lt;/Year&gt;&lt;RecNum&gt;44&lt;/RecNum&gt;&lt;DisplayText&gt;(29)&lt;/DisplayText&gt;&lt;record&gt;&lt;rec-number&gt;44&lt;/rec-number&gt;&lt;foreign-keys&gt;&lt;key app="EN" db-id="srr5r5asztv2ehepdza5xtvkzafprwx5dxfx" timestamp="1528561758"&gt;44&lt;/key&gt;&lt;/foreign-keys&gt;&lt;ref-type name="Journal Article"&gt;17&lt;/ref-type&gt;&lt;contributors&gt;&lt;authors&gt;&lt;author&gt;Remschmidt, Cornelius&lt;/author&gt;&lt;author&gt;Wichmann, Ole&lt;/author&gt;&lt;author&gt;Harder, Thomas&lt;/author&gt;&lt;/authors&gt;&lt;/contributors&gt;&lt;titles&gt;&lt;title&gt;Frequency and impact of confounding by indication and healthy vaccinee bias in observational studies assessing influenza vaccine effectiveness: a systematic review&lt;/title&gt;&lt;secondary-title&gt;BMC infectious diseases&lt;/secondary-title&gt;&lt;/titles&gt;&lt;periodical&gt;&lt;full-title&gt;BMC infectious diseases&lt;/full-title&gt;&lt;/periodical&gt;&lt;pages&gt;429&lt;/pages&gt;&lt;volume&gt;15&lt;/volume&gt;&lt;number&gt;1&lt;/number&gt;&lt;dates&gt;&lt;year&gt;2015&lt;/year&gt;&lt;/dates&gt;&lt;isbn&gt;1471-2334&lt;/isbn&gt;&lt;urls&gt;&lt;/urls&gt;&lt;/record&gt;&lt;/Cite&gt;&lt;/EndNote&gt;</w:instrText>
      </w:r>
      <w:r w:rsidR="006C0E70">
        <w:rPr>
          <w:rFonts w:ascii="Times" w:hAnsi="Times"/>
        </w:rPr>
        <w:fldChar w:fldCharType="separate"/>
      </w:r>
      <w:r w:rsidR="008E2E68">
        <w:rPr>
          <w:rFonts w:ascii="Times" w:hAnsi="Times"/>
          <w:noProof/>
        </w:rPr>
        <w:t>(29)</w:t>
      </w:r>
      <w:r w:rsidR="006C0E70">
        <w:rPr>
          <w:rFonts w:ascii="Times" w:hAnsi="Times"/>
        </w:rPr>
        <w:fldChar w:fldCharType="end"/>
      </w:r>
      <w:r w:rsidR="009108CE">
        <w:rPr>
          <w:rFonts w:ascii="Times" w:hAnsi="Times"/>
        </w:rPr>
        <w:t xml:space="preserve"> </w:t>
      </w:r>
      <w:r w:rsidR="00E6742A">
        <w:t xml:space="preserve">we also observed a protective effect of vaccination in individuals with RA. </w:t>
      </w:r>
      <w:r w:rsidR="00D212B9">
        <w:rPr>
          <w:rFonts w:ascii="Times" w:hAnsi="Times"/>
        </w:rPr>
        <w:t>I</w:t>
      </w:r>
      <w:r w:rsidR="00AB58EB">
        <w:rPr>
          <w:rFonts w:ascii="Times" w:hAnsi="Times"/>
        </w:rPr>
        <w:t>n individuals without RA</w:t>
      </w:r>
      <w:r w:rsidR="00D212B9">
        <w:rPr>
          <w:rFonts w:ascii="Times" w:hAnsi="Times"/>
        </w:rPr>
        <w:t>,</w:t>
      </w:r>
      <w:r w:rsidR="00E6742A" w:rsidRPr="00E6742A">
        <w:t xml:space="preserve"> </w:t>
      </w:r>
      <w:r w:rsidR="00E6742A">
        <w:rPr>
          <w:rFonts w:ascii="Times" w:hAnsi="Times"/>
        </w:rPr>
        <w:t xml:space="preserve">there was no evidence that </w:t>
      </w:r>
      <w:r w:rsidR="00E6742A" w:rsidRPr="00E6742A">
        <w:rPr>
          <w:rFonts w:ascii="Times" w:hAnsi="Times"/>
        </w:rPr>
        <w:t>vaccination was associated with a reduced risk of influenza.</w:t>
      </w:r>
    </w:p>
    <w:p w14:paraId="5553D06A" w14:textId="77777777" w:rsidR="00AB58EB" w:rsidRDefault="00AB58EB" w:rsidP="00B448CF">
      <w:pPr>
        <w:spacing w:line="360" w:lineRule="auto"/>
        <w:jc w:val="both"/>
        <w:rPr>
          <w:rFonts w:ascii="Times" w:hAnsi="Times"/>
        </w:rPr>
      </w:pPr>
    </w:p>
    <w:p w14:paraId="09B1F5F6" w14:textId="45E487B9" w:rsidR="0024165F" w:rsidRDefault="00AB58EB" w:rsidP="00B448CF">
      <w:pPr>
        <w:spacing w:line="360" w:lineRule="auto"/>
        <w:jc w:val="both"/>
        <w:rPr>
          <w:rFonts w:ascii="Times" w:hAnsi="Times"/>
        </w:rPr>
      </w:pPr>
      <w:r>
        <w:rPr>
          <w:rFonts w:ascii="Times" w:hAnsi="Times"/>
        </w:rPr>
        <w:t xml:space="preserve">We found no evidence of </w:t>
      </w:r>
      <w:r w:rsidR="0004162A">
        <w:rPr>
          <w:rFonts w:ascii="Times" w:hAnsi="Times"/>
        </w:rPr>
        <w:t xml:space="preserve">a </w:t>
      </w:r>
      <w:r w:rsidR="0004162A" w:rsidRPr="00273CD2">
        <w:rPr>
          <w:rFonts w:ascii="Times" w:hAnsi="Times"/>
        </w:rPr>
        <w:t>protective effect for the pneumococcus vaccine in patient</w:t>
      </w:r>
      <w:r>
        <w:rPr>
          <w:rFonts w:ascii="Times" w:hAnsi="Times"/>
        </w:rPr>
        <w:t xml:space="preserve">s with RA. This may relate to lack of </w:t>
      </w:r>
      <w:r w:rsidR="0004162A">
        <w:rPr>
          <w:rFonts w:ascii="Times" w:hAnsi="Times"/>
        </w:rPr>
        <w:t>specificity of the</w:t>
      </w:r>
      <w:r w:rsidR="00D212B9">
        <w:rPr>
          <w:rFonts w:ascii="Times" w:hAnsi="Times"/>
        </w:rPr>
        <w:t xml:space="preserve"> infection</w:t>
      </w:r>
      <w:r w:rsidR="0004162A">
        <w:rPr>
          <w:rFonts w:ascii="Times" w:hAnsi="Times"/>
        </w:rPr>
        <w:t xml:space="preserve"> outcome, as</w:t>
      </w:r>
      <w:r w:rsidR="0004162A" w:rsidRPr="00273CD2">
        <w:rPr>
          <w:rFonts w:ascii="Times" w:hAnsi="Times"/>
        </w:rPr>
        <w:t xml:space="preserve"> primary care coding does not allow for </w:t>
      </w:r>
      <w:bookmarkStart w:id="2" w:name="_GoBack"/>
      <w:bookmarkEnd w:id="2"/>
      <w:r w:rsidR="0004162A" w:rsidRPr="00273CD2">
        <w:rPr>
          <w:rFonts w:ascii="Times" w:hAnsi="Times"/>
        </w:rPr>
        <w:t xml:space="preserve">identification of microbiologically confirmed </w:t>
      </w:r>
      <w:r w:rsidR="0004162A" w:rsidRPr="00273CD2">
        <w:t>pneumococcal pneumonia</w:t>
      </w:r>
      <w:r w:rsidR="0004162A">
        <w:t xml:space="preserve">. As a result </w:t>
      </w:r>
      <w:r w:rsidR="0004162A" w:rsidRPr="00273CD2">
        <w:t xml:space="preserve">clinical codes likely cover </w:t>
      </w:r>
      <w:r w:rsidR="0004162A" w:rsidRPr="00273CD2">
        <w:rPr>
          <w:rFonts w:ascii="Times" w:hAnsi="Times"/>
        </w:rPr>
        <w:t xml:space="preserve">both true </w:t>
      </w:r>
      <w:r w:rsidR="0004162A" w:rsidRPr="00273CD2">
        <w:t>pneumococcal pneumonia and the</w:t>
      </w:r>
      <w:r w:rsidR="0004162A" w:rsidRPr="00273CD2">
        <w:rPr>
          <w:rFonts w:ascii="Times" w:hAnsi="Times"/>
        </w:rPr>
        <w:t xml:space="preserve"> majority of pneumonias </w:t>
      </w:r>
      <w:r w:rsidR="0004162A">
        <w:rPr>
          <w:rFonts w:ascii="Times" w:hAnsi="Times"/>
        </w:rPr>
        <w:t xml:space="preserve">that </w:t>
      </w:r>
      <w:r w:rsidR="0004162A" w:rsidRPr="00273CD2">
        <w:rPr>
          <w:rFonts w:ascii="Times" w:hAnsi="Times"/>
        </w:rPr>
        <w:t>are caused by pneumococcal strains or other pathogens not covered by the vaccine.</w:t>
      </w:r>
      <w:r>
        <w:rPr>
          <w:rFonts w:ascii="Times" w:hAnsi="Times"/>
        </w:rPr>
        <w:t xml:space="preserve"> The </w:t>
      </w:r>
      <w:r w:rsidR="00D3661C">
        <w:rPr>
          <w:rFonts w:ascii="Times" w:hAnsi="Times"/>
        </w:rPr>
        <w:t>positive association between pneumococcal vaccination and pneumonia events we observed in the non-RA cohort may be explained by a further common bias evaluating vaccine efficacy in ro</w:t>
      </w:r>
      <w:r w:rsidR="00D3661C" w:rsidRPr="00A918B9">
        <w:rPr>
          <w:rFonts w:ascii="Times" w:hAnsi="Times"/>
        </w:rPr>
        <w:t>utine data; i</w:t>
      </w:r>
      <w:r w:rsidR="00822AF5" w:rsidRPr="00A918B9">
        <w:rPr>
          <w:rFonts w:ascii="Times" w:hAnsi="Times"/>
        </w:rPr>
        <w:t xml:space="preserve">f patients </w:t>
      </w:r>
      <w:r w:rsidR="008F2105" w:rsidRPr="00A918B9">
        <w:rPr>
          <w:rFonts w:ascii="Times" w:hAnsi="Times"/>
        </w:rPr>
        <w:t xml:space="preserve">at higher risk of pneumonia </w:t>
      </w:r>
      <w:r w:rsidR="00822AF5" w:rsidRPr="00A918B9">
        <w:rPr>
          <w:rFonts w:ascii="Times" w:hAnsi="Times"/>
        </w:rPr>
        <w:t>are more likely to be vaccinated, higher infection rates may be seen among vaccinated individuals than non-vaccinated individuals, and an underestimation of vaccine effectiveness will be made.</w:t>
      </w:r>
      <w:r w:rsidR="00822AF5" w:rsidRPr="00A918B9">
        <w:rPr>
          <w:rFonts w:ascii="Times" w:hAnsi="Times"/>
        </w:rPr>
        <w:fldChar w:fldCharType="begin"/>
      </w:r>
      <w:r w:rsidR="008E2E68" w:rsidRPr="00A918B9">
        <w:rPr>
          <w:rFonts w:ascii="Times" w:hAnsi="Times"/>
        </w:rPr>
        <w:instrText xml:space="preserve"> ADDIN EN.CITE &lt;EndNote&gt;&lt;Cite&gt;&lt;Author&gt;McDonald&lt;/Author&gt;&lt;Year&gt;2017&lt;/Year&gt;&lt;RecNum&gt;45&lt;/RecNum&gt;&lt;DisplayText&gt;(30)&lt;/DisplayText&gt;&lt;record&gt;&lt;rec-number&gt;45&lt;/rec-number&gt;&lt;foreign-keys&gt;&lt;key app="EN" db-id="srr5r5asztv2ehepdza5xtvkzafprwx5dxfx" timestamp="1528562117"&gt;45&lt;/key&gt;&lt;/foreign-keys&gt;&lt;ref-type name="Journal Article"&gt;17&lt;/ref-type&gt;&lt;contributors&gt;&lt;authors&gt;&lt;author&gt;McDonald, Helen I&lt;/author&gt;&lt;author&gt;Thomas, Sara L&lt;/author&gt;&lt;author&gt;Millett, Elizabeth RC&lt;/author&gt;&lt;author&gt;Quint, Jennifer&lt;/author&gt;&lt;author&gt;Nitsch, Dorothea&lt;/author&gt;&lt;/authors&gt;&lt;/contributors&gt;&lt;titles&gt;&lt;title&gt;Do influenza and pneumococcal vaccines prevent community-acquired respiratory infections among older people with diabetes and does this vary by chronic kidney disease? A cohort study using electronic health records&lt;/title&gt;&lt;secondary-title&gt;BMJ Open Diabetes Research and Care&lt;/secondary-title&gt;&lt;/titles&gt;&lt;periodical&gt;&lt;full-title&gt;BMJ Open Diabetes Research and Care&lt;/full-title&gt;&lt;/periodical&gt;&lt;pages&gt;e000332&lt;/pages&gt;&lt;volume&gt;5&lt;/volume&gt;&lt;number&gt;1&lt;/number&gt;&lt;dates&gt;&lt;year&gt;2017&lt;/year&gt;&lt;/dates&gt;&lt;isbn&gt;2052-4897&lt;/isbn&gt;&lt;urls&gt;&lt;/urls&gt;&lt;/record&gt;&lt;/Cite&gt;&lt;/EndNote&gt;</w:instrText>
      </w:r>
      <w:r w:rsidR="00822AF5" w:rsidRPr="00A918B9">
        <w:rPr>
          <w:rFonts w:ascii="Times" w:hAnsi="Times"/>
        </w:rPr>
        <w:fldChar w:fldCharType="separate"/>
      </w:r>
      <w:r w:rsidR="008E2E68" w:rsidRPr="00A918B9">
        <w:rPr>
          <w:rFonts w:ascii="Times" w:hAnsi="Times"/>
          <w:noProof/>
        </w:rPr>
        <w:t>(30)</w:t>
      </w:r>
      <w:r w:rsidR="00822AF5" w:rsidRPr="00A918B9">
        <w:rPr>
          <w:rFonts w:ascii="Times" w:hAnsi="Times"/>
        </w:rPr>
        <w:fldChar w:fldCharType="end"/>
      </w:r>
      <w:r w:rsidR="0038498A" w:rsidRPr="00A918B9">
        <w:rPr>
          <w:rFonts w:ascii="Times" w:hAnsi="Times"/>
        </w:rPr>
        <w:t xml:space="preserve"> </w:t>
      </w:r>
      <w:r w:rsidR="0047684D" w:rsidRPr="00A918B9">
        <w:rPr>
          <w:rFonts w:ascii="Times" w:hAnsi="Times"/>
        </w:rPr>
        <w:t>Such bias may also explain the apparent lack of efficacy of the influenza vaccine</w:t>
      </w:r>
      <w:r w:rsidR="009255A6" w:rsidRPr="00A918B9">
        <w:rPr>
          <w:rFonts w:ascii="Times" w:hAnsi="Times"/>
        </w:rPr>
        <w:t xml:space="preserve"> </w:t>
      </w:r>
      <w:r w:rsidR="009255A6" w:rsidRPr="00A918B9">
        <w:t xml:space="preserve">in people without RA. </w:t>
      </w:r>
      <w:r w:rsidR="00822AF5" w:rsidRPr="00A918B9">
        <w:rPr>
          <w:rFonts w:ascii="Times" w:hAnsi="Times"/>
        </w:rPr>
        <w:t>Identification and elimination of confounding by indication is difficult</w:t>
      </w:r>
      <w:r w:rsidR="009255A6" w:rsidRPr="00A918B9">
        <w:rPr>
          <w:rFonts w:ascii="Times" w:hAnsi="Times"/>
        </w:rPr>
        <w:t>,</w:t>
      </w:r>
      <w:r w:rsidR="00822AF5" w:rsidRPr="00A918B9">
        <w:rPr>
          <w:rFonts w:ascii="Times" w:hAnsi="Times"/>
        </w:rPr>
        <w:fldChar w:fldCharType="begin"/>
      </w:r>
      <w:r w:rsidR="008E2E68" w:rsidRPr="00A918B9">
        <w:rPr>
          <w:rFonts w:ascii="Times" w:hAnsi="Times"/>
        </w:rPr>
        <w:instrText xml:space="preserve"> ADDIN EN.CITE &lt;EndNote&gt;&lt;Cite&gt;&lt;Author&gt;Remschmidt&lt;/Author&gt;&lt;Year&gt;2015&lt;/Year&gt;&lt;RecNum&gt;46&lt;/RecNum&gt;&lt;DisplayText&gt;(31)&lt;/DisplayText&gt;&lt;record&gt;&lt;rec-number&gt;46&lt;/rec-number&gt;&lt;foreign-keys&gt;&lt;key app="EN" db-id="srr5r5asztv2ehepdza5xtvkzafprwx5dxfx" timestamp="1528562662"&gt;46&lt;/key&gt;&lt;/foreign-keys&gt;&lt;ref-type name="Journal Article"&gt;17&lt;/ref-type&gt;&lt;contributors&gt;&lt;authors&gt;&lt;author&gt;Remschmidt, Cornelius&lt;/author&gt;&lt;author&gt;Wichmann, Ole&lt;/author&gt;&lt;author&gt;Harder, Thomas&lt;/author&gt;&lt;/authors&gt;&lt;/contributors&gt;&lt;titles&gt;&lt;title&gt;Vaccines for the prevention of seasonal influenza in patients with diabetes: systematic review and meta-analysis&lt;/title&gt;&lt;secondary-title&gt;BMC medicine&lt;/secondary-title&gt;&lt;/titles&gt;&lt;periodical&gt;&lt;full-title&gt;BMC medicine&lt;/full-title&gt;&lt;/periodical&gt;&lt;pages&gt;53&lt;/pages&gt;&lt;volume&gt;13&lt;/volume&gt;&lt;number&gt;1&lt;/number&gt;&lt;dates&gt;&lt;year&gt;2015&lt;/year&gt;&lt;/dates&gt;&lt;isbn&gt;1741-7015&lt;/isbn&gt;&lt;urls&gt;&lt;/urls&gt;&lt;/record&gt;&lt;/Cite&gt;&lt;/EndNote&gt;</w:instrText>
      </w:r>
      <w:r w:rsidR="00822AF5" w:rsidRPr="00A918B9">
        <w:rPr>
          <w:rFonts w:ascii="Times" w:hAnsi="Times"/>
        </w:rPr>
        <w:fldChar w:fldCharType="separate"/>
      </w:r>
      <w:r w:rsidR="008E2E68" w:rsidRPr="00A918B9">
        <w:rPr>
          <w:rFonts w:ascii="Times" w:hAnsi="Times"/>
          <w:noProof/>
        </w:rPr>
        <w:t>(31)</w:t>
      </w:r>
      <w:r w:rsidR="00822AF5" w:rsidRPr="00A918B9">
        <w:rPr>
          <w:rFonts w:ascii="Times" w:hAnsi="Times"/>
        </w:rPr>
        <w:fldChar w:fldCharType="end"/>
      </w:r>
      <w:r w:rsidR="00822AF5" w:rsidRPr="00A918B9">
        <w:rPr>
          <w:rFonts w:ascii="Times" w:hAnsi="Times"/>
        </w:rPr>
        <w:t xml:space="preserve"> </w:t>
      </w:r>
      <w:r w:rsidR="009255A6" w:rsidRPr="00A918B9">
        <w:t xml:space="preserve">and our </w:t>
      </w:r>
      <w:r w:rsidR="009255A6" w:rsidRPr="00A918B9">
        <w:rPr>
          <w:rFonts w:ascii="Times" w:hAnsi="Times"/>
        </w:rPr>
        <w:t>results highlight the potential limitations of vaccine efficacy studies using routine obse</w:t>
      </w:r>
      <w:r w:rsidR="009255A6">
        <w:rPr>
          <w:rFonts w:ascii="Times" w:hAnsi="Times"/>
        </w:rPr>
        <w:t xml:space="preserve">rvational data. </w:t>
      </w:r>
      <w:r w:rsidR="00822AF5">
        <w:rPr>
          <w:rFonts w:ascii="Times" w:hAnsi="Times"/>
        </w:rPr>
        <w:t>Despite the</w:t>
      </w:r>
      <w:r w:rsidR="009255A6">
        <w:rPr>
          <w:rFonts w:ascii="Times" w:hAnsi="Times"/>
        </w:rPr>
        <w:t>se</w:t>
      </w:r>
      <w:r w:rsidR="00822AF5">
        <w:rPr>
          <w:rFonts w:ascii="Times" w:hAnsi="Times"/>
        </w:rPr>
        <w:t xml:space="preserve"> limitations, it is noteworthy that in fully adjusted analyses, influenza vaccination offered a protective effect in </w:t>
      </w:r>
      <w:r w:rsidR="00273CD2">
        <w:rPr>
          <w:rFonts w:ascii="Times" w:hAnsi="Times"/>
        </w:rPr>
        <w:t>individual</w:t>
      </w:r>
      <w:r w:rsidR="00904E75">
        <w:rPr>
          <w:rFonts w:ascii="Times" w:hAnsi="Times"/>
        </w:rPr>
        <w:t>s</w:t>
      </w:r>
      <w:r w:rsidR="00273CD2">
        <w:rPr>
          <w:rFonts w:ascii="Times" w:hAnsi="Times"/>
        </w:rPr>
        <w:t xml:space="preserve"> with </w:t>
      </w:r>
      <w:r w:rsidR="00822AF5">
        <w:rPr>
          <w:rFonts w:ascii="Times" w:hAnsi="Times"/>
        </w:rPr>
        <w:t xml:space="preserve">RA but not </w:t>
      </w:r>
      <w:r w:rsidR="00904E75">
        <w:rPr>
          <w:rFonts w:ascii="Times" w:hAnsi="Times"/>
        </w:rPr>
        <w:t>in</w:t>
      </w:r>
      <w:r w:rsidR="00822AF5">
        <w:rPr>
          <w:rFonts w:ascii="Times" w:hAnsi="Times"/>
        </w:rPr>
        <w:t xml:space="preserve"> matched patients. </w:t>
      </w:r>
    </w:p>
    <w:p w14:paraId="238A41BA" w14:textId="0A08384B" w:rsidR="0024165F" w:rsidRDefault="0024165F" w:rsidP="00B448CF">
      <w:pPr>
        <w:spacing w:line="360" w:lineRule="auto"/>
        <w:jc w:val="both"/>
        <w:rPr>
          <w:rFonts w:ascii="Times" w:hAnsi="Times"/>
        </w:rPr>
      </w:pPr>
    </w:p>
    <w:p w14:paraId="54EBB78C" w14:textId="6CFE41DE" w:rsidR="00154E31" w:rsidRDefault="00E15FE4" w:rsidP="00154E31">
      <w:pPr>
        <w:spacing w:line="360" w:lineRule="auto"/>
        <w:jc w:val="both"/>
        <w:rPr>
          <w:rFonts w:ascii="Times" w:hAnsi="Times"/>
        </w:rPr>
      </w:pPr>
      <w:r>
        <w:rPr>
          <w:rFonts w:ascii="Times" w:hAnsi="Times"/>
        </w:rPr>
        <w:t>Strengths</w:t>
      </w:r>
      <w:r w:rsidR="005C3953">
        <w:rPr>
          <w:rFonts w:ascii="Times" w:hAnsi="Times"/>
        </w:rPr>
        <w:t xml:space="preserve"> of the s</w:t>
      </w:r>
      <w:r w:rsidR="007C2382">
        <w:rPr>
          <w:rFonts w:ascii="Times" w:hAnsi="Times"/>
        </w:rPr>
        <w:t xml:space="preserve">tudy include the </w:t>
      </w:r>
      <w:r w:rsidR="00D212B9">
        <w:rPr>
          <w:rFonts w:ascii="Times" w:hAnsi="Times"/>
        </w:rPr>
        <w:t>use of primary care data</w:t>
      </w:r>
      <w:r>
        <w:rPr>
          <w:rFonts w:ascii="Times" w:hAnsi="Times"/>
        </w:rPr>
        <w:t xml:space="preserve"> from a nationally representative sample of England</w:t>
      </w:r>
      <w:r w:rsidR="00D212B9">
        <w:rPr>
          <w:rFonts w:ascii="Times" w:hAnsi="Times"/>
        </w:rPr>
        <w:t>.</w:t>
      </w:r>
      <w:r>
        <w:rPr>
          <w:rFonts w:ascii="Times" w:hAnsi="Times"/>
        </w:rPr>
        <w:fldChar w:fldCharType="begin"/>
      </w:r>
      <w:r w:rsidR="008E2E68">
        <w:rPr>
          <w:rFonts w:ascii="Times" w:hAnsi="Times"/>
        </w:rPr>
        <w:instrText xml:space="preserve"> ADDIN EN.CITE &lt;EndNote&gt;&lt;Cite&gt;&lt;Author&gt;Correa&lt;/Author&gt;&lt;Year&gt;2016&lt;/Year&gt;&lt;RecNum&gt;10&lt;/RecNum&gt;&lt;DisplayText&gt;(21)&lt;/DisplayText&gt;&lt;record&gt;&lt;rec-number&gt;10&lt;/rec-number&gt;&lt;foreign-keys&gt;&lt;key app="EN" db-id="srr5r5asztv2ehepdza5xtvkzafprwx5dxfx" timestamp="1526821519"&gt;10&lt;/key&gt;&lt;/foreign-keys&gt;&lt;ref-type name="Journal Article"&gt;17&lt;/ref-type&gt;&lt;contributors&gt;&lt;authors&gt;&lt;author&gt;Correa, Ana&lt;/author&gt;&lt;author&gt;Hinton, William&lt;/author&gt;&lt;author&gt;McGovern, Andrew&lt;/author&gt;&lt;author&gt;van Vlymen, Jeremy&lt;/author&gt;&lt;author&gt;Yonova, Ivelina&lt;/author&gt;&lt;author&gt;Jones, Simon&lt;/author&gt;&lt;author&gt;de Lusignan, Simon&lt;/author&gt;&lt;/authors&gt;&lt;/contributors&gt;&lt;titles&gt;&lt;title&gt;Royal College of General Practitioners Research and Surveillance Centre (RCGP RSC) sentinel network: a cohort profile&lt;/title&gt;&lt;secondary-title&gt;BMJ open&lt;/secondary-title&gt;&lt;/titles&gt;&lt;periodical&gt;&lt;full-title&gt;BMJ open&lt;/full-title&gt;&lt;/periodical&gt;&lt;pages&gt;e011092&lt;/pages&gt;&lt;volume&gt;6&lt;/volume&gt;&lt;number&gt;4&lt;/number&gt;&lt;dates&gt;&lt;year&gt;2016&lt;/year&gt;&lt;/dates&gt;&lt;isbn&gt;2044-6055&lt;/isbn&gt;&lt;urls&gt;&lt;/urls&gt;&lt;/record&gt;&lt;/Cite&gt;&lt;/EndNote&gt;</w:instrText>
      </w:r>
      <w:r>
        <w:rPr>
          <w:rFonts w:ascii="Times" w:hAnsi="Times"/>
        </w:rPr>
        <w:fldChar w:fldCharType="separate"/>
      </w:r>
      <w:r w:rsidR="008E2E68">
        <w:rPr>
          <w:rFonts w:ascii="Times" w:hAnsi="Times"/>
          <w:noProof/>
        </w:rPr>
        <w:t>(21)</w:t>
      </w:r>
      <w:r>
        <w:rPr>
          <w:rFonts w:ascii="Times" w:hAnsi="Times"/>
        </w:rPr>
        <w:fldChar w:fldCharType="end"/>
      </w:r>
      <w:r>
        <w:rPr>
          <w:rFonts w:ascii="Times" w:hAnsi="Times"/>
        </w:rPr>
        <w:t xml:space="preserve"> The RCGP RSC network is the principle infections surveillance network in the UK and provides regular feedback about the quality of infec</w:t>
      </w:r>
      <w:r w:rsidR="005C3953">
        <w:rPr>
          <w:rFonts w:ascii="Times" w:hAnsi="Times"/>
        </w:rPr>
        <w:t>tion recording and reporting to</w:t>
      </w:r>
      <w:r>
        <w:rPr>
          <w:rFonts w:ascii="Times" w:hAnsi="Times"/>
        </w:rPr>
        <w:t xml:space="preserve"> constituent practices. The infection incidence data </w:t>
      </w:r>
      <w:r w:rsidR="0065318E">
        <w:rPr>
          <w:rFonts w:ascii="Times" w:hAnsi="Times"/>
        </w:rPr>
        <w:t xml:space="preserve">are </w:t>
      </w:r>
      <w:r>
        <w:rPr>
          <w:rFonts w:ascii="Times" w:hAnsi="Times"/>
        </w:rPr>
        <w:t xml:space="preserve">therefore </w:t>
      </w:r>
      <w:r w:rsidR="00D212B9">
        <w:rPr>
          <w:rFonts w:ascii="Times" w:hAnsi="Times"/>
        </w:rPr>
        <w:t xml:space="preserve">the </w:t>
      </w:r>
      <w:r>
        <w:rPr>
          <w:rFonts w:ascii="Times" w:hAnsi="Times"/>
        </w:rPr>
        <w:t>highest quality available using routine healthcare records.</w:t>
      </w:r>
      <w:r w:rsidR="007C2382">
        <w:rPr>
          <w:rFonts w:ascii="Times" w:hAnsi="Times"/>
        </w:rPr>
        <w:t xml:space="preserve"> Limitations of the study include the fact </w:t>
      </w:r>
      <w:r w:rsidR="00557C2D">
        <w:rPr>
          <w:rFonts w:ascii="Times" w:hAnsi="Times"/>
        </w:rPr>
        <w:t xml:space="preserve">that </w:t>
      </w:r>
      <w:r w:rsidR="0024165F">
        <w:rPr>
          <w:rFonts w:ascii="Times" w:hAnsi="Times"/>
        </w:rPr>
        <w:t>data are observational and therefore the possibility of residual confounding as an explanation of our findings cannot be excluded</w:t>
      </w:r>
      <w:r w:rsidR="007C2382">
        <w:rPr>
          <w:rFonts w:ascii="Times" w:hAnsi="Times"/>
        </w:rPr>
        <w:t>,</w:t>
      </w:r>
      <w:r w:rsidR="0024165F">
        <w:rPr>
          <w:rFonts w:ascii="Times" w:hAnsi="Times"/>
        </w:rPr>
        <w:t xml:space="preserve"> despite attempts to reduce it </w:t>
      </w:r>
      <w:r w:rsidR="004B0752">
        <w:rPr>
          <w:rFonts w:ascii="Times" w:hAnsi="Times"/>
        </w:rPr>
        <w:t xml:space="preserve">through the use of a matched cohort design and by </w:t>
      </w:r>
      <w:r w:rsidR="0024165F">
        <w:rPr>
          <w:rFonts w:ascii="Times" w:hAnsi="Times"/>
        </w:rPr>
        <w:t>adjustment</w:t>
      </w:r>
      <w:r w:rsidR="00D118F1">
        <w:rPr>
          <w:rFonts w:ascii="Times" w:hAnsi="Times"/>
        </w:rPr>
        <w:t xml:space="preserve"> for </w:t>
      </w:r>
      <w:r w:rsidR="00492276">
        <w:rPr>
          <w:rFonts w:ascii="Times" w:hAnsi="Times"/>
        </w:rPr>
        <w:t xml:space="preserve">likely measured </w:t>
      </w:r>
      <w:r w:rsidR="00D118F1">
        <w:rPr>
          <w:rFonts w:ascii="Times" w:hAnsi="Times"/>
        </w:rPr>
        <w:t>confounders</w:t>
      </w:r>
      <w:r w:rsidR="0024165F">
        <w:rPr>
          <w:rFonts w:ascii="Times" w:hAnsi="Times"/>
        </w:rPr>
        <w:t>.</w:t>
      </w:r>
      <w:r w:rsidR="00EB2958">
        <w:rPr>
          <w:rFonts w:ascii="Times" w:hAnsi="Times"/>
        </w:rPr>
        <w:t xml:space="preserve"> </w:t>
      </w:r>
      <w:r w:rsidR="004B0752">
        <w:rPr>
          <w:rFonts w:ascii="Times" w:hAnsi="Times"/>
        </w:rPr>
        <w:t xml:space="preserve">In particular, there remains a potential diagnostic bias if individuals with RA are more likely to visit their general </w:t>
      </w:r>
      <w:r w:rsidR="004B0752">
        <w:rPr>
          <w:rFonts w:ascii="Times" w:hAnsi="Times"/>
        </w:rPr>
        <w:lastRenderedPageBreak/>
        <w:t>practitioner</w:t>
      </w:r>
      <w:r w:rsidR="00D959F7">
        <w:rPr>
          <w:rFonts w:ascii="Times" w:hAnsi="Times"/>
        </w:rPr>
        <w:t xml:space="preserve"> compared with individuals without RA</w:t>
      </w:r>
      <w:r w:rsidR="004B0752">
        <w:rPr>
          <w:rFonts w:ascii="Times" w:hAnsi="Times"/>
        </w:rPr>
        <w:t xml:space="preserve">, </w:t>
      </w:r>
      <w:r w:rsidR="004B0752">
        <w:t xml:space="preserve">in particular </w:t>
      </w:r>
      <w:r w:rsidR="00D959F7">
        <w:t>at</w:t>
      </w:r>
      <w:r w:rsidR="004B0752">
        <w:t xml:space="preserve"> times of infection or infection-like-symptoms.</w:t>
      </w:r>
      <w:r w:rsidR="004B0752">
        <w:rPr>
          <w:rFonts w:ascii="Times" w:hAnsi="Times"/>
        </w:rPr>
        <w:t xml:space="preserve"> </w:t>
      </w:r>
      <w:r w:rsidR="006E5BE8">
        <w:rPr>
          <w:rFonts w:ascii="Times" w:hAnsi="Times"/>
        </w:rPr>
        <w:t xml:space="preserve">Despite the use of a matched design for the vaccination analysis there remained differences in baseline factors between the RA and non-RA populations, with individuals with RA having higher levels of in particular smoking, COPD, </w:t>
      </w:r>
      <w:r w:rsidR="00D959F7">
        <w:rPr>
          <w:rFonts w:ascii="Times" w:hAnsi="Times"/>
        </w:rPr>
        <w:t>a</w:t>
      </w:r>
      <w:r w:rsidR="006E5BE8">
        <w:rPr>
          <w:rFonts w:ascii="Times" w:hAnsi="Times"/>
        </w:rPr>
        <w:t xml:space="preserve">sthma, and CKD. Although these factors and other relevant clinical variables including medication use were adjusted for in multivariable analysis, unmeasured differences unrelated to the presence or absence of RA </w:t>
      </w:r>
      <w:r w:rsidR="003373EF">
        <w:rPr>
          <w:rFonts w:ascii="Times" w:hAnsi="Times"/>
        </w:rPr>
        <w:t>are</w:t>
      </w:r>
      <w:r w:rsidR="006E5BE8">
        <w:rPr>
          <w:rFonts w:ascii="Times" w:hAnsi="Times"/>
        </w:rPr>
        <w:t xml:space="preserve"> a potential explanation of the differences in vaccine efficacy we observed. </w:t>
      </w:r>
      <w:r w:rsidR="0024165F">
        <w:rPr>
          <w:rFonts w:ascii="Times" w:hAnsi="Times"/>
        </w:rPr>
        <w:t xml:space="preserve">In common with other studies using </w:t>
      </w:r>
      <w:r w:rsidR="00D212B9">
        <w:rPr>
          <w:rFonts w:ascii="Times" w:hAnsi="Times"/>
        </w:rPr>
        <w:t>primary care</w:t>
      </w:r>
      <w:r w:rsidR="00626FA9">
        <w:rPr>
          <w:rFonts w:ascii="Times" w:hAnsi="Times"/>
        </w:rPr>
        <w:t xml:space="preserve"> records</w:t>
      </w:r>
      <w:r w:rsidR="0024165F">
        <w:rPr>
          <w:rFonts w:ascii="Times" w:hAnsi="Times"/>
        </w:rPr>
        <w:t>, our study relied on the use of comprehensive code lists, against which all variables were defined. This limitation</w:t>
      </w:r>
      <w:r w:rsidR="001E191A">
        <w:rPr>
          <w:rFonts w:ascii="Times" w:hAnsi="Times"/>
        </w:rPr>
        <w:t>, however,</w:t>
      </w:r>
      <w:r w:rsidR="0024165F">
        <w:rPr>
          <w:rFonts w:ascii="Times" w:hAnsi="Times"/>
        </w:rPr>
        <w:t xml:space="preserve"> was mitigated </w:t>
      </w:r>
      <w:r w:rsidR="00904E75">
        <w:rPr>
          <w:rFonts w:ascii="Times" w:hAnsi="Times"/>
        </w:rPr>
        <w:t>by</w:t>
      </w:r>
      <w:r w:rsidR="0024165F">
        <w:rPr>
          <w:rFonts w:ascii="Times" w:hAnsi="Times"/>
        </w:rPr>
        <w:t xml:space="preserve"> the use of a validated approach for case ascertainment and defining variables.</w:t>
      </w:r>
      <w:r w:rsidR="0024165F">
        <w:rPr>
          <w:rFonts w:ascii="Times" w:hAnsi="Times"/>
        </w:rPr>
        <w:fldChar w:fldCharType="begin"/>
      </w:r>
      <w:r w:rsidR="008E2E68">
        <w:rPr>
          <w:rFonts w:ascii="Times" w:hAnsi="Times"/>
        </w:rPr>
        <w:instrText xml:space="preserve"> ADDIN EN.CITE &lt;EndNote&gt;&lt;Cite&gt;&lt;Author&gt;Davé&lt;/Author&gt;&lt;Year&gt;2009&lt;/Year&gt;&lt;RecNum&gt;12&lt;/RecNum&gt;&lt;DisplayText&gt;(24, 25)&lt;/DisplayText&gt;&lt;record&gt;&lt;rec-number&gt;12&lt;/rec-number&gt;&lt;foreign-keys&gt;&lt;key app="EN" db-id="srr5r5asztv2ehepdza5xtvkzafprwx5dxfx" timestamp="1526821706"&gt;12&lt;/key&gt;&lt;/foreign-keys&gt;&lt;ref-type name="Journal Article"&gt;17&lt;/ref-type&gt;&lt;contributors&gt;&lt;authors&gt;&lt;author&gt;Davé, Shreya&lt;/author&gt;&lt;author&gt;Petersen, Irene&lt;/author&gt;&lt;/authors&gt;&lt;/contributors&gt;&lt;titles&gt;&lt;title&gt;Creating medical and drug code lists to identify cases in primary care databases&lt;/title&gt;&lt;secondary-title&gt;Pharmacoepidemiology and drug safety&lt;/secondary-title&gt;&lt;/titles&gt;&lt;periodical&gt;&lt;full-title&gt;Pharmacoepidemiology and drug safety&lt;/full-title&gt;&lt;/periodical&gt;&lt;pages&gt;704-707&lt;/pages&gt;&lt;volume&gt;18&lt;/volume&gt;&lt;number&gt;8&lt;/number&gt;&lt;dates&gt;&lt;year&gt;2009&lt;/year&gt;&lt;/dates&gt;&lt;isbn&gt;1099-1557&lt;/isbn&gt;&lt;urls&gt;&lt;/urls&gt;&lt;/record&gt;&lt;/Cite&gt;&lt;Cite&gt;&lt;Author&gt;de Lusignan&lt;/Author&gt;&lt;Year&gt;2011&lt;/Year&gt;&lt;RecNum&gt;13&lt;/RecNum&gt;&lt;record&gt;&lt;rec-number&gt;13&lt;/rec-number&gt;&lt;foreign-keys&gt;&lt;key app="EN" db-id="srr5r5asztv2ehepdza5xtvkzafprwx5dxfx" timestamp="1526821774"&gt;13&lt;/key&gt;&lt;/foreign-keys&gt;&lt;ref-type name="Journal Article"&gt;17&lt;/ref-type&gt;&lt;contributors&gt;&lt;authors&gt;&lt;author&gt;de Lusignan, Simon&lt;/author&gt;&lt;author&gt;Liaw, Siaw-Teng&lt;/author&gt;&lt;author&gt;Michalakidis, Georgios&lt;/author&gt;&lt;author&gt;Jones, Simon&lt;/author&gt;&lt;/authors&gt;&lt;/contributors&gt;&lt;titles&gt;&lt;title&gt;Defining datasets and creating data dictionaries for quality improvement and research in chronic disease using routinely collected data: an ontology-driven approach&lt;/title&gt;&lt;secondary-title&gt;Journal of Innovation in Health Informatics&lt;/secondary-title&gt;&lt;/titles&gt;&lt;periodical&gt;&lt;full-title&gt;Journal of Innovation in Health Informatics&lt;/full-title&gt;&lt;/periodical&gt;&lt;pages&gt;127-134&lt;/pages&gt;&lt;volume&gt;19&lt;/volume&gt;&lt;number&gt;3&lt;/number&gt;&lt;dates&gt;&lt;year&gt;2011&lt;/year&gt;&lt;/dates&gt;&lt;isbn&gt;2058-4563&lt;/isbn&gt;&lt;urls&gt;&lt;/urls&gt;&lt;/record&gt;&lt;/Cite&gt;&lt;/EndNote&gt;</w:instrText>
      </w:r>
      <w:r w:rsidR="0024165F">
        <w:rPr>
          <w:rFonts w:ascii="Times" w:hAnsi="Times"/>
        </w:rPr>
        <w:fldChar w:fldCharType="separate"/>
      </w:r>
      <w:r w:rsidR="008E2E68">
        <w:rPr>
          <w:rFonts w:ascii="Times" w:hAnsi="Times"/>
          <w:noProof/>
        </w:rPr>
        <w:t>(24, 25)</w:t>
      </w:r>
      <w:r w:rsidR="0024165F">
        <w:rPr>
          <w:rFonts w:ascii="Times" w:hAnsi="Times"/>
        </w:rPr>
        <w:fldChar w:fldCharType="end"/>
      </w:r>
      <w:r w:rsidR="0024165F">
        <w:rPr>
          <w:rFonts w:ascii="Times" w:hAnsi="Times"/>
        </w:rPr>
        <w:t xml:space="preserve"> </w:t>
      </w:r>
      <w:r w:rsidR="00D118F1">
        <w:rPr>
          <w:rFonts w:ascii="Times" w:hAnsi="Times"/>
        </w:rPr>
        <w:t>A further limitation is that our definition of RA was based on primary rather than specialist care records, and r</w:t>
      </w:r>
      <w:r w:rsidR="005C3953">
        <w:rPr>
          <w:rFonts w:ascii="Times" w:hAnsi="Times"/>
        </w:rPr>
        <w:t xml:space="preserve">esults </w:t>
      </w:r>
      <w:r w:rsidR="00D118F1">
        <w:rPr>
          <w:rFonts w:ascii="Times" w:hAnsi="Times"/>
        </w:rPr>
        <w:t xml:space="preserve">may not be applicable </w:t>
      </w:r>
      <w:r w:rsidR="005C3953">
        <w:rPr>
          <w:rFonts w:ascii="Times" w:hAnsi="Times"/>
        </w:rPr>
        <w:t>to dissimilar populations.</w:t>
      </w:r>
      <w:r w:rsidR="00154E31">
        <w:rPr>
          <w:rFonts w:ascii="Times" w:hAnsi="Times"/>
        </w:rPr>
        <w:t xml:space="preserve"> </w:t>
      </w:r>
    </w:p>
    <w:p w14:paraId="2CBE12F3" w14:textId="12E9C62D" w:rsidR="0024165F" w:rsidRDefault="0024165F" w:rsidP="00B448CF">
      <w:pPr>
        <w:spacing w:line="360" w:lineRule="auto"/>
        <w:jc w:val="both"/>
        <w:rPr>
          <w:rFonts w:ascii="Times" w:hAnsi="Times"/>
        </w:rPr>
      </w:pPr>
    </w:p>
    <w:p w14:paraId="0A967D32" w14:textId="1DC51C2B" w:rsidR="005C3953" w:rsidRPr="007C2382" w:rsidRDefault="005C3953" w:rsidP="00B448CF">
      <w:pPr>
        <w:spacing w:line="360" w:lineRule="auto"/>
        <w:jc w:val="both"/>
        <w:rPr>
          <w:rFonts w:ascii="Times" w:hAnsi="Times"/>
          <w:b/>
        </w:rPr>
      </w:pPr>
      <w:r w:rsidRPr="007C2382">
        <w:rPr>
          <w:rFonts w:ascii="Times" w:hAnsi="Times"/>
          <w:b/>
        </w:rPr>
        <w:t>Future work</w:t>
      </w:r>
    </w:p>
    <w:p w14:paraId="266C4E57" w14:textId="20ACA5A3" w:rsidR="00892465" w:rsidRPr="00892465" w:rsidRDefault="00892465" w:rsidP="00B448CF">
      <w:pPr>
        <w:spacing w:line="360" w:lineRule="auto"/>
        <w:jc w:val="both"/>
        <w:rPr>
          <w:bCs/>
          <w:color w:val="222222"/>
          <w:shd w:val="clear" w:color="auto" w:fill="FFFFFF"/>
        </w:rPr>
      </w:pPr>
      <w:r>
        <w:rPr>
          <w:bCs/>
          <w:color w:val="222222"/>
          <w:shd w:val="clear" w:color="auto" w:fill="FFFFFF"/>
        </w:rPr>
        <w:t>Our results demonstrate robust associations between haematological markers and risk of</w:t>
      </w:r>
      <w:r w:rsidR="00154E31">
        <w:rPr>
          <w:bCs/>
          <w:color w:val="222222"/>
          <w:shd w:val="clear" w:color="auto" w:fill="FFFFFF"/>
        </w:rPr>
        <w:t xml:space="preserve"> common</w:t>
      </w:r>
      <w:r>
        <w:rPr>
          <w:bCs/>
          <w:color w:val="222222"/>
          <w:shd w:val="clear" w:color="auto" w:fill="FFFFFF"/>
        </w:rPr>
        <w:t xml:space="preserve"> infection</w:t>
      </w:r>
      <w:r w:rsidR="00154E31">
        <w:rPr>
          <w:bCs/>
          <w:color w:val="222222"/>
          <w:shd w:val="clear" w:color="auto" w:fill="FFFFFF"/>
        </w:rPr>
        <w:t>s</w:t>
      </w:r>
      <w:r>
        <w:rPr>
          <w:bCs/>
          <w:color w:val="222222"/>
          <w:shd w:val="clear" w:color="auto" w:fill="FFFFFF"/>
        </w:rPr>
        <w:t xml:space="preserve">. Further study of the clinical utility of these markers in </w:t>
      </w:r>
      <w:r w:rsidR="009B43B0">
        <w:rPr>
          <w:bCs/>
          <w:color w:val="222222"/>
          <w:shd w:val="clear" w:color="auto" w:fill="FFFFFF"/>
        </w:rPr>
        <w:t xml:space="preserve">contemporary </w:t>
      </w:r>
      <w:r>
        <w:rPr>
          <w:bCs/>
          <w:color w:val="222222"/>
          <w:shd w:val="clear" w:color="auto" w:fill="FFFFFF"/>
        </w:rPr>
        <w:t>real-world RA populations would be of considerable interest</w:t>
      </w:r>
      <w:r w:rsidR="009B43B0">
        <w:rPr>
          <w:bCs/>
          <w:color w:val="222222"/>
          <w:shd w:val="clear" w:color="auto" w:fill="FFFFFF"/>
        </w:rPr>
        <w:t>.</w:t>
      </w:r>
      <w:r>
        <w:rPr>
          <w:bCs/>
          <w:color w:val="222222"/>
          <w:shd w:val="clear" w:color="auto" w:fill="FFFFFF"/>
        </w:rPr>
        <w:t xml:space="preserve"> </w:t>
      </w:r>
      <w:r w:rsidR="00154E31">
        <w:rPr>
          <w:bCs/>
          <w:color w:val="222222"/>
          <w:shd w:val="clear" w:color="auto" w:fill="FFFFFF"/>
        </w:rPr>
        <w:t>This could involve interrogation of hospital admissions data to evaluate associations with more serious infection events. A</w:t>
      </w:r>
      <w:r>
        <w:rPr>
          <w:bCs/>
          <w:color w:val="222222"/>
          <w:shd w:val="clear" w:color="auto" w:fill="FFFFFF"/>
        </w:rPr>
        <w:t>n evaluation of whether existing risk scores for infection can be improved</w:t>
      </w:r>
      <w:r w:rsidR="00154E31">
        <w:rPr>
          <w:bCs/>
          <w:color w:val="222222"/>
          <w:shd w:val="clear" w:color="auto" w:fill="FFFFFF"/>
        </w:rPr>
        <w:t xml:space="preserve"> </w:t>
      </w:r>
      <w:r>
        <w:rPr>
          <w:bCs/>
          <w:color w:val="222222"/>
          <w:shd w:val="clear" w:color="auto" w:fill="FFFFFF"/>
        </w:rPr>
        <w:t xml:space="preserve">through inclusion of </w:t>
      </w:r>
      <w:r w:rsidR="00D212B9">
        <w:rPr>
          <w:bCs/>
          <w:color w:val="222222"/>
          <w:shd w:val="clear" w:color="auto" w:fill="FFFFFF"/>
        </w:rPr>
        <w:t xml:space="preserve">haematological abnormality </w:t>
      </w:r>
      <w:r>
        <w:rPr>
          <w:bCs/>
          <w:color w:val="222222"/>
          <w:shd w:val="clear" w:color="auto" w:fill="FFFFFF"/>
        </w:rPr>
        <w:t xml:space="preserve">markers </w:t>
      </w:r>
      <w:r w:rsidR="00303632">
        <w:rPr>
          <w:bCs/>
          <w:color w:val="222222"/>
          <w:shd w:val="clear" w:color="auto" w:fill="FFFFFF"/>
        </w:rPr>
        <w:t>and thereby help guide clinical  management</w:t>
      </w:r>
      <w:r w:rsidR="00303632" w:rsidDel="00D212B9">
        <w:rPr>
          <w:bCs/>
          <w:color w:val="222222"/>
          <w:shd w:val="clear" w:color="auto" w:fill="FFFFFF"/>
        </w:rPr>
        <w:t xml:space="preserve"> </w:t>
      </w:r>
      <w:r w:rsidR="00154E31">
        <w:rPr>
          <w:bCs/>
          <w:color w:val="222222"/>
          <w:shd w:val="clear" w:color="auto" w:fill="FFFFFF"/>
        </w:rPr>
        <w:t>would be of particular interest</w:t>
      </w:r>
      <w:r w:rsidR="006873EF">
        <w:rPr>
          <w:bCs/>
          <w:color w:val="222222"/>
          <w:shd w:val="clear" w:color="auto" w:fill="FFFFFF"/>
        </w:rPr>
        <w:t>,</w:t>
      </w:r>
      <w:r w:rsidR="00EB2958">
        <w:rPr>
          <w:bCs/>
          <w:color w:val="222222"/>
          <w:shd w:val="clear" w:color="auto" w:fill="FFFFFF"/>
        </w:rPr>
        <w:fldChar w:fldCharType="begin">
          <w:fldData xml:space="preserve">PEVuZE5vdGU+PENpdGU+PEF1dGhvcj5DdXJ0aXM8L0F1dGhvcj48WWVhcj4yMDEyPC9ZZWFyPjxS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==
</w:fldData>
        </w:fldChar>
      </w:r>
      <w:r w:rsidR="008E2E68">
        <w:rPr>
          <w:bCs/>
          <w:color w:val="222222"/>
          <w:shd w:val="clear" w:color="auto" w:fill="FFFFFF"/>
        </w:rPr>
        <w:instrText xml:space="preserve"> ADDIN EN.CITE </w:instrText>
      </w:r>
      <w:r w:rsidR="008E2E68">
        <w:rPr>
          <w:bCs/>
          <w:color w:val="222222"/>
          <w:shd w:val="clear" w:color="auto" w:fill="FFFFFF"/>
        </w:rPr>
        <w:fldChar w:fldCharType="begin">
          <w:fldData xml:space="preserve">PEVuZE5vdGU+PENpdGU+PEF1dGhvcj5DdXJ0aXM8L0F1dGhvcj48WWVhcj4yMDEyPC9ZZWFyPjxS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==
</w:fldData>
        </w:fldChar>
      </w:r>
      <w:r w:rsidR="008E2E68">
        <w:rPr>
          <w:bCs/>
          <w:color w:val="222222"/>
          <w:shd w:val="clear" w:color="auto" w:fill="FFFFFF"/>
        </w:rPr>
        <w:instrText xml:space="preserve"> ADDIN EN.CITE.DATA </w:instrText>
      </w:r>
      <w:r w:rsidR="008E2E68">
        <w:rPr>
          <w:bCs/>
          <w:color w:val="222222"/>
          <w:shd w:val="clear" w:color="auto" w:fill="FFFFFF"/>
        </w:rPr>
      </w:r>
      <w:r w:rsidR="008E2E68">
        <w:rPr>
          <w:bCs/>
          <w:color w:val="222222"/>
          <w:shd w:val="clear" w:color="auto" w:fill="FFFFFF"/>
        </w:rPr>
        <w:fldChar w:fldCharType="end"/>
      </w:r>
      <w:r w:rsidR="00EB2958">
        <w:rPr>
          <w:bCs/>
          <w:color w:val="222222"/>
          <w:shd w:val="clear" w:color="auto" w:fill="FFFFFF"/>
        </w:rPr>
      </w:r>
      <w:r w:rsidR="00EB2958">
        <w:rPr>
          <w:bCs/>
          <w:color w:val="222222"/>
          <w:shd w:val="clear" w:color="auto" w:fill="FFFFFF"/>
        </w:rPr>
        <w:fldChar w:fldCharType="separate"/>
      </w:r>
      <w:r w:rsidR="008E2E68">
        <w:rPr>
          <w:bCs/>
          <w:noProof/>
          <w:color w:val="222222"/>
          <w:shd w:val="clear" w:color="auto" w:fill="FFFFFF"/>
        </w:rPr>
        <w:t>(32, 33)</w:t>
      </w:r>
      <w:r w:rsidR="00EB2958">
        <w:rPr>
          <w:bCs/>
          <w:color w:val="222222"/>
          <w:shd w:val="clear" w:color="auto" w:fill="FFFFFF"/>
        </w:rPr>
        <w:fldChar w:fldCharType="end"/>
      </w:r>
      <w:r w:rsidR="00154E31">
        <w:rPr>
          <w:bCs/>
          <w:color w:val="222222"/>
          <w:shd w:val="clear" w:color="auto" w:fill="FFFFFF"/>
        </w:rPr>
        <w:t xml:space="preserve"> </w:t>
      </w:r>
      <w:r w:rsidR="00303632">
        <w:rPr>
          <w:bCs/>
          <w:color w:val="222222"/>
          <w:shd w:val="clear" w:color="auto" w:fill="FFFFFF"/>
        </w:rPr>
        <w:t xml:space="preserve">Given the </w:t>
      </w:r>
      <w:r w:rsidR="00B04FF5">
        <w:rPr>
          <w:bCs/>
          <w:color w:val="222222"/>
          <w:shd w:val="clear" w:color="auto" w:fill="FFFFFF"/>
        </w:rPr>
        <w:t xml:space="preserve">apparent </w:t>
      </w:r>
      <w:r w:rsidR="00303632">
        <w:rPr>
          <w:bCs/>
          <w:color w:val="222222"/>
          <w:shd w:val="clear" w:color="auto" w:fill="FFFFFF"/>
        </w:rPr>
        <w:t xml:space="preserve">effectiveness </w:t>
      </w:r>
      <w:r w:rsidR="00D118F1">
        <w:rPr>
          <w:bCs/>
          <w:color w:val="222222"/>
          <w:shd w:val="clear" w:color="auto" w:fill="FFFFFF"/>
        </w:rPr>
        <w:t xml:space="preserve"> of influenza vaccination in individuals with RA</w:t>
      </w:r>
      <w:r w:rsidR="00B04FF5">
        <w:rPr>
          <w:bCs/>
          <w:color w:val="222222"/>
          <w:shd w:val="clear" w:color="auto" w:fill="FFFFFF"/>
        </w:rPr>
        <w:t xml:space="preserve"> we demonstrated in this study</w:t>
      </w:r>
      <w:r w:rsidR="00D118F1">
        <w:rPr>
          <w:bCs/>
          <w:color w:val="222222"/>
          <w:shd w:val="clear" w:color="auto" w:fill="FFFFFF"/>
        </w:rPr>
        <w:t>, f</w:t>
      </w:r>
      <w:r w:rsidR="00D118F1">
        <w:t>urther studies to explore rates of annual flu vaccine uptake amongst people with RA and reasons for remaining unvaccinate</w:t>
      </w:r>
      <w:r w:rsidR="00303632">
        <w:t>d would be</w:t>
      </w:r>
      <w:r w:rsidR="00B04FF5">
        <w:t xml:space="preserve"> of interest</w:t>
      </w:r>
      <w:r w:rsidR="00303632">
        <w:t xml:space="preserve"> to encourage improvement</w:t>
      </w:r>
      <w:r w:rsidR="00D118F1">
        <w:t xml:space="preserve"> in vaccination rates.</w:t>
      </w:r>
      <w:r w:rsidR="00D324D4" w:rsidRPr="00E04D58">
        <w:rPr>
          <w:rFonts w:ascii="Times" w:hAnsi="Times"/>
        </w:rPr>
        <w:t xml:space="preserve"> Further studies</w:t>
      </w:r>
      <w:r w:rsidR="00D324D4">
        <w:rPr>
          <w:rFonts w:ascii="Times" w:hAnsi="Times"/>
        </w:rPr>
        <w:t>, ideally</w:t>
      </w:r>
      <w:r w:rsidR="00D324D4" w:rsidRPr="00E04D58">
        <w:rPr>
          <w:rFonts w:ascii="Times" w:hAnsi="Times"/>
        </w:rPr>
        <w:t xml:space="preserve"> evaluating </w:t>
      </w:r>
      <w:r w:rsidR="00D324D4" w:rsidRPr="00E04D58">
        <w:t>confirmed pneumococcal disease</w:t>
      </w:r>
      <w:r w:rsidR="00D324D4">
        <w:t>,</w:t>
      </w:r>
      <w:r w:rsidR="00D324D4" w:rsidRPr="00E04D58">
        <w:t xml:space="preserve"> </w:t>
      </w:r>
      <w:r w:rsidR="00D324D4" w:rsidRPr="00E04D58">
        <w:rPr>
          <w:rFonts w:ascii="Times" w:hAnsi="Times"/>
        </w:rPr>
        <w:t>are required to determine the efficacy</w:t>
      </w:r>
      <w:r w:rsidR="00D324D4" w:rsidRPr="00EB2958">
        <w:rPr>
          <w:rFonts w:ascii="Times" w:hAnsi="Times"/>
        </w:rPr>
        <w:t xml:space="preserve"> of pneumococcal vaccination</w:t>
      </w:r>
      <w:r w:rsidR="00D324D4">
        <w:rPr>
          <w:rFonts w:ascii="Times" w:hAnsi="Times"/>
        </w:rPr>
        <w:t xml:space="preserve"> in individuals with RA</w:t>
      </w:r>
      <w:r w:rsidR="002A0B83">
        <w:rPr>
          <w:rFonts w:ascii="Times" w:hAnsi="Times"/>
        </w:rPr>
        <w:t xml:space="preserve"> and </w:t>
      </w:r>
      <w:r w:rsidR="00033A15">
        <w:rPr>
          <w:rFonts w:ascii="Times" w:hAnsi="Times"/>
        </w:rPr>
        <w:t>examine how</w:t>
      </w:r>
      <w:r w:rsidR="002A0B83">
        <w:rPr>
          <w:rFonts w:ascii="Times" w:hAnsi="Times"/>
        </w:rPr>
        <w:t xml:space="preserve"> efficacy is modified by RA therapy</w:t>
      </w:r>
      <w:r w:rsidR="00D324D4">
        <w:rPr>
          <w:rFonts w:ascii="Times" w:hAnsi="Times"/>
        </w:rPr>
        <w:t>.</w:t>
      </w:r>
      <w:r w:rsidR="00033A15">
        <w:rPr>
          <w:rFonts w:ascii="Times" w:hAnsi="Times"/>
        </w:rPr>
        <w:fldChar w:fldCharType="begin"/>
      </w:r>
      <w:r w:rsidR="008E2E68">
        <w:rPr>
          <w:rFonts w:ascii="Times" w:hAnsi="Times"/>
        </w:rPr>
        <w:instrText xml:space="preserve"> ADDIN EN.CITE &lt;EndNote&gt;&lt;Cite&gt;&lt;Author&gt;Nguyen&lt;/Author&gt;&lt;Year&gt;2017&lt;/Year&gt;&lt;RecNum&gt;11&lt;/RecNum&gt;&lt;DisplayText&gt;(34)&lt;/DisplayText&gt;&lt;record&gt;&lt;rec-number&gt;11&lt;/rec-number&gt;&lt;foreign-keys&gt;&lt;key app="EN" db-id="2xf599zf4p9dede9sebxsswatt9e5f0tv9ts" timestamp="1548097247"&gt;11&lt;/key&gt;&lt;/foreign-keys&gt;&lt;ref-type name="Journal Article"&gt;17&lt;/ref-type&gt;&lt;contributors&gt;&lt;authors&gt;&lt;author&gt;Nguyen, Mai T.T.&lt;/author&gt;&lt;author&gt;Lindegaard, Hanne&lt;/author&gt;&lt;author&gt;Hendricks, Oliver&lt;/author&gt;&lt;author&gt;Jørgensen, Charlotte Sværke&lt;/author&gt;&lt;author&gt;Kantsø, Bjørn&lt;/author&gt;&lt;author&gt;Friis-Møller, Nina&lt;/author&gt;&lt;/authors&gt;&lt;/contributors&gt;&lt;titles&gt;&lt;title&gt;Initial Serological Response after Prime-boost Pneumococcal Vaccination in Rheumatoid Arthritis Patients: Results of a Randomized Controlled Trial&lt;/title&gt;&lt;secondary-title&gt;The Journal of Rheumatology&lt;/secondary-title&gt;&lt;/titles&gt;&lt;periodical&gt;&lt;full-title&gt;The Journal of Rheumatology&lt;/full-title&gt;&lt;/periodical&gt;&lt;pages&gt;jrheum.161407&lt;/pages&gt;&lt;dates&gt;&lt;year&gt;2017&lt;/year&gt;&lt;/dates&gt;&lt;urls&gt;&lt;related-urls&gt;&lt;url&gt;http://www.jrheum.org/content/jrheum/early/2017/09/26/jrheum.161407.full.pdf&lt;/url&gt;&lt;/related-urls&gt;&lt;/urls&gt;&lt;electronic-resource-num&gt;10.3899/jrheum.161407&lt;/electronic-resource-num&gt;&lt;/record&gt;&lt;/Cite&gt;&lt;/EndNote&gt;</w:instrText>
      </w:r>
      <w:r w:rsidR="00033A15">
        <w:rPr>
          <w:rFonts w:ascii="Times" w:hAnsi="Times"/>
        </w:rPr>
        <w:fldChar w:fldCharType="separate"/>
      </w:r>
      <w:r w:rsidR="008E2E68">
        <w:rPr>
          <w:rFonts w:ascii="Times" w:hAnsi="Times"/>
          <w:noProof/>
        </w:rPr>
        <w:t>(34)</w:t>
      </w:r>
      <w:r w:rsidR="00033A15">
        <w:rPr>
          <w:rFonts w:ascii="Times" w:hAnsi="Times"/>
        </w:rPr>
        <w:fldChar w:fldCharType="end"/>
      </w:r>
    </w:p>
    <w:p w14:paraId="75C16DBF" w14:textId="77777777" w:rsidR="007C2382" w:rsidRDefault="007C2382" w:rsidP="00B448CF">
      <w:pPr>
        <w:spacing w:line="360" w:lineRule="auto"/>
        <w:jc w:val="both"/>
        <w:rPr>
          <w:rFonts w:ascii="Times" w:hAnsi="Times"/>
        </w:rPr>
      </w:pPr>
    </w:p>
    <w:p w14:paraId="60F3BD24" w14:textId="776B2E48" w:rsidR="0024165F" w:rsidRDefault="004A16B6" w:rsidP="00B448CF">
      <w:pPr>
        <w:spacing w:line="360" w:lineRule="auto"/>
        <w:jc w:val="both"/>
        <w:rPr>
          <w:rFonts w:ascii="Times" w:hAnsi="Times"/>
          <w:b/>
        </w:rPr>
      </w:pPr>
      <w:r>
        <w:rPr>
          <w:rFonts w:ascii="Times" w:hAnsi="Times"/>
          <w:b/>
        </w:rPr>
        <w:t>Conclusions</w:t>
      </w:r>
    </w:p>
    <w:p w14:paraId="70EA2E91" w14:textId="21804096" w:rsidR="00D3661C" w:rsidRDefault="00303632" w:rsidP="00D3661C">
      <w:pPr>
        <w:spacing w:line="360" w:lineRule="auto"/>
        <w:jc w:val="both"/>
        <w:rPr>
          <w:rFonts w:ascii="Times" w:hAnsi="Times"/>
        </w:rPr>
      </w:pPr>
      <w:r>
        <w:rPr>
          <w:rFonts w:ascii="Times" w:hAnsi="Times"/>
        </w:rPr>
        <w:t>An</w:t>
      </w:r>
      <w:r w:rsidR="0024165F">
        <w:rPr>
          <w:rFonts w:ascii="Times" w:hAnsi="Times"/>
        </w:rPr>
        <w:t xml:space="preserve">aemia and </w:t>
      </w:r>
      <w:r w:rsidR="00F456C0">
        <w:rPr>
          <w:rFonts w:ascii="Times" w:hAnsi="Times"/>
        </w:rPr>
        <w:t>lymphopenia</w:t>
      </w:r>
      <w:r w:rsidR="0024165F">
        <w:rPr>
          <w:rFonts w:ascii="Times" w:hAnsi="Times"/>
        </w:rPr>
        <w:t xml:space="preserve"> </w:t>
      </w:r>
      <w:r>
        <w:rPr>
          <w:rFonts w:ascii="Times" w:hAnsi="Times"/>
        </w:rPr>
        <w:t>in individuals with</w:t>
      </w:r>
      <w:r w:rsidR="007947B3" w:rsidRPr="00E04D58">
        <w:rPr>
          <w:rFonts w:ascii="Times" w:hAnsi="Times"/>
        </w:rPr>
        <w:t xml:space="preserve"> RA </w:t>
      </w:r>
      <w:r>
        <w:rPr>
          <w:rFonts w:ascii="Times" w:hAnsi="Times"/>
        </w:rPr>
        <w:t xml:space="preserve">are </w:t>
      </w:r>
      <w:r w:rsidR="002460FA">
        <w:rPr>
          <w:rFonts w:ascii="Times" w:hAnsi="Times"/>
        </w:rPr>
        <w:t xml:space="preserve">independently </w:t>
      </w:r>
      <w:r w:rsidR="007947B3" w:rsidRPr="00E04D58">
        <w:rPr>
          <w:rFonts w:ascii="Times" w:hAnsi="Times"/>
        </w:rPr>
        <w:t xml:space="preserve">associated with </w:t>
      </w:r>
      <w:r w:rsidR="0024165F" w:rsidRPr="00E04D58">
        <w:rPr>
          <w:rFonts w:ascii="Times" w:hAnsi="Times"/>
        </w:rPr>
        <w:t>inc</w:t>
      </w:r>
      <w:r w:rsidR="002460FA">
        <w:rPr>
          <w:rFonts w:ascii="Times" w:hAnsi="Times"/>
        </w:rPr>
        <w:t>reased risk of common infection</w:t>
      </w:r>
      <w:r w:rsidR="0024165F" w:rsidRPr="00E04D58">
        <w:rPr>
          <w:rFonts w:ascii="Times" w:hAnsi="Times"/>
        </w:rPr>
        <w:t xml:space="preserve">. </w:t>
      </w:r>
      <w:r w:rsidR="00E04D58" w:rsidRPr="00E04D58">
        <w:rPr>
          <w:rFonts w:ascii="Times" w:hAnsi="Times"/>
        </w:rPr>
        <w:t xml:space="preserve">This suggests </w:t>
      </w:r>
      <w:r w:rsidR="00414564" w:rsidRPr="00E04D58">
        <w:rPr>
          <w:rFonts w:ascii="Times" w:hAnsi="Times"/>
        </w:rPr>
        <w:t>haematological</w:t>
      </w:r>
      <w:r w:rsidR="00E04D58" w:rsidRPr="00E04D58">
        <w:rPr>
          <w:rFonts w:ascii="Times" w:hAnsi="Times"/>
        </w:rPr>
        <w:t xml:space="preserve"> markers </w:t>
      </w:r>
      <w:r w:rsidR="00E04D58" w:rsidRPr="00E04D58">
        <w:rPr>
          <w:bCs/>
          <w:color w:val="222222"/>
          <w:shd w:val="clear" w:color="auto" w:fill="FFFFFF"/>
        </w:rPr>
        <w:t>may be clinically useful to identify individuals who may benefit from</w:t>
      </w:r>
      <w:r w:rsidR="00E04D58" w:rsidRPr="00E04D58">
        <w:t xml:space="preserve"> targeted counselling to </w:t>
      </w:r>
      <w:r w:rsidR="00E04D58" w:rsidRPr="00E04D58">
        <w:lastRenderedPageBreak/>
        <w:t xml:space="preserve">stress the importance of early presentation if symptoms of infection develop. </w:t>
      </w:r>
      <w:r w:rsidR="0024165F" w:rsidRPr="00E04D58">
        <w:rPr>
          <w:rFonts w:ascii="Times" w:hAnsi="Times"/>
        </w:rPr>
        <w:t xml:space="preserve">Our data </w:t>
      </w:r>
      <w:r>
        <w:rPr>
          <w:rFonts w:ascii="Times" w:hAnsi="Times"/>
        </w:rPr>
        <w:t xml:space="preserve">show a higher rate of pneumococcal-like illness individuals with RA, and </w:t>
      </w:r>
      <w:r w:rsidR="0024165F" w:rsidRPr="00E04D58">
        <w:rPr>
          <w:rFonts w:ascii="Times" w:hAnsi="Times"/>
        </w:rPr>
        <w:t>support the effectiveness of the influenza vaccination in people with RA</w:t>
      </w:r>
      <w:r>
        <w:rPr>
          <w:rFonts w:ascii="Times" w:hAnsi="Times"/>
        </w:rPr>
        <w:t>.</w:t>
      </w:r>
    </w:p>
    <w:p w14:paraId="3F12551C" w14:textId="29A61618" w:rsidR="00635D70" w:rsidRDefault="00635D70">
      <w:pPr>
        <w:rPr>
          <w:rFonts w:ascii="Times" w:hAnsi="Times"/>
        </w:rPr>
      </w:pPr>
    </w:p>
    <w:p w14:paraId="30AAF5D7" w14:textId="77777777" w:rsidR="00E14300" w:rsidRDefault="00E14300">
      <w:pPr>
        <w:rPr>
          <w:rFonts w:ascii="Times" w:hAnsi="Times"/>
          <w:b/>
        </w:rPr>
      </w:pPr>
      <w:r>
        <w:rPr>
          <w:rFonts w:ascii="Times" w:hAnsi="Times"/>
          <w:b/>
        </w:rPr>
        <w:br w:type="page"/>
      </w:r>
    </w:p>
    <w:p w14:paraId="4023AFE1" w14:textId="0839E8F7" w:rsidR="00E14300" w:rsidRDefault="00E14300" w:rsidP="00E14300">
      <w:pPr>
        <w:jc w:val="both"/>
        <w:rPr>
          <w:rFonts w:ascii="Times" w:hAnsi="Times"/>
        </w:rPr>
      </w:pPr>
      <w:r>
        <w:rPr>
          <w:rFonts w:ascii="Times" w:hAnsi="Times"/>
          <w:b/>
        </w:rPr>
        <w:lastRenderedPageBreak/>
        <w:t xml:space="preserve">Funding: </w:t>
      </w:r>
      <w:r>
        <w:rPr>
          <w:rFonts w:ascii="Times" w:hAnsi="Times"/>
        </w:rPr>
        <w:t>This work was supported by Pfizer UK.</w:t>
      </w:r>
    </w:p>
    <w:p w14:paraId="6E166CA0" w14:textId="77777777" w:rsidR="00E14300" w:rsidRDefault="00E14300" w:rsidP="00B448CF">
      <w:pPr>
        <w:spacing w:line="360" w:lineRule="auto"/>
        <w:jc w:val="both"/>
        <w:rPr>
          <w:rFonts w:ascii="Times" w:hAnsi="Times"/>
          <w:b/>
        </w:rPr>
      </w:pPr>
    </w:p>
    <w:p w14:paraId="3AA6386E" w14:textId="06D32A9D" w:rsidR="0024165F" w:rsidRPr="00635D70" w:rsidRDefault="00635D70" w:rsidP="00B448CF">
      <w:pPr>
        <w:spacing w:line="360" w:lineRule="auto"/>
        <w:jc w:val="both"/>
        <w:rPr>
          <w:rFonts w:ascii="Times" w:hAnsi="Times"/>
          <w:b/>
        </w:rPr>
      </w:pPr>
      <w:r w:rsidRPr="00635D70">
        <w:rPr>
          <w:rFonts w:ascii="Times" w:hAnsi="Times"/>
          <w:b/>
        </w:rPr>
        <w:t>Acknowledgements</w:t>
      </w:r>
    </w:p>
    <w:p w14:paraId="266155F1" w14:textId="7F2AD7B6" w:rsidR="00E14300" w:rsidRDefault="00E14300" w:rsidP="00E14300">
      <w:pPr>
        <w:jc w:val="both"/>
        <w:rPr>
          <w:rFonts w:ascii="Times" w:hAnsi="Times"/>
        </w:rPr>
      </w:pPr>
      <w:r w:rsidRPr="001077DA">
        <w:rPr>
          <w:rFonts w:ascii="Times" w:hAnsi="Times"/>
        </w:rPr>
        <w:t>CM is funded by the National Institute for Health Research (NIHR) Collaborations for Leadership in Applied Health Research and Care West Midlands, the NIHR School for Primary Care Research and a NIHR Research Professorship in General Practice (NIHR-RP-2014-04-026); the views expressed in this manuscript are those of the author(s) and not necessarily those of the NHS, the NIHR or the Department of Health and Social Care.  CDB and KR are supported by the National Institute for Health Research (NIHR) Birmingham Biomedical Research Centre.</w:t>
      </w:r>
    </w:p>
    <w:p w14:paraId="29A2672A" w14:textId="77777777" w:rsidR="00E14300" w:rsidRDefault="00E14300" w:rsidP="00E14300">
      <w:pPr>
        <w:jc w:val="both"/>
        <w:rPr>
          <w:rFonts w:ascii="Times" w:hAnsi="Times"/>
        </w:rPr>
      </w:pPr>
    </w:p>
    <w:p w14:paraId="3C060D1E" w14:textId="769B8434" w:rsidR="00635D70" w:rsidRPr="00FE499D" w:rsidRDefault="00E14300" w:rsidP="00E14300">
      <w:pPr>
        <w:jc w:val="both"/>
      </w:pPr>
      <w:r w:rsidRPr="00580E1D">
        <w:rPr>
          <w:rFonts w:ascii="Times" w:hAnsi="Times"/>
        </w:rPr>
        <w:t>Medical writing and statistical support was provided by John Dennis at Momentum Data and was funded by Pfizer.</w:t>
      </w:r>
      <w:r>
        <w:rPr>
          <w:rFonts w:ascii="Times" w:hAnsi="Times"/>
        </w:rPr>
        <w:t xml:space="preserve"> </w:t>
      </w:r>
      <w:r w:rsidR="00635D70">
        <w:t xml:space="preserve">We acknowledge additional medical writing and statistical support from Andrew McGovern and Jack Brownrigg (Momentum Data), and project management support from </w:t>
      </w:r>
      <w:r w:rsidR="00635D70" w:rsidRPr="004B1572">
        <w:t>Filipa Ferreira</w:t>
      </w:r>
      <w:r w:rsidR="00635D70">
        <w:t xml:space="preserve"> (University of Surrey).</w:t>
      </w:r>
    </w:p>
    <w:p w14:paraId="6F897151" w14:textId="77777777" w:rsidR="00E14300" w:rsidRDefault="00E14300" w:rsidP="00E14300">
      <w:pPr>
        <w:jc w:val="both"/>
        <w:rPr>
          <w:rFonts w:ascii="Times" w:hAnsi="Times"/>
        </w:rPr>
      </w:pPr>
    </w:p>
    <w:p w14:paraId="06CD2CBC" w14:textId="77777777" w:rsidR="00E14300" w:rsidRPr="00543980" w:rsidRDefault="00E14300" w:rsidP="00E14300">
      <w:pPr>
        <w:jc w:val="both"/>
        <w:rPr>
          <w:rFonts w:ascii="Times" w:hAnsi="Times"/>
        </w:rPr>
      </w:pPr>
      <w:r w:rsidRPr="00543980">
        <w:rPr>
          <w:rFonts w:ascii="Times" w:hAnsi="Times"/>
          <w:b/>
        </w:rPr>
        <w:t>Conflicts of interest:</w:t>
      </w:r>
      <w:r>
        <w:rPr>
          <w:rFonts w:ascii="Times" w:hAnsi="Times"/>
        </w:rPr>
        <w:t xml:space="preserve"> </w:t>
      </w:r>
      <w:r w:rsidRPr="00543980">
        <w:rPr>
          <w:rFonts w:ascii="Times" w:hAnsi="Times"/>
        </w:rPr>
        <w:t xml:space="preserve">KR has received research funding from </w:t>
      </w:r>
      <w:proofErr w:type="spellStart"/>
      <w:r w:rsidRPr="00543980">
        <w:rPr>
          <w:rFonts w:ascii="Times" w:hAnsi="Times"/>
        </w:rPr>
        <w:t>Abbvie</w:t>
      </w:r>
      <w:proofErr w:type="spellEnd"/>
      <w:r w:rsidRPr="00543980">
        <w:rPr>
          <w:rFonts w:ascii="Times" w:hAnsi="Times"/>
        </w:rPr>
        <w:t xml:space="preserve"> and Pfizer and honoraria / consultancy fees from Lilly, BMS, UCB, Pfizer, Janssen and Roche Chugai. JG has received honoraria and/or sponsorship for conferences from </w:t>
      </w:r>
      <w:proofErr w:type="spellStart"/>
      <w:r w:rsidRPr="00543980">
        <w:rPr>
          <w:rFonts w:ascii="Times" w:hAnsi="Times"/>
        </w:rPr>
        <w:t>Abbvie</w:t>
      </w:r>
      <w:proofErr w:type="spellEnd"/>
      <w:r w:rsidRPr="00543980">
        <w:rPr>
          <w:rFonts w:ascii="Times" w:hAnsi="Times"/>
        </w:rPr>
        <w:t xml:space="preserve">, Celgene, Janssen, Pfizer, and UCB. </w:t>
      </w:r>
      <w:r w:rsidRPr="00E102A3">
        <w:rPr>
          <w:rFonts w:ascii="Times" w:hAnsi="Times"/>
        </w:rPr>
        <w:t>KK</w:t>
      </w:r>
      <w:r>
        <w:rPr>
          <w:rFonts w:ascii="Times" w:hAnsi="Times"/>
        </w:rPr>
        <w:t xml:space="preserve"> and JR</w:t>
      </w:r>
      <w:r w:rsidRPr="00E102A3">
        <w:rPr>
          <w:rFonts w:ascii="Times" w:hAnsi="Times"/>
        </w:rPr>
        <w:t xml:space="preserve"> are employees of Pfizer.</w:t>
      </w:r>
      <w:r>
        <w:rPr>
          <w:rFonts w:ascii="Times" w:hAnsi="Times"/>
        </w:rPr>
        <w:t xml:space="preserve"> </w:t>
      </w:r>
      <w:r w:rsidRPr="00543980">
        <w:rPr>
          <w:rFonts w:ascii="Times" w:hAnsi="Times"/>
        </w:rPr>
        <w:t>All other authors declare no conflicts of interest.</w:t>
      </w:r>
    </w:p>
    <w:p w14:paraId="0E0DCD8B" w14:textId="6E82032E" w:rsidR="00F64D01" w:rsidRDefault="00F64D01">
      <w:pPr>
        <w:rPr>
          <w:rFonts w:ascii="Times" w:hAnsi="Times"/>
        </w:rPr>
      </w:pPr>
      <w:r>
        <w:rPr>
          <w:rFonts w:ascii="Times" w:hAnsi="Times"/>
        </w:rPr>
        <w:br w:type="page"/>
      </w:r>
    </w:p>
    <w:p w14:paraId="1B34029A" w14:textId="35549D4C" w:rsidR="00B24ED9" w:rsidRPr="00B24ED9" w:rsidRDefault="00B24ED9" w:rsidP="00B2048A">
      <w:pPr>
        <w:spacing w:line="360" w:lineRule="auto"/>
        <w:rPr>
          <w:rFonts w:ascii="Times" w:hAnsi="Times"/>
          <w:b/>
        </w:rPr>
      </w:pPr>
      <w:r w:rsidRPr="00B24ED9">
        <w:rPr>
          <w:rFonts w:ascii="Times" w:hAnsi="Times"/>
          <w:b/>
        </w:rPr>
        <w:lastRenderedPageBreak/>
        <w:t>REFERENCES</w:t>
      </w:r>
    </w:p>
    <w:p w14:paraId="3AF98C06" w14:textId="77777777" w:rsidR="00B24ED9" w:rsidRDefault="00B24ED9" w:rsidP="00B24ED9">
      <w:pPr>
        <w:rPr>
          <w:rFonts w:ascii="Times" w:hAnsi="Times"/>
        </w:rPr>
      </w:pPr>
    </w:p>
    <w:p w14:paraId="5B70E7B6" w14:textId="77777777" w:rsidR="000D2F97" w:rsidRPr="000D2F97" w:rsidRDefault="00B24ED9" w:rsidP="000D2F97">
      <w:pPr>
        <w:pStyle w:val="EndNoteBibliography"/>
        <w:rPr>
          <w:noProof/>
        </w:rPr>
      </w:pPr>
      <w:r w:rsidRPr="001077DA">
        <w:rPr>
          <w:rFonts w:ascii="Times New Roman" w:hAnsi="Times New Roman" w:cs="Times New Roman"/>
          <w:sz w:val="22"/>
          <w:szCs w:val="22"/>
        </w:rPr>
        <w:fldChar w:fldCharType="begin"/>
      </w:r>
      <w:r w:rsidRPr="001077DA">
        <w:rPr>
          <w:rFonts w:ascii="Times New Roman" w:hAnsi="Times New Roman" w:cs="Times New Roman"/>
          <w:sz w:val="22"/>
          <w:szCs w:val="22"/>
        </w:rPr>
        <w:instrText xml:space="preserve"> ADDIN EN.REFLIST </w:instrText>
      </w:r>
      <w:r w:rsidRPr="001077DA">
        <w:rPr>
          <w:rFonts w:ascii="Times New Roman" w:hAnsi="Times New Roman" w:cs="Times New Roman"/>
          <w:sz w:val="22"/>
          <w:szCs w:val="22"/>
        </w:rPr>
        <w:fldChar w:fldCharType="separate"/>
      </w:r>
      <w:r w:rsidR="000D2F97" w:rsidRPr="000D2F97">
        <w:rPr>
          <w:noProof/>
        </w:rPr>
        <w:t>1.</w:t>
      </w:r>
      <w:r w:rsidR="000D2F97" w:rsidRPr="000D2F97">
        <w:rPr>
          <w:noProof/>
        </w:rPr>
        <w:tab/>
        <w:t>Shourt CA, Crowson CS, Gabriel SE, Matteson EL. Orthopedic surgery among patients with rheumatoid arthritis 1980–2007: a population-based study focused on surgery rates, sex, and mortality. The Journal of rheumatology. 2012;39(3):481-5.</w:t>
      </w:r>
    </w:p>
    <w:p w14:paraId="04407597" w14:textId="77777777" w:rsidR="000D2F97" w:rsidRPr="000D2F97" w:rsidRDefault="000D2F97" w:rsidP="000D2F97">
      <w:pPr>
        <w:pStyle w:val="EndNoteBibliography"/>
        <w:rPr>
          <w:noProof/>
        </w:rPr>
      </w:pPr>
      <w:r w:rsidRPr="000D2F97">
        <w:rPr>
          <w:noProof/>
        </w:rPr>
        <w:t>2.</w:t>
      </w:r>
      <w:r w:rsidRPr="000D2F97">
        <w:rPr>
          <w:noProof/>
        </w:rPr>
        <w:tab/>
        <w:t>Salliot C, van der Heijde D. Long-term safety of methotrexate monotherapy in patients with rheumatoid arthritis: a systematic literature research. Annals of the rheumatic diseases. 2009;68(7):1100-4.</w:t>
      </w:r>
    </w:p>
    <w:p w14:paraId="6703752C" w14:textId="77777777" w:rsidR="000D2F97" w:rsidRPr="000D2F97" w:rsidRDefault="000D2F97" w:rsidP="000D2F97">
      <w:pPr>
        <w:pStyle w:val="EndNoteBibliography"/>
        <w:rPr>
          <w:noProof/>
        </w:rPr>
      </w:pPr>
      <w:r w:rsidRPr="000D2F97">
        <w:rPr>
          <w:noProof/>
        </w:rPr>
        <w:t>3.</w:t>
      </w:r>
      <w:r w:rsidRPr="000D2F97">
        <w:rPr>
          <w:noProof/>
        </w:rPr>
        <w:tab/>
        <w:t>Wilson A, Yu H-T, Goodnough LT, Nissenson AR. Prevalence and outcomes of anemia in rheumatoid arthritis: a systematic review of the literature. The American journal of medicine. 2004;116(7):50-7.</w:t>
      </w:r>
    </w:p>
    <w:p w14:paraId="78005636" w14:textId="77777777" w:rsidR="000D2F97" w:rsidRPr="000D2F97" w:rsidRDefault="000D2F97" w:rsidP="000D2F97">
      <w:pPr>
        <w:pStyle w:val="EndNoteBibliography"/>
        <w:rPr>
          <w:noProof/>
        </w:rPr>
      </w:pPr>
      <w:r w:rsidRPr="000D2F97">
        <w:rPr>
          <w:noProof/>
        </w:rPr>
        <w:t>4.</w:t>
      </w:r>
      <w:r w:rsidRPr="000D2F97">
        <w:rPr>
          <w:noProof/>
        </w:rPr>
        <w:tab/>
        <w:t>Pincus T, O'Dell JR, Kremer JM. Combination therapy with multiple disease-modifying antirheumatic drugs in rheumatoid arthritis: a preventive strategy. Annals of internal medicine. 1999;131(10):768-74.</w:t>
      </w:r>
    </w:p>
    <w:p w14:paraId="34C840B9" w14:textId="77777777" w:rsidR="000D2F97" w:rsidRPr="000D2F97" w:rsidRDefault="000D2F97" w:rsidP="000D2F97">
      <w:pPr>
        <w:pStyle w:val="EndNoteBibliography"/>
        <w:rPr>
          <w:noProof/>
        </w:rPr>
      </w:pPr>
      <w:r w:rsidRPr="000D2F97">
        <w:rPr>
          <w:noProof/>
        </w:rPr>
        <w:t>5.</w:t>
      </w:r>
      <w:r w:rsidRPr="000D2F97">
        <w:rPr>
          <w:noProof/>
        </w:rPr>
        <w:tab/>
        <w:t>Kay J, Bryant S, Cravets M, McCabe D. FRI0002 Il-1 receptor antagonist (il-1ra) treatment is associated with improvement of anaemia in rheumatoid arthritis. BMJ Publishing Group Ltd; 2001.</w:t>
      </w:r>
    </w:p>
    <w:p w14:paraId="03CB2B0F" w14:textId="77777777" w:rsidR="000D2F97" w:rsidRPr="000D2F97" w:rsidRDefault="000D2F97" w:rsidP="000D2F97">
      <w:pPr>
        <w:pStyle w:val="EndNoteBibliography"/>
        <w:rPr>
          <w:noProof/>
        </w:rPr>
      </w:pPr>
      <w:r w:rsidRPr="000D2F97">
        <w:rPr>
          <w:noProof/>
        </w:rPr>
        <w:t>6.</w:t>
      </w:r>
      <w:r w:rsidRPr="000D2F97">
        <w:rPr>
          <w:noProof/>
        </w:rPr>
        <w:tab/>
        <w:t>Porter D, Sturrock R, Capell H. The use of serum ferritin estimation in the investigation of anaemia in patients with rheumatoid arthritis. Clinical and experimental rheumatology. 1994;12(2):179-82.</w:t>
      </w:r>
    </w:p>
    <w:p w14:paraId="78832726" w14:textId="77777777" w:rsidR="000D2F97" w:rsidRPr="000D2F97" w:rsidRDefault="000D2F97" w:rsidP="000D2F97">
      <w:pPr>
        <w:pStyle w:val="EndNoteBibliography"/>
        <w:rPr>
          <w:noProof/>
        </w:rPr>
      </w:pPr>
      <w:r w:rsidRPr="000D2F97">
        <w:rPr>
          <w:noProof/>
        </w:rPr>
        <w:t>7.</w:t>
      </w:r>
      <w:r w:rsidRPr="000D2F97">
        <w:rPr>
          <w:noProof/>
        </w:rPr>
        <w:tab/>
        <w:t>Vreugdenhil G, Swaak A. Anaemia in rheumatoid arthritis: pathogenesis, diagnosis and treatment. Rheumatology international. 1990;9(6):243-57.</w:t>
      </w:r>
    </w:p>
    <w:p w14:paraId="4FFED093" w14:textId="77777777" w:rsidR="000D2F97" w:rsidRPr="000D2F97" w:rsidRDefault="000D2F97" w:rsidP="000D2F97">
      <w:pPr>
        <w:pStyle w:val="EndNoteBibliography"/>
        <w:rPr>
          <w:noProof/>
        </w:rPr>
      </w:pPr>
      <w:r w:rsidRPr="000D2F97">
        <w:rPr>
          <w:noProof/>
        </w:rPr>
        <w:t>8.</w:t>
      </w:r>
      <w:r w:rsidRPr="000D2F97">
        <w:rPr>
          <w:noProof/>
        </w:rPr>
        <w:tab/>
        <w:t>Peeters H, Jongen-Lavrencic M, Raja A, Ramdin H, Vreugdenhil G, Breedveld F, et al. Course and characteristics of anaemia in patients with rheumatoid arthritis of recent onset. Annals of the rheumatic diseases. 1996;55(3):162.</w:t>
      </w:r>
    </w:p>
    <w:p w14:paraId="6D26C3A5" w14:textId="77777777" w:rsidR="000D2F97" w:rsidRPr="000D2F97" w:rsidRDefault="000D2F97" w:rsidP="000D2F97">
      <w:pPr>
        <w:pStyle w:val="EndNoteBibliography"/>
        <w:rPr>
          <w:noProof/>
        </w:rPr>
      </w:pPr>
      <w:r w:rsidRPr="000D2F97">
        <w:rPr>
          <w:noProof/>
        </w:rPr>
        <w:t>9.</w:t>
      </w:r>
      <w:r w:rsidRPr="000D2F97">
        <w:rPr>
          <w:noProof/>
        </w:rPr>
        <w:tab/>
        <w:t>Vreugdenhil G, Wognum A, Van Eijk H, Swaak A. Anaemia in rheumatoid arthritis: the role of iron, vitamin B12, and folic acid deficiency, and erythropoietin responsiveness. Annals of the rheumatic diseases. 1990;49(2):93.</w:t>
      </w:r>
    </w:p>
    <w:p w14:paraId="5D64C5CF" w14:textId="77777777" w:rsidR="000D2F97" w:rsidRPr="000D2F97" w:rsidRDefault="000D2F97" w:rsidP="000D2F97">
      <w:pPr>
        <w:pStyle w:val="EndNoteBibliography"/>
        <w:rPr>
          <w:noProof/>
        </w:rPr>
      </w:pPr>
      <w:r w:rsidRPr="000D2F97">
        <w:rPr>
          <w:noProof/>
        </w:rPr>
        <w:t>10.</w:t>
      </w:r>
      <w:r w:rsidRPr="000D2F97">
        <w:rPr>
          <w:noProof/>
        </w:rPr>
        <w:tab/>
        <w:t>Kroesen S, Widmer A, Tyndall A, Hasler P. Serious bacterial infections in patients with rheumatoid arthritis under anti‐TNF‐α therapy. Rheumatology. 2003;42(5):617-21.</w:t>
      </w:r>
    </w:p>
    <w:p w14:paraId="22F8805C" w14:textId="77777777" w:rsidR="000D2F97" w:rsidRPr="000D2F97" w:rsidRDefault="000D2F97" w:rsidP="000D2F97">
      <w:pPr>
        <w:pStyle w:val="EndNoteBibliography"/>
        <w:rPr>
          <w:noProof/>
        </w:rPr>
      </w:pPr>
      <w:r w:rsidRPr="000D2F97">
        <w:rPr>
          <w:noProof/>
        </w:rPr>
        <w:t>11.</w:t>
      </w:r>
      <w:r w:rsidRPr="000D2F97">
        <w:rPr>
          <w:noProof/>
        </w:rPr>
        <w:tab/>
        <w:t>Gómez‐Reino JJ, Carmona L, Valverde VR, Mola EM, Montero MD. Treatment of rheumatoid arthritis with tumor necrosis factor inhibitors may predispose to significant increase in tuberculosis risk: a multicenter active‐surveillance report. Arthritis &amp; Rheumatology. 2003;48(8):2122-7.</w:t>
      </w:r>
    </w:p>
    <w:p w14:paraId="51E36669" w14:textId="77777777" w:rsidR="000D2F97" w:rsidRPr="000D2F97" w:rsidRDefault="000D2F97" w:rsidP="000D2F97">
      <w:pPr>
        <w:pStyle w:val="EndNoteBibliography"/>
        <w:rPr>
          <w:noProof/>
        </w:rPr>
      </w:pPr>
      <w:r w:rsidRPr="000D2F97">
        <w:rPr>
          <w:noProof/>
        </w:rPr>
        <w:t>12.</w:t>
      </w:r>
      <w:r w:rsidRPr="000D2F97">
        <w:rPr>
          <w:noProof/>
        </w:rPr>
        <w:tab/>
        <w:t>Wallis R, Broder M, Wong J, Hanson M, Beenhouwer D. Granulomatous infectious diseases associated with tumor necrosis factor antagonists. Clinical Infectious Diseases. 2004;38(9):1261-5.</w:t>
      </w:r>
    </w:p>
    <w:p w14:paraId="4673DC0C" w14:textId="77777777" w:rsidR="000D2F97" w:rsidRPr="000D2F97" w:rsidRDefault="000D2F97" w:rsidP="000D2F97">
      <w:pPr>
        <w:pStyle w:val="EndNoteBibliography"/>
        <w:rPr>
          <w:noProof/>
        </w:rPr>
      </w:pPr>
      <w:r w:rsidRPr="000D2F97">
        <w:rPr>
          <w:noProof/>
        </w:rPr>
        <w:t>13.</w:t>
      </w:r>
      <w:r w:rsidRPr="000D2F97">
        <w:rPr>
          <w:noProof/>
        </w:rPr>
        <w:tab/>
        <w:t>Bongartz T, Sutton AJ, Sweeting MJ, Buchan I, Matteson EL, Montori V. Anti-TNF antibody therapy in rheumatoid arthritis and the risk of serious infections and malignancies: systematic review and meta-analysis of rare harmful effects in randomized controlled trials. Jama. 2006;295(19):2275-85.</w:t>
      </w:r>
    </w:p>
    <w:p w14:paraId="4560D654" w14:textId="77777777" w:rsidR="000D2F97" w:rsidRPr="000D2F97" w:rsidRDefault="000D2F97" w:rsidP="000D2F97">
      <w:pPr>
        <w:pStyle w:val="EndNoteBibliography"/>
        <w:rPr>
          <w:noProof/>
        </w:rPr>
      </w:pPr>
      <w:r w:rsidRPr="000D2F97">
        <w:rPr>
          <w:noProof/>
        </w:rPr>
        <w:t>14.</w:t>
      </w:r>
      <w:r w:rsidRPr="000D2F97">
        <w:rPr>
          <w:noProof/>
        </w:rPr>
        <w:tab/>
        <w:t>Lorenzi AR, Clarke AM, Wooldridge T, Waldmann H, Hale G, Symmons D, et al. Morbidity and mortality in rheumatoid arthritis patients with prolonged therapy‐induced lymphopenia: Twelve‐year outcomes. Arthritis &amp; Rheumatology. 2008;58(2):370-5.</w:t>
      </w:r>
    </w:p>
    <w:p w14:paraId="600B764D" w14:textId="77777777" w:rsidR="000D2F97" w:rsidRPr="000D2F97" w:rsidRDefault="000D2F97" w:rsidP="000D2F97">
      <w:pPr>
        <w:pStyle w:val="EndNoteBibliography"/>
        <w:rPr>
          <w:noProof/>
        </w:rPr>
      </w:pPr>
      <w:r w:rsidRPr="000D2F97">
        <w:rPr>
          <w:noProof/>
        </w:rPr>
        <w:lastRenderedPageBreak/>
        <w:t>15.</w:t>
      </w:r>
      <w:r w:rsidRPr="000D2F97">
        <w:rPr>
          <w:noProof/>
        </w:rPr>
        <w:tab/>
        <w:t>Isaacs JD, Greer S, Sharma S, Symmons D, Smith M, Johnston J, et al. Morbidity and mortality in rheumatoid arthritis patients with prolonged and profound therapy‐induced lymphopenia. Arthritis &amp; Rheumatology. 2001;44(9):1998-2008.</w:t>
      </w:r>
    </w:p>
    <w:p w14:paraId="7EE0E511" w14:textId="77777777" w:rsidR="000D2F97" w:rsidRPr="000D2F97" w:rsidRDefault="000D2F97" w:rsidP="000D2F97">
      <w:pPr>
        <w:pStyle w:val="EndNoteBibliography"/>
        <w:rPr>
          <w:noProof/>
        </w:rPr>
      </w:pPr>
      <w:r w:rsidRPr="000D2F97">
        <w:rPr>
          <w:noProof/>
        </w:rPr>
        <w:t>16.</w:t>
      </w:r>
      <w:r w:rsidRPr="000D2F97">
        <w:rPr>
          <w:noProof/>
        </w:rPr>
        <w:tab/>
        <w:t>van Assen S, Agmon-Levin N, Elkayam O, Cervera R, Doran MF, Dougados M, et al. EULAR recommendations for vaccination in adult patients with autoimmune inflammatory rheumatic diseases. Annals of the Rheumatic Diseases. 2011;70(3):414-22.</w:t>
      </w:r>
    </w:p>
    <w:p w14:paraId="7A65031C" w14:textId="77777777" w:rsidR="000D2F97" w:rsidRPr="000D2F97" w:rsidRDefault="000D2F97" w:rsidP="000D2F97">
      <w:pPr>
        <w:pStyle w:val="EndNoteBibliography"/>
        <w:rPr>
          <w:noProof/>
        </w:rPr>
      </w:pPr>
      <w:r w:rsidRPr="000D2F97">
        <w:rPr>
          <w:noProof/>
        </w:rPr>
        <w:t>17.</w:t>
      </w:r>
      <w:r w:rsidRPr="000D2F97">
        <w:rPr>
          <w:noProof/>
        </w:rPr>
        <w:tab/>
        <w:t>Pneumococcal: the green book, chapter 25. In: England PH, editor. 2013.</w:t>
      </w:r>
    </w:p>
    <w:p w14:paraId="0760CD30" w14:textId="77777777" w:rsidR="000D2F97" w:rsidRPr="000D2F97" w:rsidRDefault="000D2F97" w:rsidP="000D2F97">
      <w:pPr>
        <w:pStyle w:val="EndNoteBibliography"/>
        <w:rPr>
          <w:noProof/>
        </w:rPr>
      </w:pPr>
      <w:r w:rsidRPr="000D2F97">
        <w:rPr>
          <w:noProof/>
        </w:rPr>
        <w:t>18.</w:t>
      </w:r>
      <w:r w:rsidRPr="000D2F97">
        <w:rPr>
          <w:noProof/>
        </w:rPr>
        <w:tab/>
        <w:t>Roden M, Weng J, Eilbracht J, Delafont B, Kim G, Woerle HJ, et al. Empagliflozin monotherapy with sitagliptin as an active comparator in patients with type 2 diabetes: a randomised, double-blind, placebo-controlled, phase 3 trial. Lancet Diabetes Endocrinol. 2013;1(3):208-19.</w:t>
      </w:r>
    </w:p>
    <w:p w14:paraId="74D5A2E1" w14:textId="77777777" w:rsidR="000D2F97" w:rsidRPr="000D2F97" w:rsidRDefault="000D2F97" w:rsidP="000D2F97">
      <w:pPr>
        <w:pStyle w:val="EndNoteBibliography"/>
        <w:rPr>
          <w:noProof/>
        </w:rPr>
      </w:pPr>
      <w:r w:rsidRPr="000D2F97">
        <w:rPr>
          <w:noProof/>
        </w:rPr>
        <w:t>19.</w:t>
      </w:r>
      <w:r w:rsidRPr="000D2F97">
        <w:rPr>
          <w:noProof/>
        </w:rPr>
        <w:tab/>
        <w:t>Costello R, Winthrop KL, Pye SR, Brown B, Dixon WG. Influenza and Pneumococcal Vaccination Uptake in Patients with Rheumatoid Arthritis Treated with Immunosuppressive Therapy in the UK: A Retrospective Cohort Study Using Data from the Clinical Practice Research Datalink. PLOS ONE. 2016;11(4):e0153848.</w:t>
      </w:r>
    </w:p>
    <w:p w14:paraId="6FFCA72F" w14:textId="77777777" w:rsidR="000D2F97" w:rsidRPr="000D2F97" w:rsidRDefault="000D2F97" w:rsidP="000D2F97">
      <w:pPr>
        <w:pStyle w:val="EndNoteBibliography"/>
        <w:rPr>
          <w:noProof/>
        </w:rPr>
      </w:pPr>
      <w:r w:rsidRPr="000D2F97">
        <w:rPr>
          <w:noProof/>
        </w:rPr>
        <w:t>20.</w:t>
      </w:r>
      <w:r w:rsidRPr="000D2F97">
        <w:rPr>
          <w:noProof/>
        </w:rPr>
        <w:tab/>
        <w:t>Nakafero G, Grainge MJ, Myles PR, Mallen CD, Zhang W, Doherty M, et al. Predictors and temporal trend of flu vaccination in auto-immune rheumatic diseases in the UK: a nationwide prospective cohort study. Rheumatology (Oxford). 2018;57(10):1726-34.</w:t>
      </w:r>
    </w:p>
    <w:p w14:paraId="7F6AE542" w14:textId="77777777" w:rsidR="000D2F97" w:rsidRPr="000D2F97" w:rsidRDefault="000D2F97" w:rsidP="000D2F97">
      <w:pPr>
        <w:pStyle w:val="EndNoteBibliography"/>
        <w:rPr>
          <w:noProof/>
        </w:rPr>
      </w:pPr>
      <w:r w:rsidRPr="000D2F97">
        <w:rPr>
          <w:noProof/>
        </w:rPr>
        <w:t>21.</w:t>
      </w:r>
      <w:r w:rsidRPr="000D2F97">
        <w:rPr>
          <w:noProof/>
        </w:rPr>
        <w:tab/>
        <w:t>Correa A, Hinton W, McGovern A, van Vlymen J, Yonova I, Jones S, et al. Royal College of General Practitioners Research and Surveillance Centre (RCGP RSC) sentinel network: a cohort profile. BMJ open. 2016;6(4):e011092.</w:t>
      </w:r>
    </w:p>
    <w:p w14:paraId="03FE2DBE" w14:textId="77777777" w:rsidR="000D2F97" w:rsidRPr="000D2F97" w:rsidRDefault="000D2F97" w:rsidP="000D2F97">
      <w:pPr>
        <w:pStyle w:val="EndNoteBibliography"/>
        <w:rPr>
          <w:noProof/>
        </w:rPr>
      </w:pPr>
      <w:r w:rsidRPr="000D2F97">
        <w:rPr>
          <w:noProof/>
        </w:rPr>
        <w:t>22.</w:t>
      </w:r>
      <w:r w:rsidRPr="000D2F97">
        <w:rPr>
          <w:noProof/>
        </w:rPr>
        <w:tab/>
        <w:t>de Lusignan S, Correa A, Smith GE, Yonova I, Pebody R, Ferreira F, et al. RCGP Research and Surveillance Centre: 50 years’ surveillance of influenza, infections, and respiratory conditions. British Journal of General Practice. 2017;67(663):440-1.</w:t>
      </w:r>
    </w:p>
    <w:p w14:paraId="27E2D2B9" w14:textId="77777777" w:rsidR="000D2F97" w:rsidRPr="000D2F97" w:rsidRDefault="000D2F97" w:rsidP="000D2F97">
      <w:pPr>
        <w:pStyle w:val="EndNoteBibliography"/>
        <w:rPr>
          <w:noProof/>
        </w:rPr>
      </w:pPr>
      <w:r w:rsidRPr="000D2F97">
        <w:rPr>
          <w:noProof/>
        </w:rPr>
        <w:t>23.</w:t>
      </w:r>
      <w:r w:rsidRPr="000D2F97">
        <w:rPr>
          <w:noProof/>
        </w:rPr>
        <w:tab/>
        <w:t>Muller S, Hider SL, Raza K, Stack RJ, Hayward RA, Mallen CD. An algorithm to identify rheumatoid arthritis in primary care: a Clinical Practice Research Datalink study. BMJ open. 2015;5(12):e009309.</w:t>
      </w:r>
    </w:p>
    <w:p w14:paraId="6F328FE5" w14:textId="77777777" w:rsidR="000D2F97" w:rsidRPr="000D2F97" w:rsidRDefault="000D2F97" w:rsidP="000D2F97">
      <w:pPr>
        <w:pStyle w:val="EndNoteBibliography"/>
        <w:rPr>
          <w:noProof/>
        </w:rPr>
      </w:pPr>
      <w:r w:rsidRPr="000D2F97">
        <w:rPr>
          <w:noProof/>
        </w:rPr>
        <w:t>24.</w:t>
      </w:r>
      <w:r w:rsidRPr="000D2F97">
        <w:rPr>
          <w:noProof/>
        </w:rPr>
        <w:tab/>
        <w:t>Davé S, Petersen I. Creating medical and drug code lists to identify cases in primary care databases. Pharmacoepidemiology and drug safety. 2009;18(8):704-7.</w:t>
      </w:r>
    </w:p>
    <w:p w14:paraId="33CBA0C4" w14:textId="77777777" w:rsidR="000D2F97" w:rsidRPr="000D2F97" w:rsidRDefault="000D2F97" w:rsidP="000D2F97">
      <w:pPr>
        <w:pStyle w:val="EndNoteBibliography"/>
        <w:rPr>
          <w:noProof/>
        </w:rPr>
      </w:pPr>
      <w:r w:rsidRPr="000D2F97">
        <w:rPr>
          <w:noProof/>
        </w:rPr>
        <w:t>25.</w:t>
      </w:r>
      <w:r w:rsidRPr="000D2F97">
        <w:rPr>
          <w:noProof/>
        </w:rPr>
        <w:tab/>
        <w:t>de Lusignan S, Liaw S-T, Michalakidis G, Jones S. Defining datasets and creating data dictionaries for quality improvement and research in chronic disease using routinely collected data: an ontology-driven approach. Journal of Innovation in Health Informatics. 2011;19(3):127-34.</w:t>
      </w:r>
    </w:p>
    <w:p w14:paraId="2233637F" w14:textId="77777777" w:rsidR="000D2F97" w:rsidRPr="000D2F97" w:rsidRDefault="000D2F97" w:rsidP="000D2F97">
      <w:pPr>
        <w:pStyle w:val="EndNoteBibliography"/>
        <w:rPr>
          <w:noProof/>
        </w:rPr>
      </w:pPr>
      <w:r w:rsidRPr="000D2F97">
        <w:rPr>
          <w:noProof/>
        </w:rPr>
        <w:t>26.</w:t>
      </w:r>
      <w:r w:rsidRPr="000D2F97">
        <w:rPr>
          <w:noProof/>
        </w:rPr>
        <w:tab/>
        <w:t>Crowson CS, Hoganson DD, Fitz‐Gibbon PD, Matteson EL. Development and validation of a risk score for serious infection in patients with rheumatoid arthritis. Arthritis &amp; Rheumatology. 2012;64(9):2847-55.</w:t>
      </w:r>
    </w:p>
    <w:p w14:paraId="118A6405" w14:textId="77777777" w:rsidR="000D2F97" w:rsidRPr="000D2F97" w:rsidRDefault="000D2F97" w:rsidP="000D2F97">
      <w:pPr>
        <w:pStyle w:val="EndNoteBibliography"/>
        <w:rPr>
          <w:noProof/>
        </w:rPr>
      </w:pPr>
      <w:r w:rsidRPr="000D2F97">
        <w:rPr>
          <w:noProof/>
        </w:rPr>
        <w:t>27.</w:t>
      </w:r>
      <w:r w:rsidRPr="000D2F97">
        <w:rPr>
          <w:noProof/>
        </w:rPr>
        <w:tab/>
        <w:t>Lim A, Gaffney K, Scott D. Methotrexate-induced pancytopenia: serious and under-reported? Our experience of 25 cases in 5 years. Rheumatology. 2005;44(8):1051-5.</w:t>
      </w:r>
    </w:p>
    <w:p w14:paraId="7F1890EB" w14:textId="77777777" w:rsidR="000D2F97" w:rsidRPr="000D2F97" w:rsidRDefault="000D2F97" w:rsidP="000D2F97">
      <w:pPr>
        <w:pStyle w:val="EndNoteBibliography"/>
        <w:rPr>
          <w:noProof/>
        </w:rPr>
      </w:pPr>
      <w:r w:rsidRPr="000D2F97">
        <w:rPr>
          <w:noProof/>
        </w:rPr>
        <w:t>28.</w:t>
      </w:r>
      <w:r w:rsidRPr="000D2F97">
        <w:rPr>
          <w:noProof/>
        </w:rPr>
        <w:tab/>
        <w:t>Hastings R, Ding T, Butt S, Gadsby K, Zhang W, Moots RJ, et al. Neutropenia in patients receiving anti–tumor necrosis factor therapy. Arthritis care &amp; research. 2010;62(6):764-9.</w:t>
      </w:r>
    </w:p>
    <w:p w14:paraId="42519FB7" w14:textId="77777777" w:rsidR="000D2F97" w:rsidRPr="000D2F97" w:rsidRDefault="000D2F97" w:rsidP="000D2F97">
      <w:pPr>
        <w:pStyle w:val="EndNoteBibliography"/>
        <w:rPr>
          <w:noProof/>
        </w:rPr>
      </w:pPr>
      <w:r w:rsidRPr="000D2F97">
        <w:rPr>
          <w:noProof/>
        </w:rPr>
        <w:lastRenderedPageBreak/>
        <w:t>29.</w:t>
      </w:r>
      <w:r w:rsidRPr="000D2F97">
        <w:rPr>
          <w:noProof/>
        </w:rPr>
        <w:tab/>
        <w:t>Remschmidt C, Wichmann O, Harder T. Frequency and impact of confounding by indication and healthy vaccinee bias in observational studies assessing influenza vaccine effectiveness: a systematic review. BMC infectious diseases. 2015;15(1):429.</w:t>
      </w:r>
    </w:p>
    <w:p w14:paraId="255295CA" w14:textId="77777777" w:rsidR="000D2F97" w:rsidRPr="000D2F97" w:rsidRDefault="000D2F97" w:rsidP="000D2F97">
      <w:pPr>
        <w:pStyle w:val="EndNoteBibliography"/>
        <w:rPr>
          <w:noProof/>
        </w:rPr>
      </w:pPr>
      <w:r w:rsidRPr="000D2F97">
        <w:rPr>
          <w:noProof/>
        </w:rPr>
        <w:t>30.</w:t>
      </w:r>
      <w:r w:rsidRPr="000D2F97">
        <w:rPr>
          <w:noProof/>
        </w:rPr>
        <w:tab/>
        <w:t>McDonald HI, Thomas SL, Millett ER, Quint J, Nitsch D. Do influenza and pneumococcal vaccines prevent community-acquired respiratory infections among older people with diabetes and does this vary by chronic kidney disease? A cohort study using electronic health records. BMJ Open Diabetes Research and Care. 2017;5(1):e000332.</w:t>
      </w:r>
    </w:p>
    <w:p w14:paraId="4D718793" w14:textId="77777777" w:rsidR="000D2F97" w:rsidRPr="000D2F97" w:rsidRDefault="000D2F97" w:rsidP="000D2F97">
      <w:pPr>
        <w:pStyle w:val="EndNoteBibliography"/>
        <w:rPr>
          <w:noProof/>
        </w:rPr>
      </w:pPr>
      <w:r w:rsidRPr="000D2F97">
        <w:rPr>
          <w:noProof/>
        </w:rPr>
        <w:t>31.</w:t>
      </w:r>
      <w:r w:rsidRPr="000D2F97">
        <w:rPr>
          <w:noProof/>
        </w:rPr>
        <w:tab/>
        <w:t>Remschmidt C, Wichmann O, Harder T. Vaccines for the prevention of seasonal influenza in patients with diabetes: systematic review and meta-analysis. BMC medicine. 2015;13(1):53.</w:t>
      </w:r>
    </w:p>
    <w:p w14:paraId="12A8FB1A" w14:textId="77777777" w:rsidR="000D2F97" w:rsidRPr="000D2F97" w:rsidRDefault="000D2F97" w:rsidP="000D2F97">
      <w:pPr>
        <w:pStyle w:val="EndNoteBibliography"/>
        <w:rPr>
          <w:noProof/>
        </w:rPr>
      </w:pPr>
      <w:r w:rsidRPr="000D2F97">
        <w:rPr>
          <w:noProof/>
        </w:rPr>
        <w:t>32.</w:t>
      </w:r>
      <w:r w:rsidRPr="000D2F97">
        <w:rPr>
          <w:noProof/>
        </w:rPr>
        <w:tab/>
        <w:t>Curtis JR, Xie F, Chen L, Muntner P, Grijalva CG, Spettell C, et al. Use of a disease risk score to compare serious infections associated with anti–tumor necrosis factor therapy among high- versus lower-risk rheumatoid arthritis patients. Arthritis Care &amp; Research. 2012;64(10):1480-9.</w:t>
      </w:r>
    </w:p>
    <w:p w14:paraId="1416D6A9" w14:textId="77777777" w:rsidR="000D2F97" w:rsidRPr="000D2F97" w:rsidRDefault="000D2F97" w:rsidP="000D2F97">
      <w:pPr>
        <w:pStyle w:val="EndNoteBibliography"/>
        <w:rPr>
          <w:noProof/>
        </w:rPr>
      </w:pPr>
      <w:r w:rsidRPr="000D2F97">
        <w:rPr>
          <w:noProof/>
        </w:rPr>
        <w:t>33.</w:t>
      </w:r>
      <w:r w:rsidRPr="000D2F97">
        <w:rPr>
          <w:noProof/>
        </w:rPr>
        <w:tab/>
        <w:t>Zink A, Manger B, Kaufmann J, Eisterhues C, Krause A, Listing J, et al. Evaluation of the RABBIT Risk Score for serious infections. Annals of the Rheumatic Diseases. 2014;73(9):1673-6.</w:t>
      </w:r>
    </w:p>
    <w:p w14:paraId="412B49F6" w14:textId="77777777" w:rsidR="000D2F97" w:rsidRPr="000D2F97" w:rsidRDefault="000D2F97" w:rsidP="000D2F97">
      <w:pPr>
        <w:pStyle w:val="EndNoteBibliography"/>
        <w:rPr>
          <w:noProof/>
        </w:rPr>
      </w:pPr>
      <w:r w:rsidRPr="000D2F97">
        <w:rPr>
          <w:noProof/>
        </w:rPr>
        <w:t>34.</w:t>
      </w:r>
      <w:r w:rsidRPr="000D2F97">
        <w:rPr>
          <w:noProof/>
        </w:rPr>
        <w:tab/>
        <w:t>Nguyen MTT, Lindegaard H, Hendricks O, Jørgensen CS, Kantsø B, Friis-Møller N. Initial Serological Response after Prime-boost Pneumococcal Vaccination in Rheumatoid Arthritis Patients: Results of a Randomized Controlled Trial. The Journal of Rheumatology. 2017:jrheum.161407.</w:t>
      </w:r>
    </w:p>
    <w:p w14:paraId="654ED756" w14:textId="681678F5" w:rsidR="00A70E99" w:rsidRPr="001077DA" w:rsidRDefault="00B24ED9" w:rsidP="00B24ED9">
      <w:pPr>
        <w:rPr>
          <w:rFonts w:ascii="Times" w:hAnsi="Times"/>
          <w:b/>
          <w:sz w:val="22"/>
          <w:szCs w:val="22"/>
        </w:rPr>
        <w:sectPr w:rsidR="00A70E99" w:rsidRPr="001077DA" w:rsidSect="0077364E">
          <w:headerReference w:type="default" r:id="rId9"/>
          <w:footerReference w:type="default" r:id="rId10"/>
          <w:pgSz w:w="11900" w:h="16840"/>
          <w:pgMar w:top="1440" w:right="1797" w:bottom="1440" w:left="1797" w:header="709" w:footer="709" w:gutter="0"/>
          <w:cols w:space="708"/>
          <w:docGrid w:linePitch="360"/>
        </w:sectPr>
      </w:pPr>
      <w:r w:rsidRPr="001077DA">
        <w:rPr>
          <w:sz w:val="22"/>
          <w:szCs w:val="22"/>
        </w:rPr>
        <w:fldChar w:fldCharType="end"/>
      </w:r>
      <w:r w:rsidRPr="001077DA">
        <w:rPr>
          <w:rFonts w:ascii="Times" w:hAnsi="Times"/>
          <w:b/>
          <w:sz w:val="22"/>
          <w:szCs w:val="22"/>
        </w:rPr>
        <w:br w:type="page"/>
      </w:r>
    </w:p>
    <w:p w14:paraId="660DD036" w14:textId="2865D2A5" w:rsidR="00B24ED9" w:rsidRDefault="00B24ED9" w:rsidP="00B24ED9">
      <w:pPr>
        <w:rPr>
          <w:rFonts w:ascii="Times" w:hAnsi="Times"/>
          <w:b/>
        </w:rPr>
      </w:pPr>
    </w:p>
    <w:p w14:paraId="2EBE9347" w14:textId="77777777" w:rsidR="004A16B6" w:rsidRDefault="004A16B6" w:rsidP="008A6CC1">
      <w:pPr>
        <w:spacing w:line="360" w:lineRule="auto"/>
        <w:jc w:val="both"/>
        <w:rPr>
          <w:rFonts w:ascii="Times" w:hAnsi="Times"/>
          <w:b/>
        </w:rPr>
      </w:pPr>
      <w:r>
        <w:rPr>
          <w:rFonts w:ascii="Times" w:hAnsi="Times"/>
          <w:b/>
        </w:rPr>
        <w:t>TABLES</w:t>
      </w:r>
    </w:p>
    <w:p w14:paraId="02D4077C" w14:textId="77777777" w:rsidR="004A16B6" w:rsidRDefault="004A16B6" w:rsidP="008A6CC1">
      <w:pPr>
        <w:spacing w:line="360" w:lineRule="auto"/>
        <w:jc w:val="both"/>
        <w:rPr>
          <w:rFonts w:ascii="Times" w:hAnsi="Times"/>
          <w:b/>
        </w:rPr>
      </w:pPr>
    </w:p>
    <w:p w14:paraId="4E25CD97" w14:textId="77FFA3AA" w:rsidR="00A25CBA" w:rsidRPr="000D4156" w:rsidRDefault="00BA454D" w:rsidP="000D4156">
      <w:pPr>
        <w:spacing w:line="360" w:lineRule="auto"/>
        <w:jc w:val="both"/>
        <w:rPr>
          <w:rFonts w:ascii="Times" w:hAnsi="Times"/>
          <w:b/>
        </w:rPr>
      </w:pPr>
      <w:r w:rsidRPr="0077364E">
        <w:rPr>
          <w:rFonts w:ascii="Times" w:hAnsi="Times"/>
          <w:b/>
        </w:rPr>
        <w:t>Table 1. Baseline characteristics</w:t>
      </w:r>
      <w:r w:rsidR="0032146E">
        <w:rPr>
          <w:rFonts w:ascii="Times" w:hAnsi="Times"/>
          <w:b/>
        </w:rPr>
        <w:t xml:space="preserve"> at diagnosis</w:t>
      </w:r>
      <w:r w:rsidR="008A6CC1">
        <w:rPr>
          <w:rFonts w:ascii="Times" w:hAnsi="Times"/>
          <w:b/>
        </w:rPr>
        <w:t xml:space="preserve"> for </w:t>
      </w:r>
      <w:r w:rsidR="0032146E">
        <w:rPr>
          <w:rFonts w:ascii="Times" w:hAnsi="Times"/>
          <w:b/>
        </w:rPr>
        <w:t>individuals</w:t>
      </w:r>
      <w:r w:rsidR="008A6CC1">
        <w:rPr>
          <w:rFonts w:ascii="Times" w:hAnsi="Times"/>
          <w:b/>
        </w:rPr>
        <w:t xml:space="preserve"> with RA by haematological abnormality. </w:t>
      </w:r>
      <w:r w:rsidR="008A6CC1" w:rsidRPr="000D4156">
        <w:rPr>
          <w:sz w:val="20"/>
          <w:szCs w:val="20"/>
        </w:rPr>
        <w:t>Values are mean (percentage) unless stated otherwise</w:t>
      </w:r>
      <w:r w:rsidR="000D4156" w:rsidRPr="000D4156">
        <w:rPr>
          <w:sz w:val="20"/>
          <w:szCs w:val="20"/>
        </w:rPr>
        <w:t>.</w:t>
      </w:r>
      <w:r w:rsidR="000D4156">
        <w:rPr>
          <w:rFonts w:ascii="Times" w:hAnsi="Times"/>
          <w:b/>
        </w:rPr>
        <w:t xml:space="preserve"> </w:t>
      </w:r>
      <w:r w:rsidR="00A25CBA" w:rsidRPr="00627A1F">
        <w:rPr>
          <w:sz w:val="20"/>
          <w:szCs w:val="20"/>
        </w:rPr>
        <w:t>BMI = body mass index, CKD = chronic kidney disease, COPD = chronic</w:t>
      </w:r>
      <w:r w:rsidR="00AF2CE5">
        <w:rPr>
          <w:sz w:val="20"/>
          <w:szCs w:val="20"/>
        </w:rPr>
        <w:t xml:space="preserve"> obstructive pulmonary disease</w:t>
      </w:r>
      <w:r w:rsidR="00A25CBA" w:rsidRPr="00627A1F">
        <w:rPr>
          <w:sz w:val="20"/>
          <w:szCs w:val="20"/>
        </w:rPr>
        <w:t xml:space="preserve">, NSAIDs = non-steroidal anti-inflammatory drugs, </w:t>
      </w:r>
      <w:proofErr w:type="spellStart"/>
      <w:r w:rsidR="00A25CBA" w:rsidRPr="00627A1F">
        <w:rPr>
          <w:sz w:val="20"/>
          <w:szCs w:val="20"/>
        </w:rPr>
        <w:t>csDMARDs</w:t>
      </w:r>
      <w:proofErr w:type="spellEnd"/>
      <w:r w:rsidR="00A25CBA" w:rsidRPr="00627A1F">
        <w:rPr>
          <w:sz w:val="20"/>
          <w:szCs w:val="20"/>
        </w:rPr>
        <w:t xml:space="preserve"> = conventional synthetic disease-modifying </w:t>
      </w:r>
      <w:proofErr w:type="spellStart"/>
      <w:r w:rsidR="00A25CBA" w:rsidRPr="00627A1F">
        <w:rPr>
          <w:sz w:val="20"/>
          <w:szCs w:val="20"/>
        </w:rPr>
        <w:t>antirheumatic</w:t>
      </w:r>
      <w:proofErr w:type="spellEnd"/>
      <w:r w:rsidR="00A25CBA" w:rsidRPr="00627A1F">
        <w:rPr>
          <w:sz w:val="20"/>
          <w:szCs w:val="20"/>
        </w:rPr>
        <w:t xml:space="preserve"> drugs, </w:t>
      </w:r>
      <w:proofErr w:type="spellStart"/>
      <w:r w:rsidR="00A25CBA" w:rsidRPr="00627A1F">
        <w:rPr>
          <w:sz w:val="20"/>
          <w:szCs w:val="20"/>
        </w:rPr>
        <w:t>bDMARDs</w:t>
      </w:r>
      <w:proofErr w:type="spellEnd"/>
      <w:r w:rsidR="00A25CBA" w:rsidRPr="00627A1F">
        <w:rPr>
          <w:sz w:val="20"/>
          <w:szCs w:val="20"/>
        </w:rPr>
        <w:t xml:space="preserve"> = biological disease-modifying </w:t>
      </w:r>
      <w:proofErr w:type="spellStart"/>
      <w:r w:rsidR="00A25CBA" w:rsidRPr="00627A1F">
        <w:rPr>
          <w:sz w:val="20"/>
          <w:szCs w:val="20"/>
        </w:rPr>
        <w:t>antirheumatic</w:t>
      </w:r>
      <w:proofErr w:type="spellEnd"/>
      <w:r w:rsidR="00A25CBA" w:rsidRPr="00627A1F">
        <w:rPr>
          <w:sz w:val="20"/>
          <w:szCs w:val="20"/>
        </w:rPr>
        <w:t xml:space="preserve"> drugs.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2410"/>
        <w:gridCol w:w="1153"/>
        <w:gridCol w:w="1009"/>
        <w:gridCol w:w="830"/>
        <w:gridCol w:w="1713"/>
        <w:gridCol w:w="836"/>
        <w:gridCol w:w="1823"/>
        <w:gridCol w:w="823"/>
      </w:tblGrid>
      <w:tr w:rsidR="00DB3251" w:rsidRPr="00DB3251" w14:paraId="724CDBCE" w14:textId="77777777" w:rsidTr="00101899">
        <w:trPr>
          <w:trHeight w:val="227"/>
          <w:tblHeader/>
        </w:trPr>
        <w:tc>
          <w:tcPr>
            <w:tcW w:w="2410" w:type="dxa"/>
            <w:tcBorders>
              <w:right w:val="single" w:sz="4" w:space="0" w:color="auto"/>
            </w:tcBorders>
            <w:shd w:val="clear" w:color="auto" w:fill="auto"/>
            <w:vAlign w:val="center"/>
          </w:tcPr>
          <w:p w14:paraId="1BA0D306" w14:textId="77777777" w:rsidR="00DB3251" w:rsidRPr="00A70E99" w:rsidRDefault="00DB3251" w:rsidP="009430C4">
            <w:pPr>
              <w:rPr>
                <w:sz w:val="18"/>
                <w:szCs w:val="18"/>
              </w:rPr>
            </w:pPr>
          </w:p>
        </w:tc>
        <w:tc>
          <w:tcPr>
            <w:tcW w:w="1153" w:type="dxa"/>
            <w:tcBorders>
              <w:left w:val="single" w:sz="4" w:space="0" w:color="auto"/>
              <w:right w:val="single" w:sz="4" w:space="0" w:color="auto"/>
            </w:tcBorders>
            <w:shd w:val="clear" w:color="auto" w:fill="auto"/>
            <w:vAlign w:val="center"/>
          </w:tcPr>
          <w:p w14:paraId="6A5BE1D9" w14:textId="77777777" w:rsidR="00DB3251" w:rsidRPr="00A70E99" w:rsidRDefault="00DB3251" w:rsidP="00A70E99">
            <w:pPr>
              <w:jc w:val="right"/>
              <w:rPr>
                <w:b/>
                <w:sz w:val="18"/>
                <w:szCs w:val="18"/>
              </w:rPr>
            </w:pPr>
            <w:r w:rsidRPr="00A70E99">
              <w:rPr>
                <w:b/>
                <w:sz w:val="18"/>
                <w:szCs w:val="18"/>
              </w:rPr>
              <w:t>Overall</w:t>
            </w:r>
          </w:p>
          <w:p w14:paraId="03CC4DB2" w14:textId="61F42D5A" w:rsidR="00DB3251" w:rsidRPr="00A70E99" w:rsidRDefault="00DB3251" w:rsidP="00A70E99">
            <w:pPr>
              <w:jc w:val="right"/>
              <w:rPr>
                <w:sz w:val="18"/>
                <w:szCs w:val="18"/>
              </w:rPr>
            </w:pPr>
            <w:r w:rsidRPr="00A70E99">
              <w:rPr>
                <w:b/>
                <w:sz w:val="18"/>
                <w:szCs w:val="18"/>
              </w:rPr>
              <w:t>(n=6591)</w:t>
            </w:r>
          </w:p>
        </w:tc>
        <w:tc>
          <w:tcPr>
            <w:tcW w:w="0" w:type="auto"/>
            <w:tcBorders>
              <w:left w:val="single" w:sz="4" w:space="0" w:color="auto"/>
            </w:tcBorders>
            <w:shd w:val="clear" w:color="auto" w:fill="auto"/>
            <w:vAlign w:val="center"/>
          </w:tcPr>
          <w:p w14:paraId="6F7CC8A2" w14:textId="77777777" w:rsidR="00DB3251" w:rsidRPr="00A70E99" w:rsidRDefault="00DB3251" w:rsidP="00A70E99">
            <w:pPr>
              <w:jc w:val="right"/>
              <w:rPr>
                <w:b/>
                <w:sz w:val="18"/>
                <w:szCs w:val="18"/>
              </w:rPr>
            </w:pPr>
            <w:r w:rsidRPr="00A70E99">
              <w:rPr>
                <w:b/>
                <w:sz w:val="18"/>
                <w:szCs w:val="18"/>
              </w:rPr>
              <w:t>Anaemia</w:t>
            </w:r>
          </w:p>
          <w:p w14:paraId="4FCD6833" w14:textId="2129E11F" w:rsidR="00DB3251" w:rsidRPr="00A70E99" w:rsidRDefault="00DB3251" w:rsidP="00A70E99">
            <w:pPr>
              <w:jc w:val="right"/>
              <w:rPr>
                <w:sz w:val="18"/>
                <w:szCs w:val="18"/>
              </w:rPr>
            </w:pPr>
            <w:r w:rsidRPr="00A70E99">
              <w:rPr>
                <w:b/>
                <w:sz w:val="18"/>
                <w:szCs w:val="18"/>
              </w:rPr>
              <w:t>(n=1066)</w:t>
            </w:r>
          </w:p>
        </w:tc>
        <w:tc>
          <w:tcPr>
            <w:tcW w:w="0" w:type="auto"/>
            <w:tcBorders>
              <w:right w:val="single" w:sz="4" w:space="0" w:color="auto"/>
            </w:tcBorders>
            <w:shd w:val="clear" w:color="auto" w:fill="auto"/>
            <w:vAlign w:val="center"/>
          </w:tcPr>
          <w:p w14:paraId="162351C2" w14:textId="6CD272A7" w:rsidR="00DB3251" w:rsidRPr="00A70E99" w:rsidRDefault="00DB3251" w:rsidP="00A70E99">
            <w:pPr>
              <w:jc w:val="right"/>
              <w:rPr>
                <w:sz w:val="18"/>
                <w:szCs w:val="18"/>
              </w:rPr>
            </w:pPr>
            <w:r w:rsidRPr="00A70E99">
              <w:rPr>
                <w:b/>
                <w:sz w:val="18"/>
                <w:szCs w:val="18"/>
              </w:rPr>
              <w:t>p</w:t>
            </w:r>
            <w:r w:rsidR="00105C68">
              <w:rPr>
                <w:b/>
                <w:sz w:val="18"/>
                <w:szCs w:val="18"/>
              </w:rPr>
              <w:t xml:space="preserve"> </w:t>
            </w:r>
            <w:proofErr w:type="spellStart"/>
            <w:r w:rsidR="00105C68">
              <w:rPr>
                <w:b/>
                <w:sz w:val="18"/>
                <w:szCs w:val="18"/>
              </w:rPr>
              <w:t>value</w:t>
            </w:r>
            <w:r w:rsidR="00105C68" w:rsidRPr="00105C68">
              <w:rPr>
                <w:b/>
                <w:sz w:val="18"/>
                <w:szCs w:val="18"/>
                <w:vertAlign w:val="superscript"/>
              </w:rPr>
              <w:t>a</w:t>
            </w:r>
            <w:proofErr w:type="spellEnd"/>
          </w:p>
        </w:tc>
        <w:tc>
          <w:tcPr>
            <w:tcW w:w="0" w:type="auto"/>
            <w:tcBorders>
              <w:left w:val="single" w:sz="4" w:space="0" w:color="auto"/>
            </w:tcBorders>
            <w:shd w:val="clear" w:color="auto" w:fill="auto"/>
            <w:vAlign w:val="center"/>
          </w:tcPr>
          <w:p w14:paraId="64044229" w14:textId="1C8BC596" w:rsidR="00DB3251" w:rsidRPr="00A70E99" w:rsidRDefault="00F456C0" w:rsidP="00A70E99">
            <w:pPr>
              <w:jc w:val="right"/>
              <w:rPr>
                <w:sz w:val="18"/>
                <w:szCs w:val="18"/>
              </w:rPr>
            </w:pPr>
            <w:r w:rsidRPr="00A70E99">
              <w:rPr>
                <w:b/>
                <w:sz w:val="18"/>
                <w:szCs w:val="18"/>
              </w:rPr>
              <w:t>Neutropenia</w:t>
            </w:r>
            <w:r w:rsidR="00DB3251" w:rsidRPr="00A70E99">
              <w:rPr>
                <w:b/>
                <w:sz w:val="18"/>
                <w:szCs w:val="18"/>
              </w:rPr>
              <w:t xml:space="preserve"> (n=38)</w:t>
            </w:r>
          </w:p>
        </w:tc>
        <w:tc>
          <w:tcPr>
            <w:tcW w:w="0" w:type="auto"/>
            <w:tcBorders>
              <w:right w:val="single" w:sz="4" w:space="0" w:color="auto"/>
            </w:tcBorders>
            <w:shd w:val="clear" w:color="auto" w:fill="auto"/>
            <w:vAlign w:val="center"/>
          </w:tcPr>
          <w:p w14:paraId="126B1210" w14:textId="57BDFD58" w:rsidR="00DB3251" w:rsidRPr="00A70E99" w:rsidRDefault="00105C68" w:rsidP="00A70E99">
            <w:pPr>
              <w:jc w:val="right"/>
              <w:rPr>
                <w:sz w:val="18"/>
                <w:szCs w:val="18"/>
              </w:rPr>
            </w:pPr>
            <w:r>
              <w:rPr>
                <w:b/>
                <w:sz w:val="18"/>
                <w:szCs w:val="18"/>
              </w:rPr>
              <w:t xml:space="preserve">p </w:t>
            </w:r>
            <w:proofErr w:type="spellStart"/>
            <w:r>
              <w:rPr>
                <w:b/>
                <w:sz w:val="18"/>
                <w:szCs w:val="18"/>
              </w:rPr>
              <w:t>value</w:t>
            </w:r>
            <w:r w:rsidRPr="00105C68">
              <w:rPr>
                <w:b/>
                <w:sz w:val="18"/>
                <w:szCs w:val="18"/>
                <w:vertAlign w:val="superscript"/>
              </w:rPr>
              <w:t>b</w:t>
            </w:r>
            <w:proofErr w:type="spellEnd"/>
          </w:p>
        </w:tc>
        <w:tc>
          <w:tcPr>
            <w:tcW w:w="0" w:type="auto"/>
            <w:tcBorders>
              <w:left w:val="single" w:sz="4" w:space="0" w:color="auto"/>
            </w:tcBorders>
            <w:shd w:val="clear" w:color="auto" w:fill="auto"/>
            <w:vAlign w:val="center"/>
          </w:tcPr>
          <w:p w14:paraId="30A0AA42" w14:textId="3927D9F1" w:rsidR="00DB3251" w:rsidRPr="00A70E99" w:rsidRDefault="00F456C0" w:rsidP="00A70E99">
            <w:pPr>
              <w:ind w:left="-108" w:firstLine="108"/>
              <w:jc w:val="right"/>
              <w:rPr>
                <w:sz w:val="18"/>
                <w:szCs w:val="18"/>
              </w:rPr>
            </w:pPr>
            <w:r w:rsidRPr="00A70E99">
              <w:rPr>
                <w:b/>
                <w:sz w:val="18"/>
                <w:szCs w:val="18"/>
              </w:rPr>
              <w:t>Lymphopenia</w:t>
            </w:r>
            <w:r w:rsidR="00DB3251" w:rsidRPr="00A70E99">
              <w:rPr>
                <w:b/>
                <w:sz w:val="18"/>
                <w:szCs w:val="18"/>
              </w:rPr>
              <w:t xml:space="preserve"> (n=97)</w:t>
            </w:r>
          </w:p>
        </w:tc>
        <w:tc>
          <w:tcPr>
            <w:tcW w:w="0" w:type="auto"/>
            <w:shd w:val="clear" w:color="auto" w:fill="auto"/>
            <w:vAlign w:val="center"/>
          </w:tcPr>
          <w:p w14:paraId="1EB07388" w14:textId="59739DD9" w:rsidR="00DB3251" w:rsidRPr="00A70E99" w:rsidRDefault="00DB3251" w:rsidP="00A70E99">
            <w:pPr>
              <w:jc w:val="right"/>
              <w:rPr>
                <w:sz w:val="18"/>
                <w:szCs w:val="18"/>
              </w:rPr>
            </w:pPr>
            <w:r w:rsidRPr="00A70E99">
              <w:rPr>
                <w:b/>
                <w:sz w:val="18"/>
                <w:szCs w:val="18"/>
              </w:rPr>
              <w:t>p</w:t>
            </w:r>
            <w:r w:rsidR="00105C68">
              <w:rPr>
                <w:b/>
                <w:sz w:val="18"/>
                <w:szCs w:val="18"/>
              </w:rPr>
              <w:t xml:space="preserve"> </w:t>
            </w:r>
            <w:proofErr w:type="spellStart"/>
            <w:r w:rsidR="00105C68">
              <w:rPr>
                <w:b/>
                <w:sz w:val="18"/>
                <w:szCs w:val="18"/>
              </w:rPr>
              <w:t>value</w:t>
            </w:r>
            <w:r w:rsidR="00105C68" w:rsidRPr="00105C68">
              <w:rPr>
                <w:b/>
                <w:sz w:val="18"/>
                <w:szCs w:val="18"/>
                <w:vertAlign w:val="superscript"/>
              </w:rPr>
              <w:t>c</w:t>
            </w:r>
            <w:proofErr w:type="spellEnd"/>
          </w:p>
        </w:tc>
      </w:tr>
      <w:tr w:rsidR="00DB3251" w:rsidRPr="00DB3251" w14:paraId="0A999138" w14:textId="77777777" w:rsidTr="00101899">
        <w:trPr>
          <w:trHeight w:val="227"/>
        </w:trPr>
        <w:tc>
          <w:tcPr>
            <w:tcW w:w="2410" w:type="dxa"/>
            <w:tcBorders>
              <w:right w:val="single" w:sz="4" w:space="0" w:color="auto"/>
            </w:tcBorders>
            <w:shd w:val="clear" w:color="auto" w:fill="auto"/>
            <w:vAlign w:val="center"/>
          </w:tcPr>
          <w:p w14:paraId="08A0DBB3" w14:textId="57B1D59D" w:rsidR="00DB3251" w:rsidRPr="00A70E99" w:rsidRDefault="00A70E99" w:rsidP="009430C4">
            <w:pPr>
              <w:rPr>
                <w:b/>
                <w:sz w:val="18"/>
                <w:szCs w:val="18"/>
              </w:rPr>
            </w:pPr>
            <w:r w:rsidRPr="00A70E99">
              <w:rPr>
                <w:b/>
                <w:color w:val="000000"/>
                <w:sz w:val="18"/>
                <w:szCs w:val="18"/>
              </w:rPr>
              <w:t>Age, years (Mean (SD))</w:t>
            </w:r>
          </w:p>
        </w:tc>
        <w:tc>
          <w:tcPr>
            <w:tcW w:w="1153" w:type="dxa"/>
            <w:tcBorders>
              <w:left w:val="single" w:sz="4" w:space="0" w:color="auto"/>
              <w:right w:val="single" w:sz="4" w:space="0" w:color="auto"/>
            </w:tcBorders>
            <w:shd w:val="clear" w:color="auto" w:fill="auto"/>
            <w:vAlign w:val="center"/>
          </w:tcPr>
          <w:p w14:paraId="1E19089E" w14:textId="327E1D14" w:rsidR="00DB3251" w:rsidRPr="00A70E99" w:rsidRDefault="009430C4" w:rsidP="00A70E99">
            <w:pPr>
              <w:jc w:val="right"/>
              <w:rPr>
                <w:sz w:val="18"/>
                <w:szCs w:val="18"/>
              </w:rPr>
            </w:pPr>
            <w:r w:rsidRPr="00A70E99">
              <w:rPr>
                <w:color w:val="000000"/>
                <w:sz w:val="18"/>
                <w:szCs w:val="18"/>
              </w:rPr>
              <w:t>58.7 (15.5</w:t>
            </w:r>
            <w:r w:rsidR="00DB3251" w:rsidRPr="00A70E99">
              <w:rPr>
                <w:color w:val="000000"/>
                <w:sz w:val="18"/>
                <w:szCs w:val="18"/>
              </w:rPr>
              <w:t>)</w:t>
            </w:r>
          </w:p>
        </w:tc>
        <w:tc>
          <w:tcPr>
            <w:tcW w:w="0" w:type="auto"/>
            <w:tcBorders>
              <w:left w:val="single" w:sz="4" w:space="0" w:color="auto"/>
            </w:tcBorders>
            <w:shd w:val="clear" w:color="auto" w:fill="auto"/>
            <w:vAlign w:val="center"/>
          </w:tcPr>
          <w:p w14:paraId="416C5DC8" w14:textId="50D59CA4" w:rsidR="00DB3251" w:rsidRPr="00A70E99" w:rsidRDefault="009430C4" w:rsidP="00A70E99">
            <w:pPr>
              <w:jc w:val="right"/>
              <w:rPr>
                <w:sz w:val="18"/>
                <w:szCs w:val="18"/>
              </w:rPr>
            </w:pPr>
            <w:r w:rsidRPr="00A70E99">
              <w:rPr>
                <w:color w:val="000000"/>
                <w:sz w:val="18"/>
                <w:szCs w:val="18"/>
              </w:rPr>
              <w:t>63.9 (15.6</w:t>
            </w:r>
            <w:r w:rsidR="00DB3251" w:rsidRPr="00A70E99">
              <w:rPr>
                <w:color w:val="000000"/>
                <w:sz w:val="18"/>
                <w:szCs w:val="18"/>
              </w:rPr>
              <w:t>)</w:t>
            </w:r>
          </w:p>
        </w:tc>
        <w:tc>
          <w:tcPr>
            <w:tcW w:w="0" w:type="auto"/>
            <w:tcBorders>
              <w:right w:val="single" w:sz="4" w:space="0" w:color="auto"/>
            </w:tcBorders>
            <w:shd w:val="clear" w:color="auto" w:fill="auto"/>
            <w:vAlign w:val="center"/>
          </w:tcPr>
          <w:p w14:paraId="755686F6" w14:textId="77777777" w:rsidR="00DB3251" w:rsidRPr="00A70E99" w:rsidRDefault="00DB3251" w:rsidP="00A70E99">
            <w:pPr>
              <w:jc w:val="right"/>
              <w:rPr>
                <w:sz w:val="18"/>
                <w:szCs w:val="18"/>
              </w:rPr>
            </w:pPr>
            <w:r w:rsidRPr="00A70E99">
              <w:rPr>
                <w:color w:val="000000"/>
                <w:sz w:val="18"/>
                <w:szCs w:val="18"/>
              </w:rPr>
              <w:t>&lt;0.001</w:t>
            </w:r>
          </w:p>
        </w:tc>
        <w:tc>
          <w:tcPr>
            <w:tcW w:w="0" w:type="auto"/>
            <w:tcBorders>
              <w:left w:val="single" w:sz="4" w:space="0" w:color="auto"/>
            </w:tcBorders>
            <w:shd w:val="clear" w:color="auto" w:fill="auto"/>
            <w:vAlign w:val="center"/>
          </w:tcPr>
          <w:p w14:paraId="13848C3F" w14:textId="4D03CAA7" w:rsidR="00DB3251" w:rsidRPr="00A70E99" w:rsidRDefault="009430C4" w:rsidP="00A70E99">
            <w:pPr>
              <w:jc w:val="right"/>
              <w:rPr>
                <w:sz w:val="18"/>
                <w:szCs w:val="18"/>
              </w:rPr>
            </w:pPr>
            <w:r w:rsidRPr="00A70E99">
              <w:rPr>
                <w:color w:val="000000"/>
                <w:sz w:val="18"/>
                <w:szCs w:val="18"/>
              </w:rPr>
              <w:t>59.8 (13.2</w:t>
            </w:r>
            <w:r w:rsidR="00DB3251" w:rsidRPr="00A70E99">
              <w:rPr>
                <w:color w:val="000000"/>
                <w:sz w:val="18"/>
                <w:szCs w:val="18"/>
              </w:rPr>
              <w:t>)</w:t>
            </w:r>
          </w:p>
        </w:tc>
        <w:tc>
          <w:tcPr>
            <w:tcW w:w="0" w:type="auto"/>
            <w:tcBorders>
              <w:right w:val="single" w:sz="4" w:space="0" w:color="auto"/>
            </w:tcBorders>
            <w:shd w:val="clear" w:color="auto" w:fill="auto"/>
            <w:vAlign w:val="center"/>
          </w:tcPr>
          <w:p w14:paraId="5F05108C" w14:textId="4EADABDE" w:rsidR="00DB3251" w:rsidRPr="00A70E99" w:rsidRDefault="00DB3251" w:rsidP="00A70E99">
            <w:pPr>
              <w:jc w:val="right"/>
              <w:rPr>
                <w:sz w:val="18"/>
                <w:szCs w:val="18"/>
              </w:rPr>
            </w:pPr>
            <w:r w:rsidRPr="00A70E99">
              <w:rPr>
                <w:color w:val="000000"/>
                <w:sz w:val="18"/>
                <w:szCs w:val="18"/>
              </w:rPr>
              <w:t>0.64</w:t>
            </w:r>
          </w:p>
        </w:tc>
        <w:tc>
          <w:tcPr>
            <w:tcW w:w="0" w:type="auto"/>
            <w:tcBorders>
              <w:left w:val="single" w:sz="4" w:space="0" w:color="auto"/>
            </w:tcBorders>
            <w:shd w:val="clear" w:color="auto" w:fill="auto"/>
            <w:vAlign w:val="center"/>
          </w:tcPr>
          <w:p w14:paraId="6058A585" w14:textId="3423B6F6" w:rsidR="00DB3251" w:rsidRPr="00A70E99" w:rsidRDefault="009430C4" w:rsidP="00A70E99">
            <w:pPr>
              <w:jc w:val="right"/>
              <w:rPr>
                <w:sz w:val="18"/>
                <w:szCs w:val="18"/>
              </w:rPr>
            </w:pPr>
            <w:r w:rsidRPr="00A70E99">
              <w:rPr>
                <w:color w:val="000000"/>
                <w:sz w:val="18"/>
                <w:szCs w:val="18"/>
              </w:rPr>
              <w:t>64.0 (15.3</w:t>
            </w:r>
            <w:r w:rsidR="00DB3251" w:rsidRPr="00A70E99">
              <w:rPr>
                <w:color w:val="000000"/>
                <w:sz w:val="18"/>
                <w:szCs w:val="18"/>
              </w:rPr>
              <w:t>)</w:t>
            </w:r>
          </w:p>
        </w:tc>
        <w:tc>
          <w:tcPr>
            <w:tcW w:w="0" w:type="auto"/>
            <w:shd w:val="clear" w:color="auto" w:fill="auto"/>
            <w:vAlign w:val="center"/>
          </w:tcPr>
          <w:p w14:paraId="43D2D747" w14:textId="77A735B1" w:rsidR="00DB3251" w:rsidRPr="00A70E99" w:rsidRDefault="00DB3251" w:rsidP="00A70E99">
            <w:pPr>
              <w:jc w:val="right"/>
              <w:rPr>
                <w:sz w:val="18"/>
                <w:szCs w:val="18"/>
              </w:rPr>
            </w:pPr>
            <w:r w:rsidRPr="00A70E99">
              <w:rPr>
                <w:color w:val="000000"/>
                <w:sz w:val="18"/>
                <w:szCs w:val="18"/>
              </w:rPr>
              <w:t>0.001</w:t>
            </w:r>
          </w:p>
        </w:tc>
      </w:tr>
      <w:tr w:rsidR="00DB3251" w:rsidRPr="00DB3251" w14:paraId="129A3B9F" w14:textId="77777777" w:rsidTr="00101899">
        <w:trPr>
          <w:trHeight w:val="227"/>
        </w:trPr>
        <w:tc>
          <w:tcPr>
            <w:tcW w:w="2410" w:type="dxa"/>
            <w:tcBorders>
              <w:bottom w:val="single" w:sz="4" w:space="0" w:color="000000"/>
              <w:right w:val="single" w:sz="4" w:space="0" w:color="auto"/>
            </w:tcBorders>
            <w:shd w:val="clear" w:color="auto" w:fill="auto"/>
            <w:vAlign w:val="center"/>
          </w:tcPr>
          <w:p w14:paraId="4064BD54" w14:textId="2A9FED67" w:rsidR="00DB3251" w:rsidRPr="00A70E99" w:rsidRDefault="00763BEE" w:rsidP="00AF2CE5">
            <w:pPr>
              <w:rPr>
                <w:b/>
                <w:sz w:val="18"/>
                <w:szCs w:val="18"/>
              </w:rPr>
            </w:pPr>
            <w:r w:rsidRPr="00A70E99">
              <w:rPr>
                <w:b/>
                <w:color w:val="000000"/>
                <w:sz w:val="18"/>
                <w:szCs w:val="18"/>
              </w:rPr>
              <w:t>Mal</w:t>
            </w:r>
            <w:r w:rsidR="00AF2CE5" w:rsidRPr="00A70E99">
              <w:rPr>
                <w:b/>
                <w:color w:val="000000"/>
                <w:sz w:val="18"/>
                <w:szCs w:val="18"/>
              </w:rPr>
              <w:t>e</w:t>
            </w:r>
            <w:r w:rsidR="00A70E99" w:rsidRPr="00A70E99">
              <w:rPr>
                <w:b/>
                <w:color w:val="000000"/>
                <w:sz w:val="18"/>
                <w:szCs w:val="18"/>
              </w:rPr>
              <w:t xml:space="preserve"> sex</w:t>
            </w:r>
          </w:p>
        </w:tc>
        <w:tc>
          <w:tcPr>
            <w:tcW w:w="1153" w:type="dxa"/>
            <w:tcBorders>
              <w:left w:val="single" w:sz="4" w:space="0" w:color="auto"/>
              <w:right w:val="single" w:sz="4" w:space="0" w:color="auto"/>
            </w:tcBorders>
            <w:shd w:val="clear" w:color="auto" w:fill="auto"/>
            <w:vAlign w:val="center"/>
          </w:tcPr>
          <w:p w14:paraId="73C00AE4" w14:textId="4531188A" w:rsidR="00DB3251" w:rsidRPr="00A70E99" w:rsidRDefault="00DB3251" w:rsidP="00A70E99">
            <w:pPr>
              <w:jc w:val="right"/>
              <w:rPr>
                <w:sz w:val="18"/>
                <w:szCs w:val="18"/>
              </w:rPr>
            </w:pPr>
            <w:r w:rsidRPr="00A70E99">
              <w:rPr>
                <w:color w:val="000000"/>
                <w:sz w:val="18"/>
                <w:szCs w:val="18"/>
              </w:rPr>
              <w:t>2142 (32.5)</w:t>
            </w:r>
          </w:p>
        </w:tc>
        <w:tc>
          <w:tcPr>
            <w:tcW w:w="0" w:type="auto"/>
            <w:tcBorders>
              <w:left w:val="single" w:sz="4" w:space="0" w:color="auto"/>
            </w:tcBorders>
            <w:shd w:val="clear" w:color="auto" w:fill="auto"/>
            <w:vAlign w:val="center"/>
          </w:tcPr>
          <w:p w14:paraId="296EC2B1" w14:textId="6AF02227" w:rsidR="00DB3251" w:rsidRPr="00A70E99" w:rsidRDefault="00DB3251" w:rsidP="00A70E99">
            <w:pPr>
              <w:jc w:val="right"/>
              <w:rPr>
                <w:sz w:val="18"/>
                <w:szCs w:val="18"/>
              </w:rPr>
            </w:pPr>
            <w:r w:rsidRPr="00A70E99">
              <w:rPr>
                <w:color w:val="000000"/>
                <w:sz w:val="18"/>
                <w:szCs w:val="18"/>
              </w:rPr>
              <w:t>556 (52.2)</w:t>
            </w:r>
          </w:p>
        </w:tc>
        <w:tc>
          <w:tcPr>
            <w:tcW w:w="0" w:type="auto"/>
            <w:tcBorders>
              <w:right w:val="single" w:sz="4" w:space="0" w:color="auto"/>
            </w:tcBorders>
            <w:shd w:val="clear" w:color="auto" w:fill="auto"/>
            <w:vAlign w:val="center"/>
          </w:tcPr>
          <w:p w14:paraId="192FCF81" w14:textId="77777777" w:rsidR="00DB3251" w:rsidRPr="00A70E99" w:rsidRDefault="00DB3251" w:rsidP="00A70E99">
            <w:pPr>
              <w:jc w:val="right"/>
              <w:rPr>
                <w:sz w:val="18"/>
                <w:szCs w:val="18"/>
              </w:rPr>
            </w:pPr>
            <w:r w:rsidRPr="00A70E99">
              <w:rPr>
                <w:color w:val="000000"/>
                <w:sz w:val="18"/>
                <w:szCs w:val="18"/>
              </w:rPr>
              <w:t>&lt;0.001</w:t>
            </w:r>
          </w:p>
        </w:tc>
        <w:tc>
          <w:tcPr>
            <w:tcW w:w="0" w:type="auto"/>
            <w:tcBorders>
              <w:left w:val="single" w:sz="4" w:space="0" w:color="auto"/>
            </w:tcBorders>
            <w:shd w:val="clear" w:color="auto" w:fill="auto"/>
            <w:vAlign w:val="center"/>
          </w:tcPr>
          <w:p w14:paraId="5A383B1D" w14:textId="57E23820" w:rsidR="00DB3251" w:rsidRPr="00A70E99" w:rsidRDefault="00DB3251" w:rsidP="00A70E99">
            <w:pPr>
              <w:jc w:val="right"/>
              <w:rPr>
                <w:sz w:val="18"/>
                <w:szCs w:val="18"/>
              </w:rPr>
            </w:pPr>
            <w:r w:rsidRPr="00A70E99">
              <w:rPr>
                <w:color w:val="000000"/>
                <w:sz w:val="18"/>
                <w:szCs w:val="18"/>
              </w:rPr>
              <w:t>16 (42.1)</w:t>
            </w:r>
          </w:p>
        </w:tc>
        <w:tc>
          <w:tcPr>
            <w:tcW w:w="0" w:type="auto"/>
            <w:tcBorders>
              <w:right w:val="single" w:sz="4" w:space="0" w:color="auto"/>
            </w:tcBorders>
            <w:shd w:val="clear" w:color="auto" w:fill="auto"/>
            <w:vAlign w:val="center"/>
          </w:tcPr>
          <w:p w14:paraId="3A40AAAA" w14:textId="1C901179" w:rsidR="00DB3251" w:rsidRPr="00A70E99" w:rsidRDefault="00DB3251" w:rsidP="00A70E99">
            <w:pPr>
              <w:jc w:val="right"/>
              <w:rPr>
                <w:sz w:val="18"/>
                <w:szCs w:val="18"/>
              </w:rPr>
            </w:pPr>
            <w:r w:rsidRPr="00A70E99">
              <w:rPr>
                <w:color w:val="000000"/>
                <w:sz w:val="18"/>
                <w:szCs w:val="18"/>
              </w:rPr>
              <w:t>0.27</w:t>
            </w:r>
          </w:p>
        </w:tc>
        <w:tc>
          <w:tcPr>
            <w:tcW w:w="0" w:type="auto"/>
            <w:tcBorders>
              <w:left w:val="single" w:sz="4" w:space="0" w:color="auto"/>
            </w:tcBorders>
            <w:shd w:val="clear" w:color="auto" w:fill="auto"/>
            <w:vAlign w:val="center"/>
          </w:tcPr>
          <w:p w14:paraId="5DE02182" w14:textId="033CDB1E" w:rsidR="00DB3251" w:rsidRPr="00A70E99" w:rsidRDefault="00DB3251" w:rsidP="00A70E99">
            <w:pPr>
              <w:jc w:val="right"/>
              <w:rPr>
                <w:sz w:val="18"/>
                <w:szCs w:val="18"/>
              </w:rPr>
            </w:pPr>
            <w:r w:rsidRPr="00A70E99">
              <w:rPr>
                <w:color w:val="000000"/>
                <w:sz w:val="18"/>
                <w:szCs w:val="18"/>
              </w:rPr>
              <w:t>32 (33.0)</w:t>
            </w:r>
          </w:p>
        </w:tc>
        <w:tc>
          <w:tcPr>
            <w:tcW w:w="0" w:type="auto"/>
            <w:tcBorders>
              <w:bottom w:val="single" w:sz="4" w:space="0" w:color="000000"/>
            </w:tcBorders>
            <w:shd w:val="clear" w:color="auto" w:fill="auto"/>
            <w:vAlign w:val="center"/>
          </w:tcPr>
          <w:p w14:paraId="7A726BB0" w14:textId="50AECD10" w:rsidR="00DB3251" w:rsidRPr="00A70E99" w:rsidRDefault="00DB3251" w:rsidP="00A70E99">
            <w:pPr>
              <w:jc w:val="right"/>
              <w:rPr>
                <w:sz w:val="18"/>
                <w:szCs w:val="18"/>
              </w:rPr>
            </w:pPr>
            <w:r w:rsidRPr="00A70E99">
              <w:rPr>
                <w:color w:val="000000"/>
                <w:sz w:val="18"/>
                <w:szCs w:val="18"/>
              </w:rPr>
              <w:t>1.00</w:t>
            </w:r>
          </w:p>
        </w:tc>
      </w:tr>
      <w:tr w:rsidR="009430C4" w:rsidRPr="00DB3251" w14:paraId="5C6A4F1C" w14:textId="77777777" w:rsidTr="00101899">
        <w:trPr>
          <w:trHeight w:val="227"/>
        </w:trPr>
        <w:tc>
          <w:tcPr>
            <w:tcW w:w="2410" w:type="dxa"/>
            <w:tcBorders>
              <w:left w:val="single" w:sz="4" w:space="0" w:color="auto"/>
              <w:bottom w:val="nil"/>
              <w:right w:val="single" w:sz="4" w:space="0" w:color="auto"/>
            </w:tcBorders>
            <w:shd w:val="clear" w:color="auto" w:fill="auto"/>
            <w:vAlign w:val="center"/>
          </w:tcPr>
          <w:p w14:paraId="41EDFFD4" w14:textId="74137E3A" w:rsidR="009430C4" w:rsidRPr="00A70E99" w:rsidRDefault="0064554F" w:rsidP="008A6CC1">
            <w:pPr>
              <w:rPr>
                <w:b/>
                <w:sz w:val="18"/>
                <w:szCs w:val="18"/>
              </w:rPr>
            </w:pPr>
            <w:r w:rsidRPr="00A70E99">
              <w:rPr>
                <w:b/>
                <w:color w:val="000000"/>
                <w:sz w:val="18"/>
                <w:szCs w:val="18"/>
              </w:rPr>
              <w:t>Ethnicity</w:t>
            </w:r>
          </w:p>
        </w:tc>
        <w:tc>
          <w:tcPr>
            <w:tcW w:w="1153" w:type="dxa"/>
            <w:tcBorders>
              <w:left w:val="single" w:sz="4" w:space="0" w:color="auto"/>
              <w:bottom w:val="nil"/>
              <w:right w:val="single" w:sz="4" w:space="0" w:color="auto"/>
            </w:tcBorders>
            <w:shd w:val="clear" w:color="auto" w:fill="auto"/>
            <w:vAlign w:val="center"/>
          </w:tcPr>
          <w:p w14:paraId="627C4347" w14:textId="2ADE7F71" w:rsidR="009430C4" w:rsidRPr="00A70E99" w:rsidRDefault="009430C4" w:rsidP="00A70E99">
            <w:pPr>
              <w:jc w:val="right"/>
              <w:rPr>
                <w:sz w:val="18"/>
                <w:szCs w:val="18"/>
              </w:rPr>
            </w:pPr>
          </w:p>
        </w:tc>
        <w:tc>
          <w:tcPr>
            <w:tcW w:w="0" w:type="auto"/>
            <w:tcBorders>
              <w:left w:val="single" w:sz="4" w:space="0" w:color="auto"/>
              <w:bottom w:val="nil"/>
            </w:tcBorders>
            <w:shd w:val="clear" w:color="auto" w:fill="auto"/>
            <w:vAlign w:val="center"/>
          </w:tcPr>
          <w:p w14:paraId="542DDDC6" w14:textId="34CBDC02" w:rsidR="009430C4" w:rsidRPr="00A70E99" w:rsidRDefault="009430C4" w:rsidP="00A70E99">
            <w:pPr>
              <w:jc w:val="right"/>
              <w:rPr>
                <w:sz w:val="18"/>
                <w:szCs w:val="18"/>
              </w:rPr>
            </w:pPr>
          </w:p>
        </w:tc>
        <w:tc>
          <w:tcPr>
            <w:tcW w:w="0" w:type="auto"/>
            <w:tcBorders>
              <w:bottom w:val="nil"/>
              <w:right w:val="single" w:sz="4" w:space="0" w:color="auto"/>
            </w:tcBorders>
            <w:shd w:val="clear" w:color="auto" w:fill="auto"/>
            <w:vAlign w:val="center"/>
          </w:tcPr>
          <w:p w14:paraId="7EA1CCBE" w14:textId="0BC3F6EC" w:rsidR="009430C4" w:rsidRPr="00A70E99" w:rsidRDefault="00E34A2B" w:rsidP="00A70E99">
            <w:pPr>
              <w:jc w:val="right"/>
              <w:rPr>
                <w:sz w:val="18"/>
                <w:szCs w:val="18"/>
              </w:rPr>
            </w:pPr>
            <w:r w:rsidRPr="00A70E99">
              <w:rPr>
                <w:color w:val="000000"/>
                <w:sz w:val="18"/>
                <w:szCs w:val="18"/>
              </w:rPr>
              <w:t>&lt;0.001</w:t>
            </w:r>
          </w:p>
        </w:tc>
        <w:tc>
          <w:tcPr>
            <w:tcW w:w="0" w:type="auto"/>
            <w:tcBorders>
              <w:left w:val="single" w:sz="4" w:space="0" w:color="auto"/>
              <w:bottom w:val="nil"/>
            </w:tcBorders>
            <w:shd w:val="clear" w:color="auto" w:fill="auto"/>
            <w:vAlign w:val="center"/>
          </w:tcPr>
          <w:p w14:paraId="203890BB" w14:textId="77E46611" w:rsidR="009430C4" w:rsidRPr="00A70E99" w:rsidRDefault="009430C4" w:rsidP="00A70E99">
            <w:pPr>
              <w:jc w:val="right"/>
              <w:rPr>
                <w:sz w:val="18"/>
                <w:szCs w:val="18"/>
              </w:rPr>
            </w:pPr>
          </w:p>
        </w:tc>
        <w:tc>
          <w:tcPr>
            <w:tcW w:w="0" w:type="auto"/>
            <w:tcBorders>
              <w:bottom w:val="nil"/>
              <w:right w:val="single" w:sz="4" w:space="0" w:color="auto"/>
            </w:tcBorders>
            <w:shd w:val="clear" w:color="auto" w:fill="auto"/>
            <w:vAlign w:val="center"/>
          </w:tcPr>
          <w:p w14:paraId="35152B94" w14:textId="102C8C12" w:rsidR="009430C4" w:rsidRPr="00A70E99" w:rsidRDefault="008A6CC1" w:rsidP="00A70E99">
            <w:pPr>
              <w:jc w:val="right"/>
              <w:rPr>
                <w:sz w:val="18"/>
                <w:szCs w:val="18"/>
              </w:rPr>
            </w:pPr>
            <w:r w:rsidRPr="00A70E99">
              <w:rPr>
                <w:color w:val="000000"/>
                <w:sz w:val="18"/>
                <w:szCs w:val="18"/>
              </w:rPr>
              <w:t>&lt;0.001</w:t>
            </w:r>
          </w:p>
        </w:tc>
        <w:tc>
          <w:tcPr>
            <w:tcW w:w="0" w:type="auto"/>
            <w:tcBorders>
              <w:left w:val="single" w:sz="4" w:space="0" w:color="auto"/>
              <w:bottom w:val="nil"/>
            </w:tcBorders>
            <w:shd w:val="clear" w:color="auto" w:fill="auto"/>
            <w:vAlign w:val="center"/>
          </w:tcPr>
          <w:p w14:paraId="083597D9" w14:textId="1806459D" w:rsidR="009430C4" w:rsidRPr="00A70E99" w:rsidRDefault="009430C4" w:rsidP="00A70E99">
            <w:pPr>
              <w:jc w:val="right"/>
              <w:rPr>
                <w:sz w:val="18"/>
                <w:szCs w:val="18"/>
              </w:rPr>
            </w:pPr>
          </w:p>
        </w:tc>
        <w:tc>
          <w:tcPr>
            <w:tcW w:w="0" w:type="auto"/>
            <w:tcBorders>
              <w:bottom w:val="nil"/>
              <w:right w:val="single" w:sz="4" w:space="0" w:color="auto"/>
            </w:tcBorders>
            <w:shd w:val="clear" w:color="auto" w:fill="auto"/>
            <w:vAlign w:val="center"/>
          </w:tcPr>
          <w:p w14:paraId="0B0F1376" w14:textId="43A95EEB" w:rsidR="009430C4" w:rsidRPr="00A70E99" w:rsidRDefault="00E34A2B" w:rsidP="00A70E99">
            <w:pPr>
              <w:jc w:val="right"/>
              <w:rPr>
                <w:color w:val="000000"/>
                <w:sz w:val="18"/>
                <w:szCs w:val="18"/>
              </w:rPr>
            </w:pPr>
            <w:r w:rsidRPr="00A70E99">
              <w:rPr>
                <w:color w:val="000000"/>
                <w:sz w:val="18"/>
                <w:szCs w:val="18"/>
              </w:rPr>
              <w:t>0.542</w:t>
            </w:r>
          </w:p>
        </w:tc>
      </w:tr>
      <w:tr w:rsidR="00A923E2" w:rsidRPr="00DB3251" w14:paraId="7203A88B"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6F4C0ED5" w14:textId="1F50B83C" w:rsidR="00A923E2" w:rsidRPr="00A70E99" w:rsidDel="0064554F" w:rsidRDefault="00A923E2" w:rsidP="00D626BE">
            <w:pPr>
              <w:jc w:val="right"/>
              <w:rPr>
                <w:color w:val="000000"/>
                <w:sz w:val="18"/>
                <w:szCs w:val="18"/>
              </w:rPr>
            </w:pPr>
            <w:r w:rsidRPr="00A70E99">
              <w:rPr>
                <w:color w:val="000000"/>
                <w:sz w:val="18"/>
                <w:szCs w:val="18"/>
              </w:rPr>
              <w:t>White</w:t>
            </w:r>
          </w:p>
        </w:tc>
        <w:tc>
          <w:tcPr>
            <w:tcW w:w="1153" w:type="dxa"/>
            <w:tcBorders>
              <w:top w:val="nil"/>
              <w:left w:val="single" w:sz="4" w:space="0" w:color="auto"/>
              <w:bottom w:val="nil"/>
              <w:right w:val="single" w:sz="4" w:space="0" w:color="auto"/>
            </w:tcBorders>
            <w:shd w:val="clear" w:color="auto" w:fill="auto"/>
            <w:vAlign w:val="center"/>
          </w:tcPr>
          <w:p w14:paraId="53E1ED5A" w14:textId="33C232D7" w:rsidR="00A923E2" w:rsidRPr="00A70E99" w:rsidRDefault="00A923E2" w:rsidP="00A70E99">
            <w:pPr>
              <w:jc w:val="right"/>
              <w:rPr>
                <w:color w:val="000000"/>
                <w:sz w:val="18"/>
                <w:szCs w:val="18"/>
              </w:rPr>
            </w:pPr>
            <w:r w:rsidRPr="00A70E99">
              <w:rPr>
                <w:color w:val="000000"/>
                <w:sz w:val="18"/>
                <w:szCs w:val="18"/>
              </w:rPr>
              <w:t xml:space="preserve">4883 (74.1) </w:t>
            </w:r>
          </w:p>
        </w:tc>
        <w:tc>
          <w:tcPr>
            <w:tcW w:w="0" w:type="auto"/>
            <w:tcBorders>
              <w:top w:val="nil"/>
              <w:left w:val="single" w:sz="4" w:space="0" w:color="auto"/>
              <w:bottom w:val="nil"/>
            </w:tcBorders>
            <w:shd w:val="clear" w:color="auto" w:fill="auto"/>
            <w:vAlign w:val="center"/>
          </w:tcPr>
          <w:p w14:paraId="1D5B65CC" w14:textId="123D9271" w:rsidR="00A923E2" w:rsidRPr="00A70E99" w:rsidRDefault="00A923E2" w:rsidP="00A70E99">
            <w:pPr>
              <w:jc w:val="right"/>
              <w:rPr>
                <w:color w:val="000000"/>
                <w:sz w:val="18"/>
                <w:szCs w:val="18"/>
              </w:rPr>
            </w:pPr>
            <w:r w:rsidRPr="00A70E99">
              <w:rPr>
                <w:color w:val="000000"/>
                <w:sz w:val="18"/>
                <w:szCs w:val="18"/>
              </w:rPr>
              <w:t>740 (69.4)</w:t>
            </w:r>
          </w:p>
        </w:tc>
        <w:tc>
          <w:tcPr>
            <w:tcW w:w="0" w:type="auto"/>
            <w:tcBorders>
              <w:top w:val="nil"/>
              <w:bottom w:val="nil"/>
              <w:right w:val="single" w:sz="4" w:space="0" w:color="auto"/>
            </w:tcBorders>
            <w:shd w:val="clear" w:color="auto" w:fill="auto"/>
            <w:vAlign w:val="center"/>
          </w:tcPr>
          <w:p w14:paraId="565CFD41"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486C7EA7" w14:textId="0AD9F3F4" w:rsidR="00A923E2" w:rsidRPr="00A70E99" w:rsidRDefault="00A923E2" w:rsidP="00A70E99">
            <w:pPr>
              <w:jc w:val="right"/>
              <w:rPr>
                <w:color w:val="000000"/>
                <w:sz w:val="18"/>
                <w:szCs w:val="18"/>
              </w:rPr>
            </w:pPr>
            <w:r w:rsidRPr="00A70E99">
              <w:rPr>
                <w:color w:val="000000"/>
                <w:sz w:val="18"/>
                <w:szCs w:val="18"/>
              </w:rPr>
              <w:t>17 (44.7)</w:t>
            </w:r>
          </w:p>
        </w:tc>
        <w:tc>
          <w:tcPr>
            <w:tcW w:w="0" w:type="auto"/>
            <w:tcBorders>
              <w:top w:val="nil"/>
              <w:bottom w:val="nil"/>
              <w:right w:val="single" w:sz="4" w:space="0" w:color="auto"/>
            </w:tcBorders>
            <w:shd w:val="clear" w:color="auto" w:fill="auto"/>
            <w:vAlign w:val="center"/>
          </w:tcPr>
          <w:p w14:paraId="0543B6EC"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11CD1E94" w14:textId="5B50527C" w:rsidR="00A923E2" w:rsidRPr="00A70E99" w:rsidRDefault="00A923E2" w:rsidP="00A70E99">
            <w:pPr>
              <w:jc w:val="right"/>
              <w:rPr>
                <w:color w:val="000000"/>
                <w:sz w:val="18"/>
                <w:szCs w:val="18"/>
              </w:rPr>
            </w:pPr>
            <w:r w:rsidRPr="00A70E99">
              <w:rPr>
                <w:color w:val="000000"/>
                <w:sz w:val="18"/>
                <w:szCs w:val="18"/>
              </w:rPr>
              <w:t>74 (76.3)</w:t>
            </w:r>
          </w:p>
        </w:tc>
        <w:tc>
          <w:tcPr>
            <w:tcW w:w="0" w:type="auto"/>
            <w:tcBorders>
              <w:top w:val="nil"/>
              <w:bottom w:val="nil"/>
              <w:right w:val="single" w:sz="4" w:space="0" w:color="auto"/>
            </w:tcBorders>
            <w:shd w:val="clear" w:color="auto" w:fill="auto"/>
            <w:vAlign w:val="center"/>
          </w:tcPr>
          <w:p w14:paraId="051AD901" w14:textId="77777777" w:rsidR="00A923E2" w:rsidRPr="00A70E99" w:rsidRDefault="00A923E2" w:rsidP="00A70E99">
            <w:pPr>
              <w:jc w:val="right"/>
              <w:rPr>
                <w:color w:val="000000"/>
                <w:sz w:val="18"/>
                <w:szCs w:val="18"/>
              </w:rPr>
            </w:pPr>
          </w:p>
        </w:tc>
      </w:tr>
      <w:tr w:rsidR="00A923E2" w:rsidRPr="00DB3251" w14:paraId="1695DB0E"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5F379D91" w14:textId="1715B968" w:rsidR="00A923E2" w:rsidRPr="00A70E99" w:rsidDel="0064554F" w:rsidRDefault="00A923E2" w:rsidP="00D626BE">
            <w:pPr>
              <w:jc w:val="right"/>
              <w:rPr>
                <w:color w:val="000000"/>
                <w:sz w:val="18"/>
                <w:szCs w:val="18"/>
              </w:rPr>
            </w:pPr>
            <w:r w:rsidRPr="00A70E99">
              <w:rPr>
                <w:color w:val="000000"/>
                <w:sz w:val="18"/>
                <w:szCs w:val="18"/>
              </w:rPr>
              <w:t xml:space="preserve">   Asian</w:t>
            </w:r>
          </w:p>
        </w:tc>
        <w:tc>
          <w:tcPr>
            <w:tcW w:w="1153" w:type="dxa"/>
            <w:tcBorders>
              <w:top w:val="nil"/>
              <w:left w:val="single" w:sz="4" w:space="0" w:color="auto"/>
              <w:bottom w:val="nil"/>
              <w:right w:val="single" w:sz="4" w:space="0" w:color="auto"/>
            </w:tcBorders>
            <w:shd w:val="clear" w:color="auto" w:fill="auto"/>
            <w:vAlign w:val="center"/>
          </w:tcPr>
          <w:p w14:paraId="73A4AD19" w14:textId="7B825A1D" w:rsidR="00A923E2" w:rsidRPr="00A70E99" w:rsidRDefault="00A923E2" w:rsidP="00A70E99">
            <w:pPr>
              <w:jc w:val="right"/>
              <w:rPr>
                <w:color w:val="000000"/>
                <w:sz w:val="18"/>
                <w:szCs w:val="18"/>
              </w:rPr>
            </w:pPr>
            <w:r w:rsidRPr="00A70E99">
              <w:rPr>
                <w:color w:val="000000"/>
                <w:sz w:val="18"/>
                <w:szCs w:val="18"/>
              </w:rPr>
              <w:t xml:space="preserve">255 </w:t>
            </w:r>
            <w:r w:rsidR="002F7042" w:rsidRPr="00A70E99">
              <w:rPr>
                <w:color w:val="000000"/>
                <w:sz w:val="18"/>
                <w:szCs w:val="18"/>
              </w:rPr>
              <w:t>(</w:t>
            </w:r>
            <w:r w:rsidRPr="00A70E99">
              <w:rPr>
                <w:color w:val="000000"/>
                <w:sz w:val="18"/>
                <w:szCs w:val="18"/>
              </w:rPr>
              <w:t xml:space="preserve">3.9) </w:t>
            </w:r>
          </w:p>
        </w:tc>
        <w:tc>
          <w:tcPr>
            <w:tcW w:w="0" w:type="auto"/>
            <w:tcBorders>
              <w:top w:val="nil"/>
              <w:left w:val="single" w:sz="4" w:space="0" w:color="auto"/>
              <w:bottom w:val="nil"/>
            </w:tcBorders>
            <w:shd w:val="clear" w:color="auto" w:fill="auto"/>
            <w:vAlign w:val="center"/>
          </w:tcPr>
          <w:p w14:paraId="0F9187BA" w14:textId="5F27A183" w:rsidR="00A923E2" w:rsidRPr="00A70E99" w:rsidRDefault="00A923E2" w:rsidP="00A70E99">
            <w:pPr>
              <w:jc w:val="right"/>
              <w:rPr>
                <w:color w:val="000000"/>
                <w:sz w:val="18"/>
                <w:szCs w:val="18"/>
              </w:rPr>
            </w:pPr>
            <w:r w:rsidRPr="00A70E99">
              <w:rPr>
                <w:color w:val="000000"/>
                <w:sz w:val="18"/>
                <w:szCs w:val="18"/>
              </w:rPr>
              <w:t>65 (6.1)</w:t>
            </w:r>
          </w:p>
        </w:tc>
        <w:tc>
          <w:tcPr>
            <w:tcW w:w="0" w:type="auto"/>
            <w:tcBorders>
              <w:top w:val="nil"/>
              <w:bottom w:val="nil"/>
              <w:right w:val="single" w:sz="4" w:space="0" w:color="auto"/>
            </w:tcBorders>
            <w:shd w:val="clear" w:color="auto" w:fill="auto"/>
            <w:vAlign w:val="center"/>
          </w:tcPr>
          <w:p w14:paraId="5D10B6EC"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65465918" w14:textId="5EC10CDF" w:rsidR="00A923E2" w:rsidRPr="00A70E99" w:rsidRDefault="00A923E2" w:rsidP="00A70E99">
            <w:pPr>
              <w:jc w:val="right"/>
              <w:rPr>
                <w:color w:val="000000"/>
                <w:sz w:val="18"/>
                <w:szCs w:val="18"/>
              </w:rPr>
            </w:pPr>
            <w:r w:rsidRPr="00A70E99">
              <w:rPr>
                <w:color w:val="000000"/>
                <w:sz w:val="18"/>
                <w:szCs w:val="18"/>
              </w:rPr>
              <w:t xml:space="preserve">3 </w:t>
            </w:r>
            <w:r w:rsidR="002F7042" w:rsidRPr="00A70E99">
              <w:rPr>
                <w:color w:val="000000"/>
                <w:sz w:val="18"/>
                <w:szCs w:val="18"/>
              </w:rPr>
              <w:t>(</w:t>
            </w:r>
            <w:r w:rsidRPr="00A70E99">
              <w:rPr>
                <w:color w:val="000000"/>
                <w:sz w:val="18"/>
                <w:szCs w:val="18"/>
              </w:rPr>
              <w:t>7.9)</w:t>
            </w:r>
          </w:p>
        </w:tc>
        <w:tc>
          <w:tcPr>
            <w:tcW w:w="0" w:type="auto"/>
            <w:tcBorders>
              <w:top w:val="nil"/>
              <w:bottom w:val="nil"/>
              <w:right w:val="single" w:sz="4" w:space="0" w:color="auto"/>
            </w:tcBorders>
            <w:shd w:val="clear" w:color="auto" w:fill="auto"/>
            <w:vAlign w:val="center"/>
          </w:tcPr>
          <w:p w14:paraId="56D4D3FF"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3DD5B527" w14:textId="3B9ED90B" w:rsidR="00A923E2" w:rsidRPr="00A70E99" w:rsidRDefault="00A923E2" w:rsidP="00A70E99">
            <w:pPr>
              <w:jc w:val="right"/>
              <w:rPr>
                <w:color w:val="000000"/>
                <w:sz w:val="18"/>
                <w:szCs w:val="18"/>
              </w:rPr>
            </w:pPr>
            <w:r w:rsidRPr="00A70E99">
              <w:rPr>
                <w:color w:val="000000"/>
                <w:sz w:val="18"/>
                <w:szCs w:val="18"/>
              </w:rPr>
              <w:t xml:space="preserve">2 </w:t>
            </w:r>
            <w:r w:rsidR="002F7042" w:rsidRPr="00A70E99">
              <w:rPr>
                <w:color w:val="000000"/>
                <w:sz w:val="18"/>
                <w:szCs w:val="18"/>
              </w:rPr>
              <w:t>(</w:t>
            </w:r>
            <w:r w:rsidRPr="00A70E99">
              <w:rPr>
                <w:color w:val="000000"/>
                <w:sz w:val="18"/>
                <w:szCs w:val="18"/>
              </w:rPr>
              <w:t>2.1)</w:t>
            </w:r>
          </w:p>
        </w:tc>
        <w:tc>
          <w:tcPr>
            <w:tcW w:w="0" w:type="auto"/>
            <w:tcBorders>
              <w:top w:val="nil"/>
              <w:bottom w:val="nil"/>
              <w:right w:val="single" w:sz="4" w:space="0" w:color="auto"/>
            </w:tcBorders>
            <w:shd w:val="clear" w:color="auto" w:fill="auto"/>
            <w:vAlign w:val="center"/>
          </w:tcPr>
          <w:p w14:paraId="4A937900" w14:textId="77777777" w:rsidR="00A923E2" w:rsidRPr="00A70E99" w:rsidRDefault="00A923E2" w:rsidP="00A70E99">
            <w:pPr>
              <w:jc w:val="right"/>
              <w:rPr>
                <w:color w:val="000000"/>
                <w:sz w:val="18"/>
                <w:szCs w:val="18"/>
              </w:rPr>
            </w:pPr>
          </w:p>
        </w:tc>
      </w:tr>
      <w:tr w:rsidR="00A923E2" w:rsidRPr="00DB3251" w14:paraId="217FCB9D"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71122C29" w14:textId="3776932A" w:rsidR="00A923E2" w:rsidRPr="00A70E99" w:rsidDel="0064554F" w:rsidRDefault="00A923E2" w:rsidP="00D626BE">
            <w:pPr>
              <w:jc w:val="right"/>
              <w:rPr>
                <w:color w:val="000000"/>
                <w:sz w:val="18"/>
                <w:szCs w:val="18"/>
              </w:rPr>
            </w:pPr>
            <w:r w:rsidRPr="00A70E99">
              <w:rPr>
                <w:color w:val="000000"/>
                <w:sz w:val="18"/>
                <w:szCs w:val="18"/>
              </w:rPr>
              <w:t xml:space="preserve">   Black</w:t>
            </w:r>
          </w:p>
        </w:tc>
        <w:tc>
          <w:tcPr>
            <w:tcW w:w="1153" w:type="dxa"/>
            <w:tcBorders>
              <w:top w:val="nil"/>
              <w:left w:val="single" w:sz="4" w:space="0" w:color="auto"/>
              <w:bottom w:val="nil"/>
              <w:right w:val="single" w:sz="4" w:space="0" w:color="auto"/>
            </w:tcBorders>
            <w:shd w:val="clear" w:color="auto" w:fill="auto"/>
            <w:vAlign w:val="center"/>
          </w:tcPr>
          <w:p w14:paraId="61351F26" w14:textId="148E7807" w:rsidR="00A923E2" w:rsidRPr="00A70E99" w:rsidRDefault="00A923E2" w:rsidP="00A70E99">
            <w:pPr>
              <w:jc w:val="right"/>
              <w:rPr>
                <w:color w:val="000000"/>
                <w:sz w:val="18"/>
                <w:szCs w:val="18"/>
              </w:rPr>
            </w:pPr>
            <w:r w:rsidRPr="00A70E99">
              <w:rPr>
                <w:color w:val="000000"/>
                <w:sz w:val="18"/>
                <w:szCs w:val="18"/>
              </w:rPr>
              <w:t xml:space="preserve">128 </w:t>
            </w:r>
            <w:r w:rsidR="002F7042" w:rsidRPr="00A70E99">
              <w:rPr>
                <w:color w:val="000000"/>
                <w:sz w:val="18"/>
                <w:szCs w:val="18"/>
              </w:rPr>
              <w:t>(</w:t>
            </w:r>
            <w:r w:rsidRPr="00A70E99">
              <w:rPr>
                <w:color w:val="000000"/>
                <w:sz w:val="18"/>
                <w:szCs w:val="18"/>
              </w:rPr>
              <w:t xml:space="preserve">1.9) </w:t>
            </w:r>
          </w:p>
        </w:tc>
        <w:tc>
          <w:tcPr>
            <w:tcW w:w="0" w:type="auto"/>
            <w:tcBorders>
              <w:top w:val="nil"/>
              <w:left w:val="single" w:sz="4" w:space="0" w:color="auto"/>
              <w:bottom w:val="nil"/>
            </w:tcBorders>
            <w:shd w:val="clear" w:color="auto" w:fill="auto"/>
            <w:vAlign w:val="center"/>
          </w:tcPr>
          <w:p w14:paraId="4DF8D131" w14:textId="0E6BFBBB" w:rsidR="00A923E2" w:rsidRPr="00A70E99" w:rsidRDefault="00A923E2" w:rsidP="00A70E99">
            <w:pPr>
              <w:jc w:val="right"/>
              <w:rPr>
                <w:color w:val="000000"/>
                <w:sz w:val="18"/>
                <w:szCs w:val="18"/>
              </w:rPr>
            </w:pPr>
            <w:r w:rsidRPr="00A70E99">
              <w:rPr>
                <w:color w:val="000000"/>
                <w:sz w:val="18"/>
                <w:szCs w:val="18"/>
              </w:rPr>
              <w:t>26 (2.4)</w:t>
            </w:r>
          </w:p>
        </w:tc>
        <w:tc>
          <w:tcPr>
            <w:tcW w:w="0" w:type="auto"/>
            <w:tcBorders>
              <w:top w:val="nil"/>
              <w:bottom w:val="nil"/>
              <w:right w:val="single" w:sz="4" w:space="0" w:color="auto"/>
            </w:tcBorders>
            <w:shd w:val="clear" w:color="auto" w:fill="auto"/>
            <w:vAlign w:val="center"/>
          </w:tcPr>
          <w:p w14:paraId="5D7E1D37"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4A33ADB5" w14:textId="0603362B" w:rsidR="00A923E2" w:rsidRPr="00A70E99" w:rsidRDefault="00A923E2" w:rsidP="00A70E99">
            <w:pPr>
              <w:jc w:val="right"/>
              <w:rPr>
                <w:color w:val="000000"/>
                <w:sz w:val="18"/>
                <w:szCs w:val="18"/>
              </w:rPr>
            </w:pPr>
            <w:r w:rsidRPr="00A70E99">
              <w:rPr>
                <w:color w:val="000000"/>
                <w:sz w:val="18"/>
                <w:szCs w:val="18"/>
              </w:rPr>
              <w:t>11 (28.9)</w:t>
            </w:r>
          </w:p>
        </w:tc>
        <w:tc>
          <w:tcPr>
            <w:tcW w:w="0" w:type="auto"/>
            <w:tcBorders>
              <w:top w:val="nil"/>
              <w:bottom w:val="nil"/>
              <w:right w:val="single" w:sz="4" w:space="0" w:color="auto"/>
            </w:tcBorders>
            <w:shd w:val="clear" w:color="auto" w:fill="auto"/>
            <w:vAlign w:val="center"/>
          </w:tcPr>
          <w:p w14:paraId="3B9BD3B8"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641600F3" w14:textId="552E5BE8" w:rsidR="00A923E2" w:rsidRPr="00A70E99" w:rsidRDefault="00A923E2" w:rsidP="00A70E99">
            <w:pPr>
              <w:jc w:val="right"/>
              <w:rPr>
                <w:color w:val="000000"/>
                <w:sz w:val="18"/>
                <w:szCs w:val="18"/>
              </w:rPr>
            </w:pPr>
            <w:r w:rsidRPr="00A70E99">
              <w:rPr>
                <w:color w:val="000000"/>
                <w:sz w:val="18"/>
                <w:szCs w:val="18"/>
              </w:rPr>
              <w:t xml:space="preserve">0 </w:t>
            </w:r>
            <w:r w:rsidR="002F7042" w:rsidRPr="00A70E99">
              <w:rPr>
                <w:color w:val="000000"/>
                <w:sz w:val="18"/>
                <w:szCs w:val="18"/>
              </w:rPr>
              <w:t>(</w:t>
            </w:r>
            <w:r w:rsidRPr="00A70E99">
              <w:rPr>
                <w:color w:val="000000"/>
                <w:sz w:val="18"/>
                <w:szCs w:val="18"/>
              </w:rPr>
              <w:t>0.0)</w:t>
            </w:r>
          </w:p>
        </w:tc>
        <w:tc>
          <w:tcPr>
            <w:tcW w:w="0" w:type="auto"/>
            <w:tcBorders>
              <w:top w:val="nil"/>
              <w:bottom w:val="nil"/>
              <w:right w:val="single" w:sz="4" w:space="0" w:color="auto"/>
            </w:tcBorders>
            <w:shd w:val="clear" w:color="auto" w:fill="auto"/>
            <w:vAlign w:val="center"/>
          </w:tcPr>
          <w:p w14:paraId="3B2F5294" w14:textId="77777777" w:rsidR="00A923E2" w:rsidRPr="00A70E99" w:rsidRDefault="00A923E2" w:rsidP="00A70E99">
            <w:pPr>
              <w:jc w:val="right"/>
              <w:rPr>
                <w:color w:val="000000"/>
                <w:sz w:val="18"/>
                <w:szCs w:val="18"/>
              </w:rPr>
            </w:pPr>
          </w:p>
        </w:tc>
      </w:tr>
      <w:tr w:rsidR="00A923E2" w:rsidRPr="00DB3251" w14:paraId="0F0D1EA1"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607B3937" w14:textId="5AF87791" w:rsidR="00A923E2" w:rsidRPr="00A70E99" w:rsidDel="0064554F" w:rsidRDefault="00A923E2" w:rsidP="00D626BE">
            <w:pPr>
              <w:jc w:val="right"/>
              <w:rPr>
                <w:color w:val="000000"/>
                <w:sz w:val="18"/>
                <w:szCs w:val="18"/>
              </w:rPr>
            </w:pPr>
            <w:r w:rsidRPr="00A70E99">
              <w:rPr>
                <w:color w:val="000000"/>
                <w:sz w:val="18"/>
                <w:szCs w:val="18"/>
              </w:rPr>
              <w:t xml:space="preserve">   Mixed</w:t>
            </w:r>
          </w:p>
        </w:tc>
        <w:tc>
          <w:tcPr>
            <w:tcW w:w="1153" w:type="dxa"/>
            <w:tcBorders>
              <w:top w:val="nil"/>
              <w:left w:val="single" w:sz="4" w:space="0" w:color="auto"/>
              <w:bottom w:val="nil"/>
              <w:right w:val="single" w:sz="4" w:space="0" w:color="auto"/>
            </w:tcBorders>
            <w:shd w:val="clear" w:color="auto" w:fill="auto"/>
            <w:vAlign w:val="center"/>
          </w:tcPr>
          <w:p w14:paraId="724EE41F" w14:textId="1079C0FE" w:rsidR="00A923E2" w:rsidRPr="00A70E99" w:rsidRDefault="00A923E2" w:rsidP="00A70E99">
            <w:pPr>
              <w:jc w:val="right"/>
              <w:rPr>
                <w:color w:val="000000"/>
                <w:sz w:val="18"/>
                <w:szCs w:val="18"/>
              </w:rPr>
            </w:pPr>
            <w:r w:rsidRPr="00A70E99">
              <w:rPr>
                <w:color w:val="000000"/>
                <w:sz w:val="18"/>
                <w:szCs w:val="18"/>
              </w:rPr>
              <w:t xml:space="preserve">26 </w:t>
            </w:r>
            <w:r w:rsidR="002F7042" w:rsidRPr="00A70E99">
              <w:rPr>
                <w:color w:val="000000"/>
                <w:sz w:val="18"/>
                <w:szCs w:val="18"/>
              </w:rPr>
              <w:t>(</w:t>
            </w:r>
            <w:r w:rsidRPr="00A70E99">
              <w:rPr>
                <w:color w:val="000000"/>
                <w:sz w:val="18"/>
                <w:szCs w:val="18"/>
              </w:rPr>
              <w:t xml:space="preserve">0.4) </w:t>
            </w:r>
          </w:p>
        </w:tc>
        <w:tc>
          <w:tcPr>
            <w:tcW w:w="0" w:type="auto"/>
            <w:tcBorders>
              <w:top w:val="nil"/>
              <w:left w:val="single" w:sz="4" w:space="0" w:color="auto"/>
              <w:bottom w:val="nil"/>
            </w:tcBorders>
            <w:shd w:val="clear" w:color="auto" w:fill="auto"/>
            <w:vAlign w:val="center"/>
          </w:tcPr>
          <w:p w14:paraId="57925DBD" w14:textId="5FA4DFF1" w:rsidR="00A923E2" w:rsidRPr="00A70E99" w:rsidRDefault="00A923E2" w:rsidP="00A70E99">
            <w:pPr>
              <w:jc w:val="right"/>
              <w:rPr>
                <w:color w:val="000000"/>
                <w:sz w:val="18"/>
                <w:szCs w:val="18"/>
              </w:rPr>
            </w:pPr>
            <w:r w:rsidRPr="00A70E99">
              <w:rPr>
                <w:color w:val="000000"/>
                <w:sz w:val="18"/>
                <w:szCs w:val="18"/>
              </w:rPr>
              <w:t>7 (0.7)</w:t>
            </w:r>
          </w:p>
        </w:tc>
        <w:tc>
          <w:tcPr>
            <w:tcW w:w="0" w:type="auto"/>
            <w:tcBorders>
              <w:top w:val="nil"/>
              <w:bottom w:val="nil"/>
              <w:right w:val="single" w:sz="4" w:space="0" w:color="auto"/>
            </w:tcBorders>
            <w:shd w:val="clear" w:color="auto" w:fill="auto"/>
            <w:vAlign w:val="center"/>
          </w:tcPr>
          <w:p w14:paraId="25230BD4"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4C899AA2" w14:textId="17DE6EAF" w:rsidR="00A923E2" w:rsidRPr="00A70E99" w:rsidRDefault="00A923E2" w:rsidP="00A70E99">
            <w:pPr>
              <w:jc w:val="right"/>
              <w:rPr>
                <w:color w:val="000000"/>
                <w:sz w:val="18"/>
                <w:szCs w:val="18"/>
              </w:rPr>
            </w:pPr>
            <w:r w:rsidRPr="00A70E99">
              <w:rPr>
                <w:color w:val="000000"/>
                <w:sz w:val="18"/>
                <w:szCs w:val="18"/>
              </w:rPr>
              <w:t xml:space="preserve">0 </w:t>
            </w:r>
            <w:r w:rsidR="002F7042" w:rsidRPr="00A70E99">
              <w:rPr>
                <w:color w:val="000000"/>
                <w:sz w:val="18"/>
                <w:szCs w:val="18"/>
              </w:rPr>
              <w:t>(</w:t>
            </w:r>
            <w:r w:rsidRPr="00A70E99">
              <w:rPr>
                <w:color w:val="000000"/>
                <w:sz w:val="18"/>
                <w:szCs w:val="18"/>
              </w:rPr>
              <w:t>0.0)</w:t>
            </w:r>
          </w:p>
        </w:tc>
        <w:tc>
          <w:tcPr>
            <w:tcW w:w="0" w:type="auto"/>
            <w:tcBorders>
              <w:top w:val="nil"/>
              <w:bottom w:val="nil"/>
              <w:right w:val="single" w:sz="4" w:space="0" w:color="auto"/>
            </w:tcBorders>
            <w:shd w:val="clear" w:color="auto" w:fill="auto"/>
            <w:vAlign w:val="center"/>
          </w:tcPr>
          <w:p w14:paraId="55FE11CA"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0EFD6387" w14:textId="47662DF2" w:rsidR="00A923E2" w:rsidRPr="00A70E99" w:rsidRDefault="00A923E2" w:rsidP="00A70E99">
            <w:pPr>
              <w:jc w:val="right"/>
              <w:rPr>
                <w:color w:val="000000"/>
                <w:sz w:val="18"/>
                <w:szCs w:val="18"/>
              </w:rPr>
            </w:pPr>
            <w:r w:rsidRPr="00A70E99">
              <w:rPr>
                <w:color w:val="000000"/>
                <w:sz w:val="18"/>
                <w:szCs w:val="18"/>
              </w:rPr>
              <w:t xml:space="preserve">0 </w:t>
            </w:r>
            <w:r w:rsidR="002F7042" w:rsidRPr="00A70E99">
              <w:rPr>
                <w:color w:val="000000"/>
                <w:sz w:val="18"/>
                <w:szCs w:val="18"/>
              </w:rPr>
              <w:t>(</w:t>
            </w:r>
            <w:r w:rsidRPr="00A70E99">
              <w:rPr>
                <w:color w:val="000000"/>
                <w:sz w:val="18"/>
                <w:szCs w:val="18"/>
              </w:rPr>
              <w:t>0.0)</w:t>
            </w:r>
          </w:p>
        </w:tc>
        <w:tc>
          <w:tcPr>
            <w:tcW w:w="0" w:type="auto"/>
            <w:tcBorders>
              <w:top w:val="nil"/>
              <w:bottom w:val="nil"/>
              <w:right w:val="single" w:sz="4" w:space="0" w:color="auto"/>
            </w:tcBorders>
            <w:shd w:val="clear" w:color="auto" w:fill="auto"/>
            <w:vAlign w:val="center"/>
          </w:tcPr>
          <w:p w14:paraId="29DFF029" w14:textId="77777777" w:rsidR="00A923E2" w:rsidRPr="00A70E99" w:rsidRDefault="00A923E2" w:rsidP="00A70E99">
            <w:pPr>
              <w:jc w:val="right"/>
              <w:rPr>
                <w:color w:val="000000"/>
                <w:sz w:val="18"/>
                <w:szCs w:val="18"/>
              </w:rPr>
            </w:pPr>
          </w:p>
        </w:tc>
      </w:tr>
      <w:tr w:rsidR="00A923E2" w:rsidRPr="00DB3251" w14:paraId="77CB004C"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2C155C77" w14:textId="090FD031" w:rsidR="00A923E2" w:rsidRPr="00A70E99" w:rsidDel="0064554F" w:rsidRDefault="00A923E2" w:rsidP="00D626BE">
            <w:pPr>
              <w:jc w:val="right"/>
              <w:rPr>
                <w:color w:val="000000"/>
                <w:sz w:val="18"/>
                <w:szCs w:val="18"/>
              </w:rPr>
            </w:pPr>
            <w:r w:rsidRPr="00A70E99">
              <w:rPr>
                <w:color w:val="000000"/>
                <w:sz w:val="18"/>
                <w:szCs w:val="18"/>
              </w:rPr>
              <w:t xml:space="preserve">   Other</w:t>
            </w:r>
          </w:p>
        </w:tc>
        <w:tc>
          <w:tcPr>
            <w:tcW w:w="1153" w:type="dxa"/>
            <w:tcBorders>
              <w:top w:val="nil"/>
              <w:left w:val="single" w:sz="4" w:space="0" w:color="auto"/>
              <w:bottom w:val="nil"/>
              <w:right w:val="single" w:sz="4" w:space="0" w:color="auto"/>
            </w:tcBorders>
            <w:shd w:val="clear" w:color="auto" w:fill="auto"/>
            <w:vAlign w:val="center"/>
          </w:tcPr>
          <w:p w14:paraId="4A8900FF" w14:textId="56B367F1" w:rsidR="00A923E2" w:rsidRPr="00A70E99" w:rsidRDefault="00A923E2" w:rsidP="00A70E99">
            <w:pPr>
              <w:jc w:val="right"/>
              <w:rPr>
                <w:color w:val="000000"/>
                <w:sz w:val="18"/>
                <w:szCs w:val="18"/>
              </w:rPr>
            </w:pPr>
            <w:r w:rsidRPr="00A70E99">
              <w:rPr>
                <w:color w:val="000000"/>
                <w:sz w:val="18"/>
                <w:szCs w:val="18"/>
              </w:rPr>
              <w:t xml:space="preserve">36 </w:t>
            </w:r>
            <w:r w:rsidR="002F7042" w:rsidRPr="00A70E99">
              <w:rPr>
                <w:color w:val="000000"/>
                <w:sz w:val="18"/>
                <w:szCs w:val="18"/>
              </w:rPr>
              <w:t>(</w:t>
            </w:r>
            <w:r w:rsidRPr="00A70E99">
              <w:rPr>
                <w:color w:val="000000"/>
                <w:sz w:val="18"/>
                <w:szCs w:val="18"/>
              </w:rPr>
              <w:t xml:space="preserve">0.5) </w:t>
            </w:r>
          </w:p>
        </w:tc>
        <w:tc>
          <w:tcPr>
            <w:tcW w:w="0" w:type="auto"/>
            <w:tcBorders>
              <w:top w:val="nil"/>
              <w:left w:val="single" w:sz="4" w:space="0" w:color="auto"/>
              <w:bottom w:val="nil"/>
            </w:tcBorders>
            <w:shd w:val="clear" w:color="auto" w:fill="auto"/>
            <w:vAlign w:val="center"/>
          </w:tcPr>
          <w:p w14:paraId="04F80E9B" w14:textId="5330046E" w:rsidR="00A923E2" w:rsidRPr="00A70E99" w:rsidRDefault="00A923E2" w:rsidP="00A70E99">
            <w:pPr>
              <w:jc w:val="right"/>
              <w:rPr>
                <w:color w:val="000000"/>
                <w:sz w:val="18"/>
                <w:szCs w:val="18"/>
              </w:rPr>
            </w:pPr>
            <w:r w:rsidRPr="00A70E99">
              <w:rPr>
                <w:color w:val="000000"/>
                <w:sz w:val="18"/>
                <w:szCs w:val="18"/>
              </w:rPr>
              <w:t>4 (0.5)</w:t>
            </w:r>
          </w:p>
        </w:tc>
        <w:tc>
          <w:tcPr>
            <w:tcW w:w="0" w:type="auto"/>
            <w:tcBorders>
              <w:top w:val="nil"/>
              <w:bottom w:val="nil"/>
              <w:right w:val="single" w:sz="4" w:space="0" w:color="auto"/>
            </w:tcBorders>
            <w:shd w:val="clear" w:color="auto" w:fill="auto"/>
            <w:vAlign w:val="center"/>
          </w:tcPr>
          <w:p w14:paraId="3B550D3A"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48E93765" w14:textId="1FF4E250" w:rsidR="00A923E2" w:rsidRPr="00A70E99" w:rsidRDefault="00A923E2" w:rsidP="00A70E99">
            <w:pPr>
              <w:jc w:val="right"/>
              <w:rPr>
                <w:color w:val="000000"/>
                <w:sz w:val="18"/>
                <w:szCs w:val="18"/>
              </w:rPr>
            </w:pPr>
            <w:r w:rsidRPr="00A70E99">
              <w:rPr>
                <w:color w:val="000000"/>
                <w:sz w:val="18"/>
                <w:szCs w:val="18"/>
              </w:rPr>
              <w:t xml:space="preserve">0 </w:t>
            </w:r>
            <w:r w:rsidR="002F7042" w:rsidRPr="00A70E99">
              <w:rPr>
                <w:color w:val="000000"/>
                <w:sz w:val="18"/>
                <w:szCs w:val="18"/>
              </w:rPr>
              <w:t>(</w:t>
            </w:r>
            <w:r w:rsidRPr="00A70E99">
              <w:rPr>
                <w:color w:val="000000"/>
                <w:sz w:val="18"/>
                <w:szCs w:val="18"/>
              </w:rPr>
              <w:t>0.0)</w:t>
            </w:r>
          </w:p>
        </w:tc>
        <w:tc>
          <w:tcPr>
            <w:tcW w:w="0" w:type="auto"/>
            <w:tcBorders>
              <w:top w:val="nil"/>
              <w:bottom w:val="nil"/>
              <w:right w:val="single" w:sz="4" w:space="0" w:color="auto"/>
            </w:tcBorders>
            <w:shd w:val="clear" w:color="auto" w:fill="auto"/>
            <w:vAlign w:val="center"/>
          </w:tcPr>
          <w:p w14:paraId="35FF08EA"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1405D014" w14:textId="1EDA107A" w:rsidR="00A923E2" w:rsidRPr="00A70E99" w:rsidRDefault="00A923E2" w:rsidP="00A70E99">
            <w:pPr>
              <w:jc w:val="right"/>
              <w:rPr>
                <w:color w:val="000000"/>
                <w:sz w:val="18"/>
                <w:szCs w:val="18"/>
              </w:rPr>
            </w:pPr>
            <w:r w:rsidRPr="00A70E99">
              <w:rPr>
                <w:color w:val="000000"/>
                <w:sz w:val="18"/>
                <w:szCs w:val="18"/>
              </w:rPr>
              <w:t xml:space="preserve">0 </w:t>
            </w:r>
            <w:r w:rsidR="002F7042" w:rsidRPr="00A70E99">
              <w:rPr>
                <w:color w:val="000000"/>
                <w:sz w:val="18"/>
                <w:szCs w:val="18"/>
              </w:rPr>
              <w:t>(</w:t>
            </w:r>
            <w:r w:rsidRPr="00A70E99">
              <w:rPr>
                <w:color w:val="000000"/>
                <w:sz w:val="18"/>
                <w:szCs w:val="18"/>
              </w:rPr>
              <w:t>0.0)</w:t>
            </w:r>
          </w:p>
        </w:tc>
        <w:tc>
          <w:tcPr>
            <w:tcW w:w="0" w:type="auto"/>
            <w:tcBorders>
              <w:top w:val="nil"/>
              <w:bottom w:val="nil"/>
              <w:right w:val="single" w:sz="4" w:space="0" w:color="auto"/>
            </w:tcBorders>
            <w:shd w:val="clear" w:color="auto" w:fill="auto"/>
            <w:vAlign w:val="center"/>
          </w:tcPr>
          <w:p w14:paraId="3E0C454A" w14:textId="77777777" w:rsidR="00A923E2" w:rsidRPr="00A70E99" w:rsidRDefault="00A923E2" w:rsidP="00A70E99">
            <w:pPr>
              <w:jc w:val="right"/>
              <w:rPr>
                <w:color w:val="000000"/>
                <w:sz w:val="18"/>
                <w:szCs w:val="18"/>
              </w:rPr>
            </w:pPr>
          </w:p>
        </w:tc>
      </w:tr>
      <w:tr w:rsidR="00A923E2" w:rsidRPr="00DB3251" w14:paraId="60C4B68D" w14:textId="77777777" w:rsidTr="00101899">
        <w:trPr>
          <w:trHeight w:val="227"/>
        </w:trPr>
        <w:tc>
          <w:tcPr>
            <w:tcW w:w="2410" w:type="dxa"/>
            <w:tcBorders>
              <w:top w:val="nil"/>
              <w:left w:val="single" w:sz="4" w:space="0" w:color="auto"/>
              <w:bottom w:val="single" w:sz="4" w:space="0" w:color="auto"/>
              <w:right w:val="single" w:sz="4" w:space="0" w:color="auto"/>
            </w:tcBorders>
            <w:shd w:val="clear" w:color="auto" w:fill="auto"/>
          </w:tcPr>
          <w:p w14:paraId="3478A052" w14:textId="759C2DBD" w:rsidR="00A923E2" w:rsidRPr="00A70E99" w:rsidRDefault="00A923E2" w:rsidP="00A923E2">
            <w:pPr>
              <w:jc w:val="right"/>
              <w:rPr>
                <w:color w:val="000000"/>
                <w:sz w:val="18"/>
                <w:szCs w:val="18"/>
              </w:rPr>
            </w:pPr>
            <w:r w:rsidRPr="00A70E99">
              <w:rPr>
                <w:color w:val="000000"/>
                <w:sz w:val="18"/>
                <w:szCs w:val="18"/>
              </w:rPr>
              <w:t>Missing</w:t>
            </w:r>
          </w:p>
        </w:tc>
        <w:tc>
          <w:tcPr>
            <w:tcW w:w="1153" w:type="dxa"/>
            <w:tcBorders>
              <w:top w:val="nil"/>
              <w:left w:val="single" w:sz="4" w:space="0" w:color="auto"/>
              <w:bottom w:val="single" w:sz="4" w:space="0" w:color="auto"/>
              <w:right w:val="single" w:sz="4" w:space="0" w:color="auto"/>
            </w:tcBorders>
            <w:shd w:val="clear" w:color="auto" w:fill="auto"/>
            <w:vAlign w:val="center"/>
          </w:tcPr>
          <w:p w14:paraId="12AB3864" w14:textId="722C706E" w:rsidR="00A923E2" w:rsidRPr="00A70E99" w:rsidRDefault="00A923E2" w:rsidP="00A70E99">
            <w:pPr>
              <w:jc w:val="right"/>
              <w:rPr>
                <w:color w:val="000000"/>
                <w:sz w:val="18"/>
                <w:szCs w:val="18"/>
              </w:rPr>
            </w:pPr>
            <w:r w:rsidRPr="00A70E99">
              <w:rPr>
                <w:color w:val="000000"/>
                <w:sz w:val="18"/>
                <w:szCs w:val="18"/>
              </w:rPr>
              <w:t xml:space="preserve">1263 (19.2) </w:t>
            </w:r>
          </w:p>
        </w:tc>
        <w:tc>
          <w:tcPr>
            <w:tcW w:w="0" w:type="auto"/>
            <w:tcBorders>
              <w:top w:val="nil"/>
              <w:left w:val="single" w:sz="4" w:space="0" w:color="auto"/>
              <w:bottom w:val="single" w:sz="4" w:space="0" w:color="auto"/>
            </w:tcBorders>
            <w:shd w:val="clear" w:color="auto" w:fill="auto"/>
            <w:vAlign w:val="center"/>
          </w:tcPr>
          <w:p w14:paraId="4D9F1C8F" w14:textId="7426CEAB" w:rsidR="00A923E2" w:rsidRPr="00A70E99" w:rsidRDefault="00A923E2" w:rsidP="00A70E99">
            <w:pPr>
              <w:jc w:val="right"/>
              <w:rPr>
                <w:color w:val="000000"/>
                <w:sz w:val="18"/>
                <w:szCs w:val="18"/>
              </w:rPr>
            </w:pPr>
            <w:r w:rsidRPr="00A70E99">
              <w:rPr>
                <w:color w:val="000000"/>
                <w:sz w:val="18"/>
                <w:szCs w:val="18"/>
              </w:rPr>
              <w:t>224 (21)</w:t>
            </w:r>
          </w:p>
        </w:tc>
        <w:tc>
          <w:tcPr>
            <w:tcW w:w="0" w:type="auto"/>
            <w:tcBorders>
              <w:top w:val="nil"/>
              <w:bottom w:val="single" w:sz="4" w:space="0" w:color="auto"/>
              <w:right w:val="single" w:sz="4" w:space="0" w:color="auto"/>
            </w:tcBorders>
            <w:shd w:val="clear" w:color="auto" w:fill="auto"/>
            <w:vAlign w:val="center"/>
          </w:tcPr>
          <w:p w14:paraId="6C1777AF" w14:textId="77777777" w:rsidR="00A923E2" w:rsidRPr="00A70E99" w:rsidRDefault="00A923E2" w:rsidP="00A70E99">
            <w:pPr>
              <w:jc w:val="right"/>
              <w:rPr>
                <w:color w:val="000000"/>
                <w:sz w:val="18"/>
                <w:szCs w:val="18"/>
              </w:rPr>
            </w:pPr>
          </w:p>
        </w:tc>
        <w:tc>
          <w:tcPr>
            <w:tcW w:w="0" w:type="auto"/>
            <w:tcBorders>
              <w:top w:val="nil"/>
              <w:left w:val="single" w:sz="4" w:space="0" w:color="auto"/>
              <w:bottom w:val="single" w:sz="4" w:space="0" w:color="auto"/>
            </w:tcBorders>
            <w:shd w:val="clear" w:color="auto" w:fill="auto"/>
            <w:vAlign w:val="center"/>
          </w:tcPr>
          <w:p w14:paraId="5B575754" w14:textId="7AE40C5E" w:rsidR="00A923E2" w:rsidRPr="00A70E99" w:rsidRDefault="00A923E2" w:rsidP="00A70E99">
            <w:pPr>
              <w:jc w:val="right"/>
              <w:rPr>
                <w:color w:val="000000"/>
                <w:sz w:val="18"/>
                <w:szCs w:val="18"/>
              </w:rPr>
            </w:pPr>
            <w:r w:rsidRPr="00A70E99">
              <w:rPr>
                <w:color w:val="000000"/>
                <w:sz w:val="18"/>
                <w:szCs w:val="18"/>
              </w:rPr>
              <w:t>7 (18.4)</w:t>
            </w:r>
          </w:p>
        </w:tc>
        <w:tc>
          <w:tcPr>
            <w:tcW w:w="0" w:type="auto"/>
            <w:tcBorders>
              <w:top w:val="nil"/>
              <w:bottom w:val="single" w:sz="4" w:space="0" w:color="auto"/>
              <w:right w:val="single" w:sz="4" w:space="0" w:color="auto"/>
            </w:tcBorders>
            <w:shd w:val="clear" w:color="auto" w:fill="auto"/>
            <w:vAlign w:val="center"/>
          </w:tcPr>
          <w:p w14:paraId="40BE1AF1" w14:textId="77777777" w:rsidR="00A923E2" w:rsidRPr="00A70E99" w:rsidRDefault="00A923E2" w:rsidP="00A70E99">
            <w:pPr>
              <w:jc w:val="right"/>
              <w:rPr>
                <w:color w:val="000000"/>
                <w:sz w:val="18"/>
                <w:szCs w:val="18"/>
              </w:rPr>
            </w:pPr>
          </w:p>
        </w:tc>
        <w:tc>
          <w:tcPr>
            <w:tcW w:w="0" w:type="auto"/>
            <w:tcBorders>
              <w:top w:val="nil"/>
              <w:left w:val="single" w:sz="4" w:space="0" w:color="auto"/>
              <w:bottom w:val="single" w:sz="4" w:space="0" w:color="auto"/>
            </w:tcBorders>
            <w:shd w:val="clear" w:color="auto" w:fill="auto"/>
            <w:vAlign w:val="center"/>
          </w:tcPr>
          <w:p w14:paraId="581C58D4" w14:textId="5EC66B81" w:rsidR="00A923E2" w:rsidRPr="00A70E99" w:rsidRDefault="00A923E2" w:rsidP="00A70E99">
            <w:pPr>
              <w:jc w:val="right"/>
              <w:rPr>
                <w:color w:val="000000"/>
                <w:sz w:val="18"/>
                <w:szCs w:val="18"/>
              </w:rPr>
            </w:pPr>
            <w:r w:rsidRPr="00A70E99">
              <w:rPr>
                <w:color w:val="000000"/>
                <w:sz w:val="18"/>
                <w:szCs w:val="18"/>
              </w:rPr>
              <w:t>21 (21.6)</w:t>
            </w:r>
          </w:p>
        </w:tc>
        <w:tc>
          <w:tcPr>
            <w:tcW w:w="0" w:type="auto"/>
            <w:tcBorders>
              <w:top w:val="nil"/>
              <w:bottom w:val="single" w:sz="4" w:space="0" w:color="auto"/>
              <w:right w:val="single" w:sz="4" w:space="0" w:color="auto"/>
            </w:tcBorders>
            <w:shd w:val="clear" w:color="auto" w:fill="auto"/>
            <w:vAlign w:val="center"/>
          </w:tcPr>
          <w:p w14:paraId="5288AF95" w14:textId="77777777" w:rsidR="00A923E2" w:rsidRPr="00A70E99" w:rsidRDefault="00A923E2" w:rsidP="00A70E99">
            <w:pPr>
              <w:jc w:val="right"/>
              <w:rPr>
                <w:color w:val="000000"/>
                <w:sz w:val="18"/>
                <w:szCs w:val="18"/>
              </w:rPr>
            </w:pPr>
          </w:p>
        </w:tc>
      </w:tr>
      <w:tr w:rsidR="009430C4" w:rsidRPr="00DB3251" w14:paraId="780DA5EA" w14:textId="77777777" w:rsidTr="00101899">
        <w:trPr>
          <w:trHeight w:val="227"/>
        </w:trPr>
        <w:tc>
          <w:tcPr>
            <w:tcW w:w="2410" w:type="dxa"/>
            <w:tcBorders>
              <w:top w:val="single" w:sz="4" w:space="0" w:color="auto"/>
              <w:left w:val="single" w:sz="4" w:space="0" w:color="auto"/>
              <w:bottom w:val="nil"/>
              <w:right w:val="single" w:sz="4" w:space="0" w:color="auto"/>
            </w:tcBorders>
            <w:shd w:val="clear" w:color="auto" w:fill="auto"/>
            <w:vAlign w:val="center"/>
          </w:tcPr>
          <w:p w14:paraId="67AC61AC" w14:textId="22A831AD" w:rsidR="009430C4" w:rsidRPr="00A70E99" w:rsidRDefault="0039156C" w:rsidP="008A6CC1">
            <w:pPr>
              <w:rPr>
                <w:b/>
                <w:sz w:val="18"/>
                <w:szCs w:val="18"/>
              </w:rPr>
            </w:pPr>
            <w:r w:rsidRPr="00A70E99">
              <w:rPr>
                <w:b/>
                <w:color w:val="000000"/>
                <w:sz w:val="18"/>
                <w:szCs w:val="18"/>
              </w:rPr>
              <w:t>Smoking status</w:t>
            </w:r>
          </w:p>
        </w:tc>
        <w:tc>
          <w:tcPr>
            <w:tcW w:w="1153" w:type="dxa"/>
            <w:tcBorders>
              <w:top w:val="single" w:sz="4" w:space="0" w:color="auto"/>
              <w:left w:val="single" w:sz="4" w:space="0" w:color="auto"/>
              <w:bottom w:val="nil"/>
              <w:right w:val="single" w:sz="4" w:space="0" w:color="auto"/>
            </w:tcBorders>
            <w:shd w:val="clear" w:color="auto" w:fill="auto"/>
            <w:vAlign w:val="center"/>
          </w:tcPr>
          <w:p w14:paraId="5B2BFCCB" w14:textId="29868E38" w:rsidR="009430C4" w:rsidRPr="00A70E99" w:rsidRDefault="009430C4" w:rsidP="00A70E99">
            <w:pPr>
              <w:jc w:val="right"/>
              <w:rPr>
                <w:sz w:val="18"/>
                <w:szCs w:val="18"/>
              </w:rPr>
            </w:pPr>
          </w:p>
        </w:tc>
        <w:tc>
          <w:tcPr>
            <w:tcW w:w="0" w:type="auto"/>
            <w:tcBorders>
              <w:top w:val="single" w:sz="4" w:space="0" w:color="auto"/>
              <w:left w:val="single" w:sz="4" w:space="0" w:color="auto"/>
              <w:bottom w:val="nil"/>
            </w:tcBorders>
            <w:shd w:val="clear" w:color="auto" w:fill="auto"/>
            <w:vAlign w:val="center"/>
          </w:tcPr>
          <w:p w14:paraId="418DD482" w14:textId="2A0AC20D" w:rsidR="009430C4" w:rsidRPr="00A70E99" w:rsidRDefault="009430C4" w:rsidP="00A70E99">
            <w:pPr>
              <w:jc w:val="right"/>
              <w:rPr>
                <w:sz w:val="18"/>
                <w:szCs w:val="18"/>
              </w:rPr>
            </w:pPr>
          </w:p>
        </w:tc>
        <w:tc>
          <w:tcPr>
            <w:tcW w:w="0" w:type="auto"/>
            <w:tcBorders>
              <w:top w:val="single" w:sz="4" w:space="0" w:color="auto"/>
              <w:bottom w:val="nil"/>
              <w:right w:val="single" w:sz="4" w:space="0" w:color="auto"/>
            </w:tcBorders>
            <w:shd w:val="clear" w:color="auto" w:fill="auto"/>
            <w:vAlign w:val="center"/>
          </w:tcPr>
          <w:p w14:paraId="791E541E" w14:textId="79C3400A" w:rsidR="009430C4" w:rsidRPr="00A70E99" w:rsidRDefault="002F7042" w:rsidP="00A70E99">
            <w:pPr>
              <w:jc w:val="right"/>
              <w:rPr>
                <w:sz w:val="18"/>
                <w:szCs w:val="18"/>
              </w:rPr>
            </w:pPr>
            <w:r w:rsidRPr="00A70E99">
              <w:rPr>
                <w:color w:val="000000"/>
                <w:sz w:val="18"/>
                <w:szCs w:val="18"/>
              </w:rPr>
              <w:t>&lt;0.001</w:t>
            </w:r>
          </w:p>
        </w:tc>
        <w:tc>
          <w:tcPr>
            <w:tcW w:w="0" w:type="auto"/>
            <w:tcBorders>
              <w:top w:val="single" w:sz="4" w:space="0" w:color="auto"/>
              <w:left w:val="single" w:sz="4" w:space="0" w:color="auto"/>
              <w:bottom w:val="nil"/>
            </w:tcBorders>
            <w:shd w:val="clear" w:color="auto" w:fill="auto"/>
            <w:vAlign w:val="center"/>
          </w:tcPr>
          <w:p w14:paraId="1B8DFB63" w14:textId="527CBF3C" w:rsidR="009430C4" w:rsidRPr="00A70E99" w:rsidRDefault="009430C4" w:rsidP="00A70E99">
            <w:pPr>
              <w:jc w:val="right"/>
              <w:rPr>
                <w:sz w:val="18"/>
                <w:szCs w:val="18"/>
              </w:rPr>
            </w:pPr>
          </w:p>
        </w:tc>
        <w:tc>
          <w:tcPr>
            <w:tcW w:w="0" w:type="auto"/>
            <w:tcBorders>
              <w:top w:val="single" w:sz="4" w:space="0" w:color="auto"/>
              <w:bottom w:val="nil"/>
              <w:right w:val="single" w:sz="4" w:space="0" w:color="auto"/>
            </w:tcBorders>
            <w:shd w:val="clear" w:color="auto" w:fill="auto"/>
            <w:vAlign w:val="center"/>
          </w:tcPr>
          <w:p w14:paraId="30F1BB70" w14:textId="16C14787" w:rsidR="009430C4" w:rsidRPr="00A70E99" w:rsidRDefault="008A6CC1" w:rsidP="00A70E99">
            <w:pPr>
              <w:jc w:val="right"/>
              <w:rPr>
                <w:color w:val="000000"/>
                <w:sz w:val="18"/>
                <w:szCs w:val="18"/>
              </w:rPr>
            </w:pPr>
            <w:r w:rsidRPr="00A70E99">
              <w:rPr>
                <w:color w:val="000000"/>
                <w:sz w:val="18"/>
                <w:szCs w:val="18"/>
              </w:rPr>
              <w:t>0.016</w:t>
            </w:r>
          </w:p>
        </w:tc>
        <w:tc>
          <w:tcPr>
            <w:tcW w:w="0" w:type="auto"/>
            <w:tcBorders>
              <w:top w:val="single" w:sz="4" w:space="0" w:color="auto"/>
              <w:left w:val="single" w:sz="4" w:space="0" w:color="auto"/>
              <w:bottom w:val="nil"/>
            </w:tcBorders>
            <w:shd w:val="clear" w:color="auto" w:fill="auto"/>
            <w:vAlign w:val="center"/>
          </w:tcPr>
          <w:p w14:paraId="44B0938D" w14:textId="0FE1BAA5" w:rsidR="009430C4" w:rsidRPr="00A70E99" w:rsidRDefault="009430C4" w:rsidP="00A70E99">
            <w:pPr>
              <w:jc w:val="right"/>
              <w:rPr>
                <w:sz w:val="18"/>
                <w:szCs w:val="18"/>
              </w:rPr>
            </w:pPr>
          </w:p>
        </w:tc>
        <w:tc>
          <w:tcPr>
            <w:tcW w:w="0" w:type="auto"/>
            <w:tcBorders>
              <w:top w:val="single" w:sz="4" w:space="0" w:color="auto"/>
              <w:bottom w:val="nil"/>
              <w:right w:val="single" w:sz="4" w:space="0" w:color="auto"/>
            </w:tcBorders>
            <w:shd w:val="clear" w:color="auto" w:fill="auto"/>
            <w:vAlign w:val="center"/>
          </w:tcPr>
          <w:p w14:paraId="45195639" w14:textId="61C2130C" w:rsidR="009430C4" w:rsidRPr="00A70E99" w:rsidRDefault="00E34A2B" w:rsidP="00A70E99">
            <w:pPr>
              <w:jc w:val="right"/>
              <w:rPr>
                <w:color w:val="000000"/>
                <w:sz w:val="18"/>
                <w:szCs w:val="18"/>
              </w:rPr>
            </w:pPr>
            <w:r w:rsidRPr="00A70E99">
              <w:rPr>
                <w:color w:val="000000"/>
                <w:sz w:val="18"/>
                <w:szCs w:val="18"/>
              </w:rPr>
              <w:t>0.196</w:t>
            </w:r>
          </w:p>
        </w:tc>
      </w:tr>
      <w:tr w:rsidR="00A923E2" w:rsidRPr="00DB3251" w14:paraId="0E96C0F6"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369C5C55" w14:textId="78C420D6" w:rsidR="00A923E2" w:rsidRPr="00A70E99" w:rsidDel="00763BEE" w:rsidRDefault="00A923E2" w:rsidP="00D626BE">
            <w:pPr>
              <w:jc w:val="right"/>
              <w:rPr>
                <w:color w:val="000000"/>
                <w:sz w:val="18"/>
                <w:szCs w:val="18"/>
              </w:rPr>
            </w:pPr>
            <w:r w:rsidRPr="00A70E99">
              <w:rPr>
                <w:color w:val="000000"/>
                <w:sz w:val="18"/>
                <w:szCs w:val="18"/>
              </w:rPr>
              <w:t>Never</w:t>
            </w:r>
          </w:p>
        </w:tc>
        <w:tc>
          <w:tcPr>
            <w:tcW w:w="1153" w:type="dxa"/>
            <w:tcBorders>
              <w:top w:val="nil"/>
              <w:left w:val="single" w:sz="4" w:space="0" w:color="auto"/>
              <w:bottom w:val="nil"/>
              <w:right w:val="single" w:sz="4" w:space="0" w:color="auto"/>
            </w:tcBorders>
            <w:shd w:val="clear" w:color="auto" w:fill="auto"/>
            <w:vAlign w:val="center"/>
          </w:tcPr>
          <w:p w14:paraId="278EF695" w14:textId="2E86EC8F" w:rsidR="00A923E2" w:rsidRPr="00A70E99" w:rsidRDefault="00A923E2" w:rsidP="00A70E99">
            <w:pPr>
              <w:jc w:val="right"/>
              <w:rPr>
                <w:color w:val="000000"/>
                <w:sz w:val="18"/>
                <w:szCs w:val="18"/>
              </w:rPr>
            </w:pPr>
            <w:r w:rsidRPr="00A70E99">
              <w:rPr>
                <w:color w:val="000000"/>
                <w:sz w:val="18"/>
                <w:szCs w:val="18"/>
              </w:rPr>
              <w:t xml:space="preserve">1853 (28.1) </w:t>
            </w:r>
          </w:p>
        </w:tc>
        <w:tc>
          <w:tcPr>
            <w:tcW w:w="0" w:type="auto"/>
            <w:tcBorders>
              <w:top w:val="nil"/>
              <w:left w:val="single" w:sz="4" w:space="0" w:color="auto"/>
              <w:bottom w:val="nil"/>
            </w:tcBorders>
            <w:shd w:val="clear" w:color="auto" w:fill="auto"/>
            <w:vAlign w:val="center"/>
          </w:tcPr>
          <w:p w14:paraId="32967378" w14:textId="0FD366BE" w:rsidR="00A923E2" w:rsidRPr="00A70E99" w:rsidRDefault="00A923E2" w:rsidP="00A70E99">
            <w:pPr>
              <w:jc w:val="right"/>
              <w:rPr>
                <w:color w:val="000000"/>
                <w:sz w:val="18"/>
                <w:szCs w:val="18"/>
              </w:rPr>
            </w:pPr>
            <w:r w:rsidRPr="00A70E99">
              <w:rPr>
                <w:color w:val="000000"/>
                <w:sz w:val="18"/>
                <w:szCs w:val="18"/>
              </w:rPr>
              <w:t>294 (27.6)</w:t>
            </w:r>
          </w:p>
        </w:tc>
        <w:tc>
          <w:tcPr>
            <w:tcW w:w="0" w:type="auto"/>
            <w:tcBorders>
              <w:top w:val="nil"/>
              <w:bottom w:val="nil"/>
              <w:right w:val="single" w:sz="4" w:space="0" w:color="auto"/>
            </w:tcBorders>
            <w:shd w:val="clear" w:color="auto" w:fill="auto"/>
            <w:vAlign w:val="center"/>
          </w:tcPr>
          <w:p w14:paraId="50D8850E"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1D754859" w14:textId="53B85C71" w:rsidR="00A923E2" w:rsidRPr="00A70E99" w:rsidRDefault="00A923E2" w:rsidP="00A70E99">
            <w:pPr>
              <w:jc w:val="right"/>
              <w:rPr>
                <w:color w:val="000000"/>
                <w:sz w:val="18"/>
                <w:szCs w:val="18"/>
              </w:rPr>
            </w:pPr>
            <w:r w:rsidRPr="00A70E99">
              <w:rPr>
                <w:color w:val="000000"/>
                <w:sz w:val="18"/>
                <w:szCs w:val="18"/>
              </w:rPr>
              <w:t>12 (31.6)</w:t>
            </w:r>
          </w:p>
        </w:tc>
        <w:tc>
          <w:tcPr>
            <w:tcW w:w="0" w:type="auto"/>
            <w:tcBorders>
              <w:top w:val="nil"/>
              <w:bottom w:val="nil"/>
              <w:right w:val="single" w:sz="4" w:space="0" w:color="auto"/>
            </w:tcBorders>
            <w:shd w:val="clear" w:color="auto" w:fill="auto"/>
            <w:vAlign w:val="center"/>
          </w:tcPr>
          <w:p w14:paraId="37654524"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431A4281" w14:textId="13B87834" w:rsidR="00A923E2" w:rsidRPr="00A70E99" w:rsidRDefault="00A923E2" w:rsidP="00A70E99">
            <w:pPr>
              <w:jc w:val="right"/>
              <w:rPr>
                <w:color w:val="000000"/>
                <w:sz w:val="18"/>
                <w:szCs w:val="18"/>
              </w:rPr>
            </w:pPr>
            <w:r w:rsidRPr="00A70E99">
              <w:rPr>
                <w:color w:val="000000"/>
                <w:sz w:val="18"/>
                <w:szCs w:val="18"/>
              </w:rPr>
              <w:t>32 (33.0)</w:t>
            </w:r>
          </w:p>
        </w:tc>
        <w:tc>
          <w:tcPr>
            <w:tcW w:w="0" w:type="auto"/>
            <w:tcBorders>
              <w:top w:val="nil"/>
              <w:bottom w:val="nil"/>
              <w:right w:val="single" w:sz="4" w:space="0" w:color="auto"/>
            </w:tcBorders>
            <w:shd w:val="clear" w:color="auto" w:fill="auto"/>
            <w:vAlign w:val="center"/>
          </w:tcPr>
          <w:p w14:paraId="61763331" w14:textId="77777777" w:rsidR="00A923E2" w:rsidRPr="00A70E99" w:rsidRDefault="00A923E2" w:rsidP="00A70E99">
            <w:pPr>
              <w:jc w:val="right"/>
              <w:rPr>
                <w:color w:val="000000"/>
                <w:sz w:val="18"/>
                <w:szCs w:val="18"/>
              </w:rPr>
            </w:pPr>
          </w:p>
        </w:tc>
      </w:tr>
      <w:tr w:rsidR="00A923E2" w:rsidRPr="00DB3251" w14:paraId="51FEF8EE"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45B18586" w14:textId="172C9E51" w:rsidR="00A923E2" w:rsidRPr="00A70E99" w:rsidDel="00763BEE" w:rsidRDefault="00A923E2" w:rsidP="00D626BE">
            <w:pPr>
              <w:jc w:val="right"/>
              <w:rPr>
                <w:color w:val="000000"/>
                <w:sz w:val="18"/>
                <w:szCs w:val="18"/>
              </w:rPr>
            </w:pPr>
            <w:r w:rsidRPr="00A70E99">
              <w:rPr>
                <w:color w:val="000000"/>
                <w:sz w:val="18"/>
                <w:szCs w:val="18"/>
              </w:rPr>
              <w:t>Current</w:t>
            </w:r>
          </w:p>
        </w:tc>
        <w:tc>
          <w:tcPr>
            <w:tcW w:w="1153" w:type="dxa"/>
            <w:tcBorders>
              <w:top w:val="nil"/>
              <w:left w:val="single" w:sz="4" w:space="0" w:color="auto"/>
              <w:bottom w:val="nil"/>
              <w:right w:val="single" w:sz="4" w:space="0" w:color="auto"/>
            </w:tcBorders>
            <w:shd w:val="clear" w:color="auto" w:fill="auto"/>
            <w:vAlign w:val="center"/>
          </w:tcPr>
          <w:p w14:paraId="465C49C9" w14:textId="092DE419" w:rsidR="00A923E2" w:rsidRPr="00A70E99" w:rsidRDefault="00A923E2" w:rsidP="00A70E99">
            <w:pPr>
              <w:jc w:val="right"/>
              <w:rPr>
                <w:color w:val="000000"/>
                <w:sz w:val="18"/>
                <w:szCs w:val="18"/>
              </w:rPr>
            </w:pPr>
            <w:r w:rsidRPr="00A70E99">
              <w:rPr>
                <w:color w:val="000000"/>
                <w:sz w:val="18"/>
                <w:szCs w:val="18"/>
              </w:rPr>
              <w:t xml:space="preserve">1348 (20.5) </w:t>
            </w:r>
          </w:p>
        </w:tc>
        <w:tc>
          <w:tcPr>
            <w:tcW w:w="0" w:type="auto"/>
            <w:tcBorders>
              <w:top w:val="nil"/>
              <w:left w:val="single" w:sz="4" w:space="0" w:color="auto"/>
              <w:bottom w:val="nil"/>
            </w:tcBorders>
            <w:shd w:val="clear" w:color="auto" w:fill="auto"/>
            <w:vAlign w:val="center"/>
          </w:tcPr>
          <w:p w14:paraId="5D877145" w14:textId="3C193ACD" w:rsidR="00A923E2" w:rsidRPr="00A70E99" w:rsidRDefault="00A923E2" w:rsidP="00A70E99">
            <w:pPr>
              <w:jc w:val="right"/>
              <w:rPr>
                <w:color w:val="000000"/>
                <w:sz w:val="18"/>
                <w:szCs w:val="18"/>
              </w:rPr>
            </w:pPr>
            <w:r w:rsidRPr="00A70E99">
              <w:rPr>
                <w:color w:val="000000"/>
                <w:sz w:val="18"/>
                <w:szCs w:val="18"/>
              </w:rPr>
              <w:t>167 (15.7)</w:t>
            </w:r>
          </w:p>
        </w:tc>
        <w:tc>
          <w:tcPr>
            <w:tcW w:w="0" w:type="auto"/>
            <w:tcBorders>
              <w:top w:val="nil"/>
              <w:bottom w:val="nil"/>
              <w:right w:val="single" w:sz="4" w:space="0" w:color="auto"/>
            </w:tcBorders>
            <w:shd w:val="clear" w:color="auto" w:fill="auto"/>
            <w:vAlign w:val="center"/>
          </w:tcPr>
          <w:p w14:paraId="30114852"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22104CFB" w14:textId="62BF4C7E" w:rsidR="00A923E2" w:rsidRPr="00A70E99" w:rsidRDefault="00A923E2" w:rsidP="00A70E99">
            <w:pPr>
              <w:jc w:val="right"/>
              <w:rPr>
                <w:color w:val="000000"/>
                <w:sz w:val="18"/>
                <w:szCs w:val="18"/>
              </w:rPr>
            </w:pPr>
            <w:r w:rsidRPr="00A70E99">
              <w:rPr>
                <w:color w:val="000000"/>
                <w:sz w:val="18"/>
                <w:szCs w:val="18"/>
              </w:rPr>
              <w:t>5 (13.2)</w:t>
            </w:r>
          </w:p>
        </w:tc>
        <w:tc>
          <w:tcPr>
            <w:tcW w:w="0" w:type="auto"/>
            <w:tcBorders>
              <w:top w:val="nil"/>
              <w:bottom w:val="nil"/>
              <w:right w:val="single" w:sz="4" w:space="0" w:color="auto"/>
            </w:tcBorders>
            <w:shd w:val="clear" w:color="auto" w:fill="auto"/>
            <w:vAlign w:val="center"/>
          </w:tcPr>
          <w:p w14:paraId="6665EED5"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6F883D50" w14:textId="26E8238E" w:rsidR="00A923E2" w:rsidRPr="00A70E99" w:rsidRDefault="00A923E2" w:rsidP="00A70E99">
            <w:pPr>
              <w:jc w:val="right"/>
              <w:rPr>
                <w:color w:val="000000"/>
                <w:sz w:val="18"/>
                <w:szCs w:val="18"/>
              </w:rPr>
            </w:pPr>
            <w:r w:rsidRPr="00A70E99">
              <w:rPr>
                <w:color w:val="000000"/>
                <w:sz w:val="18"/>
                <w:szCs w:val="18"/>
              </w:rPr>
              <w:t>15 (15.5)</w:t>
            </w:r>
          </w:p>
        </w:tc>
        <w:tc>
          <w:tcPr>
            <w:tcW w:w="0" w:type="auto"/>
            <w:tcBorders>
              <w:top w:val="nil"/>
              <w:bottom w:val="nil"/>
              <w:right w:val="single" w:sz="4" w:space="0" w:color="auto"/>
            </w:tcBorders>
            <w:shd w:val="clear" w:color="auto" w:fill="auto"/>
            <w:vAlign w:val="center"/>
          </w:tcPr>
          <w:p w14:paraId="58A52165" w14:textId="77777777" w:rsidR="00A923E2" w:rsidRPr="00A70E99" w:rsidRDefault="00A923E2" w:rsidP="00A70E99">
            <w:pPr>
              <w:jc w:val="right"/>
              <w:rPr>
                <w:color w:val="000000"/>
                <w:sz w:val="18"/>
                <w:szCs w:val="18"/>
              </w:rPr>
            </w:pPr>
          </w:p>
        </w:tc>
      </w:tr>
      <w:tr w:rsidR="00A923E2" w:rsidRPr="00DB3251" w14:paraId="4AC83ED7"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23C0885B" w14:textId="5BA8A351" w:rsidR="00A923E2" w:rsidRPr="00A70E99" w:rsidDel="00763BEE" w:rsidRDefault="00A923E2" w:rsidP="00D626BE">
            <w:pPr>
              <w:jc w:val="right"/>
              <w:rPr>
                <w:color w:val="000000"/>
                <w:sz w:val="18"/>
                <w:szCs w:val="18"/>
              </w:rPr>
            </w:pPr>
            <w:r w:rsidRPr="00A70E99">
              <w:rPr>
                <w:color w:val="000000"/>
                <w:sz w:val="18"/>
                <w:szCs w:val="18"/>
              </w:rPr>
              <w:t>Former</w:t>
            </w:r>
          </w:p>
        </w:tc>
        <w:tc>
          <w:tcPr>
            <w:tcW w:w="1153" w:type="dxa"/>
            <w:tcBorders>
              <w:top w:val="nil"/>
              <w:left w:val="single" w:sz="4" w:space="0" w:color="auto"/>
              <w:bottom w:val="nil"/>
              <w:right w:val="single" w:sz="4" w:space="0" w:color="auto"/>
            </w:tcBorders>
            <w:shd w:val="clear" w:color="auto" w:fill="auto"/>
            <w:vAlign w:val="center"/>
          </w:tcPr>
          <w:p w14:paraId="2C3BD371" w14:textId="40945325" w:rsidR="00A923E2" w:rsidRPr="00A70E99" w:rsidRDefault="00A923E2" w:rsidP="00A70E99">
            <w:pPr>
              <w:jc w:val="right"/>
              <w:rPr>
                <w:color w:val="000000"/>
                <w:sz w:val="18"/>
                <w:szCs w:val="18"/>
              </w:rPr>
            </w:pPr>
            <w:r w:rsidRPr="00A70E99">
              <w:rPr>
                <w:color w:val="000000"/>
                <w:sz w:val="18"/>
                <w:szCs w:val="18"/>
              </w:rPr>
              <w:t xml:space="preserve">2968 (45.0) </w:t>
            </w:r>
          </w:p>
        </w:tc>
        <w:tc>
          <w:tcPr>
            <w:tcW w:w="0" w:type="auto"/>
            <w:tcBorders>
              <w:top w:val="nil"/>
              <w:left w:val="single" w:sz="4" w:space="0" w:color="auto"/>
              <w:bottom w:val="nil"/>
            </w:tcBorders>
            <w:shd w:val="clear" w:color="auto" w:fill="auto"/>
            <w:vAlign w:val="center"/>
          </w:tcPr>
          <w:p w14:paraId="0E2B5B5D" w14:textId="2EF191A8" w:rsidR="00A923E2" w:rsidRPr="00A70E99" w:rsidRDefault="00A923E2" w:rsidP="00A70E99">
            <w:pPr>
              <w:jc w:val="right"/>
              <w:rPr>
                <w:color w:val="000000"/>
                <w:sz w:val="18"/>
                <w:szCs w:val="18"/>
              </w:rPr>
            </w:pPr>
            <w:r w:rsidRPr="00A70E99">
              <w:rPr>
                <w:color w:val="000000"/>
                <w:sz w:val="18"/>
                <w:szCs w:val="18"/>
              </w:rPr>
              <w:t>528 (49.5)</w:t>
            </w:r>
          </w:p>
        </w:tc>
        <w:tc>
          <w:tcPr>
            <w:tcW w:w="0" w:type="auto"/>
            <w:tcBorders>
              <w:top w:val="nil"/>
              <w:bottom w:val="nil"/>
              <w:right w:val="single" w:sz="4" w:space="0" w:color="auto"/>
            </w:tcBorders>
            <w:shd w:val="clear" w:color="auto" w:fill="auto"/>
            <w:vAlign w:val="center"/>
          </w:tcPr>
          <w:p w14:paraId="305CB2F0"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6F4964D8" w14:textId="5FE657C3" w:rsidR="00A923E2" w:rsidRPr="00A70E99" w:rsidRDefault="00A923E2" w:rsidP="00A70E99">
            <w:pPr>
              <w:jc w:val="right"/>
              <w:rPr>
                <w:color w:val="000000"/>
                <w:sz w:val="18"/>
                <w:szCs w:val="18"/>
              </w:rPr>
            </w:pPr>
            <w:r w:rsidRPr="00A70E99">
              <w:rPr>
                <w:color w:val="000000"/>
                <w:sz w:val="18"/>
                <w:szCs w:val="18"/>
              </w:rPr>
              <w:t>14 (36.8)</w:t>
            </w:r>
          </w:p>
        </w:tc>
        <w:tc>
          <w:tcPr>
            <w:tcW w:w="0" w:type="auto"/>
            <w:tcBorders>
              <w:top w:val="nil"/>
              <w:bottom w:val="nil"/>
              <w:right w:val="single" w:sz="4" w:space="0" w:color="auto"/>
            </w:tcBorders>
            <w:shd w:val="clear" w:color="auto" w:fill="auto"/>
            <w:vAlign w:val="center"/>
          </w:tcPr>
          <w:p w14:paraId="6DAEB37E" w14:textId="77777777" w:rsidR="00A923E2" w:rsidRPr="00A70E99" w:rsidRDefault="00A923E2" w:rsidP="00A70E99">
            <w:pPr>
              <w:jc w:val="right"/>
              <w:rPr>
                <w:color w:val="000000"/>
                <w:sz w:val="18"/>
                <w:szCs w:val="18"/>
              </w:rPr>
            </w:pPr>
          </w:p>
        </w:tc>
        <w:tc>
          <w:tcPr>
            <w:tcW w:w="0" w:type="auto"/>
            <w:tcBorders>
              <w:top w:val="nil"/>
              <w:left w:val="single" w:sz="4" w:space="0" w:color="auto"/>
              <w:bottom w:val="nil"/>
            </w:tcBorders>
            <w:shd w:val="clear" w:color="auto" w:fill="auto"/>
            <w:vAlign w:val="center"/>
          </w:tcPr>
          <w:p w14:paraId="6228E0E2" w14:textId="32A8CF0F" w:rsidR="00A923E2" w:rsidRPr="00A70E99" w:rsidRDefault="00A923E2" w:rsidP="00A70E99">
            <w:pPr>
              <w:jc w:val="right"/>
              <w:rPr>
                <w:color w:val="000000"/>
                <w:sz w:val="18"/>
                <w:szCs w:val="18"/>
              </w:rPr>
            </w:pPr>
            <w:r w:rsidRPr="00A70E99">
              <w:rPr>
                <w:color w:val="000000"/>
                <w:sz w:val="18"/>
                <w:szCs w:val="18"/>
              </w:rPr>
              <w:t>40 (41.2)</w:t>
            </w:r>
          </w:p>
        </w:tc>
        <w:tc>
          <w:tcPr>
            <w:tcW w:w="0" w:type="auto"/>
            <w:tcBorders>
              <w:top w:val="nil"/>
              <w:bottom w:val="nil"/>
              <w:right w:val="single" w:sz="4" w:space="0" w:color="auto"/>
            </w:tcBorders>
            <w:shd w:val="clear" w:color="auto" w:fill="auto"/>
            <w:vAlign w:val="center"/>
          </w:tcPr>
          <w:p w14:paraId="55481E89" w14:textId="77777777" w:rsidR="00A923E2" w:rsidRPr="00A70E99" w:rsidRDefault="00A923E2" w:rsidP="00A70E99">
            <w:pPr>
              <w:jc w:val="right"/>
              <w:rPr>
                <w:color w:val="000000"/>
                <w:sz w:val="18"/>
                <w:szCs w:val="18"/>
              </w:rPr>
            </w:pPr>
          </w:p>
        </w:tc>
      </w:tr>
      <w:tr w:rsidR="00A923E2" w:rsidRPr="00DB3251" w14:paraId="4BA0F42C" w14:textId="77777777" w:rsidTr="00101899">
        <w:trPr>
          <w:trHeight w:val="227"/>
        </w:trPr>
        <w:tc>
          <w:tcPr>
            <w:tcW w:w="2410" w:type="dxa"/>
            <w:tcBorders>
              <w:top w:val="nil"/>
              <w:left w:val="single" w:sz="4" w:space="0" w:color="auto"/>
              <w:bottom w:val="single" w:sz="4" w:space="0" w:color="auto"/>
              <w:right w:val="single" w:sz="4" w:space="0" w:color="auto"/>
            </w:tcBorders>
            <w:shd w:val="clear" w:color="auto" w:fill="auto"/>
            <w:vAlign w:val="center"/>
          </w:tcPr>
          <w:p w14:paraId="0613BB23" w14:textId="6F8E3A8E" w:rsidR="00A923E2" w:rsidRPr="00A70E99" w:rsidDel="00763BEE" w:rsidRDefault="00A923E2" w:rsidP="00D626BE">
            <w:pPr>
              <w:jc w:val="right"/>
              <w:rPr>
                <w:color w:val="000000"/>
                <w:sz w:val="18"/>
                <w:szCs w:val="18"/>
              </w:rPr>
            </w:pPr>
            <w:r w:rsidRPr="00A70E99">
              <w:rPr>
                <w:color w:val="000000"/>
                <w:sz w:val="18"/>
                <w:szCs w:val="18"/>
              </w:rPr>
              <w:t>Missing</w:t>
            </w:r>
          </w:p>
        </w:tc>
        <w:tc>
          <w:tcPr>
            <w:tcW w:w="1153" w:type="dxa"/>
            <w:tcBorders>
              <w:top w:val="nil"/>
              <w:left w:val="single" w:sz="4" w:space="0" w:color="auto"/>
              <w:bottom w:val="single" w:sz="4" w:space="0" w:color="auto"/>
              <w:right w:val="single" w:sz="4" w:space="0" w:color="auto"/>
            </w:tcBorders>
            <w:shd w:val="clear" w:color="auto" w:fill="auto"/>
            <w:vAlign w:val="center"/>
          </w:tcPr>
          <w:p w14:paraId="3DFED042" w14:textId="391EFB78" w:rsidR="00A923E2" w:rsidRPr="00A70E99" w:rsidRDefault="00A923E2" w:rsidP="00A70E99">
            <w:pPr>
              <w:jc w:val="right"/>
              <w:rPr>
                <w:color w:val="000000"/>
                <w:sz w:val="18"/>
                <w:szCs w:val="18"/>
              </w:rPr>
            </w:pPr>
            <w:r w:rsidRPr="00A70E99">
              <w:rPr>
                <w:color w:val="000000"/>
                <w:sz w:val="18"/>
                <w:szCs w:val="18"/>
              </w:rPr>
              <w:t xml:space="preserve">422 </w:t>
            </w:r>
            <w:r w:rsidR="002F7042" w:rsidRPr="00A70E99">
              <w:rPr>
                <w:color w:val="000000"/>
                <w:sz w:val="18"/>
                <w:szCs w:val="18"/>
              </w:rPr>
              <w:t>(</w:t>
            </w:r>
            <w:r w:rsidRPr="00A70E99">
              <w:rPr>
                <w:color w:val="000000"/>
                <w:sz w:val="18"/>
                <w:szCs w:val="18"/>
              </w:rPr>
              <w:t xml:space="preserve">6.4) </w:t>
            </w:r>
          </w:p>
        </w:tc>
        <w:tc>
          <w:tcPr>
            <w:tcW w:w="0" w:type="auto"/>
            <w:tcBorders>
              <w:top w:val="nil"/>
              <w:left w:val="single" w:sz="4" w:space="0" w:color="auto"/>
              <w:bottom w:val="single" w:sz="4" w:space="0" w:color="auto"/>
            </w:tcBorders>
            <w:shd w:val="clear" w:color="auto" w:fill="auto"/>
            <w:vAlign w:val="center"/>
          </w:tcPr>
          <w:p w14:paraId="738843B3" w14:textId="046DA2F1" w:rsidR="00A923E2" w:rsidRPr="00A70E99" w:rsidRDefault="00A923E2" w:rsidP="00A70E99">
            <w:pPr>
              <w:jc w:val="right"/>
              <w:rPr>
                <w:color w:val="000000"/>
                <w:sz w:val="18"/>
                <w:szCs w:val="18"/>
              </w:rPr>
            </w:pPr>
            <w:r w:rsidRPr="00A70E99">
              <w:rPr>
                <w:color w:val="000000"/>
                <w:sz w:val="18"/>
                <w:szCs w:val="18"/>
              </w:rPr>
              <w:t>77 (7.2)</w:t>
            </w:r>
          </w:p>
        </w:tc>
        <w:tc>
          <w:tcPr>
            <w:tcW w:w="0" w:type="auto"/>
            <w:tcBorders>
              <w:top w:val="nil"/>
              <w:bottom w:val="single" w:sz="4" w:space="0" w:color="auto"/>
              <w:right w:val="single" w:sz="4" w:space="0" w:color="auto"/>
            </w:tcBorders>
            <w:shd w:val="clear" w:color="auto" w:fill="auto"/>
            <w:vAlign w:val="center"/>
          </w:tcPr>
          <w:p w14:paraId="4D9A0E0E" w14:textId="77777777" w:rsidR="00A923E2" w:rsidRPr="00A70E99" w:rsidRDefault="00A923E2" w:rsidP="00A70E99">
            <w:pPr>
              <w:jc w:val="right"/>
              <w:rPr>
                <w:color w:val="000000"/>
                <w:sz w:val="18"/>
                <w:szCs w:val="18"/>
              </w:rPr>
            </w:pPr>
          </w:p>
        </w:tc>
        <w:tc>
          <w:tcPr>
            <w:tcW w:w="0" w:type="auto"/>
            <w:tcBorders>
              <w:top w:val="nil"/>
              <w:left w:val="single" w:sz="4" w:space="0" w:color="auto"/>
              <w:bottom w:val="single" w:sz="4" w:space="0" w:color="auto"/>
            </w:tcBorders>
            <w:shd w:val="clear" w:color="auto" w:fill="auto"/>
            <w:vAlign w:val="center"/>
          </w:tcPr>
          <w:p w14:paraId="2A1A1BCF" w14:textId="22C1B373" w:rsidR="00A923E2" w:rsidRPr="00A70E99" w:rsidRDefault="00A923E2" w:rsidP="00A70E99">
            <w:pPr>
              <w:jc w:val="right"/>
              <w:rPr>
                <w:color w:val="000000"/>
                <w:sz w:val="18"/>
                <w:szCs w:val="18"/>
              </w:rPr>
            </w:pPr>
            <w:r w:rsidRPr="00A70E99">
              <w:rPr>
                <w:color w:val="000000"/>
                <w:sz w:val="18"/>
                <w:szCs w:val="18"/>
              </w:rPr>
              <w:t>7 (18.4)</w:t>
            </w:r>
          </w:p>
        </w:tc>
        <w:tc>
          <w:tcPr>
            <w:tcW w:w="0" w:type="auto"/>
            <w:tcBorders>
              <w:top w:val="nil"/>
              <w:bottom w:val="single" w:sz="4" w:space="0" w:color="auto"/>
              <w:right w:val="single" w:sz="4" w:space="0" w:color="auto"/>
            </w:tcBorders>
            <w:shd w:val="clear" w:color="auto" w:fill="auto"/>
            <w:vAlign w:val="center"/>
          </w:tcPr>
          <w:p w14:paraId="46A99D2E" w14:textId="77777777" w:rsidR="00A923E2" w:rsidRPr="00A70E99" w:rsidRDefault="00A923E2" w:rsidP="00A70E99">
            <w:pPr>
              <w:jc w:val="right"/>
              <w:rPr>
                <w:color w:val="000000"/>
                <w:sz w:val="18"/>
                <w:szCs w:val="18"/>
              </w:rPr>
            </w:pPr>
          </w:p>
        </w:tc>
        <w:tc>
          <w:tcPr>
            <w:tcW w:w="0" w:type="auto"/>
            <w:tcBorders>
              <w:top w:val="nil"/>
              <w:left w:val="single" w:sz="4" w:space="0" w:color="auto"/>
              <w:bottom w:val="single" w:sz="4" w:space="0" w:color="auto"/>
            </w:tcBorders>
            <w:shd w:val="clear" w:color="auto" w:fill="auto"/>
            <w:vAlign w:val="center"/>
          </w:tcPr>
          <w:p w14:paraId="73FFC466" w14:textId="111C4F70" w:rsidR="00A923E2" w:rsidRPr="00A70E99" w:rsidRDefault="00A923E2" w:rsidP="00A70E99">
            <w:pPr>
              <w:jc w:val="right"/>
              <w:rPr>
                <w:color w:val="000000"/>
                <w:sz w:val="18"/>
                <w:szCs w:val="18"/>
              </w:rPr>
            </w:pPr>
            <w:r w:rsidRPr="00A70E99">
              <w:rPr>
                <w:color w:val="000000"/>
                <w:sz w:val="18"/>
                <w:szCs w:val="18"/>
              </w:rPr>
              <w:t>10 (10.3)</w:t>
            </w:r>
          </w:p>
        </w:tc>
        <w:tc>
          <w:tcPr>
            <w:tcW w:w="0" w:type="auto"/>
            <w:tcBorders>
              <w:top w:val="nil"/>
              <w:bottom w:val="single" w:sz="4" w:space="0" w:color="auto"/>
              <w:right w:val="single" w:sz="4" w:space="0" w:color="auto"/>
            </w:tcBorders>
            <w:shd w:val="clear" w:color="auto" w:fill="auto"/>
            <w:vAlign w:val="center"/>
          </w:tcPr>
          <w:p w14:paraId="361E8354" w14:textId="77777777" w:rsidR="00A923E2" w:rsidRPr="00A70E99" w:rsidRDefault="00A923E2" w:rsidP="00A70E99">
            <w:pPr>
              <w:jc w:val="right"/>
              <w:rPr>
                <w:color w:val="000000"/>
                <w:sz w:val="18"/>
                <w:szCs w:val="18"/>
              </w:rPr>
            </w:pPr>
          </w:p>
        </w:tc>
      </w:tr>
      <w:tr w:rsidR="00DB3251" w:rsidRPr="00DB3251" w14:paraId="2E9ECCB7" w14:textId="77777777" w:rsidTr="00101899">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59539F" w14:textId="7D0E2AAE" w:rsidR="00DB3251" w:rsidRPr="00A70E99" w:rsidRDefault="00DB3251" w:rsidP="009430C4">
            <w:pPr>
              <w:rPr>
                <w:b/>
                <w:sz w:val="18"/>
                <w:szCs w:val="18"/>
              </w:rPr>
            </w:pPr>
            <w:r w:rsidRPr="00A70E99">
              <w:rPr>
                <w:b/>
                <w:color w:val="000000"/>
                <w:sz w:val="18"/>
                <w:szCs w:val="18"/>
              </w:rPr>
              <w:t>BMI</w:t>
            </w:r>
            <w:r w:rsidR="00A70E99" w:rsidRPr="00A70E99">
              <w:rPr>
                <w:b/>
                <w:color w:val="000000"/>
                <w:sz w:val="18"/>
                <w:szCs w:val="18"/>
              </w:rPr>
              <w:t xml:space="preserve">, </w:t>
            </w:r>
            <w:r w:rsidR="009430C4" w:rsidRPr="00A70E99">
              <w:rPr>
                <w:b/>
                <w:color w:val="000000"/>
                <w:sz w:val="18"/>
                <w:szCs w:val="18"/>
              </w:rPr>
              <w:t>kg/m</w:t>
            </w:r>
            <w:r w:rsidR="009430C4" w:rsidRPr="00A70E99">
              <w:rPr>
                <w:b/>
                <w:color w:val="000000"/>
                <w:sz w:val="18"/>
                <w:szCs w:val="18"/>
                <w:vertAlign w:val="superscript"/>
              </w:rPr>
              <w:t>2</w:t>
            </w:r>
            <w:r w:rsidR="00A70E99" w:rsidRPr="00A70E99">
              <w:rPr>
                <w:b/>
                <w:color w:val="000000"/>
                <w:sz w:val="18"/>
                <w:szCs w:val="18"/>
              </w:rPr>
              <w:t xml:space="preserve"> (Mean (SD))</w:t>
            </w:r>
            <w:r w:rsidR="00105C68">
              <w:rPr>
                <w:b/>
                <w:color w:val="000000"/>
                <w:sz w:val="18"/>
                <w:szCs w:val="18"/>
                <w:vertAlign w:val="superscript"/>
              </w:rPr>
              <w:t xml:space="preserve"> </w:t>
            </w:r>
            <w:r w:rsidR="00105C68" w:rsidRPr="00105C68">
              <w:rPr>
                <w:b/>
                <w:color w:val="000000"/>
                <w:sz w:val="18"/>
                <w:szCs w:val="18"/>
                <w:vertAlign w:val="superscript"/>
              </w:rPr>
              <w:t>d</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DE9A732" w14:textId="2D73F5D5" w:rsidR="00DB3251" w:rsidRPr="00A70E99" w:rsidRDefault="00DB3251" w:rsidP="00A70E99">
            <w:pPr>
              <w:jc w:val="right"/>
              <w:rPr>
                <w:sz w:val="18"/>
                <w:szCs w:val="18"/>
              </w:rPr>
            </w:pPr>
            <w:r w:rsidRPr="00A70E99">
              <w:rPr>
                <w:color w:val="000000"/>
                <w:sz w:val="18"/>
                <w:szCs w:val="18"/>
              </w:rPr>
              <w:t>27.</w:t>
            </w:r>
            <w:r w:rsidR="00A70E99">
              <w:rPr>
                <w:color w:val="000000"/>
                <w:sz w:val="18"/>
                <w:szCs w:val="18"/>
              </w:rPr>
              <w:t>7</w:t>
            </w:r>
            <w:r w:rsidRPr="00A70E99">
              <w:rPr>
                <w:color w:val="000000"/>
                <w:sz w:val="18"/>
                <w:szCs w:val="18"/>
              </w:rPr>
              <w:t xml:space="preserve"> (</w:t>
            </w:r>
            <w:r w:rsidR="00A70E99">
              <w:rPr>
                <w:color w:val="000000"/>
                <w:sz w:val="18"/>
                <w:szCs w:val="18"/>
              </w:rPr>
              <w:t>6.0</w:t>
            </w:r>
            <w:r w:rsidRPr="00A70E99">
              <w:rPr>
                <w:color w:val="000000"/>
                <w:sz w:val="18"/>
                <w:szCs w:val="18"/>
              </w:rPr>
              <w:t>)</w:t>
            </w:r>
          </w:p>
        </w:tc>
        <w:tc>
          <w:tcPr>
            <w:tcW w:w="0" w:type="auto"/>
            <w:tcBorders>
              <w:top w:val="single" w:sz="4" w:space="0" w:color="auto"/>
              <w:left w:val="single" w:sz="4" w:space="0" w:color="auto"/>
              <w:bottom w:val="single" w:sz="4" w:space="0" w:color="auto"/>
            </w:tcBorders>
            <w:shd w:val="clear" w:color="auto" w:fill="auto"/>
            <w:vAlign w:val="center"/>
          </w:tcPr>
          <w:p w14:paraId="17BFF7FE" w14:textId="341BFFB1" w:rsidR="00DB3251" w:rsidRPr="00A70E99" w:rsidRDefault="00DB3251" w:rsidP="00A70E99">
            <w:pPr>
              <w:jc w:val="right"/>
              <w:rPr>
                <w:sz w:val="18"/>
                <w:szCs w:val="18"/>
              </w:rPr>
            </w:pPr>
            <w:r w:rsidRPr="00A70E99">
              <w:rPr>
                <w:color w:val="000000"/>
                <w:sz w:val="18"/>
                <w:szCs w:val="18"/>
              </w:rPr>
              <w:t>27.2 (6.3)</w:t>
            </w:r>
          </w:p>
        </w:tc>
        <w:tc>
          <w:tcPr>
            <w:tcW w:w="0" w:type="auto"/>
            <w:tcBorders>
              <w:top w:val="single" w:sz="4" w:space="0" w:color="auto"/>
              <w:bottom w:val="single" w:sz="4" w:space="0" w:color="auto"/>
              <w:right w:val="single" w:sz="4" w:space="0" w:color="auto"/>
            </w:tcBorders>
            <w:shd w:val="clear" w:color="auto" w:fill="auto"/>
            <w:vAlign w:val="center"/>
          </w:tcPr>
          <w:p w14:paraId="3A99820C" w14:textId="361E1D9D" w:rsidR="00DB3251" w:rsidRPr="00A70E99" w:rsidRDefault="00DB3251" w:rsidP="00A70E99">
            <w:pPr>
              <w:jc w:val="right"/>
              <w:rPr>
                <w:sz w:val="18"/>
                <w:szCs w:val="18"/>
              </w:rPr>
            </w:pPr>
            <w:r w:rsidRPr="00A70E99">
              <w:rPr>
                <w:color w:val="000000"/>
                <w:sz w:val="18"/>
                <w:szCs w:val="18"/>
              </w:rPr>
              <w:t>0.010</w:t>
            </w:r>
          </w:p>
        </w:tc>
        <w:tc>
          <w:tcPr>
            <w:tcW w:w="0" w:type="auto"/>
            <w:tcBorders>
              <w:top w:val="single" w:sz="4" w:space="0" w:color="auto"/>
              <w:left w:val="single" w:sz="4" w:space="0" w:color="auto"/>
              <w:bottom w:val="single" w:sz="4" w:space="0" w:color="auto"/>
            </w:tcBorders>
            <w:shd w:val="clear" w:color="auto" w:fill="auto"/>
            <w:vAlign w:val="center"/>
          </w:tcPr>
          <w:p w14:paraId="2E1ED7BC" w14:textId="26BBCF4E" w:rsidR="00DB3251" w:rsidRPr="00A70E99" w:rsidRDefault="00DB3251" w:rsidP="00A70E99">
            <w:pPr>
              <w:jc w:val="right"/>
              <w:rPr>
                <w:sz w:val="18"/>
                <w:szCs w:val="18"/>
              </w:rPr>
            </w:pPr>
            <w:r w:rsidRPr="00A70E99">
              <w:rPr>
                <w:color w:val="000000"/>
                <w:sz w:val="18"/>
                <w:szCs w:val="18"/>
              </w:rPr>
              <w:t>26.7 (4.8)</w:t>
            </w:r>
          </w:p>
        </w:tc>
        <w:tc>
          <w:tcPr>
            <w:tcW w:w="0" w:type="auto"/>
            <w:tcBorders>
              <w:top w:val="single" w:sz="4" w:space="0" w:color="auto"/>
              <w:bottom w:val="single" w:sz="4" w:space="0" w:color="auto"/>
              <w:right w:val="single" w:sz="4" w:space="0" w:color="auto"/>
            </w:tcBorders>
            <w:shd w:val="clear" w:color="auto" w:fill="auto"/>
            <w:vAlign w:val="center"/>
          </w:tcPr>
          <w:p w14:paraId="704704CF" w14:textId="3C62D160" w:rsidR="00DB3251" w:rsidRPr="00A70E99" w:rsidRDefault="00DB3251" w:rsidP="00A70E99">
            <w:pPr>
              <w:jc w:val="right"/>
              <w:rPr>
                <w:sz w:val="18"/>
                <w:szCs w:val="18"/>
              </w:rPr>
            </w:pPr>
            <w:r w:rsidRPr="00A70E99">
              <w:rPr>
                <w:color w:val="000000"/>
                <w:sz w:val="18"/>
                <w:szCs w:val="18"/>
              </w:rPr>
              <w:t>0.349</w:t>
            </w:r>
          </w:p>
        </w:tc>
        <w:tc>
          <w:tcPr>
            <w:tcW w:w="0" w:type="auto"/>
            <w:tcBorders>
              <w:top w:val="single" w:sz="4" w:space="0" w:color="auto"/>
              <w:left w:val="single" w:sz="4" w:space="0" w:color="auto"/>
              <w:bottom w:val="single" w:sz="4" w:space="0" w:color="auto"/>
            </w:tcBorders>
            <w:shd w:val="clear" w:color="auto" w:fill="auto"/>
            <w:vAlign w:val="center"/>
          </w:tcPr>
          <w:p w14:paraId="6F907E45" w14:textId="694D42A9" w:rsidR="00DB3251" w:rsidRPr="00A70E99" w:rsidRDefault="00DB3251" w:rsidP="00A70E99">
            <w:pPr>
              <w:jc w:val="right"/>
              <w:rPr>
                <w:sz w:val="18"/>
                <w:szCs w:val="18"/>
              </w:rPr>
            </w:pPr>
            <w:r w:rsidRPr="00A70E99">
              <w:rPr>
                <w:color w:val="000000"/>
                <w:sz w:val="18"/>
                <w:szCs w:val="18"/>
              </w:rPr>
              <w:t>26.</w:t>
            </w:r>
            <w:r w:rsidR="00A70E99">
              <w:rPr>
                <w:color w:val="000000"/>
                <w:sz w:val="18"/>
                <w:szCs w:val="18"/>
              </w:rPr>
              <w:t>1</w:t>
            </w:r>
            <w:r w:rsidRPr="00A70E99">
              <w:rPr>
                <w:color w:val="000000"/>
                <w:sz w:val="18"/>
                <w:szCs w:val="18"/>
              </w:rPr>
              <w:t xml:space="preserve"> (6.4)</w:t>
            </w:r>
          </w:p>
        </w:tc>
        <w:tc>
          <w:tcPr>
            <w:tcW w:w="0" w:type="auto"/>
            <w:tcBorders>
              <w:top w:val="single" w:sz="4" w:space="0" w:color="auto"/>
              <w:bottom w:val="single" w:sz="4" w:space="0" w:color="auto"/>
              <w:right w:val="single" w:sz="4" w:space="0" w:color="auto"/>
            </w:tcBorders>
            <w:shd w:val="clear" w:color="auto" w:fill="auto"/>
            <w:vAlign w:val="center"/>
          </w:tcPr>
          <w:p w14:paraId="15490DB0" w14:textId="36071256" w:rsidR="00DB3251" w:rsidRPr="00A70E99" w:rsidRDefault="00DB3251" w:rsidP="00A70E99">
            <w:pPr>
              <w:jc w:val="right"/>
              <w:rPr>
                <w:sz w:val="18"/>
                <w:szCs w:val="18"/>
              </w:rPr>
            </w:pPr>
            <w:r w:rsidRPr="00A70E99">
              <w:rPr>
                <w:color w:val="000000"/>
                <w:sz w:val="18"/>
                <w:szCs w:val="18"/>
              </w:rPr>
              <w:t>0.008</w:t>
            </w:r>
          </w:p>
        </w:tc>
      </w:tr>
      <w:tr w:rsidR="00A25CBA" w:rsidRPr="00DB3251" w14:paraId="24052DB3" w14:textId="77777777" w:rsidTr="00101899">
        <w:trPr>
          <w:trHeight w:val="227"/>
        </w:trPr>
        <w:tc>
          <w:tcPr>
            <w:tcW w:w="2410" w:type="dxa"/>
            <w:tcBorders>
              <w:top w:val="single" w:sz="4" w:space="0" w:color="auto"/>
              <w:left w:val="single" w:sz="4" w:space="0" w:color="auto"/>
              <w:bottom w:val="nil"/>
              <w:right w:val="single" w:sz="4" w:space="0" w:color="auto"/>
            </w:tcBorders>
            <w:shd w:val="clear" w:color="auto" w:fill="auto"/>
            <w:vAlign w:val="center"/>
          </w:tcPr>
          <w:p w14:paraId="5447805F" w14:textId="56C62445" w:rsidR="00A25CBA" w:rsidRPr="00A70E99" w:rsidRDefault="00763BEE" w:rsidP="00A25CBA">
            <w:pPr>
              <w:rPr>
                <w:b/>
                <w:color w:val="000000"/>
                <w:sz w:val="18"/>
                <w:szCs w:val="18"/>
              </w:rPr>
            </w:pPr>
            <w:r w:rsidRPr="00A70E99">
              <w:rPr>
                <w:b/>
                <w:color w:val="000000"/>
                <w:sz w:val="18"/>
                <w:szCs w:val="18"/>
              </w:rPr>
              <w:t>Comorbidities</w:t>
            </w:r>
          </w:p>
        </w:tc>
        <w:tc>
          <w:tcPr>
            <w:tcW w:w="1153" w:type="dxa"/>
            <w:tcBorders>
              <w:top w:val="single" w:sz="4" w:space="0" w:color="auto"/>
              <w:left w:val="single" w:sz="4" w:space="0" w:color="auto"/>
              <w:bottom w:val="nil"/>
              <w:right w:val="single" w:sz="4" w:space="0" w:color="auto"/>
            </w:tcBorders>
            <w:shd w:val="clear" w:color="auto" w:fill="auto"/>
            <w:vAlign w:val="center"/>
          </w:tcPr>
          <w:p w14:paraId="561496CD" w14:textId="77777777" w:rsidR="00A25CBA" w:rsidRPr="00A70E99" w:rsidRDefault="00A25CBA" w:rsidP="00A70E99">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6EEA0B97" w14:textId="77777777" w:rsidR="00A25CBA" w:rsidRPr="00A70E99" w:rsidRDefault="00A25CBA" w:rsidP="00A70E99">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23CB86E2" w14:textId="77777777" w:rsidR="00A25CBA" w:rsidRPr="00A70E99" w:rsidRDefault="00A25CBA" w:rsidP="00A70E99">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52025CA6" w14:textId="77777777" w:rsidR="00A25CBA" w:rsidRPr="00A70E99" w:rsidRDefault="00A25CBA" w:rsidP="00A70E99">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3FA93042" w14:textId="77777777" w:rsidR="00A25CBA" w:rsidRPr="00A70E99" w:rsidRDefault="00A25CBA" w:rsidP="00A70E99">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58AD39A7" w14:textId="77777777" w:rsidR="00A25CBA" w:rsidRPr="00A70E99" w:rsidRDefault="00A25CBA" w:rsidP="00A70E99">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0889A82B" w14:textId="77777777" w:rsidR="00A25CBA" w:rsidRPr="00A70E99" w:rsidRDefault="00A25CBA" w:rsidP="00A70E99">
            <w:pPr>
              <w:jc w:val="right"/>
              <w:rPr>
                <w:color w:val="000000"/>
                <w:sz w:val="18"/>
                <w:szCs w:val="18"/>
              </w:rPr>
            </w:pPr>
          </w:p>
        </w:tc>
      </w:tr>
      <w:tr w:rsidR="008A6CC1" w:rsidRPr="00DB3251" w14:paraId="4609D6B6"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70717BAE" w14:textId="027EED9F" w:rsidR="008A6CC1" w:rsidRPr="00A70E99" w:rsidRDefault="008A6CC1" w:rsidP="008A6CC1">
            <w:pPr>
              <w:jc w:val="right"/>
              <w:rPr>
                <w:color w:val="000000"/>
                <w:sz w:val="18"/>
                <w:szCs w:val="18"/>
              </w:rPr>
            </w:pPr>
            <w:r w:rsidRPr="00A70E99">
              <w:rPr>
                <w:color w:val="000000"/>
                <w:sz w:val="18"/>
                <w:szCs w:val="18"/>
              </w:rPr>
              <w:t>Atrial Fibrillation</w:t>
            </w:r>
          </w:p>
        </w:tc>
        <w:tc>
          <w:tcPr>
            <w:tcW w:w="1153" w:type="dxa"/>
            <w:tcBorders>
              <w:top w:val="nil"/>
              <w:left w:val="single" w:sz="4" w:space="0" w:color="auto"/>
              <w:bottom w:val="nil"/>
              <w:right w:val="single" w:sz="4" w:space="0" w:color="auto"/>
            </w:tcBorders>
            <w:shd w:val="clear" w:color="auto" w:fill="auto"/>
            <w:vAlign w:val="center"/>
          </w:tcPr>
          <w:p w14:paraId="4CA2B719" w14:textId="02B9D43B" w:rsidR="008A6CC1" w:rsidRPr="00A70E99" w:rsidRDefault="00A923E2" w:rsidP="00A70E99">
            <w:pPr>
              <w:jc w:val="right"/>
              <w:rPr>
                <w:color w:val="000000"/>
                <w:sz w:val="18"/>
                <w:szCs w:val="18"/>
              </w:rPr>
            </w:pPr>
            <w:r w:rsidRPr="00A70E99">
              <w:rPr>
                <w:color w:val="000000"/>
                <w:sz w:val="18"/>
                <w:szCs w:val="18"/>
              </w:rPr>
              <w:t xml:space="preserve">237 </w:t>
            </w:r>
            <w:r w:rsidR="002F7042" w:rsidRPr="00A70E99">
              <w:rPr>
                <w:color w:val="000000"/>
                <w:sz w:val="18"/>
                <w:szCs w:val="18"/>
              </w:rPr>
              <w:t>(</w:t>
            </w:r>
            <w:r w:rsidRPr="00A70E99">
              <w:rPr>
                <w:color w:val="000000"/>
                <w:sz w:val="18"/>
                <w:szCs w:val="18"/>
              </w:rPr>
              <w:t xml:space="preserve">3.6) </w:t>
            </w:r>
          </w:p>
        </w:tc>
        <w:tc>
          <w:tcPr>
            <w:tcW w:w="0" w:type="auto"/>
            <w:tcBorders>
              <w:top w:val="nil"/>
              <w:left w:val="single" w:sz="4" w:space="0" w:color="auto"/>
              <w:bottom w:val="nil"/>
            </w:tcBorders>
            <w:shd w:val="clear" w:color="auto" w:fill="auto"/>
            <w:vAlign w:val="center"/>
          </w:tcPr>
          <w:p w14:paraId="195721B6" w14:textId="7D10A0E8" w:rsidR="008A6CC1" w:rsidRPr="00A70E99" w:rsidRDefault="008A6CC1" w:rsidP="00A70E99">
            <w:pPr>
              <w:jc w:val="right"/>
              <w:rPr>
                <w:color w:val="000000"/>
                <w:sz w:val="18"/>
                <w:szCs w:val="18"/>
              </w:rPr>
            </w:pPr>
            <w:r w:rsidRPr="00A70E99">
              <w:rPr>
                <w:color w:val="000000"/>
                <w:sz w:val="18"/>
                <w:szCs w:val="18"/>
              </w:rPr>
              <w:t>61 (5.7)</w:t>
            </w:r>
          </w:p>
        </w:tc>
        <w:tc>
          <w:tcPr>
            <w:tcW w:w="0" w:type="auto"/>
            <w:tcBorders>
              <w:top w:val="nil"/>
              <w:bottom w:val="nil"/>
              <w:right w:val="single" w:sz="4" w:space="0" w:color="auto"/>
            </w:tcBorders>
            <w:shd w:val="clear" w:color="auto" w:fill="auto"/>
            <w:vAlign w:val="center"/>
          </w:tcPr>
          <w:p w14:paraId="3EB4FE9C" w14:textId="6711D78C" w:rsidR="008A6CC1" w:rsidRPr="00A70E99" w:rsidRDefault="008A6CC1" w:rsidP="00A70E99">
            <w:pPr>
              <w:jc w:val="right"/>
              <w:rPr>
                <w:color w:val="000000"/>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4098890E" w14:textId="2457E46D" w:rsidR="008A6CC1" w:rsidRPr="00A70E99" w:rsidRDefault="008A6CC1" w:rsidP="00A70E99">
            <w:pPr>
              <w:jc w:val="right"/>
              <w:rPr>
                <w:color w:val="000000"/>
                <w:sz w:val="18"/>
                <w:szCs w:val="18"/>
              </w:rPr>
            </w:pPr>
            <w:r w:rsidRPr="00A70E99">
              <w:rPr>
                <w:color w:val="000000"/>
                <w:sz w:val="18"/>
                <w:szCs w:val="18"/>
              </w:rPr>
              <w:t xml:space="preserve">1 </w:t>
            </w:r>
            <w:r w:rsidR="002F7042" w:rsidRPr="00A70E99">
              <w:rPr>
                <w:color w:val="000000"/>
                <w:sz w:val="18"/>
                <w:szCs w:val="18"/>
              </w:rPr>
              <w:t>(</w:t>
            </w:r>
            <w:r w:rsidRPr="00A70E99">
              <w:rPr>
                <w:color w:val="000000"/>
                <w:sz w:val="18"/>
                <w:szCs w:val="18"/>
              </w:rPr>
              <w:t>2.6)</w:t>
            </w:r>
          </w:p>
        </w:tc>
        <w:tc>
          <w:tcPr>
            <w:tcW w:w="0" w:type="auto"/>
            <w:tcBorders>
              <w:top w:val="nil"/>
              <w:bottom w:val="nil"/>
              <w:right w:val="single" w:sz="4" w:space="0" w:color="auto"/>
            </w:tcBorders>
            <w:shd w:val="clear" w:color="auto" w:fill="auto"/>
            <w:vAlign w:val="center"/>
          </w:tcPr>
          <w:p w14:paraId="36CEA485" w14:textId="6EB1AAFD" w:rsidR="008A6CC1" w:rsidRPr="00A70E99" w:rsidRDefault="008A6CC1" w:rsidP="00A70E99">
            <w:pPr>
              <w:jc w:val="right"/>
              <w:rPr>
                <w:color w:val="000000"/>
                <w:sz w:val="18"/>
                <w:szCs w:val="18"/>
              </w:rPr>
            </w:pPr>
            <w:r w:rsidRPr="00A70E99">
              <w:rPr>
                <w:color w:val="000000"/>
                <w:sz w:val="18"/>
                <w:szCs w:val="18"/>
              </w:rPr>
              <w:t>1.000</w:t>
            </w:r>
          </w:p>
        </w:tc>
        <w:tc>
          <w:tcPr>
            <w:tcW w:w="0" w:type="auto"/>
            <w:tcBorders>
              <w:top w:val="nil"/>
              <w:left w:val="single" w:sz="4" w:space="0" w:color="auto"/>
              <w:bottom w:val="nil"/>
            </w:tcBorders>
            <w:shd w:val="clear" w:color="auto" w:fill="auto"/>
            <w:vAlign w:val="center"/>
          </w:tcPr>
          <w:p w14:paraId="308A5244" w14:textId="4FE2AA0F" w:rsidR="008A6CC1" w:rsidRPr="00A70E99" w:rsidRDefault="008A6CC1" w:rsidP="00A70E99">
            <w:pPr>
              <w:jc w:val="right"/>
              <w:rPr>
                <w:color w:val="000000"/>
                <w:sz w:val="18"/>
                <w:szCs w:val="18"/>
              </w:rPr>
            </w:pPr>
            <w:r w:rsidRPr="00A70E99">
              <w:rPr>
                <w:color w:val="000000"/>
                <w:sz w:val="18"/>
                <w:szCs w:val="18"/>
              </w:rPr>
              <w:t xml:space="preserve">5 </w:t>
            </w:r>
            <w:r w:rsidR="002F7042" w:rsidRPr="00A70E99">
              <w:rPr>
                <w:color w:val="000000"/>
                <w:sz w:val="18"/>
                <w:szCs w:val="18"/>
              </w:rPr>
              <w:t>(</w:t>
            </w:r>
            <w:r w:rsidRPr="00A70E99">
              <w:rPr>
                <w:color w:val="000000"/>
                <w:sz w:val="18"/>
                <w:szCs w:val="18"/>
              </w:rPr>
              <w:t>5.2)</w:t>
            </w:r>
          </w:p>
        </w:tc>
        <w:tc>
          <w:tcPr>
            <w:tcW w:w="0" w:type="auto"/>
            <w:tcBorders>
              <w:top w:val="nil"/>
              <w:bottom w:val="nil"/>
              <w:right w:val="single" w:sz="4" w:space="0" w:color="auto"/>
            </w:tcBorders>
            <w:shd w:val="clear" w:color="auto" w:fill="auto"/>
            <w:vAlign w:val="center"/>
          </w:tcPr>
          <w:p w14:paraId="4582CD46" w14:textId="270BCB0F" w:rsidR="008A6CC1" w:rsidRPr="00A70E99" w:rsidRDefault="008A6CC1" w:rsidP="00A70E99">
            <w:pPr>
              <w:jc w:val="right"/>
              <w:rPr>
                <w:color w:val="000000"/>
                <w:sz w:val="18"/>
                <w:szCs w:val="18"/>
              </w:rPr>
            </w:pPr>
            <w:r w:rsidRPr="00A70E99">
              <w:rPr>
                <w:color w:val="000000"/>
                <w:sz w:val="18"/>
                <w:szCs w:val="18"/>
              </w:rPr>
              <w:t>0.578</w:t>
            </w:r>
          </w:p>
        </w:tc>
      </w:tr>
      <w:tr w:rsidR="00A25CBA" w:rsidRPr="00DB3251" w14:paraId="53D2BA63"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01081CE9" w14:textId="478C2910" w:rsidR="00A25CBA" w:rsidRPr="00A70E99" w:rsidRDefault="00A25CBA" w:rsidP="00763BEE">
            <w:pPr>
              <w:jc w:val="right"/>
              <w:rPr>
                <w:sz w:val="18"/>
                <w:szCs w:val="18"/>
              </w:rPr>
            </w:pPr>
            <w:r w:rsidRPr="00A70E99">
              <w:rPr>
                <w:color w:val="000000"/>
                <w:sz w:val="18"/>
                <w:szCs w:val="18"/>
              </w:rPr>
              <w:t>Hypertension</w:t>
            </w:r>
          </w:p>
        </w:tc>
        <w:tc>
          <w:tcPr>
            <w:tcW w:w="1153" w:type="dxa"/>
            <w:tcBorders>
              <w:top w:val="nil"/>
              <w:left w:val="single" w:sz="4" w:space="0" w:color="auto"/>
              <w:bottom w:val="nil"/>
              <w:right w:val="single" w:sz="4" w:space="0" w:color="auto"/>
            </w:tcBorders>
            <w:shd w:val="clear" w:color="auto" w:fill="auto"/>
            <w:vAlign w:val="center"/>
          </w:tcPr>
          <w:p w14:paraId="2F49D450" w14:textId="57F85AAB" w:rsidR="00A25CBA" w:rsidRPr="00A70E99" w:rsidRDefault="00A25CBA" w:rsidP="00A70E99">
            <w:pPr>
              <w:jc w:val="right"/>
              <w:rPr>
                <w:sz w:val="18"/>
                <w:szCs w:val="18"/>
              </w:rPr>
            </w:pPr>
            <w:r w:rsidRPr="00A70E99">
              <w:rPr>
                <w:color w:val="000000"/>
                <w:sz w:val="18"/>
                <w:szCs w:val="18"/>
              </w:rPr>
              <w:t>2063 (31.3)</w:t>
            </w:r>
          </w:p>
        </w:tc>
        <w:tc>
          <w:tcPr>
            <w:tcW w:w="0" w:type="auto"/>
            <w:tcBorders>
              <w:top w:val="nil"/>
              <w:left w:val="single" w:sz="4" w:space="0" w:color="auto"/>
              <w:bottom w:val="nil"/>
            </w:tcBorders>
            <w:shd w:val="clear" w:color="auto" w:fill="auto"/>
            <w:vAlign w:val="center"/>
          </w:tcPr>
          <w:p w14:paraId="3E62C759" w14:textId="444F82F9" w:rsidR="00A25CBA" w:rsidRPr="00A70E99" w:rsidRDefault="00A25CBA" w:rsidP="00A70E99">
            <w:pPr>
              <w:jc w:val="right"/>
              <w:rPr>
                <w:sz w:val="18"/>
                <w:szCs w:val="18"/>
              </w:rPr>
            </w:pPr>
            <w:r w:rsidRPr="00A70E99">
              <w:rPr>
                <w:color w:val="000000"/>
                <w:sz w:val="18"/>
                <w:szCs w:val="18"/>
              </w:rPr>
              <w:t>441 (41.4)</w:t>
            </w:r>
          </w:p>
        </w:tc>
        <w:tc>
          <w:tcPr>
            <w:tcW w:w="0" w:type="auto"/>
            <w:tcBorders>
              <w:top w:val="nil"/>
              <w:bottom w:val="nil"/>
              <w:right w:val="single" w:sz="4" w:space="0" w:color="auto"/>
            </w:tcBorders>
            <w:shd w:val="clear" w:color="auto" w:fill="auto"/>
            <w:vAlign w:val="center"/>
          </w:tcPr>
          <w:p w14:paraId="6E866ED8" w14:textId="077876C3"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36573DF8" w14:textId="43367ACC" w:rsidR="00A25CBA" w:rsidRPr="00A70E99" w:rsidRDefault="00A25CBA" w:rsidP="00A70E99">
            <w:pPr>
              <w:jc w:val="right"/>
              <w:rPr>
                <w:sz w:val="18"/>
                <w:szCs w:val="18"/>
              </w:rPr>
            </w:pPr>
            <w:r w:rsidRPr="00A70E99">
              <w:rPr>
                <w:color w:val="000000"/>
                <w:sz w:val="18"/>
                <w:szCs w:val="18"/>
              </w:rPr>
              <w:t>15 (39.5)</w:t>
            </w:r>
          </w:p>
        </w:tc>
        <w:tc>
          <w:tcPr>
            <w:tcW w:w="0" w:type="auto"/>
            <w:tcBorders>
              <w:top w:val="nil"/>
              <w:bottom w:val="nil"/>
              <w:right w:val="single" w:sz="4" w:space="0" w:color="auto"/>
            </w:tcBorders>
            <w:shd w:val="clear" w:color="auto" w:fill="auto"/>
            <w:vAlign w:val="center"/>
          </w:tcPr>
          <w:p w14:paraId="4BF12357" w14:textId="1C11BC4D" w:rsidR="00A25CBA" w:rsidRPr="00A70E99" w:rsidRDefault="00A25CBA" w:rsidP="00A70E99">
            <w:pPr>
              <w:jc w:val="right"/>
              <w:rPr>
                <w:sz w:val="18"/>
                <w:szCs w:val="18"/>
              </w:rPr>
            </w:pPr>
            <w:r w:rsidRPr="00A70E99">
              <w:rPr>
                <w:color w:val="000000"/>
                <w:sz w:val="18"/>
                <w:szCs w:val="18"/>
              </w:rPr>
              <w:t>0.361</w:t>
            </w:r>
          </w:p>
        </w:tc>
        <w:tc>
          <w:tcPr>
            <w:tcW w:w="0" w:type="auto"/>
            <w:tcBorders>
              <w:top w:val="nil"/>
              <w:left w:val="single" w:sz="4" w:space="0" w:color="auto"/>
              <w:bottom w:val="nil"/>
            </w:tcBorders>
            <w:shd w:val="clear" w:color="auto" w:fill="auto"/>
            <w:vAlign w:val="center"/>
          </w:tcPr>
          <w:p w14:paraId="7CE5AF0C" w14:textId="763EFE12" w:rsidR="00A25CBA" w:rsidRPr="00A70E99" w:rsidRDefault="00A25CBA" w:rsidP="00A70E99">
            <w:pPr>
              <w:jc w:val="right"/>
              <w:rPr>
                <w:sz w:val="18"/>
                <w:szCs w:val="18"/>
              </w:rPr>
            </w:pPr>
            <w:r w:rsidRPr="00A70E99">
              <w:rPr>
                <w:color w:val="000000"/>
                <w:sz w:val="18"/>
                <w:szCs w:val="18"/>
              </w:rPr>
              <w:t>33 (34.0)</w:t>
            </w:r>
          </w:p>
        </w:tc>
        <w:tc>
          <w:tcPr>
            <w:tcW w:w="0" w:type="auto"/>
            <w:tcBorders>
              <w:top w:val="nil"/>
              <w:bottom w:val="nil"/>
              <w:right w:val="single" w:sz="4" w:space="0" w:color="auto"/>
            </w:tcBorders>
            <w:shd w:val="clear" w:color="auto" w:fill="auto"/>
            <w:vAlign w:val="center"/>
          </w:tcPr>
          <w:p w14:paraId="12795586" w14:textId="69A5E4F5" w:rsidR="00A25CBA" w:rsidRPr="00A70E99" w:rsidRDefault="00A25CBA" w:rsidP="00A70E99">
            <w:pPr>
              <w:jc w:val="right"/>
              <w:rPr>
                <w:sz w:val="18"/>
                <w:szCs w:val="18"/>
              </w:rPr>
            </w:pPr>
            <w:r w:rsidRPr="00A70E99">
              <w:rPr>
                <w:color w:val="000000"/>
                <w:sz w:val="18"/>
                <w:szCs w:val="18"/>
              </w:rPr>
              <w:t>0.637</w:t>
            </w:r>
          </w:p>
        </w:tc>
      </w:tr>
      <w:tr w:rsidR="00A25CBA" w:rsidRPr="00DB3251" w14:paraId="64EE9BEF"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2B68FFDC" w14:textId="6D619BA8" w:rsidR="00A25CBA" w:rsidRPr="00A70E99" w:rsidRDefault="00A25CBA" w:rsidP="00763BEE">
            <w:pPr>
              <w:jc w:val="right"/>
              <w:rPr>
                <w:color w:val="000000"/>
                <w:sz w:val="18"/>
                <w:szCs w:val="18"/>
              </w:rPr>
            </w:pPr>
            <w:r w:rsidRPr="00A70E99">
              <w:rPr>
                <w:color w:val="000000"/>
                <w:sz w:val="18"/>
                <w:szCs w:val="18"/>
              </w:rPr>
              <w:t>Myocardial infarction</w:t>
            </w:r>
          </w:p>
        </w:tc>
        <w:tc>
          <w:tcPr>
            <w:tcW w:w="1153" w:type="dxa"/>
            <w:tcBorders>
              <w:top w:val="nil"/>
              <w:left w:val="single" w:sz="4" w:space="0" w:color="auto"/>
              <w:bottom w:val="nil"/>
              <w:right w:val="single" w:sz="4" w:space="0" w:color="auto"/>
            </w:tcBorders>
            <w:shd w:val="clear" w:color="auto" w:fill="auto"/>
            <w:vAlign w:val="center"/>
          </w:tcPr>
          <w:p w14:paraId="762C6985" w14:textId="64F0CCCA" w:rsidR="00A25CBA" w:rsidRPr="00A70E99" w:rsidRDefault="00A25CBA" w:rsidP="00A70E99">
            <w:pPr>
              <w:jc w:val="right"/>
              <w:rPr>
                <w:sz w:val="18"/>
                <w:szCs w:val="18"/>
              </w:rPr>
            </w:pPr>
            <w:r w:rsidRPr="00A70E99">
              <w:rPr>
                <w:color w:val="000000"/>
                <w:sz w:val="18"/>
                <w:szCs w:val="18"/>
              </w:rPr>
              <w:t>202 (3.1)</w:t>
            </w:r>
          </w:p>
        </w:tc>
        <w:tc>
          <w:tcPr>
            <w:tcW w:w="0" w:type="auto"/>
            <w:tcBorders>
              <w:top w:val="nil"/>
              <w:left w:val="single" w:sz="4" w:space="0" w:color="auto"/>
              <w:bottom w:val="nil"/>
            </w:tcBorders>
            <w:shd w:val="clear" w:color="auto" w:fill="auto"/>
            <w:vAlign w:val="center"/>
          </w:tcPr>
          <w:p w14:paraId="20D901EA" w14:textId="1C170A9B" w:rsidR="00A25CBA" w:rsidRPr="00A70E99" w:rsidRDefault="00A25CBA" w:rsidP="00A70E99">
            <w:pPr>
              <w:jc w:val="right"/>
              <w:rPr>
                <w:sz w:val="18"/>
                <w:szCs w:val="18"/>
              </w:rPr>
            </w:pPr>
            <w:r w:rsidRPr="00A70E99">
              <w:rPr>
                <w:color w:val="000000"/>
                <w:sz w:val="18"/>
                <w:szCs w:val="18"/>
              </w:rPr>
              <w:t>59 (5.5)</w:t>
            </w:r>
          </w:p>
        </w:tc>
        <w:tc>
          <w:tcPr>
            <w:tcW w:w="0" w:type="auto"/>
            <w:tcBorders>
              <w:top w:val="nil"/>
              <w:bottom w:val="nil"/>
              <w:right w:val="single" w:sz="4" w:space="0" w:color="auto"/>
            </w:tcBorders>
            <w:shd w:val="clear" w:color="auto" w:fill="auto"/>
            <w:vAlign w:val="center"/>
          </w:tcPr>
          <w:p w14:paraId="402B2561"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5245DCFE" w14:textId="54D8CCEE" w:rsidR="00A25CBA" w:rsidRPr="00A70E99" w:rsidRDefault="00A25CBA" w:rsidP="00A70E99">
            <w:pPr>
              <w:jc w:val="right"/>
              <w:rPr>
                <w:sz w:val="18"/>
                <w:szCs w:val="18"/>
              </w:rPr>
            </w:pPr>
            <w:r w:rsidRPr="00A70E99">
              <w:rPr>
                <w:color w:val="000000"/>
                <w:sz w:val="18"/>
                <w:szCs w:val="18"/>
              </w:rPr>
              <w:t>0</w:t>
            </w:r>
          </w:p>
        </w:tc>
        <w:tc>
          <w:tcPr>
            <w:tcW w:w="0" w:type="auto"/>
            <w:tcBorders>
              <w:top w:val="nil"/>
              <w:bottom w:val="nil"/>
              <w:right w:val="single" w:sz="4" w:space="0" w:color="auto"/>
            </w:tcBorders>
            <w:shd w:val="clear" w:color="auto" w:fill="auto"/>
            <w:vAlign w:val="center"/>
          </w:tcPr>
          <w:p w14:paraId="5D3BE58C" w14:textId="1C3AA373" w:rsidR="00A25CBA" w:rsidRPr="00A70E99" w:rsidRDefault="00A25CBA" w:rsidP="00A70E99">
            <w:pPr>
              <w:jc w:val="right"/>
              <w:rPr>
                <w:sz w:val="18"/>
                <w:szCs w:val="18"/>
              </w:rPr>
            </w:pPr>
            <w:r w:rsidRPr="00A70E99">
              <w:rPr>
                <w:color w:val="000000"/>
                <w:sz w:val="18"/>
                <w:szCs w:val="18"/>
              </w:rPr>
              <w:t>0.530</w:t>
            </w:r>
          </w:p>
        </w:tc>
        <w:tc>
          <w:tcPr>
            <w:tcW w:w="0" w:type="auto"/>
            <w:tcBorders>
              <w:top w:val="nil"/>
              <w:left w:val="single" w:sz="4" w:space="0" w:color="auto"/>
              <w:bottom w:val="nil"/>
            </w:tcBorders>
            <w:shd w:val="clear" w:color="auto" w:fill="auto"/>
            <w:vAlign w:val="center"/>
          </w:tcPr>
          <w:p w14:paraId="5DE20D90" w14:textId="7A35A1BC" w:rsidR="00A25CBA" w:rsidRPr="00A70E99" w:rsidRDefault="00A25CBA" w:rsidP="00A70E99">
            <w:pPr>
              <w:jc w:val="right"/>
              <w:rPr>
                <w:sz w:val="18"/>
                <w:szCs w:val="18"/>
              </w:rPr>
            </w:pPr>
            <w:r w:rsidRPr="00A70E99">
              <w:rPr>
                <w:color w:val="000000"/>
                <w:sz w:val="18"/>
                <w:szCs w:val="18"/>
              </w:rPr>
              <w:t>5 (5.2)</w:t>
            </w:r>
          </w:p>
        </w:tc>
        <w:tc>
          <w:tcPr>
            <w:tcW w:w="0" w:type="auto"/>
            <w:tcBorders>
              <w:top w:val="nil"/>
              <w:bottom w:val="nil"/>
              <w:right w:val="single" w:sz="4" w:space="0" w:color="auto"/>
            </w:tcBorders>
            <w:shd w:val="clear" w:color="auto" w:fill="auto"/>
            <w:vAlign w:val="center"/>
          </w:tcPr>
          <w:p w14:paraId="442F481F" w14:textId="768AAD9E" w:rsidR="00A25CBA" w:rsidRPr="00A70E99" w:rsidRDefault="00A25CBA" w:rsidP="00A70E99">
            <w:pPr>
              <w:jc w:val="right"/>
              <w:rPr>
                <w:sz w:val="18"/>
                <w:szCs w:val="18"/>
              </w:rPr>
            </w:pPr>
            <w:r w:rsidRPr="00A70E99">
              <w:rPr>
                <w:color w:val="000000"/>
                <w:sz w:val="18"/>
                <w:szCs w:val="18"/>
              </w:rPr>
              <w:t>0.365</w:t>
            </w:r>
          </w:p>
        </w:tc>
      </w:tr>
      <w:tr w:rsidR="00A25CBA" w:rsidRPr="00DB3251" w14:paraId="168D598A"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30E11563" w14:textId="70BF482A" w:rsidR="00A25CBA" w:rsidRPr="00A70E99" w:rsidRDefault="00A25CBA" w:rsidP="00763BEE">
            <w:pPr>
              <w:jc w:val="right"/>
              <w:rPr>
                <w:sz w:val="18"/>
                <w:szCs w:val="18"/>
              </w:rPr>
            </w:pPr>
            <w:r w:rsidRPr="00A70E99">
              <w:rPr>
                <w:color w:val="000000"/>
                <w:sz w:val="18"/>
                <w:szCs w:val="18"/>
              </w:rPr>
              <w:t>Stroke</w:t>
            </w:r>
          </w:p>
        </w:tc>
        <w:tc>
          <w:tcPr>
            <w:tcW w:w="1153" w:type="dxa"/>
            <w:tcBorders>
              <w:top w:val="nil"/>
              <w:left w:val="single" w:sz="4" w:space="0" w:color="auto"/>
              <w:bottom w:val="nil"/>
              <w:right w:val="single" w:sz="4" w:space="0" w:color="auto"/>
            </w:tcBorders>
            <w:shd w:val="clear" w:color="auto" w:fill="auto"/>
            <w:vAlign w:val="center"/>
          </w:tcPr>
          <w:p w14:paraId="45FE5094" w14:textId="6F7DA22D" w:rsidR="00A25CBA" w:rsidRPr="00A70E99" w:rsidRDefault="00A25CBA" w:rsidP="00A70E99">
            <w:pPr>
              <w:jc w:val="right"/>
              <w:rPr>
                <w:sz w:val="18"/>
                <w:szCs w:val="18"/>
              </w:rPr>
            </w:pPr>
            <w:r w:rsidRPr="00A70E99">
              <w:rPr>
                <w:color w:val="000000"/>
                <w:sz w:val="18"/>
                <w:szCs w:val="18"/>
              </w:rPr>
              <w:t>254 (3.9)</w:t>
            </w:r>
          </w:p>
        </w:tc>
        <w:tc>
          <w:tcPr>
            <w:tcW w:w="0" w:type="auto"/>
            <w:tcBorders>
              <w:top w:val="nil"/>
              <w:left w:val="single" w:sz="4" w:space="0" w:color="auto"/>
              <w:bottom w:val="nil"/>
            </w:tcBorders>
            <w:shd w:val="clear" w:color="auto" w:fill="auto"/>
            <w:vAlign w:val="center"/>
          </w:tcPr>
          <w:p w14:paraId="486620E5" w14:textId="03287FF1" w:rsidR="00A25CBA" w:rsidRPr="00A70E99" w:rsidRDefault="00A25CBA" w:rsidP="00A70E99">
            <w:pPr>
              <w:jc w:val="right"/>
              <w:rPr>
                <w:sz w:val="18"/>
                <w:szCs w:val="18"/>
              </w:rPr>
            </w:pPr>
            <w:r w:rsidRPr="00A70E99">
              <w:rPr>
                <w:color w:val="000000"/>
                <w:sz w:val="18"/>
                <w:szCs w:val="18"/>
              </w:rPr>
              <w:t>82 (7.7)</w:t>
            </w:r>
          </w:p>
        </w:tc>
        <w:tc>
          <w:tcPr>
            <w:tcW w:w="0" w:type="auto"/>
            <w:tcBorders>
              <w:top w:val="nil"/>
              <w:bottom w:val="nil"/>
              <w:right w:val="single" w:sz="4" w:space="0" w:color="auto"/>
            </w:tcBorders>
            <w:shd w:val="clear" w:color="auto" w:fill="auto"/>
            <w:vAlign w:val="center"/>
          </w:tcPr>
          <w:p w14:paraId="1108D6F2"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1B2ACF05" w14:textId="5E050F34" w:rsidR="00A25CBA" w:rsidRPr="00A70E99" w:rsidRDefault="00A25CBA" w:rsidP="00A70E99">
            <w:pPr>
              <w:jc w:val="right"/>
              <w:rPr>
                <w:sz w:val="18"/>
                <w:szCs w:val="18"/>
              </w:rPr>
            </w:pPr>
            <w:r w:rsidRPr="00A70E99">
              <w:rPr>
                <w:color w:val="000000"/>
                <w:sz w:val="18"/>
                <w:szCs w:val="18"/>
              </w:rPr>
              <w:t>3 (7.9)</w:t>
            </w:r>
          </w:p>
        </w:tc>
        <w:tc>
          <w:tcPr>
            <w:tcW w:w="0" w:type="auto"/>
            <w:tcBorders>
              <w:top w:val="nil"/>
              <w:bottom w:val="nil"/>
              <w:right w:val="single" w:sz="4" w:space="0" w:color="auto"/>
            </w:tcBorders>
            <w:shd w:val="clear" w:color="auto" w:fill="auto"/>
            <w:vAlign w:val="center"/>
          </w:tcPr>
          <w:p w14:paraId="5454A2C5" w14:textId="0325364E" w:rsidR="00A25CBA" w:rsidRPr="00A70E99" w:rsidRDefault="00A25CBA" w:rsidP="00A70E99">
            <w:pPr>
              <w:jc w:val="right"/>
              <w:rPr>
                <w:sz w:val="18"/>
                <w:szCs w:val="18"/>
              </w:rPr>
            </w:pPr>
            <w:r w:rsidRPr="00A70E99">
              <w:rPr>
                <w:color w:val="000000"/>
                <w:sz w:val="18"/>
                <w:szCs w:val="18"/>
              </w:rPr>
              <w:t>0.381</w:t>
            </w:r>
          </w:p>
        </w:tc>
        <w:tc>
          <w:tcPr>
            <w:tcW w:w="0" w:type="auto"/>
            <w:tcBorders>
              <w:top w:val="nil"/>
              <w:left w:val="single" w:sz="4" w:space="0" w:color="auto"/>
              <w:bottom w:val="nil"/>
            </w:tcBorders>
            <w:shd w:val="clear" w:color="auto" w:fill="auto"/>
            <w:vAlign w:val="center"/>
          </w:tcPr>
          <w:p w14:paraId="4DF542FF" w14:textId="4C370117" w:rsidR="00A25CBA" w:rsidRPr="00A70E99" w:rsidRDefault="00A25CBA" w:rsidP="00A70E99">
            <w:pPr>
              <w:jc w:val="right"/>
              <w:rPr>
                <w:sz w:val="18"/>
                <w:szCs w:val="18"/>
              </w:rPr>
            </w:pPr>
            <w:r w:rsidRPr="00A70E99">
              <w:rPr>
                <w:color w:val="000000"/>
                <w:sz w:val="18"/>
                <w:szCs w:val="18"/>
              </w:rPr>
              <w:t>5 (5.2)</w:t>
            </w:r>
          </w:p>
        </w:tc>
        <w:tc>
          <w:tcPr>
            <w:tcW w:w="0" w:type="auto"/>
            <w:tcBorders>
              <w:top w:val="nil"/>
              <w:bottom w:val="nil"/>
              <w:right w:val="single" w:sz="4" w:space="0" w:color="auto"/>
            </w:tcBorders>
            <w:shd w:val="clear" w:color="auto" w:fill="auto"/>
            <w:vAlign w:val="center"/>
          </w:tcPr>
          <w:p w14:paraId="55180BE6" w14:textId="7531B3FB" w:rsidR="00A25CBA" w:rsidRPr="00A70E99" w:rsidRDefault="00A25CBA" w:rsidP="00A70E99">
            <w:pPr>
              <w:jc w:val="right"/>
              <w:rPr>
                <w:sz w:val="18"/>
                <w:szCs w:val="18"/>
              </w:rPr>
            </w:pPr>
            <w:r w:rsidRPr="00A70E99">
              <w:rPr>
                <w:color w:val="000000"/>
                <w:sz w:val="18"/>
                <w:szCs w:val="18"/>
              </w:rPr>
              <w:t>0.686</w:t>
            </w:r>
          </w:p>
        </w:tc>
      </w:tr>
      <w:tr w:rsidR="00A25CBA" w:rsidRPr="00DB3251" w14:paraId="6CB10011"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47B0B496" w14:textId="28F8F84F" w:rsidR="00A25CBA" w:rsidRPr="00A70E99" w:rsidRDefault="00A25CBA" w:rsidP="00763BEE">
            <w:pPr>
              <w:jc w:val="right"/>
              <w:rPr>
                <w:sz w:val="18"/>
                <w:szCs w:val="18"/>
              </w:rPr>
            </w:pPr>
            <w:r w:rsidRPr="00A70E99">
              <w:rPr>
                <w:color w:val="000000"/>
                <w:sz w:val="18"/>
                <w:szCs w:val="18"/>
              </w:rPr>
              <w:t>Heart failure</w:t>
            </w:r>
          </w:p>
        </w:tc>
        <w:tc>
          <w:tcPr>
            <w:tcW w:w="1153" w:type="dxa"/>
            <w:tcBorders>
              <w:top w:val="nil"/>
              <w:left w:val="single" w:sz="4" w:space="0" w:color="auto"/>
              <w:bottom w:val="nil"/>
              <w:right w:val="single" w:sz="4" w:space="0" w:color="auto"/>
            </w:tcBorders>
            <w:shd w:val="clear" w:color="auto" w:fill="auto"/>
            <w:vAlign w:val="center"/>
          </w:tcPr>
          <w:p w14:paraId="610CB3D5" w14:textId="41A5DF8A" w:rsidR="00A25CBA" w:rsidRPr="00A70E99" w:rsidRDefault="00A25CBA" w:rsidP="00A70E99">
            <w:pPr>
              <w:jc w:val="right"/>
              <w:rPr>
                <w:sz w:val="18"/>
                <w:szCs w:val="18"/>
              </w:rPr>
            </w:pPr>
            <w:r w:rsidRPr="00A70E99">
              <w:rPr>
                <w:color w:val="000000"/>
                <w:sz w:val="18"/>
                <w:szCs w:val="18"/>
              </w:rPr>
              <w:t>108 (1.6)</w:t>
            </w:r>
          </w:p>
        </w:tc>
        <w:tc>
          <w:tcPr>
            <w:tcW w:w="0" w:type="auto"/>
            <w:tcBorders>
              <w:top w:val="nil"/>
              <w:left w:val="single" w:sz="4" w:space="0" w:color="auto"/>
              <w:bottom w:val="nil"/>
            </w:tcBorders>
            <w:shd w:val="clear" w:color="auto" w:fill="auto"/>
            <w:vAlign w:val="center"/>
          </w:tcPr>
          <w:p w14:paraId="3F5BEE50" w14:textId="4F38876F" w:rsidR="00A25CBA" w:rsidRPr="00A70E99" w:rsidRDefault="00A25CBA" w:rsidP="00A70E99">
            <w:pPr>
              <w:jc w:val="right"/>
              <w:rPr>
                <w:sz w:val="18"/>
                <w:szCs w:val="18"/>
              </w:rPr>
            </w:pPr>
            <w:r w:rsidRPr="00A70E99">
              <w:rPr>
                <w:color w:val="000000"/>
                <w:sz w:val="18"/>
                <w:szCs w:val="18"/>
              </w:rPr>
              <w:t>37 (3.5)</w:t>
            </w:r>
          </w:p>
        </w:tc>
        <w:tc>
          <w:tcPr>
            <w:tcW w:w="0" w:type="auto"/>
            <w:tcBorders>
              <w:top w:val="nil"/>
              <w:bottom w:val="nil"/>
              <w:right w:val="single" w:sz="4" w:space="0" w:color="auto"/>
            </w:tcBorders>
            <w:shd w:val="clear" w:color="auto" w:fill="auto"/>
            <w:vAlign w:val="center"/>
          </w:tcPr>
          <w:p w14:paraId="44D2372C"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4F9B7118" w14:textId="7F0CF31B" w:rsidR="00A25CBA" w:rsidRPr="00A70E99" w:rsidRDefault="00A25CBA" w:rsidP="00A70E99">
            <w:pPr>
              <w:jc w:val="right"/>
              <w:rPr>
                <w:sz w:val="18"/>
                <w:szCs w:val="18"/>
              </w:rPr>
            </w:pPr>
            <w:r w:rsidRPr="00A70E99">
              <w:rPr>
                <w:color w:val="000000"/>
                <w:sz w:val="18"/>
                <w:szCs w:val="18"/>
              </w:rPr>
              <w:t>0</w:t>
            </w:r>
          </w:p>
        </w:tc>
        <w:tc>
          <w:tcPr>
            <w:tcW w:w="0" w:type="auto"/>
            <w:tcBorders>
              <w:top w:val="nil"/>
              <w:bottom w:val="nil"/>
              <w:right w:val="single" w:sz="4" w:space="0" w:color="auto"/>
            </w:tcBorders>
            <w:shd w:val="clear" w:color="auto" w:fill="auto"/>
            <w:vAlign w:val="center"/>
          </w:tcPr>
          <w:p w14:paraId="194E84F5" w14:textId="2ED74740" w:rsidR="00A25CBA" w:rsidRPr="00A70E99" w:rsidRDefault="00A25CBA" w:rsidP="00A70E99">
            <w:pPr>
              <w:jc w:val="right"/>
              <w:rPr>
                <w:sz w:val="18"/>
                <w:szCs w:val="18"/>
              </w:rPr>
            </w:pPr>
            <w:r w:rsidRPr="00A70E99">
              <w:rPr>
                <w:color w:val="000000"/>
                <w:sz w:val="18"/>
                <w:szCs w:val="18"/>
              </w:rPr>
              <w:t>0.875</w:t>
            </w:r>
          </w:p>
        </w:tc>
        <w:tc>
          <w:tcPr>
            <w:tcW w:w="0" w:type="auto"/>
            <w:tcBorders>
              <w:top w:val="nil"/>
              <w:left w:val="single" w:sz="4" w:space="0" w:color="auto"/>
              <w:bottom w:val="nil"/>
            </w:tcBorders>
            <w:shd w:val="clear" w:color="auto" w:fill="auto"/>
            <w:vAlign w:val="center"/>
          </w:tcPr>
          <w:p w14:paraId="744F594F" w14:textId="7241C022" w:rsidR="00A25CBA" w:rsidRPr="00A70E99" w:rsidRDefault="00A25CBA" w:rsidP="00A70E99">
            <w:pPr>
              <w:jc w:val="right"/>
              <w:rPr>
                <w:sz w:val="18"/>
                <w:szCs w:val="18"/>
              </w:rPr>
            </w:pPr>
            <w:r w:rsidRPr="00A70E99">
              <w:rPr>
                <w:color w:val="000000"/>
                <w:sz w:val="18"/>
                <w:szCs w:val="18"/>
              </w:rPr>
              <w:t>1 (1.0)</w:t>
            </w:r>
          </w:p>
        </w:tc>
        <w:tc>
          <w:tcPr>
            <w:tcW w:w="0" w:type="auto"/>
            <w:tcBorders>
              <w:top w:val="nil"/>
              <w:bottom w:val="nil"/>
              <w:right w:val="single" w:sz="4" w:space="0" w:color="auto"/>
            </w:tcBorders>
            <w:shd w:val="clear" w:color="auto" w:fill="auto"/>
            <w:vAlign w:val="center"/>
          </w:tcPr>
          <w:p w14:paraId="23220F48" w14:textId="5F74D69B" w:rsidR="00A25CBA" w:rsidRPr="00A70E99" w:rsidRDefault="00A25CBA" w:rsidP="00A70E99">
            <w:pPr>
              <w:jc w:val="right"/>
              <w:rPr>
                <w:sz w:val="18"/>
                <w:szCs w:val="18"/>
              </w:rPr>
            </w:pPr>
            <w:r w:rsidRPr="00A70E99">
              <w:rPr>
                <w:color w:val="000000"/>
                <w:sz w:val="18"/>
                <w:szCs w:val="18"/>
              </w:rPr>
              <w:t>0.943</w:t>
            </w:r>
          </w:p>
        </w:tc>
      </w:tr>
      <w:tr w:rsidR="00A25CBA" w:rsidRPr="00DB3251" w14:paraId="0CB88DB7"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5D5C6DE1" w14:textId="5887CFBE" w:rsidR="00A25CBA" w:rsidRPr="00A70E99" w:rsidRDefault="00A25CBA" w:rsidP="00763BEE">
            <w:pPr>
              <w:jc w:val="right"/>
              <w:rPr>
                <w:sz w:val="18"/>
                <w:szCs w:val="18"/>
              </w:rPr>
            </w:pPr>
            <w:r w:rsidRPr="00A70E99">
              <w:rPr>
                <w:color w:val="000000"/>
                <w:sz w:val="18"/>
                <w:szCs w:val="18"/>
              </w:rPr>
              <w:t>CKD Stage</w:t>
            </w:r>
            <w:r w:rsidR="00AF2CE5" w:rsidRPr="00A70E99">
              <w:rPr>
                <w:color w:val="000000"/>
                <w:sz w:val="18"/>
                <w:szCs w:val="18"/>
              </w:rPr>
              <w:t>s</w:t>
            </w:r>
            <w:r w:rsidRPr="00A70E99">
              <w:rPr>
                <w:color w:val="000000"/>
                <w:sz w:val="18"/>
                <w:szCs w:val="18"/>
              </w:rPr>
              <w:t xml:space="preserve"> III-V</w:t>
            </w:r>
          </w:p>
        </w:tc>
        <w:tc>
          <w:tcPr>
            <w:tcW w:w="1153" w:type="dxa"/>
            <w:tcBorders>
              <w:top w:val="nil"/>
              <w:left w:val="single" w:sz="4" w:space="0" w:color="auto"/>
              <w:bottom w:val="nil"/>
              <w:right w:val="single" w:sz="4" w:space="0" w:color="auto"/>
            </w:tcBorders>
            <w:shd w:val="clear" w:color="auto" w:fill="auto"/>
            <w:vAlign w:val="center"/>
          </w:tcPr>
          <w:p w14:paraId="3DF04B8C" w14:textId="31418915" w:rsidR="00A25CBA" w:rsidRPr="00A70E99" w:rsidRDefault="00A25CBA" w:rsidP="00A70E99">
            <w:pPr>
              <w:jc w:val="right"/>
              <w:rPr>
                <w:sz w:val="18"/>
                <w:szCs w:val="18"/>
              </w:rPr>
            </w:pPr>
            <w:r w:rsidRPr="00A70E99">
              <w:rPr>
                <w:color w:val="000000"/>
                <w:sz w:val="18"/>
                <w:szCs w:val="18"/>
              </w:rPr>
              <w:t>618 (9.4)</w:t>
            </w:r>
          </w:p>
        </w:tc>
        <w:tc>
          <w:tcPr>
            <w:tcW w:w="0" w:type="auto"/>
            <w:tcBorders>
              <w:top w:val="nil"/>
              <w:left w:val="single" w:sz="4" w:space="0" w:color="auto"/>
              <w:bottom w:val="nil"/>
            </w:tcBorders>
            <w:shd w:val="clear" w:color="auto" w:fill="auto"/>
            <w:vAlign w:val="center"/>
          </w:tcPr>
          <w:p w14:paraId="468F0889" w14:textId="1190AD3D" w:rsidR="00A25CBA" w:rsidRPr="00A70E99" w:rsidRDefault="00A25CBA" w:rsidP="00A70E99">
            <w:pPr>
              <w:jc w:val="right"/>
              <w:rPr>
                <w:sz w:val="18"/>
                <w:szCs w:val="18"/>
              </w:rPr>
            </w:pPr>
            <w:r w:rsidRPr="00A70E99">
              <w:rPr>
                <w:color w:val="000000"/>
                <w:sz w:val="18"/>
                <w:szCs w:val="18"/>
              </w:rPr>
              <w:t>177 (16.6)</w:t>
            </w:r>
          </w:p>
        </w:tc>
        <w:tc>
          <w:tcPr>
            <w:tcW w:w="0" w:type="auto"/>
            <w:tcBorders>
              <w:top w:val="nil"/>
              <w:bottom w:val="nil"/>
              <w:right w:val="single" w:sz="4" w:space="0" w:color="auto"/>
            </w:tcBorders>
            <w:shd w:val="clear" w:color="auto" w:fill="auto"/>
            <w:vAlign w:val="center"/>
          </w:tcPr>
          <w:p w14:paraId="78473EF7"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604789B5" w14:textId="60404D00" w:rsidR="00A25CBA" w:rsidRPr="00A70E99" w:rsidRDefault="00A25CBA" w:rsidP="00A70E99">
            <w:pPr>
              <w:jc w:val="right"/>
              <w:rPr>
                <w:sz w:val="18"/>
                <w:szCs w:val="18"/>
              </w:rPr>
            </w:pPr>
            <w:r w:rsidRPr="00A70E99">
              <w:rPr>
                <w:color w:val="000000"/>
                <w:sz w:val="18"/>
                <w:szCs w:val="18"/>
              </w:rPr>
              <w:t>4 (10.5)</w:t>
            </w:r>
          </w:p>
        </w:tc>
        <w:tc>
          <w:tcPr>
            <w:tcW w:w="0" w:type="auto"/>
            <w:tcBorders>
              <w:top w:val="nil"/>
              <w:bottom w:val="nil"/>
              <w:right w:val="single" w:sz="4" w:space="0" w:color="auto"/>
            </w:tcBorders>
            <w:shd w:val="clear" w:color="auto" w:fill="auto"/>
            <w:vAlign w:val="center"/>
          </w:tcPr>
          <w:p w14:paraId="337AC7E3" w14:textId="1DD6F336" w:rsidR="00A25CBA" w:rsidRPr="00A70E99" w:rsidRDefault="00A25CBA" w:rsidP="00A70E99">
            <w:pPr>
              <w:jc w:val="right"/>
              <w:rPr>
                <w:sz w:val="18"/>
                <w:szCs w:val="18"/>
              </w:rPr>
            </w:pPr>
            <w:r w:rsidRPr="00A70E99">
              <w:rPr>
                <w:color w:val="000000"/>
                <w:sz w:val="18"/>
                <w:szCs w:val="18"/>
              </w:rPr>
              <w:t>1.000</w:t>
            </w:r>
          </w:p>
        </w:tc>
        <w:tc>
          <w:tcPr>
            <w:tcW w:w="0" w:type="auto"/>
            <w:tcBorders>
              <w:top w:val="nil"/>
              <w:left w:val="single" w:sz="4" w:space="0" w:color="auto"/>
              <w:bottom w:val="nil"/>
            </w:tcBorders>
            <w:shd w:val="clear" w:color="auto" w:fill="auto"/>
            <w:vAlign w:val="center"/>
          </w:tcPr>
          <w:p w14:paraId="08530EDC" w14:textId="75648372" w:rsidR="00A25CBA" w:rsidRPr="00A70E99" w:rsidRDefault="00A25CBA" w:rsidP="00A70E99">
            <w:pPr>
              <w:jc w:val="right"/>
              <w:rPr>
                <w:sz w:val="18"/>
                <w:szCs w:val="18"/>
              </w:rPr>
            </w:pPr>
            <w:r w:rsidRPr="00A70E99">
              <w:rPr>
                <w:color w:val="000000"/>
                <w:sz w:val="18"/>
                <w:szCs w:val="18"/>
              </w:rPr>
              <w:t>12 (12.4)</w:t>
            </w:r>
          </w:p>
        </w:tc>
        <w:tc>
          <w:tcPr>
            <w:tcW w:w="0" w:type="auto"/>
            <w:tcBorders>
              <w:top w:val="nil"/>
              <w:bottom w:val="nil"/>
              <w:right w:val="single" w:sz="4" w:space="0" w:color="auto"/>
            </w:tcBorders>
            <w:shd w:val="clear" w:color="auto" w:fill="auto"/>
            <w:vAlign w:val="center"/>
          </w:tcPr>
          <w:p w14:paraId="756DB4A8" w14:textId="2C13A965" w:rsidR="00A25CBA" w:rsidRPr="00A70E99" w:rsidRDefault="00A25CBA" w:rsidP="00A70E99">
            <w:pPr>
              <w:jc w:val="right"/>
              <w:rPr>
                <w:sz w:val="18"/>
                <w:szCs w:val="18"/>
              </w:rPr>
            </w:pPr>
            <w:r w:rsidRPr="00A70E99">
              <w:rPr>
                <w:color w:val="000000"/>
                <w:sz w:val="18"/>
                <w:szCs w:val="18"/>
              </w:rPr>
              <w:t>0.399</w:t>
            </w:r>
          </w:p>
        </w:tc>
      </w:tr>
      <w:tr w:rsidR="00A25CBA" w:rsidRPr="00DB3251" w14:paraId="6EFEA4D4"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1F21628D" w14:textId="5A78D489" w:rsidR="00A25CBA" w:rsidRPr="00A70E99" w:rsidRDefault="00A25CBA" w:rsidP="00763BEE">
            <w:pPr>
              <w:jc w:val="right"/>
              <w:rPr>
                <w:sz w:val="18"/>
                <w:szCs w:val="18"/>
              </w:rPr>
            </w:pPr>
            <w:r w:rsidRPr="00A70E99">
              <w:rPr>
                <w:color w:val="000000"/>
                <w:sz w:val="18"/>
                <w:szCs w:val="18"/>
              </w:rPr>
              <w:t>Diabetes</w:t>
            </w:r>
          </w:p>
        </w:tc>
        <w:tc>
          <w:tcPr>
            <w:tcW w:w="1153" w:type="dxa"/>
            <w:tcBorders>
              <w:top w:val="nil"/>
              <w:left w:val="single" w:sz="4" w:space="0" w:color="auto"/>
              <w:bottom w:val="nil"/>
              <w:right w:val="single" w:sz="4" w:space="0" w:color="auto"/>
            </w:tcBorders>
            <w:shd w:val="clear" w:color="auto" w:fill="auto"/>
            <w:vAlign w:val="center"/>
          </w:tcPr>
          <w:p w14:paraId="5ECE701F" w14:textId="51C5F1A1" w:rsidR="00A25CBA" w:rsidRPr="00A70E99" w:rsidRDefault="00A25CBA" w:rsidP="00A70E99">
            <w:pPr>
              <w:jc w:val="right"/>
              <w:rPr>
                <w:sz w:val="18"/>
                <w:szCs w:val="18"/>
              </w:rPr>
            </w:pPr>
            <w:r w:rsidRPr="00A70E99">
              <w:rPr>
                <w:color w:val="000000"/>
                <w:sz w:val="18"/>
                <w:szCs w:val="18"/>
              </w:rPr>
              <w:t>735 (11.2)</w:t>
            </w:r>
          </w:p>
        </w:tc>
        <w:tc>
          <w:tcPr>
            <w:tcW w:w="0" w:type="auto"/>
            <w:tcBorders>
              <w:top w:val="nil"/>
              <w:left w:val="single" w:sz="4" w:space="0" w:color="auto"/>
              <w:bottom w:val="nil"/>
            </w:tcBorders>
            <w:shd w:val="clear" w:color="auto" w:fill="auto"/>
            <w:vAlign w:val="center"/>
          </w:tcPr>
          <w:p w14:paraId="30B0383E" w14:textId="1C93A0D3" w:rsidR="00A25CBA" w:rsidRPr="00A70E99" w:rsidRDefault="00A25CBA" w:rsidP="00A70E99">
            <w:pPr>
              <w:jc w:val="right"/>
              <w:rPr>
                <w:sz w:val="18"/>
                <w:szCs w:val="18"/>
              </w:rPr>
            </w:pPr>
            <w:r w:rsidRPr="00A70E99">
              <w:rPr>
                <w:color w:val="000000"/>
                <w:sz w:val="18"/>
                <w:szCs w:val="18"/>
              </w:rPr>
              <w:t>187 (17.5)</w:t>
            </w:r>
          </w:p>
        </w:tc>
        <w:tc>
          <w:tcPr>
            <w:tcW w:w="0" w:type="auto"/>
            <w:tcBorders>
              <w:top w:val="nil"/>
              <w:bottom w:val="nil"/>
              <w:right w:val="single" w:sz="4" w:space="0" w:color="auto"/>
            </w:tcBorders>
            <w:shd w:val="clear" w:color="auto" w:fill="auto"/>
            <w:vAlign w:val="center"/>
          </w:tcPr>
          <w:p w14:paraId="736A7A56"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56E430F3" w14:textId="5F98FD08" w:rsidR="00A25CBA" w:rsidRPr="00A70E99" w:rsidRDefault="00A25CBA" w:rsidP="00A70E99">
            <w:pPr>
              <w:jc w:val="right"/>
              <w:rPr>
                <w:sz w:val="18"/>
                <w:szCs w:val="18"/>
              </w:rPr>
            </w:pPr>
            <w:r w:rsidRPr="00A70E99">
              <w:rPr>
                <w:color w:val="000000"/>
                <w:sz w:val="18"/>
                <w:szCs w:val="18"/>
              </w:rPr>
              <w:t>3 (7.9)</w:t>
            </w:r>
          </w:p>
        </w:tc>
        <w:tc>
          <w:tcPr>
            <w:tcW w:w="0" w:type="auto"/>
            <w:tcBorders>
              <w:top w:val="nil"/>
              <w:bottom w:val="nil"/>
              <w:right w:val="single" w:sz="4" w:space="0" w:color="auto"/>
            </w:tcBorders>
            <w:shd w:val="clear" w:color="auto" w:fill="auto"/>
            <w:vAlign w:val="center"/>
          </w:tcPr>
          <w:p w14:paraId="0B36AFED" w14:textId="0B300CAD" w:rsidR="00A25CBA" w:rsidRPr="00A70E99" w:rsidRDefault="00A25CBA" w:rsidP="00A70E99">
            <w:pPr>
              <w:jc w:val="right"/>
              <w:rPr>
                <w:sz w:val="18"/>
                <w:szCs w:val="18"/>
              </w:rPr>
            </w:pPr>
            <w:r w:rsidRPr="00A70E99">
              <w:rPr>
                <w:color w:val="000000"/>
                <w:sz w:val="18"/>
                <w:szCs w:val="18"/>
              </w:rPr>
              <w:t>0.703</w:t>
            </w:r>
          </w:p>
        </w:tc>
        <w:tc>
          <w:tcPr>
            <w:tcW w:w="0" w:type="auto"/>
            <w:tcBorders>
              <w:top w:val="nil"/>
              <w:left w:val="single" w:sz="4" w:space="0" w:color="auto"/>
              <w:bottom w:val="nil"/>
            </w:tcBorders>
            <w:shd w:val="clear" w:color="auto" w:fill="auto"/>
            <w:vAlign w:val="center"/>
          </w:tcPr>
          <w:p w14:paraId="4C07BBD0" w14:textId="6B961561" w:rsidR="00A25CBA" w:rsidRPr="00A70E99" w:rsidRDefault="00A25CBA" w:rsidP="00A70E99">
            <w:pPr>
              <w:jc w:val="right"/>
              <w:rPr>
                <w:sz w:val="18"/>
                <w:szCs w:val="18"/>
              </w:rPr>
            </w:pPr>
            <w:r w:rsidRPr="00A70E99">
              <w:rPr>
                <w:color w:val="000000"/>
                <w:sz w:val="18"/>
                <w:szCs w:val="18"/>
              </w:rPr>
              <w:t>14 (14.4)</w:t>
            </w:r>
          </w:p>
        </w:tc>
        <w:tc>
          <w:tcPr>
            <w:tcW w:w="0" w:type="auto"/>
            <w:tcBorders>
              <w:top w:val="nil"/>
              <w:bottom w:val="nil"/>
              <w:right w:val="single" w:sz="4" w:space="0" w:color="auto"/>
            </w:tcBorders>
            <w:shd w:val="clear" w:color="auto" w:fill="auto"/>
            <w:vAlign w:val="center"/>
          </w:tcPr>
          <w:p w14:paraId="5FBCF48D" w14:textId="77BF1E60" w:rsidR="00A25CBA" w:rsidRPr="00A70E99" w:rsidRDefault="00A25CBA" w:rsidP="00A70E99">
            <w:pPr>
              <w:jc w:val="right"/>
              <w:rPr>
                <w:sz w:val="18"/>
                <w:szCs w:val="18"/>
              </w:rPr>
            </w:pPr>
            <w:r w:rsidRPr="00A70E99">
              <w:rPr>
                <w:color w:val="000000"/>
                <w:sz w:val="18"/>
                <w:szCs w:val="18"/>
              </w:rPr>
              <w:t>0.383</w:t>
            </w:r>
          </w:p>
        </w:tc>
      </w:tr>
      <w:tr w:rsidR="00A25CBA" w:rsidRPr="00DB3251" w14:paraId="54BFAD18"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3A065087" w14:textId="62D47B58" w:rsidR="00A25CBA" w:rsidRPr="00A70E99" w:rsidRDefault="00A25CBA" w:rsidP="00763BEE">
            <w:pPr>
              <w:jc w:val="right"/>
              <w:rPr>
                <w:sz w:val="18"/>
                <w:szCs w:val="18"/>
              </w:rPr>
            </w:pPr>
            <w:r w:rsidRPr="00A70E99">
              <w:rPr>
                <w:color w:val="000000"/>
                <w:sz w:val="18"/>
                <w:szCs w:val="18"/>
              </w:rPr>
              <w:t xml:space="preserve">COPD </w:t>
            </w:r>
          </w:p>
        </w:tc>
        <w:tc>
          <w:tcPr>
            <w:tcW w:w="1153" w:type="dxa"/>
            <w:tcBorders>
              <w:top w:val="nil"/>
              <w:left w:val="single" w:sz="4" w:space="0" w:color="auto"/>
              <w:bottom w:val="nil"/>
              <w:right w:val="single" w:sz="4" w:space="0" w:color="auto"/>
            </w:tcBorders>
            <w:shd w:val="clear" w:color="auto" w:fill="auto"/>
            <w:vAlign w:val="center"/>
          </w:tcPr>
          <w:p w14:paraId="1F4C1A18" w14:textId="024E7405" w:rsidR="00A25CBA" w:rsidRPr="00A70E99" w:rsidRDefault="00A25CBA" w:rsidP="00A70E99">
            <w:pPr>
              <w:jc w:val="right"/>
              <w:rPr>
                <w:sz w:val="18"/>
                <w:szCs w:val="18"/>
              </w:rPr>
            </w:pPr>
            <w:r w:rsidRPr="00A70E99">
              <w:rPr>
                <w:color w:val="000000"/>
                <w:sz w:val="18"/>
                <w:szCs w:val="18"/>
              </w:rPr>
              <w:t>466 (7.1)</w:t>
            </w:r>
          </w:p>
        </w:tc>
        <w:tc>
          <w:tcPr>
            <w:tcW w:w="0" w:type="auto"/>
            <w:tcBorders>
              <w:top w:val="nil"/>
              <w:left w:val="single" w:sz="4" w:space="0" w:color="auto"/>
              <w:bottom w:val="nil"/>
            </w:tcBorders>
            <w:shd w:val="clear" w:color="auto" w:fill="auto"/>
            <w:vAlign w:val="center"/>
          </w:tcPr>
          <w:p w14:paraId="4591D665" w14:textId="35D3E3B7" w:rsidR="00A25CBA" w:rsidRPr="00A70E99" w:rsidRDefault="00A25CBA" w:rsidP="00A70E99">
            <w:pPr>
              <w:jc w:val="right"/>
              <w:rPr>
                <w:sz w:val="18"/>
                <w:szCs w:val="18"/>
              </w:rPr>
            </w:pPr>
            <w:r w:rsidRPr="00A70E99">
              <w:rPr>
                <w:color w:val="000000"/>
                <w:sz w:val="18"/>
                <w:szCs w:val="18"/>
              </w:rPr>
              <w:t>79 (7.4)</w:t>
            </w:r>
          </w:p>
        </w:tc>
        <w:tc>
          <w:tcPr>
            <w:tcW w:w="0" w:type="auto"/>
            <w:tcBorders>
              <w:top w:val="nil"/>
              <w:bottom w:val="nil"/>
              <w:right w:val="single" w:sz="4" w:space="0" w:color="auto"/>
            </w:tcBorders>
            <w:shd w:val="clear" w:color="auto" w:fill="auto"/>
            <w:vAlign w:val="center"/>
          </w:tcPr>
          <w:p w14:paraId="06DACC11" w14:textId="1CD3A785" w:rsidR="00A25CBA" w:rsidRPr="00A70E99" w:rsidRDefault="00A25CBA" w:rsidP="00A70E99">
            <w:pPr>
              <w:jc w:val="right"/>
              <w:rPr>
                <w:sz w:val="18"/>
                <w:szCs w:val="18"/>
              </w:rPr>
            </w:pPr>
            <w:r w:rsidRPr="00A70E99">
              <w:rPr>
                <w:color w:val="000000"/>
                <w:sz w:val="18"/>
                <w:szCs w:val="18"/>
              </w:rPr>
              <w:t>0.683</w:t>
            </w:r>
          </w:p>
        </w:tc>
        <w:tc>
          <w:tcPr>
            <w:tcW w:w="0" w:type="auto"/>
            <w:tcBorders>
              <w:top w:val="nil"/>
              <w:left w:val="single" w:sz="4" w:space="0" w:color="auto"/>
              <w:bottom w:val="nil"/>
            </w:tcBorders>
            <w:shd w:val="clear" w:color="auto" w:fill="auto"/>
            <w:vAlign w:val="center"/>
          </w:tcPr>
          <w:p w14:paraId="12D366D2" w14:textId="4AFD5E13" w:rsidR="00A25CBA" w:rsidRPr="00A70E99" w:rsidRDefault="00A25CBA" w:rsidP="00A70E99">
            <w:pPr>
              <w:jc w:val="right"/>
              <w:rPr>
                <w:sz w:val="18"/>
                <w:szCs w:val="18"/>
              </w:rPr>
            </w:pPr>
            <w:r w:rsidRPr="00A70E99">
              <w:rPr>
                <w:color w:val="000000"/>
                <w:sz w:val="18"/>
                <w:szCs w:val="18"/>
              </w:rPr>
              <w:t>1 (2.6)</w:t>
            </w:r>
          </w:p>
        </w:tc>
        <w:tc>
          <w:tcPr>
            <w:tcW w:w="0" w:type="auto"/>
            <w:tcBorders>
              <w:top w:val="nil"/>
              <w:bottom w:val="nil"/>
              <w:right w:val="single" w:sz="4" w:space="0" w:color="auto"/>
            </w:tcBorders>
            <w:shd w:val="clear" w:color="auto" w:fill="auto"/>
            <w:vAlign w:val="center"/>
          </w:tcPr>
          <w:p w14:paraId="531C3412" w14:textId="750ED358" w:rsidR="00A25CBA" w:rsidRPr="00A70E99" w:rsidRDefault="00A25CBA" w:rsidP="00A70E99">
            <w:pPr>
              <w:jc w:val="right"/>
              <w:rPr>
                <w:sz w:val="18"/>
                <w:szCs w:val="18"/>
              </w:rPr>
            </w:pPr>
            <w:r w:rsidRPr="00A70E99">
              <w:rPr>
                <w:color w:val="000000"/>
                <w:sz w:val="18"/>
                <w:szCs w:val="18"/>
              </w:rPr>
              <w:t>0.451</w:t>
            </w:r>
          </w:p>
        </w:tc>
        <w:tc>
          <w:tcPr>
            <w:tcW w:w="0" w:type="auto"/>
            <w:tcBorders>
              <w:top w:val="nil"/>
              <w:left w:val="single" w:sz="4" w:space="0" w:color="auto"/>
              <w:bottom w:val="nil"/>
            </w:tcBorders>
            <w:shd w:val="clear" w:color="auto" w:fill="auto"/>
            <w:vAlign w:val="center"/>
          </w:tcPr>
          <w:p w14:paraId="7C066FB3" w14:textId="1C753814" w:rsidR="00A25CBA" w:rsidRPr="00A70E99" w:rsidRDefault="00A25CBA" w:rsidP="00A70E99">
            <w:pPr>
              <w:jc w:val="right"/>
              <w:rPr>
                <w:sz w:val="18"/>
                <w:szCs w:val="18"/>
              </w:rPr>
            </w:pPr>
            <w:r w:rsidRPr="00A70E99">
              <w:rPr>
                <w:color w:val="000000"/>
                <w:sz w:val="18"/>
                <w:szCs w:val="18"/>
              </w:rPr>
              <w:t>11 (11.3)</w:t>
            </w:r>
          </w:p>
        </w:tc>
        <w:tc>
          <w:tcPr>
            <w:tcW w:w="0" w:type="auto"/>
            <w:tcBorders>
              <w:top w:val="nil"/>
              <w:bottom w:val="nil"/>
              <w:right w:val="single" w:sz="4" w:space="0" w:color="auto"/>
            </w:tcBorders>
            <w:shd w:val="clear" w:color="auto" w:fill="auto"/>
            <w:vAlign w:val="center"/>
          </w:tcPr>
          <w:p w14:paraId="1DF82C14" w14:textId="57F51874" w:rsidR="00A25CBA" w:rsidRPr="00A70E99" w:rsidRDefault="00A25CBA" w:rsidP="00A70E99">
            <w:pPr>
              <w:jc w:val="right"/>
              <w:rPr>
                <w:sz w:val="18"/>
                <w:szCs w:val="18"/>
              </w:rPr>
            </w:pPr>
            <w:r w:rsidRPr="00A70E99">
              <w:rPr>
                <w:color w:val="000000"/>
                <w:sz w:val="18"/>
                <w:szCs w:val="18"/>
              </w:rPr>
              <w:t>0.146</w:t>
            </w:r>
          </w:p>
        </w:tc>
      </w:tr>
      <w:tr w:rsidR="00A25CBA" w:rsidRPr="00DB3251" w14:paraId="5F970225"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5860438A" w14:textId="0C8CBFC8" w:rsidR="00A25CBA" w:rsidRPr="00A70E99" w:rsidRDefault="00A25CBA" w:rsidP="00763BEE">
            <w:pPr>
              <w:jc w:val="right"/>
              <w:rPr>
                <w:sz w:val="18"/>
                <w:szCs w:val="18"/>
              </w:rPr>
            </w:pPr>
            <w:r w:rsidRPr="00A70E99">
              <w:rPr>
                <w:color w:val="000000"/>
                <w:sz w:val="18"/>
                <w:szCs w:val="18"/>
              </w:rPr>
              <w:t xml:space="preserve">Asthma </w:t>
            </w:r>
          </w:p>
        </w:tc>
        <w:tc>
          <w:tcPr>
            <w:tcW w:w="1153" w:type="dxa"/>
            <w:tcBorders>
              <w:top w:val="nil"/>
              <w:left w:val="single" w:sz="4" w:space="0" w:color="auto"/>
              <w:bottom w:val="nil"/>
              <w:right w:val="single" w:sz="4" w:space="0" w:color="auto"/>
            </w:tcBorders>
            <w:shd w:val="clear" w:color="auto" w:fill="auto"/>
            <w:vAlign w:val="center"/>
          </w:tcPr>
          <w:p w14:paraId="000BEC77" w14:textId="5C3FF40B" w:rsidR="00A25CBA" w:rsidRPr="00A70E99" w:rsidRDefault="00A25CBA" w:rsidP="00A70E99">
            <w:pPr>
              <w:jc w:val="right"/>
              <w:rPr>
                <w:sz w:val="18"/>
                <w:szCs w:val="18"/>
              </w:rPr>
            </w:pPr>
            <w:r w:rsidRPr="00A70E99">
              <w:rPr>
                <w:color w:val="000000"/>
                <w:sz w:val="18"/>
                <w:szCs w:val="18"/>
              </w:rPr>
              <w:t>1118 (17.0)</w:t>
            </w:r>
          </w:p>
        </w:tc>
        <w:tc>
          <w:tcPr>
            <w:tcW w:w="0" w:type="auto"/>
            <w:tcBorders>
              <w:top w:val="nil"/>
              <w:left w:val="single" w:sz="4" w:space="0" w:color="auto"/>
              <w:bottom w:val="nil"/>
            </w:tcBorders>
            <w:shd w:val="clear" w:color="auto" w:fill="auto"/>
            <w:vAlign w:val="center"/>
          </w:tcPr>
          <w:p w14:paraId="647B30D9" w14:textId="4A6E7A57" w:rsidR="00A25CBA" w:rsidRPr="00A70E99" w:rsidRDefault="00A25CBA" w:rsidP="00A70E99">
            <w:pPr>
              <w:jc w:val="right"/>
              <w:rPr>
                <w:sz w:val="18"/>
                <w:szCs w:val="18"/>
              </w:rPr>
            </w:pPr>
            <w:r w:rsidRPr="00A70E99">
              <w:rPr>
                <w:color w:val="000000"/>
                <w:sz w:val="18"/>
                <w:szCs w:val="18"/>
              </w:rPr>
              <w:t>179 (16.8)</w:t>
            </w:r>
          </w:p>
        </w:tc>
        <w:tc>
          <w:tcPr>
            <w:tcW w:w="0" w:type="auto"/>
            <w:tcBorders>
              <w:top w:val="nil"/>
              <w:bottom w:val="nil"/>
              <w:right w:val="single" w:sz="4" w:space="0" w:color="auto"/>
            </w:tcBorders>
            <w:shd w:val="clear" w:color="auto" w:fill="auto"/>
            <w:vAlign w:val="center"/>
          </w:tcPr>
          <w:p w14:paraId="650DE7B2" w14:textId="0B5842C9" w:rsidR="00A25CBA" w:rsidRPr="00A70E99" w:rsidRDefault="00A25CBA" w:rsidP="00A70E99">
            <w:pPr>
              <w:jc w:val="right"/>
              <w:rPr>
                <w:sz w:val="18"/>
                <w:szCs w:val="18"/>
              </w:rPr>
            </w:pPr>
            <w:r w:rsidRPr="00A70E99">
              <w:rPr>
                <w:color w:val="000000"/>
                <w:sz w:val="18"/>
                <w:szCs w:val="18"/>
              </w:rPr>
              <w:t>0.906</w:t>
            </w:r>
          </w:p>
        </w:tc>
        <w:tc>
          <w:tcPr>
            <w:tcW w:w="0" w:type="auto"/>
            <w:tcBorders>
              <w:top w:val="nil"/>
              <w:left w:val="single" w:sz="4" w:space="0" w:color="auto"/>
              <w:bottom w:val="nil"/>
            </w:tcBorders>
            <w:shd w:val="clear" w:color="auto" w:fill="auto"/>
            <w:vAlign w:val="center"/>
          </w:tcPr>
          <w:p w14:paraId="617E9099" w14:textId="248F4DEC" w:rsidR="00A25CBA" w:rsidRPr="00A70E99" w:rsidRDefault="00A25CBA" w:rsidP="00A70E99">
            <w:pPr>
              <w:jc w:val="right"/>
              <w:rPr>
                <w:sz w:val="18"/>
                <w:szCs w:val="18"/>
              </w:rPr>
            </w:pPr>
            <w:r w:rsidRPr="00A70E99">
              <w:rPr>
                <w:color w:val="000000"/>
                <w:sz w:val="18"/>
                <w:szCs w:val="18"/>
              </w:rPr>
              <w:t>4 (10.5)</w:t>
            </w:r>
          </w:p>
        </w:tc>
        <w:tc>
          <w:tcPr>
            <w:tcW w:w="0" w:type="auto"/>
            <w:tcBorders>
              <w:top w:val="nil"/>
              <w:bottom w:val="nil"/>
              <w:right w:val="single" w:sz="4" w:space="0" w:color="auto"/>
            </w:tcBorders>
            <w:shd w:val="clear" w:color="auto" w:fill="auto"/>
            <w:vAlign w:val="center"/>
          </w:tcPr>
          <w:p w14:paraId="4F7E1DDD" w14:textId="28AD1AEC" w:rsidR="00A25CBA" w:rsidRPr="00A70E99" w:rsidRDefault="00A25CBA" w:rsidP="00A70E99">
            <w:pPr>
              <w:jc w:val="right"/>
              <w:rPr>
                <w:sz w:val="18"/>
                <w:szCs w:val="18"/>
              </w:rPr>
            </w:pPr>
            <w:r w:rsidRPr="00A70E99">
              <w:rPr>
                <w:color w:val="000000"/>
                <w:sz w:val="18"/>
                <w:szCs w:val="18"/>
              </w:rPr>
              <w:t>0.399</w:t>
            </w:r>
          </w:p>
        </w:tc>
        <w:tc>
          <w:tcPr>
            <w:tcW w:w="0" w:type="auto"/>
            <w:tcBorders>
              <w:top w:val="nil"/>
              <w:left w:val="single" w:sz="4" w:space="0" w:color="auto"/>
              <w:bottom w:val="nil"/>
            </w:tcBorders>
            <w:shd w:val="clear" w:color="auto" w:fill="auto"/>
            <w:vAlign w:val="center"/>
          </w:tcPr>
          <w:p w14:paraId="344C90C9" w14:textId="41DBACE4" w:rsidR="00A25CBA" w:rsidRPr="00A70E99" w:rsidRDefault="00A25CBA" w:rsidP="00A70E99">
            <w:pPr>
              <w:jc w:val="right"/>
              <w:rPr>
                <w:sz w:val="18"/>
                <w:szCs w:val="18"/>
              </w:rPr>
            </w:pPr>
            <w:r w:rsidRPr="00A70E99">
              <w:rPr>
                <w:color w:val="000000"/>
                <w:sz w:val="18"/>
                <w:szCs w:val="18"/>
              </w:rPr>
              <w:t>14 (14.4)</w:t>
            </w:r>
          </w:p>
        </w:tc>
        <w:tc>
          <w:tcPr>
            <w:tcW w:w="0" w:type="auto"/>
            <w:tcBorders>
              <w:top w:val="nil"/>
              <w:bottom w:val="nil"/>
              <w:right w:val="single" w:sz="4" w:space="0" w:color="auto"/>
            </w:tcBorders>
            <w:shd w:val="clear" w:color="auto" w:fill="auto"/>
            <w:vAlign w:val="center"/>
          </w:tcPr>
          <w:p w14:paraId="785B3F44" w14:textId="23847BE0" w:rsidR="00A25CBA" w:rsidRPr="00A70E99" w:rsidRDefault="00A25CBA" w:rsidP="00A70E99">
            <w:pPr>
              <w:jc w:val="right"/>
              <w:rPr>
                <w:sz w:val="18"/>
                <w:szCs w:val="18"/>
              </w:rPr>
            </w:pPr>
            <w:r w:rsidRPr="00A70E99">
              <w:rPr>
                <w:color w:val="000000"/>
                <w:sz w:val="18"/>
                <w:szCs w:val="18"/>
              </w:rPr>
              <w:t>0.594</w:t>
            </w:r>
          </w:p>
        </w:tc>
      </w:tr>
      <w:tr w:rsidR="00A25CBA" w:rsidRPr="00DB3251" w14:paraId="7DEA4BE1"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3F3A3BC1" w14:textId="687E8381" w:rsidR="00A25CBA" w:rsidRPr="00A70E99" w:rsidRDefault="00A25CBA" w:rsidP="00763BEE">
            <w:pPr>
              <w:jc w:val="right"/>
              <w:rPr>
                <w:sz w:val="18"/>
                <w:szCs w:val="18"/>
              </w:rPr>
            </w:pPr>
            <w:r w:rsidRPr="00A70E99">
              <w:rPr>
                <w:color w:val="000000"/>
                <w:sz w:val="18"/>
                <w:szCs w:val="18"/>
              </w:rPr>
              <w:t xml:space="preserve">Malignancy </w:t>
            </w:r>
          </w:p>
        </w:tc>
        <w:tc>
          <w:tcPr>
            <w:tcW w:w="1153" w:type="dxa"/>
            <w:tcBorders>
              <w:top w:val="nil"/>
              <w:left w:val="single" w:sz="4" w:space="0" w:color="auto"/>
              <w:bottom w:val="nil"/>
              <w:right w:val="single" w:sz="4" w:space="0" w:color="auto"/>
            </w:tcBorders>
            <w:shd w:val="clear" w:color="auto" w:fill="auto"/>
            <w:vAlign w:val="center"/>
          </w:tcPr>
          <w:p w14:paraId="38132DAF" w14:textId="50D65922" w:rsidR="00A25CBA" w:rsidRPr="00A70E99" w:rsidRDefault="00A25CBA" w:rsidP="00A70E99">
            <w:pPr>
              <w:jc w:val="right"/>
              <w:rPr>
                <w:sz w:val="18"/>
                <w:szCs w:val="18"/>
              </w:rPr>
            </w:pPr>
            <w:r w:rsidRPr="00A70E99">
              <w:rPr>
                <w:color w:val="000000"/>
                <w:sz w:val="18"/>
                <w:szCs w:val="18"/>
              </w:rPr>
              <w:t>369 (5.6)</w:t>
            </w:r>
          </w:p>
        </w:tc>
        <w:tc>
          <w:tcPr>
            <w:tcW w:w="0" w:type="auto"/>
            <w:tcBorders>
              <w:top w:val="nil"/>
              <w:left w:val="single" w:sz="4" w:space="0" w:color="auto"/>
              <w:bottom w:val="nil"/>
            </w:tcBorders>
            <w:shd w:val="clear" w:color="auto" w:fill="auto"/>
            <w:vAlign w:val="center"/>
          </w:tcPr>
          <w:p w14:paraId="52CC72DB" w14:textId="39F04FB0" w:rsidR="00A25CBA" w:rsidRPr="00A70E99" w:rsidRDefault="00A25CBA" w:rsidP="00A70E99">
            <w:pPr>
              <w:jc w:val="right"/>
              <w:rPr>
                <w:sz w:val="18"/>
                <w:szCs w:val="18"/>
              </w:rPr>
            </w:pPr>
            <w:r w:rsidRPr="00A70E99">
              <w:rPr>
                <w:color w:val="000000"/>
                <w:sz w:val="18"/>
                <w:szCs w:val="18"/>
              </w:rPr>
              <w:t>75 (7.0)</w:t>
            </w:r>
          </w:p>
        </w:tc>
        <w:tc>
          <w:tcPr>
            <w:tcW w:w="0" w:type="auto"/>
            <w:tcBorders>
              <w:top w:val="nil"/>
              <w:bottom w:val="nil"/>
              <w:right w:val="single" w:sz="4" w:space="0" w:color="auto"/>
            </w:tcBorders>
            <w:shd w:val="clear" w:color="auto" w:fill="auto"/>
            <w:vAlign w:val="center"/>
          </w:tcPr>
          <w:p w14:paraId="085F2510" w14:textId="532DED4D" w:rsidR="00A25CBA" w:rsidRPr="00A70E99" w:rsidRDefault="00A25CBA" w:rsidP="00A70E99">
            <w:pPr>
              <w:jc w:val="right"/>
              <w:rPr>
                <w:sz w:val="18"/>
                <w:szCs w:val="18"/>
              </w:rPr>
            </w:pPr>
            <w:r w:rsidRPr="00A70E99">
              <w:rPr>
                <w:color w:val="000000"/>
                <w:sz w:val="18"/>
                <w:szCs w:val="18"/>
              </w:rPr>
              <w:t>0.031</w:t>
            </w:r>
          </w:p>
        </w:tc>
        <w:tc>
          <w:tcPr>
            <w:tcW w:w="0" w:type="auto"/>
            <w:tcBorders>
              <w:top w:val="nil"/>
              <w:left w:val="single" w:sz="4" w:space="0" w:color="auto"/>
              <w:bottom w:val="nil"/>
            </w:tcBorders>
            <w:shd w:val="clear" w:color="auto" w:fill="auto"/>
            <w:vAlign w:val="center"/>
          </w:tcPr>
          <w:p w14:paraId="451D80B3" w14:textId="1C18455B" w:rsidR="00A25CBA" w:rsidRPr="00A70E99" w:rsidRDefault="00A25CBA" w:rsidP="00A70E99">
            <w:pPr>
              <w:jc w:val="right"/>
              <w:rPr>
                <w:sz w:val="18"/>
                <w:szCs w:val="18"/>
              </w:rPr>
            </w:pPr>
            <w:r w:rsidRPr="00A70E99">
              <w:rPr>
                <w:color w:val="000000"/>
                <w:sz w:val="18"/>
                <w:szCs w:val="18"/>
              </w:rPr>
              <w:t>2 (5.3)</w:t>
            </w:r>
          </w:p>
        </w:tc>
        <w:tc>
          <w:tcPr>
            <w:tcW w:w="0" w:type="auto"/>
            <w:tcBorders>
              <w:top w:val="nil"/>
              <w:bottom w:val="nil"/>
              <w:right w:val="single" w:sz="4" w:space="0" w:color="auto"/>
            </w:tcBorders>
            <w:shd w:val="clear" w:color="auto" w:fill="auto"/>
            <w:vAlign w:val="center"/>
          </w:tcPr>
          <w:p w14:paraId="17DF1B1C" w14:textId="6A2984E7" w:rsidR="00A25CBA" w:rsidRPr="00A70E99" w:rsidRDefault="00A25CBA" w:rsidP="00A70E99">
            <w:pPr>
              <w:jc w:val="right"/>
              <w:rPr>
                <w:sz w:val="18"/>
                <w:szCs w:val="18"/>
              </w:rPr>
            </w:pPr>
            <w:r w:rsidRPr="00A70E99">
              <w:rPr>
                <w:color w:val="000000"/>
                <w:sz w:val="18"/>
                <w:szCs w:val="18"/>
              </w:rPr>
              <w:t>1.000</w:t>
            </w:r>
          </w:p>
        </w:tc>
        <w:tc>
          <w:tcPr>
            <w:tcW w:w="0" w:type="auto"/>
            <w:tcBorders>
              <w:top w:val="nil"/>
              <w:left w:val="single" w:sz="4" w:space="0" w:color="auto"/>
              <w:bottom w:val="nil"/>
            </w:tcBorders>
            <w:shd w:val="clear" w:color="auto" w:fill="auto"/>
            <w:vAlign w:val="center"/>
          </w:tcPr>
          <w:p w14:paraId="651FD0F8" w14:textId="09D02195" w:rsidR="00A25CBA" w:rsidRPr="00A70E99" w:rsidRDefault="00A25CBA" w:rsidP="00A70E99">
            <w:pPr>
              <w:jc w:val="right"/>
              <w:rPr>
                <w:sz w:val="18"/>
                <w:szCs w:val="18"/>
              </w:rPr>
            </w:pPr>
            <w:r w:rsidRPr="00A70E99">
              <w:rPr>
                <w:color w:val="000000"/>
                <w:sz w:val="18"/>
                <w:szCs w:val="18"/>
              </w:rPr>
              <w:t>3 (3.1)</w:t>
            </w:r>
          </w:p>
        </w:tc>
        <w:tc>
          <w:tcPr>
            <w:tcW w:w="0" w:type="auto"/>
            <w:tcBorders>
              <w:top w:val="nil"/>
              <w:bottom w:val="nil"/>
              <w:right w:val="single" w:sz="4" w:space="0" w:color="auto"/>
            </w:tcBorders>
            <w:shd w:val="clear" w:color="auto" w:fill="auto"/>
            <w:vAlign w:val="center"/>
          </w:tcPr>
          <w:p w14:paraId="10A0A518" w14:textId="10A518C3" w:rsidR="00A25CBA" w:rsidRPr="00A70E99" w:rsidRDefault="00A25CBA" w:rsidP="00A70E99">
            <w:pPr>
              <w:jc w:val="right"/>
              <w:rPr>
                <w:sz w:val="18"/>
                <w:szCs w:val="18"/>
              </w:rPr>
            </w:pPr>
            <w:r w:rsidRPr="00A70E99">
              <w:rPr>
                <w:color w:val="000000"/>
                <w:sz w:val="18"/>
                <w:szCs w:val="18"/>
              </w:rPr>
              <w:t>0.390</w:t>
            </w:r>
          </w:p>
        </w:tc>
      </w:tr>
      <w:tr w:rsidR="00A25CBA" w:rsidRPr="00DB3251" w14:paraId="70E1CD1D"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206DDF7E" w14:textId="4C335EF1" w:rsidR="00A25CBA" w:rsidRPr="00A70E99" w:rsidRDefault="00A25CBA" w:rsidP="00763BEE">
            <w:pPr>
              <w:jc w:val="right"/>
              <w:rPr>
                <w:sz w:val="18"/>
                <w:szCs w:val="18"/>
              </w:rPr>
            </w:pPr>
            <w:r w:rsidRPr="00A70E99">
              <w:rPr>
                <w:color w:val="000000"/>
                <w:sz w:val="18"/>
                <w:szCs w:val="18"/>
              </w:rPr>
              <w:t xml:space="preserve">Metastatic cancer </w:t>
            </w:r>
          </w:p>
        </w:tc>
        <w:tc>
          <w:tcPr>
            <w:tcW w:w="1153" w:type="dxa"/>
            <w:tcBorders>
              <w:top w:val="nil"/>
              <w:left w:val="single" w:sz="4" w:space="0" w:color="auto"/>
              <w:bottom w:val="nil"/>
              <w:right w:val="single" w:sz="4" w:space="0" w:color="auto"/>
            </w:tcBorders>
            <w:shd w:val="clear" w:color="auto" w:fill="auto"/>
            <w:vAlign w:val="center"/>
          </w:tcPr>
          <w:p w14:paraId="322395DA" w14:textId="126DDE2A" w:rsidR="00A25CBA" w:rsidRPr="00A70E99" w:rsidRDefault="00A25CBA" w:rsidP="00A70E99">
            <w:pPr>
              <w:jc w:val="right"/>
              <w:rPr>
                <w:sz w:val="18"/>
                <w:szCs w:val="18"/>
              </w:rPr>
            </w:pPr>
            <w:r w:rsidRPr="00A70E99">
              <w:rPr>
                <w:color w:val="000000"/>
                <w:sz w:val="18"/>
                <w:szCs w:val="18"/>
              </w:rPr>
              <w:t>62 (0.9)</w:t>
            </w:r>
          </w:p>
        </w:tc>
        <w:tc>
          <w:tcPr>
            <w:tcW w:w="0" w:type="auto"/>
            <w:tcBorders>
              <w:top w:val="nil"/>
              <w:left w:val="single" w:sz="4" w:space="0" w:color="auto"/>
              <w:bottom w:val="nil"/>
            </w:tcBorders>
            <w:shd w:val="clear" w:color="auto" w:fill="auto"/>
            <w:vAlign w:val="center"/>
          </w:tcPr>
          <w:p w14:paraId="1A38A510" w14:textId="7BC9BC7F" w:rsidR="00A25CBA" w:rsidRPr="00A70E99" w:rsidRDefault="00A25CBA" w:rsidP="00A70E99">
            <w:pPr>
              <w:jc w:val="right"/>
              <w:rPr>
                <w:sz w:val="18"/>
                <w:szCs w:val="18"/>
              </w:rPr>
            </w:pPr>
            <w:r w:rsidRPr="00A70E99">
              <w:rPr>
                <w:color w:val="000000"/>
                <w:sz w:val="18"/>
                <w:szCs w:val="18"/>
              </w:rPr>
              <w:t>17 (1.6)</w:t>
            </w:r>
          </w:p>
        </w:tc>
        <w:tc>
          <w:tcPr>
            <w:tcW w:w="0" w:type="auto"/>
            <w:tcBorders>
              <w:top w:val="nil"/>
              <w:bottom w:val="nil"/>
              <w:right w:val="single" w:sz="4" w:space="0" w:color="auto"/>
            </w:tcBorders>
            <w:shd w:val="clear" w:color="auto" w:fill="auto"/>
            <w:vAlign w:val="center"/>
          </w:tcPr>
          <w:p w14:paraId="0A211AA0" w14:textId="05515A56" w:rsidR="00A25CBA" w:rsidRPr="00A70E99" w:rsidRDefault="00A25CBA" w:rsidP="00A70E99">
            <w:pPr>
              <w:jc w:val="right"/>
              <w:rPr>
                <w:sz w:val="18"/>
                <w:szCs w:val="18"/>
              </w:rPr>
            </w:pPr>
            <w:r w:rsidRPr="00A70E99">
              <w:rPr>
                <w:color w:val="000000"/>
                <w:sz w:val="18"/>
                <w:szCs w:val="18"/>
              </w:rPr>
              <w:t>0.025</w:t>
            </w:r>
          </w:p>
        </w:tc>
        <w:tc>
          <w:tcPr>
            <w:tcW w:w="0" w:type="auto"/>
            <w:tcBorders>
              <w:top w:val="nil"/>
              <w:left w:val="single" w:sz="4" w:space="0" w:color="auto"/>
              <w:bottom w:val="nil"/>
            </w:tcBorders>
            <w:shd w:val="clear" w:color="auto" w:fill="auto"/>
            <w:vAlign w:val="center"/>
          </w:tcPr>
          <w:p w14:paraId="33072E5D" w14:textId="23E0F74F" w:rsidR="00A25CBA" w:rsidRPr="00A70E99" w:rsidRDefault="00A25CBA" w:rsidP="00A70E99">
            <w:pPr>
              <w:jc w:val="right"/>
              <w:rPr>
                <w:sz w:val="18"/>
                <w:szCs w:val="18"/>
              </w:rPr>
            </w:pPr>
            <w:r w:rsidRPr="00A70E99">
              <w:rPr>
                <w:color w:val="000000"/>
                <w:sz w:val="18"/>
                <w:szCs w:val="18"/>
              </w:rPr>
              <w:t>0</w:t>
            </w:r>
          </w:p>
        </w:tc>
        <w:tc>
          <w:tcPr>
            <w:tcW w:w="0" w:type="auto"/>
            <w:tcBorders>
              <w:top w:val="nil"/>
              <w:bottom w:val="nil"/>
              <w:right w:val="single" w:sz="4" w:space="0" w:color="auto"/>
            </w:tcBorders>
            <w:shd w:val="clear" w:color="auto" w:fill="auto"/>
            <w:vAlign w:val="center"/>
          </w:tcPr>
          <w:p w14:paraId="358A6F24" w14:textId="087C536A" w:rsidR="00A25CBA" w:rsidRPr="00A70E99" w:rsidRDefault="00A25CBA" w:rsidP="00A70E99">
            <w:pPr>
              <w:jc w:val="right"/>
              <w:rPr>
                <w:sz w:val="18"/>
                <w:szCs w:val="18"/>
              </w:rPr>
            </w:pPr>
            <w:r w:rsidRPr="00A70E99">
              <w:rPr>
                <w:color w:val="000000"/>
                <w:sz w:val="18"/>
                <w:szCs w:val="18"/>
              </w:rPr>
              <w:t>1.000</w:t>
            </w:r>
          </w:p>
        </w:tc>
        <w:tc>
          <w:tcPr>
            <w:tcW w:w="0" w:type="auto"/>
            <w:tcBorders>
              <w:top w:val="nil"/>
              <w:left w:val="single" w:sz="4" w:space="0" w:color="auto"/>
              <w:bottom w:val="nil"/>
            </w:tcBorders>
            <w:shd w:val="clear" w:color="auto" w:fill="auto"/>
            <w:vAlign w:val="center"/>
          </w:tcPr>
          <w:p w14:paraId="1AD68B40" w14:textId="144EAD6F" w:rsidR="00A25CBA" w:rsidRPr="00A70E99" w:rsidRDefault="00A25CBA" w:rsidP="00A70E99">
            <w:pPr>
              <w:jc w:val="right"/>
              <w:rPr>
                <w:sz w:val="18"/>
                <w:szCs w:val="18"/>
              </w:rPr>
            </w:pPr>
            <w:r w:rsidRPr="00A70E99">
              <w:rPr>
                <w:color w:val="000000"/>
                <w:sz w:val="18"/>
                <w:szCs w:val="18"/>
              </w:rPr>
              <w:t>2 (2.1)</w:t>
            </w:r>
          </w:p>
        </w:tc>
        <w:tc>
          <w:tcPr>
            <w:tcW w:w="0" w:type="auto"/>
            <w:tcBorders>
              <w:top w:val="nil"/>
              <w:bottom w:val="nil"/>
              <w:right w:val="single" w:sz="4" w:space="0" w:color="auto"/>
            </w:tcBorders>
            <w:shd w:val="clear" w:color="auto" w:fill="auto"/>
            <w:vAlign w:val="center"/>
          </w:tcPr>
          <w:p w14:paraId="33A8E18E" w14:textId="29604402" w:rsidR="00A25CBA" w:rsidRPr="00A70E99" w:rsidRDefault="00A25CBA" w:rsidP="00A70E99">
            <w:pPr>
              <w:jc w:val="right"/>
              <w:rPr>
                <w:sz w:val="18"/>
                <w:szCs w:val="18"/>
              </w:rPr>
            </w:pPr>
            <w:r w:rsidRPr="00A70E99">
              <w:rPr>
                <w:color w:val="000000"/>
                <w:sz w:val="18"/>
                <w:szCs w:val="18"/>
              </w:rPr>
              <w:t>0.534</w:t>
            </w:r>
          </w:p>
        </w:tc>
      </w:tr>
      <w:tr w:rsidR="00A25CBA" w:rsidRPr="00DB3251" w14:paraId="0442AA86" w14:textId="77777777" w:rsidTr="00101899">
        <w:trPr>
          <w:trHeight w:val="227"/>
        </w:trPr>
        <w:tc>
          <w:tcPr>
            <w:tcW w:w="2410" w:type="dxa"/>
            <w:tcBorders>
              <w:top w:val="nil"/>
              <w:left w:val="single" w:sz="4" w:space="0" w:color="auto"/>
              <w:bottom w:val="single" w:sz="4" w:space="0" w:color="auto"/>
              <w:right w:val="single" w:sz="4" w:space="0" w:color="auto"/>
            </w:tcBorders>
            <w:shd w:val="clear" w:color="auto" w:fill="auto"/>
            <w:vAlign w:val="center"/>
          </w:tcPr>
          <w:p w14:paraId="2186CB25" w14:textId="1AD46698" w:rsidR="00A25CBA" w:rsidRPr="00A70E99" w:rsidRDefault="00A25CBA" w:rsidP="00763BEE">
            <w:pPr>
              <w:jc w:val="right"/>
              <w:rPr>
                <w:sz w:val="18"/>
                <w:szCs w:val="18"/>
              </w:rPr>
            </w:pPr>
            <w:r w:rsidRPr="00A70E99">
              <w:rPr>
                <w:color w:val="000000"/>
                <w:sz w:val="18"/>
                <w:szCs w:val="18"/>
              </w:rPr>
              <w:t xml:space="preserve">Depression </w:t>
            </w:r>
          </w:p>
        </w:tc>
        <w:tc>
          <w:tcPr>
            <w:tcW w:w="1153" w:type="dxa"/>
            <w:tcBorders>
              <w:top w:val="nil"/>
              <w:left w:val="single" w:sz="4" w:space="0" w:color="auto"/>
              <w:bottom w:val="single" w:sz="4" w:space="0" w:color="auto"/>
              <w:right w:val="single" w:sz="4" w:space="0" w:color="auto"/>
            </w:tcBorders>
            <w:shd w:val="clear" w:color="auto" w:fill="auto"/>
            <w:vAlign w:val="center"/>
          </w:tcPr>
          <w:p w14:paraId="4B2C1CCA" w14:textId="28B0B3E4" w:rsidR="00A25CBA" w:rsidRPr="00A70E99" w:rsidRDefault="00A25CBA" w:rsidP="00A70E99">
            <w:pPr>
              <w:jc w:val="right"/>
              <w:rPr>
                <w:sz w:val="18"/>
                <w:szCs w:val="18"/>
              </w:rPr>
            </w:pPr>
            <w:r w:rsidRPr="00A70E99">
              <w:rPr>
                <w:color w:val="000000"/>
                <w:sz w:val="18"/>
                <w:szCs w:val="18"/>
              </w:rPr>
              <w:t>1855 (28.1)</w:t>
            </w:r>
          </w:p>
        </w:tc>
        <w:tc>
          <w:tcPr>
            <w:tcW w:w="0" w:type="auto"/>
            <w:tcBorders>
              <w:top w:val="nil"/>
              <w:left w:val="single" w:sz="4" w:space="0" w:color="auto"/>
              <w:bottom w:val="single" w:sz="4" w:space="0" w:color="auto"/>
            </w:tcBorders>
            <w:shd w:val="clear" w:color="auto" w:fill="auto"/>
            <w:vAlign w:val="center"/>
          </w:tcPr>
          <w:p w14:paraId="76593CC2" w14:textId="669D147C" w:rsidR="00A25CBA" w:rsidRPr="00A70E99" w:rsidRDefault="00A25CBA" w:rsidP="00A70E99">
            <w:pPr>
              <w:jc w:val="right"/>
              <w:rPr>
                <w:sz w:val="18"/>
                <w:szCs w:val="18"/>
              </w:rPr>
            </w:pPr>
            <w:r w:rsidRPr="00A70E99">
              <w:rPr>
                <w:color w:val="000000"/>
                <w:sz w:val="18"/>
                <w:szCs w:val="18"/>
              </w:rPr>
              <w:t>234 (22.0)</w:t>
            </w:r>
          </w:p>
        </w:tc>
        <w:tc>
          <w:tcPr>
            <w:tcW w:w="0" w:type="auto"/>
            <w:tcBorders>
              <w:top w:val="nil"/>
              <w:bottom w:val="single" w:sz="4" w:space="0" w:color="auto"/>
              <w:right w:val="single" w:sz="4" w:space="0" w:color="auto"/>
            </w:tcBorders>
            <w:shd w:val="clear" w:color="auto" w:fill="auto"/>
            <w:vAlign w:val="center"/>
          </w:tcPr>
          <w:p w14:paraId="587CD456" w14:textId="77777777" w:rsidR="00A25CBA" w:rsidRPr="00A70E99" w:rsidRDefault="00A25CBA" w:rsidP="00A70E99">
            <w:pPr>
              <w:jc w:val="right"/>
              <w:rPr>
                <w:sz w:val="18"/>
                <w:szCs w:val="18"/>
              </w:rPr>
            </w:pPr>
            <w:r w:rsidRPr="00A70E99">
              <w:rPr>
                <w:color w:val="000000"/>
                <w:sz w:val="18"/>
                <w:szCs w:val="18"/>
              </w:rPr>
              <w:t>&lt;0.001</w:t>
            </w:r>
          </w:p>
        </w:tc>
        <w:tc>
          <w:tcPr>
            <w:tcW w:w="0" w:type="auto"/>
            <w:tcBorders>
              <w:top w:val="nil"/>
              <w:left w:val="single" w:sz="4" w:space="0" w:color="auto"/>
              <w:bottom w:val="single" w:sz="4" w:space="0" w:color="auto"/>
            </w:tcBorders>
            <w:shd w:val="clear" w:color="auto" w:fill="auto"/>
            <w:vAlign w:val="center"/>
          </w:tcPr>
          <w:p w14:paraId="47EADCCE" w14:textId="18AF95FB" w:rsidR="00A25CBA" w:rsidRPr="00A70E99" w:rsidRDefault="00A25CBA" w:rsidP="00A70E99">
            <w:pPr>
              <w:jc w:val="right"/>
              <w:rPr>
                <w:sz w:val="18"/>
                <w:szCs w:val="18"/>
              </w:rPr>
            </w:pPr>
            <w:r w:rsidRPr="00A70E99">
              <w:rPr>
                <w:color w:val="000000"/>
                <w:sz w:val="18"/>
                <w:szCs w:val="18"/>
              </w:rPr>
              <w:t>7 (18.4)</w:t>
            </w:r>
          </w:p>
        </w:tc>
        <w:tc>
          <w:tcPr>
            <w:tcW w:w="0" w:type="auto"/>
            <w:tcBorders>
              <w:top w:val="nil"/>
              <w:bottom w:val="single" w:sz="4" w:space="0" w:color="auto"/>
              <w:right w:val="single" w:sz="4" w:space="0" w:color="auto"/>
            </w:tcBorders>
            <w:shd w:val="clear" w:color="auto" w:fill="auto"/>
            <w:vAlign w:val="center"/>
          </w:tcPr>
          <w:p w14:paraId="1825A474" w14:textId="23197076" w:rsidR="00A25CBA" w:rsidRPr="00A70E99" w:rsidRDefault="00A25CBA" w:rsidP="00A70E99">
            <w:pPr>
              <w:jc w:val="right"/>
              <w:rPr>
                <w:sz w:val="18"/>
                <w:szCs w:val="18"/>
              </w:rPr>
            </w:pPr>
            <w:r w:rsidRPr="00A70E99">
              <w:rPr>
                <w:color w:val="000000"/>
                <w:sz w:val="18"/>
                <w:szCs w:val="18"/>
              </w:rPr>
              <w:t>0.248</w:t>
            </w:r>
          </w:p>
        </w:tc>
        <w:tc>
          <w:tcPr>
            <w:tcW w:w="0" w:type="auto"/>
            <w:tcBorders>
              <w:top w:val="nil"/>
              <w:left w:val="single" w:sz="4" w:space="0" w:color="auto"/>
              <w:bottom w:val="single" w:sz="4" w:space="0" w:color="auto"/>
            </w:tcBorders>
            <w:shd w:val="clear" w:color="auto" w:fill="auto"/>
            <w:vAlign w:val="center"/>
          </w:tcPr>
          <w:p w14:paraId="7722B2E8" w14:textId="6368F150" w:rsidR="00A25CBA" w:rsidRPr="00A70E99" w:rsidRDefault="00A25CBA" w:rsidP="00A70E99">
            <w:pPr>
              <w:jc w:val="right"/>
              <w:rPr>
                <w:sz w:val="18"/>
                <w:szCs w:val="18"/>
              </w:rPr>
            </w:pPr>
            <w:r w:rsidRPr="00A70E99">
              <w:rPr>
                <w:color w:val="000000"/>
                <w:sz w:val="18"/>
                <w:szCs w:val="18"/>
              </w:rPr>
              <w:t>21 (21.6)</w:t>
            </w:r>
          </w:p>
        </w:tc>
        <w:tc>
          <w:tcPr>
            <w:tcW w:w="0" w:type="auto"/>
            <w:tcBorders>
              <w:top w:val="nil"/>
              <w:bottom w:val="single" w:sz="4" w:space="0" w:color="auto"/>
              <w:right w:val="single" w:sz="4" w:space="0" w:color="auto"/>
            </w:tcBorders>
            <w:shd w:val="clear" w:color="auto" w:fill="auto"/>
            <w:vAlign w:val="center"/>
          </w:tcPr>
          <w:p w14:paraId="0936540A" w14:textId="4BFE78A8" w:rsidR="00A25CBA" w:rsidRPr="00A70E99" w:rsidRDefault="00A25CBA" w:rsidP="00A70E99">
            <w:pPr>
              <w:jc w:val="right"/>
              <w:rPr>
                <w:sz w:val="18"/>
                <w:szCs w:val="18"/>
              </w:rPr>
            </w:pPr>
            <w:r w:rsidRPr="00A70E99">
              <w:rPr>
                <w:color w:val="000000"/>
                <w:sz w:val="18"/>
                <w:szCs w:val="18"/>
              </w:rPr>
              <w:t>0.187</w:t>
            </w:r>
          </w:p>
        </w:tc>
      </w:tr>
      <w:tr w:rsidR="00D44D7C" w:rsidRPr="00DB3251" w14:paraId="6CC761C8" w14:textId="77777777" w:rsidTr="00101899">
        <w:trPr>
          <w:trHeight w:val="227"/>
        </w:trPr>
        <w:tc>
          <w:tcPr>
            <w:tcW w:w="2410" w:type="dxa"/>
            <w:tcBorders>
              <w:top w:val="single" w:sz="4" w:space="0" w:color="auto"/>
              <w:left w:val="single" w:sz="4" w:space="0" w:color="auto"/>
              <w:bottom w:val="nil"/>
              <w:right w:val="single" w:sz="4" w:space="0" w:color="auto"/>
            </w:tcBorders>
            <w:shd w:val="clear" w:color="auto" w:fill="auto"/>
            <w:vAlign w:val="center"/>
          </w:tcPr>
          <w:p w14:paraId="466F6A00" w14:textId="77777777" w:rsidR="00D44D7C" w:rsidRPr="00A70E99" w:rsidRDefault="00D44D7C" w:rsidP="00D44D7C">
            <w:pPr>
              <w:jc w:val="right"/>
              <w:rPr>
                <w:b/>
                <w:color w:val="000000"/>
                <w:sz w:val="18"/>
                <w:szCs w:val="18"/>
              </w:rPr>
            </w:pPr>
            <w:r w:rsidRPr="00A70E99">
              <w:rPr>
                <w:b/>
                <w:color w:val="000000"/>
                <w:sz w:val="18"/>
                <w:szCs w:val="18"/>
              </w:rPr>
              <w:t>Haematological/ lab values</w:t>
            </w:r>
          </w:p>
          <w:p w14:paraId="1FD29A8A" w14:textId="3B424A28" w:rsidR="00D44D7C" w:rsidRPr="00A70E99" w:rsidRDefault="00D44D7C" w:rsidP="00D44D7C">
            <w:pPr>
              <w:jc w:val="right"/>
              <w:rPr>
                <w:b/>
                <w:color w:val="000000"/>
                <w:sz w:val="18"/>
                <w:szCs w:val="18"/>
              </w:rPr>
            </w:pPr>
            <w:r w:rsidRPr="00A70E99">
              <w:rPr>
                <w:b/>
                <w:color w:val="000000"/>
                <w:sz w:val="18"/>
                <w:szCs w:val="18"/>
              </w:rPr>
              <w:t>Mean (SD)</w:t>
            </w:r>
          </w:p>
        </w:tc>
        <w:tc>
          <w:tcPr>
            <w:tcW w:w="1153" w:type="dxa"/>
            <w:tcBorders>
              <w:top w:val="single" w:sz="4" w:space="0" w:color="auto"/>
              <w:left w:val="single" w:sz="4" w:space="0" w:color="auto"/>
              <w:bottom w:val="nil"/>
              <w:right w:val="single" w:sz="4" w:space="0" w:color="auto"/>
            </w:tcBorders>
            <w:shd w:val="clear" w:color="auto" w:fill="auto"/>
            <w:vAlign w:val="center"/>
          </w:tcPr>
          <w:p w14:paraId="6D7F50E9" w14:textId="77777777"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484FDE00" w14:textId="77777777"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3B047A72" w14:textId="77777777"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35DA3617" w14:textId="7514081E"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0F59DF8F" w14:textId="47E3467D"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05E22434" w14:textId="77777777"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4F939BA8" w14:textId="77777777" w:rsidR="00D44D7C" w:rsidRPr="00A70E99" w:rsidRDefault="00D44D7C" w:rsidP="00D44D7C">
            <w:pPr>
              <w:jc w:val="right"/>
              <w:rPr>
                <w:color w:val="000000"/>
                <w:sz w:val="18"/>
                <w:szCs w:val="18"/>
              </w:rPr>
            </w:pPr>
          </w:p>
        </w:tc>
      </w:tr>
      <w:tr w:rsidR="00D44D7C" w:rsidRPr="00DB3251" w14:paraId="46602D7B"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0C949493" w14:textId="6431A16D" w:rsidR="00D44D7C" w:rsidRPr="00A70E99" w:rsidRDefault="00D44D7C" w:rsidP="00D44D7C">
            <w:pPr>
              <w:jc w:val="right"/>
              <w:rPr>
                <w:sz w:val="18"/>
                <w:szCs w:val="18"/>
              </w:rPr>
            </w:pPr>
            <w:r w:rsidRPr="00A70E99">
              <w:rPr>
                <w:color w:val="000000"/>
                <w:sz w:val="18"/>
                <w:szCs w:val="18"/>
              </w:rPr>
              <w:t>Haemoglobin (g/L)</w:t>
            </w:r>
            <w:r w:rsidRPr="00105C68">
              <w:rPr>
                <w:color w:val="000000"/>
                <w:sz w:val="18"/>
                <w:szCs w:val="18"/>
                <w:vertAlign w:val="superscript"/>
              </w:rPr>
              <w:t>d</w:t>
            </w:r>
          </w:p>
        </w:tc>
        <w:tc>
          <w:tcPr>
            <w:tcW w:w="1153" w:type="dxa"/>
            <w:tcBorders>
              <w:top w:val="nil"/>
              <w:left w:val="single" w:sz="4" w:space="0" w:color="auto"/>
              <w:bottom w:val="nil"/>
              <w:right w:val="single" w:sz="4" w:space="0" w:color="auto"/>
            </w:tcBorders>
            <w:shd w:val="clear" w:color="auto" w:fill="auto"/>
            <w:vAlign w:val="center"/>
          </w:tcPr>
          <w:p w14:paraId="3B14803A" w14:textId="162B72D5" w:rsidR="00D44D7C" w:rsidRPr="00A70E99" w:rsidRDefault="00101899" w:rsidP="00D44D7C">
            <w:pPr>
              <w:jc w:val="right"/>
              <w:rPr>
                <w:sz w:val="18"/>
                <w:szCs w:val="18"/>
              </w:rPr>
            </w:pPr>
            <w:r>
              <w:rPr>
                <w:color w:val="000000"/>
                <w:sz w:val="18"/>
                <w:szCs w:val="18"/>
              </w:rPr>
              <w:t>13.2 (1.5</w:t>
            </w:r>
            <w:r w:rsidR="00D44D7C" w:rsidRPr="00A70E99">
              <w:rPr>
                <w:color w:val="000000"/>
                <w:sz w:val="18"/>
                <w:szCs w:val="18"/>
              </w:rPr>
              <w:t>)</w:t>
            </w:r>
          </w:p>
        </w:tc>
        <w:tc>
          <w:tcPr>
            <w:tcW w:w="0" w:type="auto"/>
            <w:tcBorders>
              <w:top w:val="nil"/>
              <w:left w:val="single" w:sz="4" w:space="0" w:color="auto"/>
              <w:bottom w:val="nil"/>
            </w:tcBorders>
            <w:shd w:val="clear" w:color="auto" w:fill="auto"/>
            <w:vAlign w:val="center"/>
          </w:tcPr>
          <w:p w14:paraId="1C880D16" w14:textId="01DD526D" w:rsidR="00D44D7C" w:rsidRPr="00A70E99" w:rsidRDefault="00101899" w:rsidP="00101899">
            <w:pPr>
              <w:jc w:val="right"/>
              <w:rPr>
                <w:sz w:val="18"/>
                <w:szCs w:val="18"/>
              </w:rPr>
            </w:pPr>
            <w:r>
              <w:rPr>
                <w:color w:val="000000"/>
                <w:sz w:val="18"/>
                <w:szCs w:val="18"/>
              </w:rPr>
              <w:t>11.6 (1.4</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2A6ABA91" w14:textId="77777777" w:rsidR="00D44D7C" w:rsidRPr="00A70E99" w:rsidRDefault="00D44D7C" w:rsidP="00D44D7C">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5B8421A5" w14:textId="68419955" w:rsidR="00D44D7C" w:rsidRPr="00A70E99" w:rsidRDefault="00D44D7C" w:rsidP="00101899">
            <w:pPr>
              <w:jc w:val="right"/>
              <w:rPr>
                <w:sz w:val="18"/>
                <w:szCs w:val="18"/>
              </w:rPr>
            </w:pPr>
            <w:r w:rsidRPr="00A70E99">
              <w:rPr>
                <w:color w:val="000000"/>
                <w:sz w:val="18"/>
                <w:szCs w:val="18"/>
              </w:rPr>
              <w:t>12.</w:t>
            </w:r>
            <w:r w:rsidR="00101899">
              <w:rPr>
                <w:color w:val="000000"/>
                <w:sz w:val="18"/>
                <w:szCs w:val="18"/>
              </w:rPr>
              <w:t>7 (1.8</w:t>
            </w:r>
            <w:r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770B9007" w14:textId="7C67A2C3" w:rsidR="00D44D7C" w:rsidRPr="00A70E99" w:rsidRDefault="00D44D7C" w:rsidP="00D44D7C">
            <w:pPr>
              <w:jc w:val="right"/>
              <w:rPr>
                <w:sz w:val="18"/>
                <w:szCs w:val="18"/>
              </w:rPr>
            </w:pPr>
            <w:r w:rsidRPr="00A70E99">
              <w:rPr>
                <w:color w:val="000000"/>
                <w:sz w:val="18"/>
                <w:szCs w:val="18"/>
              </w:rPr>
              <w:t>0.020</w:t>
            </w:r>
          </w:p>
        </w:tc>
        <w:tc>
          <w:tcPr>
            <w:tcW w:w="0" w:type="auto"/>
            <w:tcBorders>
              <w:top w:val="nil"/>
              <w:left w:val="single" w:sz="4" w:space="0" w:color="auto"/>
              <w:bottom w:val="nil"/>
            </w:tcBorders>
            <w:shd w:val="clear" w:color="auto" w:fill="auto"/>
            <w:vAlign w:val="center"/>
          </w:tcPr>
          <w:p w14:paraId="11A15BA0" w14:textId="5F6EB1FD" w:rsidR="00D44D7C" w:rsidRPr="00A70E99" w:rsidRDefault="00101899" w:rsidP="00101899">
            <w:pPr>
              <w:jc w:val="right"/>
              <w:rPr>
                <w:sz w:val="18"/>
                <w:szCs w:val="18"/>
              </w:rPr>
            </w:pPr>
            <w:r>
              <w:rPr>
                <w:color w:val="000000"/>
                <w:sz w:val="18"/>
                <w:szCs w:val="18"/>
              </w:rPr>
              <w:t>12.2 (1.7</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7644BEFF" w14:textId="77777777" w:rsidR="00D44D7C" w:rsidRPr="00A70E99" w:rsidRDefault="00D44D7C" w:rsidP="00D44D7C">
            <w:pPr>
              <w:jc w:val="right"/>
              <w:rPr>
                <w:sz w:val="18"/>
                <w:szCs w:val="18"/>
              </w:rPr>
            </w:pPr>
            <w:r w:rsidRPr="00A70E99">
              <w:rPr>
                <w:color w:val="000000"/>
                <w:sz w:val="18"/>
                <w:szCs w:val="18"/>
              </w:rPr>
              <w:t>&lt;0.001</w:t>
            </w:r>
          </w:p>
        </w:tc>
      </w:tr>
      <w:tr w:rsidR="00D44D7C" w:rsidRPr="00DB3251" w14:paraId="080C0821"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5951C0B6" w14:textId="244BDE56" w:rsidR="00D44D7C" w:rsidRPr="00A70E99" w:rsidRDefault="00D44D7C" w:rsidP="00D44D7C">
            <w:pPr>
              <w:jc w:val="right"/>
              <w:rPr>
                <w:sz w:val="18"/>
                <w:szCs w:val="18"/>
              </w:rPr>
            </w:pPr>
            <w:r w:rsidRPr="00A70E99">
              <w:rPr>
                <w:color w:val="000000"/>
                <w:sz w:val="18"/>
                <w:szCs w:val="18"/>
              </w:rPr>
              <w:t>Neutrophil count (10</w:t>
            </w:r>
            <w:r w:rsidRPr="00A70E99">
              <w:rPr>
                <w:color w:val="000000"/>
                <w:sz w:val="18"/>
                <w:szCs w:val="18"/>
                <w:vertAlign w:val="superscript"/>
              </w:rPr>
              <w:t>9</w:t>
            </w:r>
            <w:r w:rsidRPr="00A70E99">
              <w:rPr>
                <w:color w:val="000000"/>
                <w:sz w:val="18"/>
                <w:szCs w:val="18"/>
              </w:rPr>
              <w:t>/L)</w:t>
            </w:r>
            <w:r w:rsidRPr="00105C68">
              <w:rPr>
                <w:color w:val="000000"/>
                <w:sz w:val="18"/>
                <w:szCs w:val="18"/>
                <w:vertAlign w:val="superscript"/>
              </w:rPr>
              <w:t>d</w:t>
            </w:r>
          </w:p>
        </w:tc>
        <w:tc>
          <w:tcPr>
            <w:tcW w:w="1153" w:type="dxa"/>
            <w:tcBorders>
              <w:top w:val="nil"/>
              <w:left w:val="single" w:sz="4" w:space="0" w:color="auto"/>
              <w:bottom w:val="nil"/>
              <w:right w:val="single" w:sz="4" w:space="0" w:color="auto"/>
            </w:tcBorders>
            <w:shd w:val="clear" w:color="auto" w:fill="auto"/>
            <w:vAlign w:val="center"/>
          </w:tcPr>
          <w:p w14:paraId="305AEFEB" w14:textId="7B007313" w:rsidR="00D44D7C" w:rsidRPr="00A70E99" w:rsidRDefault="00101899" w:rsidP="00D44D7C">
            <w:pPr>
              <w:jc w:val="right"/>
              <w:rPr>
                <w:sz w:val="18"/>
                <w:szCs w:val="18"/>
              </w:rPr>
            </w:pPr>
            <w:r>
              <w:rPr>
                <w:color w:val="000000"/>
                <w:sz w:val="18"/>
                <w:szCs w:val="18"/>
              </w:rPr>
              <w:t>4.7 (2.6</w:t>
            </w:r>
            <w:r w:rsidR="00D44D7C" w:rsidRPr="00A70E99">
              <w:rPr>
                <w:color w:val="000000"/>
                <w:sz w:val="18"/>
                <w:szCs w:val="18"/>
              </w:rPr>
              <w:t>)</w:t>
            </w:r>
          </w:p>
        </w:tc>
        <w:tc>
          <w:tcPr>
            <w:tcW w:w="0" w:type="auto"/>
            <w:tcBorders>
              <w:top w:val="nil"/>
              <w:left w:val="single" w:sz="4" w:space="0" w:color="auto"/>
              <w:bottom w:val="nil"/>
            </w:tcBorders>
            <w:shd w:val="clear" w:color="auto" w:fill="auto"/>
            <w:vAlign w:val="center"/>
          </w:tcPr>
          <w:p w14:paraId="2BB2D022" w14:textId="248D8AF7" w:rsidR="00D44D7C" w:rsidRPr="00A70E99" w:rsidRDefault="00101899" w:rsidP="00D44D7C">
            <w:pPr>
              <w:jc w:val="right"/>
              <w:rPr>
                <w:sz w:val="18"/>
                <w:szCs w:val="18"/>
              </w:rPr>
            </w:pPr>
            <w:r>
              <w:rPr>
                <w:color w:val="000000"/>
                <w:sz w:val="18"/>
                <w:szCs w:val="18"/>
              </w:rPr>
              <w:t>5.0 (2.</w:t>
            </w:r>
            <w:r w:rsidR="00D44D7C" w:rsidRPr="00A70E99">
              <w:rPr>
                <w:color w:val="000000"/>
                <w:sz w:val="18"/>
                <w:szCs w:val="18"/>
              </w:rPr>
              <w:t>5)</w:t>
            </w:r>
          </w:p>
        </w:tc>
        <w:tc>
          <w:tcPr>
            <w:tcW w:w="0" w:type="auto"/>
            <w:tcBorders>
              <w:top w:val="nil"/>
              <w:bottom w:val="nil"/>
              <w:right w:val="single" w:sz="4" w:space="0" w:color="auto"/>
            </w:tcBorders>
            <w:shd w:val="clear" w:color="auto" w:fill="auto"/>
            <w:vAlign w:val="center"/>
          </w:tcPr>
          <w:p w14:paraId="05E75FF4" w14:textId="77777777" w:rsidR="00D44D7C" w:rsidRPr="00A70E99" w:rsidRDefault="00D44D7C" w:rsidP="00D44D7C">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1858BE94" w14:textId="4BAEF18D" w:rsidR="00D44D7C" w:rsidRPr="00A70E99" w:rsidRDefault="00101899" w:rsidP="00101899">
            <w:pPr>
              <w:jc w:val="right"/>
              <w:rPr>
                <w:sz w:val="18"/>
                <w:szCs w:val="18"/>
              </w:rPr>
            </w:pPr>
            <w:r>
              <w:rPr>
                <w:color w:val="000000"/>
                <w:sz w:val="18"/>
                <w:szCs w:val="18"/>
              </w:rPr>
              <w:t>1.3 (0.4</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1F93EA51" w14:textId="77777777" w:rsidR="00D44D7C" w:rsidRPr="00A70E99" w:rsidRDefault="00D44D7C" w:rsidP="00D44D7C">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0890E1E6" w14:textId="024A9B2E" w:rsidR="00D44D7C" w:rsidRPr="00A70E99" w:rsidRDefault="00101899" w:rsidP="00D44D7C">
            <w:pPr>
              <w:jc w:val="right"/>
              <w:rPr>
                <w:sz w:val="18"/>
                <w:szCs w:val="18"/>
              </w:rPr>
            </w:pPr>
            <w:r>
              <w:rPr>
                <w:color w:val="000000"/>
                <w:sz w:val="18"/>
                <w:szCs w:val="18"/>
              </w:rPr>
              <w:t>4.5 (2.7</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3936D812" w14:textId="61EB9C2B" w:rsidR="00D44D7C" w:rsidRPr="00A70E99" w:rsidRDefault="00D44D7C" w:rsidP="00D44D7C">
            <w:pPr>
              <w:jc w:val="right"/>
              <w:rPr>
                <w:sz w:val="18"/>
                <w:szCs w:val="18"/>
              </w:rPr>
            </w:pPr>
            <w:r w:rsidRPr="00A70E99">
              <w:rPr>
                <w:color w:val="000000"/>
                <w:sz w:val="18"/>
                <w:szCs w:val="18"/>
              </w:rPr>
              <w:t>0.483</w:t>
            </w:r>
          </w:p>
        </w:tc>
      </w:tr>
      <w:tr w:rsidR="00D44D7C" w:rsidRPr="00DB3251" w14:paraId="516EFFCF" w14:textId="77777777" w:rsidTr="00101899">
        <w:trPr>
          <w:trHeight w:val="227"/>
        </w:trPr>
        <w:tc>
          <w:tcPr>
            <w:tcW w:w="2410" w:type="dxa"/>
            <w:tcBorders>
              <w:top w:val="nil"/>
              <w:left w:val="single" w:sz="4" w:space="0" w:color="auto"/>
              <w:bottom w:val="nil"/>
              <w:right w:val="single" w:sz="4" w:space="0" w:color="auto"/>
            </w:tcBorders>
            <w:shd w:val="clear" w:color="auto" w:fill="auto"/>
            <w:vAlign w:val="center"/>
          </w:tcPr>
          <w:p w14:paraId="50A08871" w14:textId="14C7514E" w:rsidR="00D44D7C" w:rsidRPr="00A70E99" w:rsidRDefault="00D44D7C" w:rsidP="00D44D7C">
            <w:pPr>
              <w:jc w:val="right"/>
              <w:rPr>
                <w:sz w:val="18"/>
                <w:szCs w:val="18"/>
              </w:rPr>
            </w:pPr>
            <w:r w:rsidRPr="00A70E99">
              <w:rPr>
                <w:color w:val="000000"/>
                <w:sz w:val="18"/>
                <w:szCs w:val="18"/>
              </w:rPr>
              <w:t>Lymphocyte count (10</w:t>
            </w:r>
            <w:r w:rsidRPr="00A70E99">
              <w:rPr>
                <w:color w:val="000000"/>
                <w:sz w:val="18"/>
                <w:szCs w:val="18"/>
                <w:vertAlign w:val="superscript"/>
              </w:rPr>
              <w:t>9</w:t>
            </w:r>
            <w:r w:rsidRPr="00A70E99">
              <w:rPr>
                <w:color w:val="000000"/>
                <w:sz w:val="18"/>
                <w:szCs w:val="18"/>
              </w:rPr>
              <w:t>/L)</w:t>
            </w:r>
            <w:r w:rsidRPr="00105C68">
              <w:rPr>
                <w:color w:val="000000"/>
                <w:sz w:val="18"/>
                <w:szCs w:val="18"/>
                <w:vertAlign w:val="superscript"/>
              </w:rPr>
              <w:t>d</w:t>
            </w:r>
          </w:p>
        </w:tc>
        <w:tc>
          <w:tcPr>
            <w:tcW w:w="1153" w:type="dxa"/>
            <w:tcBorders>
              <w:top w:val="nil"/>
              <w:left w:val="single" w:sz="4" w:space="0" w:color="auto"/>
              <w:bottom w:val="nil"/>
              <w:right w:val="single" w:sz="4" w:space="0" w:color="auto"/>
            </w:tcBorders>
            <w:shd w:val="clear" w:color="auto" w:fill="auto"/>
            <w:vAlign w:val="center"/>
          </w:tcPr>
          <w:p w14:paraId="399F4891" w14:textId="254E68C3" w:rsidR="00D44D7C" w:rsidRPr="00A70E99" w:rsidRDefault="00101899" w:rsidP="00D44D7C">
            <w:pPr>
              <w:jc w:val="right"/>
              <w:rPr>
                <w:sz w:val="18"/>
                <w:szCs w:val="18"/>
              </w:rPr>
            </w:pPr>
            <w:r>
              <w:rPr>
                <w:color w:val="000000"/>
                <w:sz w:val="18"/>
                <w:szCs w:val="18"/>
              </w:rPr>
              <w:t>2.0 (1.0</w:t>
            </w:r>
            <w:r w:rsidR="00D44D7C" w:rsidRPr="00A70E99">
              <w:rPr>
                <w:color w:val="000000"/>
                <w:sz w:val="18"/>
                <w:szCs w:val="18"/>
              </w:rPr>
              <w:t>)</w:t>
            </w:r>
          </w:p>
        </w:tc>
        <w:tc>
          <w:tcPr>
            <w:tcW w:w="0" w:type="auto"/>
            <w:tcBorders>
              <w:top w:val="nil"/>
              <w:left w:val="single" w:sz="4" w:space="0" w:color="auto"/>
              <w:bottom w:val="nil"/>
            </w:tcBorders>
            <w:shd w:val="clear" w:color="auto" w:fill="auto"/>
            <w:vAlign w:val="center"/>
          </w:tcPr>
          <w:p w14:paraId="2EAFC3A2" w14:textId="50528EAC" w:rsidR="00D44D7C" w:rsidRPr="00A70E99" w:rsidRDefault="00101899" w:rsidP="00D44D7C">
            <w:pPr>
              <w:jc w:val="right"/>
              <w:rPr>
                <w:sz w:val="18"/>
                <w:szCs w:val="18"/>
              </w:rPr>
            </w:pPr>
            <w:r>
              <w:rPr>
                <w:color w:val="000000"/>
                <w:sz w:val="18"/>
                <w:szCs w:val="18"/>
              </w:rPr>
              <w:t>1.7 (0.8</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27F0F957" w14:textId="77777777" w:rsidR="00D44D7C" w:rsidRPr="00A70E99" w:rsidRDefault="00D44D7C" w:rsidP="00D44D7C">
            <w:pPr>
              <w:jc w:val="right"/>
              <w:rPr>
                <w:sz w:val="18"/>
                <w:szCs w:val="18"/>
              </w:rPr>
            </w:pPr>
            <w:r w:rsidRPr="00A70E99">
              <w:rPr>
                <w:color w:val="000000"/>
                <w:sz w:val="18"/>
                <w:szCs w:val="18"/>
              </w:rPr>
              <w:t>&lt;0.001</w:t>
            </w:r>
          </w:p>
        </w:tc>
        <w:tc>
          <w:tcPr>
            <w:tcW w:w="0" w:type="auto"/>
            <w:tcBorders>
              <w:top w:val="nil"/>
              <w:left w:val="single" w:sz="4" w:space="0" w:color="auto"/>
              <w:bottom w:val="nil"/>
            </w:tcBorders>
            <w:shd w:val="clear" w:color="auto" w:fill="auto"/>
            <w:vAlign w:val="center"/>
          </w:tcPr>
          <w:p w14:paraId="629A5020" w14:textId="2D6141D8" w:rsidR="00D44D7C" w:rsidRPr="00A70E99" w:rsidRDefault="00101899" w:rsidP="00D44D7C">
            <w:pPr>
              <w:jc w:val="right"/>
              <w:rPr>
                <w:sz w:val="18"/>
                <w:szCs w:val="18"/>
              </w:rPr>
            </w:pPr>
            <w:r>
              <w:rPr>
                <w:color w:val="000000"/>
                <w:sz w:val="18"/>
                <w:szCs w:val="18"/>
              </w:rPr>
              <w:t>1.6 (0.6</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5500CD71" w14:textId="5321B674" w:rsidR="00D44D7C" w:rsidRPr="00A70E99" w:rsidRDefault="00D44D7C" w:rsidP="00D44D7C">
            <w:pPr>
              <w:jc w:val="right"/>
              <w:rPr>
                <w:sz w:val="18"/>
                <w:szCs w:val="18"/>
              </w:rPr>
            </w:pPr>
            <w:r w:rsidRPr="00A70E99">
              <w:rPr>
                <w:color w:val="000000"/>
                <w:sz w:val="18"/>
                <w:szCs w:val="18"/>
              </w:rPr>
              <w:t>0.008</w:t>
            </w:r>
          </w:p>
        </w:tc>
        <w:tc>
          <w:tcPr>
            <w:tcW w:w="0" w:type="auto"/>
            <w:tcBorders>
              <w:top w:val="nil"/>
              <w:left w:val="single" w:sz="4" w:space="0" w:color="auto"/>
              <w:bottom w:val="nil"/>
            </w:tcBorders>
            <w:shd w:val="clear" w:color="auto" w:fill="auto"/>
            <w:vAlign w:val="center"/>
          </w:tcPr>
          <w:p w14:paraId="1AD63E85" w14:textId="1069D121" w:rsidR="00D44D7C" w:rsidRPr="00A70E99" w:rsidRDefault="00101899" w:rsidP="00101899">
            <w:pPr>
              <w:jc w:val="right"/>
              <w:rPr>
                <w:sz w:val="18"/>
                <w:szCs w:val="18"/>
              </w:rPr>
            </w:pPr>
            <w:r>
              <w:rPr>
                <w:color w:val="000000"/>
                <w:sz w:val="18"/>
                <w:szCs w:val="18"/>
              </w:rPr>
              <w:t>0.6 (0.2</w:t>
            </w:r>
            <w:r w:rsidR="00D44D7C" w:rsidRPr="00A70E99">
              <w:rPr>
                <w:color w:val="000000"/>
                <w:sz w:val="18"/>
                <w:szCs w:val="18"/>
              </w:rPr>
              <w:t>)</w:t>
            </w:r>
          </w:p>
        </w:tc>
        <w:tc>
          <w:tcPr>
            <w:tcW w:w="0" w:type="auto"/>
            <w:tcBorders>
              <w:top w:val="nil"/>
              <w:bottom w:val="nil"/>
              <w:right w:val="single" w:sz="4" w:space="0" w:color="auto"/>
            </w:tcBorders>
            <w:shd w:val="clear" w:color="auto" w:fill="auto"/>
            <w:vAlign w:val="center"/>
          </w:tcPr>
          <w:p w14:paraId="28293F52" w14:textId="77777777" w:rsidR="00D44D7C" w:rsidRPr="00A70E99" w:rsidRDefault="00D44D7C" w:rsidP="00D44D7C">
            <w:pPr>
              <w:jc w:val="right"/>
              <w:rPr>
                <w:sz w:val="18"/>
                <w:szCs w:val="18"/>
              </w:rPr>
            </w:pPr>
            <w:r w:rsidRPr="00A70E99">
              <w:rPr>
                <w:color w:val="000000"/>
                <w:sz w:val="18"/>
                <w:szCs w:val="18"/>
              </w:rPr>
              <w:t>&lt;0.001</w:t>
            </w:r>
          </w:p>
        </w:tc>
      </w:tr>
      <w:tr w:rsidR="00D44D7C" w:rsidRPr="00DB3251" w14:paraId="73A60513" w14:textId="77777777" w:rsidTr="00101899">
        <w:trPr>
          <w:trHeight w:val="227"/>
        </w:trPr>
        <w:tc>
          <w:tcPr>
            <w:tcW w:w="2410" w:type="dxa"/>
            <w:tcBorders>
              <w:top w:val="nil"/>
              <w:left w:val="single" w:sz="4" w:space="0" w:color="auto"/>
              <w:bottom w:val="single" w:sz="4" w:space="0" w:color="auto"/>
              <w:right w:val="single" w:sz="4" w:space="0" w:color="auto"/>
            </w:tcBorders>
            <w:shd w:val="clear" w:color="auto" w:fill="auto"/>
            <w:vAlign w:val="center"/>
          </w:tcPr>
          <w:p w14:paraId="56923E69" w14:textId="2F47BAAD" w:rsidR="00D44D7C" w:rsidRPr="00A70E99" w:rsidRDefault="00D44D7C" w:rsidP="00D44D7C">
            <w:pPr>
              <w:jc w:val="right"/>
              <w:rPr>
                <w:color w:val="000000"/>
                <w:sz w:val="18"/>
                <w:szCs w:val="18"/>
              </w:rPr>
            </w:pPr>
            <w:proofErr w:type="spellStart"/>
            <w:r w:rsidRPr="00A70E99">
              <w:rPr>
                <w:sz w:val="18"/>
                <w:szCs w:val="18"/>
              </w:rPr>
              <w:t>Seropositive</w:t>
            </w:r>
            <w:r>
              <w:rPr>
                <w:sz w:val="18"/>
                <w:szCs w:val="18"/>
                <w:vertAlign w:val="superscript"/>
              </w:rPr>
              <w:t>e</w:t>
            </w:r>
            <w:proofErr w:type="spellEnd"/>
            <w:r w:rsidRPr="00A70E99">
              <w:rPr>
                <w:sz w:val="18"/>
                <w:szCs w:val="18"/>
              </w:rPr>
              <w:t xml:space="preserve"> </w:t>
            </w:r>
          </w:p>
        </w:tc>
        <w:tc>
          <w:tcPr>
            <w:tcW w:w="1153" w:type="dxa"/>
            <w:tcBorders>
              <w:top w:val="nil"/>
              <w:left w:val="single" w:sz="4" w:space="0" w:color="auto"/>
              <w:bottom w:val="single" w:sz="4" w:space="0" w:color="auto"/>
              <w:right w:val="single" w:sz="4" w:space="0" w:color="auto"/>
            </w:tcBorders>
            <w:shd w:val="clear" w:color="auto" w:fill="auto"/>
            <w:vAlign w:val="center"/>
          </w:tcPr>
          <w:p w14:paraId="43711CF5" w14:textId="7BE024DE" w:rsidR="00D44D7C" w:rsidRPr="00A70E99" w:rsidRDefault="00101899" w:rsidP="00D44D7C">
            <w:pPr>
              <w:jc w:val="right"/>
              <w:rPr>
                <w:color w:val="000000"/>
                <w:sz w:val="18"/>
                <w:szCs w:val="18"/>
              </w:rPr>
            </w:pPr>
            <w:r>
              <w:rPr>
                <w:color w:val="000000"/>
                <w:sz w:val="18"/>
                <w:szCs w:val="18"/>
              </w:rPr>
              <w:t>1791 (27</w:t>
            </w:r>
            <w:r w:rsidR="00D44D7C" w:rsidRPr="00A70E99">
              <w:rPr>
                <w:color w:val="000000"/>
                <w:sz w:val="18"/>
                <w:szCs w:val="18"/>
              </w:rPr>
              <w:t xml:space="preserve">) </w:t>
            </w:r>
          </w:p>
        </w:tc>
        <w:tc>
          <w:tcPr>
            <w:tcW w:w="0" w:type="auto"/>
            <w:tcBorders>
              <w:top w:val="nil"/>
              <w:left w:val="single" w:sz="4" w:space="0" w:color="auto"/>
              <w:bottom w:val="single" w:sz="4" w:space="0" w:color="auto"/>
            </w:tcBorders>
            <w:shd w:val="clear" w:color="auto" w:fill="auto"/>
            <w:vAlign w:val="center"/>
          </w:tcPr>
          <w:p w14:paraId="6570C289" w14:textId="71A4A086" w:rsidR="00D44D7C" w:rsidRPr="00A70E99" w:rsidRDefault="00101899" w:rsidP="00D44D7C">
            <w:pPr>
              <w:jc w:val="right"/>
              <w:rPr>
                <w:color w:val="000000"/>
                <w:sz w:val="18"/>
                <w:szCs w:val="18"/>
              </w:rPr>
            </w:pPr>
            <w:r>
              <w:rPr>
                <w:color w:val="000000"/>
                <w:sz w:val="18"/>
                <w:szCs w:val="18"/>
              </w:rPr>
              <w:t>269 (25</w:t>
            </w:r>
            <w:r w:rsidR="00D44D7C" w:rsidRPr="00A70E99">
              <w:rPr>
                <w:color w:val="000000"/>
                <w:sz w:val="18"/>
                <w:szCs w:val="18"/>
              </w:rPr>
              <w:t>)</w:t>
            </w:r>
          </w:p>
        </w:tc>
        <w:tc>
          <w:tcPr>
            <w:tcW w:w="0" w:type="auto"/>
            <w:tcBorders>
              <w:top w:val="nil"/>
              <w:bottom w:val="single" w:sz="4" w:space="0" w:color="auto"/>
              <w:right w:val="single" w:sz="4" w:space="0" w:color="auto"/>
            </w:tcBorders>
            <w:shd w:val="clear" w:color="auto" w:fill="auto"/>
            <w:vAlign w:val="center"/>
          </w:tcPr>
          <w:p w14:paraId="31E3F250" w14:textId="4FF66C92" w:rsidR="00D44D7C" w:rsidRPr="00A70E99" w:rsidRDefault="00D44D7C" w:rsidP="00D44D7C">
            <w:pPr>
              <w:jc w:val="right"/>
              <w:rPr>
                <w:color w:val="000000"/>
                <w:sz w:val="18"/>
                <w:szCs w:val="18"/>
              </w:rPr>
            </w:pPr>
            <w:r w:rsidRPr="00A70E99">
              <w:rPr>
                <w:color w:val="000000"/>
                <w:sz w:val="18"/>
                <w:szCs w:val="18"/>
              </w:rPr>
              <w:t>0.129</w:t>
            </w:r>
          </w:p>
        </w:tc>
        <w:tc>
          <w:tcPr>
            <w:tcW w:w="0" w:type="auto"/>
            <w:tcBorders>
              <w:top w:val="nil"/>
              <w:left w:val="single" w:sz="4" w:space="0" w:color="auto"/>
              <w:bottom w:val="single" w:sz="4" w:space="0" w:color="auto"/>
            </w:tcBorders>
            <w:shd w:val="clear" w:color="auto" w:fill="auto"/>
            <w:vAlign w:val="center"/>
          </w:tcPr>
          <w:p w14:paraId="10D3BA29" w14:textId="16F7E5B0" w:rsidR="00D44D7C" w:rsidRPr="00A70E99" w:rsidRDefault="00101899" w:rsidP="00D44D7C">
            <w:pPr>
              <w:jc w:val="right"/>
              <w:rPr>
                <w:color w:val="000000"/>
                <w:sz w:val="18"/>
                <w:szCs w:val="18"/>
              </w:rPr>
            </w:pPr>
            <w:r>
              <w:rPr>
                <w:color w:val="000000"/>
                <w:sz w:val="18"/>
                <w:szCs w:val="18"/>
              </w:rPr>
              <w:t>13 (34</w:t>
            </w:r>
            <w:r w:rsidR="00D44D7C" w:rsidRPr="00A70E99">
              <w:rPr>
                <w:color w:val="000000"/>
                <w:sz w:val="18"/>
                <w:szCs w:val="18"/>
              </w:rPr>
              <w:t>)</w:t>
            </w:r>
          </w:p>
        </w:tc>
        <w:tc>
          <w:tcPr>
            <w:tcW w:w="0" w:type="auto"/>
            <w:tcBorders>
              <w:top w:val="nil"/>
              <w:bottom w:val="single" w:sz="4" w:space="0" w:color="auto"/>
              <w:right w:val="single" w:sz="4" w:space="0" w:color="auto"/>
            </w:tcBorders>
            <w:shd w:val="clear" w:color="auto" w:fill="auto"/>
            <w:vAlign w:val="center"/>
          </w:tcPr>
          <w:p w14:paraId="25997B3B" w14:textId="490565B4" w:rsidR="00D44D7C" w:rsidRPr="00A70E99" w:rsidRDefault="00D44D7C" w:rsidP="00D44D7C">
            <w:pPr>
              <w:jc w:val="right"/>
              <w:rPr>
                <w:color w:val="000000"/>
                <w:sz w:val="18"/>
                <w:szCs w:val="18"/>
              </w:rPr>
            </w:pPr>
            <w:r w:rsidRPr="00A70E99">
              <w:rPr>
                <w:color w:val="000000"/>
                <w:sz w:val="18"/>
                <w:szCs w:val="18"/>
              </w:rPr>
              <w:t>0.427</w:t>
            </w:r>
          </w:p>
        </w:tc>
        <w:tc>
          <w:tcPr>
            <w:tcW w:w="0" w:type="auto"/>
            <w:tcBorders>
              <w:top w:val="nil"/>
              <w:left w:val="single" w:sz="4" w:space="0" w:color="auto"/>
              <w:bottom w:val="single" w:sz="4" w:space="0" w:color="auto"/>
            </w:tcBorders>
            <w:shd w:val="clear" w:color="auto" w:fill="auto"/>
            <w:vAlign w:val="center"/>
          </w:tcPr>
          <w:p w14:paraId="0C195317" w14:textId="453BEE42" w:rsidR="00D44D7C" w:rsidRPr="00A70E99" w:rsidRDefault="00D44D7C" w:rsidP="00101899">
            <w:pPr>
              <w:jc w:val="right"/>
              <w:rPr>
                <w:color w:val="000000"/>
                <w:sz w:val="18"/>
                <w:szCs w:val="18"/>
              </w:rPr>
            </w:pPr>
            <w:r w:rsidRPr="00A70E99">
              <w:rPr>
                <w:color w:val="000000"/>
                <w:sz w:val="18"/>
                <w:szCs w:val="18"/>
              </w:rPr>
              <w:t>21 (2</w:t>
            </w:r>
            <w:r w:rsidR="00101899">
              <w:rPr>
                <w:color w:val="000000"/>
                <w:sz w:val="18"/>
                <w:szCs w:val="18"/>
              </w:rPr>
              <w:t>2</w:t>
            </w:r>
            <w:r w:rsidRPr="00A70E99">
              <w:rPr>
                <w:color w:val="000000"/>
                <w:sz w:val="18"/>
                <w:szCs w:val="18"/>
              </w:rPr>
              <w:t>)</w:t>
            </w:r>
          </w:p>
        </w:tc>
        <w:tc>
          <w:tcPr>
            <w:tcW w:w="0" w:type="auto"/>
            <w:tcBorders>
              <w:top w:val="nil"/>
              <w:bottom w:val="single" w:sz="4" w:space="0" w:color="auto"/>
              <w:right w:val="single" w:sz="4" w:space="0" w:color="auto"/>
            </w:tcBorders>
            <w:shd w:val="clear" w:color="auto" w:fill="auto"/>
            <w:vAlign w:val="center"/>
          </w:tcPr>
          <w:p w14:paraId="429545DD" w14:textId="4F8902A2" w:rsidR="00D44D7C" w:rsidRPr="00A70E99" w:rsidRDefault="00D44D7C" w:rsidP="00D44D7C">
            <w:pPr>
              <w:jc w:val="right"/>
              <w:rPr>
                <w:color w:val="000000"/>
                <w:sz w:val="18"/>
                <w:szCs w:val="18"/>
              </w:rPr>
            </w:pPr>
            <w:r w:rsidRPr="00A70E99">
              <w:rPr>
                <w:color w:val="000000"/>
                <w:sz w:val="18"/>
                <w:szCs w:val="18"/>
              </w:rPr>
              <w:t>0.264</w:t>
            </w:r>
          </w:p>
        </w:tc>
      </w:tr>
      <w:tr w:rsidR="00D44D7C" w:rsidRPr="00DB3251" w14:paraId="1EA4C2AD" w14:textId="77777777" w:rsidTr="00101899">
        <w:trPr>
          <w:trHeight w:val="227"/>
        </w:trPr>
        <w:tc>
          <w:tcPr>
            <w:tcW w:w="2410" w:type="dxa"/>
            <w:tcBorders>
              <w:top w:val="single" w:sz="4" w:space="0" w:color="auto"/>
              <w:left w:val="single" w:sz="4" w:space="0" w:color="auto"/>
              <w:bottom w:val="nil"/>
              <w:right w:val="single" w:sz="4" w:space="0" w:color="auto"/>
            </w:tcBorders>
            <w:shd w:val="clear" w:color="auto" w:fill="auto"/>
            <w:vAlign w:val="center"/>
          </w:tcPr>
          <w:p w14:paraId="6B2F658B" w14:textId="31CD3586" w:rsidR="00D44D7C" w:rsidRPr="00A70E99" w:rsidRDefault="00D44D7C" w:rsidP="00D44D7C">
            <w:pPr>
              <w:rPr>
                <w:b/>
                <w:sz w:val="18"/>
                <w:szCs w:val="18"/>
              </w:rPr>
            </w:pPr>
            <w:r w:rsidRPr="00A70E99">
              <w:rPr>
                <w:b/>
                <w:sz w:val="18"/>
                <w:szCs w:val="18"/>
              </w:rPr>
              <w:t>Medications</w:t>
            </w:r>
          </w:p>
        </w:tc>
        <w:tc>
          <w:tcPr>
            <w:tcW w:w="1153" w:type="dxa"/>
            <w:tcBorders>
              <w:top w:val="single" w:sz="4" w:space="0" w:color="auto"/>
              <w:left w:val="single" w:sz="4" w:space="0" w:color="auto"/>
              <w:bottom w:val="nil"/>
              <w:right w:val="single" w:sz="4" w:space="0" w:color="auto"/>
            </w:tcBorders>
            <w:shd w:val="clear" w:color="auto" w:fill="auto"/>
            <w:vAlign w:val="center"/>
          </w:tcPr>
          <w:p w14:paraId="145788C6" w14:textId="77777777"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7D26D065" w14:textId="1119D7B4"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5515A2EF" w14:textId="32C61ADB"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3A18888F" w14:textId="5F3942D7"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5A3BB8B4" w14:textId="7E19533E" w:rsidR="00D44D7C" w:rsidRPr="00A70E99" w:rsidRDefault="00D44D7C" w:rsidP="00D44D7C">
            <w:pPr>
              <w:jc w:val="right"/>
              <w:rPr>
                <w:color w:val="000000"/>
                <w:sz w:val="18"/>
                <w:szCs w:val="18"/>
              </w:rPr>
            </w:pPr>
          </w:p>
        </w:tc>
        <w:tc>
          <w:tcPr>
            <w:tcW w:w="0" w:type="auto"/>
            <w:tcBorders>
              <w:top w:val="single" w:sz="4" w:space="0" w:color="auto"/>
              <w:left w:val="single" w:sz="4" w:space="0" w:color="auto"/>
              <w:bottom w:val="nil"/>
            </w:tcBorders>
            <w:shd w:val="clear" w:color="auto" w:fill="auto"/>
            <w:vAlign w:val="center"/>
          </w:tcPr>
          <w:p w14:paraId="4029BAAA" w14:textId="15A5361A" w:rsidR="00D44D7C" w:rsidRPr="00A70E99" w:rsidRDefault="00D44D7C" w:rsidP="00D44D7C">
            <w:pPr>
              <w:jc w:val="right"/>
              <w:rPr>
                <w:color w:val="000000"/>
                <w:sz w:val="18"/>
                <w:szCs w:val="18"/>
              </w:rPr>
            </w:pPr>
          </w:p>
        </w:tc>
        <w:tc>
          <w:tcPr>
            <w:tcW w:w="0" w:type="auto"/>
            <w:tcBorders>
              <w:top w:val="single" w:sz="4" w:space="0" w:color="auto"/>
              <w:bottom w:val="nil"/>
              <w:right w:val="single" w:sz="4" w:space="0" w:color="auto"/>
            </w:tcBorders>
            <w:shd w:val="clear" w:color="auto" w:fill="auto"/>
            <w:vAlign w:val="center"/>
          </w:tcPr>
          <w:p w14:paraId="1BEAED78" w14:textId="4BB00F1D" w:rsidR="00D44D7C" w:rsidRPr="00A70E99" w:rsidRDefault="00D44D7C" w:rsidP="00D44D7C">
            <w:pPr>
              <w:jc w:val="right"/>
              <w:rPr>
                <w:color w:val="000000"/>
                <w:sz w:val="18"/>
                <w:szCs w:val="18"/>
              </w:rPr>
            </w:pPr>
          </w:p>
        </w:tc>
      </w:tr>
      <w:tr w:rsidR="00D44D7C" w:rsidRPr="00DB3251" w14:paraId="649720AF"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49660AD5" w14:textId="630900D3" w:rsidR="00D44D7C" w:rsidRPr="00155B40" w:rsidRDefault="00D44D7C" w:rsidP="00D44D7C">
            <w:pPr>
              <w:jc w:val="right"/>
              <w:rPr>
                <w:sz w:val="18"/>
                <w:szCs w:val="18"/>
              </w:rPr>
            </w:pPr>
            <w:r w:rsidRPr="00155B40">
              <w:rPr>
                <w:sz w:val="18"/>
                <w:szCs w:val="18"/>
              </w:rPr>
              <w:t>NSAID</w:t>
            </w:r>
            <w:r>
              <w:rPr>
                <w:sz w:val="18"/>
                <w:szCs w:val="18"/>
              </w:rPr>
              <w:t>s</w:t>
            </w:r>
          </w:p>
        </w:tc>
        <w:tc>
          <w:tcPr>
            <w:tcW w:w="1153" w:type="dxa"/>
            <w:tcBorders>
              <w:top w:val="nil"/>
              <w:left w:val="single" w:sz="4" w:space="0" w:color="auto"/>
              <w:bottom w:val="nil"/>
              <w:right w:val="single" w:sz="4" w:space="0" w:color="auto"/>
            </w:tcBorders>
            <w:shd w:val="clear" w:color="auto" w:fill="auto"/>
          </w:tcPr>
          <w:p w14:paraId="6ABA57EE" w14:textId="1932D593" w:rsidR="00D44D7C" w:rsidRPr="00155B40" w:rsidRDefault="00D44D7C" w:rsidP="00D44D7C">
            <w:pPr>
              <w:jc w:val="right"/>
              <w:rPr>
                <w:color w:val="000000"/>
                <w:sz w:val="18"/>
                <w:szCs w:val="18"/>
              </w:rPr>
            </w:pPr>
            <w:r w:rsidRPr="00155B40">
              <w:rPr>
                <w:sz w:val="18"/>
                <w:szCs w:val="18"/>
              </w:rPr>
              <w:t>1962 (29.8)</w:t>
            </w:r>
          </w:p>
        </w:tc>
        <w:tc>
          <w:tcPr>
            <w:tcW w:w="0" w:type="auto"/>
            <w:tcBorders>
              <w:top w:val="nil"/>
              <w:left w:val="single" w:sz="4" w:space="0" w:color="auto"/>
              <w:bottom w:val="nil"/>
            </w:tcBorders>
            <w:shd w:val="clear" w:color="auto" w:fill="auto"/>
            <w:vAlign w:val="center"/>
          </w:tcPr>
          <w:p w14:paraId="09CC3B67" w14:textId="68C53BA6" w:rsidR="00D44D7C" w:rsidRPr="00D44D7C" w:rsidRDefault="00D44D7C" w:rsidP="00D44D7C">
            <w:pPr>
              <w:jc w:val="right"/>
              <w:rPr>
                <w:color w:val="000000"/>
                <w:sz w:val="18"/>
                <w:szCs w:val="18"/>
              </w:rPr>
            </w:pPr>
            <w:r>
              <w:rPr>
                <w:color w:val="000000"/>
                <w:sz w:val="18"/>
                <w:szCs w:val="18"/>
              </w:rPr>
              <w:t>314 (29.5</w:t>
            </w:r>
            <w:r w:rsidRPr="00D44D7C">
              <w:rPr>
                <w:color w:val="000000"/>
                <w:sz w:val="18"/>
                <w:szCs w:val="18"/>
              </w:rPr>
              <w:t>)</w:t>
            </w:r>
          </w:p>
        </w:tc>
        <w:tc>
          <w:tcPr>
            <w:tcW w:w="0" w:type="auto"/>
            <w:tcBorders>
              <w:top w:val="nil"/>
              <w:bottom w:val="nil"/>
              <w:right w:val="single" w:sz="4" w:space="0" w:color="auto"/>
            </w:tcBorders>
            <w:shd w:val="clear" w:color="auto" w:fill="auto"/>
            <w:vAlign w:val="center"/>
          </w:tcPr>
          <w:p w14:paraId="7B0F8E25" w14:textId="77D2AAD5" w:rsidR="00D44D7C" w:rsidRPr="00D44D7C" w:rsidRDefault="00D44D7C" w:rsidP="00D44D7C">
            <w:pPr>
              <w:jc w:val="right"/>
              <w:rPr>
                <w:color w:val="000000"/>
                <w:sz w:val="18"/>
                <w:szCs w:val="18"/>
              </w:rPr>
            </w:pPr>
            <w:r>
              <w:rPr>
                <w:color w:val="000000"/>
                <w:sz w:val="18"/>
                <w:szCs w:val="18"/>
              </w:rPr>
              <w:t>0.836</w:t>
            </w:r>
          </w:p>
        </w:tc>
        <w:tc>
          <w:tcPr>
            <w:tcW w:w="0" w:type="auto"/>
            <w:tcBorders>
              <w:top w:val="nil"/>
              <w:left w:val="single" w:sz="4" w:space="0" w:color="auto"/>
              <w:bottom w:val="nil"/>
            </w:tcBorders>
            <w:shd w:val="clear" w:color="auto" w:fill="auto"/>
            <w:vAlign w:val="center"/>
          </w:tcPr>
          <w:p w14:paraId="1ECD1655" w14:textId="3B55DE01" w:rsidR="00D44D7C" w:rsidRPr="00D44D7C" w:rsidRDefault="00D44D7C" w:rsidP="00D44D7C">
            <w:pPr>
              <w:jc w:val="right"/>
              <w:rPr>
                <w:color w:val="000000"/>
                <w:sz w:val="18"/>
                <w:szCs w:val="18"/>
              </w:rPr>
            </w:pPr>
            <w:r>
              <w:rPr>
                <w:color w:val="000000"/>
                <w:sz w:val="18"/>
                <w:szCs w:val="18"/>
              </w:rPr>
              <w:t>10 (26.3)</w:t>
            </w:r>
          </w:p>
        </w:tc>
        <w:tc>
          <w:tcPr>
            <w:tcW w:w="0" w:type="auto"/>
            <w:tcBorders>
              <w:top w:val="nil"/>
              <w:bottom w:val="nil"/>
              <w:right w:val="single" w:sz="4" w:space="0" w:color="auto"/>
            </w:tcBorders>
            <w:shd w:val="clear" w:color="auto" w:fill="auto"/>
            <w:vAlign w:val="center"/>
          </w:tcPr>
          <w:p w14:paraId="3CDE7C24" w14:textId="1E1FEFC3" w:rsidR="00D44D7C" w:rsidRPr="00D44D7C" w:rsidRDefault="00D44D7C" w:rsidP="00D44D7C">
            <w:pPr>
              <w:jc w:val="right"/>
              <w:rPr>
                <w:color w:val="000000"/>
                <w:sz w:val="18"/>
                <w:szCs w:val="18"/>
              </w:rPr>
            </w:pPr>
            <w:r>
              <w:rPr>
                <w:color w:val="000000"/>
                <w:sz w:val="18"/>
                <w:szCs w:val="18"/>
              </w:rPr>
              <w:t>0.773</w:t>
            </w:r>
          </w:p>
        </w:tc>
        <w:tc>
          <w:tcPr>
            <w:tcW w:w="0" w:type="auto"/>
            <w:tcBorders>
              <w:top w:val="nil"/>
              <w:left w:val="single" w:sz="4" w:space="0" w:color="auto"/>
              <w:bottom w:val="nil"/>
            </w:tcBorders>
            <w:shd w:val="clear" w:color="auto" w:fill="auto"/>
            <w:vAlign w:val="center"/>
          </w:tcPr>
          <w:p w14:paraId="3E4D52EF" w14:textId="2FD1F9CA" w:rsidR="00D44D7C" w:rsidRPr="00D44D7C" w:rsidRDefault="00D44D7C" w:rsidP="00D44D7C">
            <w:pPr>
              <w:jc w:val="right"/>
              <w:rPr>
                <w:color w:val="000000"/>
                <w:sz w:val="18"/>
                <w:szCs w:val="18"/>
              </w:rPr>
            </w:pPr>
            <w:r>
              <w:rPr>
                <w:color w:val="000000"/>
                <w:sz w:val="18"/>
                <w:szCs w:val="18"/>
              </w:rPr>
              <w:t>21 (21.6)</w:t>
            </w:r>
          </w:p>
        </w:tc>
        <w:tc>
          <w:tcPr>
            <w:tcW w:w="0" w:type="auto"/>
            <w:tcBorders>
              <w:top w:val="nil"/>
              <w:bottom w:val="nil"/>
              <w:right w:val="single" w:sz="4" w:space="0" w:color="auto"/>
            </w:tcBorders>
            <w:shd w:val="clear" w:color="auto" w:fill="auto"/>
            <w:vAlign w:val="center"/>
          </w:tcPr>
          <w:p w14:paraId="37737D35" w14:textId="2EC2C7CD" w:rsidR="00D44D7C" w:rsidRPr="00D44D7C" w:rsidRDefault="00D44D7C" w:rsidP="00D44D7C">
            <w:pPr>
              <w:jc w:val="right"/>
              <w:rPr>
                <w:color w:val="000000"/>
                <w:sz w:val="18"/>
                <w:szCs w:val="18"/>
              </w:rPr>
            </w:pPr>
            <w:r>
              <w:rPr>
                <w:color w:val="000000"/>
                <w:sz w:val="18"/>
                <w:szCs w:val="18"/>
              </w:rPr>
              <w:t>0.099</w:t>
            </w:r>
          </w:p>
        </w:tc>
      </w:tr>
      <w:tr w:rsidR="00D44D7C" w:rsidRPr="00DB3251" w14:paraId="040F280F"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72892543" w14:textId="5CFF10F7" w:rsidR="00D44D7C" w:rsidRPr="00155B40" w:rsidRDefault="00D44D7C" w:rsidP="00D44D7C">
            <w:pPr>
              <w:jc w:val="right"/>
              <w:rPr>
                <w:sz w:val="18"/>
                <w:szCs w:val="18"/>
              </w:rPr>
            </w:pPr>
            <w:r w:rsidRPr="00155B40">
              <w:rPr>
                <w:sz w:val="18"/>
                <w:szCs w:val="18"/>
              </w:rPr>
              <w:t>Glucocorticoids</w:t>
            </w:r>
          </w:p>
        </w:tc>
        <w:tc>
          <w:tcPr>
            <w:tcW w:w="1153" w:type="dxa"/>
            <w:tcBorders>
              <w:top w:val="nil"/>
              <w:left w:val="single" w:sz="4" w:space="0" w:color="auto"/>
              <w:bottom w:val="nil"/>
              <w:right w:val="single" w:sz="4" w:space="0" w:color="auto"/>
            </w:tcBorders>
            <w:shd w:val="clear" w:color="auto" w:fill="auto"/>
          </w:tcPr>
          <w:p w14:paraId="12676418" w14:textId="276C1CD7" w:rsidR="00D44D7C" w:rsidRPr="00155B40" w:rsidRDefault="00D44D7C" w:rsidP="00D44D7C">
            <w:pPr>
              <w:jc w:val="right"/>
              <w:rPr>
                <w:color w:val="000000"/>
                <w:sz w:val="18"/>
                <w:szCs w:val="18"/>
              </w:rPr>
            </w:pPr>
            <w:r w:rsidRPr="00155B40">
              <w:rPr>
                <w:sz w:val="18"/>
                <w:szCs w:val="18"/>
              </w:rPr>
              <w:t>2001 (30.4)</w:t>
            </w:r>
          </w:p>
        </w:tc>
        <w:tc>
          <w:tcPr>
            <w:tcW w:w="0" w:type="auto"/>
            <w:tcBorders>
              <w:top w:val="nil"/>
              <w:left w:val="single" w:sz="4" w:space="0" w:color="auto"/>
              <w:bottom w:val="nil"/>
            </w:tcBorders>
            <w:shd w:val="clear" w:color="auto" w:fill="auto"/>
            <w:vAlign w:val="center"/>
          </w:tcPr>
          <w:p w14:paraId="23779DCD" w14:textId="5BF60929" w:rsidR="00D44D7C" w:rsidRPr="00AA2490" w:rsidRDefault="00D44D7C" w:rsidP="00D44D7C">
            <w:pPr>
              <w:jc w:val="right"/>
              <w:rPr>
                <w:color w:val="000000"/>
                <w:sz w:val="18"/>
                <w:szCs w:val="18"/>
              </w:rPr>
            </w:pPr>
            <w:r w:rsidRPr="0017517E">
              <w:rPr>
                <w:color w:val="000000"/>
                <w:sz w:val="18"/>
                <w:szCs w:val="18"/>
              </w:rPr>
              <w:t>43</w:t>
            </w:r>
            <w:r w:rsidR="0017517E" w:rsidRPr="0017517E">
              <w:rPr>
                <w:color w:val="000000"/>
                <w:sz w:val="18"/>
                <w:szCs w:val="18"/>
              </w:rPr>
              <w:t>3</w:t>
            </w:r>
            <w:r w:rsidRPr="0017517E">
              <w:rPr>
                <w:color w:val="000000"/>
                <w:sz w:val="18"/>
                <w:szCs w:val="18"/>
              </w:rPr>
              <w:t xml:space="preserve"> (40.6)</w:t>
            </w:r>
          </w:p>
        </w:tc>
        <w:tc>
          <w:tcPr>
            <w:tcW w:w="0" w:type="auto"/>
            <w:tcBorders>
              <w:top w:val="nil"/>
              <w:bottom w:val="nil"/>
              <w:right w:val="single" w:sz="4" w:space="0" w:color="auto"/>
            </w:tcBorders>
            <w:shd w:val="clear" w:color="auto" w:fill="auto"/>
            <w:vAlign w:val="center"/>
          </w:tcPr>
          <w:p w14:paraId="3EED73FA" w14:textId="5A5DC509" w:rsidR="00D44D7C" w:rsidRPr="00AA2490" w:rsidRDefault="00D44D7C" w:rsidP="00D44D7C">
            <w:pPr>
              <w:jc w:val="right"/>
              <w:rPr>
                <w:color w:val="000000"/>
                <w:sz w:val="18"/>
                <w:szCs w:val="18"/>
              </w:rPr>
            </w:pPr>
            <w:r w:rsidRPr="00AA2490">
              <w:rPr>
                <w:color w:val="000000"/>
                <w:sz w:val="18"/>
                <w:szCs w:val="18"/>
              </w:rPr>
              <w:t>&lt;0.001</w:t>
            </w:r>
          </w:p>
        </w:tc>
        <w:tc>
          <w:tcPr>
            <w:tcW w:w="0" w:type="auto"/>
            <w:tcBorders>
              <w:top w:val="nil"/>
              <w:left w:val="single" w:sz="4" w:space="0" w:color="auto"/>
              <w:bottom w:val="nil"/>
            </w:tcBorders>
            <w:shd w:val="clear" w:color="auto" w:fill="auto"/>
            <w:vAlign w:val="center"/>
          </w:tcPr>
          <w:p w14:paraId="368701A2" w14:textId="5A5CD651" w:rsidR="00D44D7C" w:rsidRPr="00AA2490" w:rsidRDefault="00D44D7C" w:rsidP="00D44D7C">
            <w:pPr>
              <w:jc w:val="right"/>
              <w:rPr>
                <w:color w:val="000000"/>
                <w:sz w:val="18"/>
                <w:szCs w:val="18"/>
              </w:rPr>
            </w:pPr>
            <w:r w:rsidRPr="00AA2490">
              <w:rPr>
                <w:color w:val="000000"/>
                <w:sz w:val="18"/>
                <w:szCs w:val="18"/>
              </w:rPr>
              <w:t>7 (18.4)</w:t>
            </w:r>
          </w:p>
        </w:tc>
        <w:tc>
          <w:tcPr>
            <w:tcW w:w="0" w:type="auto"/>
            <w:tcBorders>
              <w:top w:val="nil"/>
              <w:bottom w:val="nil"/>
              <w:right w:val="single" w:sz="4" w:space="0" w:color="auto"/>
            </w:tcBorders>
            <w:shd w:val="clear" w:color="auto" w:fill="auto"/>
            <w:vAlign w:val="center"/>
          </w:tcPr>
          <w:p w14:paraId="74566616" w14:textId="582C794E" w:rsidR="00D44D7C" w:rsidRPr="00AA2490" w:rsidRDefault="00D44D7C" w:rsidP="00D44D7C">
            <w:pPr>
              <w:jc w:val="right"/>
              <w:rPr>
                <w:color w:val="000000"/>
                <w:sz w:val="18"/>
                <w:szCs w:val="18"/>
              </w:rPr>
            </w:pPr>
            <w:r>
              <w:rPr>
                <w:color w:val="000000"/>
                <w:sz w:val="18"/>
                <w:szCs w:val="18"/>
              </w:rPr>
              <w:t>0.153</w:t>
            </w:r>
          </w:p>
        </w:tc>
        <w:tc>
          <w:tcPr>
            <w:tcW w:w="0" w:type="auto"/>
            <w:tcBorders>
              <w:top w:val="nil"/>
              <w:left w:val="single" w:sz="4" w:space="0" w:color="auto"/>
              <w:bottom w:val="nil"/>
            </w:tcBorders>
            <w:shd w:val="clear" w:color="auto" w:fill="auto"/>
            <w:vAlign w:val="center"/>
          </w:tcPr>
          <w:p w14:paraId="319749B6" w14:textId="78BBF7B1" w:rsidR="00D44D7C" w:rsidRPr="00AA2490" w:rsidRDefault="00D44D7C" w:rsidP="00D44D7C">
            <w:pPr>
              <w:jc w:val="right"/>
              <w:rPr>
                <w:color w:val="000000"/>
                <w:sz w:val="18"/>
                <w:szCs w:val="18"/>
              </w:rPr>
            </w:pPr>
            <w:r>
              <w:rPr>
                <w:color w:val="000000"/>
                <w:sz w:val="18"/>
                <w:szCs w:val="18"/>
              </w:rPr>
              <w:t>58 (59.8</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13F39E5E" w14:textId="27B7116C" w:rsidR="00D44D7C" w:rsidRPr="00AA2490" w:rsidRDefault="00D44D7C" w:rsidP="00D44D7C">
            <w:pPr>
              <w:jc w:val="right"/>
              <w:rPr>
                <w:color w:val="000000"/>
                <w:sz w:val="18"/>
                <w:szCs w:val="18"/>
              </w:rPr>
            </w:pPr>
            <w:r w:rsidRPr="00AA2490">
              <w:rPr>
                <w:color w:val="000000"/>
                <w:sz w:val="18"/>
                <w:szCs w:val="18"/>
              </w:rPr>
              <w:t>&lt;0.001</w:t>
            </w:r>
          </w:p>
        </w:tc>
      </w:tr>
      <w:tr w:rsidR="00D44D7C" w:rsidRPr="00DB3251" w14:paraId="453038A2"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6BF7E9C8" w14:textId="518AB6C5" w:rsidR="00D44D7C" w:rsidRPr="00155B40" w:rsidRDefault="00D44D7C" w:rsidP="00D44D7C">
            <w:pPr>
              <w:jc w:val="right"/>
              <w:rPr>
                <w:sz w:val="18"/>
                <w:szCs w:val="18"/>
              </w:rPr>
            </w:pPr>
            <w:r w:rsidRPr="00155B40">
              <w:rPr>
                <w:sz w:val="18"/>
                <w:szCs w:val="18"/>
              </w:rPr>
              <w:t>Methotrexate</w:t>
            </w:r>
          </w:p>
        </w:tc>
        <w:tc>
          <w:tcPr>
            <w:tcW w:w="1153" w:type="dxa"/>
            <w:tcBorders>
              <w:top w:val="nil"/>
              <w:left w:val="single" w:sz="4" w:space="0" w:color="auto"/>
              <w:bottom w:val="nil"/>
              <w:right w:val="single" w:sz="4" w:space="0" w:color="auto"/>
            </w:tcBorders>
            <w:shd w:val="clear" w:color="auto" w:fill="auto"/>
          </w:tcPr>
          <w:p w14:paraId="20D095D8" w14:textId="7C54CB47" w:rsidR="00D44D7C" w:rsidRPr="00155B40" w:rsidRDefault="00D44D7C" w:rsidP="00D44D7C">
            <w:pPr>
              <w:jc w:val="right"/>
              <w:rPr>
                <w:color w:val="000000"/>
                <w:sz w:val="18"/>
                <w:szCs w:val="18"/>
              </w:rPr>
            </w:pPr>
            <w:r w:rsidRPr="00155B40">
              <w:rPr>
                <w:sz w:val="18"/>
                <w:szCs w:val="18"/>
              </w:rPr>
              <w:t>992 (15.1)</w:t>
            </w:r>
          </w:p>
        </w:tc>
        <w:tc>
          <w:tcPr>
            <w:tcW w:w="0" w:type="auto"/>
            <w:tcBorders>
              <w:top w:val="nil"/>
              <w:left w:val="single" w:sz="4" w:space="0" w:color="auto"/>
              <w:bottom w:val="nil"/>
            </w:tcBorders>
            <w:shd w:val="clear" w:color="auto" w:fill="auto"/>
            <w:vAlign w:val="center"/>
          </w:tcPr>
          <w:p w14:paraId="7D11406E" w14:textId="36881745" w:rsidR="00D44D7C" w:rsidRPr="00AA2490" w:rsidRDefault="00D44D7C" w:rsidP="00D44D7C">
            <w:pPr>
              <w:jc w:val="right"/>
              <w:rPr>
                <w:color w:val="000000"/>
                <w:sz w:val="18"/>
                <w:szCs w:val="18"/>
              </w:rPr>
            </w:pPr>
            <w:r>
              <w:rPr>
                <w:color w:val="000000"/>
                <w:sz w:val="18"/>
                <w:szCs w:val="18"/>
              </w:rPr>
              <w:t>197</w:t>
            </w:r>
            <w:r w:rsidRPr="00AA2490">
              <w:rPr>
                <w:color w:val="000000"/>
                <w:sz w:val="18"/>
                <w:szCs w:val="18"/>
              </w:rPr>
              <w:t xml:space="preserve"> (</w:t>
            </w:r>
            <w:r>
              <w:rPr>
                <w:color w:val="000000"/>
                <w:sz w:val="18"/>
                <w:szCs w:val="18"/>
              </w:rPr>
              <w:t>18.5</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19E1A84F" w14:textId="6B98C3EF" w:rsidR="00D44D7C" w:rsidRPr="00AA2490" w:rsidRDefault="00D44D7C" w:rsidP="00D44D7C">
            <w:pPr>
              <w:jc w:val="right"/>
              <w:rPr>
                <w:color w:val="000000"/>
                <w:sz w:val="18"/>
                <w:szCs w:val="18"/>
              </w:rPr>
            </w:pPr>
            <w:r w:rsidRPr="00AA2490">
              <w:rPr>
                <w:color w:val="000000"/>
                <w:sz w:val="18"/>
                <w:szCs w:val="18"/>
              </w:rPr>
              <w:t>0.001</w:t>
            </w:r>
          </w:p>
        </w:tc>
        <w:tc>
          <w:tcPr>
            <w:tcW w:w="0" w:type="auto"/>
            <w:tcBorders>
              <w:top w:val="nil"/>
              <w:left w:val="single" w:sz="4" w:space="0" w:color="auto"/>
              <w:bottom w:val="nil"/>
            </w:tcBorders>
            <w:shd w:val="clear" w:color="auto" w:fill="auto"/>
            <w:vAlign w:val="center"/>
          </w:tcPr>
          <w:p w14:paraId="0102AB5B" w14:textId="064DE1B6" w:rsidR="00D44D7C" w:rsidRPr="00AA2490" w:rsidRDefault="00D44D7C" w:rsidP="00D44D7C">
            <w:pPr>
              <w:jc w:val="right"/>
              <w:rPr>
                <w:color w:val="000000"/>
                <w:sz w:val="18"/>
                <w:szCs w:val="18"/>
              </w:rPr>
            </w:pPr>
            <w:r>
              <w:rPr>
                <w:color w:val="000000"/>
                <w:sz w:val="18"/>
                <w:szCs w:val="18"/>
              </w:rPr>
              <w:t>5 (13.2</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5E746E91" w14:textId="02CD0EDE" w:rsidR="00D44D7C" w:rsidRPr="00AA2490" w:rsidRDefault="00D44D7C" w:rsidP="00D44D7C">
            <w:pPr>
              <w:jc w:val="right"/>
              <w:rPr>
                <w:color w:val="000000"/>
                <w:sz w:val="18"/>
                <w:szCs w:val="18"/>
              </w:rPr>
            </w:pPr>
            <w:r w:rsidRPr="00AA2490">
              <w:rPr>
                <w:color w:val="000000"/>
                <w:sz w:val="18"/>
                <w:szCs w:val="18"/>
              </w:rPr>
              <w:t>0</w:t>
            </w:r>
            <w:r>
              <w:rPr>
                <w:color w:val="000000"/>
                <w:sz w:val="18"/>
                <w:szCs w:val="18"/>
              </w:rPr>
              <w:t>.921</w:t>
            </w:r>
          </w:p>
        </w:tc>
        <w:tc>
          <w:tcPr>
            <w:tcW w:w="0" w:type="auto"/>
            <w:tcBorders>
              <w:top w:val="nil"/>
              <w:left w:val="single" w:sz="4" w:space="0" w:color="auto"/>
              <w:bottom w:val="nil"/>
            </w:tcBorders>
            <w:shd w:val="clear" w:color="auto" w:fill="auto"/>
            <w:vAlign w:val="center"/>
          </w:tcPr>
          <w:p w14:paraId="33C28679" w14:textId="3FAD0CD4" w:rsidR="00D44D7C" w:rsidRPr="00AA2490" w:rsidRDefault="00D44D7C" w:rsidP="00D44D7C">
            <w:pPr>
              <w:jc w:val="right"/>
              <w:rPr>
                <w:color w:val="000000"/>
                <w:sz w:val="18"/>
                <w:szCs w:val="18"/>
              </w:rPr>
            </w:pPr>
            <w:r>
              <w:rPr>
                <w:color w:val="000000"/>
                <w:sz w:val="18"/>
                <w:szCs w:val="18"/>
              </w:rPr>
              <w:t>22 (22.7</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48AD8E13" w14:textId="64F0BE14" w:rsidR="00D44D7C" w:rsidRPr="00AA2490" w:rsidRDefault="00D44D7C" w:rsidP="00D44D7C">
            <w:pPr>
              <w:jc w:val="right"/>
              <w:rPr>
                <w:color w:val="000000"/>
                <w:sz w:val="18"/>
                <w:szCs w:val="18"/>
              </w:rPr>
            </w:pPr>
            <w:r>
              <w:rPr>
                <w:color w:val="000000"/>
                <w:sz w:val="18"/>
                <w:szCs w:val="18"/>
              </w:rPr>
              <w:t>0.048</w:t>
            </w:r>
          </w:p>
        </w:tc>
      </w:tr>
      <w:tr w:rsidR="00D44D7C" w:rsidRPr="00DB3251" w14:paraId="3E80CFF4" w14:textId="77777777" w:rsidTr="00101899">
        <w:trPr>
          <w:trHeight w:val="227"/>
        </w:trPr>
        <w:tc>
          <w:tcPr>
            <w:tcW w:w="2410" w:type="dxa"/>
            <w:tcBorders>
              <w:top w:val="nil"/>
              <w:left w:val="single" w:sz="4" w:space="0" w:color="auto"/>
              <w:bottom w:val="nil"/>
              <w:right w:val="single" w:sz="4" w:space="0" w:color="auto"/>
            </w:tcBorders>
            <w:shd w:val="clear" w:color="auto" w:fill="auto"/>
          </w:tcPr>
          <w:p w14:paraId="79959DFF" w14:textId="00EB96C8" w:rsidR="00D44D7C" w:rsidRPr="00155B40" w:rsidRDefault="00D959F7" w:rsidP="00D44D7C">
            <w:pPr>
              <w:jc w:val="right"/>
              <w:rPr>
                <w:sz w:val="18"/>
                <w:szCs w:val="18"/>
              </w:rPr>
            </w:pPr>
            <w:r>
              <w:rPr>
                <w:sz w:val="18"/>
                <w:szCs w:val="18"/>
              </w:rPr>
              <w:t xml:space="preserve">Other </w:t>
            </w:r>
            <w:proofErr w:type="spellStart"/>
            <w:r w:rsidR="00D44D7C" w:rsidRPr="00155B40">
              <w:rPr>
                <w:sz w:val="18"/>
                <w:szCs w:val="18"/>
              </w:rPr>
              <w:t>csDMARD</w:t>
            </w:r>
            <w:proofErr w:type="spellEnd"/>
          </w:p>
        </w:tc>
        <w:tc>
          <w:tcPr>
            <w:tcW w:w="1153" w:type="dxa"/>
            <w:tcBorders>
              <w:top w:val="nil"/>
              <w:left w:val="single" w:sz="4" w:space="0" w:color="auto"/>
              <w:bottom w:val="nil"/>
              <w:right w:val="single" w:sz="4" w:space="0" w:color="auto"/>
            </w:tcBorders>
            <w:shd w:val="clear" w:color="auto" w:fill="auto"/>
          </w:tcPr>
          <w:p w14:paraId="7BDB45D4" w14:textId="59034C6F" w:rsidR="00D44D7C" w:rsidRPr="00155B40" w:rsidRDefault="00D44D7C" w:rsidP="00D44D7C">
            <w:pPr>
              <w:jc w:val="right"/>
              <w:rPr>
                <w:color w:val="000000"/>
                <w:sz w:val="18"/>
                <w:szCs w:val="18"/>
              </w:rPr>
            </w:pPr>
            <w:r w:rsidRPr="00155B40">
              <w:rPr>
                <w:sz w:val="18"/>
                <w:szCs w:val="18"/>
              </w:rPr>
              <w:t>1263 (19.2)</w:t>
            </w:r>
          </w:p>
        </w:tc>
        <w:tc>
          <w:tcPr>
            <w:tcW w:w="0" w:type="auto"/>
            <w:tcBorders>
              <w:top w:val="nil"/>
              <w:left w:val="single" w:sz="4" w:space="0" w:color="auto"/>
              <w:bottom w:val="nil"/>
            </w:tcBorders>
            <w:shd w:val="clear" w:color="auto" w:fill="auto"/>
            <w:vAlign w:val="center"/>
          </w:tcPr>
          <w:p w14:paraId="2612E282" w14:textId="08A0742F" w:rsidR="00D44D7C" w:rsidRPr="00AA2490" w:rsidRDefault="00D44D7C" w:rsidP="00D44D7C">
            <w:pPr>
              <w:jc w:val="right"/>
              <w:rPr>
                <w:color w:val="000000"/>
                <w:sz w:val="18"/>
                <w:szCs w:val="18"/>
              </w:rPr>
            </w:pPr>
            <w:r>
              <w:rPr>
                <w:color w:val="000000"/>
                <w:sz w:val="18"/>
                <w:szCs w:val="18"/>
              </w:rPr>
              <w:t>260 (24.4</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3D885EE2" w14:textId="1212E600" w:rsidR="00D44D7C" w:rsidRPr="00AA2490" w:rsidRDefault="00D44D7C" w:rsidP="00D44D7C">
            <w:pPr>
              <w:jc w:val="right"/>
              <w:rPr>
                <w:color w:val="000000"/>
                <w:sz w:val="18"/>
                <w:szCs w:val="18"/>
              </w:rPr>
            </w:pPr>
            <w:r w:rsidRPr="00AA2490">
              <w:rPr>
                <w:color w:val="000000"/>
                <w:sz w:val="18"/>
                <w:szCs w:val="18"/>
              </w:rPr>
              <w:t>&lt;0.001</w:t>
            </w:r>
          </w:p>
        </w:tc>
        <w:tc>
          <w:tcPr>
            <w:tcW w:w="0" w:type="auto"/>
            <w:tcBorders>
              <w:top w:val="nil"/>
              <w:left w:val="single" w:sz="4" w:space="0" w:color="auto"/>
              <w:bottom w:val="nil"/>
            </w:tcBorders>
            <w:shd w:val="clear" w:color="auto" w:fill="auto"/>
            <w:vAlign w:val="center"/>
          </w:tcPr>
          <w:p w14:paraId="33ACCCC8" w14:textId="764D72E3" w:rsidR="00D44D7C" w:rsidRPr="00AA2490" w:rsidRDefault="00D44D7C" w:rsidP="00D44D7C">
            <w:pPr>
              <w:jc w:val="right"/>
              <w:rPr>
                <w:color w:val="000000"/>
                <w:sz w:val="18"/>
                <w:szCs w:val="18"/>
              </w:rPr>
            </w:pPr>
            <w:r>
              <w:rPr>
                <w:color w:val="000000"/>
                <w:sz w:val="18"/>
                <w:szCs w:val="18"/>
              </w:rPr>
              <w:t>6 (15.8</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0738F5D8" w14:textId="7F437411" w:rsidR="00D44D7C" w:rsidRPr="00AA2490" w:rsidRDefault="00D44D7C" w:rsidP="00D44D7C">
            <w:pPr>
              <w:jc w:val="right"/>
              <w:rPr>
                <w:color w:val="000000"/>
                <w:sz w:val="18"/>
                <w:szCs w:val="18"/>
              </w:rPr>
            </w:pPr>
            <w:r w:rsidRPr="00AA2490">
              <w:rPr>
                <w:color w:val="000000"/>
                <w:sz w:val="18"/>
                <w:szCs w:val="18"/>
              </w:rPr>
              <w:t>0.</w:t>
            </w:r>
            <w:r>
              <w:rPr>
                <w:color w:val="000000"/>
                <w:sz w:val="18"/>
                <w:szCs w:val="18"/>
              </w:rPr>
              <w:t>747</w:t>
            </w:r>
          </w:p>
        </w:tc>
        <w:tc>
          <w:tcPr>
            <w:tcW w:w="0" w:type="auto"/>
            <w:tcBorders>
              <w:top w:val="nil"/>
              <w:left w:val="single" w:sz="4" w:space="0" w:color="auto"/>
              <w:bottom w:val="nil"/>
            </w:tcBorders>
            <w:shd w:val="clear" w:color="auto" w:fill="auto"/>
            <w:vAlign w:val="center"/>
          </w:tcPr>
          <w:p w14:paraId="2F3C0323" w14:textId="505B7049" w:rsidR="00D44D7C" w:rsidRPr="00AA2490" w:rsidRDefault="00D44D7C" w:rsidP="00D44D7C">
            <w:pPr>
              <w:jc w:val="right"/>
              <w:rPr>
                <w:color w:val="000000"/>
                <w:sz w:val="18"/>
                <w:szCs w:val="18"/>
              </w:rPr>
            </w:pPr>
            <w:r>
              <w:rPr>
                <w:color w:val="000000"/>
                <w:sz w:val="18"/>
                <w:szCs w:val="18"/>
              </w:rPr>
              <w:t>42 (43.3</w:t>
            </w:r>
            <w:r w:rsidRPr="00AA2490">
              <w:rPr>
                <w:color w:val="000000"/>
                <w:sz w:val="18"/>
                <w:szCs w:val="18"/>
              </w:rPr>
              <w:t>)</w:t>
            </w:r>
          </w:p>
        </w:tc>
        <w:tc>
          <w:tcPr>
            <w:tcW w:w="0" w:type="auto"/>
            <w:tcBorders>
              <w:top w:val="nil"/>
              <w:bottom w:val="nil"/>
              <w:right w:val="single" w:sz="4" w:space="0" w:color="auto"/>
            </w:tcBorders>
            <w:shd w:val="clear" w:color="auto" w:fill="auto"/>
            <w:vAlign w:val="center"/>
          </w:tcPr>
          <w:p w14:paraId="2C511AE0" w14:textId="1EF606A4" w:rsidR="00D44D7C" w:rsidRPr="00AA2490" w:rsidRDefault="00D44D7C" w:rsidP="00D44D7C">
            <w:pPr>
              <w:jc w:val="right"/>
              <w:rPr>
                <w:color w:val="000000"/>
                <w:sz w:val="18"/>
                <w:szCs w:val="18"/>
              </w:rPr>
            </w:pPr>
            <w:r w:rsidRPr="00AA2490">
              <w:rPr>
                <w:color w:val="000000"/>
                <w:sz w:val="18"/>
                <w:szCs w:val="18"/>
              </w:rPr>
              <w:t>&lt;0.001</w:t>
            </w:r>
          </w:p>
        </w:tc>
      </w:tr>
      <w:tr w:rsidR="00D44D7C" w:rsidRPr="00DB3251" w14:paraId="35D1F597" w14:textId="77777777" w:rsidTr="00101899">
        <w:trPr>
          <w:trHeight w:val="227"/>
        </w:trPr>
        <w:tc>
          <w:tcPr>
            <w:tcW w:w="2410" w:type="dxa"/>
            <w:tcBorders>
              <w:top w:val="nil"/>
              <w:left w:val="single" w:sz="4" w:space="0" w:color="auto"/>
              <w:bottom w:val="single" w:sz="4" w:space="0" w:color="auto"/>
              <w:right w:val="single" w:sz="4" w:space="0" w:color="auto"/>
            </w:tcBorders>
            <w:shd w:val="clear" w:color="auto" w:fill="auto"/>
          </w:tcPr>
          <w:p w14:paraId="58D8ED4A" w14:textId="5CBB6B3B" w:rsidR="00D44D7C" w:rsidRPr="00155B40" w:rsidRDefault="00D44D7C" w:rsidP="00D44D7C">
            <w:pPr>
              <w:jc w:val="right"/>
              <w:rPr>
                <w:sz w:val="18"/>
                <w:szCs w:val="18"/>
              </w:rPr>
            </w:pPr>
            <w:proofErr w:type="spellStart"/>
            <w:r w:rsidRPr="00155B40">
              <w:rPr>
                <w:sz w:val="18"/>
                <w:szCs w:val="18"/>
              </w:rPr>
              <w:t>bDMARD</w:t>
            </w:r>
            <w:proofErr w:type="spellEnd"/>
          </w:p>
        </w:tc>
        <w:tc>
          <w:tcPr>
            <w:tcW w:w="1153" w:type="dxa"/>
            <w:tcBorders>
              <w:top w:val="nil"/>
              <w:left w:val="single" w:sz="4" w:space="0" w:color="auto"/>
              <w:bottom w:val="single" w:sz="4" w:space="0" w:color="auto"/>
              <w:right w:val="single" w:sz="4" w:space="0" w:color="auto"/>
            </w:tcBorders>
            <w:shd w:val="clear" w:color="auto" w:fill="auto"/>
          </w:tcPr>
          <w:p w14:paraId="151427FF" w14:textId="2C02E380" w:rsidR="00D44D7C" w:rsidRPr="00155B40" w:rsidRDefault="00D44D7C" w:rsidP="00D44D7C">
            <w:pPr>
              <w:jc w:val="right"/>
              <w:rPr>
                <w:color w:val="000000"/>
                <w:sz w:val="18"/>
                <w:szCs w:val="18"/>
              </w:rPr>
            </w:pPr>
            <w:r w:rsidRPr="00155B40">
              <w:rPr>
                <w:sz w:val="18"/>
                <w:szCs w:val="18"/>
              </w:rPr>
              <w:t>19 (0.3)</w:t>
            </w:r>
          </w:p>
        </w:tc>
        <w:tc>
          <w:tcPr>
            <w:tcW w:w="0" w:type="auto"/>
            <w:tcBorders>
              <w:top w:val="nil"/>
              <w:left w:val="single" w:sz="4" w:space="0" w:color="auto"/>
              <w:bottom w:val="single" w:sz="4" w:space="0" w:color="auto"/>
            </w:tcBorders>
            <w:shd w:val="clear" w:color="auto" w:fill="auto"/>
            <w:vAlign w:val="center"/>
          </w:tcPr>
          <w:p w14:paraId="414F1BA2" w14:textId="58DD48DF" w:rsidR="00D44D7C" w:rsidRPr="00AA2490" w:rsidRDefault="00D44D7C" w:rsidP="00D44D7C">
            <w:pPr>
              <w:jc w:val="right"/>
              <w:rPr>
                <w:color w:val="000000"/>
                <w:sz w:val="18"/>
                <w:szCs w:val="18"/>
              </w:rPr>
            </w:pPr>
            <w:r>
              <w:rPr>
                <w:color w:val="000000"/>
                <w:sz w:val="18"/>
                <w:szCs w:val="18"/>
              </w:rPr>
              <w:t>2</w:t>
            </w:r>
            <w:r w:rsidRPr="00AA2490">
              <w:rPr>
                <w:color w:val="000000"/>
                <w:sz w:val="18"/>
                <w:szCs w:val="18"/>
              </w:rPr>
              <w:t xml:space="preserve"> (0.</w:t>
            </w:r>
            <w:r>
              <w:rPr>
                <w:color w:val="000000"/>
                <w:sz w:val="18"/>
                <w:szCs w:val="18"/>
              </w:rPr>
              <w:t>2</w:t>
            </w:r>
            <w:r w:rsidRPr="00AA2490">
              <w:rPr>
                <w:color w:val="000000"/>
                <w:sz w:val="18"/>
                <w:szCs w:val="18"/>
              </w:rPr>
              <w:t>)</w:t>
            </w:r>
          </w:p>
        </w:tc>
        <w:tc>
          <w:tcPr>
            <w:tcW w:w="0" w:type="auto"/>
            <w:tcBorders>
              <w:top w:val="nil"/>
              <w:bottom w:val="single" w:sz="4" w:space="0" w:color="auto"/>
              <w:right w:val="single" w:sz="4" w:space="0" w:color="auto"/>
            </w:tcBorders>
            <w:shd w:val="clear" w:color="auto" w:fill="auto"/>
            <w:vAlign w:val="center"/>
          </w:tcPr>
          <w:p w14:paraId="12E3DFF5" w14:textId="1C7DC6A2" w:rsidR="00D44D7C" w:rsidRPr="00AA2490" w:rsidRDefault="00D44D7C" w:rsidP="00D44D7C">
            <w:pPr>
              <w:jc w:val="right"/>
              <w:rPr>
                <w:color w:val="000000"/>
                <w:sz w:val="18"/>
                <w:szCs w:val="18"/>
              </w:rPr>
            </w:pPr>
            <w:r>
              <w:rPr>
                <w:color w:val="000000"/>
                <w:sz w:val="18"/>
                <w:szCs w:val="18"/>
              </w:rPr>
              <w:t>0.721</w:t>
            </w:r>
          </w:p>
        </w:tc>
        <w:tc>
          <w:tcPr>
            <w:tcW w:w="0" w:type="auto"/>
            <w:tcBorders>
              <w:top w:val="nil"/>
              <w:left w:val="single" w:sz="4" w:space="0" w:color="auto"/>
              <w:bottom w:val="single" w:sz="4" w:space="0" w:color="auto"/>
            </w:tcBorders>
            <w:shd w:val="clear" w:color="auto" w:fill="auto"/>
            <w:vAlign w:val="center"/>
          </w:tcPr>
          <w:p w14:paraId="4B138621" w14:textId="5956658D" w:rsidR="00D44D7C" w:rsidRPr="00AA2490" w:rsidRDefault="00D44D7C" w:rsidP="00D44D7C">
            <w:pPr>
              <w:jc w:val="right"/>
              <w:rPr>
                <w:color w:val="000000"/>
                <w:sz w:val="18"/>
                <w:szCs w:val="18"/>
              </w:rPr>
            </w:pPr>
            <w:r w:rsidRPr="00AA2490">
              <w:rPr>
                <w:color w:val="000000"/>
                <w:sz w:val="18"/>
                <w:szCs w:val="18"/>
              </w:rPr>
              <w:t>0 (0.0)</w:t>
            </w:r>
          </w:p>
        </w:tc>
        <w:tc>
          <w:tcPr>
            <w:tcW w:w="0" w:type="auto"/>
            <w:tcBorders>
              <w:top w:val="nil"/>
              <w:bottom w:val="single" w:sz="4" w:space="0" w:color="auto"/>
              <w:right w:val="single" w:sz="4" w:space="0" w:color="auto"/>
            </w:tcBorders>
            <w:shd w:val="clear" w:color="auto" w:fill="auto"/>
            <w:vAlign w:val="center"/>
          </w:tcPr>
          <w:p w14:paraId="470D8ECF" w14:textId="6282A65E" w:rsidR="00D44D7C" w:rsidRPr="00AA2490" w:rsidRDefault="00D44D7C" w:rsidP="00D44D7C">
            <w:pPr>
              <w:jc w:val="right"/>
              <w:rPr>
                <w:color w:val="000000"/>
                <w:sz w:val="18"/>
                <w:szCs w:val="18"/>
              </w:rPr>
            </w:pPr>
            <w:r w:rsidRPr="00AA2490">
              <w:rPr>
                <w:color w:val="000000"/>
                <w:sz w:val="18"/>
                <w:szCs w:val="18"/>
              </w:rPr>
              <w:t>1.000</w:t>
            </w:r>
          </w:p>
        </w:tc>
        <w:tc>
          <w:tcPr>
            <w:tcW w:w="0" w:type="auto"/>
            <w:tcBorders>
              <w:top w:val="nil"/>
              <w:left w:val="single" w:sz="4" w:space="0" w:color="auto"/>
              <w:bottom w:val="single" w:sz="4" w:space="0" w:color="auto"/>
            </w:tcBorders>
            <w:shd w:val="clear" w:color="auto" w:fill="auto"/>
            <w:vAlign w:val="center"/>
          </w:tcPr>
          <w:p w14:paraId="6E2C6779" w14:textId="7B5FFF6E" w:rsidR="00D44D7C" w:rsidRPr="00AA2490" w:rsidRDefault="00D44D7C" w:rsidP="00D44D7C">
            <w:pPr>
              <w:jc w:val="right"/>
              <w:rPr>
                <w:color w:val="000000"/>
                <w:sz w:val="18"/>
                <w:szCs w:val="18"/>
              </w:rPr>
            </w:pPr>
            <w:r>
              <w:rPr>
                <w:color w:val="000000"/>
                <w:sz w:val="18"/>
                <w:szCs w:val="18"/>
              </w:rPr>
              <w:t>1</w:t>
            </w:r>
            <w:r w:rsidRPr="00AA2490">
              <w:rPr>
                <w:color w:val="000000"/>
                <w:sz w:val="18"/>
                <w:szCs w:val="18"/>
              </w:rPr>
              <w:t xml:space="preserve"> </w:t>
            </w:r>
            <w:r>
              <w:rPr>
                <w:color w:val="000000"/>
                <w:sz w:val="18"/>
                <w:szCs w:val="18"/>
              </w:rPr>
              <w:t>(1</w:t>
            </w:r>
            <w:r w:rsidRPr="00AA2490">
              <w:rPr>
                <w:color w:val="000000"/>
                <w:sz w:val="18"/>
                <w:szCs w:val="18"/>
              </w:rPr>
              <w:t>.0)</w:t>
            </w:r>
          </w:p>
        </w:tc>
        <w:tc>
          <w:tcPr>
            <w:tcW w:w="0" w:type="auto"/>
            <w:tcBorders>
              <w:top w:val="nil"/>
              <w:bottom w:val="single" w:sz="4" w:space="0" w:color="auto"/>
              <w:right w:val="single" w:sz="4" w:space="0" w:color="auto"/>
            </w:tcBorders>
            <w:shd w:val="clear" w:color="auto" w:fill="auto"/>
            <w:vAlign w:val="center"/>
          </w:tcPr>
          <w:p w14:paraId="388A89B7" w14:textId="5D3E3381" w:rsidR="00D44D7C" w:rsidRPr="00AA2490" w:rsidRDefault="00D44D7C" w:rsidP="00D44D7C">
            <w:pPr>
              <w:jc w:val="right"/>
              <w:rPr>
                <w:color w:val="000000"/>
                <w:sz w:val="18"/>
                <w:szCs w:val="18"/>
              </w:rPr>
            </w:pPr>
            <w:r>
              <w:rPr>
                <w:color w:val="000000"/>
                <w:sz w:val="18"/>
                <w:szCs w:val="18"/>
              </w:rPr>
              <w:t>0.674</w:t>
            </w:r>
          </w:p>
        </w:tc>
      </w:tr>
    </w:tbl>
    <w:p w14:paraId="5005690A" w14:textId="37295247" w:rsidR="00CB7998" w:rsidRDefault="00105C68" w:rsidP="00D626BE">
      <w:pPr>
        <w:rPr>
          <w:rFonts w:ascii="Times" w:hAnsi="Times" w:cs="Calibri"/>
          <w:sz w:val="20"/>
          <w:szCs w:val="20"/>
        </w:rPr>
      </w:pPr>
      <w:r w:rsidRPr="00105C68">
        <w:rPr>
          <w:rFonts w:ascii="Times" w:hAnsi="Times" w:cs="Calibri"/>
          <w:sz w:val="20"/>
          <w:szCs w:val="20"/>
          <w:vertAlign w:val="superscript"/>
        </w:rPr>
        <w:t>a</w:t>
      </w:r>
      <w:r w:rsidR="00CC7651" w:rsidRPr="00D626BE">
        <w:rPr>
          <w:rFonts w:ascii="Times" w:hAnsi="Times" w:cs="Calibri"/>
          <w:sz w:val="20"/>
          <w:szCs w:val="20"/>
        </w:rPr>
        <w:t xml:space="preserve"> p value for differences when compared </w:t>
      </w:r>
      <w:r w:rsidR="00D63DD0">
        <w:rPr>
          <w:rFonts w:ascii="Times" w:hAnsi="Times" w:cs="Calibri"/>
          <w:sz w:val="20"/>
          <w:szCs w:val="20"/>
        </w:rPr>
        <w:t>with</w:t>
      </w:r>
      <w:r w:rsidR="00CC7651" w:rsidRPr="00D626BE">
        <w:rPr>
          <w:rFonts w:ascii="Times" w:hAnsi="Times" w:cs="Calibri"/>
          <w:sz w:val="20"/>
          <w:szCs w:val="20"/>
        </w:rPr>
        <w:t xml:space="preserve"> those without anaemia, </w:t>
      </w:r>
      <w:r w:rsidRPr="00105C68">
        <w:rPr>
          <w:rFonts w:ascii="Times" w:hAnsi="Times" w:cs="Calibri"/>
          <w:sz w:val="20"/>
          <w:szCs w:val="20"/>
          <w:vertAlign w:val="superscript"/>
        </w:rPr>
        <w:t>b</w:t>
      </w:r>
      <w:r>
        <w:rPr>
          <w:rFonts w:ascii="Times" w:hAnsi="Times" w:cs="Calibri"/>
          <w:sz w:val="20"/>
          <w:szCs w:val="20"/>
          <w:vertAlign w:val="superscript"/>
        </w:rPr>
        <w:t xml:space="preserve"> </w:t>
      </w:r>
      <w:r w:rsidR="00CC7651" w:rsidRPr="00D626BE">
        <w:rPr>
          <w:rFonts w:ascii="Times" w:hAnsi="Times" w:cs="Calibri"/>
          <w:sz w:val="20"/>
          <w:szCs w:val="20"/>
        </w:rPr>
        <w:t xml:space="preserve">for differences when compared with those without </w:t>
      </w:r>
      <w:r w:rsidR="00F456C0" w:rsidRPr="00D626BE">
        <w:rPr>
          <w:rFonts w:ascii="Times" w:hAnsi="Times" w:cs="Calibri"/>
          <w:sz w:val="20"/>
          <w:szCs w:val="20"/>
        </w:rPr>
        <w:t>neutropenia</w:t>
      </w:r>
      <w:r w:rsidR="00CC7651" w:rsidRPr="00D626BE">
        <w:rPr>
          <w:rFonts w:ascii="Times" w:hAnsi="Times" w:cs="Calibri"/>
          <w:sz w:val="20"/>
          <w:szCs w:val="20"/>
        </w:rPr>
        <w:t xml:space="preserve">, </w:t>
      </w:r>
      <w:r w:rsidRPr="00105C68">
        <w:rPr>
          <w:rFonts w:ascii="Times" w:hAnsi="Times" w:cs="Calibri"/>
          <w:sz w:val="20"/>
          <w:szCs w:val="20"/>
          <w:vertAlign w:val="superscript"/>
        </w:rPr>
        <w:t>c</w:t>
      </w:r>
      <w:r w:rsidR="00CC7651" w:rsidRPr="00D626BE">
        <w:rPr>
          <w:rFonts w:ascii="Times" w:hAnsi="Times" w:cs="Calibri"/>
          <w:sz w:val="20"/>
          <w:szCs w:val="20"/>
        </w:rPr>
        <w:t xml:space="preserve"> for differences when compared with those without </w:t>
      </w:r>
      <w:r w:rsidR="00F456C0" w:rsidRPr="00D626BE">
        <w:rPr>
          <w:rFonts w:ascii="Times" w:hAnsi="Times" w:cs="Calibri"/>
          <w:sz w:val="20"/>
          <w:szCs w:val="20"/>
        </w:rPr>
        <w:t>lymphopenia</w:t>
      </w:r>
      <w:r>
        <w:rPr>
          <w:rFonts w:ascii="Times" w:hAnsi="Times" w:cs="Calibri"/>
          <w:sz w:val="20"/>
          <w:szCs w:val="20"/>
        </w:rPr>
        <w:t xml:space="preserve">, </w:t>
      </w:r>
      <w:r w:rsidRPr="00105C68">
        <w:rPr>
          <w:rFonts w:ascii="Times" w:hAnsi="Times" w:cs="Calibri"/>
          <w:sz w:val="20"/>
          <w:szCs w:val="20"/>
          <w:vertAlign w:val="superscript"/>
        </w:rPr>
        <w:t>d</w:t>
      </w:r>
      <w:r>
        <w:rPr>
          <w:rFonts w:ascii="Times" w:hAnsi="Times" w:cs="Calibri"/>
          <w:sz w:val="20"/>
          <w:szCs w:val="20"/>
        </w:rPr>
        <w:t xml:space="preserve"> </w:t>
      </w:r>
      <w:r w:rsidR="00A25CBA">
        <w:rPr>
          <w:rFonts w:ascii="Times" w:hAnsi="Times" w:cs="Calibri"/>
          <w:sz w:val="20"/>
          <w:szCs w:val="20"/>
        </w:rPr>
        <w:t>Missing baseline data: BMI n=</w:t>
      </w:r>
      <w:r w:rsidR="0024405B">
        <w:rPr>
          <w:rFonts w:ascii="Times" w:hAnsi="Times" w:cs="Calibri"/>
          <w:sz w:val="20"/>
          <w:szCs w:val="20"/>
        </w:rPr>
        <w:t>520</w:t>
      </w:r>
      <w:r w:rsidR="00A25CBA">
        <w:rPr>
          <w:rFonts w:ascii="Times" w:hAnsi="Times" w:cs="Calibri"/>
          <w:sz w:val="20"/>
          <w:szCs w:val="20"/>
        </w:rPr>
        <w:t xml:space="preserve"> (</w:t>
      </w:r>
      <w:r w:rsidR="0024405B">
        <w:rPr>
          <w:rFonts w:ascii="Times" w:hAnsi="Times" w:cs="Calibri"/>
          <w:sz w:val="20"/>
          <w:szCs w:val="20"/>
        </w:rPr>
        <w:t>8</w:t>
      </w:r>
      <w:r w:rsidR="00A25CBA">
        <w:rPr>
          <w:rFonts w:ascii="Times" w:hAnsi="Times" w:cs="Calibri"/>
          <w:sz w:val="20"/>
          <w:szCs w:val="20"/>
        </w:rPr>
        <w:t>%),</w:t>
      </w:r>
      <w:r w:rsidR="00763BEE">
        <w:rPr>
          <w:rFonts w:ascii="Times" w:hAnsi="Times" w:cs="Calibri"/>
          <w:sz w:val="20"/>
          <w:szCs w:val="20"/>
        </w:rPr>
        <w:t xml:space="preserve"> </w:t>
      </w:r>
      <w:r w:rsidR="00763BEE" w:rsidRPr="00763BEE">
        <w:rPr>
          <w:rFonts w:ascii="Times" w:hAnsi="Times" w:cs="Calibri"/>
          <w:sz w:val="20"/>
          <w:szCs w:val="20"/>
        </w:rPr>
        <w:t>Haemoglobin</w:t>
      </w:r>
      <w:r w:rsidR="0024405B">
        <w:rPr>
          <w:rFonts w:ascii="Times" w:hAnsi="Times" w:cs="Calibri"/>
          <w:sz w:val="20"/>
          <w:szCs w:val="20"/>
        </w:rPr>
        <w:t xml:space="preserve"> n=499 (8%)</w:t>
      </w:r>
      <w:r w:rsidR="00763BEE">
        <w:rPr>
          <w:rFonts w:ascii="Times" w:hAnsi="Times" w:cs="Calibri"/>
          <w:sz w:val="20"/>
          <w:szCs w:val="20"/>
        </w:rPr>
        <w:t xml:space="preserve">, </w:t>
      </w:r>
      <w:r w:rsidR="00763BEE" w:rsidRPr="00763BEE">
        <w:rPr>
          <w:rFonts w:ascii="Times" w:hAnsi="Times" w:cs="Calibri"/>
          <w:sz w:val="20"/>
          <w:szCs w:val="20"/>
        </w:rPr>
        <w:t>Neutrophil</w:t>
      </w:r>
      <w:r w:rsidR="0024405B">
        <w:rPr>
          <w:rFonts w:ascii="Times" w:hAnsi="Times" w:cs="Calibri"/>
          <w:sz w:val="20"/>
          <w:szCs w:val="20"/>
        </w:rPr>
        <w:t>s n=</w:t>
      </w:r>
      <w:r w:rsidR="0024405B" w:rsidRPr="0024405B">
        <w:rPr>
          <w:rFonts w:ascii="Times" w:hAnsi="Times" w:cs="Calibri"/>
          <w:sz w:val="20"/>
          <w:szCs w:val="20"/>
        </w:rPr>
        <w:t>530</w:t>
      </w:r>
      <w:r w:rsidR="0024405B">
        <w:rPr>
          <w:rFonts w:ascii="Times" w:hAnsi="Times" w:cs="Calibri"/>
          <w:sz w:val="20"/>
          <w:szCs w:val="20"/>
        </w:rPr>
        <w:t xml:space="preserve"> (8%)</w:t>
      </w:r>
      <w:r w:rsidR="00763BEE">
        <w:rPr>
          <w:rFonts w:ascii="Times" w:hAnsi="Times" w:cs="Calibri"/>
          <w:sz w:val="20"/>
          <w:szCs w:val="20"/>
        </w:rPr>
        <w:t xml:space="preserve">, </w:t>
      </w:r>
      <w:r w:rsidR="00763BEE" w:rsidRPr="00763BEE">
        <w:rPr>
          <w:rFonts w:ascii="Times" w:hAnsi="Times" w:cs="Calibri"/>
          <w:sz w:val="20"/>
          <w:szCs w:val="20"/>
        </w:rPr>
        <w:t>Lymphocyte</w:t>
      </w:r>
      <w:r w:rsidR="0024405B">
        <w:rPr>
          <w:rFonts w:ascii="Times" w:hAnsi="Times" w:cs="Calibri"/>
          <w:sz w:val="20"/>
          <w:szCs w:val="20"/>
        </w:rPr>
        <w:t>s n=526 (8%)</w:t>
      </w:r>
      <w:r>
        <w:rPr>
          <w:rFonts w:ascii="Times" w:hAnsi="Times" w:cs="Calibri"/>
          <w:sz w:val="20"/>
          <w:szCs w:val="20"/>
        </w:rPr>
        <w:t xml:space="preserve">, </w:t>
      </w:r>
      <w:r w:rsidRPr="00105C68">
        <w:rPr>
          <w:rFonts w:ascii="Times" w:hAnsi="Times" w:cs="Calibri"/>
          <w:sz w:val="20"/>
          <w:szCs w:val="20"/>
          <w:vertAlign w:val="superscript"/>
        </w:rPr>
        <w:t>e</w:t>
      </w:r>
      <w:r w:rsidR="002F7042" w:rsidRPr="00D626BE">
        <w:rPr>
          <w:rFonts w:ascii="Times" w:hAnsi="Times" w:cs="Calibri"/>
          <w:sz w:val="20"/>
          <w:szCs w:val="20"/>
        </w:rPr>
        <w:t xml:space="preserve"> Based on Rheumatoid Factor or anti </w:t>
      </w:r>
      <w:r w:rsidR="004C539A">
        <w:rPr>
          <w:rFonts w:ascii="Times" w:hAnsi="Times" w:cs="Calibri"/>
          <w:sz w:val="20"/>
          <w:szCs w:val="20"/>
        </w:rPr>
        <w:t>cyclic-</w:t>
      </w:r>
      <w:proofErr w:type="spellStart"/>
      <w:r w:rsidR="002F7042" w:rsidRPr="00D626BE">
        <w:rPr>
          <w:rFonts w:ascii="Times" w:hAnsi="Times" w:cs="Calibri"/>
          <w:sz w:val="20"/>
          <w:szCs w:val="20"/>
        </w:rPr>
        <w:t>citrullinated</w:t>
      </w:r>
      <w:proofErr w:type="spellEnd"/>
      <w:r w:rsidR="002F7042" w:rsidRPr="00D626BE">
        <w:rPr>
          <w:rFonts w:ascii="Times" w:hAnsi="Times" w:cs="Calibri"/>
          <w:sz w:val="20"/>
          <w:szCs w:val="20"/>
        </w:rPr>
        <w:t xml:space="preserve"> </w:t>
      </w:r>
      <w:r w:rsidR="004C539A">
        <w:rPr>
          <w:rFonts w:ascii="Times" w:hAnsi="Times" w:cs="Calibri"/>
          <w:sz w:val="20"/>
          <w:szCs w:val="20"/>
        </w:rPr>
        <w:t>peptide</w:t>
      </w:r>
      <w:r w:rsidR="004C539A" w:rsidRPr="00D626BE">
        <w:rPr>
          <w:rFonts w:ascii="Times" w:hAnsi="Times" w:cs="Calibri"/>
          <w:sz w:val="20"/>
          <w:szCs w:val="20"/>
        </w:rPr>
        <w:t xml:space="preserve"> </w:t>
      </w:r>
      <w:r w:rsidR="002F7042" w:rsidRPr="00D626BE">
        <w:rPr>
          <w:rFonts w:ascii="Times" w:hAnsi="Times" w:cs="Calibri"/>
          <w:sz w:val="20"/>
          <w:szCs w:val="20"/>
        </w:rPr>
        <w:t xml:space="preserve">[CCP] </w:t>
      </w:r>
      <w:r w:rsidR="004C539A">
        <w:rPr>
          <w:rFonts w:ascii="Times" w:hAnsi="Times" w:cs="Calibri"/>
          <w:sz w:val="20"/>
          <w:szCs w:val="20"/>
        </w:rPr>
        <w:t>antibody</w:t>
      </w:r>
      <w:r w:rsidR="002F7042" w:rsidRPr="00D626BE">
        <w:rPr>
          <w:rFonts w:ascii="Times" w:hAnsi="Times" w:cs="Calibri"/>
          <w:sz w:val="20"/>
          <w:szCs w:val="20"/>
        </w:rPr>
        <w:t>(%)</w:t>
      </w:r>
    </w:p>
    <w:p w14:paraId="084BD3C8" w14:textId="77777777" w:rsidR="0032146E" w:rsidRPr="00D626BE" w:rsidRDefault="0032146E" w:rsidP="00D626BE">
      <w:pPr>
        <w:rPr>
          <w:rFonts w:ascii="Times" w:hAnsi="Times" w:cs="Calibri"/>
          <w:sz w:val="20"/>
          <w:szCs w:val="20"/>
        </w:rPr>
      </w:pPr>
    </w:p>
    <w:p w14:paraId="27CB599E" w14:textId="6C505965" w:rsidR="00F64D01" w:rsidRDefault="00F64D01">
      <w:pPr>
        <w:rPr>
          <w:rFonts w:ascii="Times" w:hAnsi="Times"/>
          <w:b/>
        </w:rPr>
      </w:pPr>
    </w:p>
    <w:p w14:paraId="188094E9" w14:textId="77777777" w:rsidR="00A70E99" w:rsidRDefault="00A70E99">
      <w:pPr>
        <w:rPr>
          <w:rFonts w:ascii="Times" w:hAnsi="Times"/>
          <w:b/>
        </w:rPr>
      </w:pPr>
      <w:r>
        <w:rPr>
          <w:rFonts w:ascii="Times" w:hAnsi="Times"/>
          <w:b/>
        </w:rPr>
        <w:br w:type="page"/>
      </w:r>
    </w:p>
    <w:p w14:paraId="374706EB" w14:textId="02AAC19B" w:rsidR="00B22D7D" w:rsidRPr="00256E5F" w:rsidRDefault="00B22D7D" w:rsidP="00B22D7D">
      <w:pPr>
        <w:spacing w:line="360" w:lineRule="auto"/>
        <w:rPr>
          <w:rFonts w:ascii="Times" w:hAnsi="Times"/>
          <w:b/>
        </w:rPr>
      </w:pPr>
      <w:r>
        <w:rPr>
          <w:rFonts w:ascii="Times" w:hAnsi="Times"/>
          <w:b/>
        </w:rPr>
        <w:lastRenderedPageBreak/>
        <w:t xml:space="preserve">Table 2. The proportion of </w:t>
      </w:r>
      <w:r w:rsidRPr="00256E5F">
        <w:rPr>
          <w:rFonts w:ascii="Times" w:hAnsi="Times"/>
          <w:b/>
        </w:rPr>
        <w:t>individuals with RA</w:t>
      </w:r>
      <w:r w:rsidR="00AD5E0F">
        <w:rPr>
          <w:rFonts w:ascii="Times" w:hAnsi="Times"/>
          <w:b/>
        </w:rPr>
        <w:t xml:space="preserve"> </w:t>
      </w:r>
      <w:r>
        <w:rPr>
          <w:rFonts w:ascii="Times" w:hAnsi="Times"/>
          <w:b/>
        </w:rPr>
        <w:t xml:space="preserve">with </w:t>
      </w:r>
      <w:r w:rsidR="00093E8A">
        <w:rPr>
          <w:rFonts w:ascii="Times" w:hAnsi="Times"/>
          <w:b/>
        </w:rPr>
        <w:t xml:space="preserve">recorded </w:t>
      </w:r>
      <w:r>
        <w:rPr>
          <w:rFonts w:ascii="Times" w:hAnsi="Times"/>
          <w:b/>
        </w:rPr>
        <w:t>haematological abnormalities</w:t>
      </w:r>
      <w:r w:rsidR="000D4156">
        <w:rPr>
          <w:rFonts w:ascii="Times" w:hAnsi="Times"/>
          <w:b/>
        </w:rPr>
        <w:t xml:space="preserve"> before, at</w:t>
      </w:r>
      <w:r w:rsidR="00105C68">
        <w:rPr>
          <w:rFonts w:ascii="Times" w:hAnsi="Times"/>
          <w:b/>
        </w:rPr>
        <w:t>,</w:t>
      </w:r>
      <w:r w:rsidR="000D4156">
        <w:rPr>
          <w:rFonts w:ascii="Times" w:hAnsi="Times"/>
          <w:b/>
        </w:rPr>
        <w:t xml:space="preserve"> and after </w:t>
      </w:r>
      <w:r w:rsidRPr="00256E5F">
        <w:rPr>
          <w:rFonts w:ascii="Times" w:hAnsi="Times"/>
          <w:b/>
        </w:rPr>
        <w:t>diagnosis.</w:t>
      </w:r>
    </w:p>
    <w:p w14:paraId="3AE130E6" w14:textId="77777777" w:rsidR="00B22D7D" w:rsidRDefault="00B22D7D" w:rsidP="00B22D7D">
      <w:pPr>
        <w:rPr>
          <w:rFonts w:ascii="Times" w:hAnsi="Times"/>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8"/>
        <w:gridCol w:w="1641"/>
        <w:gridCol w:w="1641"/>
        <w:gridCol w:w="1641"/>
        <w:gridCol w:w="1641"/>
        <w:gridCol w:w="1641"/>
      </w:tblGrid>
      <w:tr w:rsidR="00B22D7D" w:rsidRPr="005319AC" w14:paraId="70390FF4" w14:textId="77777777" w:rsidTr="00A70E99">
        <w:trPr>
          <w:trHeight w:val="278"/>
          <w:tblHeader/>
        </w:trPr>
        <w:tc>
          <w:tcPr>
            <w:tcW w:w="0" w:type="auto"/>
            <w:tcBorders>
              <w:top w:val="single" w:sz="4" w:space="0" w:color="auto"/>
              <w:bottom w:val="single" w:sz="4" w:space="0" w:color="auto"/>
              <w:right w:val="single" w:sz="4" w:space="0" w:color="auto"/>
            </w:tcBorders>
            <w:shd w:val="clear" w:color="auto" w:fill="auto"/>
            <w:vAlign w:val="center"/>
          </w:tcPr>
          <w:p w14:paraId="6C1DC4FD" w14:textId="77777777" w:rsidR="00B22D7D" w:rsidRPr="005319AC" w:rsidRDefault="00B22D7D" w:rsidP="00E13C98">
            <w:pPr>
              <w:spacing w:line="360" w:lineRule="auto"/>
              <w:rPr>
                <w:sz w:val="20"/>
                <w:szCs w:val="20"/>
              </w:rPr>
            </w:pPr>
          </w:p>
        </w:tc>
        <w:tc>
          <w:tcPr>
            <w:tcW w:w="1641" w:type="dxa"/>
            <w:tcBorders>
              <w:top w:val="single" w:sz="4" w:space="0" w:color="auto"/>
              <w:left w:val="single" w:sz="4" w:space="0" w:color="auto"/>
              <w:bottom w:val="single" w:sz="4" w:space="0" w:color="auto"/>
            </w:tcBorders>
            <w:vAlign w:val="center"/>
          </w:tcPr>
          <w:p w14:paraId="5163B1CC" w14:textId="77777777" w:rsidR="00105C68" w:rsidRDefault="00B22D7D" w:rsidP="00A70E99">
            <w:pPr>
              <w:spacing w:line="360" w:lineRule="auto"/>
              <w:jc w:val="right"/>
              <w:rPr>
                <w:b/>
                <w:sz w:val="20"/>
                <w:szCs w:val="20"/>
              </w:rPr>
            </w:pPr>
            <w:r>
              <w:rPr>
                <w:b/>
                <w:sz w:val="20"/>
                <w:szCs w:val="20"/>
              </w:rPr>
              <w:t>3 years pre-diagnosis</w:t>
            </w:r>
          </w:p>
          <w:p w14:paraId="2187D114" w14:textId="3AD9D240" w:rsidR="00B22D7D" w:rsidRPr="005319AC" w:rsidRDefault="00105C68" w:rsidP="00A70E99">
            <w:pPr>
              <w:spacing w:line="360" w:lineRule="auto"/>
              <w:jc w:val="right"/>
              <w:rPr>
                <w:b/>
                <w:sz w:val="20"/>
                <w:szCs w:val="20"/>
              </w:rPr>
            </w:pPr>
            <w:r w:rsidRPr="00105C68">
              <w:rPr>
                <w:b/>
                <w:sz w:val="20"/>
                <w:szCs w:val="20"/>
              </w:rPr>
              <w:t>(n=6,591)</w:t>
            </w:r>
          </w:p>
        </w:tc>
        <w:tc>
          <w:tcPr>
            <w:tcW w:w="1641" w:type="dxa"/>
            <w:tcBorders>
              <w:top w:val="single" w:sz="4" w:space="0" w:color="auto"/>
              <w:bottom w:val="single" w:sz="4" w:space="0" w:color="auto"/>
            </w:tcBorders>
            <w:vAlign w:val="center"/>
          </w:tcPr>
          <w:p w14:paraId="1380DBAB" w14:textId="77777777" w:rsidR="00105C68" w:rsidRDefault="00B22D7D" w:rsidP="00105C68">
            <w:pPr>
              <w:spacing w:line="360" w:lineRule="auto"/>
              <w:jc w:val="right"/>
              <w:rPr>
                <w:b/>
                <w:sz w:val="20"/>
                <w:szCs w:val="20"/>
              </w:rPr>
            </w:pPr>
            <w:r>
              <w:rPr>
                <w:b/>
                <w:sz w:val="20"/>
                <w:szCs w:val="20"/>
              </w:rPr>
              <w:t>2 years pre-diagnosis</w:t>
            </w:r>
          </w:p>
          <w:p w14:paraId="4F440AA6" w14:textId="5177EEA9" w:rsidR="00B22D7D" w:rsidRPr="005319AC" w:rsidRDefault="00105C68" w:rsidP="00105C68">
            <w:pPr>
              <w:spacing w:line="360" w:lineRule="auto"/>
              <w:jc w:val="right"/>
              <w:rPr>
                <w:b/>
                <w:sz w:val="20"/>
                <w:szCs w:val="20"/>
              </w:rPr>
            </w:pPr>
            <w:r w:rsidRPr="00105C68">
              <w:rPr>
                <w:b/>
                <w:sz w:val="20"/>
                <w:szCs w:val="20"/>
              </w:rPr>
              <w:t>(n=6,591)</w:t>
            </w:r>
          </w:p>
        </w:tc>
        <w:tc>
          <w:tcPr>
            <w:tcW w:w="1641" w:type="dxa"/>
            <w:tcBorders>
              <w:top w:val="single" w:sz="4" w:space="0" w:color="auto"/>
              <w:bottom w:val="single" w:sz="4" w:space="0" w:color="auto"/>
            </w:tcBorders>
            <w:vAlign w:val="center"/>
          </w:tcPr>
          <w:p w14:paraId="010BA470" w14:textId="77777777" w:rsidR="00105C68" w:rsidRDefault="00B22D7D" w:rsidP="00105C68">
            <w:pPr>
              <w:spacing w:line="360" w:lineRule="auto"/>
              <w:jc w:val="right"/>
              <w:rPr>
                <w:b/>
                <w:sz w:val="20"/>
                <w:szCs w:val="20"/>
              </w:rPr>
            </w:pPr>
            <w:r>
              <w:rPr>
                <w:b/>
                <w:sz w:val="20"/>
                <w:szCs w:val="20"/>
              </w:rPr>
              <w:t>1 year pre-diagnosis</w:t>
            </w:r>
          </w:p>
          <w:p w14:paraId="7E7E9121" w14:textId="36B00467" w:rsidR="00B22D7D" w:rsidRPr="005319AC" w:rsidRDefault="00105C68" w:rsidP="00105C68">
            <w:pPr>
              <w:spacing w:line="360" w:lineRule="auto"/>
              <w:jc w:val="right"/>
              <w:rPr>
                <w:b/>
                <w:sz w:val="20"/>
                <w:szCs w:val="20"/>
              </w:rPr>
            </w:pPr>
            <w:r w:rsidRPr="00105C68">
              <w:rPr>
                <w:b/>
                <w:sz w:val="20"/>
                <w:szCs w:val="20"/>
              </w:rPr>
              <w:t>(n=6,591)</w:t>
            </w:r>
          </w:p>
        </w:tc>
        <w:tc>
          <w:tcPr>
            <w:tcW w:w="1641" w:type="dxa"/>
            <w:tcBorders>
              <w:top w:val="single" w:sz="4" w:space="0" w:color="auto"/>
              <w:bottom w:val="single" w:sz="4" w:space="0" w:color="auto"/>
            </w:tcBorders>
            <w:shd w:val="clear" w:color="auto" w:fill="auto"/>
            <w:vAlign w:val="center"/>
          </w:tcPr>
          <w:p w14:paraId="09EC9237" w14:textId="7E439B53" w:rsidR="00B22D7D" w:rsidRPr="005319AC" w:rsidRDefault="00AD5E0F" w:rsidP="00105C68">
            <w:pPr>
              <w:spacing w:line="360" w:lineRule="auto"/>
              <w:jc w:val="right"/>
              <w:rPr>
                <w:sz w:val="20"/>
                <w:szCs w:val="20"/>
              </w:rPr>
            </w:pPr>
            <w:r>
              <w:rPr>
                <w:b/>
                <w:sz w:val="20"/>
                <w:szCs w:val="20"/>
              </w:rPr>
              <w:t>At d</w:t>
            </w:r>
            <w:r w:rsidR="00B22D7D" w:rsidRPr="005319AC">
              <w:rPr>
                <w:b/>
                <w:sz w:val="20"/>
                <w:szCs w:val="20"/>
              </w:rPr>
              <w:t>iagnosis</w:t>
            </w:r>
            <w:r w:rsidR="000D4156">
              <w:rPr>
                <w:b/>
                <w:sz w:val="20"/>
                <w:szCs w:val="20"/>
              </w:rPr>
              <w:t xml:space="preserve"> of RA</w:t>
            </w:r>
            <w:r w:rsidR="00105C68">
              <w:rPr>
                <w:b/>
                <w:sz w:val="20"/>
                <w:szCs w:val="20"/>
              </w:rPr>
              <w:t xml:space="preserve"> </w:t>
            </w:r>
            <w:r w:rsidR="00105C68" w:rsidRPr="00105C68">
              <w:rPr>
                <w:b/>
                <w:sz w:val="20"/>
                <w:szCs w:val="20"/>
              </w:rPr>
              <w:t>(n=6,591)</w:t>
            </w:r>
          </w:p>
        </w:tc>
        <w:tc>
          <w:tcPr>
            <w:tcW w:w="1641" w:type="dxa"/>
            <w:tcBorders>
              <w:top w:val="single" w:sz="4" w:space="0" w:color="auto"/>
              <w:bottom w:val="single" w:sz="4" w:space="0" w:color="auto"/>
            </w:tcBorders>
            <w:shd w:val="clear" w:color="auto" w:fill="auto"/>
            <w:vAlign w:val="center"/>
          </w:tcPr>
          <w:p w14:paraId="53B20A11" w14:textId="77777777" w:rsidR="00B22D7D" w:rsidRPr="005319AC" w:rsidRDefault="00B22D7D" w:rsidP="00A70E99">
            <w:pPr>
              <w:spacing w:line="360" w:lineRule="auto"/>
              <w:jc w:val="right"/>
              <w:rPr>
                <w:sz w:val="20"/>
                <w:szCs w:val="20"/>
              </w:rPr>
            </w:pPr>
            <w:r w:rsidRPr="005319AC">
              <w:rPr>
                <w:b/>
                <w:sz w:val="20"/>
                <w:szCs w:val="20"/>
              </w:rPr>
              <w:t xml:space="preserve">3 years </w:t>
            </w:r>
            <w:r>
              <w:rPr>
                <w:b/>
                <w:sz w:val="20"/>
                <w:szCs w:val="20"/>
              </w:rPr>
              <w:t>post</w:t>
            </w:r>
            <w:r w:rsidRPr="005319AC">
              <w:rPr>
                <w:b/>
                <w:sz w:val="20"/>
                <w:szCs w:val="20"/>
              </w:rPr>
              <w:t xml:space="preserve"> diagnosis (n=</w:t>
            </w:r>
            <w:r w:rsidRPr="009937FB">
              <w:rPr>
                <w:b/>
                <w:sz w:val="20"/>
                <w:szCs w:val="20"/>
              </w:rPr>
              <w:t>4646</w:t>
            </w:r>
            <w:r w:rsidRPr="005319AC">
              <w:rPr>
                <w:b/>
                <w:sz w:val="20"/>
                <w:szCs w:val="20"/>
              </w:rPr>
              <w:t>)</w:t>
            </w:r>
          </w:p>
        </w:tc>
      </w:tr>
      <w:tr w:rsidR="00B22D7D" w:rsidRPr="005319AC" w14:paraId="6294AB95" w14:textId="77777777" w:rsidTr="00A70E99">
        <w:trPr>
          <w:trHeight w:val="262"/>
        </w:trPr>
        <w:tc>
          <w:tcPr>
            <w:tcW w:w="0" w:type="auto"/>
            <w:tcBorders>
              <w:top w:val="single" w:sz="4" w:space="0" w:color="auto"/>
              <w:bottom w:val="nil"/>
              <w:right w:val="single" w:sz="4" w:space="0" w:color="auto"/>
            </w:tcBorders>
            <w:shd w:val="clear" w:color="auto" w:fill="auto"/>
            <w:vAlign w:val="center"/>
          </w:tcPr>
          <w:p w14:paraId="5826056A" w14:textId="77777777" w:rsidR="00B22D7D" w:rsidRPr="005319AC" w:rsidRDefault="00B22D7D" w:rsidP="00E13C98">
            <w:pPr>
              <w:spacing w:line="360" w:lineRule="auto"/>
              <w:rPr>
                <w:sz w:val="20"/>
                <w:szCs w:val="20"/>
              </w:rPr>
            </w:pPr>
            <w:r w:rsidRPr="00FF2880">
              <w:rPr>
                <w:rFonts w:ascii="Times" w:hAnsi="Times"/>
                <w:b/>
                <w:sz w:val="18"/>
                <w:szCs w:val="18"/>
              </w:rPr>
              <w:t>Anaemia</w:t>
            </w:r>
          </w:p>
        </w:tc>
        <w:tc>
          <w:tcPr>
            <w:tcW w:w="1641" w:type="dxa"/>
            <w:tcBorders>
              <w:top w:val="single" w:sz="4" w:space="0" w:color="auto"/>
              <w:left w:val="single" w:sz="4" w:space="0" w:color="auto"/>
            </w:tcBorders>
            <w:vAlign w:val="center"/>
          </w:tcPr>
          <w:p w14:paraId="45AAA46D" w14:textId="77777777" w:rsidR="00B22D7D" w:rsidRPr="00AB25F4" w:rsidRDefault="00B22D7D" w:rsidP="00A70E99">
            <w:pPr>
              <w:spacing w:line="360" w:lineRule="auto"/>
              <w:jc w:val="right"/>
              <w:rPr>
                <w:color w:val="000000"/>
                <w:sz w:val="20"/>
                <w:szCs w:val="20"/>
              </w:rPr>
            </w:pPr>
            <w:r w:rsidRPr="00AB25F4">
              <w:rPr>
                <w:color w:val="000000"/>
                <w:sz w:val="20"/>
                <w:szCs w:val="20"/>
              </w:rPr>
              <w:t>296 (4.5%)</w:t>
            </w:r>
          </w:p>
        </w:tc>
        <w:tc>
          <w:tcPr>
            <w:tcW w:w="1641" w:type="dxa"/>
            <w:tcBorders>
              <w:top w:val="single" w:sz="4" w:space="0" w:color="auto"/>
            </w:tcBorders>
            <w:vAlign w:val="center"/>
          </w:tcPr>
          <w:p w14:paraId="3E72B92C" w14:textId="77777777" w:rsidR="00B22D7D" w:rsidRPr="00AB25F4" w:rsidRDefault="00B22D7D" w:rsidP="00A70E99">
            <w:pPr>
              <w:spacing w:line="360" w:lineRule="auto"/>
              <w:jc w:val="right"/>
              <w:rPr>
                <w:color w:val="000000"/>
                <w:sz w:val="20"/>
                <w:szCs w:val="20"/>
              </w:rPr>
            </w:pPr>
            <w:r>
              <w:rPr>
                <w:color w:val="000000"/>
                <w:sz w:val="20"/>
                <w:szCs w:val="20"/>
              </w:rPr>
              <w:t>372 (5.6%)</w:t>
            </w:r>
          </w:p>
        </w:tc>
        <w:tc>
          <w:tcPr>
            <w:tcW w:w="1641" w:type="dxa"/>
            <w:tcBorders>
              <w:top w:val="single" w:sz="4" w:space="0" w:color="auto"/>
            </w:tcBorders>
            <w:vAlign w:val="center"/>
          </w:tcPr>
          <w:p w14:paraId="5236A314" w14:textId="77777777" w:rsidR="00B22D7D" w:rsidRPr="00AB25F4" w:rsidRDefault="00B22D7D" w:rsidP="00A70E99">
            <w:pPr>
              <w:spacing w:line="360" w:lineRule="auto"/>
              <w:jc w:val="right"/>
              <w:rPr>
                <w:color w:val="000000"/>
                <w:sz w:val="20"/>
                <w:szCs w:val="20"/>
              </w:rPr>
            </w:pPr>
            <w:r>
              <w:rPr>
                <w:color w:val="000000"/>
                <w:sz w:val="20"/>
                <w:szCs w:val="20"/>
              </w:rPr>
              <w:t>497 (7.5%)</w:t>
            </w:r>
          </w:p>
        </w:tc>
        <w:tc>
          <w:tcPr>
            <w:tcW w:w="1641" w:type="dxa"/>
            <w:tcBorders>
              <w:top w:val="single" w:sz="4" w:space="0" w:color="auto"/>
            </w:tcBorders>
            <w:shd w:val="clear" w:color="auto" w:fill="auto"/>
            <w:vAlign w:val="center"/>
          </w:tcPr>
          <w:p w14:paraId="151B04CB" w14:textId="194CF2D0" w:rsidR="00B22D7D" w:rsidRPr="005319AC" w:rsidRDefault="00B22D7D" w:rsidP="00A70E99">
            <w:pPr>
              <w:spacing w:line="360" w:lineRule="auto"/>
              <w:jc w:val="right"/>
              <w:rPr>
                <w:sz w:val="20"/>
                <w:szCs w:val="20"/>
              </w:rPr>
            </w:pPr>
            <w:r>
              <w:rPr>
                <w:color w:val="000000"/>
                <w:sz w:val="20"/>
                <w:szCs w:val="20"/>
              </w:rPr>
              <w:t>1066 (16.1%</w:t>
            </w:r>
            <w:r w:rsidRPr="00B16AB8">
              <w:rPr>
                <w:color w:val="000000"/>
                <w:sz w:val="20"/>
                <w:szCs w:val="20"/>
              </w:rPr>
              <w:t>)</w:t>
            </w:r>
          </w:p>
        </w:tc>
        <w:tc>
          <w:tcPr>
            <w:tcW w:w="1641" w:type="dxa"/>
            <w:tcBorders>
              <w:top w:val="single" w:sz="4" w:space="0" w:color="auto"/>
            </w:tcBorders>
            <w:shd w:val="clear" w:color="auto" w:fill="auto"/>
            <w:vAlign w:val="center"/>
          </w:tcPr>
          <w:p w14:paraId="4893A102" w14:textId="77777777" w:rsidR="00B22D7D" w:rsidRPr="009937FB" w:rsidRDefault="00B22D7D" w:rsidP="00A70E99">
            <w:pPr>
              <w:spacing w:line="360" w:lineRule="auto"/>
              <w:jc w:val="right"/>
              <w:rPr>
                <w:sz w:val="20"/>
                <w:szCs w:val="20"/>
              </w:rPr>
            </w:pPr>
            <w:r>
              <w:rPr>
                <w:sz w:val="20"/>
                <w:szCs w:val="20"/>
              </w:rPr>
              <w:t>739 (15.9%)</w:t>
            </w:r>
          </w:p>
        </w:tc>
      </w:tr>
      <w:tr w:rsidR="00B22D7D" w:rsidRPr="005319AC" w14:paraId="32F4F9C7" w14:textId="77777777" w:rsidTr="00A70E99">
        <w:trPr>
          <w:trHeight w:val="246"/>
        </w:trPr>
        <w:tc>
          <w:tcPr>
            <w:tcW w:w="0" w:type="auto"/>
            <w:tcBorders>
              <w:top w:val="nil"/>
              <w:bottom w:val="nil"/>
              <w:right w:val="single" w:sz="4" w:space="0" w:color="auto"/>
            </w:tcBorders>
            <w:shd w:val="clear" w:color="auto" w:fill="auto"/>
            <w:vAlign w:val="center"/>
          </w:tcPr>
          <w:p w14:paraId="7C875582" w14:textId="77777777" w:rsidR="00B22D7D" w:rsidRPr="005319AC" w:rsidRDefault="00B22D7D" w:rsidP="00E13C98">
            <w:pPr>
              <w:spacing w:line="360" w:lineRule="auto"/>
              <w:rPr>
                <w:sz w:val="20"/>
                <w:szCs w:val="20"/>
              </w:rPr>
            </w:pPr>
            <w:r w:rsidRPr="00FF2880">
              <w:rPr>
                <w:rFonts w:ascii="Times" w:hAnsi="Times"/>
                <w:b/>
                <w:sz w:val="18"/>
                <w:szCs w:val="18"/>
              </w:rPr>
              <w:t>Neutropenia</w:t>
            </w:r>
          </w:p>
        </w:tc>
        <w:tc>
          <w:tcPr>
            <w:tcW w:w="1641" w:type="dxa"/>
            <w:tcBorders>
              <w:left w:val="single" w:sz="4" w:space="0" w:color="auto"/>
            </w:tcBorders>
            <w:vAlign w:val="center"/>
          </w:tcPr>
          <w:p w14:paraId="6EE84905" w14:textId="77777777" w:rsidR="00B22D7D" w:rsidRPr="00AB25F4" w:rsidRDefault="00B22D7D" w:rsidP="00A70E99">
            <w:pPr>
              <w:spacing w:line="360" w:lineRule="auto"/>
              <w:jc w:val="right"/>
              <w:rPr>
                <w:color w:val="000000"/>
                <w:sz w:val="20"/>
                <w:szCs w:val="20"/>
              </w:rPr>
            </w:pPr>
            <w:r>
              <w:rPr>
                <w:color w:val="000000"/>
                <w:sz w:val="20"/>
                <w:szCs w:val="20"/>
              </w:rPr>
              <w:t>15 (0.2%)</w:t>
            </w:r>
          </w:p>
        </w:tc>
        <w:tc>
          <w:tcPr>
            <w:tcW w:w="1641" w:type="dxa"/>
            <w:vAlign w:val="center"/>
          </w:tcPr>
          <w:p w14:paraId="60463B20" w14:textId="77777777" w:rsidR="00B22D7D" w:rsidRPr="00AB25F4" w:rsidRDefault="00B22D7D" w:rsidP="00A70E99">
            <w:pPr>
              <w:spacing w:line="360" w:lineRule="auto"/>
              <w:jc w:val="right"/>
              <w:rPr>
                <w:color w:val="000000"/>
                <w:sz w:val="20"/>
                <w:szCs w:val="20"/>
              </w:rPr>
            </w:pPr>
            <w:r>
              <w:rPr>
                <w:color w:val="000000"/>
                <w:sz w:val="20"/>
                <w:szCs w:val="20"/>
              </w:rPr>
              <w:t>19 (0.3%)</w:t>
            </w:r>
          </w:p>
        </w:tc>
        <w:tc>
          <w:tcPr>
            <w:tcW w:w="1641" w:type="dxa"/>
            <w:vAlign w:val="center"/>
          </w:tcPr>
          <w:p w14:paraId="015733A3" w14:textId="77777777" w:rsidR="00B22D7D" w:rsidRPr="00AB25F4" w:rsidRDefault="00B22D7D" w:rsidP="00A70E99">
            <w:pPr>
              <w:spacing w:line="360" w:lineRule="auto"/>
              <w:jc w:val="right"/>
              <w:rPr>
                <w:color w:val="000000"/>
                <w:sz w:val="20"/>
                <w:szCs w:val="20"/>
              </w:rPr>
            </w:pPr>
            <w:r>
              <w:rPr>
                <w:color w:val="000000"/>
                <w:sz w:val="20"/>
                <w:szCs w:val="20"/>
              </w:rPr>
              <w:t>25 (0.4%)</w:t>
            </w:r>
          </w:p>
        </w:tc>
        <w:tc>
          <w:tcPr>
            <w:tcW w:w="1641" w:type="dxa"/>
            <w:shd w:val="clear" w:color="auto" w:fill="auto"/>
            <w:vAlign w:val="center"/>
          </w:tcPr>
          <w:p w14:paraId="0964B51B" w14:textId="380BD10E" w:rsidR="00B22D7D" w:rsidRPr="005319AC" w:rsidRDefault="00B22D7D" w:rsidP="00A70E99">
            <w:pPr>
              <w:spacing w:line="360" w:lineRule="auto"/>
              <w:jc w:val="right"/>
              <w:rPr>
                <w:sz w:val="20"/>
                <w:szCs w:val="20"/>
              </w:rPr>
            </w:pPr>
            <w:r>
              <w:rPr>
                <w:color w:val="000000"/>
                <w:sz w:val="20"/>
                <w:szCs w:val="20"/>
              </w:rPr>
              <w:t>38 (0.6%</w:t>
            </w:r>
            <w:r w:rsidRPr="00B16AB8">
              <w:rPr>
                <w:color w:val="000000"/>
                <w:sz w:val="20"/>
                <w:szCs w:val="20"/>
              </w:rPr>
              <w:t>)</w:t>
            </w:r>
          </w:p>
        </w:tc>
        <w:tc>
          <w:tcPr>
            <w:tcW w:w="1641" w:type="dxa"/>
            <w:shd w:val="clear" w:color="auto" w:fill="auto"/>
            <w:vAlign w:val="center"/>
          </w:tcPr>
          <w:p w14:paraId="77848BD2" w14:textId="77777777" w:rsidR="00B22D7D" w:rsidRPr="009937FB" w:rsidRDefault="00B22D7D" w:rsidP="00A70E99">
            <w:pPr>
              <w:spacing w:line="360" w:lineRule="auto"/>
              <w:jc w:val="right"/>
              <w:rPr>
                <w:sz w:val="20"/>
                <w:szCs w:val="20"/>
              </w:rPr>
            </w:pPr>
            <w:r>
              <w:rPr>
                <w:sz w:val="20"/>
                <w:szCs w:val="20"/>
              </w:rPr>
              <w:t>56 (1.1%)</w:t>
            </w:r>
          </w:p>
        </w:tc>
      </w:tr>
      <w:tr w:rsidR="00B22D7D" w:rsidRPr="005319AC" w14:paraId="7B253FCD" w14:textId="77777777" w:rsidTr="00A70E99">
        <w:trPr>
          <w:trHeight w:val="262"/>
        </w:trPr>
        <w:tc>
          <w:tcPr>
            <w:tcW w:w="0" w:type="auto"/>
            <w:tcBorders>
              <w:top w:val="nil"/>
              <w:bottom w:val="single" w:sz="4" w:space="0" w:color="auto"/>
              <w:right w:val="single" w:sz="4" w:space="0" w:color="auto"/>
            </w:tcBorders>
            <w:shd w:val="clear" w:color="auto" w:fill="auto"/>
            <w:vAlign w:val="center"/>
          </w:tcPr>
          <w:p w14:paraId="7B1F1A89" w14:textId="77777777" w:rsidR="00B22D7D" w:rsidRPr="005319AC" w:rsidRDefault="00B22D7D" w:rsidP="00E13C98">
            <w:pPr>
              <w:spacing w:line="360" w:lineRule="auto"/>
              <w:rPr>
                <w:sz w:val="20"/>
                <w:szCs w:val="20"/>
              </w:rPr>
            </w:pPr>
            <w:r w:rsidRPr="00FF2880">
              <w:rPr>
                <w:rFonts w:ascii="Times" w:hAnsi="Times"/>
                <w:b/>
                <w:sz w:val="18"/>
                <w:szCs w:val="18"/>
              </w:rPr>
              <w:t>Lymphopenia</w:t>
            </w:r>
          </w:p>
        </w:tc>
        <w:tc>
          <w:tcPr>
            <w:tcW w:w="1641" w:type="dxa"/>
            <w:tcBorders>
              <w:left w:val="single" w:sz="4" w:space="0" w:color="auto"/>
            </w:tcBorders>
            <w:vAlign w:val="center"/>
          </w:tcPr>
          <w:p w14:paraId="7349F267" w14:textId="77777777" w:rsidR="00B22D7D" w:rsidRPr="00AB25F4" w:rsidRDefault="00B22D7D" w:rsidP="00A70E99">
            <w:pPr>
              <w:spacing w:line="360" w:lineRule="auto"/>
              <w:jc w:val="right"/>
              <w:rPr>
                <w:color w:val="000000"/>
                <w:sz w:val="20"/>
                <w:szCs w:val="20"/>
              </w:rPr>
            </w:pPr>
            <w:r>
              <w:rPr>
                <w:color w:val="000000"/>
                <w:sz w:val="20"/>
                <w:szCs w:val="20"/>
              </w:rPr>
              <w:t>27 (0.4%)</w:t>
            </w:r>
          </w:p>
        </w:tc>
        <w:tc>
          <w:tcPr>
            <w:tcW w:w="1641" w:type="dxa"/>
            <w:vAlign w:val="center"/>
          </w:tcPr>
          <w:p w14:paraId="76E54456" w14:textId="77777777" w:rsidR="00B22D7D" w:rsidRPr="00AB25F4" w:rsidRDefault="00B22D7D" w:rsidP="00A70E99">
            <w:pPr>
              <w:spacing w:line="360" w:lineRule="auto"/>
              <w:jc w:val="right"/>
              <w:rPr>
                <w:color w:val="000000"/>
                <w:sz w:val="20"/>
                <w:szCs w:val="20"/>
              </w:rPr>
            </w:pPr>
            <w:r>
              <w:rPr>
                <w:color w:val="000000"/>
                <w:sz w:val="20"/>
                <w:szCs w:val="20"/>
              </w:rPr>
              <w:t>27 (0.4%)</w:t>
            </w:r>
          </w:p>
        </w:tc>
        <w:tc>
          <w:tcPr>
            <w:tcW w:w="1641" w:type="dxa"/>
            <w:vAlign w:val="center"/>
          </w:tcPr>
          <w:p w14:paraId="547B9F3C" w14:textId="77777777" w:rsidR="00B22D7D" w:rsidRPr="00AB25F4" w:rsidRDefault="00B22D7D" w:rsidP="00A70E99">
            <w:pPr>
              <w:spacing w:line="360" w:lineRule="auto"/>
              <w:jc w:val="right"/>
              <w:rPr>
                <w:color w:val="000000"/>
                <w:sz w:val="20"/>
                <w:szCs w:val="20"/>
              </w:rPr>
            </w:pPr>
            <w:r>
              <w:rPr>
                <w:color w:val="000000"/>
                <w:sz w:val="20"/>
                <w:szCs w:val="20"/>
              </w:rPr>
              <w:t>39 (0.6%)</w:t>
            </w:r>
          </w:p>
        </w:tc>
        <w:tc>
          <w:tcPr>
            <w:tcW w:w="1641" w:type="dxa"/>
            <w:shd w:val="clear" w:color="auto" w:fill="auto"/>
            <w:vAlign w:val="center"/>
          </w:tcPr>
          <w:p w14:paraId="2598B4B6" w14:textId="385FE878" w:rsidR="00B22D7D" w:rsidRPr="005319AC" w:rsidRDefault="00B22D7D" w:rsidP="00A70E99">
            <w:pPr>
              <w:spacing w:line="360" w:lineRule="auto"/>
              <w:jc w:val="right"/>
              <w:rPr>
                <w:sz w:val="20"/>
                <w:szCs w:val="20"/>
              </w:rPr>
            </w:pPr>
            <w:r>
              <w:rPr>
                <w:color w:val="000000"/>
                <w:sz w:val="20"/>
                <w:szCs w:val="20"/>
              </w:rPr>
              <w:t>97 (1.4%</w:t>
            </w:r>
            <w:r w:rsidRPr="00B16AB8">
              <w:rPr>
                <w:color w:val="000000"/>
                <w:sz w:val="20"/>
                <w:szCs w:val="20"/>
              </w:rPr>
              <w:t>)</w:t>
            </w:r>
          </w:p>
        </w:tc>
        <w:tc>
          <w:tcPr>
            <w:tcW w:w="1641" w:type="dxa"/>
            <w:shd w:val="clear" w:color="auto" w:fill="auto"/>
            <w:vAlign w:val="center"/>
          </w:tcPr>
          <w:p w14:paraId="6E5983E1" w14:textId="77777777" w:rsidR="00B22D7D" w:rsidRPr="009937FB" w:rsidRDefault="00B22D7D" w:rsidP="00A70E99">
            <w:pPr>
              <w:spacing w:line="360" w:lineRule="auto"/>
              <w:jc w:val="right"/>
              <w:rPr>
                <w:sz w:val="20"/>
                <w:szCs w:val="20"/>
              </w:rPr>
            </w:pPr>
            <w:r>
              <w:rPr>
                <w:sz w:val="20"/>
                <w:szCs w:val="20"/>
              </w:rPr>
              <w:t>75 (1.5%)</w:t>
            </w:r>
          </w:p>
        </w:tc>
      </w:tr>
    </w:tbl>
    <w:p w14:paraId="5F0D9F6B" w14:textId="77777777" w:rsidR="00B22D7D" w:rsidRDefault="00B22D7D" w:rsidP="00B22D7D"/>
    <w:p w14:paraId="67871619" w14:textId="13BC3B99" w:rsidR="006A0E45" w:rsidRPr="00BA454D" w:rsidRDefault="006A0E45" w:rsidP="008C1377">
      <w:pPr>
        <w:spacing w:line="360" w:lineRule="auto"/>
        <w:jc w:val="both"/>
        <w:rPr>
          <w:rFonts w:ascii="Times" w:hAnsi="Times"/>
          <w:b/>
        </w:rPr>
      </w:pPr>
    </w:p>
    <w:p w14:paraId="271FD4A2" w14:textId="77777777" w:rsidR="00BA454D" w:rsidRDefault="00BA454D" w:rsidP="008C1377">
      <w:pPr>
        <w:spacing w:line="360" w:lineRule="auto"/>
        <w:jc w:val="both"/>
        <w:rPr>
          <w:rFonts w:ascii="Times" w:hAnsi="Times"/>
          <w:b/>
        </w:rPr>
      </w:pPr>
    </w:p>
    <w:p w14:paraId="24EED972" w14:textId="77777777" w:rsidR="00F64D01" w:rsidRDefault="00F64D01">
      <w:pPr>
        <w:rPr>
          <w:rFonts w:ascii="Times" w:hAnsi="Times"/>
          <w:b/>
        </w:rPr>
      </w:pPr>
      <w:r>
        <w:rPr>
          <w:rFonts w:ascii="Times" w:hAnsi="Times"/>
          <w:b/>
        </w:rPr>
        <w:br w:type="page"/>
      </w:r>
    </w:p>
    <w:p w14:paraId="0B2D218C" w14:textId="3F39BC05" w:rsidR="00BA454D" w:rsidRDefault="00BA454D" w:rsidP="008C1377">
      <w:pPr>
        <w:spacing w:line="360" w:lineRule="auto"/>
        <w:jc w:val="both"/>
        <w:rPr>
          <w:rFonts w:ascii="Times" w:hAnsi="Times"/>
          <w:b/>
        </w:rPr>
      </w:pPr>
      <w:r>
        <w:rPr>
          <w:rFonts w:ascii="Times" w:hAnsi="Times"/>
          <w:b/>
        </w:rPr>
        <w:lastRenderedPageBreak/>
        <w:t xml:space="preserve">Table </w:t>
      </w:r>
      <w:r w:rsidR="00B22D7D">
        <w:rPr>
          <w:rFonts w:ascii="Times" w:hAnsi="Times"/>
          <w:b/>
        </w:rPr>
        <w:t>3</w:t>
      </w:r>
      <w:r>
        <w:rPr>
          <w:rFonts w:ascii="Times" w:hAnsi="Times"/>
          <w:b/>
        </w:rPr>
        <w:t>. Adjusted hazard ratios of infection</w:t>
      </w:r>
      <w:r w:rsidR="002B5D7D">
        <w:rPr>
          <w:rFonts w:ascii="Times" w:hAnsi="Times"/>
          <w:b/>
        </w:rPr>
        <w:t xml:space="preserve">s </w:t>
      </w:r>
      <w:r>
        <w:rPr>
          <w:rFonts w:ascii="Times" w:hAnsi="Times"/>
          <w:b/>
        </w:rPr>
        <w:t>by presence or absence of haematological abnormality</w:t>
      </w:r>
      <w:r w:rsidR="00D4690A">
        <w:rPr>
          <w:rFonts w:ascii="Times" w:hAnsi="Times"/>
          <w:b/>
        </w:rPr>
        <w:t xml:space="preserve"> at baseline</w:t>
      </w:r>
    </w:p>
    <w:tbl>
      <w:tblPr>
        <w:tblStyle w:val="TableGrid"/>
        <w:tblW w:w="8515" w:type="dxa"/>
        <w:tblBorders>
          <w:insideH w:val="none" w:sz="0" w:space="0" w:color="auto"/>
          <w:insideV w:val="none" w:sz="0" w:space="0" w:color="auto"/>
        </w:tblBorders>
        <w:tblLook w:val="04A0" w:firstRow="1" w:lastRow="0" w:firstColumn="1" w:lastColumn="0" w:noHBand="0" w:noVBand="1"/>
      </w:tblPr>
      <w:tblGrid>
        <w:gridCol w:w="1703"/>
        <w:gridCol w:w="1703"/>
        <w:gridCol w:w="1703"/>
        <w:gridCol w:w="1703"/>
        <w:gridCol w:w="1703"/>
      </w:tblGrid>
      <w:tr w:rsidR="00015038" w:rsidRPr="00FF2880" w14:paraId="0E18937C" w14:textId="77777777" w:rsidTr="00A70E99">
        <w:tc>
          <w:tcPr>
            <w:tcW w:w="1703" w:type="dxa"/>
            <w:tcBorders>
              <w:top w:val="single" w:sz="4" w:space="0" w:color="auto"/>
              <w:bottom w:val="single" w:sz="4" w:space="0" w:color="auto"/>
              <w:right w:val="single" w:sz="4" w:space="0" w:color="auto"/>
            </w:tcBorders>
          </w:tcPr>
          <w:p w14:paraId="13E47028" w14:textId="77777777" w:rsidR="00015038" w:rsidRPr="00FF2880" w:rsidRDefault="00015038" w:rsidP="008C1377">
            <w:pPr>
              <w:spacing w:line="360" w:lineRule="auto"/>
              <w:jc w:val="both"/>
              <w:rPr>
                <w:rFonts w:ascii="Times" w:hAnsi="Times"/>
                <w:b/>
                <w:sz w:val="18"/>
                <w:szCs w:val="18"/>
              </w:rPr>
            </w:pPr>
          </w:p>
        </w:tc>
        <w:tc>
          <w:tcPr>
            <w:tcW w:w="1703" w:type="dxa"/>
            <w:tcBorders>
              <w:top w:val="single" w:sz="4" w:space="0" w:color="auto"/>
              <w:left w:val="single" w:sz="4" w:space="0" w:color="auto"/>
              <w:bottom w:val="single" w:sz="4" w:space="0" w:color="auto"/>
            </w:tcBorders>
            <w:vAlign w:val="center"/>
          </w:tcPr>
          <w:p w14:paraId="3DAF7C3B" w14:textId="4FD727C6" w:rsidR="00015038" w:rsidRPr="00FF2880" w:rsidRDefault="00015038" w:rsidP="00A70E99">
            <w:pPr>
              <w:spacing w:line="360" w:lineRule="auto"/>
              <w:jc w:val="right"/>
              <w:rPr>
                <w:rFonts w:ascii="Times" w:hAnsi="Times"/>
                <w:b/>
                <w:sz w:val="18"/>
                <w:szCs w:val="18"/>
              </w:rPr>
            </w:pPr>
            <w:r w:rsidRPr="00FF2880">
              <w:rPr>
                <w:rFonts w:ascii="Times" w:hAnsi="Times"/>
                <w:b/>
                <w:sz w:val="18"/>
                <w:szCs w:val="18"/>
              </w:rPr>
              <w:t xml:space="preserve">No </w:t>
            </w:r>
            <w:r w:rsidR="00AD5E0F" w:rsidRPr="00FF2880">
              <w:rPr>
                <w:rFonts w:ascii="Times" w:hAnsi="Times"/>
                <w:b/>
                <w:sz w:val="18"/>
                <w:szCs w:val="18"/>
              </w:rPr>
              <w:t>haematologic</w:t>
            </w:r>
            <w:r w:rsidR="00AD5E0F">
              <w:rPr>
                <w:rFonts w:ascii="Times" w:hAnsi="Times"/>
                <w:b/>
                <w:sz w:val="18"/>
                <w:szCs w:val="18"/>
              </w:rPr>
              <w:t xml:space="preserve">al </w:t>
            </w:r>
            <w:r w:rsidRPr="00FF2880">
              <w:rPr>
                <w:rFonts w:ascii="Times" w:hAnsi="Times"/>
                <w:b/>
                <w:sz w:val="18"/>
                <w:szCs w:val="18"/>
              </w:rPr>
              <w:t>abnormality</w:t>
            </w:r>
            <w:r>
              <w:rPr>
                <w:rFonts w:ascii="Times" w:hAnsi="Times"/>
                <w:b/>
                <w:sz w:val="18"/>
                <w:szCs w:val="18"/>
              </w:rPr>
              <w:t xml:space="preserve"> (n=5499)</w:t>
            </w:r>
          </w:p>
        </w:tc>
        <w:tc>
          <w:tcPr>
            <w:tcW w:w="1703" w:type="dxa"/>
            <w:tcBorders>
              <w:top w:val="single" w:sz="4" w:space="0" w:color="auto"/>
              <w:bottom w:val="single" w:sz="4" w:space="0" w:color="auto"/>
            </w:tcBorders>
            <w:vAlign w:val="center"/>
          </w:tcPr>
          <w:p w14:paraId="7B507A57" w14:textId="77777777" w:rsidR="00A70E99" w:rsidRDefault="00015038" w:rsidP="00A70E99">
            <w:pPr>
              <w:spacing w:line="360" w:lineRule="auto"/>
              <w:jc w:val="right"/>
              <w:rPr>
                <w:rFonts w:ascii="Times" w:hAnsi="Times"/>
                <w:b/>
                <w:sz w:val="18"/>
                <w:szCs w:val="18"/>
              </w:rPr>
            </w:pPr>
            <w:r w:rsidRPr="00FF2880">
              <w:rPr>
                <w:rFonts w:ascii="Times" w:hAnsi="Times"/>
                <w:b/>
                <w:sz w:val="18"/>
                <w:szCs w:val="18"/>
              </w:rPr>
              <w:t>Anaemia</w:t>
            </w:r>
            <w:r>
              <w:rPr>
                <w:rFonts w:ascii="Times" w:hAnsi="Times"/>
                <w:b/>
                <w:sz w:val="18"/>
                <w:szCs w:val="18"/>
              </w:rPr>
              <w:t xml:space="preserve"> </w:t>
            </w:r>
          </w:p>
          <w:p w14:paraId="103DCB23" w14:textId="59726240" w:rsidR="00015038" w:rsidRPr="00FF2880" w:rsidRDefault="00015038" w:rsidP="00A70E99">
            <w:pPr>
              <w:spacing w:line="360" w:lineRule="auto"/>
              <w:jc w:val="right"/>
              <w:rPr>
                <w:rFonts w:ascii="Times" w:hAnsi="Times"/>
                <w:b/>
                <w:sz w:val="18"/>
                <w:szCs w:val="18"/>
              </w:rPr>
            </w:pPr>
            <w:r>
              <w:rPr>
                <w:rFonts w:ascii="Times" w:hAnsi="Times"/>
                <w:b/>
                <w:sz w:val="18"/>
                <w:szCs w:val="18"/>
              </w:rPr>
              <w:t>(n=1066)</w:t>
            </w:r>
          </w:p>
        </w:tc>
        <w:tc>
          <w:tcPr>
            <w:tcW w:w="1703" w:type="dxa"/>
            <w:tcBorders>
              <w:top w:val="single" w:sz="4" w:space="0" w:color="auto"/>
              <w:bottom w:val="single" w:sz="4" w:space="0" w:color="auto"/>
            </w:tcBorders>
            <w:vAlign w:val="center"/>
          </w:tcPr>
          <w:p w14:paraId="22195612" w14:textId="3E1E8D57" w:rsidR="00015038" w:rsidRPr="00FF2880" w:rsidRDefault="00015038" w:rsidP="00A70E99">
            <w:pPr>
              <w:spacing w:line="360" w:lineRule="auto"/>
              <w:jc w:val="right"/>
              <w:rPr>
                <w:rFonts w:ascii="Times" w:hAnsi="Times"/>
                <w:b/>
                <w:sz w:val="18"/>
                <w:szCs w:val="18"/>
              </w:rPr>
            </w:pPr>
            <w:r w:rsidRPr="00FF2880">
              <w:rPr>
                <w:rFonts w:ascii="Times" w:hAnsi="Times"/>
                <w:b/>
                <w:sz w:val="18"/>
                <w:szCs w:val="18"/>
              </w:rPr>
              <w:t>Neutropenia</w:t>
            </w:r>
            <w:r>
              <w:rPr>
                <w:rFonts w:ascii="Times" w:hAnsi="Times"/>
                <w:b/>
                <w:sz w:val="18"/>
                <w:szCs w:val="18"/>
              </w:rPr>
              <w:t xml:space="preserve"> (n=38)</w:t>
            </w:r>
          </w:p>
        </w:tc>
        <w:tc>
          <w:tcPr>
            <w:tcW w:w="1703" w:type="dxa"/>
            <w:tcBorders>
              <w:top w:val="single" w:sz="4" w:space="0" w:color="auto"/>
              <w:bottom w:val="single" w:sz="4" w:space="0" w:color="auto"/>
            </w:tcBorders>
            <w:vAlign w:val="center"/>
          </w:tcPr>
          <w:p w14:paraId="2DA6C02D" w14:textId="176E8541" w:rsidR="00015038" w:rsidRPr="00FF2880" w:rsidRDefault="00015038" w:rsidP="00A70E99">
            <w:pPr>
              <w:spacing w:line="360" w:lineRule="auto"/>
              <w:jc w:val="right"/>
              <w:rPr>
                <w:rFonts w:ascii="Times" w:hAnsi="Times"/>
                <w:b/>
                <w:sz w:val="18"/>
                <w:szCs w:val="18"/>
              </w:rPr>
            </w:pPr>
            <w:r w:rsidRPr="00FF2880">
              <w:rPr>
                <w:rFonts w:ascii="Times" w:hAnsi="Times"/>
                <w:b/>
                <w:sz w:val="18"/>
                <w:szCs w:val="18"/>
              </w:rPr>
              <w:t>Lymphopenia</w:t>
            </w:r>
            <w:r>
              <w:rPr>
                <w:rFonts w:ascii="Times" w:hAnsi="Times"/>
                <w:b/>
                <w:sz w:val="18"/>
                <w:szCs w:val="18"/>
              </w:rPr>
              <w:t xml:space="preserve"> (n=97)</w:t>
            </w:r>
          </w:p>
        </w:tc>
      </w:tr>
      <w:tr w:rsidR="00015038" w:rsidRPr="00FF2880" w14:paraId="48BF72D3" w14:textId="77777777" w:rsidTr="00A70E99">
        <w:tc>
          <w:tcPr>
            <w:tcW w:w="1703" w:type="dxa"/>
            <w:tcBorders>
              <w:top w:val="single" w:sz="4" w:space="0" w:color="auto"/>
              <w:right w:val="single" w:sz="4" w:space="0" w:color="auto"/>
            </w:tcBorders>
          </w:tcPr>
          <w:p w14:paraId="5EABC10A" w14:textId="218A1B7A" w:rsidR="00015038" w:rsidRPr="00FF2880" w:rsidRDefault="002B5D7D" w:rsidP="00FF2880">
            <w:pPr>
              <w:spacing w:line="360" w:lineRule="auto"/>
              <w:rPr>
                <w:rFonts w:ascii="Times" w:hAnsi="Times"/>
                <w:sz w:val="18"/>
                <w:szCs w:val="18"/>
              </w:rPr>
            </w:pPr>
            <w:r>
              <w:rPr>
                <w:rFonts w:ascii="Times" w:hAnsi="Times"/>
                <w:sz w:val="18"/>
                <w:szCs w:val="18"/>
              </w:rPr>
              <w:t xml:space="preserve">Infection events, </w:t>
            </w:r>
            <w:r w:rsidR="00015038">
              <w:rPr>
                <w:rFonts w:ascii="Times" w:hAnsi="Times"/>
                <w:sz w:val="18"/>
                <w:szCs w:val="18"/>
              </w:rPr>
              <w:t>n</w:t>
            </w:r>
            <w:r>
              <w:rPr>
                <w:rFonts w:ascii="Times" w:hAnsi="Times"/>
                <w:sz w:val="18"/>
                <w:szCs w:val="18"/>
              </w:rPr>
              <w:t xml:space="preserve"> (%)</w:t>
            </w:r>
          </w:p>
        </w:tc>
        <w:tc>
          <w:tcPr>
            <w:tcW w:w="1703" w:type="dxa"/>
            <w:tcBorders>
              <w:top w:val="single" w:sz="4" w:space="0" w:color="auto"/>
              <w:left w:val="single" w:sz="4" w:space="0" w:color="auto"/>
            </w:tcBorders>
            <w:vAlign w:val="center"/>
          </w:tcPr>
          <w:p w14:paraId="7E198873" w14:textId="610377E5" w:rsidR="00015038" w:rsidRPr="00FF2880" w:rsidRDefault="00015038" w:rsidP="00A70E99">
            <w:pPr>
              <w:spacing w:line="360" w:lineRule="auto"/>
              <w:jc w:val="right"/>
              <w:rPr>
                <w:rFonts w:ascii="Times" w:hAnsi="Times"/>
                <w:sz w:val="18"/>
                <w:szCs w:val="18"/>
              </w:rPr>
            </w:pPr>
            <w:r>
              <w:rPr>
                <w:rFonts w:ascii="Times" w:hAnsi="Times"/>
                <w:sz w:val="18"/>
                <w:szCs w:val="18"/>
              </w:rPr>
              <w:t>3506 (53.2)</w:t>
            </w:r>
          </w:p>
        </w:tc>
        <w:tc>
          <w:tcPr>
            <w:tcW w:w="1703" w:type="dxa"/>
            <w:tcBorders>
              <w:top w:val="single" w:sz="4" w:space="0" w:color="auto"/>
            </w:tcBorders>
            <w:vAlign w:val="center"/>
          </w:tcPr>
          <w:p w14:paraId="3494B297" w14:textId="5D1B7949" w:rsidR="00015038" w:rsidRPr="00FF2880" w:rsidRDefault="00015038" w:rsidP="00A70E99">
            <w:pPr>
              <w:spacing w:line="360" w:lineRule="auto"/>
              <w:jc w:val="right"/>
              <w:rPr>
                <w:rFonts w:ascii="Times" w:hAnsi="Times"/>
                <w:sz w:val="18"/>
                <w:szCs w:val="18"/>
              </w:rPr>
            </w:pPr>
            <w:r>
              <w:rPr>
                <w:rFonts w:ascii="Times" w:hAnsi="Times"/>
                <w:sz w:val="18"/>
                <w:szCs w:val="18"/>
              </w:rPr>
              <w:t>658 (61.7)</w:t>
            </w:r>
          </w:p>
        </w:tc>
        <w:tc>
          <w:tcPr>
            <w:tcW w:w="1703" w:type="dxa"/>
            <w:tcBorders>
              <w:top w:val="single" w:sz="4" w:space="0" w:color="auto"/>
            </w:tcBorders>
            <w:vAlign w:val="center"/>
          </w:tcPr>
          <w:p w14:paraId="44DFF36C" w14:textId="4B6690ED" w:rsidR="00015038" w:rsidRDefault="00015038" w:rsidP="00A70E99">
            <w:pPr>
              <w:spacing w:line="360" w:lineRule="auto"/>
              <w:jc w:val="right"/>
              <w:rPr>
                <w:rFonts w:ascii="Times" w:hAnsi="Times"/>
                <w:sz w:val="18"/>
                <w:szCs w:val="18"/>
              </w:rPr>
            </w:pPr>
            <w:r>
              <w:rPr>
                <w:rFonts w:ascii="Times" w:hAnsi="Times"/>
                <w:sz w:val="18"/>
                <w:szCs w:val="18"/>
              </w:rPr>
              <w:t>19 (50.0)</w:t>
            </w:r>
          </w:p>
        </w:tc>
        <w:tc>
          <w:tcPr>
            <w:tcW w:w="1703" w:type="dxa"/>
            <w:tcBorders>
              <w:top w:val="single" w:sz="4" w:space="0" w:color="auto"/>
            </w:tcBorders>
            <w:vAlign w:val="center"/>
          </w:tcPr>
          <w:p w14:paraId="47942CC9" w14:textId="10932D28" w:rsidR="00015038" w:rsidRPr="00FF2880" w:rsidRDefault="00015038" w:rsidP="00A70E99">
            <w:pPr>
              <w:spacing w:line="360" w:lineRule="auto"/>
              <w:jc w:val="right"/>
              <w:rPr>
                <w:rFonts w:ascii="Times" w:hAnsi="Times"/>
                <w:sz w:val="18"/>
                <w:szCs w:val="18"/>
              </w:rPr>
            </w:pPr>
            <w:r>
              <w:rPr>
                <w:rFonts w:ascii="Times" w:hAnsi="Times"/>
                <w:sz w:val="18"/>
                <w:szCs w:val="18"/>
              </w:rPr>
              <w:t>73 (75.3)</w:t>
            </w:r>
          </w:p>
        </w:tc>
      </w:tr>
      <w:tr w:rsidR="002A1F4D" w:rsidRPr="00FF2880" w14:paraId="0ACED8E8" w14:textId="77777777" w:rsidTr="00A70E99">
        <w:tc>
          <w:tcPr>
            <w:tcW w:w="1703" w:type="dxa"/>
            <w:tcBorders>
              <w:right w:val="single" w:sz="4" w:space="0" w:color="auto"/>
            </w:tcBorders>
          </w:tcPr>
          <w:p w14:paraId="40DF3FF1" w14:textId="3C63F1DB" w:rsidR="002A1F4D" w:rsidRDefault="002A1F4D" w:rsidP="00FF2880">
            <w:pPr>
              <w:spacing w:line="360" w:lineRule="auto"/>
              <w:rPr>
                <w:rFonts w:ascii="Times" w:hAnsi="Times"/>
                <w:sz w:val="18"/>
                <w:szCs w:val="18"/>
              </w:rPr>
            </w:pPr>
            <w:r>
              <w:rPr>
                <w:rFonts w:ascii="Times" w:hAnsi="Times"/>
                <w:sz w:val="18"/>
                <w:szCs w:val="18"/>
              </w:rPr>
              <w:t>Exposure-time (person-years)</w:t>
            </w:r>
          </w:p>
        </w:tc>
        <w:tc>
          <w:tcPr>
            <w:tcW w:w="1703" w:type="dxa"/>
            <w:tcBorders>
              <w:left w:val="single" w:sz="4" w:space="0" w:color="auto"/>
            </w:tcBorders>
            <w:vAlign w:val="center"/>
          </w:tcPr>
          <w:p w14:paraId="4FA4D811" w14:textId="08BD849C" w:rsidR="002A1F4D" w:rsidRDefault="002A1F4D" w:rsidP="00A70E99">
            <w:pPr>
              <w:spacing w:line="360" w:lineRule="auto"/>
              <w:jc w:val="right"/>
              <w:rPr>
                <w:rFonts w:ascii="Times" w:hAnsi="Times"/>
                <w:sz w:val="18"/>
                <w:szCs w:val="18"/>
              </w:rPr>
            </w:pPr>
            <w:r>
              <w:rPr>
                <w:rFonts w:ascii="Times" w:hAnsi="Times"/>
                <w:sz w:val="18"/>
                <w:szCs w:val="18"/>
              </w:rPr>
              <w:t>20384</w:t>
            </w:r>
          </w:p>
        </w:tc>
        <w:tc>
          <w:tcPr>
            <w:tcW w:w="1703" w:type="dxa"/>
            <w:vAlign w:val="center"/>
          </w:tcPr>
          <w:p w14:paraId="0201E403" w14:textId="57B2FF7C" w:rsidR="002A1F4D" w:rsidRDefault="00941831" w:rsidP="00A70E99">
            <w:pPr>
              <w:spacing w:line="360" w:lineRule="auto"/>
              <w:jc w:val="right"/>
              <w:rPr>
                <w:rFonts w:ascii="Times" w:hAnsi="Times"/>
                <w:sz w:val="18"/>
                <w:szCs w:val="18"/>
              </w:rPr>
            </w:pPr>
            <w:r>
              <w:rPr>
                <w:rFonts w:ascii="Times" w:hAnsi="Times"/>
                <w:sz w:val="18"/>
                <w:szCs w:val="18"/>
              </w:rPr>
              <w:t>3631</w:t>
            </w:r>
          </w:p>
        </w:tc>
        <w:tc>
          <w:tcPr>
            <w:tcW w:w="1703" w:type="dxa"/>
            <w:vAlign w:val="center"/>
          </w:tcPr>
          <w:p w14:paraId="1D9506C8" w14:textId="090016D6" w:rsidR="002A1F4D" w:rsidRDefault="00941831" w:rsidP="00A70E99">
            <w:pPr>
              <w:spacing w:line="360" w:lineRule="auto"/>
              <w:jc w:val="right"/>
              <w:rPr>
                <w:rFonts w:ascii="Times" w:hAnsi="Times"/>
                <w:sz w:val="18"/>
                <w:szCs w:val="18"/>
              </w:rPr>
            </w:pPr>
            <w:r>
              <w:rPr>
                <w:rFonts w:ascii="Times" w:hAnsi="Times"/>
                <w:sz w:val="18"/>
                <w:szCs w:val="18"/>
              </w:rPr>
              <w:t>125</w:t>
            </w:r>
          </w:p>
        </w:tc>
        <w:tc>
          <w:tcPr>
            <w:tcW w:w="1703" w:type="dxa"/>
            <w:vAlign w:val="center"/>
          </w:tcPr>
          <w:p w14:paraId="7931E944" w14:textId="6378BA99" w:rsidR="002A1F4D" w:rsidRDefault="00941831" w:rsidP="00A70E99">
            <w:pPr>
              <w:spacing w:line="360" w:lineRule="auto"/>
              <w:jc w:val="right"/>
              <w:rPr>
                <w:rFonts w:ascii="Times" w:hAnsi="Times"/>
                <w:sz w:val="18"/>
                <w:szCs w:val="18"/>
              </w:rPr>
            </w:pPr>
            <w:r>
              <w:rPr>
                <w:rFonts w:ascii="Times" w:hAnsi="Times"/>
                <w:sz w:val="18"/>
                <w:szCs w:val="18"/>
              </w:rPr>
              <w:t>285</w:t>
            </w:r>
          </w:p>
        </w:tc>
      </w:tr>
      <w:tr w:rsidR="00015038" w:rsidRPr="00FF2880" w14:paraId="0B8B4ABE" w14:textId="77777777" w:rsidTr="00A70E99">
        <w:tc>
          <w:tcPr>
            <w:tcW w:w="1703" w:type="dxa"/>
            <w:tcBorders>
              <w:right w:val="single" w:sz="4" w:space="0" w:color="auto"/>
            </w:tcBorders>
          </w:tcPr>
          <w:p w14:paraId="73A4D8F9" w14:textId="6A8D868E" w:rsidR="00015038" w:rsidRPr="00FF2880" w:rsidRDefault="00015038" w:rsidP="00FF2880">
            <w:pPr>
              <w:spacing w:line="360" w:lineRule="auto"/>
              <w:rPr>
                <w:rFonts w:ascii="Times" w:hAnsi="Times"/>
                <w:sz w:val="18"/>
                <w:szCs w:val="18"/>
              </w:rPr>
            </w:pPr>
            <w:r>
              <w:rPr>
                <w:rFonts w:ascii="Times" w:hAnsi="Times"/>
                <w:sz w:val="18"/>
                <w:szCs w:val="18"/>
              </w:rPr>
              <w:t>Event rate per 1000 person-years</w:t>
            </w:r>
          </w:p>
        </w:tc>
        <w:tc>
          <w:tcPr>
            <w:tcW w:w="1703" w:type="dxa"/>
            <w:tcBorders>
              <w:left w:val="single" w:sz="4" w:space="0" w:color="auto"/>
            </w:tcBorders>
            <w:vAlign w:val="center"/>
          </w:tcPr>
          <w:p w14:paraId="1624BDDF" w14:textId="57A0FDDE" w:rsidR="00015038" w:rsidRPr="00FF2880" w:rsidRDefault="00015038" w:rsidP="00A70E99">
            <w:pPr>
              <w:spacing w:line="360" w:lineRule="auto"/>
              <w:jc w:val="right"/>
              <w:rPr>
                <w:rFonts w:ascii="Times" w:hAnsi="Times"/>
                <w:sz w:val="18"/>
                <w:szCs w:val="18"/>
              </w:rPr>
            </w:pPr>
            <w:r>
              <w:rPr>
                <w:rFonts w:ascii="Times" w:hAnsi="Times"/>
                <w:sz w:val="18"/>
                <w:szCs w:val="18"/>
              </w:rPr>
              <w:t>172. 0 (166.4-177.8)</w:t>
            </w:r>
          </w:p>
        </w:tc>
        <w:tc>
          <w:tcPr>
            <w:tcW w:w="1703" w:type="dxa"/>
            <w:vAlign w:val="center"/>
          </w:tcPr>
          <w:p w14:paraId="1A94DFC4" w14:textId="7349A7C7" w:rsidR="00015038" w:rsidRPr="00FF2880" w:rsidRDefault="00015038" w:rsidP="00A70E99">
            <w:pPr>
              <w:spacing w:line="360" w:lineRule="auto"/>
              <w:jc w:val="right"/>
              <w:rPr>
                <w:rFonts w:ascii="Times" w:hAnsi="Times"/>
                <w:sz w:val="18"/>
                <w:szCs w:val="18"/>
              </w:rPr>
            </w:pPr>
            <w:r>
              <w:rPr>
                <w:rFonts w:ascii="Times" w:hAnsi="Times"/>
                <w:sz w:val="18"/>
                <w:szCs w:val="18"/>
              </w:rPr>
              <w:t>181.2 (167.7-195.6)</w:t>
            </w:r>
          </w:p>
        </w:tc>
        <w:tc>
          <w:tcPr>
            <w:tcW w:w="1703" w:type="dxa"/>
            <w:vAlign w:val="center"/>
          </w:tcPr>
          <w:p w14:paraId="7993AD11" w14:textId="38D2B3EF" w:rsidR="00015038" w:rsidRDefault="00015038" w:rsidP="00A70E99">
            <w:pPr>
              <w:spacing w:line="360" w:lineRule="auto"/>
              <w:jc w:val="right"/>
              <w:rPr>
                <w:rFonts w:ascii="Times" w:hAnsi="Times"/>
                <w:sz w:val="18"/>
                <w:szCs w:val="18"/>
              </w:rPr>
            </w:pPr>
            <w:r>
              <w:rPr>
                <w:rFonts w:ascii="Times" w:hAnsi="Times"/>
                <w:sz w:val="18"/>
                <w:szCs w:val="18"/>
              </w:rPr>
              <w:t>151.8 (91.4-237.0)</w:t>
            </w:r>
          </w:p>
        </w:tc>
        <w:tc>
          <w:tcPr>
            <w:tcW w:w="1703" w:type="dxa"/>
            <w:vAlign w:val="center"/>
          </w:tcPr>
          <w:p w14:paraId="5C592E2E" w14:textId="63CB8C04" w:rsidR="00015038" w:rsidRPr="00FF2880" w:rsidRDefault="00015038" w:rsidP="00A70E99">
            <w:pPr>
              <w:spacing w:line="360" w:lineRule="auto"/>
              <w:jc w:val="right"/>
              <w:rPr>
                <w:rFonts w:ascii="Times" w:hAnsi="Times"/>
                <w:sz w:val="18"/>
                <w:szCs w:val="18"/>
              </w:rPr>
            </w:pPr>
            <w:r>
              <w:rPr>
                <w:rFonts w:ascii="Times" w:hAnsi="Times"/>
                <w:sz w:val="18"/>
                <w:szCs w:val="18"/>
              </w:rPr>
              <w:t xml:space="preserve">256.4 (201.0-322.4) </w:t>
            </w:r>
          </w:p>
        </w:tc>
      </w:tr>
      <w:tr w:rsidR="00015038" w:rsidRPr="00FF2880" w14:paraId="6D1C5F26" w14:textId="77777777" w:rsidTr="00A70E99">
        <w:tc>
          <w:tcPr>
            <w:tcW w:w="1703" w:type="dxa"/>
            <w:tcBorders>
              <w:right w:val="single" w:sz="4" w:space="0" w:color="auto"/>
            </w:tcBorders>
          </w:tcPr>
          <w:p w14:paraId="79BF0A4D" w14:textId="3394ED86" w:rsidR="00015038" w:rsidRPr="00FF2880" w:rsidRDefault="00015038" w:rsidP="00FF2880">
            <w:pPr>
              <w:spacing w:line="360" w:lineRule="auto"/>
              <w:rPr>
                <w:rFonts w:ascii="Times" w:hAnsi="Times"/>
                <w:sz w:val="18"/>
                <w:szCs w:val="18"/>
              </w:rPr>
            </w:pPr>
            <w:r>
              <w:rPr>
                <w:rFonts w:ascii="Times" w:hAnsi="Times"/>
                <w:sz w:val="18"/>
                <w:szCs w:val="18"/>
              </w:rPr>
              <w:t>Unadjusted hazard ratio (95% CI)</w:t>
            </w:r>
          </w:p>
        </w:tc>
        <w:tc>
          <w:tcPr>
            <w:tcW w:w="1703" w:type="dxa"/>
            <w:tcBorders>
              <w:left w:val="single" w:sz="4" w:space="0" w:color="auto"/>
            </w:tcBorders>
            <w:vAlign w:val="center"/>
          </w:tcPr>
          <w:p w14:paraId="30FB1D6A" w14:textId="24439FF6" w:rsidR="00015038" w:rsidRPr="00FF2880" w:rsidRDefault="00015038" w:rsidP="00A70E99">
            <w:pPr>
              <w:spacing w:line="360" w:lineRule="auto"/>
              <w:jc w:val="right"/>
              <w:rPr>
                <w:rFonts w:ascii="Times" w:hAnsi="Times"/>
                <w:sz w:val="18"/>
                <w:szCs w:val="18"/>
              </w:rPr>
            </w:pPr>
            <w:r>
              <w:rPr>
                <w:rFonts w:ascii="Times" w:hAnsi="Times"/>
                <w:sz w:val="18"/>
                <w:szCs w:val="18"/>
              </w:rPr>
              <w:t>Reference</w:t>
            </w:r>
          </w:p>
        </w:tc>
        <w:tc>
          <w:tcPr>
            <w:tcW w:w="1703" w:type="dxa"/>
            <w:vAlign w:val="center"/>
          </w:tcPr>
          <w:p w14:paraId="2CA445A6" w14:textId="0405A839" w:rsidR="00015038" w:rsidRPr="00FF2880" w:rsidRDefault="00015038" w:rsidP="00A70E99">
            <w:pPr>
              <w:spacing w:line="360" w:lineRule="auto"/>
              <w:jc w:val="right"/>
              <w:rPr>
                <w:rFonts w:ascii="Times" w:hAnsi="Times"/>
                <w:sz w:val="18"/>
                <w:szCs w:val="18"/>
              </w:rPr>
            </w:pPr>
            <w:r>
              <w:rPr>
                <w:rFonts w:ascii="Times" w:hAnsi="Times"/>
                <w:sz w:val="18"/>
                <w:szCs w:val="18"/>
              </w:rPr>
              <w:t>1.09 (1.00-1.18)</w:t>
            </w:r>
          </w:p>
        </w:tc>
        <w:tc>
          <w:tcPr>
            <w:tcW w:w="1703" w:type="dxa"/>
            <w:vAlign w:val="center"/>
          </w:tcPr>
          <w:p w14:paraId="4977D720" w14:textId="50C064EF" w:rsidR="00015038" w:rsidRDefault="00015038" w:rsidP="00A70E99">
            <w:pPr>
              <w:spacing w:line="360" w:lineRule="auto"/>
              <w:jc w:val="right"/>
              <w:rPr>
                <w:rFonts w:ascii="Times" w:hAnsi="Times"/>
                <w:sz w:val="18"/>
                <w:szCs w:val="18"/>
              </w:rPr>
            </w:pPr>
            <w:r>
              <w:rPr>
                <w:rFonts w:ascii="Times" w:hAnsi="Times"/>
                <w:sz w:val="18"/>
                <w:szCs w:val="18"/>
              </w:rPr>
              <w:t>0.90 (0.54-1.41)</w:t>
            </w:r>
          </w:p>
        </w:tc>
        <w:tc>
          <w:tcPr>
            <w:tcW w:w="1703" w:type="dxa"/>
            <w:vAlign w:val="center"/>
          </w:tcPr>
          <w:p w14:paraId="3510B87D" w14:textId="0E6CD350" w:rsidR="00015038" w:rsidRPr="00FF2880" w:rsidRDefault="00015038" w:rsidP="00A70E99">
            <w:pPr>
              <w:spacing w:line="360" w:lineRule="auto"/>
              <w:jc w:val="right"/>
              <w:rPr>
                <w:rFonts w:ascii="Times" w:hAnsi="Times"/>
                <w:sz w:val="18"/>
                <w:szCs w:val="18"/>
              </w:rPr>
            </w:pPr>
            <w:r>
              <w:rPr>
                <w:rFonts w:ascii="Times" w:hAnsi="Times"/>
                <w:sz w:val="18"/>
                <w:szCs w:val="18"/>
              </w:rPr>
              <w:t>1.49 (1.18-1.88)</w:t>
            </w:r>
          </w:p>
        </w:tc>
      </w:tr>
      <w:tr w:rsidR="00015038" w:rsidRPr="00FF2880" w14:paraId="6B70629B" w14:textId="77777777" w:rsidTr="00A70E99">
        <w:tc>
          <w:tcPr>
            <w:tcW w:w="1703" w:type="dxa"/>
            <w:tcBorders>
              <w:bottom w:val="single" w:sz="4" w:space="0" w:color="auto"/>
              <w:right w:val="single" w:sz="4" w:space="0" w:color="auto"/>
            </w:tcBorders>
          </w:tcPr>
          <w:p w14:paraId="747B18D5" w14:textId="71D97ADC" w:rsidR="00015038" w:rsidRPr="00FF2880" w:rsidRDefault="00015038" w:rsidP="00FF2880">
            <w:pPr>
              <w:spacing w:line="360" w:lineRule="auto"/>
              <w:rPr>
                <w:rFonts w:ascii="Times" w:hAnsi="Times"/>
                <w:sz w:val="18"/>
                <w:szCs w:val="18"/>
              </w:rPr>
            </w:pPr>
            <w:r>
              <w:rPr>
                <w:rFonts w:ascii="Times" w:hAnsi="Times"/>
                <w:sz w:val="18"/>
                <w:szCs w:val="18"/>
              </w:rPr>
              <w:t>Adjusted hazard ratio (95% CI)</w:t>
            </w:r>
            <w:r w:rsidR="00105C68" w:rsidRPr="00105C68">
              <w:rPr>
                <w:rFonts w:ascii="Times" w:hAnsi="Times"/>
                <w:sz w:val="18"/>
                <w:szCs w:val="18"/>
                <w:vertAlign w:val="superscript"/>
              </w:rPr>
              <w:t>a</w:t>
            </w:r>
          </w:p>
        </w:tc>
        <w:tc>
          <w:tcPr>
            <w:tcW w:w="1703" w:type="dxa"/>
            <w:tcBorders>
              <w:left w:val="single" w:sz="4" w:space="0" w:color="auto"/>
            </w:tcBorders>
            <w:vAlign w:val="center"/>
          </w:tcPr>
          <w:p w14:paraId="3174901A" w14:textId="6233C729" w:rsidR="00015038" w:rsidRPr="00FF2880" w:rsidRDefault="00015038" w:rsidP="00A70E99">
            <w:pPr>
              <w:spacing w:line="360" w:lineRule="auto"/>
              <w:jc w:val="right"/>
              <w:rPr>
                <w:rFonts w:ascii="Times" w:hAnsi="Times"/>
                <w:sz w:val="18"/>
                <w:szCs w:val="18"/>
              </w:rPr>
            </w:pPr>
            <w:r>
              <w:rPr>
                <w:rFonts w:ascii="Times" w:hAnsi="Times"/>
                <w:sz w:val="18"/>
                <w:szCs w:val="18"/>
              </w:rPr>
              <w:t>Reference</w:t>
            </w:r>
          </w:p>
        </w:tc>
        <w:tc>
          <w:tcPr>
            <w:tcW w:w="1703" w:type="dxa"/>
            <w:vAlign w:val="center"/>
          </w:tcPr>
          <w:p w14:paraId="5FC8FE80" w14:textId="08FABCB9" w:rsidR="00015038" w:rsidRPr="00FF2880" w:rsidRDefault="00015038" w:rsidP="00A70E99">
            <w:pPr>
              <w:spacing w:line="360" w:lineRule="auto"/>
              <w:jc w:val="right"/>
              <w:rPr>
                <w:rFonts w:ascii="Times" w:hAnsi="Times"/>
                <w:sz w:val="18"/>
                <w:szCs w:val="18"/>
              </w:rPr>
            </w:pPr>
            <w:r>
              <w:rPr>
                <w:rFonts w:ascii="Times" w:hAnsi="Times"/>
                <w:sz w:val="18"/>
                <w:szCs w:val="18"/>
              </w:rPr>
              <w:t>1.</w:t>
            </w:r>
            <w:r w:rsidR="008C3D80">
              <w:rPr>
                <w:rFonts w:ascii="Times" w:hAnsi="Times"/>
                <w:sz w:val="18"/>
                <w:szCs w:val="18"/>
              </w:rPr>
              <w:t>1</w:t>
            </w:r>
            <w:r w:rsidR="00C153F1">
              <w:rPr>
                <w:rFonts w:ascii="Times" w:hAnsi="Times"/>
                <w:sz w:val="18"/>
                <w:szCs w:val="18"/>
              </w:rPr>
              <w:t>9</w:t>
            </w:r>
            <w:r>
              <w:rPr>
                <w:rFonts w:ascii="Times" w:hAnsi="Times"/>
                <w:sz w:val="18"/>
                <w:szCs w:val="18"/>
              </w:rPr>
              <w:t xml:space="preserve"> (1.</w:t>
            </w:r>
            <w:r w:rsidR="009F7F83">
              <w:rPr>
                <w:rFonts w:ascii="Times" w:hAnsi="Times"/>
                <w:sz w:val="18"/>
                <w:szCs w:val="18"/>
              </w:rPr>
              <w:t>0</w:t>
            </w:r>
            <w:r w:rsidR="008C3D80">
              <w:rPr>
                <w:rFonts w:ascii="Times" w:hAnsi="Times"/>
                <w:sz w:val="18"/>
                <w:szCs w:val="18"/>
              </w:rPr>
              <w:t>8</w:t>
            </w:r>
            <w:r>
              <w:rPr>
                <w:rFonts w:ascii="Times" w:hAnsi="Times"/>
                <w:sz w:val="18"/>
                <w:szCs w:val="18"/>
              </w:rPr>
              <w:t>-1.</w:t>
            </w:r>
            <w:r w:rsidR="00C153F1">
              <w:rPr>
                <w:rFonts w:ascii="Times" w:hAnsi="Times"/>
                <w:sz w:val="18"/>
                <w:szCs w:val="18"/>
              </w:rPr>
              <w:t>30</w:t>
            </w:r>
            <w:r>
              <w:rPr>
                <w:rFonts w:ascii="Times" w:hAnsi="Times"/>
                <w:sz w:val="18"/>
                <w:szCs w:val="18"/>
              </w:rPr>
              <w:t>)</w:t>
            </w:r>
          </w:p>
        </w:tc>
        <w:tc>
          <w:tcPr>
            <w:tcW w:w="1703" w:type="dxa"/>
            <w:vAlign w:val="center"/>
          </w:tcPr>
          <w:p w14:paraId="218D7EC2" w14:textId="11040892" w:rsidR="00015038" w:rsidRDefault="008C3D80" w:rsidP="00A70E99">
            <w:pPr>
              <w:spacing w:line="360" w:lineRule="auto"/>
              <w:jc w:val="right"/>
              <w:rPr>
                <w:rFonts w:ascii="Times" w:hAnsi="Times"/>
                <w:sz w:val="18"/>
                <w:szCs w:val="18"/>
              </w:rPr>
            </w:pPr>
            <w:r>
              <w:rPr>
                <w:rFonts w:ascii="Times" w:hAnsi="Times"/>
                <w:sz w:val="18"/>
                <w:szCs w:val="18"/>
              </w:rPr>
              <w:t>1.06</w:t>
            </w:r>
            <w:r w:rsidR="00015038">
              <w:rPr>
                <w:rFonts w:ascii="Times" w:hAnsi="Times"/>
                <w:sz w:val="18"/>
                <w:szCs w:val="18"/>
              </w:rPr>
              <w:t xml:space="preserve"> (0.6</w:t>
            </w:r>
            <w:r w:rsidR="00C153F1">
              <w:rPr>
                <w:rFonts w:ascii="Times" w:hAnsi="Times"/>
                <w:sz w:val="18"/>
                <w:szCs w:val="18"/>
              </w:rPr>
              <w:t>7</w:t>
            </w:r>
            <w:r w:rsidR="00015038">
              <w:rPr>
                <w:rFonts w:ascii="Times" w:hAnsi="Times"/>
                <w:sz w:val="18"/>
                <w:szCs w:val="18"/>
              </w:rPr>
              <w:t>-1.</w:t>
            </w:r>
            <w:r w:rsidR="00FD550C">
              <w:rPr>
                <w:rFonts w:ascii="Times" w:hAnsi="Times"/>
                <w:sz w:val="18"/>
                <w:szCs w:val="18"/>
              </w:rPr>
              <w:t>67</w:t>
            </w:r>
            <w:r w:rsidR="00015038">
              <w:rPr>
                <w:rFonts w:ascii="Times" w:hAnsi="Times"/>
                <w:sz w:val="18"/>
                <w:szCs w:val="18"/>
              </w:rPr>
              <w:t>)</w:t>
            </w:r>
          </w:p>
        </w:tc>
        <w:tc>
          <w:tcPr>
            <w:tcW w:w="1703" w:type="dxa"/>
            <w:vAlign w:val="center"/>
          </w:tcPr>
          <w:p w14:paraId="3CD85229" w14:textId="6E527112" w:rsidR="00015038" w:rsidRPr="00FF2880" w:rsidRDefault="00015038" w:rsidP="00A70E99">
            <w:pPr>
              <w:spacing w:line="360" w:lineRule="auto"/>
              <w:jc w:val="right"/>
              <w:rPr>
                <w:rFonts w:ascii="Times" w:hAnsi="Times"/>
                <w:sz w:val="18"/>
                <w:szCs w:val="18"/>
              </w:rPr>
            </w:pPr>
            <w:r>
              <w:rPr>
                <w:rFonts w:ascii="Times" w:hAnsi="Times"/>
                <w:sz w:val="18"/>
                <w:szCs w:val="18"/>
              </w:rPr>
              <w:t>1.</w:t>
            </w:r>
            <w:r w:rsidR="009F7F83">
              <w:rPr>
                <w:rFonts w:ascii="Times" w:hAnsi="Times"/>
                <w:sz w:val="18"/>
                <w:szCs w:val="18"/>
              </w:rPr>
              <w:t>41</w:t>
            </w:r>
            <w:r>
              <w:rPr>
                <w:rFonts w:ascii="Times" w:hAnsi="Times"/>
                <w:sz w:val="18"/>
                <w:szCs w:val="18"/>
              </w:rPr>
              <w:t xml:space="preserve"> (1.</w:t>
            </w:r>
            <w:r w:rsidR="009F7F83">
              <w:rPr>
                <w:rFonts w:ascii="Times" w:hAnsi="Times"/>
                <w:sz w:val="18"/>
                <w:szCs w:val="18"/>
              </w:rPr>
              <w:t>11</w:t>
            </w:r>
            <w:r>
              <w:rPr>
                <w:rFonts w:ascii="Times" w:hAnsi="Times"/>
                <w:sz w:val="18"/>
                <w:szCs w:val="18"/>
              </w:rPr>
              <w:t>-1.7</w:t>
            </w:r>
            <w:r w:rsidR="009F7F83">
              <w:rPr>
                <w:rFonts w:ascii="Times" w:hAnsi="Times"/>
                <w:sz w:val="18"/>
                <w:szCs w:val="18"/>
              </w:rPr>
              <w:t>9</w:t>
            </w:r>
            <w:r>
              <w:rPr>
                <w:rFonts w:ascii="Times" w:hAnsi="Times"/>
                <w:sz w:val="18"/>
                <w:szCs w:val="18"/>
              </w:rPr>
              <w:t>)</w:t>
            </w:r>
          </w:p>
        </w:tc>
      </w:tr>
    </w:tbl>
    <w:p w14:paraId="2590006C" w14:textId="42346FBD" w:rsidR="00CB7998" w:rsidRPr="00423B73" w:rsidRDefault="00105C68" w:rsidP="00423B73">
      <w:pPr>
        <w:spacing w:line="360" w:lineRule="auto"/>
        <w:rPr>
          <w:rFonts w:ascii="Times" w:hAnsi="Times"/>
          <w:sz w:val="18"/>
          <w:szCs w:val="18"/>
        </w:rPr>
      </w:pPr>
      <w:proofErr w:type="spellStart"/>
      <w:r w:rsidRPr="00105C68">
        <w:rPr>
          <w:rFonts w:ascii="Times" w:hAnsi="Times"/>
          <w:sz w:val="18"/>
          <w:szCs w:val="18"/>
          <w:vertAlign w:val="superscript"/>
        </w:rPr>
        <w:t>a</w:t>
      </w:r>
      <w:proofErr w:type="spellEnd"/>
      <w:r w:rsidR="009F79B6">
        <w:rPr>
          <w:rFonts w:ascii="Times" w:hAnsi="Times"/>
          <w:sz w:val="18"/>
          <w:szCs w:val="18"/>
        </w:rPr>
        <w:t xml:space="preserve"> </w:t>
      </w:r>
      <w:r w:rsidR="00CB7998" w:rsidRPr="00423B73">
        <w:rPr>
          <w:rFonts w:ascii="Times" w:hAnsi="Times"/>
          <w:sz w:val="18"/>
          <w:szCs w:val="18"/>
        </w:rPr>
        <w:t xml:space="preserve">adjusted for age, sex, ethnicity (white/missing or non-white), and baseline measures of </w:t>
      </w:r>
      <w:r w:rsidR="00B57EB8">
        <w:rPr>
          <w:rFonts w:ascii="Times" w:hAnsi="Times"/>
          <w:sz w:val="18"/>
          <w:szCs w:val="18"/>
        </w:rPr>
        <w:t xml:space="preserve">other haematological measures, </w:t>
      </w:r>
      <w:r w:rsidR="00EE6640" w:rsidRPr="0008525C">
        <w:rPr>
          <w:rFonts w:ascii="Times" w:hAnsi="Times"/>
          <w:sz w:val="18"/>
          <w:szCs w:val="18"/>
        </w:rPr>
        <w:t>BMI</w:t>
      </w:r>
      <w:r w:rsidR="00EE6640">
        <w:rPr>
          <w:rFonts w:ascii="Times" w:hAnsi="Times"/>
          <w:sz w:val="18"/>
          <w:szCs w:val="18"/>
        </w:rPr>
        <w:t xml:space="preserve"> category</w:t>
      </w:r>
      <w:r w:rsidR="00CB7998" w:rsidRPr="00423B73">
        <w:rPr>
          <w:rFonts w:ascii="Times" w:hAnsi="Times"/>
          <w:sz w:val="18"/>
          <w:szCs w:val="18"/>
        </w:rPr>
        <w:t xml:space="preserve"> (&lt; 18.5  underweight, 18.5-24.9  normal weight,  25.0-29.9  overweight, 30.0-34.9  class I obesity, 35.0-39.9 class II obesity, ≥40.0 class III obesity, missing), s</w:t>
      </w:r>
      <w:r w:rsidR="0064554F">
        <w:rPr>
          <w:rFonts w:ascii="Times" w:hAnsi="Times"/>
          <w:sz w:val="18"/>
          <w:szCs w:val="18"/>
        </w:rPr>
        <w:t>moking status (never, current, former</w:t>
      </w:r>
      <w:r w:rsidR="00CB7998" w:rsidRPr="00423B73">
        <w:rPr>
          <w:rFonts w:ascii="Times" w:hAnsi="Times"/>
          <w:sz w:val="18"/>
          <w:szCs w:val="18"/>
        </w:rPr>
        <w:t xml:space="preserve">, missing), </w:t>
      </w:r>
      <w:proofErr w:type="spellStart"/>
      <w:r w:rsidR="00CB7998" w:rsidRPr="00423B73">
        <w:rPr>
          <w:rFonts w:ascii="Times" w:hAnsi="Times"/>
          <w:sz w:val="18"/>
          <w:szCs w:val="18"/>
        </w:rPr>
        <w:t>seropositivity</w:t>
      </w:r>
      <w:proofErr w:type="spellEnd"/>
      <w:r w:rsidR="00CB7998" w:rsidRPr="00423B73">
        <w:rPr>
          <w:rFonts w:ascii="Times" w:hAnsi="Times"/>
          <w:sz w:val="18"/>
          <w:szCs w:val="18"/>
        </w:rPr>
        <w:t xml:space="preserve"> (presence of rheumatoid factor or anti </w:t>
      </w:r>
      <w:proofErr w:type="spellStart"/>
      <w:r w:rsidR="00CB7998" w:rsidRPr="00423B73">
        <w:rPr>
          <w:rFonts w:ascii="Times" w:hAnsi="Times"/>
          <w:sz w:val="18"/>
          <w:szCs w:val="18"/>
        </w:rPr>
        <w:t>citrullinated</w:t>
      </w:r>
      <w:proofErr w:type="spellEnd"/>
      <w:r w:rsidR="00CB7998" w:rsidRPr="00423B73">
        <w:rPr>
          <w:rFonts w:ascii="Times" w:hAnsi="Times"/>
          <w:sz w:val="18"/>
          <w:szCs w:val="18"/>
        </w:rPr>
        <w:t xml:space="preserve"> protein [CCP] antibodies), medication use and comorbidities (see Table 1).</w:t>
      </w:r>
    </w:p>
    <w:p w14:paraId="7CB75A12" w14:textId="77777777" w:rsidR="008C3F88" w:rsidRDefault="008C3F88">
      <w:pPr>
        <w:rPr>
          <w:rFonts w:ascii="Times" w:hAnsi="Times"/>
          <w:b/>
        </w:rPr>
      </w:pPr>
    </w:p>
    <w:p w14:paraId="4D7F78FF" w14:textId="6BC8AD02" w:rsidR="008A16F4" w:rsidRDefault="008A16F4">
      <w:pPr>
        <w:rPr>
          <w:rFonts w:ascii="Times" w:hAnsi="Times"/>
          <w:b/>
        </w:rPr>
      </w:pPr>
    </w:p>
    <w:p w14:paraId="163AF76F" w14:textId="77777777" w:rsidR="00105C68" w:rsidRDefault="00105C68">
      <w:pPr>
        <w:rPr>
          <w:rFonts w:ascii="Times" w:hAnsi="Times"/>
          <w:b/>
        </w:rPr>
      </w:pPr>
      <w:r>
        <w:rPr>
          <w:rFonts w:ascii="Times" w:hAnsi="Times"/>
          <w:b/>
        </w:rPr>
        <w:br w:type="page"/>
      </w:r>
    </w:p>
    <w:p w14:paraId="0BAABDAF" w14:textId="47E206B5" w:rsidR="008A16F4" w:rsidRPr="00C26340" w:rsidRDefault="008A16F4" w:rsidP="008A16F4">
      <w:pPr>
        <w:spacing w:line="360" w:lineRule="auto"/>
        <w:jc w:val="both"/>
        <w:rPr>
          <w:rFonts w:ascii="Times" w:hAnsi="Times"/>
        </w:rPr>
      </w:pPr>
      <w:r>
        <w:rPr>
          <w:rFonts w:ascii="Times" w:hAnsi="Times"/>
          <w:b/>
        </w:rPr>
        <w:lastRenderedPageBreak/>
        <w:t xml:space="preserve">Table </w:t>
      </w:r>
      <w:r w:rsidR="00B22D7D">
        <w:rPr>
          <w:rFonts w:ascii="Times" w:hAnsi="Times"/>
          <w:b/>
        </w:rPr>
        <w:t>4</w:t>
      </w:r>
      <w:r w:rsidR="00FD1957">
        <w:rPr>
          <w:rFonts w:ascii="Times" w:hAnsi="Times"/>
          <w:b/>
        </w:rPr>
        <w:t>. H</w:t>
      </w:r>
      <w:r>
        <w:rPr>
          <w:rFonts w:ascii="Times" w:hAnsi="Times"/>
          <w:b/>
        </w:rPr>
        <w:t>azard ratios of infections by time-varying haematological abnormality status across study follow-up</w:t>
      </w:r>
      <w:r w:rsidR="00533C34">
        <w:rPr>
          <w:rFonts w:ascii="Times" w:hAnsi="Times"/>
          <w:b/>
        </w:rPr>
        <w:t xml:space="preserve">. </w:t>
      </w:r>
      <w:r w:rsidR="00533C34">
        <w:rPr>
          <w:rFonts w:ascii="Times" w:hAnsi="Times"/>
        </w:rPr>
        <w:t xml:space="preserve">Hazard ratios represent the increase in the risk of infections associated with the presence of </w:t>
      </w:r>
      <w:r w:rsidR="006D7150">
        <w:rPr>
          <w:rFonts w:ascii="Times" w:hAnsi="Times"/>
        </w:rPr>
        <w:t>each haematological abnormality</w:t>
      </w:r>
      <w:r w:rsidR="00533C34">
        <w:rPr>
          <w:rFonts w:ascii="Times" w:hAnsi="Times"/>
        </w:rPr>
        <w:t xml:space="preserve"> at any time during study follow-up, compared to the absence of</w:t>
      </w:r>
      <w:r w:rsidR="006D7150">
        <w:rPr>
          <w:rFonts w:ascii="Times" w:hAnsi="Times"/>
        </w:rPr>
        <w:t xml:space="preserve"> the</w:t>
      </w:r>
      <w:r w:rsidR="00533C34">
        <w:rPr>
          <w:rFonts w:ascii="Times" w:hAnsi="Times"/>
        </w:rPr>
        <w:t xml:space="preserve"> </w:t>
      </w:r>
      <w:r w:rsidR="006D7150">
        <w:rPr>
          <w:rFonts w:ascii="Times" w:hAnsi="Times"/>
        </w:rPr>
        <w:t>haematological abnormality</w:t>
      </w:r>
      <w:r w:rsidR="00C26340">
        <w:rPr>
          <w:rFonts w:ascii="Times" w:hAnsi="Times"/>
        </w:rPr>
        <w:t>, in total study population with R</w:t>
      </w:r>
      <w:r w:rsidR="00C26340" w:rsidRPr="00C26340">
        <w:rPr>
          <w:rFonts w:ascii="Times" w:hAnsi="Times"/>
        </w:rPr>
        <w:t>A (n=6591</w:t>
      </w:r>
      <w:r w:rsidR="00C26340">
        <w:rPr>
          <w:rFonts w:ascii="Times" w:hAnsi="Times"/>
        </w:rPr>
        <w:t>; number of infection events 3506</w:t>
      </w:r>
      <w:r w:rsidR="00C26340" w:rsidRPr="00C26340">
        <w:rPr>
          <w:rFonts w:ascii="Times" w:hAnsi="Times"/>
        </w:rPr>
        <w:t>)</w:t>
      </w:r>
    </w:p>
    <w:tbl>
      <w:tblPr>
        <w:tblStyle w:val="TableGrid"/>
        <w:tblW w:w="8217" w:type="dxa"/>
        <w:tblBorders>
          <w:insideH w:val="none" w:sz="0" w:space="0" w:color="auto"/>
          <w:insideV w:val="none" w:sz="0" w:space="0" w:color="auto"/>
        </w:tblBorders>
        <w:tblLook w:val="04A0" w:firstRow="1" w:lastRow="0" w:firstColumn="1" w:lastColumn="0" w:noHBand="0" w:noVBand="1"/>
      </w:tblPr>
      <w:tblGrid>
        <w:gridCol w:w="2689"/>
        <w:gridCol w:w="1842"/>
        <w:gridCol w:w="1780"/>
        <w:gridCol w:w="1906"/>
      </w:tblGrid>
      <w:tr w:rsidR="008A16F4" w:rsidRPr="00FF2880" w14:paraId="6BAD33CC" w14:textId="77777777" w:rsidTr="00A70E99">
        <w:tc>
          <w:tcPr>
            <w:tcW w:w="2689" w:type="dxa"/>
            <w:tcBorders>
              <w:top w:val="single" w:sz="4" w:space="0" w:color="auto"/>
              <w:bottom w:val="single" w:sz="4" w:space="0" w:color="auto"/>
            </w:tcBorders>
          </w:tcPr>
          <w:p w14:paraId="6F33934C" w14:textId="77777777" w:rsidR="008A16F4" w:rsidRPr="00FF2880" w:rsidRDefault="008A16F4" w:rsidP="00424C4D">
            <w:pPr>
              <w:spacing w:line="360" w:lineRule="auto"/>
              <w:jc w:val="both"/>
              <w:rPr>
                <w:rFonts w:ascii="Times" w:hAnsi="Times"/>
                <w:b/>
                <w:sz w:val="18"/>
                <w:szCs w:val="18"/>
              </w:rPr>
            </w:pPr>
          </w:p>
        </w:tc>
        <w:tc>
          <w:tcPr>
            <w:tcW w:w="1842" w:type="dxa"/>
            <w:tcBorders>
              <w:top w:val="single" w:sz="4" w:space="0" w:color="auto"/>
              <w:bottom w:val="single" w:sz="4" w:space="0" w:color="auto"/>
            </w:tcBorders>
            <w:vAlign w:val="center"/>
          </w:tcPr>
          <w:p w14:paraId="1E2A687E" w14:textId="7BBA5D8B" w:rsidR="008A16F4" w:rsidRPr="00FF2880" w:rsidRDefault="008A16F4" w:rsidP="00A70E99">
            <w:pPr>
              <w:spacing w:line="360" w:lineRule="auto"/>
              <w:jc w:val="right"/>
              <w:rPr>
                <w:rFonts w:ascii="Times" w:hAnsi="Times"/>
                <w:b/>
                <w:sz w:val="18"/>
                <w:szCs w:val="18"/>
              </w:rPr>
            </w:pPr>
            <w:r w:rsidRPr="00FF2880">
              <w:rPr>
                <w:rFonts w:ascii="Times" w:hAnsi="Times"/>
                <w:b/>
                <w:sz w:val="18"/>
                <w:szCs w:val="18"/>
              </w:rPr>
              <w:t>Anaemia</w:t>
            </w:r>
            <w:r>
              <w:rPr>
                <w:rFonts w:ascii="Times" w:hAnsi="Times"/>
                <w:b/>
                <w:sz w:val="18"/>
                <w:szCs w:val="18"/>
              </w:rPr>
              <w:t xml:space="preserve"> </w:t>
            </w:r>
          </w:p>
        </w:tc>
        <w:tc>
          <w:tcPr>
            <w:tcW w:w="1780" w:type="dxa"/>
            <w:tcBorders>
              <w:top w:val="single" w:sz="4" w:space="0" w:color="auto"/>
              <w:bottom w:val="single" w:sz="4" w:space="0" w:color="auto"/>
            </w:tcBorders>
            <w:vAlign w:val="center"/>
          </w:tcPr>
          <w:p w14:paraId="5BF76710" w14:textId="4A50D822" w:rsidR="008A16F4" w:rsidRPr="00FF2880" w:rsidRDefault="008A16F4" w:rsidP="00A70E99">
            <w:pPr>
              <w:spacing w:line="360" w:lineRule="auto"/>
              <w:jc w:val="right"/>
              <w:rPr>
                <w:rFonts w:ascii="Times" w:hAnsi="Times"/>
                <w:b/>
                <w:sz w:val="18"/>
                <w:szCs w:val="18"/>
              </w:rPr>
            </w:pPr>
            <w:r w:rsidRPr="00FF2880">
              <w:rPr>
                <w:rFonts w:ascii="Times" w:hAnsi="Times"/>
                <w:b/>
                <w:sz w:val="18"/>
                <w:szCs w:val="18"/>
              </w:rPr>
              <w:t>Neutropenia</w:t>
            </w:r>
          </w:p>
        </w:tc>
        <w:tc>
          <w:tcPr>
            <w:tcW w:w="1906" w:type="dxa"/>
            <w:tcBorders>
              <w:top w:val="single" w:sz="4" w:space="0" w:color="auto"/>
              <w:bottom w:val="single" w:sz="4" w:space="0" w:color="auto"/>
            </w:tcBorders>
            <w:vAlign w:val="center"/>
          </w:tcPr>
          <w:p w14:paraId="3D39C0FB" w14:textId="499C60D0" w:rsidR="008A16F4" w:rsidRPr="00FF2880" w:rsidRDefault="008A16F4" w:rsidP="00A70E99">
            <w:pPr>
              <w:spacing w:line="360" w:lineRule="auto"/>
              <w:jc w:val="right"/>
              <w:rPr>
                <w:rFonts w:ascii="Times" w:hAnsi="Times"/>
                <w:b/>
                <w:sz w:val="18"/>
                <w:szCs w:val="18"/>
              </w:rPr>
            </w:pPr>
            <w:r w:rsidRPr="00FF2880">
              <w:rPr>
                <w:rFonts w:ascii="Times" w:hAnsi="Times"/>
                <w:b/>
                <w:sz w:val="18"/>
                <w:szCs w:val="18"/>
              </w:rPr>
              <w:t>Lymphopenia</w:t>
            </w:r>
          </w:p>
        </w:tc>
      </w:tr>
      <w:tr w:rsidR="00533C34" w:rsidRPr="00FF2880" w14:paraId="280128D7" w14:textId="77777777" w:rsidTr="00A70E99">
        <w:tc>
          <w:tcPr>
            <w:tcW w:w="2689" w:type="dxa"/>
            <w:tcBorders>
              <w:top w:val="single" w:sz="4" w:space="0" w:color="auto"/>
            </w:tcBorders>
            <w:vAlign w:val="center"/>
          </w:tcPr>
          <w:p w14:paraId="6EA91869" w14:textId="56EB0150" w:rsidR="00533C34" w:rsidRPr="00FF2880" w:rsidRDefault="00533C34" w:rsidP="00533C34">
            <w:pPr>
              <w:spacing w:line="360" w:lineRule="auto"/>
              <w:rPr>
                <w:rFonts w:ascii="Times" w:hAnsi="Times"/>
                <w:sz w:val="18"/>
                <w:szCs w:val="18"/>
              </w:rPr>
            </w:pPr>
            <w:r>
              <w:rPr>
                <w:color w:val="000000"/>
                <w:sz w:val="18"/>
                <w:szCs w:val="18"/>
              </w:rPr>
              <w:t>Number of individuals with at least one episode across follow-up</w:t>
            </w:r>
          </w:p>
        </w:tc>
        <w:tc>
          <w:tcPr>
            <w:tcW w:w="1842" w:type="dxa"/>
            <w:tcBorders>
              <w:top w:val="single" w:sz="4" w:space="0" w:color="auto"/>
            </w:tcBorders>
            <w:vAlign w:val="center"/>
          </w:tcPr>
          <w:p w14:paraId="57AF65F1" w14:textId="65AD053A" w:rsidR="00533C34" w:rsidRPr="00FF2880" w:rsidRDefault="00533C34" w:rsidP="00533C34">
            <w:pPr>
              <w:spacing w:line="360" w:lineRule="auto"/>
              <w:jc w:val="right"/>
              <w:rPr>
                <w:rFonts w:ascii="Times" w:hAnsi="Times"/>
                <w:sz w:val="18"/>
                <w:szCs w:val="18"/>
              </w:rPr>
            </w:pPr>
            <w:r>
              <w:rPr>
                <w:color w:val="000000"/>
                <w:sz w:val="18"/>
                <w:szCs w:val="18"/>
              </w:rPr>
              <w:t>2,220</w:t>
            </w:r>
          </w:p>
        </w:tc>
        <w:tc>
          <w:tcPr>
            <w:tcW w:w="1780" w:type="dxa"/>
            <w:tcBorders>
              <w:top w:val="single" w:sz="4" w:space="0" w:color="auto"/>
            </w:tcBorders>
            <w:vAlign w:val="center"/>
          </w:tcPr>
          <w:p w14:paraId="7EE6C17D" w14:textId="723F3D59" w:rsidR="00533C34" w:rsidRDefault="00533C34" w:rsidP="00533C34">
            <w:pPr>
              <w:spacing w:line="360" w:lineRule="auto"/>
              <w:jc w:val="right"/>
              <w:rPr>
                <w:rFonts w:ascii="Times" w:hAnsi="Times"/>
                <w:sz w:val="18"/>
                <w:szCs w:val="18"/>
              </w:rPr>
            </w:pPr>
            <w:r>
              <w:rPr>
                <w:color w:val="000000"/>
                <w:sz w:val="18"/>
                <w:szCs w:val="18"/>
              </w:rPr>
              <w:t>259</w:t>
            </w:r>
          </w:p>
        </w:tc>
        <w:tc>
          <w:tcPr>
            <w:tcW w:w="1906" w:type="dxa"/>
            <w:tcBorders>
              <w:top w:val="single" w:sz="4" w:space="0" w:color="auto"/>
            </w:tcBorders>
            <w:vAlign w:val="center"/>
          </w:tcPr>
          <w:p w14:paraId="7599CAAC" w14:textId="3F9FE520" w:rsidR="00533C34" w:rsidRPr="00FF2880" w:rsidRDefault="00533C34" w:rsidP="00533C34">
            <w:pPr>
              <w:spacing w:line="360" w:lineRule="auto"/>
              <w:jc w:val="right"/>
              <w:rPr>
                <w:rFonts w:ascii="Times" w:hAnsi="Times"/>
                <w:sz w:val="18"/>
                <w:szCs w:val="18"/>
              </w:rPr>
            </w:pPr>
            <w:r>
              <w:rPr>
                <w:color w:val="000000"/>
                <w:sz w:val="18"/>
                <w:szCs w:val="18"/>
              </w:rPr>
              <w:t>562</w:t>
            </w:r>
          </w:p>
        </w:tc>
      </w:tr>
      <w:tr w:rsidR="00533C34" w:rsidRPr="00FF2880" w14:paraId="221D05EF" w14:textId="77777777" w:rsidTr="00A70E99">
        <w:tc>
          <w:tcPr>
            <w:tcW w:w="2689" w:type="dxa"/>
            <w:vAlign w:val="center"/>
          </w:tcPr>
          <w:p w14:paraId="16CAEDD9" w14:textId="06744D77" w:rsidR="00533C34" w:rsidRPr="00FF2880" w:rsidRDefault="00533C34" w:rsidP="00533C34">
            <w:pPr>
              <w:spacing w:line="360" w:lineRule="auto"/>
              <w:rPr>
                <w:rFonts w:ascii="Times" w:hAnsi="Times"/>
                <w:sz w:val="18"/>
                <w:szCs w:val="18"/>
              </w:rPr>
            </w:pPr>
            <w:r>
              <w:rPr>
                <w:color w:val="000000"/>
                <w:sz w:val="18"/>
                <w:szCs w:val="18"/>
              </w:rPr>
              <w:t>Unadjusted hazard ratio (95% CI)</w:t>
            </w:r>
          </w:p>
        </w:tc>
        <w:tc>
          <w:tcPr>
            <w:tcW w:w="1842" w:type="dxa"/>
            <w:vAlign w:val="center"/>
          </w:tcPr>
          <w:p w14:paraId="3A7C315D" w14:textId="6E426161" w:rsidR="00533C34" w:rsidRPr="00FF2880" w:rsidRDefault="00533C34" w:rsidP="00533C34">
            <w:pPr>
              <w:spacing w:line="360" w:lineRule="auto"/>
              <w:jc w:val="right"/>
              <w:rPr>
                <w:rFonts w:ascii="Times" w:hAnsi="Times"/>
                <w:sz w:val="18"/>
                <w:szCs w:val="18"/>
              </w:rPr>
            </w:pPr>
            <w:r>
              <w:rPr>
                <w:color w:val="000000"/>
                <w:sz w:val="18"/>
                <w:szCs w:val="18"/>
              </w:rPr>
              <w:t>1.13 (1.04-1.24)</w:t>
            </w:r>
          </w:p>
        </w:tc>
        <w:tc>
          <w:tcPr>
            <w:tcW w:w="1780" w:type="dxa"/>
            <w:vAlign w:val="center"/>
          </w:tcPr>
          <w:p w14:paraId="497E8984" w14:textId="70B47554" w:rsidR="00533C34" w:rsidRDefault="00533C34" w:rsidP="00533C34">
            <w:pPr>
              <w:spacing w:line="360" w:lineRule="auto"/>
              <w:jc w:val="right"/>
              <w:rPr>
                <w:rFonts w:ascii="Times" w:hAnsi="Times"/>
                <w:sz w:val="18"/>
                <w:szCs w:val="18"/>
              </w:rPr>
            </w:pPr>
            <w:r>
              <w:rPr>
                <w:color w:val="000000"/>
                <w:sz w:val="18"/>
                <w:szCs w:val="18"/>
              </w:rPr>
              <w:t>1.10 (0.74-1.63)</w:t>
            </w:r>
          </w:p>
        </w:tc>
        <w:tc>
          <w:tcPr>
            <w:tcW w:w="1906" w:type="dxa"/>
            <w:vAlign w:val="center"/>
          </w:tcPr>
          <w:p w14:paraId="166E576F" w14:textId="7C245DB4" w:rsidR="00533C34" w:rsidRPr="00FF2880" w:rsidRDefault="00533C34" w:rsidP="00533C34">
            <w:pPr>
              <w:spacing w:line="360" w:lineRule="auto"/>
              <w:jc w:val="right"/>
              <w:rPr>
                <w:rFonts w:ascii="Times" w:hAnsi="Times"/>
                <w:sz w:val="18"/>
                <w:szCs w:val="18"/>
              </w:rPr>
            </w:pPr>
            <w:r>
              <w:rPr>
                <w:color w:val="000000"/>
                <w:sz w:val="18"/>
                <w:szCs w:val="18"/>
              </w:rPr>
              <w:t>1.46 (1.17-1.81)</w:t>
            </w:r>
          </w:p>
        </w:tc>
      </w:tr>
      <w:tr w:rsidR="00533C34" w:rsidRPr="00FF2880" w14:paraId="0FA9C7D3" w14:textId="77777777" w:rsidTr="00A70E99">
        <w:tc>
          <w:tcPr>
            <w:tcW w:w="2689" w:type="dxa"/>
            <w:vAlign w:val="center"/>
          </w:tcPr>
          <w:p w14:paraId="4E7955AD" w14:textId="4C779126" w:rsidR="00533C34" w:rsidRPr="00FF2880" w:rsidRDefault="00533C34" w:rsidP="00533C34">
            <w:pPr>
              <w:spacing w:line="360" w:lineRule="auto"/>
              <w:rPr>
                <w:rFonts w:ascii="Times" w:hAnsi="Times"/>
                <w:sz w:val="18"/>
                <w:szCs w:val="18"/>
              </w:rPr>
            </w:pPr>
            <w:r>
              <w:rPr>
                <w:color w:val="000000"/>
                <w:sz w:val="18"/>
                <w:szCs w:val="18"/>
              </w:rPr>
              <w:t>Adjusted hazard ratio (95% CI)</w:t>
            </w:r>
            <w:r w:rsidRPr="00105C68">
              <w:rPr>
                <w:color w:val="000000"/>
                <w:sz w:val="18"/>
                <w:szCs w:val="18"/>
                <w:vertAlign w:val="superscript"/>
              </w:rPr>
              <w:t>a</w:t>
            </w:r>
          </w:p>
        </w:tc>
        <w:tc>
          <w:tcPr>
            <w:tcW w:w="1842" w:type="dxa"/>
            <w:vAlign w:val="center"/>
          </w:tcPr>
          <w:p w14:paraId="53E570C9" w14:textId="19551D5C" w:rsidR="00533C34" w:rsidRPr="00FF2880" w:rsidRDefault="00533C34" w:rsidP="00533C34">
            <w:pPr>
              <w:spacing w:line="360" w:lineRule="auto"/>
              <w:jc w:val="right"/>
              <w:rPr>
                <w:rFonts w:ascii="Times" w:hAnsi="Times"/>
                <w:sz w:val="18"/>
                <w:szCs w:val="18"/>
              </w:rPr>
            </w:pPr>
            <w:r>
              <w:rPr>
                <w:color w:val="000000"/>
                <w:sz w:val="18"/>
                <w:szCs w:val="18"/>
              </w:rPr>
              <w:t>1.21 (1.10-1.33)</w:t>
            </w:r>
          </w:p>
        </w:tc>
        <w:tc>
          <w:tcPr>
            <w:tcW w:w="1780" w:type="dxa"/>
            <w:vAlign w:val="center"/>
          </w:tcPr>
          <w:p w14:paraId="24249F1F" w14:textId="4B50731F" w:rsidR="00533C34" w:rsidRDefault="00533C34" w:rsidP="00533C34">
            <w:pPr>
              <w:spacing w:line="360" w:lineRule="auto"/>
              <w:jc w:val="right"/>
              <w:rPr>
                <w:rFonts w:ascii="Times" w:hAnsi="Times"/>
                <w:sz w:val="18"/>
                <w:szCs w:val="18"/>
              </w:rPr>
            </w:pPr>
            <w:r>
              <w:rPr>
                <w:color w:val="000000"/>
                <w:sz w:val="18"/>
                <w:szCs w:val="18"/>
              </w:rPr>
              <w:t>1.19 (0.80-1.76)</w:t>
            </w:r>
          </w:p>
        </w:tc>
        <w:tc>
          <w:tcPr>
            <w:tcW w:w="1906" w:type="dxa"/>
            <w:vAlign w:val="center"/>
          </w:tcPr>
          <w:p w14:paraId="2BF92268" w14:textId="658A3585" w:rsidR="00533C34" w:rsidRPr="00FF2880" w:rsidRDefault="00533C34" w:rsidP="00533C34">
            <w:pPr>
              <w:spacing w:line="360" w:lineRule="auto"/>
              <w:jc w:val="right"/>
              <w:rPr>
                <w:rFonts w:ascii="Times" w:hAnsi="Times"/>
                <w:sz w:val="18"/>
                <w:szCs w:val="18"/>
              </w:rPr>
            </w:pPr>
            <w:r>
              <w:rPr>
                <w:color w:val="000000"/>
                <w:sz w:val="18"/>
                <w:szCs w:val="18"/>
              </w:rPr>
              <w:t>1.39 (1.12-1.73)</w:t>
            </w:r>
          </w:p>
        </w:tc>
      </w:tr>
    </w:tbl>
    <w:p w14:paraId="687BA061" w14:textId="19B7EC49" w:rsidR="00CB7998" w:rsidRPr="0008525C" w:rsidRDefault="00105C68" w:rsidP="00CB7998">
      <w:pPr>
        <w:spacing w:line="360" w:lineRule="auto"/>
        <w:rPr>
          <w:rFonts w:ascii="Times" w:hAnsi="Times"/>
          <w:sz w:val="18"/>
          <w:szCs w:val="18"/>
        </w:rPr>
      </w:pPr>
      <w:proofErr w:type="spellStart"/>
      <w:r w:rsidRPr="00105C68">
        <w:rPr>
          <w:rFonts w:ascii="Times" w:hAnsi="Times"/>
          <w:sz w:val="18"/>
          <w:szCs w:val="18"/>
          <w:vertAlign w:val="superscript"/>
        </w:rPr>
        <w:t>a</w:t>
      </w:r>
      <w:proofErr w:type="spellEnd"/>
      <w:r w:rsidR="00CB7998">
        <w:rPr>
          <w:rFonts w:ascii="Times" w:hAnsi="Times"/>
          <w:sz w:val="18"/>
          <w:szCs w:val="18"/>
        </w:rPr>
        <w:t xml:space="preserve"> </w:t>
      </w:r>
      <w:r w:rsidR="00CB7998" w:rsidRPr="0008525C">
        <w:rPr>
          <w:rFonts w:ascii="Times" w:hAnsi="Times"/>
          <w:sz w:val="18"/>
          <w:szCs w:val="18"/>
        </w:rPr>
        <w:t>adjusted for age, sex, ethnicity (white/missing or non-white), and baseline measures of</w:t>
      </w:r>
      <w:r w:rsidR="00B57EB8">
        <w:rPr>
          <w:rFonts w:ascii="Times" w:hAnsi="Times"/>
          <w:sz w:val="18"/>
          <w:szCs w:val="18"/>
        </w:rPr>
        <w:t xml:space="preserve"> other haematological measures,</w:t>
      </w:r>
      <w:r w:rsidR="00CB7998" w:rsidRPr="0008525C">
        <w:rPr>
          <w:rFonts w:ascii="Times" w:hAnsi="Times"/>
          <w:sz w:val="18"/>
          <w:szCs w:val="18"/>
        </w:rPr>
        <w:t xml:space="preserve"> BMI</w:t>
      </w:r>
      <w:r w:rsidR="00EE6640">
        <w:rPr>
          <w:rFonts w:ascii="Times" w:hAnsi="Times"/>
          <w:sz w:val="18"/>
          <w:szCs w:val="18"/>
        </w:rPr>
        <w:t xml:space="preserve"> category</w:t>
      </w:r>
      <w:r w:rsidR="00CB7998" w:rsidRPr="0008525C">
        <w:rPr>
          <w:rFonts w:ascii="Times" w:hAnsi="Times"/>
          <w:sz w:val="18"/>
          <w:szCs w:val="18"/>
        </w:rPr>
        <w:t xml:space="preserve"> (&lt; 18.5  underweight, 18.5-24.9  normal weight,  25.0-29.9  overweight, 30.0-34.9  class I obesity, 35.0-39.9 class II obesity, ≥40.0 class III obesity, missing), smoking status (</w:t>
      </w:r>
      <w:r w:rsidR="0064554F">
        <w:rPr>
          <w:rFonts w:ascii="Times" w:hAnsi="Times"/>
          <w:sz w:val="18"/>
          <w:szCs w:val="18"/>
        </w:rPr>
        <w:t>never, current, former</w:t>
      </w:r>
      <w:r w:rsidR="00CB7998" w:rsidRPr="0008525C">
        <w:rPr>
          <w:rFonts w:ascii="Times" w:hAnsi="Times"/>
          <w:sz w:val="18"/>
          <w:szCs w:val="18"/>
        </w:rPr>
        <w:t xml:space="preserve">, missing), </w:t>
      </w:r>
      <w:proofErr w:type="spellStart"/>
      <w:r w:rsidR="00CB7998" w:rsidRPr="0008525C">
        <w:rPr>
          <w:rFonts w:ascii="Times" w:hAnsi="Times"/>
          <w:sz w:val="18"/>
          <w:szCs w:val="18"/>
        </w:rPr>
        <w:t>seropositivity</w:t>
      </w:r>
      <w:proofErr w:type="spellEnd"/>
      <w:r w:rsidR="00CB7998" w:rsidRPr="0008525C">
        <w:rPr>
          <w:rFonts w:ascii="Times" w:hAnsi="Times"/>
          <w:sz w:val="18"/>
          <w:szCs w:val="18"/>
        </w:rPr>
        <w:t xml:space="preserve"> (presence of rheumatoid factor or anti </w:t>
      </w:r>
      <w:proofErr w:type="spellStart"/>
      <w:r w:rsidR="00CB7998" w:rsidRPr="0008525C">
        <w:rPr>
          <w:rFonts w:ascii="Times" w:hAnsi="Times"/>
          <w:sz w:val="18"/>
          <w:szCs w:val="18"/>
        </w:rPr>
        <w:t>citrullinated</w:t>
      </w:r>
      <w:proofErr w:type="spellEnd"/>
      <w:r w:rsidR="00CB7998" w:rsidRPr="0008525C">
        <w:rPr>
          <w:rFonts w:ascii="Times" w:hAnsi="Times"/>
          <w:sz w:val="18"/>
          <w:szCs w:val="18"/>
        </w:rPr>
        <w:t xml:space="preserve"> protein [CCP] antibodies), medication use and comorbidities (see Table 1).</w:t>
      </w:r>
    </w:p>
    <w:p w14:paraId="110425B2" w14:textId="77777777" w:rsidR="002B5D7D" w:rsidRDefault="002B5D7D" w:rsidP="008C1377">
      <w:pPr>
        <w:spacing w:line="360" w:lineRule="auto"/>
        <w:jc w:val="both"/>
        <w:rPr>
          <w:rFonts w:ascii="Times" w:hAnsi="Times"/>
          <w:b/>
        </w:rPr>
      </w:pPr>
    </w:p>
    <w:p w14:paraId="1E76799B" w14:textId="77777777" w:rsidR="00F64D01" w:rsidRDefault="00F64D01">
      <w:pPr>
        <w:rPr>
          <w:rFonts w:ascii="Times" w:hAnsi="Times"/>
          <w:b/>
        </w:rPr>
      </w:pPr>
      <w:r>
        <w:rPr>
          <w:rFonts w:ascii="Times" w:hAnsi="Times"/>
          <w:b/>
        </w:rPr>
        <w:br w:type="page"/>
      </w:r>
    </w:p>
    <w:p w14:paraId="4BFE4FC1" w14:textId="7A18A4C8" w:rsidR="00FF2880" w:rsidRDefault="00FF2880" w:rsidP="008C1377">
      <w:pPr>
        <w:spacing w:line="360" w:lineRule="auto"/>
        <w:jc w:val="both"/>
        <w:rPr>
          <w:rFonts w:ascii="Times" w:hAnsi="Times"/>
          <w:b/>
        </w:rPr>
      </w:pPr>
      <w:r>
        <w:rPr>
          <w:rFonts w:ascii="Times" w:hAnsi="Times"/>
          <w:b/>
        </w:rPr>
        <w:lastRenderedPageBreak/>
        <w:t xml:space="preserve">Table </w:t>
      </w:r>
      <w:r w:rsidR="00B22D7D">
        <w:rPr>
          <w:rFonts w:ascii="Times" w:hAnsi="Times"/>
          <w:b/>
        </w:rPr>
        <w:t>5</w:t>
      </w:r>
      <w:r>
        <w:rPr>
          <w:rFonts w:ascii="Times" w:hAnsi="Times"/>
          <w:b/>
        </w:rPr>
        <w:t xml:space="preserve">. </w:t>
      </w:r>
      <w:r w:rsidR="00FD1957">
        <w:rPr>
          <w:rFonts w:ascii="Times" w:hAnsi="Times"/>
          <w:b/>
        </w:rPr>
        <w:t>H</w:t>
      </w:r>
      <w:r>
        <w:rPr>
          <w:rFonts w:ascii="Times" w:hAnsi="Times"/>
          <w:b/>
        </w:rPr>
        <w:t>azard ratios of infection outcomes by vaccination status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62"/>
        <w:gridCol w:w="1834"/>
        <w:gridCol w:w="1835"/>
        <w:gridCol w:w="1835"/>
        <w:gridCol w:w="1835"/>
      </w:tblGrid>
      <w:tr w:rsidR="00FF2880" w:rsidRPr="00FF2880" w14:paraId="22CF1BB3" w14:textId="77777777" w:rsidTr="001077DA">
        <w:tc>
          <w:tcPr>
            <w:tcW w:w="0" w:type="auto"/>
            <w:tcBorders>
              <w:top w:val="single" w:sz="4" w:space="0" w:color="auto"/>
              <w:bottom w:val="nil"/>
              <w:right w:val="single" w:sz="4" w:space="0" w:color="auto"/>
            </w:tcBorders>
          </w:tcPr>
          <w:p w14:paraId="6B6DC1FF" w14:textId="77777777" w:rsidR="00FF2880" w:rsidRPr="00FF2880" w:rsidRDefault="00FF2880" w:rsidP="003416EB">
            <w:pPr>
              <w:spacing w:line="360" w:lineRule="auto"/>
              <w:jc w:val="both"/>
              <w:rPr>
                <w:rFonts w:ascii="Times" w:hAnsi="Times"/>
                <w:b/>
                <w:sz w:val="18"/>
                <w:szCs w:val="18"/>
              </w:rPr>
            </w:pPr>
          </w:p>
        </w:tc>
        <w:tc>
          <w:tcPr>
            <w:tcW w:w="3669" w:type="dxa"/>
            <w:gridSpan w:val="2"/>
            <w:tcBorders>
              <w:top w:val="single" w:sz="4" w:space="0" w:color="auto"/>
              <w:left w:val="single" w:sz="4" w:space="0" w:color="auto"/>
              <w:bottom w:val="nil"/>
            </w:tcBorders>
            <w:vAlign w:val="center"/>
          </w:tcPr>
          <w:p w14:paraId="75305F8A" w14:textId="04DADBA0" w:rsidR="00FF2880" w:rsidRPr="00FF2880" w:rsidRDefault="00FF2880" w:rsidP="001077DA">
            <w:pPr>
              <w:spacing w:line="360" w:lineRule="auto"/>
              <w:jc w:val="center"/>
              <w:rPr>
                <w:rFonts w:ascii="Times" w:hAnsi="Times"/>
                <w:b/>
                <w:sz w:val="18"/>
                <w:szCs w:val="18"/>
              </w:rPr>
            </w:pPr>
            <w:r>
              <w:rPr>
                <w:rFonts w:ascii="Times" w:hAnsi="Times"/>
                <w:b/>
                <w:sz w:val="18"/>
                <w:szCs w:val="18"/>
              </w:rPr>
              <w:t>No RA</w:t>
            </w:r>
            <w:r w:rsidR="002D3820">
              <w:rPr>
                <w:rFonts w:ascii="Times" w:hAnsi="Times"/>
                <w:b/>
                <w:sz w:val="18"/>
                <w:szCs w:val="18"/>
              </w:rPr>
              <w:t xml:space="preserve"> (n=3699)</w:t>
            </w:r>
          </w:p>
        </w:tc>
        <w:tc>
          <w:tcPr>
            <w:tcW w:w="3670" w:type="dxa"/>
            <w:gridSpan w:val="2"/>
            <w:tcBorders>
              <w:top w:val="single" w:sz="4" w:space="0" w:color="auto"/>
              <w:bottom w:val="nil"/>
            </w:tcBorders>
            <w:vAlign w:val="center"/>
          </w:tcPr>
          <w:p w14:paraId="0D5C239E" w14:textId="45DB4FBA" w:rsidR="00FF2880" w:rsidRPr="00FF2880" w:rsidRDefault="00FF2880" w:rsidP="001077DA">
            <w:pPr>
              <w:spacing w:line="360" w:lineRule="auto"/>
              <w:jc w:val="center"/>
              <w:rPr>
                <w:rFonts w:ascii="Times" w:hAnsi="Times"/>
                <w:b/>
                <w:sz w:val="18"/>
                <w:szCs w:val="18"/>
              </w:rPr>
            </w:pPr>
            <w:r>
              <w:rPr>
                <w:rFonts w:ascii="Times" w:hAnsi="Times"/>
                <w:b/>
                <w:sz w:val="18"/>
                <w:szCs w:val="18"/>
              </w:rPr>
              <w:t>RA</w:t>
            </w:r>
            <w:r w:rsidR="002D3820">
              <w:rPr>
                <w:rFonts w:ascii="Times" w:hAnsi="Times"/>
                <w:b/>
                <w:sz w:val="18"/>
                <w:szCs w:val="18"/>
              </w:rPr>
              <w:t xml:space="preserve"> (n=3699)</w:t>
            </w:r>
          </w:p>
        </w:tc>
      </w:tr>
      <w:tr w:rsidR="00FF2880" w:rsidRPr="00FF2880" w14:paraId="4FA813AC" w14:textId="77777777" w:rsidTr="001077DA">
        <w:tc>
          <w:tcPr>
            <w:tcW w:w="0" w:type="auto"/>
            <w:tcBorders>
              <w:top w:val="nil"/>
              <w:bottom w:val="single" w:sz="4" w:space="0" w:color="auto"/>
              <w:right w:val="single" w:sz="4" w:space="0" w:color="auto"/>
            </w:tcBorders>
          </w:tcPr>
          <w:p w14:paraId="0A588645" w14:textId="77777777" w:rsidR="00FF2880" w:rsidRPr="00FF2880" w:rsidRDefault="00FF2880" w:rsidP="003416EB">
            <w:pPr>
              <w:spacing w:line="360" w:lineRule="auto"/>
              <w:jc w:val="both"/>
              <w:rPr>
                <w:rFonts w:ascii="Times" w:hAnsi="Times"/>
                <w:b/>
                <w:sz w:val="18"/>
                <w:szCs w:val="18"/>
              </w:rPr>
            </w:pPr>
          </w:p>
        </w:tc>
        <w:tc>
          <w:tcPr>
            <w:tcW w:w="1834" w:type="dxa"/>
            <w:tcBorders>
              <w:top w:val="nil"/>
              <w:left w:val="single" w:sz="4" w:space="0" w:color="auto"/>
              <w:bottom w:val="single" w:sz="4" w:space="0" w:color="auto"/>
            </w:tcBorders>
            <w:vAlign w:val="center"/>
          </w:tcPr>
          <w:p w14:paraId="0123C595" w14:textId="3F78743F" w:rsidR="00FF2880" w:rsidRPr="00FF2880" w:rsidRDefault="00FF2880" w:rsidP="001077DA">
            <w:pPr>
              <w:spacing w:line="360" w:lineRule="auto"/>
              <w:jc w:val="right"/>
              <w:rPr>
                <w:rFonts w:ascii="Times" w:hAnsi="Times"/>
                <w:b/>
                <w:sz w:val="18"/>
                <w:szCs w:val="18"/>
              </w:rPr>
            </w:pPr>
            <w:r>
              <w:rPr>
                <w:rFonts w:ascii="Times" w:hAnsi="Times"/>
                <w:b/>
                <w:sz w:val="18"/>
                <w:szCs w:val="18"/>
              </w:rPr>
              <w:t>Not vaccinated</w:t>
            </w:r>
          </w:p>
        </w:tc>
        <w:tc>
          <w:tcPr>
            <w:tcW w:w="1835" w:type="dxa"/>
            <w:tcBorders>
              <w:top w:val="nil"/>
              <w:bottom w:val="single" w:sz="4" w:space="0" w:color="auto"/>
            </w:tcBorders>
            <w:vAlign w:val="center"/>
          </w:tcPr>
          <w:p w14:paraId="545FA7AA" w14:textId="0DA60794" w:rsidR="00FF2880" w:rsidRPr="00FF2880" w:rsidRDefault="00FF2880" w:rsidP="001077DA">
            <w:pPr>
              <w:spacing w:line="360" w:lineRule="auto"/>
              <w:jc w:val="right"/>
              <w:rPr>
                <w:rFonts w:ascii="Times" w:hAnsi="Times"/>
                <w:b/>
                <w:sz w:val="18"/>
                <w:szCs w:val="18"/>
              </w:rPr>
            </w:pPr>
            <w:r>
              <w:rPr>
                <w:rFonts w:ascii="Times" w:hAnsi="Times"/>
                <w:b/>
                <w:sz w:val="18"/>
                <w:szCs w:val="18"/>
              </w:rPr>
              <w:t>Vaccinated</w:t>
            </w:r>
          </w:p>
        </w:tc>
        <w:tc>
          <w:tcPr>
            <w:tcW w:w="1835" w:type="dxa"/>
            <w:tcBorders>
              <w:top w:val="nil"/>
              <w:bottom w:val="single" w:sz="4" w:space="0" w:color="auto"/>
            </w:tcBorders>
            <w:vAlign w:val="center"/>
          </w:tcPr>
          <w:p w14:paraId="74B009FC" w14:textId="26C8628B" w:rsidR="00FF2880" w:rsidRPr="00FF2880" w:rsidRDefault="00FF2880" w:rsidP="001077DA">
            <w:pPr>
              <w:spacing w:line="360" w:lineRule="auto"/>
              <w:jc w:val="right"/>
              <w:rPr>
                <w:rFonts w:ascii="Times" w:hAnsi="Times"/>
                <w:b/>
                <w:sz w:val="18"/>
                <w:szCs w:val="18"/>
              </w:rPr>
            </w:pPr>
            <w:r>
              <w:rPr>
                <w:rFonts w:ascii="Times" w:hAnsi="Times"/>
                <w:b/>
                <w:sz w:val="18"/>
                <w:szCs w:val="18"/>
              </w:rPr>
              <w:t>Not vaccinated</w:t>
            </w:r>
          </w:p>
        </w:tc>
        <w:tc>
          <w:tcPr>
            <w:tcW w:w="1835" w:type="dxa"/>
            <w:tcBorders>
              <w:top w:val="nil"/>
              <w:bottom w:val="single" w:sz="4" w:space="0" w:color="auto"/>
            </w:tcBorders>
            <w:vAlign w:val="center"/>
          </w:tcPr>
          <w:p w14:paraId="207BFD10" w14:textId="7571B896" w:rsidR="00FF2880" w:rsidRPr="00FF2880" w:rsidRDefault="00FF2880" w:rsidP="001077DA">
            <w:pPr>
              <w:spacing w:line="360" w:lineRule="auto"/>
              <w:jc w:val="right"/>
              <w:rPr>
                <w:rFonts w:ascii="Times" w:hAnsi="Times"/>
                <w:b/>
                <w:sz w:val="18"/>
                <w:szCs w:val="18"/>
              </w:rPr>
            </w:pPr>
            <w:r>
              <w:rPr>
                <w:rFonts w:ascii="Times" w:hAnsi="Times"/>
                <w:b/>
                <w:sz w:val="18"/>
                <w:szCs w:val="18"/>
              </w:rPr>
              <w:t>Vaccinated</w:t>
            </w:r>
          </w:p>
        </w:tc>
      </w:tr>
      <w:tr w:rsidR="002B5D7D" w:rsidRPr="00FF2880" w14:paraId="2D5E8198" w14:textId="77777777" w:rsidTr="00114CDC">
        <w:trPr>
          <w:trHeight w:val="310"/>
        </w:trPr>
        <w:tc>
          <w:tcPr>
            <w:tcW w:w="0" w:type="auto"/>
            <w:tcBorders>
              <w:top w:val="single" w:sz="4" w:space="0" w:color="auto"/>
              <w:bottom w:val="nil"/>
              <w:right w:val="single" w:sz="4" w:space="0" w:color="auto"/>
            </w:tcBorders>
          </w:tcPr>
          <w:p w14:paraId="7E07848C" w14:textId="03A19105" w:rsidR="002B5D7D" w:rsidRPr="002B5D7D" w:rsidRDefault="002B5D7D" w:rsidP="003416EB">
            <w:pPr>
              <w:spacing w:line="360" w:lineRule="auto"/>
              <w:rPr>
                <w:rFonts w:ascii="Times" w:hAnsi="Times"/>
                <w:b/>
                <w:sz w:val="18"/>
                <w:szCs w:val="18"/>
              </w:rPr>
            </w:pPr>
            <w:r w:rsidRPr="002B5D7D">
              <w:rPr>
                <w:rFonts w:ascii="Times" w:hAnsi="Times"/>
                <w:b/>
                <w:sz w:val="18"/>
                <w:szCs w:val="18"/>
              </w:rPr>
              <w:t>Pneumonia vaccinations, n (%)</w:t>
            </w:r>
          </w:p>
        </w:tc>
        <w:tc>
          <w:tcPr>
            <w:tcW w:w="1834" w:type="dxa"/>
            <w:tcBorders>
              <w:top w:val="single" w:sz="4" w:space="0" w:color="auto"/>
              <w:left w:val="single" w:sz="4" w:space="0" w:color="auto"/>
              <w:bottom w:val="nil"/>
            </w:tcBorders>
            <w:vAlign w:val="center"/>
          </w:tcPr>
          <w:p w14:paraId="0174F19D" w14:textId="231B0C38" w:rsidR="002B5D7D" w:rsidRPr="00FF2880" w:rsidRDefault="002B5D7D" w:rsidP="001077DA">
            <w:pPr>
              <w:spacing w:line="360" w:lineRule="auto"/>
              <w:jc w:val="right"/>
              <w:rPr>
                <w:rFonts w:ascii="Times" w:hAnsi="Times"/>
                <w:sz w:val="18"/>
                <w:szCs w:val="18"/>
              </w:rPr>
            </w:pPr>
            <w:r w:rsidRPr="00F54AE4">
              <w:rPr>
                <w:rFonts w:ascii="Times" w:hAnsi="Times"/>
                <w:sz w:val="18"/>
                <w:szCs w:val="18"/>
              </w:rPr>
              <w:t>3239</w:t>
            </w:r>
            <w:r>
              <w:rPr>
                <w:rFonts w:ascii="Times" w:hAnsi="Times"/>
                <w:sz w:val="18"/>
                <w:szCs w:val="18"/>
              </w:rPr>
              <w:t xml:space="preserve"> (8</w:t>
            </w:r>
            <w:r w:rsidR="00FD1957">
              <w:rPr>
                <w:rFonts w:ascii="Times" w:hAnsi="Times"/>
                <w:sz w:val="18"/>
                <w:szCs w:val="18"/>
              </w:rPr>
              <w:t>8</w:t>
            </w:r>
            <w:r>
              <w:rPr>
                <w:rFonts w:ascii="Times" w:hAnsi="Times"/>
                <w:sz w:val="18"/>
                <w:szCs w:val="18"/>
              </w:rPr>
              <w:t>)</w:t>
            </w:r>
          </w:p>
        </w:tc>
        <w:tc>
          <w:tcPr>
            <w:tcW w:w="1835" w:type="dxa"/>
            <w:tcBorders>
              <w:top w:val="single" w:sz="4" w:space="0" w:color="auto"/>
              <w:bottom w:val="nil"/>
            </w:tcBorders>
            <w:vAlign w:val="center"/>
          </w:tcPr>
          <w:p w14:paraId="7E65C629" w14:textId="5FB085BA" w:rsidR="002B5D7D" w:rsidRPr="00FF2880" w:rsidRDefault="002B5D7D" w:rsidP="001077DA">
            <w:pPr>
              <w:spacing w:line="360" w:lineRule="auto"/>
              <w:jc w:val="right"/>
              <w:rPr>
                <w:rFonts w:ascii="Times" w:hAnsi="Times"/>
                <w:sz w:val="18"/>
                <w:szCs w:val="18"/>
              </w:rPr>
            </w:pPr>
            <w:r>
              <w:rPr>
                <w:rFonts w:ascii="Times" w:hAnsi="Times"/>
                <w:sz w:val="18"/>
                <w:szCs w:val="18"/>
              </w:rPr>
              <w:t>460 (</w:t>
            </w:r>
            <w:r w:rsidRPr="00F54AE4">
              <w:rPr>
                <w:rFonts w:ascii="Times" w:hAnsi="Times"/>
                <w:sz w:val="18"/>
                <w:szCs w:val="18"/>
              </w:rPr>
              <w:t>12)</w:t>
            </w:r>
          </w:p>
        </w:tc>
        <w:tc>
          <w:tcPr>
            <w:tcW w:w="1835" w:type="dxa"/>
            <w:tcBorders>
              <w:top w:val="single" w:sz="4" w:space="0" w:color="auto"/>
              <w:bottom w:val="nil"/>
            </w:tcBorders>
            <w:vAlign w:val="center"/>
          </w:tcPr>
          <w:p w14:paraId="21700098" w14:textId="1207120E" w:rsidR="002B5D7D" w:rsidRPr="00FF2880" w:rsidRDefault="002D3820" w:rsidP="001077DA">
            <w:pPr>
              <w:spacing w:line="360" w:lineRule="auto"/>
              <w:jc w:val="right"/>
              <w:rPr>
                <w:rFonts w:ascii="Times" w:hAnsi="Times"/>
                <w:sz w:val="18"/>
                <w:szCs w:val="18"/>
              </w:rPr>
            </w:pPr>
            <w:r>
              <w:rPr>
                <w:rFonts w:ascii="Times" w:hAnsi="Times"/>
                <w:sz w:val="18"/>
                <w:szCs w:val="18"/>
              </w:rPr>
              <w:t>3</w:t>
            </w:r>
            <w:r w:rsidR="002B5D7D">
              <w:rPr>
                <w:rFonts w:ascii="Times" w:hAnsi="Times"/>
                <w:sz w:val="18"/>
                <w:szCs w:val="18"/>
              </w:rPr>
              <w:t>093 (8</w:t>
            </w:r>
            <w:r w:rsidR="00FD1957">
              <w:rPr>
                <w:rFonts w:ascii="Times" w:hAnsi="Times"/>
                <w:sz w:val="18"/>
                <w:szCs w:val="18"/>
              </w:rPr>
              <w:t>4</w:t>
            </w:r>
            <w:r w:rsidR="002B5D7D">
              <w:rPr>
                <w:rFonts w:ascii="Times" w:hAnsi="Times"/>
                <w:sz w:val="18"/>
                <w:szCs w:val="18"/>
              </w:rPr>
              <w:t>)</w:t>
            </w:r>
          </w:p>
        </w:tc>
        <w:tc>
          <w:tcPr>
            <w:tcW w:w="1835" w:type="dxa"/>
            <w:tcBorders>
              <w:top w:val="single" w:sz="4" w:space="0" w:color="auto"/>
              <w:bottom w:val="nil"/>
            </w:tcBorders>
            <w:vAlign w:val="center"/>
          </w:tcPr>
          <w:p w14:paraId="60D3833C" w14:textId="344C62A0" w:rsidR="002B5D7D" w:rsidRPr="00FF2880" w:rsidRDefault="002B5D7D" w:rsidP="001077DA">
            <w:pPr>
              <w:spacing w:line="360" w:lineRule="auto"/>
              <w:jc w:val="right"/>
              <w:rPr>
                <w:rFonts w:ascii="Times" w:hAnsi="Times"/>
                <w:sz w:val="18"/>
                <w:szCs w:val="18"/>
              </w:rPr>
            </w:pPr>
            <w:r w:rsidRPr="00F54AE4">
              <w:rPr>
                <w:rFonts w:ascii="Times" w:hAnsi="Times"/>
                <w:sz w:val="18"/>
                <w:szCs w:val="18"/>
              </w:rPr>
              <w:t>606 (16)</w:t>
            </w:r>
          </w:p>
        </w:tc>
      </w:tr>
      <w:tr w:rsidR="002B5D7D" w:rsidRPr="00FF2880" w14:paraId="56212D3D" w14:textId="77777777" w:rsidTr="00114CDC">
        <w:trPr>
          <w:trHeight w:val="310"/>
        </w:trPr>
        <w:tc>
          <w:tcPr>
            <w:tcW w:w="0" w:type="auto"/>
            <w:tcBorders>
              <w:top w:val="nil"/>
              <w:bottom w:val="nil"/>
              <w:right w:val="single" w:sz="4" w:space="0" w:color="auto"/>
            </w:tcBorders>
          </w:tcPr>
          <w:p w14:paraId="1D9E742B" w14:textId="4A4CE95E" w:rsidR="002B5D7D" w:rsidRPr="002B5D7D" w:rsidRDefault="002B5D7D" w:rsidP="003416EB">
            <w:pPr>
              <w:spacing w:line="360" w:lineRule="auto"/>
              <w:rPr>
                <w:rFonts w:ascii="Times" w:hAnsi="Times"/>
                <w:b/>
                <w:sz w:val="18"/>
                <w:szCs w:val="18"/>
              </w:rPr>
            </w:pPr>
            <w:r w:rsidRPr="002B5D7D">
              <w:rPr>
                <w:rFonts w:ascii="Times" w:hAnsi="Times"/>
                <w:b/>
                <w:sz w:val="18"/>
                <w:szCs w:val="18"/>
              </w:rPr>
              <w:t>Pneumonia events, n (%)</w:t>
            </w:r>
          </w:p>
        </w:tc>
        <w:tc>
          <w:tcPr>
            <w:tcW w:w="1834" w:type="dxa"/>
            <w:tcBorders>
              <w:top w:val="nil"/>
              <w:left w:val="single" w:sz="4" w:space="0" w:color="auto"/>
              <w:bottom w:val="nil"/>
            </w:tcBorders>
            <w:vAlign w:val="center"/>
          </w:tcPr>
          <w:p w14:paraId="62DB6831" w14:textId="71706F29" w:rsidR="002B5D7D" w:rsidRPr="00FF2880" w:rsidRDefault="002B5D7D" w:rsidP="001077DA">
            <w:pPr>
              <w:spacing w:line="360" w:lineRule="auto"/>
              <w:jc w:val="right"/>
              <w:rPr>
                <w:rFonts w:ascii="Times" w:hAnsi="Times"/>
                <w:sz w:val="18"/>
                <w:szCs w:val="18"/>
              </w:rPr>
            </w:pPr>
            <w:r>
              <w:rPr>
                <w:rFonts w:ascii="Times" w:hAnsi="Times"/>
                <w:sz w:val="18"/>
                <w:szCs w:val="18"/>
              </w:rPr>
              <w:t>30 (</w:t>
            </w:r>
            <w:r w:rsidR="00FD1957">
              <w:rPr>
                <w:rFonts w:ascii="Times" w:hAnsi="Times"/>
                <w:sz w:val="18"/>
                <w:szCs w:val="18"/>
              </w:rPr>
              <w:t>1</w:t>
            </w:r>
            <w:r>
              <w:rPr>
                <w:rFonts w:ascii="Times" w:hAnsi="Times"/>
                <w:sz w:val="18"/>
                <w:szCs w:val="18"/>
              </w:rPr>
              <w:t>)</w:t>
            </w:r>
          </w:p>
        </w:tc>
        <w:tc>
          <w:tcPr>
            <w:tcW w:w="1835" w:type="dxa"/>
            <w:tcBorders>
              <w:top w:val="nil"/>
              <w:bottom w:val="nil"/>
            </w:tcBorders>
            <w:vAlign w:val="center"/>
          </w:tcPr>
          <w:p w14:paraId="16390016" w14:textId="01656C56" w:rsidR="002B5D7D" w:rsidRPr="00FF2880" w:rsidRDefault="002B5D7D" w:rsidP="001077DA">
            <w:pPr>
              <w:spacing w:line="360" w:lineRule="auto"/>
              <w:jc w:val="right"/>
              <w:rPr>
                <w:rFonts w:ascii="Times" w:hAnsi="Times"/>
                <w:sz w:val="18"/>
                <w:szCs w:val="18"/>
              </w:rPr>
            </w:pPr>
            <w:r>
              <w:rPr>
                <w:rFonts w:ascii="Times" w:hAnsi="Times"/>
                <w:sz w:val="18"/>
                <w:szCs w:val="18"/>
              </w:rPr>
              <w:t>12 (</w:t>
            </w:r>
            <w:r w:rsidR="00FD1957">
              <w:rPr>
                <w:rFonts w:ascii="Times" w:hAnsi="Times"/>
                <w:sz w:val="18"/>
                <w:szCs w:val="18"/>
              </w:rPr>
              <w:t>3</w:t>
            </w:r>
            <w:r>
              <w:rPr>
                <w:rFonts w:ascii="Times" w:hAnsi="Times"/>
                <w:sz w:val="18"/>
                <w:szCs w:val="18"/>
              </w:rPr>
              <w:t>)</w:t>
            </w:r>
          </w:p>
        </w:tc>
        <w:tc>
          <w:tcPr>
            <w:tcW w:w="1835" w:type="dxa"/>
            <w:tcBorders>
              <w:top w:val="nil"/>
              <w:bottom w:val="nil"/>
            </w:tcBorders>
            <w:vAlign w:val="center"/>
          </w:tcPr>
          <w:p w14:paraId="23C50F21" w14:textId="2AF9DD36" w:rsidR="002B5D7D" w:rsidRPr="00FF2880" w:rsidRDefault="002B5D7D" w:rsidP="001077DA">
            <w:pPr>
              <w:spacing w:line="360" w:lineRule="auto"/>
              <w:jc w:val="right"/>
              <w:rPr>
                <w:rFonts w:ascii="Times" w:hAnsi="Times"/>
                <w:sz w:val="18"/>
                <w:szCs w:val="18"/>
              </w:rPr>
            </w:pPr>
            <w:r>
              <w:rPr>
                <w:rFonts w:ascii="Times" w:hAnsi="Times"/>
                <w:sz w:val="18"/>
                <w:szCs w:val="18"/>
              </w:rPr>
              <w:t>88 (</w:t>
            </w:r>
            <w:r w:rsidR="00FD1957">
              <w:rPr>
                <w:rFonts w:ascii="Times" w:hAnsi="Times"/>
                <w:sz w:val="18"/>
                <w:szCs w:val="18"/>
              </w:rPr>
              <w:t>3</w:t>
            </w:r>
            <w:r>
              <w:rPr>
                <w:rFonts w:ascii="Times" w:hAnsi="Times"/>
                <w:sz w:val="18"/>
                <w:szCs w:val="18"/>
              </w:rPr>
              <w:t>)</w:t>
            </w:r>
          </w:p>
        </w:tc>
        <w:tc>
          <w:tcPr>
            <w:tcW w:w="1835" w:type="dxa"/>
            <w:tcBorders>
              <w:top w:val="nil"/>
              <w:bottom w:val="nil"/>
            </w:tcBorders>
            <w:vAlign w:val="center"/>
          </w:tcPr>
          <w:p w14:paraId="59E2353C" w14:textId="4EA81C69" w:rsidR="002B5D7D" w:rsidRPr="00FF2880" w:rsidRDefault="002B5D7D" w:rsidP="001077DA">
            <w:pPr>
              <w:spacing w:line="360" w:lineRule="auto"/>
              <w:jc w:val="right"/>
              <w:rPr>
                <w:rFonts w:ascii="Times" w:hAnsi="Times"/>
                <w:sz w:val="18"/>
                <w:szCs w:val="18"/>
              </w:rPr>
            </w:pPr>
            <w:r>
              <w:rPr>
                <w:rFonts w:ascii="Times" w:hAnsi="Times"/>
                <w:sz w:val="18"/>
                <w:szCs w:val="18"/>
              </w:rPr>
              <w:t>20 (3)</w:t>
            </w:r>
          </w:p>
        </w:tc>
      </w:tr>
      <w:tr w:rsidR="009D2623" w:rsidRPr="00FF2880" w14:paraId="033BF3AD" w14:textId="77777777" w:rsidTr="00114CDC">
        <w:trPr>
          <w:trHeight w:val="310"/>
        </w:trPr>
        <w:tc>
          <w:tcPr>
            <w:tcW w:w="0" w:type="auto"/>
            <w:tcBorders>
              <w:top w:val="nil"/>
              <w:bottom w:val="nil"/>
              <w:right w:val="single" w:sz="4" w:space="0" w:color="auto"/>
            </w:tcBorders>
          </w:tcPr>
          <w:p w14:paraId="70D19F74" w14:textId="2DFFF3C3" w:rsidR="009D2623" w:rsidRDefault="009D2623" w:rsidP="009D2623">
            <w:pPr>
              <w:spacing w:line="360" w:lineRule="auto"/>
              <w:rPr>
                <w:rFonts w:ascii="Times" w:hAnsi="Times"/>
                <w:sz w:val="18"/>
                <w:szCs w:val="18"/>
              </w:rPr>
            </w:pPr>
            <w:r>
              <w:rPr>
                <w:rFonts w:ascii="Times" w:hAnsi="Times"/>
                <w:sz w:val="18"/>
                <w:szCs w:val="18"/>
              </w:rPr>
              <w:t>Exposure-time (person-years)</w:t>
            </w:r>
          </w:p>
        </w:tc>
        <w:tc>
          <w:tcPr>
            <w:tcW w:w="1834" w:type="dxa"/>
            <w:tcBorders>
              <w:top w:val="nil"/>
              <w:left w:val="single" w:sz="4" w:space="0" w:color="auto"/>
              <w:bottom w:val="nil"/>
            </w:tcBorders>
          </w:tcPr>
          <w:p w14:paraId="34DF07E6" w14:textId="1C595FAE" w:rsidR="009D2623" w:rsidRPr="00BE5EBE" w:rsidRDefault="009D2623" w:rsidP="003F4A5E">
            <w:pPr>
              <w:spacing w:line="360" w:lineRule="auto"/>
              <w:jc w:val="right"/>
              <w:rPr>
                <w:rFonts w:ascii="Times" w:hAnsi="Times"/>
                <w:sz w:val="18"/>
                <w:szCs w:val="18"/>
              </w:rPr>
            </w:pPr>
            <w:r w:rsidRPr="00114CDC">
              <w:rPr>
                <w:rFonts w:ascii="Times" w:hAnsi="Times"/>
                <w:sz w:val="18"/>
                <w:szCs w:val="18"/>
              </w:rPr>
              <w:t>14401</w:t>
            </w:r>
          </w:p>
        </w:tc>
        <w:tc>
          <w:tcPr>
            <w:tcW w:w="1835" w:type="dxa"/>
            <w:tcBorders>
              <w:top w:val="nil"/>
              <w:bottom w:val="nil"/>
            </w:tcBorders>
          </w:tcPr>
          <w:p w14:paraId="6B3EC59D" w14:textId="2BB86124" w:rsidR="009D2623" w:rsidRPr="00BE5EBE" w:rsidRDefault="009D2623" w:rsidP="003F4A5E">
            <w:pPr>
              <w:spacing w:line="360" w:lineRule="auto"/>
              <w:jc w:val="right"/>
              <w:rPr>
                <w:rFonts w:ascii="Times" w:hAnsi="Times"/>
                <w:sz w:val="18"/>
                <w:szCs w:val="18"/>
              </w:rPr>
            </w:pPr>
            <w:r w:rsidRPr="00114CDC">
              <w:rPr>
                <w:rFonts w:ascii="Times" w:hAnsi="Times"/>
                <w:sz w:val="18"/>
                <w:szCs w:val="18"/>
              </w:rPr>
              <w:t>2032</w:t>
            </w:r>
          </w:p>
        </w:tc>
        <w:tc>
          <w:tcPr>
            <w:tcW w:w="1835" w:type="dxa"/>
            <w:tcBorders>
              <w:top w:val="nil"/>
              <w:bottom w:val="nil"/>
            </w:tcBorders>
          </w:tcPr>
          <w:p w14:paraId="623007AD" w14:textId="5B736E21" w:rsidR="009D2623" w:rsidRDefault="009D2623" w:rsidP="003F4A5E">
            <w:pPr>
              <w:spacing w:line="360" w:lineRule="auto"/>
              <w:jc w:val="right"/>
              <w:rPr>
                <w:rFonts w:ascii="Times" w:hAnsi="Times"/>
                <w:sz w:val="18"/>
                <w:szCs w:val="18"/>
              </w:rPr>
            </w:pPr>
            <w:r w:rsidRPr="00114CDC">
              <w:rPr>
                <w:rFonts w:ascii="Times" w:hAnsi="Times"/>
                <w:sz w:val="18"/>
                <w:szCs w:val="18"/>
              </w:rPr>
              <w:t>12780</w:t>
            </w:r>
          </w:p>
        </w:tc>
        <w:tc>
          <w:tcPr>
            <w:tcW w:w="1835" w:type="dxa"/>
            <w:tcBorders>
              <w:top w:val="nil"/>
              <w:bottom w:val="nil"/>
            </w:tcBorders>
          </w:tcPr>
          <w:p w14:paraId="67A36A90" w14:textId="7654CFD6" w:rsidR="009D2623" w:rsidRDefault="009D2623" w:rsidP="003F4A5E">
            <w:pPr>
              <w:spacing w:line="360" w:lineRule="auto"/>
              <w:jc w:val="right"/>
              <w:rPr>
                <w:rFonts w:ascii="Times" w:hAnsi="Times"/>
                <w:sz w:val="18"/>
                <w:szCs w:val="18"/>
              </w:rPr>
            </w:pPr>
            <w:r w:rsidRPr="00114CDC">
              <w:rPr>
                <w:rFonts w:ascii="Times" w:hAnsi="Times"/>
                <w:sz w:val="18"/>
                <w:szCs w:val="18"/>
              </w:rPr>
              <w:t>2601</w:t>
            </w:r>
          </w:p>
        </w:tc>
      </w:tr>
      <w:tr w:rsidR="002B5D7D" w:rsidRPr="00FF2880" w14:paraId="4F52B487" w14:textId="77777777" w:rsidTr="00114CDC">
        <w:trPr>
          <w:trHeight w:val="311"/>
        </w:trPr>
        <w:tc>
          <w:tcPr>
            <w:tcW w:w="0" w:type="auto"/>
            <w:tcBorders>
              <w:top w:val="nil"/>
              <w:bottom w:val="nil"/>
              <w:right w:val="single" w:sz="4" w:space="0" w:color="auto"/>
            </w:tcBorders>
          </w:tcPr>
          <w:p w14:paraId="51D17352" w14:textId="77777777" w:rsidR="002B5D7D" w:rsidRPr="00FF2880" w:rsidRDefault="002B5D7D" w:rsidP="003416EB">
            <w:pPr>
              <w:spacing w:line="360" w:lineRule="auto"/>
              <w:rPr>
                <w:rFonts w:ascii="Times" w:hAnsi="Times"/>
                <w:sz w:val="18"/>
                <w:szCs w:val="18"/>
              </w:rPr>
            </w:pPr>
            <w:r>
              <w:rPr>
                <w:rFonts w:ascii="Times" w:hAnsi="Times"/>
                <w:sz w:val="18"/>
                <w:szCs w:val="18"/>
              </w:rPr>
              <w:t>Event rate per 1000 person-years</w:t>
            </w:r>
          </w:p>
        </w:tc>
        <w:tc>
          <w:tcPr>
            <w:tcW w:w="1834" w:type="dxa"/>
            <w:tcBorders>
              <w:top w:val="nil"/>
              <w:left w:val="single" w:sz="4" w:space="0" w:color="auto"/>
              <w:bottom w:val="nil"/>
            </w:tcBorders>
            <w:vAlign w:val="center"/>
          </w:tcPr>
          <w:p w14:paraId="6B41FBC9" w14:textId="6C4114BA" w:rsidR="002B5D7D" w:rsidRPr="00FF2880" w:rsidRDefault="002B5D7D" w:rsidP="001077DA">
            <w:pPr>
              <w:spacing w:line="360" w:lineRule="auto"/>
              <w:jc w:val="right"/>
              <w:rPr>
                <w:rFonts w:ascii="Times" w:hAnsi="Times"/>
                <w:sz w:val="18"/>
                <w:szCs w:val="18"/>
              </w:rPr>
            </w:pPr>
            <w:r w:rsidRPr="00BE5EBE">
              <w:rPr>
                <w:rFonts w:ascii="Times" w:hAnsi="Times"/>
                <w:sz w:val="18"/>
                <w:szCs w:val="18"/>
              </w:rPr>
              <w:t>2.</w:t>
            </w:r>
            <w:r w:rsidR="00FD1957">
              <w:rPr>
                <w:rFonts w:ascii="Times" w:hAnsi="Times"/>
                <w:sz w:val="18"/>
                <w:szCs w:val="18"/>
              </w:rPr>
              <w:t>1</w:t>
            </w:r>
            <w:r>
              <w:rPr>
                <w:rFonts w:ascii="Times" w:hAnsi="Times"/>
                <w:sz w:val="18"/>
                <w:szCs w:val="18"/>
              </w:rPr>
              <w:t xml:space="preserve"> (1.4</w:t>
            </w:r>
            <w:r w:rsidRPr="00BE5EBE">
              <w:rPr>
                <w:rFonts w:ascii="Times" w:hAnsi="Times"/>
                <w:sz w:val="18"/>
                <w:szCs w:val="18"/>
              </w:rPr>
              <w:t>-</w:t>
            </w:r>
            <w:r w:rsidR="00FD1957">
              <w:rPr>
                <w:rFonts w:ascii="Times" w:hAnsi="Times"/>
                <w:sz w:val="18"/>
                <w:szCs w:val="18"/>
              </w:rPr>
              <w:t>3.0</w:t>
            </w:r>
            <w:r>
              <w:rPr>
                <w:rFonts w:ascii="Times" w:hAnsi="Times"/>
                <w:sz w:val="18"/>
                <w:szCs w:val="18"/>
              </w:rPr>
              <w:t>)</w:t>
            </w:r>
          </w:p>
        </w:tc>
        <w:tc>
          <w:tcPr>
            <w:tcW w:w="1835" w:type="dxa"/>
            <w:tcBorders>
              <w:top w:val="nil"/>
              <w:bottom w:val="nil"/>
            </w:tcBorders>
            <w:vAlign w:val="center"/>
          </w:tcPr>
          <w:p w14:paraId="5D65368B" w14:textId="33F2A352" w:rsidR="002B5D7D" w:rsidRPr="00FF2880" w:rsidRDefault="002B5D7D" w:rsidP="001077DA">
            <w:pPr>
              <w:spacing w:line="360" w:lineRule="auto"/>
              <w:jc w:val="right"/>
              <w:rPr>
                <w:rFonts w:ascii="Times" w:hAnsi="Times"/>
                <w:sz w:val="18"/>
                <w:szCs w:val="18"/>
              </w:rPr>
            </w:pPr>
            <w:r w:rsidRPr="00BE5EBE">
              <w:rPr>
                <w:rFonts w:ascii="Times" w:hAnsi="Times"/>
                <w:sz w:val="18"/>
                <w:szCs w:val="18"/>
              </w:rPr>
              <w:t>5.9</w:t>
            </w:r>
            <w:r>
              <w:rPr>
                <w:rFonts w:ascii="Times" w:hAnsi="Times"/>
                <w:sz w:val="18"/>
                <w:szCs w:val="18"/>
              </w:rPr>
              <w:t xml:space="preserve"> (</w:t>
            </w:r>
            <w:r w:rsidRPr="00BE5EBE">
              <w:rPr>
                <w:rFonts w:ascii="Times" w:hAnsi="Times"/>
                <w:sz w:val="18"/>
                <w:szCs w:val="18"/>
              </w:rPr>
              <w:t>3.</w:t>
            </w:r>
            <w:r w:rsidR="00FD1957">
              <w:rPr>
                <w:rFonts w:ascii="Times" w:hAnsi="Times"/>
                <w:sz w:val="18"/>
                <w:szCs w:val="18"/>
              </w:rPr>
              <w:t>1</w:t>
            </w:r>
            <w:r w:rsidRPr="00BE5EBE">
              <w:rPr>
                <w:rFonts w:ascii="Times" w:hAnsi="Times"/>
                <w:sz w:val="18"/>
                <w:szCs w:val="18"/>
              </w:rPr>
              <w:t>-10.3</w:t>
            </w:r>
            <w:r>
              <w:rPr>
                <w:rFonts w:ascii="Times" w:hAnsi="Times"/>
                <w:sz w:val="18"/>
                <w:szCs w:val="18"/>
              </w:rPr>
              <w:t>)</w:t>
            </w:r>
          </w:p>
        </w:tc>
        <w:tc>
          <w:tcPr>
            <w:tcW w:w="1835" w:type="dxa"/>
            <w:tcBorders>
              <w:top w:val="nil"/>
              <w:bottom w:val="nil"/>
            </w:tcBorders>
            <w:vAlign w:val="center"/>
          </w:tcPr>
          <w:p w14:paraId="0EEA5B53" w14:textId="62439BCC" w:rsidR="002B5D7D" w:rsidRPr="00FF2880" w:rsidRDefault="002B5D7D" w:rsidP="001077DA">
            <w:pPr>
              <w:spacing w:line="360" w:lineRule="auto"/>
              <w:jc w:val="right"/>
              <w:rPr>
                <w:rFonts w:ascii="Times" w:hAnsi="Times"/>
                <w:sz w:val="18"/>
                <w:szCs w:val="18"/>
              </w:rPr>
            </w:pPr>
            <w:r>
              <w:rPr>
                <w:rFonts w:ascii="Times" w:hAnsi="Times"/>
                <w:sz w:val="18"/>
                <w:szCs w:val="18"/>
              </w:rPr>
              <w:t>6.</w:t>
            </w:r>
            <w:r w:rsidR="00FD1957">
              <w:rPr>
                <w:rFonts w:ascii="Times" w:hAnsi="Times"/>
                <w:sz w:val="18"/>
                <w:szCs w:val="18"/>
              </w:rPr>
              <w:t>9</w:t>
            </w:r>
            <w:r>
              <w:rPr>
                <w:rFonts w:ascii="Times" w:hAnsi="Times"/>
                <w:sz w:val="18"/>
                <w:szCs w:val="18"/>
              </w:rPr>
              <w:t xml:space="preserve"> (</w:t>
            </w:r>
            <w:r w:rsidRPr="00BE5EBE">
              <w:rPr>
                <w:rFonts w:ascii="Times" w:hAnsi="Times"/>
                <w:sz w:val="18"/>
                <w:szCs w:val="18"/>
              </w:rPr>
              <w:t>5.5-8.</w:t>
            </w:r>
            <w:r w:rsidR="00FD1957">
              <w:rPr>
                <w:rFonts w:ascii="Times" w:hAnsi="Times"/>
                <w:sz w:val="18"/>
                <w:szCs w:val="18"/>
              </w:rPr>
              <w:t>5</w:t>
            </w:r>
            <w:r>
              <w:rPr>
                <w:rFonts w:ascii="Times" w:hAnsi="Times"/>
                <w:sz w:val="18"/>
                <w:szCs w:val="18"/>
              </w:rPr>
              <w:t>)</w:t>
            </w:r>
          </w:p>
        </w:tc>
        <w:tc>
          <w:tcPr>
            <w:tcW w:w="1835" w:type="dxa"/>
            <w:tcBorders>
              <w:top w:val="nil"/>
              <w:bottom w:val="nil"/>
            </w:tcBorders>
            <w:vAlign w:val="center"/>
          </w:tcPr>
          <w:p w14:paraId="4FBE370C" w14:textId="5248162A" w:rsidR="002B5D7D" w:rsidRPr="00FF2880" w:rsidRDefault="002B5D7D" w:rsidP="001077DA">
            <w:pPr>
              <w:spacing w:line="360" w:lineRule="auto"/>
              <w:jc w:val="right"/>
              <w:rPr>
                <w:rFonts w:ascii="Times" w:hAnsi="Times"/>
                <w:sz w:val="18"/>
                <w:szCs w:val="18"/>
              </w:rPr>
            </w:pPr>
            <w:r>
              <w:rPr>
                <w:rFonts w:ascii="Times" w:hAnsi="Times"/>
                <w:sz w:val="18"/>
                <w:szCs w:val="18"/>
              </w:rPr>
              <w:t>7.</w:t>
            </w:r>
            <w:r w:rsidR="00FD1957">
              <w:rPr>
                <w:rFonts w:ascii="Times" w:hAnsi="Times"/>
                <w:sz w:val="18"/>
                <w:szCs w:val="18"/>
              </w:rPr>
              <w:t>7</w:t>
            </w:r>
            <w:r>
              <w:rPr>
                <w:rFonts w:ascii="Times" w:hAnsi="Times"/>
                <w:sz w:val="18"/>
                <w:szCs w:val="18"/>
              </w:rPr>
              <w:t xml:space="preserve"> (4.7-11.</w:t>
            </w:r>
            <w:r w:rsidR="00FD1957">
              <w:rPr>
                <w:rFonts w:ascii="Times" w:hAnsi="Times"/>
                <w:sz w:val="18"/>
                <w:szCs w:val="18"/>
              </w:rPr>
              <w:t>9</w:t>
            </w:r>
            <w:r>
              <w:rPr>
                <w:rFonts w:ascii="Times" w:hAnsi="Times"/>
                <w:sz w:val="18"/>
                <w:szCs w:val="18"/>
              </w:rPr>
              <w:t>)</w:t>
            </w:r>
          </w:p>
        </w:tc>
      </w:tr>
      <w:tr w:rsidR="00FD1957" w:rsidRPr="00FF2880" w14:paraId="7C46DE13" w14:textId="77777777" w:rsidTr="00114CDC">
        <w:trPr>
          <w:trHeight w:val="310"/>
        </w:trPr>
        <w:tc>
          <w:tcPr>
            <w:tcW w:w="0" w:type="auto"/>
            <w:tcBorders>
              <w:top w:val="nil"/>
              <w:bottom w:val="nil"/>
              <w:right w:val="single" w:sz="4" w:space="0" w:color="auto"/>
            </w:tcBorders>
          </w:tcPr>
          <w:p w14:paraId="32E491D6" w14:textId="77777777" w:rsidR="00FD1957" w:rsidRPr="00FF2880" w:rsidRDefault="00FD1957" w:rsidP="00FD1957">
            <w:pPr>
              <w:spacing w:line="360" w:lineRule="auto"/>
              <w:rPr>
                <w:rFonts w:ascii="Times" w:hAnsi="Times"/>
                <w:sz w:val="18"/>
                <w:szCs w:val="18"/>
              </w:rPr>
            </w:pPr>
            <w:r>
              <w:rPr>
                <w:rFonts w:ascii="Times" w:hAnsi="Times"/>
                <w:sz w:val="18"/>
                <w:szCs w:val="18"/>
              </w:rPr>
              <w:t>Unadjusted hazard ratio (95% CI)</w:t>
            </w:r>
          </w:p>
        </w:tc>
        <w:tc>
          <w:tcPr>
            <w:tcW w:w="1834" w:type="dxa"/>
            <w:tcBorders>
              <w:top w:val="nil"/>
              <w:left w:val="single" w:sz="4" w:space="0" w:color="auto"/>
              <w:bottom w:val="nil"/>
            </w:tcBorders>
            <w:vAlign w:val="center"/>
          </w:tcPr>
          <w:p w14:paraId="05BB7CB6" w14:textId="0CF9474F"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tcBorders>
              <w:top w:val="nil"/>
              <w:bottom w:val="nil"/>
            </w:tcBorders>
            <w:vAlign w:val="center"/>
          </w:tcPr>
          <w:p w14:paraId="04AC0DEA" w14:textId="736BDAC3" w:rsidR="00FD1957" w:rsidRPr="00FF2880" w:rsidRDefault="00FD1957" w:rsidP="001077DA">
            <w:pPr>
              <w:spacing w:line="360" w:lineRule="auto"/>
              <w:jc w:val="right"/>
              <w:rPr>
                <w:rFonts w:ascii="Times" w:hAnsi="Times"/>
                <w:sz w:val="18"/>
                <w:szCs w:val="18"/>
              </w:rPr>
            </w:pPr>
            <w:r>
              <w:rPr>
                <w:rFonts w:ascii="Times" w:hAnsi="Times"/>
                <w:sz w:val="18"/>
                <w:szCs w:val="18"/>
              </w:rPr>
              <w:t>2.84 (1.45-5.54)</w:t>
            </w:r>
          </w:p>
        </w:tc>
        <w:tc>
          <w:tcPr>
            <w:tcW w:w="1835" w:type="dxa"/>
            <w:tcBorders>
              <w:top w:val="nil"/>
              <w:bottom w:val="nil"/>
            </w:tcBorders>
            <w:vAlign w:val="center"/>
          </w:tcPr>
          <w:p w14:paraId="579E7B89" w14:textId="0BB46CC5"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tcBorders>
              <w:top w:val="nil"/>
              <w:bottom w:val="nil"/>
            </w:tcBorders>
            <w:vAlign w:val="center"/>
          </w:tcPr>
          <w:p w14:paraId="75F61314" w14:textId="79D763D8" w:rsidR="00FD1957" w:rsidRPr="00FF2880" w:rsidRDefault="00FD1957" w:rsidP="001077DA">
            <w:pPr>
              <w:spacing w:line="360" w:lineRule="auto"/>
              <w:jc w:val="right"/>
              <w:rPr>
                <w:rFonts w:ascii="Times" w:hAnsi="Times"/>
                <w:sz w:val="18"/>
                <w:szCs w:val="18"/>
              </w:rPr>
            </w:pPr>
            <w:r>
              <w:rPr>
                <w:rFonts w:ascii="Times" w:hAnsi="Times"/>
                <w:sz w:val="18"/>
                <w:szCs w:val="18"/>
              </w:rPr>
              <w:t>1.12 (0.69-1.82)</w:t>
            </w:r>
          </w:p>
        </w:tc>
      </w:tr>
      <w:tr w:rsidR="00FD1957" w:rsidRPr="00FF2880" w14:paraId="3C4C12F1" w14:textId="77777777" w:rsidTr="00114CDC">
        <w:trPr>
          <w:trHeight w:val="310"/>
        </w:trPr>
        <w:tc>
          <w:tcPr>
            <w:tcW w:w="0" w:type="auto"/>
            <w:tcBorders>
              <w:top w:val="nil"/>
              <w:bottom w:val="single" w:sz="4" w:space="0" w:color="auto"/>
              <w:right w:val="single" w:sz="4" w:space="0" w:color="auto"/>
            </w:tcBorders>
          </w:tcPr>
          <w:p w14:paraId="45C269D3" w14:textId="5764067B" w:rsidR="00FD1957" w:rsidRPr="00FF2880" w:rsidRDefault="00FD1957" w:rsidP="00FD1957">
            <w:pPr>
              <w:spacing w:line="360" w:lineRule="auto"/>
              <w:rPr>
                <w:rFonts w:ascii="Times" w:hAnsi="Times"/>
                <w:sz w:val="18"/>
                <w:szCs w:val="18"/>
              </w:rPr>
            </w:pPr>
            <w:r>
              <w:rPr>
                <w:rFonts w:ascii="Times" w:hAnsi="Times"/>
                <w:sz w:val="18"/>
                <w:szCs w:val="18"/>
              </w:rPr>
              <w:t>Adjusted hazard ratio (95% CI)</w:t>
            </w:r>
            <w:r w:rsidR="00105C68" w:rsidRPr="00105C68">
              <w:rPr>
                <w:rFonts w:ascii="Times" w:hAnsi="Times"/>
                <w:sz w:val="18"/>
                <w:szCs w:val="18"/>
                <w:vertAlign w:val="superscript"/>
              </w:rPr>
              <w:t>a</w:t>
            </w:r>
          </w:p>
        </w:tc>
        <w:tc>
          <w:tcPr>
            <w:tcW w:w="1834" w:type="dxa"/>
            <w:tcBorders>
              <w:top w:val="nil"/>
              <w:left w:val="single" w:sz="4" w:space="0" w:color="auto"/>
              <w:bottom w:val="single" w:sz="4" w:space="0" w:color="auto"/>
            </w:tcBorders>
            <w:vAlign w:val="center"/>
          </w:tcPr>
          <w:p w14:paraId="4E62A549" w14:textId="1860421E"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tcBorders>
              <w:top w:val="nil"/>
              <w:bottom w:val="single" w:sz="4" w:space="0" w:color="auto"/>
            </w:tcBorders>
            <w:vAlign w:val="center"/>
          </w:tcPr>
          <w:p w14:paraId="396BAEFF" w14:textId="074B3572" w:rsidR="00FD1957" w:rsidRPr="00FF2880" w:rsidRDefault="00FD1957" w:rsidP="001077DA">
            <w:pPr>
              <w:spacing w:line="360" w:lineRule="auto"/>
              <w:jc w:val="right"/>
              <w:rPr>
                <w:rFonts w:ascii="Times" w:hAnsi="Times"/>
                <w:sz w:val="18"/>
                <w:szCs w:val="18"/>
              </w:rPr>
            </w:pPr>
            <w:r>
              <w:rPr>
                <w:rFonts w:ascii="Times" w:hAnsi="Times"/>
                <w:sz w:val="18"/>
                <w:szCs w:val="18"/>
              </w:rPr>
              <w:t>2.03 (</w:t>
            </w:r>
            <w:r w:rsidR="00D05D00">
              <w:rPr>
                <w:rFonts w:ascii="Times" w:hAnsi="Times"/>
                <w:sz w:val="18"/>
                <w:szCs w:val="18"/>
              </w:rPr>
              <w:t>1.00</w:t>
            </w:r>
            <w:r>
              <w:rPr>
                <w:rFonts w:ascii="Times" w:hAnsi="Times"/>
                <w:sz w:val="18"/>
                <w:szCs w:val="18"/>
              </w:rPr>
              <w:t>-4.11)</w:t>
            </w:r>
            <w:r w:rsidRPr="00BE5EBE">
              <w:rPr>
                <w:rFonts w:ascii="Times" w:hAnsi="Times"/>
                <w:sz w:val="18"/>
                <w:szCs w:val="18"/>
              </w:rPr>
              <w:t xml:space="preserve"> </w:t>
            </w:r>
          </w:p>
        </w:tc>
        <w:tc>
          <w:tcPr>
            <w:tcW w:w="1835" w:type="dxa"/>
            <w:tcBorders>
              <w:top w:val="nil"/>
              <w:bottom w:val="single" w:sz="4" w:space="0" w:color="auto"/>
            </w:tcBorders>
            <w:vAlign w:val="center"/>
          </w:tcPr>
          <w:p w14:paraId="73253F6E" w14:textId="6B4E065E"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tcBorders>
              <w:top w:val="nil"/>
              <w:bottom w:val="single" w:sz="4" w:space="0" w:color="auto"/>
            </w:tcBorders>
            <w:vAlign w:val="center"/>
          </w:tcPr>
          <w:p w14:paraId="76FF5425" w14:textId="32E9DCA1" w:rsidR="00FD1957" w:rsidRPr="00FF2880" w:rsidRDefault="00FD1957" w:rsidP="001077DA">
            <w:pPr>
              <w:spacing w:line="360" w:lineRule="auto"/>
              <w:jc w:val="right"/>
              <w:rPr>
                <w:rFonts w:ascii="Times" w:hAnsi="Times"/>
                <w:sz w:val="18"/>
                <w:szCs w:val="18"/>
              </w:rPr>
            </w:pPr>
            <w:r>
              <w:rPr>
                <w:rFonts w:ascii="Times" w:hAnsi="Times"/>
                <w:sz w:val="18"/>
                <w:szCs w:val="18"/>
              </w:rPr>
              <w:t>0.90 (0.55-1.48)</w:t>
            </w:r>
            <w:r w:rsidRPr="00BE5EBE">
              <w:rPr>
                <w:rFonts w:ascii="Times" w:hAnsi="Times"/>
                <w:sz w:val="18"/>
                <w:szCs w:val="18"/>
              </w:rPr>
              <w:t xml:space="preserve"> </w:t>
            </w:r>
          </w:p>
        </w:tc>
      </w:tr>
      <w:tr w:rsidR="002B5D7D" w:rsidRPr="00FF2880" w14:paraId="04A8ADE1" w14:textId="77777777" w:rsidTr="00114CDC">
        <w:trPr>
          <w:trHeight w:val="310"/>
        </w:trPr>
        <w:tc>
          <w:tcPr>
            <w:tcW w:w="0" w:type="auto"/>
            <w:tcBorders>
              <w:top w:val="single" w:sz="4" w:space="0" w:color="auto"/>
              <w:right w:val="single" w:sz="4" w:space="0" w:color="auto"/>
            </w:tcBorders>
          </w:tcPr>
          <w:p w14:paraId="68566D55" w14:textId="6845266F" w:rsidR="002B5D7D" w:rsidRPr="002B5D7D" w:rsidRDefault="002B5D7D" w:rsidP="003416EB">
            <w:pPr>
              <w:spacing w:line="360" w:lineRule="auto"/>
              <w:rPr>
                <w:rFonts w:ascii="Times" w:hAnsi="Times"/>
                <w:b/>
                <w:sz w:val="18"/>
                <w:szCs w:val="18"/>
              </w:rPr>
            </w:pPr>
            <w:r w:rsidRPr="002B5D7D">
              <w:rPr>
                <w:rFonts w:ascii="Times" w:hAnsi="Times"/>
                <w:b/>
                <w:sz w:val="18"/>
                <w:szCs w:val="18"/>
              </w:rPr>
              <w:t>Influenza vaccinations, n (%)</w:t>
            </w:r>
          </w:p>
        </w:tc>
        <w:tc>
          <w:tcPr>
            <w:tcW w:w="1834" w:type="dxa"/>
            <w:tcBorders>
              <w:top w:val="single" w:sz="4" w:space="0" w:color="auto"/>
              <w:left w:val="single" w:sz="4" w:space="0" w:color="auto"/>
            </w:tcBorders>
            <w:vAlign w:val="center"/>
          </w:tcPr>
          <w:p w14:paraId="56AD3809" w14:textId="50C1EC79" w:rsidR="002B5D7D" w:rsidRPr="00FF2880" w:rsidRDefault="002D3820" w:rsidP="001077DA">
            <w:pPr>
              <w:spacing w:line="360" w:lineRule="auto"/>
              <w:jc w:val="right"/>
              <w:rPr>
                <w:rFonts w:ascii="Times" w:hAnsi="Times"/>
                <w:sz w:val="18"/>
                <w:szCs w:val="18"/>
              </w:rPr>
            </w:pPr>
            <w:r>
              <w:rPr>
                <w:rFonts w:ascii="Times" w:hAnsi="Times"/>
                <w:sz w:val="18"/>
                <w:szCs w:val="18"/>
              </w:rPr>
              <w:t>1</w:t>
            </w:r>
            <w:r w:rsidR="002B5D7D">
              <w:rPr>
                <w:rFonts w:ascii="Times" w:hAnsi="Times"/>
                <w:sz w:val="18"/>
                <w:szCs w:val="18"/>
              </w:rPr>
              <w:t>920 (5</w:t>
            </w:r>
            <w:r w:rsidR="00FD1957">
              <w:rPr>
                <w:rFonts w:ascii="Times" w:hAnsi="Times"/>
                <w:sz w:val="18"/>
                <w:szCs w:val="18"/>
              </w:rPr>
              <w:t>2</w:t>
            </w:r>
            <w:r w:rsidR="002B5D7D">
              <w:rPr>
                <w:rFonts w:ascii="Times" w:hAnsi="Times"/>
                <w:sz w:val="18"/>
                <w:szCs w:val="18"/>
              </w:rPr>
              <w:t>)</w:t>
            </w:r>
          </w:p>
        </w:tc>
        <w:tc>
          <w:tcPr>
            <w:tcW w:w="1835" w:type="dxa"/>
            <w:tcBorders>
              <w:top w:val="single" w:sz="4" w:space="0" w:color="auto"/>
            </w:tcBorders>
            <w:vAlign w:val="center"/>
          </w:tcPr>
          <w:p w14:paraId="4E4B8929" w14:textId="3A99AB95" w:rsidR="002B5D7D" w:rsidRPr="00FF2880" w:rsidRDefault="002B5D7D" w:rsidP="001077DA">
            <w:pPr>
              <w:spacing w:line="360" w:lineRule="auto"/>
              <w:jc w:val="right"/>
              <w:rPr>
                <w:rFonts w:ascii="Times" w:hAnsi="Times"/>
                <w:sz w:val="18"/>
                <w:szCs w:val="18"/>
              </w:rPr>
            </w:pPr>
            <w:r w:rsidRPr="00F54AE4">
              <w:rPr>
                <w:rFonts w:ascii="Times" w:hAnsi="Times"/>
                <w:sz w:val="18"/>
                <w:szCs w:val="18"/>
              </w:rPr>
              <w:t>1779 (48)</w:t>
            </w:r>
          </w:p>
        </w:tc>
        <w:tc>
          <w:tcPr>
            <w:tcW w:w="1835" w:type="dxa"/>
            <w:tcBorders>
              <w:top w:val="single" w:sz="4" w:space="0" w:color="auto"/>
            </w:tcBorders>
            <w:vAlign w:val="center"/>
          </w:tcPr>
          <w:p w14:paraId="42D9C635" w14:textId="345853DD" w:rsidR="002B5D7D" w:rsidRPr="00FF2880" w:rsidRDefault="002B5D7D" w:rsidP="001077DA">
            <w:pPr>
              <w:spacing w:line="360" w:lineRule="auto"/>
              <w:jc w:val="right"/>
              <w:rPr>
                <w:rFonts w:ascii="Times" w:hAnsi="Times"/>
                <w:sz w:val="18"/>
                <w:szCs w:val="18"/>
              </w:rPr>
            </w:pPr>
            <w:r w:rsidRPr="00F54AE4">
              <w:rPr>
                <w:rFonts w:ascii="Times" w:hAnsi="Times"/>
                <w:sz w:val="18"/>
                <w:szCs w:val="18"/>
              </w:rPr>
              <w:t>1348</w:t>
            </w:r>
            <w:r>
              <w:rPr>
                <w:rFonts w:ascii="Times" w:hAnsi="Times"/>
                <w:sz w:val="18"/>
                <w:szCs w:val="18"/>
              </w:rPr>
              <w:t xml:space="preserve"> (36)</w:t>
            </w:r>
          </w:p>
        </w:tc>
        <w:tc>
          <w:tcPr>
            <w:tcW w:w="1835" w:type="dxa"/>
            <w:tcBorders>
              <w:top w:val="single" w:sz="4" w:space="0" w:color="auto"/>
            </w:tcBorders>
            <w:vAlign w:val="center"/>
          </w:tcPr>
          <w:p w14:paraId="3795B0B4" w14:textId="3B960BDE" w:rsidR="002B5D7D" w:rsidRPr="00FF2880" w:rsidRDefault="002B5D7D" w:rsidP="001077DA">
            <w:pPr>
              <w:spacing w:line="360" w:lineRule="auto"/>
              <w:jc w:val="right"/>
              <w:rPr>
                <w:rFonts w:ascii="Times" w:hAnsi="Times"/>
                <w:sz w:val="18"/>
                <w:szCs w:val="18"/>
              </w:rPr>
            </w:pPr>
            <w:r w:rsidRPr="00F54AE4">
              <w:rPr>
                <w:rFonts w:ascii="Times" w:hAnsi="Times"/>
                <w:sz w:val="18"/>
                <w:szCs w:val="18"/>
              </w:rPr>
              <w:t>2351 (6</w:t>
            </w:r>
            <w:r w:rsidR="00FD1957">
              <w:rPr>
                <w:rFonts w:ascii="Times" w:hAnsi="Times"/>
                <w:sz w:val="18"/>
                <w:szCs w:val="18"/>
              </w:rPr>
              <w:t>4</w:t>
            </w:r>
            <w:r w:rsidRPr="00F54AE4">
              <w:rPr>
                <w:rFonts w:ascii="Times" w:hAnsi="Times"/>
                <w:sz w:val="18"/>
                <w:szCs w:val="18"/>
              </w:rPr>
              <w:t>)</w:t>
            </w:r>
          </w:p>
        </w:tc>
      </w:tr>
      <w:tr w:rsidR="002B5D7D" w:rsidRPr="00FF2880" w14:paraId="2A7B1CFD" w14:textId="77777777" w:rsidTr="00114CDC">
        <w:trPr>
          <w:trHeight w:val="311"/>
        </w:trPr>
        <w:tc>
          <w:tcPr>
            <w:tcW w:w="0" w:type="auto"/>
            <w:tcBorders>
              <w:right w:val="single" w:sz="4" w:space="0" w:color="auto"/>
            </w:tcBorders>
          </w:tcPr>
          <w:p w14:paraId="562344F6" w14:textId="2DBBC000" w:rsidR="002B5D7D" w:rsidRPr="002B5D7D" w:rsidRDefault="002B5D7D" w:rsidP="003416EB">
            <w:pPr>
              <w:spacing w:line="360" w:lineRule="auto"/>
              <w:rPr>
                <w:rFonts w:ascii="Times" w:hAnsi="Times"/>
                <w:b/>
                <w:sz w:val="18"/>
                <w:szCs w:val="18"/>
              </w:rPr>
            </w:pPr>
            <w:r w:rsidRPr="002B5D7D">
              <w:rPr>
                <w:rFonts w:ascii="Times" w:hAnsi="Times"/>
                <w:b/>
                <w:sz w:val="18"/>
                <w:szCs w:val="18"/>
              </w:rPr>
              <w:t>Influenza</w:t>
            </w:r>
            <w:r w:rsidR="00B46F8D">
              <w:rPr>
                <w:rFonts w:ascii="Times" w:hAnsi="Times"/>
                <w:b/>
                <w:sz w:val="18"/>
                <w:szCs w:val="18"/>
              </w:rPr>
              <w:t>-like illness events</w:t>
            </w:r>
            <w:r w:rsidRPr="002B5D7D">
              <w:rPr>
                <w:rFonts w:ascii="Times" w:hAnsi="Times"/>
                <w:b/>
                <w:sz w:val="18"/>
                <w:szCs w:val="18"/>
              </w:rPr>
              <w:t>, n (%)</w:t>
            </w:r>
          </w:p>
        </w:tc>
        <w:tc>
          <w:tcPr>
            <w:tcW w:w="1834" w:type="dxa"/>
            <w:tcBorders>
              <w:left w:val="single" w:sz="4" w:space="0" w:color="auto"/>
            </w:tcBorders>
            <w:vAlign w:val="center"/>
          </w:tcPr>
          <w:p w14:paraId="2219825C" w14:textId="0652218A" w:rsidR="002B5D7D" w:rsidRPr="00FF2880" w:rsidRDefault="002B5D7D" w:rsidP="001077DA">
            <w:pPr>
              <w:spacing w:line="360" w:lineRule="auto"/>
              <w:jc w:val="right"/>
              <w:rPr>
                <w:rFonts w:ascii="Times" w:hAnsi="Times"/>
                <w:sz w:val="18"/>
                <w:szCs w:val="18"/>
              </w:rPr>
            </w:pPr>
            <w:r>
              <w:rPr>
                <w:rFonts w:ascii="Times" w:hAnsi="Times"/>
                <w:sz w:val="18"/>
                <w:szCs w:val="18"/>
              </w:rPr>
              <w:t>57 (3)</w:t>
            </w:r>
          </w:p>
        </w:tc>
        <w:tc>
          <w:tcPr>
            <w:tcW w:w="1835" w:type="dxa"/>
            <w:vAlign w:val="center"/>
          </w:tcPr>
          <w:p w14:paraId="47AAD9F7" w14:textId="2030531E" w:rsidR="002B5D7D" w:rsidRPr="00FF2880" w:rsidRDefault="002B5D7D" w:rsidP="001077DA">
            <w:pPr>
              <w:spacing w:line="360" w:lineRule="auto"/>
              <w:jc w:val="right"/>
              <w:rPr>
                <w:rFonts w:ascii="Times" w:hAnsi="Times"/>
                <w:sz w:val="18"/>
                <w:szCs w:val="18"/>
              </w:rPr>
            </w:pPr>
            <w:r>
              <w:rPr>
                <w:rFonts w:ascii="Times" w:hAnsi="Times"/>
                <w:sz w:val="18"/>
                <w:szCs w:val="18"/>
              </w:rPr>
              <w:t>34 (</w:t>
            </w:r>
            <w:r w:rsidR="00FD1957">
              <w:rPr>
                <w:rFonts w:ascii="Times" w:hAnsi="Times"/>
                <w:sz w:val="18"/>
                <w:szCs w:val="18"/>
              </w:rPr>
              <w:t>2</w:t>
            </w:r>
            <w:r>
              <w:rPr>
                <w:rFonts w:ascii="Times" w:hAnsi="Times"/>
                <w:sz w:val="18"/>
                <w:szCs w:val="18"/>
              </w:rPr>
              <w:t>)</w:t>
            </w:r>
          </w:p>
        </w:tc>
        <w:tc>
          <w:tcPr>
            <w:tcW w:w="1835" w:type="dxa"/>
            <w:vAlign w:val="center"/>
          </w:tcPr>
          <w:p w14:paraId="0078AAB5" w14:textId="78F161FD" w:rsidR="002B5D7D" w:rsidRPr="00FF2880" w:rsidRDefault="002B5D7D" w:rsidP="001077DA">
            <w:pPr>
              <w:spacing w:line="360" w:lineRule="auto"/>
              <w:jc w:val="right"/>
              <w:rPr>
                <w:rFonts w:ascii="Times" w:hAnsi="Times"/>
                <w:sz w:val="18"/>
                <w:szCs w:val="18"/>
              </w:rPr>
            </w:pPr>
            <w:r>
              <w:rPr>
                <w:rFonts w:ascii="Times" w:hAnsi="Times"/>
                <w:sz w:val="18"/>
                <w:szCs w:val="18"/>
              </w:rPr>
              <w:t>35 (</w:t>
            </w:r>
            <w:r w:rsidR="00FD1957">
              <w:rPr>
                <w:rFonts w:ascii="Times" w:hAnsi="Times"/>
                <w:sz w:val="18"/>
                <w:szCs w:val="18"/>
              </w:rPr>
              <w:t>3</w:t>
            </w:r>
            <w:r>
              <w:rPr>
                <w:rFonts w:ascii="Times" w:hAnsi="Times"/>
                <w:sz w:val="18"/>
                <w:szCs w:val="18"/>
              </w:rPr>
              <w:t>)</w:t>
            </w:r>
          </w:p>
        </w:tc>
        <w:tc>
          <w:tcPr>
            <w:tcW w:w="1835" w:type="dxa"/>
            <w:vAlign w:val="center"/>
          </w:tcPr>
          <w:p w14:paraId="30398A4B" w14:textId="5F491AAC" w:rsidR="002B5D7D" w:rsidRPr="00FF2880" w:rsidRDefault="002B5D7D" w:rsidP="001077DA">
            <w:pPr>
              <w:spacing w:line="360" w:lineRule="auto"/>
              <w:jc w:val="right"/>
              <w:rPr>
                <w:rFonts w:ascii="Times" w:hAnsi="Times"/>
                <w:sz w:val="18"/>
                <w:szCs w:val="18"/>
              </w:rPr>
            </w:pPr>
            <w:r>
              <w:rPr>
                <w:rFonts w:ascii="Times" w:hAnsi="Times"/>
                <w:sz w:val="18"/>
                <w:szCs w:val="18"/>
              </w:rPr>
              <w:t>42 (</w:t>
            </w:r>
            <w:r w:rsidR="00FD1957">
              <w:rPr>
                <w:rFonts w:ascii="Times" w:hAnsi="Times"/>
                <w:sz w:val="18"/>
                <w:szCs w:val="18"/>
              </w:rPr>
              <w:t>2</w:t>
            </w:r>
            <w:r>
              <w:rPr>
                <w:rFonts w:ascii="Times" w:hAnsi="Times"/>
                <w:sz w:val="18"/>
                <w:szCs w:val="18"/>
              </w:rPr>
              <w:t>)</w:t>
            </w:r>
          </w:p>
        </w:tc>
      </w:tr>
      <w:tr w:rsidR="009D2623" w:rsidRPr="00FF2880" w14:paraId="49EDFEDD" w14:textId="77777777" w:rsidTr="00114CDC">
        <w:trPr>
          <w:trHeight w:val="310"/>
        </w:trPr>
        <w:tc>
          <w:tcPr>
            <w:tcW w:w="0" w:type="auto"/>
            <w:tcBorders>
              <w:right w:val="single" w:sz="4" w:space="0" w:color="auto"/>
            </w:tcBorders>
          </w:tcPr>
          <w:p w14:paraId="7EAB58B8" w14:textId="5BFCB1C4" w:rsidR="009D2623" w:rsidRDefault="009D2623" w:rsidP="009D2623">
            <w:pPr>
              <w:spacing w:line="360" w:lineRule="auto"/>
              <w:rPr>
                <w:rFonts w:ascii="Times" w:hAnsi="Times"/>
                <w:sz w:val="18"/>
                <w:szCs w:val="18"/>
              </w:rPr>
            </w:pPr>
            <w:r>
              <w:rPr>
                <w:rFonts w:ascii="Times" w:hAnsi="Times"/>
                <w:sz w:val="18"/>
                <w:szCs w:val="18"/>
              </w:rPr>
              <w:t>Exposure-time (person-years)</w:t>
            </w:r>
          </w:p>
        </w:tc>
        <w:tc>
          <w:tcPr>
            <w:tcW w:w="1834" w:type="dxa"/>
            <w:tcBorders>
              <w:left w:val="single" w:sz="4" w:space="0" w:color="auto"/>
            </w:tcBorders>
          </w:tcPr>
          <w:p w14:paraId="0E778D13" w14:textId="159074FC" w:rsidR="009D2623" w:rsidRDefault="009D2623" w:rsidP="009D2623">
            <w:pPr>
              <w:spacing w:line="360" w:lineRule="auto"/>
              <w:jc w:val="right"/>
              <w:rPr>
                <w:rFonts w:ascii="Times" w:hAnsi="Times"/>
                <w:sz w:val="18"/>
                <w:szCs w:val="18"/>
              </w:rPr>
            </w:pPr>
            <w:r w:rsidRPr="00114CDC">
              <w:rPr>
                <w:rFonts w:ascii="Times" w:hAnsi="Times"/>
                <w:sz w:val="18"/>
                <w:szCs w:val="18"/>
              </w:rPr>
              <w:t>8484</w:t>
            </w:r>
          </w:p>
        </w:tc>
        <w:tc>
          <w:tcPr>
            <w:tcW w:w="1835" w:type="dxa"/>
          </w:tcPr>
          <w:p w14:paraId="1B6BB9B1" w14:textId="61E4A2AA" w:rsidR="009D2623" w:rsidRDefault="009D2623" w:rsidP="009D2623">
            <w:pPr>
              <w:spacing w:line="360" w:lineRule="auto"/>
              <w:jc w:val="right"/>
              <w:rPr>
                <w:rFonts w:ascii="Times" w:hAnsi="Times"/>
                <w:sz w:val="18"/>
                <w:szCs w:val="18"/>
              </w:rPr>
            </w:pPr>
            <w:r w:rsidRPr="00114CDC">
              <w:rPr>
                <w:rFonts w:ascii="Times" w:hAnsi="Times"/>
                <w:sz w:val="18"/>
                <w:szCs w:val="18"/>
              </w:rPr>
              <w:t>7842</w:t>
            </w:r>
          </w:p>
        </w:tc>
        <w:tc>
          <w:tcPr>
            <w:tcW w:w="1835" w:type="dxa"/>
          </w:tcPr>
          <w:p w14:paraId="0EBF8017" w14:textId="1B4139AA" w:rsidR="009D2623" w:rsidRDefault="009D2623" w:rsidP="009D2623">
            <w:pPr>
              <w:spacing w:line="360" w:lineRule="auto"/>
              <w:jc w:val="right"/>
              <w:rPr>
                <w:rFonts w:ascii="Times" w:hAnsi="Times"/>
                <w:sz w:val="18"/>
                <w:szCs w:val="18"/>
              </w:rPr>
            </w:pPr>
            <w:r w:rsidRPr="00114CDC">
              <w:rPr>
                <w:rFonts w:ascii="Times" w:hAnsi="Times"/>
                <w:sz w:val="18"/>
                <w:szCs w:val="18"/>
              </w:rPr>
              <w:t>4951</w:t>
            </w:r>
          </w:p>
        </w:tc>
        <w:tc>
          <w:tcPr>
            <w:tcW w:w="1835" w:type="dxa"/>
          </w:tcPr>
          <w:p w14:paraId="63A19C17" w14:textId="304DE36F" w:rsidR="009D2623" w:rsidRDefault="009D2623" w:rsidP="009D2623">
            <w:pPr>
              <w:spacing w:line="360" w:lineRule="auto"/>
              <w:jc w:val="right"/>
              <w:rPr>
                <w:rFonts w:ascii="Times" w:hAnsi="Times"/>
                <w:sz w:val="18"/>
                <w:szCs w:val="18"/>
              </w:rPr>
            </w:pPr>
            <w:r w:rsidRPr="00114CDC">
              <w:rPr>
                <w:rFonts w:ascii="Times" w:hAnsi="Times"/>
                <w:sz w:val="18"/>
                <w:szCs w:val="18"/>
              </w:rPr>
              <w:t>10383</w:t>
            </w:r>
          </w:p>
        </w:tc>
      </w:tr>
      <w:tr w:rsidR="002B5D7D" w:rsidRPr="00FF2880" w14:paraId="7CF0F782" w14:textId="77777777" w:rsidTr="00114CDC">
        <w:trPr>
          <w:trHeight w:val="310"/>
        </w:trPr>
        <w:tc>
          <w:tcPr>
            <w:tcW w:w="0" w:type="auto"/>
            <w:tcBorders>
              <w:right w:val="single" w:sz="4" w:space="0" w:color="auto"/>
            </w:tcBorders>
          </w:tcPr>
          <w:p w14:paraId="5013EEA9" w14:textId="02507EC7" w:rsidR="002B5D7D" w:rsidRDefault="002B5D7D" w:rsidP="003416EB">
            <w:pPr>
              <w:spacing w:line="360" w:lineRule="auto"/>
              <w:rPr>
                <w:rFonts w:ascii="Times" w:hAnsi="Times"/>
                <w:sz w:val="18"/>
                <w:szCs w:val="18"/>
              </w:rPr>
            </w:pPr>
            <w:r>
              <w:rPr>
                <w:rFonts w:ascii="Times" w:hAnsi="Times"/>
                <w:sz w:val="18"/>
                <w:szCs w:val="18"/>
              </w:rPr>
              <w:t>Event rate per 1000 person-years</w:t>
            </w:r>
          </w:p>
        </w:tc>
        <w:tc>
          <w:tcPr>
            <w:tcW w:w="1834" w:type="dxa"/>
            <w:tcBorders>
              <w:left w:val="single" w:sz="4" w:space="0" w:color="auto"/>
            </w:tcBorders>
            <w:vAlign w:val="center"/>
          </w:tcPr>
          <w:p w14:paraId="27B7BC4D" w14:textId="3AEA9153" w:rsidR="002B5D7D" w:rsidRPr="00FF2880" w:rsidRDefault="002B5D7D" w:rsidP="001077DA">
            <w:pPr>
              <w:spacing w:line="360" w:lineRule="auto"/>
              <w:jc w:val="right"/>
              <w:rPr>
                <w:rFonts w:ascii="Times" w:hAnsi="Times"/>
                <w:sz w:val="18"/>
                <w:szCs w:val="18"/>
              </w:rPr>
            </w:pPr>
            <w:r>
              <w:rPr>
                <w:rFonts w:ascii="Times" w:hAnsi="Times"/>
                <w:sz w:val="18"/>
                <w:szCs w:val="18"/>
              </w:rPr>
              <w:t>6.7 (</w:t>
            </w:r>
            <w:r w:rsidRPr="00E6538F">
              <w:rPr>
                <w:rFonts w:ascii="Times" w:hAnsi="Times"/>
                <w:sz w:val="18"/>
                <w:szCs w:val="18"/>
              </w:rPr>
              <w:t>5.</w:t>
            </w:r>
            <w:r w:rsidR="00FD1957">
              <w:rPr>
                <w:rFonts w:ascii="Times" w:hAnsi="Times"/>
                <w:sz w:val="18"/>
                <w:szCs w:val="18"/>
              </w:rPr>
              <w:t>1</w:t>
            </w:r>
            <w:r w:rsidRPr="00E6538F">
              <w:rPr>
                <w:rFonts w:ascii="Times" w:hAnsi="Times"/>
                <w:sz w:val="18"/>
                <w:szCs w:val="18"/>
              </w:rPr>
              <w:t>-8.7</w:t>
            </w:r>
            <w:r>
              <w:rPr>
                <w:rFonts w:ascii="Times" w:hAnsi="Times"/>
                <w:sz w:val="18"/>
                <w:szCs w:val="18"/>
              </w:rPr>
              <w:t>)</w:t>
            </w:r>
          </w:p>
        </w:tc>
        <w:tc>
          <w:tcPr>
            <w:tcW w:w="1835" w:type="dxa"/>
            <w:vAlign w:val="center"/>
          </w:tcPr>
          <w:p w14:paraId="4EBF8B2C" w14:textId="406CF4B4" w:rsidR="002B5D7D" w:rsidRPr="00FF2880" w:rsidRDefault="002B5D7D" w:rsidP="001077DA">
            <w:pPr>
              <w:spacing w:line="360" w:lineRule="auto"/>
              <w:jc w:val="right"/>
              <w:rPr>
                <w:rFonts w:ascii="Times" w:hAnsi="Times"/>
                <w:sz w:val="18"/>
                <w:szCs w:val="18"/>
              </w:rPr>
            </w:pPr>
            <w:r>
              <w:rPr>
                <w:rFonts w:ascii="Times" w:hAnsi="Times"/>
                <w:sz w:val="18"/>
                <w:szCs w:val="18"/>
              </w:rPr>
              <w:t>4.3 (3.0-6.</w:t>
            </w:r>
            <w:r w:rsidR="00FD1957">
              <w:rPr>
                <w:rFonts w:ascii="Times" w:hAnsi="Times"/>
                <w:sz w:val="18"/>
                <w:szCs w:val="18"/>
              </w:rPr>
              <w:t>1</w:t>
            </w:r>
            <w:r>
              <w:rPr>
                <w:rFonts w:ascii="Times" w:hAnsi="Times"/>
                <w:sz w:val="18"/>
                <w:szCs w:val="18"/>
              </w:rPr>
              <w:t>)</w:t>
            </w:r>
          </w:p>
        </w:tc>
        <w:tc>
          <w:tcPr>
            <w:tcW w:w="1835" w:type="dxa"/>
            <w:vAlign w:val="center"/>
          </w:tcPr>
          <w:p w14:paraId="254AEF7A" w14:textId="0E8CF231" w:rsidR="002B5D7D" w:rsidRPr="00FF2880" w:rsidRDefault="002B5D7D" w:rsidP="001077DA">
            <w:pPr>
              <w:spacing w:line="360" w:lineRule="auto"/>
              <w:jc w:val="right"/>
              <w:rPr>
                <w:rFonts w:ascii="Times" w:hAnsi="Times"/>
                <w:sz w:val="18"/>
                <w:szCs w:val="18"/>
              </w:rPr>
            </w:pPr>
            <w:r>
              <w:rPr>
                <w:rFonts w:ascii="Times" w:hAnsi="Times"/>
                <w:sz w:val="18"/>
                <w:szCs w:val="18"/>
              </w:rPr>
              <w:t>7.</w:t>
            </w:r>
            <w:r w:rsidR="00FD1957">
              <w:rPr>
                <w:rFonts w:ascii="Times" w:hAnsi="Times"/>
                <w:sz w:val="18"/>
                <w:szCs w:val="18"/>
              </w:rPr>
              <w:t>1</w:t>
            </w:r>
            <w:r>
              <w:rPr>
                <w:rFonts w:ascii="Times" w:hAnsi="Times"/>
                <w:sz w:val="18"/>
                <w:szCs w:val="18"/>
              </w:rPr>
              <w:t xml:space="preserve"> (4.9</w:t>
            </w:r>
            <w:r w:rsidRPr="00A74731">
              <w:rPr>
                <w:rFonts w:ascii="Times" w:hAnsi="Times"/>
                <w:sz w:val="18"/>
                <w:szCs w:val="18"/>
              </w:rPr>
              <w:t>-9.8</w:t>
            </w:r>
            <w:r>
              <w:rPr>
                <w:rFonts w:ascii="Times" w:hAnsi="Times"/>
                <w:sz w:val="18"/>
                <w:szCs w:val="18"/>
              </w:rPr>
              <w:t>)</w:t>
            </w:r>
          </w:p>
        </w:tc>
        <w:tc>
          <w:tcPr>
            <w:tcW w:w="1835" w:type="dxa"/>
            <w:vAlign w:val="center"/>
          </w:tcPr>
          <w:p w14:paraId="46D1E2A7" w14:textId="09E0C47F" w:rsidR="002B5D7D" w:rsidRPr="00FF2880" w:rsidRDefault="002B5D7D" w:rsidP="001077DA">
            <w:pPr>
              <w:spacing w:line="360" w:lineRule="auto"/>
              <w:jc w:val="right"/>
              <w:rPr>
                <w:rFonts w:ascii="Times" w:hAnsi="Times"/>
                <w:sz w:val="18"/>
                <w:szCs w:val="18"/>
              </w:rPr>
            </w:pPr>
            <w:r>
              <w:rPr>
                <w:rFonts w:ascii="Times" w:hAnsi="Times"/>
                <w:sz w:val="18"/>
                <w:szCs w:val="18"/>
              </w:rPr>
              <w:t>4.0 (2.9-5.</w:t>
            </w:r>
            <w:r w:rsidR="00FD1957">
              <w:rPr>
                <w:rFonts w:ascii="Times" w:hAnsi="Times"/>
                <w:sz w:val="18"/>
                <w:szCs w:val="18"/>
              </w:rPr>
              <w:t>5</w:t>
            </w:r>
            <w:r>
              <w:rPr>
                <w:rFonts w:ascii="Times" w:hAnsi="Times"/>
                <w:sz w:val="18"/>
                <w:szCs w:val="18"/>
              </w:rPr>
              <w:t>)</w:t>
            </w:r>
          </w:p>
        </w:tc>
      </w:tr>
      <w:tr w:rsidR="00FD1957" w:rsidRPr="00FF2880" w14:paraId="3A72C780" w14:textId="77777777" w:rsidTr="00114CDC">
        <w:trPr>
          <w:trHeight w:val="310"/>
        </w:trPr>
        <w:tc>
          <w:tcPr>
            <w:tcW w:w="0" w:type="auto"/>
            <w:tcBorders>
              <w:right w:val="single" w:sz="4" w:space="0" w:color="auto"/>
            </w:tcBorders>
          </w:tcPr>
          <w:p w14:paraId="43542412" w14:textId="651C5176" w:rsidR="00FD1957" w:rsidRDefault="00FD1957" w:rsidP="00FD1957">
            <w:pPr>
              <w:spacing w:line="360" w:lineRule="auto"/>
              <w:rPr>
                <w:rFonts w:ascii="Times" w:hAnsi="Times"/>
                <w:sz w:val="18"/>
                <w:szCs w:val="18"/>
              </w:rPr>
            </w:pPr>
            <w:r>
              <w:rPr>
                <w:rFonts w:ascii="Times" w:hAnsi="Times"/>
                <w:sz w:val="18"/>
                <w:szCs w:val="18"/>
              </w:rPr>
              <w:t>Unadjusted hazard ratio (95% CI)</w:t>
            </w:r>
          </w:p>
        </w:tc>
        <w:tc>
          <w:tcPr>
            <w:tcW w:w="1834" w:type="dxa"/>
            <w:tcBorders>
              <w:left w:val="single" w:sz="4" w:space="0" w:color="auto"/>
            </w:tcBorders>
            <w:vAlign w:val="center"/>
          </w:tcPr>
          <w:p w14:paraId="0DF8AB79" w14:textId="095E6F7C"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vAlign w:val="center"/>
          </w:tcPr>
          <w:p w14:paraId="17D6E7C6" w14:textId="64AF7E44" w:rsidR="00FD1957" w:rsidRPr="00FF2880" w:rsidRDefault="00FD1957" w:rsidP="001077DA">
            <w:pPr>
              <w:spacing w:line="360" w:lineRule="auto"/>
              <w:jc w:val="right"/>
              <w:rPr>
                <w:rFonts w:ascii="Times" w:hAnsi="Times"/>
                <w:sz w:val="18"/>
                <w:szCs w:val="18"/>
              </w:rPr>
            </w:pPr>
            <w:r>
              <w:rPr>
                <w:rFonts w:ascii="Times" w:hAnsi="Times"/>
                <w:sz w:val="18"/>
                <w:szCs w:val="18"/>
              </w:rPr>
              <w:t xml:space="preserve">0.65 (0.42-0.99) </w:t>
            </w:r>
          </w:p>
        </w:tc>
        <w:tc>
          <w:tcPr>
            <w:tcW w:w="1835" w:type="dxa"/>
            <w:vAlign w:val="center"/>
          </w:tcPr>
          <w:p w14:paraId="2A864DDB" w14:textId="3B8BEE71"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vAlign w:val="center"/>
          </w:tcPr>
          <w:p w14:paraId="7D658380" w14:textId="75902B26" w:rsidR="00FD1957" w:rsidRPr="00FF2880" w:rsidRDefault="00FD1957" w:rsidP="001077DA">
            <w:pPr>
              <w:spacing w:line="360" w:lineRule="auto"/>
              <w:jc w:val="right"/>
              <w:rPr>
                <w:rFonts w:ascii="Times" w:hAnsi="Times"/>
                <w:sz w:val="18"/>
                <w:szCs w:val="18"/>
              </w:rPr>
            </w:pPr>
            <w:r>
              <w:rPr>
                <w:rFonts w:ascii="Times" w:hAnsi="Times"/>
                <w:sz w:val="18"/>
                <w:szCs w:val="18"/>
              </w:rPr>
              <w:t xml:space="preserve">0.58 (0.37-0.90) </w:t>
            </w:r>
          </w:p>
        </w:tc>
      </w:tr>
      <w:tr w:rsidR="00FD1957" w:rsidRPr="00FF2880" w14:paraId="1A86DD71" w14:textId="77777777" w:rsidTr="00114CDC">
        <w:trPr>
          <w:trHeight w:val="311"/>
        </w:trPr>
        <w:tc>
          <w:tcPr>
            <w:tcW w:w="0" w:type="auto"/>
            <w:tcBorders>
              <w:bottom w:val="single" w:sz="4" w:space="0" w:color="auto"/>
              <w:right w:val="single" w:sz="4" w:space="0" w:color="auto"/>
            </w:tcBorders>
          </w:tcPr>
          <w:p w14:paraId="605C5908" w14:textId="180BA340" w:rsidR="00FD1957" w:rsidRDefault="00FD1957" w:rsidP="00FD1957">
            <w:pPr>
              <w:spacing w:line="360" w:lineRule="auto"/>
              <w:rPr>
                <w:rFonts w:ascii="Times" w:hAnsi="Times"/>
                <w:sz w:val="18"/>
                <w:szCs w:val="18"/>
              </w:rPr>
            </w:pPr>
            <w:r>
              <w:rPr>
                <w:rFonts w:ascii="Times" w:hAnsi="Times"/>
                <w:sz w:val="18"/>
                <w:szCs w:val="18"/>
              </w:rPr>
              <w:t>Adjusted hazard ratio (95% CI)</w:t>
            </w:r>
            <w:r w:rsidR="00105C68" w:rsidRPr="00105C68">
              <w:rPr>
                <w:rFonts w:ascii="Times" w:hAnsi="Times"/>
                <w:sz w:val="18"/>
                <w:szCs w:val="18"/>
                <w:vertAlign w:val="superscript"/>
              </w:rPr>
              <w:t>a</w:t>
            </w:r>
          </w:p>
        </w:tc>
        <w:tc>
          <w:tcPr>
            <w:tcW w:w="1834" w:type="dxa"/>
            <w:tcBorders>
              <w:left w:val="single" w:sz="4" w:space="0" w:color="auto"/>
            </w:tcBorders>
            <w:vAlign w:val="center"/>
          </w:tcPr>
          <w:p w14:paraId="51D07873" w14:textId="6850B3FC"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vAlign w:val="center"/>
          </w:tcPr>
          <w:p w14:paraId="45A9A6DF" w14:textId="08DE5C26" w:rsidR="00FD1957" w:rsidRPr="00FF2880" w:rsidRDefault="00FD1957" w:rsidP="001077DA">
            <w:pPr>
              <w:spacing w:line="360" w:lineRule="auto"/>
              <w:jc w:val="right"/>
              <w:rPr>
                <w:rFonts w:ascii="Times" w:hAnsi="Times"/>
                <w:sz w:val="18"/>
                <w:szCs w:val="18"/>
              </w:rPr>
            </w:pPr>
            <w:r>
              <w:rPr>
                <w:rFonts w:ascii="Times" w:hAnsi="Times"/>
                <w:sz w:val="18"/>
                <w:szCs w:val="18"/>
              </w:rPr>
              <w:t>0.95 (0.55-1.64)</w:t>
            </w:r>
          </w:p>
        </w:tc>
        <w:tc>
          <w:tcPr>
            <w:tcW w:w="1835" w:type="dxa"/>
            <w:vAlign w:val="center"/>
          </w:tcPr>
          <w:p w14:paraId="1873A3B6" w14:textId="5581D6C0" w:rsidR="00FD1957" w:rsidRPr="00FF2880" w:rsidRDefault="00FD1957" w:rsidP="001077DA">
            <w:pPr>
              <w:spacing w:line="360" w:lineRule="auto"/>
              <w:jc w:val="right"/>
              <w:rPr>
                <w:rFonts w:ascii="Times" w:hAnsi="Times"/>
                <w:sz w:val="18"/>
                <w:szCs w:val="18"/>
              </w:rPr>
            </w:pPr>
            <w:r>
              <w:rPr>
                <w:rFonts w:ascii="Times" w:hAnsi="Times"/>
                <w:sz w:val="18"/>
                <w:szCs w:val="18"/>
              </w:rPr>
              <w:t>Reference</w:t>
            </w:r>
          </w:p>
        </w:tc>
        <w:tc>
          <w:tcPr>
            <w:tcW w:w="1835" w:type="dxa"/>
            <w:vAlign w:val="center"/>
          </w:tcPr>
          <w:p w14:paraId="275C49C5" w14:textId="0DE58E71" w:rsidR="00FD1957" w:rsidRPr="00FF2880" w:rsidRDefault="00FD1957" w:rsidP="001077DA">
            <w:pPr>
              <w:spacing w:line="360" w:lineRule="auto"/>
              <w:jc w:val="right"/>
              <w:rPr>
                <w:rFonts w:ascii="Times" w:hAnsi="Times"/>
                <w:sz w:val="18"/>
                <w:szCs w:val="18"/>
              </w:rPr>
            </w:pPr>
            <w:r>
              <w:rPr>
                <w:rFonts w:ascii="Times" w:hAnsi="Times"/>
                <w:sz w:val="18"/>
                <w:szCs w:val="18"/>
              </w:rPr>
              <w:t xml:space="preserve">0.59 (0.36-0.98) </w:t>
            </w:r>
          </w:p>
        </w:tc>
      </w:tr>
    </w:tbl>
    <w:p w14:paraId="5D1BCFBF" w14:textId="474642FC" w:rsidR="000213DD" w:rsidRPr="00025EA6" w:rsidRDefault="00105C68" w:rsidP="005A3774">
      <w:pPr>
        <w:rPr>
          <w:rFonts w:ascii="Times" w:hAnsi="Times"/>
          <w:b/>
        </w:rPr>
      </w:pPr>
      <w:proofErr w:type="spellStart"/>
      <w:r w:rsidRPr="00105C68">
        <w:rPr>
          <w:rFonts w:ascii="Times" w:hAnsi="Times" w:cs="Times"/>
          <w:sz w:val="18"/>
          <w:szCs w:val="18"/>
          <w:vertAlign w:val="superscript"/>
        </w:rPr>
        <w:t>a</w:t>
      </w:r>
      <w:proofErr w:type="spellEnd"/>
      <w:r w:rsidR="002D3820">
        <w:rPr>
          <w:rFonts w:ascii="Times" w:hAnsi="Times" w:cs="Times"/>
          <w:sz w:val="18"/>
          <w:szCs w:val="18"/>
        </w:rPr>
        <w:t xml:space="preserve"> Adjusted for age, </w:t>
      </w:r>
      <w:r w:rsidR="00E04B89">
        <w:rPr>
          <w:rFonts w:ascii="Times" w:hAnsi="Times" w:cs="Times"/>
          <w:sz w:val="18"/>
          <w:szCs w:val="18"/>
        </w:rPr>
        <w:t>sex</w:t>
      </w:r>
      <w:r w:rsidR="002D3820">
        <w:rPr>
          <w:rFonts w:ascii="Times" w:hAnsi="Times" w:cs="Times"/>
          <w:sz w:val="18"/>
          <w:szCs w:val="18"/>
        </w:rPr>
        <w:t>, ethnicity</w:t>
      </w:r>
      <w:r w:rsidR="0064554F">
        <w:rPr>
          <w:rFonts w:ascii="Times" w:hAnsi="Times" w:cs="Times"/>
          <w:sz w:val="18"/>
          <w:szCs w:val="18"/>
        </w:rPr>
        <w:t xml:space="preserve"> </w:t>
      </w:r>
      <w:r w:rsidR="0064554F" w:rsidRPr="00423B73">
        <w:rPr>
          <w:rFonts w:ascii="Times" w:hAnsi="Times"/>
          <w:sz w:val="18"/>
          <w:szCs w:val="18"/>
        </w:rPr>
        <w:t>(white/missing or non-white)</w:t>
      </w:r>
      <w:r w:rsidR="002D3820">
        <w:rPr>
          <w:rFonts w:ascii="Times" w:hAnsi="Times" w:cs="Times"/>
          <w:sz w:val="18"/>
          <w:szCs w:val="18"/>
        </w:rPr>
        <w:t>, BMI</w:t>
      </w:r>
      <w:r w:rsidR="0064554F">
        <w:rPr>
          <w:rFonts w:ascii="Times" w:hAnsi="Times" w:cs="Times"/>
          <w:sz w:val="18"/>
          <w:szCs w:val="18"/>
        </w:rPr>
        <w:t xml:space="preserve"> </w:t>
      </w:r>
      <w:r w:rsidR="0064554F">
        <w:rPr>
          <w:rFonts w:ascii="Times" w:hAnsi="Times"/>
          <w:sz w:val="18"/>
          <w:szCs w:val="18"/>
        </w:rPr>
        <w:t>category</w:t>
      </w:r>
      <w:r w:rsidR="0064554F" w:rsidRPr="00423B73">
        <w:rPr>
          <w:rFonts w:ascii="Times" w:hAnsi="Times"/>
          <w:sz w:val="18"/>
          <w:szCs w:val="18"/>
        </w:rPr>
        <w:t xml:space="preserve"> (&lt; 18.5  underweight, 18.5-24.9  normal weight,  25.0-29.9  overweight, 30.0-34.9  class I obesity, 35.0-39.9 class II obesity, ≥40.0 class III obesity, missing)</w:t>
      </w:r>
      <w:r w:rsidR="002D3820">
        <w:rPr>
          <w:rFonts w:ascii="Times" w:hAnsi="Times" w:cs="Times"/>
          <w:sz w:val="18"/>
          <w:szCs w:val="18"/>
        </w:rPr>
        <w:t>, smoking status</w:t>
      </w:r>
      <w:r w:rsidR="0064554F">
        <w:rPr>
          <w:rFonts w:ascii="Times" w:hAnsi="Times" w:cs="Times"/>
          <w:sz w:val="18"/>
          <w:szCs w:val="18"/>
        </w:rPr>
        <w:t xml:space="preserve"> (</w:t>
      </w:r>
      <w:r w:rsidR="0064554F">
        <w:rPr>
          <w:rFonts w:ascii="Times" w:hAnsi="Times"/>
          <w:sz w:val="18"/>
          <w:szCs w:val="18"/>
        </w:rPr>
        <w:t>never, current, former, missing)</w:t>
      </w:r>
      <w:r w:rsidR="002D3820">
        <w:rPr>
          <w:rFonts w:ascii="Times" w:hAnsi="Times" w:cs="Times"/>
          <w:sz w:val="18"/>
          <w:szCs w:val="18"/>
        </w:rPr>
        <w:t xml:space="preserve">, comorbidities (COPD, asthma, diabetes, and CKD), use of immunosuppressive agents and in those with RA the duration of RA, and </w:t>
      </w:r>
      <w:proofErr w:type="spellStart"/>
      <w:r w:rsidR="00763BEE" w:rsidRPr="0008525C">
        <w:rPr>
          <w:rFonts w:ascii="Times" w:hAnsi="Times"/>
          <w:sz w:val="18"/>
          <w:szCs w:val="18"/>
        </w:rPr>
        <w:t>seropositivity</w:t>
      </w:r>
      <w:proofErr w:type="spellEnd"/>
      <w:r w:rsidR="00763BEE" w:rsidRPr="0008525C">
        <w:rPr>
          <w:rFonts w:ascii="Times" w:hAnsi="Times"/>
          <w:sz w:val="18"/>
          <w:szCs w:val="18"/>
        </w:rPr>
        <w:t xml:space="preserve"> (presence of rheumatoid factor or anti </w:t>
      </w:r>
      <w:proofErr w:type="spellStart"/>
      <w:r w:rsidR="00763BEE" w:rsidRPr="0008525C">
        <w:rPr>
          <w:rFonts w:ascii="Times" w:hAnsi="Times"/>
          <w:sz w:val="18"/>
          <w:szCs w:val="18"/>
        </w:rPr>
        <w:t>citrullinated</w:t>
      </w:r>
      <w:proofErr w:type="spellEnd"/>
      <w:r w:rsidR="00763BEE" w:rsidRPr="0008525C">
        <w:rPr>
          <w:rFonts w:ascii="Times" w:hAnsi="Times"/>
          <w:sz w:val="18"/>
          <w:szCs w:val="18"/>
        </w:rPr>
        <w:t xml:space="preserve"> protein [CCP] antibodies)</w:t>
      </w:r>
      <w:r w:rsidR="002D3820">
        <w:rPr>
          <w:rFonts w:ascii="Times" w:hAnsi="Times" w:cs="Times"/>
          <w:sz w:val="18"/>
          <w:szCs w:val="18"/>
        </w:rPr>
        <w:t>.</w:t>
      </w:r>
    </w:p>
    <w:sectPr w:rsidR="000213DD" w:rsidRPr="00025EA6" w:rsidSect="00A70E9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8B7F" w14:textId="77777777" w:rsidR="00E6106D" w:rsidRDefault="00E6106D" w:rsidP="008423C9">
      <w:r>
        <w:separator/>
      </w:r>
    </w:p>
  </w:endnote>
  <w:endnote w:type="continuationSeparator" w:id="0">
    <w:p w14:paraId="2DC94499" w14:textId="77777777" w:rsidR="00E6106D" w:rsidRDefault="00E6106D" w:rsidP="0084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3318"/>
      <w:docPartObj>
        <w:docPartGallery w:val="Page Numbers (Bottom of Page)"/>
        <w:docPartUnique/>
      </w:docPartObj>
    </w:sdtPr>
    <w:sdtEndPr>
      <w:rPr>
        <w:noProof/>
      </w:rPr>
    </w:sdtEndPr>
    <w:sdtContent>
      <w:p w14:paraId="3F054537" w14:textId="4B8B38CB" w:rsidR="002A1F4D" w:rsidRDefault="002A1F4D">
        <w:pPr>
          <w:pStyle w:val="Footer"/>
          <w:jc w:val="right"/>
        </w:pPr>
        <w:r>
          <w:fldChar w:fldCharType="begin"/>
        </w:r>
        <w:r>
          <w:instrText xml:space="preserve"> PAGE   \* MERGEFORMAT </w:instrText>
        </w:r>
        <w:r>
          <w:fldChar w:fldCharType="separate"/>
        </w:r>
        <w:r w:rsidR="00A918B9">
          <w:rPr>
            <w:noProof/>
          </w:rPr>
          <w:t>24</w:t>
        </w:r>
        <w:r>
          <w:rPr>
            <w:noProof/>
          </w:rPr>
          <w:fldChar w:fldCharType="end"/>
        </w:r>
      </w:p>
    </w:sdtContent>
  </w:sdt>
  <w:p w14:paraId="2D5DF0B4" w14:textId="77777777" w:rsidR="002A1F4D" w:rsidRDefault="002A1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2C8A3" w14:textId="77777777" w:rsidR="00E6106D" w:rsidRDefault="00E6106D" w:rsidP="008423C9">
      <w:r>
        <w:separator/>
      </w:r>
    </w:p>
  </w:footnote>
  <w:footnote w:type="continuationSeparator" w:id="0">
    <w:p w14:paraId="30D6AF38" w14:textId="77777777" w:rsidR="00E6106D" w:rsidRDefault="00E6106D" w:rsidP="0084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DFE5" w14:textId="77777777" w:rsidR="002A1F4D" w:rsidRDefault="002A1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C86"/>
    <w:multiLevelType w:val="hybridMultilevel"/>
    <w:tmpl w:val="5C2A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A654E"/>
    <w:multiLevelType w:val="hybridMultilevel"/>
    <w:tmpl w:val="FB70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011A3"/>
    <w:multiLevelType w:val="hybridMultilevel"/>
    <w:tmpl w:val="7806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05E57"/>
    <w:multiLevelType w:val="multilevel"/>
    <w:tmpl w:val="640EF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64048"/>
    <w:multiLevelType w:val="hybridMultilevel"/>
    <w:tmpl w:val="B754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55995"/>
    <w:multiLevelType w:val="hybridMultilevel"/>
    <w:tmpl w:val="5DA8594C"/>
    <w:lvl w:ilvl="0" w:tplc="F3688AC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F21AD"/>
    <w:multiLevelType w:val="hybridMultilevel"/>
    <w:tmpl w:val="3214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90D58"/>
    <w:multiLevelType w:val="multilevel"/>
    <w:tmpl w:val="4CF6C8E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2fdwadvxd0sne0z24ppes15sp59vzaf0d9&quot;&gt;SLGT2_DPP4_trials&lt;record-ids&gt;&lt;item&gt;9&lt;/item&gt;&lt;/record-ids&gt;&lt;/item&gt;&lt;/Libraries&gt;"/>
  </w:docVars>
  <w:rsids>
    <w:rsidRoot w:val="008E4517"/>
    <w:rsid w:val="00001750"/>
    <w:rsid w:val="000057DB"/>
    <w:rsid w:val="00010228"/>
    <w:rsid w:val="00015038"/>
    <w:rsid w:val="000213DD"/>
    <w:rsid w:val="00023719"/>
    <w:rsid w:val="00025EA6"/>
    <w:rsid w:val="000268F0"/>
    <w:rsid w:val="00033A15"/>
    <w:rsid w:val="0003450E"/>
    <w:rsid w:val="0004162A"/>
    <w:rsid w:val="00043D3A"/>
    <w:rsid w:val="000468DE"/>
    <w:rsid w:val="00052B11"/>
    <w:rsid w:val="0005553A"/>
    <w:rsid w:val="00057CE1"/>
    <w:rsid w:val="00093E8A"/>
    <w:rsid w:val="00097BAC"/>
    <w:rsid w:val="000A2B9B"/>
    <w:rsid w:val="000C0CE4"/>
    <w:rsid w:val="000C7FB4"/>
    <w:rsid w:val="000D2F97"/>
    <w:rsid w:val="000D4156"/>
    <w:rsid w:val="000D66D4"/>
    <w:rsid w:val="000E102B"/>
    <w:rsid w:val="000E742D"/>
    <w:rsid w:val="000F5511"/>
    <w:rsid w:val="00101899"/>
    <w:rsid w:val="001043D9"/>
    <w:rsid w:val="00105C68"/>
    <w:rsid w:val="00107754"/>
    <w:rsid w:val="001077DA"/>
    <w:rsid w:val="0011122B"/>
    <w:rsid w:val="00114CDC"/>
    <w:rsid w:val="0011780F"/>
    <w:rsid w:val="00117C52"/>
    <w:rsid w:val="00121B22"/>
    <w:rsid w:val="00130025"/>
    <w:rsid w:val="00154E31"/>
    <w:rsid w:val="00155B40"/>
    <w:rsid w:val="0016043A"/>
    <w:rsid w:val="001627D3"/>
    <w:rsid w:val="00164D37"/>
    <w:rsid w:val="0017517E"/>
    <w:rsid w:val="00185D92"/>
    <w:rsid w:val="00192DEE"/>
    <w:rsid w:val="001A22D9"/>
    <w:rsid w:val="001A4D1F"/>
    <w:rsid w:val="001A669F"/>
    <w:rsid w:val="001B7129"/>
    <w:rsid w:val="001C4EAD"/>
    <w:rsid w:val="001D24CD"/>
    <w:rsid w:val="001E0432"/>
    <w:rsid w:val="001E191A"/>
    <w:rsid w:val="001E4E24"/>
    <w:rsid w:val="001E71D6"/>
    <w:rsid w:val="001F0E7B"/>
    <w:rsid w:val="0020698C"/>
    <w:rsid w:val="002132DE"/>
    <w:rsid w:val="00221A8C"/>
    <w:rsid w:val="002244D8"/>
    <w:rsid w:val="00235D91"/>
    <w:rsid w:val="0024165F"/>
    <w:rsid w:val="00241EE7"/>
    <w:rsid w:val="0024405B"/>
    <w:rsid w:val="002460FA"/>
    <w:rsid w:val="00250829"/>
    <w:rsid w:val="00251640"/>
    <w:rsid w:val="00254003"/>
    <w:rsid w:val="00254AB8"/>
    <w:rsid w:val="00256065"/>
    <w:rsid w:val="00267AE7"/>
    <w:rsid w:val="00272449"/>
    <w:rsid w:val="00273CD2"/>
    <w:rsid w:val="00276F69"/>
    <w:rsid w:val="002A0B83"/>
    <w:rsid w:val="002A0E6A"/>
    <w:rsid w:val="002A1F4D"/>
    <w:rsid w:val="002B15B5"/>
    <w:rsid w:val="002B2255"/>
    <w:rsid w:val="002B5D7D"/>
    <w:rsid w:val="002C2B0E"/>
    <w:rsid w:val="002C2D7F"/>
    <w:rsid w:val="002D2EC8"/>
    <w:rsid w:val="002D3156"/>
    <w:rsid w:val="002D3820"/>
    <w:rsid w:val="002D425B"/>
    <w:rsid w:val="002E1927"/>
    <w:rsid w:val="002E21C2"/>
    <w:rsid w:val="002E4101"/>
    <w:rsid w:val="002E5818"/>
    <w:rsid w:val="002E5FB6"/>
    <w:rsid w:val="002F55BB"/>
    <w:rsid w:val="002F7042"/>
    <w:rsid w:val="00303632"/>
    <w:rsid w:val="00306708"/>
    <w:rsid w:val="00315CBB"/>
    <w:rsid w:val="00316B02"/>
    <w:rsid w:val="0032146E"/>
    <w:rsid w:val="003226FC"/>
    <w:rsid w:val="003238C4"/>
    <w:rsid w:val="0033063F"/>
    <w:rsid w:val="00331B91"/>
    <w:rsid w:val="00333FCE"/>
    <w:rsid w:val="003373EF"/>
    <w:rsid w:val="003416EB"/>
    <w:rsid w:val="003447BF"/>
    <w:rsid w:val="0035096E"/>
    <w:rsid w:val="00351FC8"/>
    <w:rsid w:val="0035471D"/>
    <w:rsid w:val="00362952"/>
    <w:rsid w:val="003663C1"/>
    <w:rsid w:val="003812CC"/>
    <w:rsid w:val="00381F5B"/>
    <w:rsid w:val="0038427A"/>
    <w:rsid w:val="0038498A"/>
    <w:rsid w:val="0039156C"/>
    <w:rsid w:val="003A1CF1"/>
    <w:rsid w:val="003A7E65"/>
    <w:rsid w:val="003B1583"/>
    <w:rsid w:val="003C4BBF"/>
    <w:rsid w:val="003D6909"/>
    <w:rsid w:val="003E2BEF"/>
    <w:rsid w:val="003F4A5E"/>
    <w:rsid w:val="004007A2"/>
    <w:rsid w:val="004031A8"/>
    <w:rsid w:val="004061EC"/>
    <w:rsid w:val="004110AB"/>
    <w:rsid w:val="004127CD"/>
    <w:rsid w:val="00414564"/>
    <w:rsid w:val="0041723B"/>
    <w:rsid w:val="00423B73"/>
    <w:rsid w:val="00424C4D"/>
    <w:rsid w:val="0044117D"/>
    <w:rsid w:val="0045293B"/>
    <w:rsid w:val="00455D75"/>
    <w:rsid w:val="00461F1B"/>
    <w:rsid w:val="004623FF"/>
    <w:rsid w:val="004637E2"/>
    <w:rsid w:val="004654F0"/>
    <w:rsid w:val="00474474"/>
    <w:rsid w:val="0047684D"/>
    <w:rsid w:val="004823FD"/>
    <w:rsid w:val="00486F32"/>
    <w:rsid w:val="00492276"/>
    <w:rsid w:val="004938B2"/>
    <w:rsid w:val="00494391"/>
    <w:rsid w:val="004958C2"/>
    <w:rsid w:val="00497B9B"/>
    <w:rsid w:val="004A06C0"/>
    <w:rsid w:val="004A16B6"/>
    <w:rsid w:val="004A6499"/>
    <w:rsid w:val="004B0752"/>
    <w:rsid w:val="004B23F6"/>
    <w:rsid w:val="004B63F6"/>
    <w:rsid w:val="004C539A"/>
    <w:rsid w:val="004D3C51"/>
    <w:rsid w:val="004D5B13"/>
    <w:rsid w:val="004E0021"/>
    <w:rsid w:val="004E2633"/>
    <w:rsid w:val="004E3681"/>
    <w:rsid w:val="004E3B93"/>
    <w:rsid w:val="004E405D"/>
    <w:rsid w:val="004E4823"/>
    <w:rsid w:val="004E4960"/>
    <w:rsid w:val="004E5983"/>
    <w:rsid w:val="004F3FDE"/>
    <w:rsid w:val="004F7001"/>
    <w:rsid w:val="00533C34"/>
    <w:rsid w:val="00543980"/>
    <w:rsid w:val="00555C41"/>
    <w:rsid w:val="00557C2D"/>
    <w:rsid w:val="00567669"/>
    <w:rsid w:val="00580E1D"/>
    <w:rsid w:val="00580E72"/>
    <w:rsid w:val="0058639A"/>
    <w:rsid w:val="00586CC7"/>
    <w:rsid w:val="00587E1D"/>
    <w:rsid w:val="005945E1"/>
    <w:rsid w:val="005A0F56"/>
    <w:rsid w:val="005A1F20"/>
    <w:rsid w:val="005A3774"/>
    <w:rsid w:val="005A5079"/>
    <w:rsid w:val="005C0517"/>
    <w:rsid w:val="005C3953"/>
    <w:rsid w:val="005C5475"/>
    <w:rsid w:val="005C5C2D"/>
    <w:rsid w:val="005C72AD"/>
    <w:rsid w:val="005F76B2"/>
    <w:rsid w:val="00605320"/>
    <w:rsid w:val="006203EF"/>
    <w:rsid w:val="006240C1"/>
    <w:rsid w:val="00626FA9"/>
    <w:rsid w:val="00627A1F"/>
    <w:rsid w:val="00630217"/>
    <w:rsid w:val="00635D70"/>
    <w:rsid w:val="00645518"/>
    <w:rsid w:val="0064554F"/>
    <w:rsid w:val="00650F9A"/>
    <w:rsid w:val="006517E8"/>
    <w:rsid w:val="0065318E"/>
    <w:rsid w:val="00654547"/>
    <w:rsid w:val="00655227"/>
    <w:rsid w:val="00656E26"/>
    <w:rsid w:val="00665331"/>
    <w:rsid w:val="006762F7"/>
    <w:rsid w:val="006873EF"/>
    <w:rsid w:val="006965B7"/>
    <w:rsid w:val="006A0E45"/>
    <w:rsid w:val="006A20EC"/>
    <w:rsid w:val="006A3A3F"/>
    <w:rsid w:val="006B2F96"/>
    <w:rsid w:val="006C0E70"/>
    <w:rsid w:val="006D60D5"/>
    <w:rsid w:val="006D7150"/>
    <w:rsid w:val="006E5BE8"/>
    <w:rsid w:val="006F3C87"/>
    <w:rsid w:val="00704016"/>
    <w:rsid w:val="00704AFD"/>
    <w:rsid w:val="00714495"/>
    <w:rsid w:val="007249AD"/>
    <w:rsid w:val="00727CF5"/>
    <w:rsid w:val="00733200"/>
    <w:rsid w:val="00761003"/>
    <w:rsid w:val="00763BEE"/>
    <w:rsid w:val="00764293"/>
    <w:rsid w:val="0077066F"/>
    <w:rsid w:val="0077364E"/>
    <w:rsid w:val="00774CFA"/>
    <w:rsid w:val="00775FC6"/>
    <w:rsid w:val="00777C86"/>
    <w:rsid w:val="00781F27"/>
    <w:rsid w:val="007910D1"/>
    <w:rsid w:val="007943C5"/>
    <w:rsid w:val="007947B3"/>
    <w:rsid w:val="00794946"/>
    <w:rsid w:val="007A41F6"/>
    <w:rsid w:val="007C02DB"/>
    <w:rsid w:val="007C2382"/>
    <w:rsid w:val="007C35F5"/>
    <w:rsid w:val="007D04B9"/>
    <w:rsid w:val="007D57E5"/>
    <w:rsid w:val="007D68D6"/>
    <w:rsid w:val="007E069A"/>
    <w:rsid w:val="007F5E5D"/>
    <w:rsid w:val="0081002F"/>
    <w:rsid w:val="00811973"/>
    <w:rsid w:val="008138A1"/>
    <w:rsid w:val="00822AF5"/>
    <w:rsid w:val="0083451A"/>
    <w:rsid w:val="008423C9"/>
    <w:rsid w:val="00842E7F"/>
    <w:rsid w:val="008506D1"/>
    <w:rsid w:val="008522A7"/>
    <w:rsid w:val="00852B94"/>
    <w:rsid w:val="00855991"/>
    <w:rsid w:val="0086077C"/>
    <w:rsid w:val="00864972"/>
    <w:rsid w:val="00872FC2"/>
    <w:rsid w:val="0087778E"/>
    <w:rsid w:val="00892465"/>
    <w:rsid w:val="008A0B1E"/>
    <w:rsid w:val="008A16F4"/>
    <w:rsid w:val="008A6CC1"/>
    <w:rsid w:val="008C1377"/>
    <w:rsid w:val="008C3AB3"/>
    <w:rsid w:val="008C3D80"/>
    <w:rsid w:val="008C3F88"/>
    <w:rsid w:val="008D7907"/>
    <w:rsid w:val="008E209A"/>
    <w:rsid w:val="008E2E68"/>
    <w:rsid w:val="008E4517"/>
    <w:rsid w:val="008F0F05"/>
    <w:rsid w:val="008F2105"/>
    <w:rsid w:val="00900ACC"/>
    <w:rsid w:val="00904E75"/>
    <w:rsid w:val="009108CE"/>
    <w:rsid w:val="00912681"/>
    <w:rsid w:val="00920A0B"/>
    <w:rsid w:val="009215D0"/>
    <w:rsid w:val="00921FA4"/>
    <w:rsid w:val="009255A6"/>
    <w:rsid w:val="009336A1"/>
    <w:rsid w:val="009349AE"/>
    <w:rsid w:val="009410FC"/>
    <w:rsid w:val="00941831"/>
    <w:rsid w:val="009430C4"/>
    <w:rsid w:val="00945246"/>
    <w:rsid w:val="00950686"/>
    <w:rsid w:val="0095100F"/>
    <w:rsid w:val="009626DE"/>
    <w:rsid w:val="0096418A"/>
    <w:rsid w:val="00965F33"/>
    <w:rsid w:val="00971B67"/>
    <w:rsid w:val="0099015D"/>
    <w:rsid w:val="009A10B0"/>
    <w:rsid w:val="009A7103"/>
    <w:rsid w:val="009A7F59"/>
    <w:rsid w:val="009B0483"/>
    <w:rsid w:val="009B0508"/>
    <w:rsid w:val="009B43B0"/>
    <w:rsid w:val="009C041E"/>
    <w:rsid w:val="009C37C1"/>
    <w:rsid w:val="009C3B49"/>
    <w:rsid w:val="009C3FDE"/>
    <w:rsid w:val="009D2623"/>
    <w:rsid w:val="009D2E57"/>
    <w:rsid w:val="009E3289"/>
    <w:rsid w:val="009F0A18"/>
    <w:rsid w:val="009F79B6"/>
    <w:rsid w:val="009F7F83"/>
    <w:rsid w:val="00A011B4"/>
    <w:rsid w:val="00A10562"/>
    <w:rsid w:val="00A22A89"/>
    <w:rsid w:val="00A25CBA"/>
    <w:rsid w:val="00A2735C"/>
    <w:rsid w:val="00A32C70"/>
    <w:rsid w:val="00A34CE5"/>
    <w:rsid w:val="00A459DF"/>
    <w:rsid w:val="00A47FC0"/>
    <w:rsid w:val="00A70C2D"/>
    <w:rsid w:val="00A70E99"/>
    <w:rsid w:val="00A71DA0"/>
    <w:rsid w:val="00A7568E"/>
    <w:rsid w:val="00A76552"/>
    <w:rsid w:val="00A765C9"/>
    <w:rsid w:val="00A918B9"/>
    <w:rsid w:val="00A923E2"/>
    <w:rsid w:val="00AA1EBB"/>
    <w:rsid w:val="00AA2490"/>
    <w:rsid w:val="00AB58EB"/>
    <w:rsid w:val="00AC356A"/>
    <w:rsid w:val="00AC54EC"/>
    <w:rsid w:val="00AD1AEF"/>
    <w:rsid w:val="00AD5E0F"/>
    <w:rsid w:val="00AE2635"/>
    <w:rsid w:val="00AE34C5"/>
    <w:rsid w:val="00AE3831"/>
    <w:rsid w:val="00AE39FC"/>
    <w:rsid w:val="00AF2CE5"/>
    <w:rsid w:val="00AF5401"/>
    <w:rsid w:val="00AF5FE4"/>
    <w:rsid w:val="00B04FF5"/>
    <w:rsid w:val="00B055E0"/>
    <w:rsid w:val="00B1313E"/>
    <w:rsid w:val="00B151D7"/>
    <w:rsid w:val="00B2048A"/>
    <w:rsid w:val="00B22D7D"/>
    <w:rsid w:val="00B24ED9"/>
    <w:rsid w:val="00B3603C"/>
    <w:rsid w:val="00B448CF"/>
    <w:rsid w:val="00B46E7F"/>
    <w:rsid w:val="00B46F8D"/>
    <w:rsid w:val="00B5298B"/>
    <w:rsid w:val="00B57EB8"/>
    <w:rsid w:val="00B74784"/>
    <w:rsid w:val="00BA2AF1"/>
    <w:rsid w:val="00BA454D"/>
    <w:rsid w:val="00BC027F"/>
    <w:rsid w:val="00BC1C38"/>
    <w:rsid w:val="00BD159F"/>
    <w:rsid w:val="00BD649C"/>
    <w:rsid w:val="00BF088C"/>
    <w:rsid w:val="00BF6A63"/>
    <w:rsid w:val="00C03A44"/>
    <w:rsid w:val="00C0409D"/>
    <w:rsid w:val="00C0497D"/>
    <w:rsid w:val="00C14552"/>
    <w:rsid w:val="00C153F1"/>
    <w:rsid w:val="00C26340"/>
    <w:rsid w:val="00C41F79"/>
    <w:rsid w:val="00C53E1A"/>
    <w:rsid w:val="00C56C38"/>
    <w:rsid w:val="00C60A3A"/>
    <w:rsid w:val="00C67732"/>
    <w:rsid w:val="00CA0D3F"/>
    <w:rsid w:val="00CA57A6"/>
    <w:rsid w:val="00CA6085"/>
    <w:rsid w:val="00CA6711"/>
    <w:rsid w:val="00CA6F81"/>
    <w:rsid w:val="00CB2E44"/>
    <w:rsid w:val="00CB4271"/>
    <w:rsid w:val="00CB7998"/>
    <w:rsid w:val="00CC41E8"/>
    <w:rsid w:val="00CC6830"/>
    <w:rsid w:val="00CC7651"/>
    <w:rsid w:val="00CD0FE9"/>
    <w:rsid w:val="00CE1982"/>
    <w:rsid w:val="00CE5AF5"/>
    <w:rsid w:val="00D013AC"/>
    <w:rsid w:val="00D0345F"/>
    <w:rsid w:val="00D05D00"/>
    <w:rsid w:val="00D10683"/>
    <w:rsid w:val="00D118F1"/>
    <w:rsid w:val="00D1205D"/>
    <w:rsid w:val="00D200E0"/>
    <w:rsid w:val="00D212B9"/>
    <w:rsid w:val="00D263FE"/>
    <w:rsid w:val="00D26CB3"/>
    <w:rsid w:val="00D308D4"/>
    <w:rsid w:val="00D30E50"/>
    <w:rsid w:val="00D324D4"/>
    <w:rsid w:val="00D339CC"/>
    <w:rsid w:val="00D358A8"/>
    <w:rsid w:val="00D35D12"/>
    <w:rsid w:val="00D3661C"/>
    <w:rsid w:val="00D370CE"/>
    <w:rsid w:val="00D42CBE"/>
    <w:rsid w:val="00D44D7C"/>
    <w:rsid w:val="00D459BB"/>
    <w:rsid w:val="00D4690A"/>
    <w:rsid w:val="00D51D46"/>
    <w:rsid w:val="00D6074F"/>
    <w:rsid w:val="00D626BE"/>
    <w:rsid w:val="00D63DD0"/>
    <w:rsid w:val="00D64F54"/>
    <w:rsid w:val="00D658F7"/>
    <w:rsid w:val="00D74F9C"/>
    <w:rsid w:val="00D80728"/>
    <w:rsid w:val="00D815C4"/>
    <w:rsid w:val="00D90307"/>
    <w:rsid w:val="00D90FD5"/>
    <w:rsid w:val="00D959F7"/>
    <w:rsid w:val="00D97012"/>
    <w:rsid w:val="00D97FC5"/>
    <w:rsid w:val="00DA132C"/>
    <w:rsid w:val="00DB21E9"/>
    <w:rsid w:val="00DB3251"/>
    <w:rsid w:val="00DB4D88"/>
    <w:rsid w:val="00DC3AD4"/>
    <w:rsid w:val="00DC7A00"/>
    <w:rsid w:val="00DE5054"/>
    <w:rsid w:val="00DE5490"/>
    <w:rsid w:val="00DF13F8"/>
    <w:rsid w:val="00DF4A66"/>
    <w:rsid w:val="00E02059"/>
    <w:rsid w:val="00E04B89"/>
    <w:rsid w:val="00E04D58"/>
    <w:rsid w:val="00E06B23"/>
    <w:rsid w:val="00E102A3"/>
    <w:rsid w:val="00E13C98"/>
    <w:rsid w:val="00E14300"/>
    <w:rsid w:val="00E15FE4"/>
    <w:rsid w:val="00E22629"/>
    <w:rsid w:val="00E30BA0"/>
    <w:rsid w:val="00E33CFF"/>
    <w:rsid w:val="00E34A2B"/>
    <w:rsid w:val="00E5220B"/>
    <w:rsid w:val="00E5383A"/>
    <w:rsid w:val="00E5583C"/>
    <w:rsid w:val="00E575C3"/>
    <w:rsid w:val="00E6106D"/>
    <w:rsid w:val="00E61518"/>
    <w:rsid w:val="00E64CE4"/>
    <w:rsid w:val="00E6742A"/>
    <w:rsid w:val="00E7102B"/>
    <w:rsid w:val="00E77DA4"/>
    <w:rsid w:val="00E9365E"/>
    <w:rsid w:val="00EA155C"/>
    <w:rsid w:val="00EB05B1"/>
    <w:rsid w:val="00EB2958"/>
    <w:rsid w:val="00EC12A1"/>
    <w:rsid w:val="00EC789A"/>
    <w:rsid w:val="00ED0796"/>
    <w:rsid w:val="00EE1C94"/>
    <w:rsid w:val="00EE48EA"/>
    <w:rsid w:val="00EE6640"/>
    <w:rsid w:val="00EF5430"/>
    <w:rsid w:val="00F030F6"/>
    <w:rsid w:val="00F04696"/>
    <w:rsid w:val="00F109EC"/>
    <w:rsid w:val="00F11DC2"/>
    <w:rsid w:val="00F15124"/>
    <w:rsid w:val="00F1641E"/>
    <w:rsid w:val="00F2100C"/>
    <w:rsid w:val="00F226A5"/>
    <w:rsid w:val="00F23815"/>
    <w:rsid w:val="00F31185"/>
    <w:rsid w:val="00F32AA5"/>
    <w:rsid w:val="00F3320D"/>
    <w:rsid w:val="00F36277"/>
    <w:rsid w:val="00F43339"/>
    <w:rsid w:val="00F456C0"/>
    <w:rsid w:val="00F4722A"/>
    <w:rsid w:val="00F47F86"/>
    <w:rsid w:val="00F51FF5"/>
    <w:rsid w:val="00F5370B"/>
    <w:rsid w:val="00F600F3"/>
    <w:rsid w:val="00F64D01"/>
    <w:rsid w:val="00F801B8"/>
    <w:rsid w:val="00F86AD1"/>
    <w:rsid w:val="00FA5EE9"/>
    <w:rsid w:val="00FA686E"/>
    <w:rsid w:val="00FB6922"/>
    <w:rsid w:val="00FC19A4"/>
    <w:rsid w:val="00FC1C74"/>
    <w:rsid w:val="00FC6579"/>
    <w:rsid w:val="00FD1957"/>
    <w:rsid w:val="00FD2401"/>
    <w:rsid w:val="00FD255F"/>
    <w:rsid w:val="00FD3FE8"/>
    <w:rsid w:val="00FD550C"/>
    <w:rsid w:val="00FE37A5"/>
    <w:rsid w:val="00FF2880"/>
    <w:rsid w:val="00FF4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1AFC8"/>
  <w14:defaultImageDpi w14:val="300"/>
  <w15:docId w15:val="{8AD0CBA3-CF69-40F0-95A4-B1F7D39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E7"/>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192DEE"/>
    <w:pPr>
      <w:keepNext/>
      <w:keepLines/>
      <w:spacing w:before="480" w:after="240" w:line="360" w:lineRule="auto"/>
      <w:ind w:right="1701"/>
      <w:jc w:val="both"/>
      <w:outlineLvl w:val="0"/>
    </w:pPr>
    <w:rPr>
      <w:rFonts w:eastAsiaTheme="majorEastAsia"/>
      <w:b/>
      <w:bCs/>
      <w:sz w:val="28"/>
      <w:szCs w:val="32"/>
    </w:rPr>
  </w:style>
  <w:style w:type="paragraph" w:styleId="Heading2">
    <w:name w:val="heading 2"/>
    <w:basedOn w:val="Normal"/>
    <w:next w:val="Normal"/>
    <w:link w:val="Heading2Char"/>
    <w:autoRedefine/>
    <w:uiPriority w:val="9"/>
    <w:unhideWhenUsed/>
    <w:qFormat/>
    <w:rsid w:val="00192DEE"/>
    <w:pPr>
      <w:keepNext/>
      <w:keepLines/>
      <w:numPr>
        <w:ilvl w:val="1"/>
        <w:numId w:val="2"/>
      </w:numPr>
      <w:spacing w:before="200" w:after="120" w:line="480" w:lineRule="auto"/>
      <w:jc w:val="both"/>
      <w:outlineLvl w:val="1"/>
    </w:pPr>
    <w:rPr>
      <w:rFonts w:eastAsiaTheme="majorEastAsia"/>
      <w:b/>
      <w:bCs/>
      <w:lang w:val="en-US"/>
    </w:rPr>
  </w:style>
  <w:style w:type="paragraph" w:styleId="Heading3">
    <w:name w:val="heading 3"/>
    <w:next w:val="NoSpacing"/>
    <w:link w:val="Heading3Char"/>
    <w:autoRedefine/>
    <w:uiPriority w:val="9"/>
    <w:unhideWhenUsed/>
    <w:qFormat/>
    <w:rsid w:val="00192DEE"/>
    <w:pPr>
      <w:numPr>
        <w:ilvl w:val="2"/>
        <w:numId w:val="3"/>
      </w:numPr>
      <w:spacing w:after="120"/>
      <w:outlineLvl w:val="2"/>
    </w:pPr>
    <w:rPr>
      <w:rFonts w:ascii="Times New Roman" w:eastAsiaTheme="majorEastAsia" w:hAnsi="Times New Roman" w:cs="Times New Roman"/>
      <w:bCs/>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EE"/>
    <w:rPr>
      <w:rFonts w:ascii="Times New Roman" w:eastAsiaTheme="majorEastAsia" w:hAnsi="Times New Roman" w:cs="Times New Roman"/>
      <w:b/>
      <w:bCs/>
      <w:sz w:val="28"/>
      <w:szCs w:val="32"/>
    </w:rPr>
  </w:style>
  <w:style w:type="character" w:customStyle="1" w:styleId="Heading2Char">
    <w:name w:val="Heading 2 Char"/>
    <w:basedOn w:val="DefaultParagraphFont"/>
    <w:link w:val="Heading2"/>
    <w:uiPriority w:val="9"/>
    <w:rsid w:val="00192DEE"/>
    <w:rPr>
      <w:rFonts w:ascii="Times New Roman" w:eastAsiaTheme="majorEastAsia" w:hAnsi="Times New Roman" w:cs="Times New Roman"/>
      <w:b/>
      <w:bCs/>
      <w:lang w:val="en-US"/>
    </w:rPr>
  </w:style>
  <w:style w:type="character" w:customStyle="1" w:styleId="Heading3Char">
    <w:name w:val="Heading 3 Char"/>
    <w:basedOn w:val="DefaultParagraphFont"/>
    <w:link w:val="Heading3"/>
    <w:uiPriority w:val="9"/>
    <w:rsid w:val="00192DEE"/>
    <w:rPr>
      <w:rFonts w:ascii="Times New Roman" w:eastAsiaTheme="majorEastAsia" w:hAnsi="Times New Roman" w:cs="Times New Roman"/>
      <w:bCs/>
      <w:iCs/>
      <w:noProof/>
      <w:lang w:val="en-US"/>
    </w:rPr>
  </w:style>
  <w:style w:type="paragraph" w:styleId="TOC3">
    <w:name w:val="toc 3"/>
    <w:basedOn w:val="Normal"/>
    <w:next w:val="Normal"/>
    <w:autoRedefine/>
    <w:uiPriority w:val="39"/>
    <w:semiHidden/>
    <w:unhideWhenUsed/>
    <w:rsid w:val="00192DEE"/>
    <w:pPr>
      <w:spacing w:after="100"/>
      <w:ind w:left="480"/>
    </w:pPr>
  </w:style>
  <w:style w:type="paragraph" w:styleId="NoSpacing">
    <w:name w:val="No Spacing"/>
    <w:uiPriority w:val="1"/>
    <w:qFormat/>
    <w:rsid w:val="00192DEE"/>
  </w:style>
  <w:style w:type="paragraph" w:styleId="TOC1">
    <w:name w:val="toc 1"/>
    <w:basedOn w:val="Normal"/>
    <w:next w:val="Normal"/>
    <w:autoRedefine/>
    <w:uiPriority w:val="39"/>
    <w:unhideWhenUsed/>
    <w:qFormat/>
    <w:rsid w:val="00192DEE"/>
    <w:pPr>
      <w:tabs>
        <w:tab w:val="right" w:pos="8290"/>
      </w:tabs>
      <w:spacing w:before="120" w:after="120" w:line="360" w:lineRule="auto"/>
      <w:ind w:right="1134"/>
    </w:pPr>
    <w:rPr>
      <w:rFonts w:asciiTheme="minorHAnsi" w:eastAsiaTheme="minorEastAsia" w:hAnsiTheme="minorHAnsi"/>
      <w:b/>
      <w:sz w:val="22"/>
      <w:szCs w:val="22"/>
    </w:rPr>
  </w:style>
  <w:style w:type="paragraph" w:styleId="TableofFigures">
    <w:name w:val="table of figures"/>
    <w:basedOn w:val="Normal"/>
    <w:next w:val="Normal"/>
    <w:autoRedefine/>
    <w:uiPriority w:val="99"/>
    <w:unhideWhenUsed/>
    <w:qFormat/>
    <w:rsid w:val="00192DEE"/>
    <w:pPr>
      <w:spacing w:before="120" w:after="120" w:line="360" w:lineRule="auto"/>
      <w:ind w:right="1134"/>
    </w:pPr>
    <w:rPr>
      <w:rFonts w:asciiTheme="minorHAnsi" w:eastAsiaTheme="minorEastAsia" w:hAnsiTheme="minorHAnsi"/>
      <w:sz w:val="20"/>
      <w:szCs w:val="20"/>
    </w:rPr>
  </w:style>
  <w:style w:type="paragraph" w:styleId="ListParagraph">
    <w:name w:val="List Paragraph"/>
    <w:basedOn w:val="Normal"/>
    <w:uiPriority w:val="34"/>
    <w:qFormat/>
    <w:rsid w:val="002E5818"/>
    <w:pPr>
      <w:spacing w:after="160" w:line="259" w:lineRule="auto"/>
      <w:ind w:left="720"/>
      <w:contextualSpacing/>
    </w:pPr>
    <w:rPr>
      <w:rFonts w:ascii="Cambria" w:eastAsia="MS Mincho" w:hAnsi="Cambria" w:cstheme="minorBidi"/>
      <w:sz w:val="22"/>
      <w:szCs w:val="22"/>
      <w:lang w:eastAsia="en-GB"/>
    </w:rPr>
  </w:style>
  <w:style w:type="table" w:styleId="TableGrid">
    <w:name w:val="Table Grid"/>
    <w:basedOn w:val="TableNormal"/>
    <w:uiPriority w:val="59"/>
    <w:rsid w:val="00AF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B2048A"/>
    <w:pPr>
      <w:jc w:val="center"/>
    </w:pPr>
    <w:rPr>
      <w:rFonts w:ascii="Cambria" w:eastAsiaTheme="minorEastAsia" w:hAnsi="Cambria" w:cstheme="minorBidi"/>
      <w:lang w:val="en-US"/>
    </w:rPr>
  </w:style>
  <w:style w:type="paragraph" w:customStyle="1" w:styleId="EndNoteBibliography">
    <w:name w:val="EndNote Bibliography"/>
    <w:basedOn w:val="Normal"/>
    <w:rsid w:val="00B2048A"/>
    <w:rPr>
      <w:rFonts w:ascii="Cambria" w:eastAsiaTheme="minorEastAsia" w:hAnsi="Cambria" w:cstheme="minorBidi"/>
      <w:lang w:val="en-US"/>
    </w:rPr>
  </w:style>
  <w:style w:type="paragraph" w:styleId="NormalWeb">
    <w:name w:val="Normal (Web)"/>
    <w:basedOn w:val="Normal"/>
    <w:uiPriority w:val="99"/>
    <w:semiHidden/>
    <w:unhideWhenUsed/>
    <w:rsid w:val="003663C1"/>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2C2B0E"/>
    <w:rPr>
      <w:sz w:val="16"/>
      <w:szCs w:val="16"/>
    </w:rPr>
  </w:style>
  <w:style w:type="paragraph" w:styleId="CommentText">
    <w:name w:val="annotation text"/>
    <w:basedOn w:val="Normal"/>
    <w:link w:val="CommentTextChar"/>
    <w:uiPriority w:val="99"/>
    <w:unhideWhenUsed/>
    <w:rsid w:val="002C2B0E"/>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C2B0E"/>
    <w:rPr>
      <w:sz w:val="20"/>
      <w:szCs w:val="20"/>
    </w:rPr>
  </w:style>
  <w:style w:type="paragraph" w:styleId="CommentSubject">
    <w:name w:val="annotation subject"/>
    <w:basedOn w:val="CommentText"/>
    <w:next w:val="CommentText"/>
    <w:link w:val="CommentSubjectChar"/>
    <w:uiPriority w:val="99"/>
    <w:semiHidden/>
    <w:unhideWhenUsed/>
    <w:rsid w:val="002C2B0E"/>
    <w:rPr>
      <w:b/>
      <w:bCs/>
    </w:rPr>
  </w:style>
  <w:style w:type="character" w:customStyle="1" w:styleId="CommentSubjectChar">
    <w:name w:val="Comment Subject Char"/>
    <w:basedOn w:val="CommentTextChar"/>
    <w:link w:val="CommentSubject"/>
    <w:uiPriority w:val="99"/>
    <w:semiHidden/>
    <w:rsid w:val="002C2B0E"/>
    <w:rPr>
      <w:b/>
      <w:bCs/>
      <w:sz w:val="20"/>
      <w:szCs w:val="20"/>
    </w:rPr>
  </w:style>
  <w:style w:type="paragraph" w:styleId="BalloonText">
    <w:name w:val="Balloon Text"/>
    <w:basedOn w:val="Normal"/>
    <w:link w:val="BalloonTextChar"/>
    <w:uiPriority w:val="99"/>
    <w:semiHidden/>
    <w:unhideWhenUsed/>
    <w:rsid w:val="002C2B0E"/>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C2B0E"/>
    <w:rPr>
      <w:rFonts w:ascii="Segoe UI" w:hAnsi="Segoe UI" w:cs="Segoe UI"/>
      <w:sz w:val="18"/>
      <w:szCs w:val="18"/>
    </w:rPr>
  </w:style>
  <w:style w:type="paragraph" w:styleId="Header">
    <w:name w:val="header"/>
    <w:basedOn w:val="Normal"/>
    <w:link w:val="HeaderChar"/>
    <w:uiPriority w:val="99"/>
    <w:unhideWhenUsed/>
    <w:rsid w:val="008423C9"/>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423C9"/>
  </w:style>
  <w:style w:type="paragraph" w:styleId="Footer">
    <w:name w:val="footer"/>
    <w:basedOn w:val="Normal"/>
    <w:link w:val="FooterChar"/>
    <w:uiPriority w:val="99"/>
    <w:unhideWhenUsed/>
    <w:rsid w:val="008423C9"/>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423C9"/>
  </w:style>
  <w:style w:type="character" w:styleId="Hyperlink">
    <w:name w:val="Hyperlink"/>
    <w:basedOn w:val="DefaultParagraphFont"/>
    <w:uiPriority w:val="99"/>
    <w:unhideWhenUsed/>
    <w:rsid w:val="0035096E"/>
    <w:rPr>
      <w:color w:val="0000FF" w:themeColor="hyperlink"/>
      <w:u w:val="single"/>
    </w:rPr>
  </w:style>
  <w:style w:type="character" w:customStyle="1" w:styleId="UnresolvedMention1">
    <w:name w:val="Unresolved Mention1"/>
    <w:basedOn w:val="DefaultParagraphFont"/>
    <w:uiPriority w:val="99"/>
    <w:semiHidden/>
    <w:unhideWhenUsed/>
    <w:rsid w:val="0035096E"/>
    <w:rPr>
      <w:color w:val="605E5C"/>
      <w:shd w:val="clear" w:color="auto" w:fill="E1DFDD"/>
    </w:rPr>
  </w:style>
  <w:style w:type="character" w:customStyle="1" w:styleId="apple-converted-space">
    <w:name w:val="apple-converted-space"/>
    <w:basedOn w:val="DefaultParagraphFont"/>
    <w:rsid w:val="00241EE7"/>
  </w:style>
  <w:style w:type="paragraph" w:customStyle="1" w:styleId="Default">
    <w:name w:val="Default"/>
    <w:rsid w:val="00DE5054"/>
    <w:pPr>
      <w:autoSpaceDE w:val="0"/>
      <w:autoSpaceDN w:val="0"/>
      <w:adjustRightInd w:val="0"/>
    </w:pPr>
    <w:rPr>
      <w:rFonts w:ascii="Calibri" w:hAnsi="Calibri" w:cs="Calibri"/>
      <w:color w:val="000000"/>
    </w:rPr>
  </w:style>
  <w:style w:type="paragraph" w:styleId="Revision">
    <w:name w:val="Revision"/>
    <w:hidden/>
    <w:uiPriority w:val="99"/>
    <w:semiHidden/>
    <w:rsid w:val="00F600F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03A44"/>
    <w:rPr>
      <w:color w:val="800080" w:themeColor="followedHyperlink"/>
      <w:u w:val="single"/>
    </w:rPr>
  </w:style>
  <w:style w:type="character" w:customStyle="1" w:styleId="highlight">
    <w:name w:val="highlight"/>
    <w:basedOn w:val="DefaultParagraphFont"/>
    <w:rsid w:val="0036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264">
      <w:bodyDiv w:val="1"/>
      <w:marLeft w:val="0"/>
      <w:marRight w:val="0"/>
      <w:marTop w:val="0"/>
      <w:marBottom w:val="0"/>
      <w:divBdr>
        <w:top w:val="none" w:sz="0" w:space="0" w:color="auto"/>
        <w:left w:val="none" w:sz="0" w:space="0" w:color="auto"/>
        <w:bottom w:val="none" w:sz="0" w:space="0" w:color="auto"/>
        <w:right w:val="none" w:sz="0" w:space="0" w:color="auto"/>
      </w:divBdr>
    </w:div>
    <w:div w:id="8068723">
      <w:bodyDiv w:val="1"/>
      <w:marLeft w:val="0"/>
      <w:marRight w:val="0"/>
      <w:marTop w:val="0"/>
      <w:marBottom w:val="0"/>
      <w:divBdr>
        <w:top w:val="none" w:sz="0" w:space="0" w:color="auto"/>
        <w:left w:val="none" w:sz="0" w:space="0" w:color="auto"/>
        <w:bottom w:val="none" w:sz="0" w:space="0" w:color="auto"/>
        <w:right w:val="none" w:sz="0" w:space="0" w:color="auto"/>
      </w:divBdr>
    </w:div>
    <w:div w:id="21982626">
      <w:marLeft w:val="0"/>
      <w:marRight w:val="0"/>
      <w:marTop w:val="0"/>
      <w:marBottom w:val="0"/>
      <w:divBdr>
        <w:top w:val="none" w:sz="0" w:space="0" w:color="auto"/>
        <w:left w:val="none" w:sz="0" w:space="0" w:color="auto"/>
        <w:bottom w:val="none" w:sz="0" w:space="0" w:color="auto"/>
        <w:right w:val="none" w:sz="0" w:space="0" w:color="auto"/>
      </w:divBdr>
      <w:divsChild>
        <w:div w:id="884634372">
          <w:marLeft w:val="0"/>
          <w:marRight w:val="0"/>
          <w:marTop w:val="0"/>
          <w:marBottom w:val="0"/>
          <w:divBdr>
            <w:top w:val="none" w:sz="0" w:space="0" w:color="auto"/>
            <w:left w:val="none" w:sz="0" w:space="0" w:color="auto"/>
            <w:bottom w:val="none" w:sz="0" w:space="0" w:color="auto"/>
            <w:right w:val="none" w:sz="0" w:space="0" w:color="auto"/>
          </w:divBdr>
        </w:div>
      </w:divsChild>
    </w:div>
    <w:div w:id="51084521">
      <w:bodyDiv w:val="1"/>
      <w:marLeft w:val="0"/>
      <w:marRight w:val="0"/>
      <w:marTop w:val="0"/>
      <w:marBottom w:val="0"/>
      <w:divBdr>
        <w:top w:val="none" w:sz="0" w:space="0" w:color="auto"/>
        <w:left w:val="none" w:sz="0" w:space="0" w:color="auto"/>
        <w:bottom w:val="none" w:sz="0" w:space="0" w:color="auto"/>
        <w:right w:val="none" w:sz="0" w:space="0" w:color="auto"/>
      </w:divBdr>
    </w:div>
    <w:div w:id="120729467">
      <w:bodyDiv w:val="1"/>
      <w:marLeft w:val="0"/>
      <w:marRight w:val="0"/>
      <w:marTop w:val="0"/>
      <w:marBottom w:val="0"/>
      <w:divBdr>
        <w:top w:val="none" w:sz="0" w:space="0" w:color="auto"/>
        <w:left w:val="none" w:sz="0" w:space="0" w:color="auto"/>
        <w:bottom w:val="none" w:sz="0" w:space="0" w:color="auto"/>
        <w:right w:val="none" w:sz="0" w:space="0" w:color="auto"/>
      </w:divBdr>
    </w:div>
    <w:div w:id="204223154">
      <w:bodyDiv w:val="1"/>
      <w:marLeft w:val="0"/>
      <w:marRight w:val="0"/>
      <w:marTop w:val="0"/>
      <w:marBottom w:val="0"/>
      <w:divBdr>
        <w:top w:val="none" w:sz="0" w:space="0" w:color="auto"/>
        <w:left w:val="none" w:sz="0" w:space="0" w:color="auto"/>
        <w:bottom w:val="none" w:sz="0" w:space="0" w:color="auto"/>
        <w:right w:val="none" w:sz="0" w:space="0" w:color="auto"/>
      </w:divBdr>
      <w:divsChild>
        <w:div w:id="27730284">
          <w:marLeft w:val="0"/>
          <w:marRight w:val="0"/>
          <w:marTop w:val="0"/>
          <w:marBottom w:val="0"/>
          <w:divBdr>
            <w:top w:val="none" w:sz="0" w:space="0" w:color="auto"/>
            <w:left w:val="none" w:sz="0" w:space="0" w:color="auto"/>
            <w:bottom w:val="none" w:sz="0" w:space="0" w:color="auto"/>
            <w:right w:val="none" w:sz="0" w:space="0" w:color="auto"/>
          </w:divBdr>
          <w:divsChild>
            <w:div w:id="718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0383">
      <w:bodyDiv w:val="1"/>
      <w:marLeft w:val="0"/>
      <w:marRight w:val="0"/>
      <w:marTop w:val="0"/>
      <w:marBottom w:val="0"/>
      <w:divBdr>
        <w:top w:val="none" w:sz="0" w:space="0" w:color="auto"/>
        <w:left w:val="none" w:sz="0" w:space="0" w:color="auto"/>
        <w:bottom w:val="none" w:sz="0" w:space="0" w:color="auto"/>
        <w:right w:val="none" w:sz="0" w:space="0" w:color="auto"/>
      </w:divBdr>
      <w:divsChild>
        <w:div w:id="600333591">
          <w:marLeft w:val="0"/>
          <w:marRight w:val="0"/>
          <w:marTop w:val="0"/>
          <w:marBottom w:val="0"/>
          <w:divBdr>
            <w:top w:val="none" w:sz="0" w:space="0" w:color="auto"/>
            <w:left w:val="none" w:sz="0" w:space="0" w:color="auto"/>
            <w:bottom w:val="none" w:sz="0" w:space="0" w:color="auto"/>
            <w:right w:val="none" w:sz="0" w:space="0" w:color="auto"/>
          </w:divBdr>
          <w:divsChild>
            <w:div w:id="537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4020">
      <w:marLeft w:val="0"/>
      <w:marRight w:val="0"/>
      <w:marTop w:val="0"/>
      <w:marBottom w:val="0"/>
      <w:divBdr>
        <w:top w:val="none" w:sz="0" w:space="0" w:color="auto"/>
        <w:left w:val="none" w:sz="0" w:space="0" w:color="auto"/>
        <w:bottom w:val="none" w:sz="0" w:space="0" w:color="auto"/>
        <w:right w:val="none" w:sz="0" w:space="0" w:color="auto"/>
      </w:divBdr>
      <w:divsChild>
        <w:div w:id="1607040793">
          <w:marLeft w:val="0"/>
          <w:marRight w:val="0"/>
          <w:marTop w:val="0"/>
          <w:marBottom w:val="0"/>
          <w:divBdr>
            <w:top w:val="none" w:sz="0" w:space="0" w:color="auto"/>
            <w:left w:val="none" w:sz="0" w:space="0" w:color="auto"/>
            <w:bottom w:val="none" w:sz="0" w:space="0" w:color="auto"/>
            <w:right w:val="none" w:sz="0" w:space="0" w:color="auto"/>
          </w:divBdr>
        </w:div>
      </w:divsChild>
    </w:div>
    <w:div w:id="297690944">
      <w:marLeft w:val="0"/>
      <w:marRight w:val="0"/>
      <w:marTop w:val="0"/>
      <w:marBottom w:val="0"/>
      <w:divBdr>
        <w:top w:val="none" w:sz="0" w:space="0" w:color="auto"/>
        <w:left w:val="none" w:sz="0" w:space="0" w:color="auto"/>
        <w:bottom w:val="none" w:sz="0" w:space="0" w:color="auto"/>
        <w:right w:val="none" w:sz="0" w:space="0" w:color="auto"/>
      </w:divBdr>
      <w:divsChild>
        <w:div w:id="1145658261">
          <w:marLeft w:val="0"/>
          <w:marRight w:val="0"/>
          <w:marTop w:val="0"/>
          <w:marBottom w:val="0"/>
          <w:divBdr>
            <w:top w:val="none" w:sz="0" w:space="0" w:color="auto"/>
            <w:left w:val="none" w:sz="0" w:space="0" w:color="auto"/>
            <w:bottom w:val="none" w:sz="0" w:space="0" w:color="auto"/>
            <w:right w:val="none" w:sz="0" w:space="0" w:color="auto"/>
          </w:divBdr>
        </w:div>
      </w:divsChild>
    </w:div>
    <w:div w:id="406414885">
      <w:bodyDiv w:val="1"/>
      <w:marLeft w:val="0"/>
      <w:marRight w:val="0"/>
      <w:marTop w:val="0"/>
      <w:marBottom w:val="0"/>
      <w:divBdr>
        <w:top w:val="none" w:sz="0" w:space="0" w:color="auto"/>
        <w:left w:val="none" w:sz="0" w:space="0" w:color="auto"/>
        <w:bottom w:val="none" w:sz="0" w:space="0" w:color="auto"/>
        <w:right w:val="none" w:sz="0" w:space="0" w:color="auto"/>
      </w:divBdr>
      <w:divsChild>
        <w:div w:id="231476401">
          <w:marLeft w:val="0"/>
          <w:marRight w:val="0"/>
          <w:marTop w:val="0"/>
          <w:marBottom w:val="0"/>
          <w:divBdr>
            <w:top w:val="none" w:sz="0" w:space="0" w:color="auto"/>
            <w:left w:val="none" w:sz="0" w:space="0" w:color="auto"/>
            <w:bottom w:val="none" w:sz="0" w:space="0" w:color="auto"/>
            <w:right w:val="none" w:sz="0" w:space="0" w:color="auto"/>
          </w:divBdr>
          <w:divsChild>
            <w:div w:id="20792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165">
      <w:bodyDiv w:val="1"/>
      <w:marLeft w:val="0"/>
      <w:marRight w:val="0"/>
      <w:marTop w:val="0"/>
      <w:marBottom w:val="0"/>
      <w:divBdr>
        <w:top w:val="none" w:sz="0" w:space="0" w:color="auto"/>
        <w:left w:val="none" w:sz="0" w:space="0" w:color="auto"/>
        <w:bottom w:val="none" w:sz="0" w:space="0" w:color="auto"/>
        <w:right w:val="none" w:sz="0" w:space="0" w:color="auto"/>
      </w:divBdr>
    </w:div>
    <w:div w:id="676617806">
      <w:marLeft w:val="0"/>
      <w:marRight w:val="0"/>
      <w:marTop w:val="0"/>
      <w:marBottom w:val="0"/>
      <w:divBdr>
        <w:top w:val="none" w:sz="0" w:space="0" w:color="auto"/>
        <w:left w:val="none" w:sz="0" w:space="0" w:color="auto"/>
        <w:bottom w:val="none" w:sz="0" w:space="0" w:color="auto"/>
        <w:right w:val="none" w:sz="0" w:space="0" w:color="auto"/>
      </w:divBdr>
      <w:divsChild>
        <w:div w:id="1613367171">
          <w:marLeft w:val="0"/>
          <w:marRight w:val="0"/>
          <w:marTop w:val="0"/>
          <w:marBottom w:val="0"/>
          <w:divBdr>
            <w:top w:val="none" w:sz="0" w:space="0" w:color="auto"/>
            <w:left w:val="none" w:sz="0" w:space="0" w:color="auto"/>
            <w:bottom w:val="none" w:sz="0" w:space="0" w:color="auto"/>
            <w:right w:val="none" w:sz="0" w:space="0" w:color="auto"/>
          </w:divBdr>
        </w:div>
      </w:divsChild>
    </w:div>
    <w:div w:id="706953663">
      <w:marLeft w:val="0"/>
      <w:marRight w:val="0"/>
      <w:marTop w:val="0"/>
      <w:marBottom w:val="0"/>
      <w:divBdr>
        <w:top w:val="none" w:sz="0" w:space="0" w:color="auto"/>
        <w:left w:val="none" w:sz="0" w:space="0" w:color="auto"/>
        <w:bottom w:val="none" w:sz="0" w:space="0" w:color="auto"/>
        <w:right w:val="none" w:sz="0" w:space="0" w:color="auto"/>
      </w:divBdr>
      <w:divsChild>
        <w:div w:id="298996099">
          <w:marLeft w:val="0"/>
          <w:marRight w:val="0"/>
          <w:marTop w:val="0"/>
          <w:marBottom w:val="0"/>
          <w:divBdr>
            <w:top w:val="none" w:sz="0" w:space="0" w:color="auto"/>
            <w:left w:val="none" w:sz="0" w:space="0" w:color="auto"/>
            <w:bottom w:val="none" w:sz="0" w:space="0" w:color="auto"/>
            <w:right w:val="none" w:sz="0" w:space="0" w:color="auto"/>
          </w:divBdr>
        </w:div>
      </w:divsChild>
    </w:div>
    <w:div w:id="824855243">
      <w:marLeft w:val="0"/>
      <w:marRight w:val="0"/>
      <w:marTop w:val="0"/>
      <w:marBottom w:val="0"/>
      <w:divBdr>
        <w:top w:val="none" w:sz="0" w:space="0" w:color="auto"/>
        <w:left w:val="none" w:sz="0" w:space="0" w:color="auto"/>
        <w:bottom w:val="none" w:sz="0" w:space="0" w:color="auto"/>
        <w:right w:val="none" w:sz="0" w:space="0" w:color="auto"/>
      </w:divBdr>
      <w:divsChild>
        <w:div w:id="1033270415">
          <w:marLeft w:val="0"/>
          <w:marRight w:val="0"/>
          <w:marTop w:val="0"/>
          <w:marBottom w:val="0"/>
          <w:divBdr>
            <w:top w:val="none" w:sz="0" w:space="0" w:color="auto"/>
            <w:left w:val="none" w:sz="0" w:space="0" w:color="auto"/>
            <w:bottom w:val="none" w:sz="0" w:space="0" w:color="auto"/>
            <w:right w:val="none" w:sz="0" w:space="0" w:color="auto"/>
          </w:divBdr>
        </w:div>
      </w:divsChild>
    </w:div>
    <w:div w:id="843938813">
      <w:bodyDiv w:val="1"/>
      <w:marLeft w:val="0"/>
      <w:marRight w:val="0"/>
      <w:marTop w:val="0"/>
      <w:marBottom w:val="0"/>
      <w:divBdr>
        <w:top w:val="none" w:sz="0" w:space="0" w:color="auto"/>
        <w:left w:val="none" w:sz="0" w:space="0" w:color="auto"/>
        <w:bottom w:val="none" w:sz="0" w:space="0" w:color="auto"/>
        <w:right w:val="none" w:sz="0" w:space="0" w:color="auto"/>
      </w:divBdr>
    </w:div>
    <w:div w:id="921793036">
      <w:bodyDiv w:val="1"/>
      <w:marLeft w:val="0"/>
      <w:marRight w:val="0"/>
      <w:marTop w:val="0"/>
      <w:marBottom w:val="0"/>
      <w:divBdr>
        <w:top w:val="none" w:sz="0" w:space="0" w:color="auto"/>
        <w:left w:val="none" w:sz="0" w:space="0" w:color="auto"/>
        <w:bottom w:val="none" w:sz="0" w:space="0" w:color="auto"/>
        <w:right w:val="none" w:sz="0" w:space="0" w:color="auto"/>
      </w:divBdr>
      <w:divsChild>
        <w:div w:id="1105155033">
          <w:marLeft w:val="0"/>
          <w:marRight w:val="0"/>
          <w:marTop w:val="0"/>
          <w:marBottom w:val="0"/>
          <w:divBdr>
            <w:top w:val="none" w:sz="0" w:space="0" w:color="auto"/>
            <w:left w:val="none" w:sz="0" w:space="0" w:color="auto"/>
            <w:bottom w:val="none" w:sz="0" w:space="0" w:color="auto"/>
            <w:right w:val="none" w:sz="0" w:space="0" w:color="auto"/>
          </w:divBdr>
          <w:divsChild>
            <w:div w:id="14291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6473">
      <w:bodyDiv w:val="1"/>
      <w:marLeft w:val="0"/>
      <w:marRight w:val="0"/>
      <w:marTop w:val="0"/>
      <w:marBottom w:val="0"/>
      <w:divBdr>
        <w:top w:val="none" w:sz="0" w:space="0" w:color="auto"/>
        <w:left w:val="none" w:sz="0" w:space="0" w:color="auto"/>
        <w:bottom w:val="none" w:sz="0" w:space="0" w:color="auto"/>
        <w:right w:val="none" w:sz="0" w:space="0" w:color="auto"/>
      </w:divBdr>
    </w:div>
    <w:div w:id="1038505407">
      <w:marLeft w:val="0"/>
      <w:marRight w:val="0"/>
      <w:marTop w:val="0"/>
      <w:marBottom w:val="0"/>
      <w:divBdr>
        <w:top w:val="none" w:sz="0" w:space="0" w:color="auto"/>
        <w:left w:val="none" w:sz="0" w:space="0" w:color="auto"/>
        <w:bottom w:val="none" w:sz="0" w:space="0" w:color="auto"/>
        <w:right w:val="none" w:sz="0" w:space="0" w:color="auto"/>
      </w:divBdr>
      <w:divsChild>
        <w:div w:id="1112898677">
          <w:marLeft w:val="0"/>
          <w:marRight w:val="0"/>
          <w:marTop w:val="0"/>
          <w:marBottom w:val="0"/>
          <w:divBdr>
            <w:top w:val="none" w:sz="0" w:space="0" w:color="auto"/>
            <w:left w:val="none" w:sz="0" w:space="0" w:color="auto"/>
            <w:bottom w:val="none" w:sz="0" w:space="0" w:color="auto"/>
            <w:right w:val="none" w:sz="0" w:space="0" w:color="auto"/>
          </w:divBdr>
        </w:div>
      </w:divsChild>
    </w:div>
    <w:div w:id="1077556483">
      <w:bodyDiv w:val="1"/>
      <w:marLeft w:val="0"/>
      <w:marRight w:val="0"/>
      <w:marTop w:val="0"/>
      <w:marBottom w:val="0"/>
      <w:divBdr>
        <w:top w:val="none" w:sz="0" w:space="0" w:color="auto"/>
        <w:left w:val="none" w:sz="0" w:space="0" w:color="auto"/>
        <w:bottom w:val="none" w:sz="0" w:space="0" w:color="auto"/>
        <w:right w:val="none" w:sz="0" w:space="0" w:color="auto"/>
      </w:divBdr>
    </w:div>
    <w:div w:id="1104693261">
      <w:marLeft w:val="0"/>
      <w:marRight w:val="0"/>
      <w:marTop w:val="0"/>
      <w:marBottom w:val="0"/>
      <w:divBdr>
        <w:top w:val="none" w:sz="0" w:space="0" w:color="auto"/>
        <w:left w:val="none" w:sz="0" w:space="0" w:color="auto"/>
        <w:bottom w:val="none" w:sz="0" w:space="0" w:color="auto"/>
        <w:right w:val="none" w:sz="0" w:space="0" w:color="auto"/>
      </w:divBdr>
      <w:divsChild>
        <w:div w:id="1275595885">
          <w:marLeft w:val="0"/>
          <w:marRight w:val="0"/>
          <w:marTop w:val="0"/>
          <w:marBottom w:val="0"/>
          <w:divBdr>
            <w:top w:val="none" w:sz="0" w:space="0" w:color="auto"/>
            <w:left w:val="none" w:sz="0" w:space="0" w:color="auto"/>
            <w:bottom w:val="none" w:sz="0" w:space="0" w:color="auto"/>
            <w:right w:val="none" w:sz="0" w:space="0" w:color="auto"/>
          </w:divBdr>
        </w:div>
      </w:divsChild>
    </w:div>
    <w:div w:id="1141845968">
      <w:bodyDiv w:val="1"/>
      <w:marLeft w:val="0"/>
      <w:marRight w:val="0"/>
      <w:marTop w:val="0"/>
      <w:marBottom w:val="0"/>
      <w:divBdr>
        <w:top w:val="none" w:sz="0" w:space="0" w:color="auto"/>
        <w:left w:val="none" w:sz="0" w:space="0" w:color="auto"/>
        <w:bottom w:val="none" w:sz="0" w:space="0" w:color="auto"/>
        <w:right w:val="none" w:sz="0" w:space="0" w:color="auto"/>
      </w:divBdr>
    </w:div>
    <w:div w:id="1168129397">
      <w:marLeft w:val="0"/>
      <w:marRight w:val="0"/>
      <w:marTop w:val="0"/>
      <w:marBottom w:val="0"/>
      <w:divBdr>
        <w:top w:val="none" w:sz="0" w:space="0" w:color="auto"/>
        <w:left w:val="none" w:sz="0" w:space="0" w:color="auto"/>
        <w:bottom w:val="none" w:sz="0" w:space="0" w:color="auto"/>
        <w:right w:val="none" w:sz="0" w:space="0" w:color="auto"/>
      </w:divBdr>
      <w:divsChild>
        <w:div w:id="1720520013">
          <w:marLeft w:val="0"/>
          <w:marRight w:val="0"/>
          <w:marTop w:val="0"/>
          <w:marBottom w:val="0"/>
          <w:divBdr>
            <w:top w:val="none" w:sz="0" w:space="0" w:color="auto"/>
            <w:left w:val="none" w:sz="0" w:space="0" w:color="auto"/>
            <w:bottom w:val="none" w:sz="0" w:space="0" w:color="auto"/>
            <w:right w:val="none" w:sz="0" w:space="0" w:color="auto"/>
          </w:divBdr>
        </w:div>
      </w:divsChild>
    </w:div>
    <w:div w:id="1259674142">
      <w:marLeft w:val="0"/>
      <w:marRight w:val="0"/>
      <w:marTop w:val="0"/>
      <w:marBottom w:val="0"/>
      <w:divBdr>
        <w:top w:val="none" w:sz="0" w:space="0" w:color="auto"/>
        <w:left w:val="none" w:sz="0" w:space="0" w:color="auto"/>
        <w:bottom w:val="none" w:sz="0" w:space="0" w:color="auto"/>
        <w:right w:val="none" w:sz="0" w:space="0" w:color="auto"/>
      </w:divBdr>
      <w:divsChild>
        <w:div w:id="2074304757">
          <w:marLeft w:val="0"/>
          <w:marRight w:val="0"/>
          <w:marTop w:val="0"/>
          <w:marBottom w:val="0"/>
          <w:divBdr>
            <w:top w:val="none" w:sz="0" w:space="0" w:color="auto"/>
            <w:left w:val="none" w:sz="0" w:space="0" w:color="auto"/>
            <w:bottom w:val="none" w:sz="0" w:space="0" w:color="auto"/>
            <w:right w:val="none" w:sz="0" w:space="0" w:color="auto"/>
          </w:divBdr>
        </w:div>
      </w:divsChild>
    </w:div>
    <w:div w:id="1435322096">
      <w:marLeft w:val="0"/>
      <w:marRight w:val="0"/>
      <w:marTop w:val="0"/>
      <w:marBottom w:val="0"/>
      <w:divBdr>
        <w:top w:val="none" w:sz="0" w:space="0" w:color="auto"/>
        <w:left w:val="none" w:sz="0" w:space="0" w:color="auto"/>
        <w:bottom w:val="none" w:sz="0" w:space="0" w:color="auto"/>
        <w:right w:val="none" w:sz="0" w:space="0" w:color="auto"/>
      </w:divBdr>
      <w:divsChild>
        <w:div w:id="1555190208">
          <w:marLeft w:val="0"/>
          <w:marRight w:val="0"/>
          <w:marTop w:val="0"/>
          <w:marBottom w:val="0"/>
          <w:divBdr>
            <w:top w:val="none" w:sz="0" w:space="0" w:color="auto"/>
            <w:left w:val="none" w:sz="0" w:space="0" w:color="auto"/>
            <w:bottom w:val="none" w:sz="0" w:space="0" w:color="auto"/>
            <w:right w:val="none" w:sz="0" w:space="0" w:color="auto"/>
          </w:divBdr>
        </w:div>
      </w:divsChild>
    </w:div>
    <w:div w:id="1443962443">
      <w:bodyDiv w:val="1"/>
      <w:marLeft w:val="0"/>
      <w:marRight w:val="0"/>
      <w:marTop w:val="0"/>
      <w:marBottom w:val="0"/>
      <w:divBdr>
        <w:top w:val="none" w:sz="0" w:space="0" w:color="auto"/>
        <w:left w:val="none" w:sz="0" w:space="0" w:color="auto"/>
        <w:bottom w:val="none" w:sz="0" w:space="0" w:color="auto"/>
        <w:right w:val="none" w:sz="0" w:space="0" w:color="auto"/>
      </w:divBdr>
    </w:div>
    <w:div w:id="1467430004">
      <w:marLeft w:val="0"/>
      <w:marRight w:val="0"/>
      <w:marTop w:val="0"/>
      <w:marBottom w:val="0"/>
      <w:divBdr>
        <w:top w:val="none" w:sz="0" w:space="0" w:color="auto"/>
        <w:left w:val="none" w:sz="0" w:space="0" w:color="auto"/>
        <w:bottom w:val="none" w:sz="0" w:space="0" w:color="auto"/>
        <w:right w:val="none" w:sz="0" w:space="0" w:color="auto"/>
      </w:divBdr>
      <w:divsChild>
        <w:div w:id="1010378994">
          <w:marLeft w:val="0"/>
          <w:marRight w:val="0"/>
          <w:marTop w:val="0"/>
          <w:marBottom w:val="0"/>
          <w:divBdr>
            <w:top w:val="none" w:sz="0" w:space="0" w:color="auto"/>
            <w:left w:val="none" w:sz="0" w:space="0" w:color="auto"/>
            <w:bottom w:val="none" w:sz="0" w:space="0" w:color="auto"/>
            <w:right w:val="none" w:sz="0" w:space="0" w:color="auto"/>
          </w:divBdr>
        </w:div>
      </w:divsChild>
    </w:div>
    <w:div w:id="1576620311">
      <w:bodyDiv w:val="1"/>
      <w:marLeft w:val="0"/>
      <w:marRight w:val="0"/>
      <w:marTop w:val="0"/>
      <w:marBottom w:val="0"/>
      <w:divBdr>
        <w:top w:val="none" w:sz="0" w:space="0" w:color="auto"/>
        <w:left w:val="none" w:sz="0" w:space="0" w:color="auto"/>
        <w:bottom w:val="none" w:sz="0" w:space="0" w:color="auto"/>
        <w:right w:val="none" w:sz="0" w:space="0" w:color="auto"/>
      </w:divBdr>
    </w:div>
    <w:div w:id="1589726317">
      <w:bodyDiv w:val="1"/>
      <w:marLeft w:val="0"/>
      <w:marRight w:val="0"/>
      <w:marTop w:val="0"/>
      <w:marBottom w:val="0"/>
      <w:divBdr>
        <w:top w:val="none" w:sz="0" w:space="0" w:color="auto"/>
        <w:left w:val="none" w:sz="0" w:space="0" w:color="auto"/>
        <w:bottom w:val="none" w:sz="0" w:space="0" w:color="auto"/>
        <w:right w:val="none" w:sz="0" w:space="0" w:color="auto"/>
      </w:divBdr>
    </w:div>
    <w:div w:id="1621376255">
      <w:marLeft w:val="0"/>
      <w:marRight w:val="0"/>
      <w:marTop w:val="0"/>
      <w:marBottom w:val="0"/>
      <w:divBdr>
        <w:top w:val="none" w:sz="0" w:space="0" w:color="auto"/>
        <w:left w:val="none" w:sz="0" w:space="0" w:color="auto"/>
        <w:bottom w:val="none" w:sz="0" w:space="0" w:color="auto"/>
        <w:right w:val="none" w:sz="0" w:space="0" w:color="auto"/>
      </w:divBdr>
      <w:divsChild>
        <w:div w:id="1118336387">
          <w:marLeft w:val="0"/>
          <w:marRight w:val="0"/>
          <w:marTop w:val="0"/>
          <w:marBottom w:val="0"/>
          <w:divBdr>
            <w:top w:val="none" w:sz="0" w:space="0" w:color="auto"/>
            <w:left w:val="none" w:sz="0" w:space="0" w:color="auto"/>
            <w:bottom w:val="none" w:sz="0" w:space="0" w:color="auto"/>
            <w:right w:val="none" w:sz="0" w:space="0" w:color="auto"/>
          </w:divBdr>
        </w:div>
      </w:divsChild>
    </w:div>
    <w:div w:id="1622490686">
      <w:marLeft w:val="0"/>
      <w:marRight w:val="0"/>
      <w:marTop w:val="0"/>
      <w:marBottom w:val="0"/>
      <w:divBdr>
        <w:top w:val="none" w:sz="0" w:space="0" w:color="auto"/>
        <w:left w:val="none" w:sz="0" w:space="0" w:color="auto"/>
        <w:bottom w:val="none" w:sz="0" w:space="0" w:color="auto"/>
        <w:right w:val="none" w:sz="0" w:space="0" w:color="auto"/>
      </w:divBdr>
      <w:divsChild>
        <w:div w:id="1355116247">
          <w:marLeft w:val="0"/>
          <w:marRight w:val="0"/>
          <w:marTop w:val="0"/>
          <w:marBottom w:val="0"/>
          <w:divBdr>
            <w:top w:val="none" w:sz="0" w:space="0" w:color="auto"/>
            <w:left w:val="none" w:sz="0" w:space="0" w:color="auto"/>
            <w:bottom w:val="none" w:sz="0" w:space="0" w:color="auto"/>
            <w:right w:val="none" w:sz="0" w:space="0" w:color="auto"/>
          </w:divBdr>
        </w:div>
      </w:divsChild>
    </w:div>
    <w:div w:id="1624268254">
      <w:bodyDiv w:val="1"/>
      <w:marLeft w:val="0"/>
      <w:marRight w:val="0"/>
      <w:marTop w:val="0"/>
      <w:marBottom w:val="0"/>
      <w:divBdr>
        <w:top w:val="none" w:sz="0" w:space="0" w:color="auto"/>
        <w:left w:val="none" w:sz="0" w:space="0" w:color="auto"/>
        <w:bottom w:val="none" w:sz="0" w:space="0" w:color="auto"/>
        <w:right w:val="none" w:sz="0" w:space="0" w:color="auto"/>
      </w:divBdr>
    </w:div>
    <w:div w:id="1660385296">
      <w:marLeft w:val="0"/>
      <w:marRight w:val="0"/>
      <w:marTop w:val="0"/>
      <w:marBottom w:val="0"/>
      <w:divBdr>
        <w:top w:val="none" w:sz="0" w:space="0" w:color="auto"/>
        <w:left w:val="none" w:sz="0" w:space="0" w:color="auto"/>
        <w:bottom w:val="none" w:sz="0" w:space="0" w:color="auto"/>
        <w:right w:val="none" w:sz="0" w:space="0" w:color="auto"/>
      </w:divBdr>
      <w:divsChild>
        <w:div w:id="1694262118">
          <w:marLeft w:val="0"/>
          <w:marRight w:val="0"/>
          <w:marTop w:val="0"/>
          <w:marBottom w:val="0"/>
          <w:divBdr>
            <w:top w:val="none" w:sz="0" w:space="0" w:color="auto"/>
            <w:left w:val="none" w:sz="0" w:space="0" w:color="auto"/>
            <w:bottom w:val="none" w:sz="0" w:space="0" w:color="auto"/>
            <w:right w:val="none" w:sz="0" w:space="0" w:color="auto"/>
          </w:divBdr>
        </w:div>
      </w:divsChild>
    </w:div>
    <w:div w:id="1747219788">
      <w:marLeft w:val="0"/>
      <w:marRight w:val="0"/>
      <w:marTop w:val="0"/>
      <w:marBottom w:val="0"/>
      <w:divBdr>
        <w:top w:val="none" w:sz="0" w:space="0" w:color="auto"/>
        <w:left w:val="none" w:sz="0" w:space="0" w:color="auto"/>
        <w:bottom w:val="none" w:sz="0" w:space="0" w:color="auto"/>
        <w:right w:val="none" w:sz="0" w:space="0" w:color="auto"/>
      </w:divBdr>
      <w:divsChild>
        <w:div w:id="726612535">
          <w:marLeft w:val="0"/>
          <w:marRight w:val="0"/>
          <w:marTop w:val="0"/>
          <w:marBottom w:val="0"/>
          <w:divBdr>
            <w:top w:val="none" w:sz="0" w:space="0" w:color="auto"/>
            <w:left w:val="none" w:sz="0" w:space="0" w:color="auto"/>
            <w:bottom w:val="none" w:sz="0" w:space="0" w:color="auto"/>
            <w:right w:val="none" w:sz="0" w:space="0" w:color="auto"/>
          </w:divBdr>
        </w:div>
      </w:divsChild>
    </w:div>
    <w:div w:id="1789470054">
      <w:bodyDiv w:val="1"/>
      <w:marLeft w:val="0"/>
      <w:marRight w:val="0"/>
      <w:marTop w:val="0"/>
      <w:marBottom w:val="0"/>
      <w:divBdr>
        <w:top w:val="none" w:sz="0" w:space="0" w:color="auto"/>
        <w:left w:val="none" w:sz="0" w:space="0" w:color="auto"/>
        <w:bottom w:val="none" w:sz="0" w:space="0" w:color="auto"/>
        <w:right w:val="none" w:sz="0" w:space="0" w:color="auto"/>
      </w:divBdr>
    </w:div>
    <w:div w:id="1957908397">
      <w:marLeft w:val="0"/>
      <w:marRight w:val="0"/>
      <w:marTop w:val="0"/>
      <w:marBottom w:val="0"/>
      <w:divBdr>
        <w:top w:val="none" w:sz="0" w:space="0" w:color="auto"/>
        <w:left w:val="none" w:sz="0" w:space="0" w:color="auto"/>
        <w:bottom w:val="none" w:sz="0" w:space="0" w:color="auto"/>
        <w:right w:val="none" w:sz="0" w:space="0" w:color="auto"/>
      </w:divBdr>
      <w:divsChild>
        <w:div w:id="571082509">
          <w:marLeft w:val="0"/>
          <w:marRight w:val="0"/>
          <w:marTop w:val="0"/>
          <w:marBottom w:val="0"/>
          <w:divBdr>
            <w:top w:val="none" w:sz="0" w:space="0" w:color="auto"/>
            <w:left w:val="none" w:sz="0" w:space="0" w:color="auto"/>
            <w:bottom w:val="none" w:sz="0" w:space="0" w:color="auto"/>
            <w:right w:val="none" w:sz="0" w:space="0" w:color="auto"/>
          </w:divBdr>
        </w:div>
      </w:divsChild>
    </w:div>
    <w:div w:id="2021662914">
      <w:marLeft w:val="0"/>
      <w:marRight w:val="0"/>
      <w:marTop w:val="0"/>
      <w:marBottom w:val="0"/>
      <w:divBdr>
        <w:top w:val="none" w:sz="0" w:space="0" w:color="auto"/>
        <w:left w:val="none" w:sz="0" w:space="0" w:color="auto"/>
        <w:bottom w:val="none" w:sz="0" w:space="0" w:color="auto"/>
        <w:right w:val="none" w:sz="0" w:space="0" w:color="auto"/>
      </w:divBdr>
      <w:divsChild>
        <w:div w:id="1938562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a@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D396-4094-44A6-864B-A6D5DC85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10110</Words>
  <Characters>57632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Dennis</dc:creator>
  <cp:keywords/>
  <dc:description/>
  <cp:lastModifiedBy>John Dennis</cp:lastModifiedBy>
  <cp:revision>4</cp:revision>
  <cp:lastPrinted>2018-10-08T13:17:00Z</cp:lastPrinted>
  <dcterms:created xsi:type="dcterms:W3CDTF">2019-06-18T13:46:00Z</dcterms:created>
  <dcterms:modified xsi:type="dcterms:W3CDTF">2019-06-20T11:32:00Z</dcterms:modified>
</cp:coreProperties>
</file>