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350A6" w14:textId="77777777" w:rsidR="00930957" w:rsidRDefault="00930957" w:rsidP="00930957">
      <w:bookmarkStart w:id="0" w:name="_Hlk517616885"/>
      <w:bookmarkStart w:id="1" w:name="_GoBack"/>
      <w:bookmarkEnd w:id="1"/>
      <w:r>
        <w:rPr>
          <w:sz w:val="48"/>
        </w:rPr>
        <w:t>Greater Trochanteric Pain Syndrome in the UK National Health Service: A multi-centre service evaluation</w:t>
      </w:r>
    </w:p>
    <w:p w14:paraId="41C9CBDF" w14:textId="77777777" w:rsidR="00930957" w:rsidRPr="000F20B7" w:rsidRDefault="00930957" w:rsidP="00930957">
      <w:pPr>
        <w:rPr>
          <w:sz w:val="24"/>
          <w:vertAlign w:val="superscript"/>
        </w:rPr>
      </w:pPr>
      <w:r w:rsidRPr="001A68AB">
        <w:rPr>
          <w:sz w:val="24"/>
        </w:rPr>
        <w:t>Gareth Stephens</w:t>
      </w:r>
      <w:r w:rsidRPr="001A68AB">
        <w:rPr>
          <w:sz w:val="24"/>
          <w:vertAlign w:val="superscript"/>
        </w:rPr>
        <w:t>1</w:t>
      </w:r>
      <w:r w:rsidRPr="001A68AB">
        <w:rPr>
          <w:sz w:val="24"/>
        </w:rPr>
        <w:t xml:space="preserve">, </w:t>
      </w:r>
      <w:r>
        <w:rPr>
          <w:sz w:val="24"/>
        </w:rPr>
        <w:t>Seth O’Neill</w:t>
      </w:r>
      <w:r>
        <w:rPr>
          <w:sz w:val="24"/>
          <w:vertAlign w:val="superscript"/>
        </w:rPr>
        <w:t>2</w:t>
      </w:r>
      <w:r>
        <w:rPr>
          <w:sz w:val="24"/>
        </w:rPr>
        <w:t>, Chris Clifford</w:t>
      </w:r>
      <w:r>
        <w:rPr>
          <w:sz w:val="24"/>
          <w:vertAlign w:val="superscript"/>
        </w:rPr>
        <w:t>3</w:t>
      </w:r>
      <w:r>
        <w:rPr>
          <w:sz w:val="24"/>
        </w:rPr>
        <w:t>, Andrew Cuff</w:t>
      </w:r>
      <w:r>
        <w:rPr>
          <w:sz w:val="24"/>
          <w:vertAlign w:val="superscript"/>
        </w:rPr>
        <w:t>4</w:t>
      </w:r>
      <w:r>
        <w:rPr>
          <w:sz w:val="24"/>
        </w:rPr>
        <w:t>, Felipe Forte</w:t>
      </w:r>
      <w:r>
        <w:rPr>
          <w:sz w:val="24"/>
          <w:vertAlign w:val="superscript"/>
        </w:rPr>
        <w:t>5</w:t>
      </w:r>
      <w:r>
        <w:rPr>
          <w:sz w:val="24"/>
        </w:rPr>
        <w:t>, Catrin Hawthorn</w:t>
      </w:r>
      <w:r>
        <w:rPr>
          <w:sz w:val="24"/>
          <w:vertAlign w:val="superscript"/>
        </w:rPr>
        <w:t>6</w:t>
      </w:r>
      <w:r>
        <w:rPr>
          <w:sz w:val="24"/>
        </w:rPr>
        <w:t>, Chris Littlewood</w:t>
      </w:r>
      <w:r>
        <w:rPr>
          <w:sz w:val="24"/>
          <w:vertAlign w:val="superscript"/>
        </w:rPr>
        <w:t>7</w:t>
      </w:r>
      <w:r>
        <w:rPr>
          <w:sz w:val="24"/>
        </w:rPr>
        <w:t>.</w:t>
      </w:r>
    </w:p>
    <w:p w14:paraId="759EF324" w14:textId="77777777" w:rsidR="00930957" w:rsidRDefault="00930957" w:rsidP="00930957">
      <w:pPr>
        <w:rPr>
          <w:vertAlign w:val="superscript"/>
        </w:rPr>
      </w:pPr>
    </w:p>
    <w:p w14:paraId="6DE290B4" w14:textId="77777777" w:rsidR="00930957" w:rsidRDefault="00930957" w:rsidP="00930957">
      <w:pPr>
        <w:spacing w:after="0" w:line="480" w:lineRule="auto"/>
      </w:pPr>
      <w:r w:rsidRPr="00F46643">
        <w:rPr>
          <w:vertAlign w:val="superscript"/>
        </w:rPr>
        <w:t xml:space="preserve">1 </w:t>
      </w:r>
      <w:r w:rsidRPr="00F46643">
        <w:t>The Royal Orthopaedic Hospital, Birmingham, UK.</w:t>
      </w:r>
    </w:p>
    <w:p w14:paraId="27D6477F" w14:textId="77777777" w:rsidR="00930957" w:rsidRDefault="00930957" w:rsidP="00930957">
      <w:pPr>
        <w:spacing w:after="0" w:line="480" w:lineRule="auto"/>
      </w:pPr>
      <w:r w:rsidRPr="00F46643">
        <w:rPr>
          <w:vertAlign w:val="superscript"/>
        </w:rPr>
        <w:t>2</w:t>
      </w:r>
      <w:r w:rsidRPr="00F46643">
        <w:t>University of Leicester, East Midlands, UK.</w:t>
      </w:r>
    </w:p>
    <w:p w14:paraId="6281A196" w14:textId="77777777" w:rsidR="00930957" w:rsidRPr="00C11861" w:rsidRDefault="00930957" w:rsidP="00930957">
      <w:pPr>
        <w:spacing w:after="0" w:line="480" w:lineRule="auto"/>
      </w:pPr>
      <w:r>
        <w:rPr>
          <w:vertAlign w:val="superscript"/>
        </w:rPr>
        <w:t>3</w:t>
      </w:r>
      <w:r>
        <w:t>Gartnavel General Hospital, Glasgow, UK</w:t>
      </w:r>
    </w:p>
    <w:p w14:paraId="2220D827" w14:textId="77777777" w:rsidR="00930957" w:rsidRDefault="00930957" w:rsidP="00930957">
      <w:pPr>
        <w:spacing w:after="0" w:line="480" w:lineRule="auto"/>
      </w:pPr>
      <w:r w:rsidRPr="00C11861">
        <w:rPr>
          <w:vertAlign w:val="superscript"/>
        </w:rPr>
        <w:t>4</w:t>
      </w:r>
      <w:r w:rsidRPr="00C11861">
        <w:t>Wakefield Musculoskeletal Service, Trinity Medical Centre, Wakefield</w:t>
      </w:r>
      <w:r>
        <w:t>, UK.</w:t>
      </w:r>
    </w:p>
    <w:p w14:paraId="61110FC8" w14:textId="77777777" w:rsidR="00930957" w:rsidRDefault="00930957" w:rsidP="00930957">
      <w:pPr>
        <w:spacing w:after="0" w:line="480" w:lineRule="auto"/>
      </w:pPr>
      <w:r>
        <w:rPr>
          <w:vertAlign w:val="superscript"/>
        </w:rPr>
        <w:t>5</w:t>
      </w:r>
      <w:r>
        <w:t>Sandwell and West Birmingham NHS Hospitals, UK.</w:t>
      </w:r>
    </w:p>
    <w:p w14:paraId="66974DA9" w14:textId="77777777" w:rsidR="00930957" w:rsidRPr="00F46643" w:rsidRDefault="00930957" w:rsidP="00930957">
      <w:pPr>
        <w:spacing w:after="0" w:line="480" w:lineRule="auto"/>
      </w:pPr>
      <w:r w:rsidRPr="00F14FD2">
        <w:rPr>
          <w:vertAlign w:val="superscript"/>
        </w:rPr>
        <w:t>6</w:t>
      </w:r>
      <w:r w:rsidRPr="00F14FD2">
        <w:t>Glangwili Hospital, Carmarthen</w:t>
      </w:r>
      <w:r>
        <w:t>, UK</w:t>
      </w:r>
    </w:p>
    <w:p w14:paraId="558B3CB6" w14:textId="77777777" w:rsidR="00930957" w:rsidRDefault="00930957" w:rsidP="00930957">
      <w:r>
        <w:rPr>
          <w:vertAlign w:val="superscript"/>
        </w:rPr>
        <w:t>7</w:t>
      </w:r>
      <w:r>
        <w:t xml:space="preserve">Primary Care Centre versus Arthritis, Research Institute for Primary Care and Health Sciences, Keele University, Staffordshire, UK. </w:t>
      </w:r>
      <w:hyperlink r:id="rId8" w:history="1">
        <w:r w:rsidRPr="00334DA1">
          <w:rPr>
            <w:rStyle w:val="Hyperlink"/>
          </w:rPr>
          <w:t>c.littlewood@keele.ac.uk</w:t>
        </w:r>
      </w:hyperlink>
    </w:p>
    <w:p w14:paraId="59A4F6AB" w14:textId="77777777" w:rsidR="00930957" w:rsidRPr="000F20B7" w:rsidRDefault="00930957" w:rsidP="00930957">
      <w:pPr>
        <w:spacing w:after="0" w:line="480" w:lineRule="auto"/>
      </w:pPr>
    </w:p>
    <w:p w14:paraId="2897F52F" w14:textId="77777777" w:rsidR="00930957" w:rsidRPr="000F20B7" w:rsidRDefault="00930957" w:rsidP="00930957">
      <w:pPr>
        <w:spacing w:after="0" w:line="480" w:lineRule="auto"/>
      </w:pPr>
    </w:p>
    <w:p w14:paraId="68A5D79A" w14:textId="77777777" w:rsidR="00930957" w:rsidRDefault="00930957" w:rsidP="00930957">
      <w:pPr>
        <w:spacing w:after="0" w:line="480" w:lineRule="auto"/>
      </w:pPr>
    </w:p>
    <w:p w14:paraId="3D4D0C62" w14:textId="77777777" w:rsidR="00930957" w:rsidRDefault="00930957" w:rsidP="00930957">
      <w:pPr>
        <w:spacing w:line="480" w:lineRule="auto"/>
        <w:rPr>
          <w:vertAlign w:val="superscript"/>
        </w:rPr>
      </w:pPr>
    </w:p>
    <w:p w14:paraId="4FE0D27C" w14:textId="77777777" w:rsidR="00930957" w:rsidRPr="00F46643" w:rsidRDefault="00930957" w:rsidP="00930957">
      <w:pPr>
        <w:spacing w:line="480" w:lineRule="auto"/>
        <w:rPr>
          <w:vertAlign w:val="superscript"/>
        </w:rPr>
      </w:pPr>
      <w:r w:rsidRPr="00F46643">
        <w:rPr>
          <w:vertAlign w:val="superscript"/>
        </w:rPr>
        <w:t>1</w:t>
      </w:r>
      <w:r w:rsidRPr="00F46643">
        <w:t xml:space="preserve">The Royal Orthopaedic Hospital NHS Trust, Physiotherapy Department, The Woodlands, Bristol Road South, Birmingham, B31 2AP. Tel. 01216854120. Email. </w:t>
      </w:r>
      <w:hyperlink r:id="rId9" w:history="1">
        <w:r w:rsidRPr="00F46643">
          <w:rPr>
            <w:rStyle w:val="Hyperlink"/>
          </w:rPr>
          <w:t>Gareth.stephens@nhs.net</w:t>
        </w:r>
      </w:hyperlink>
    </w:p>
    <w:p w14:paraId="7EF7B270" w14:textId="77777777" w:rsidR="00930957" w:rsidRDefault="00930957" w:rsidP="00930957"/>
    <w:p w14:paraId="3E89BB82" w14:textId="77777777" w:rsidR="00930957" w:rsidRDefault="00930957" w:rsidP="002171D1">
      <w:pPr>
        <w:spacing w:line="480" w:lineRule="auto"/>
        <w:jc w:val="center"/>
        <w:rPr>
          <w:b/>
          <w:u w:val="single"/>
        </w:rPr>
      </w:pPr>
    </w:p>
    <w:p w14:paraId="0FD01B2A" w14:textId="77777777" w:rsidR="00930957" w:rsidRDefault="00930957" w:rsidP="002171D1">
      <w:pPr>
        <w:spacing w:line="480" w:lineRule="auto"/>
        <w:jc w:val="center"/>
        <w:rPr>
          <w:b/>
          <w:u w:val="single"/>
        </w:rPr>
      </w:pPr>
    </w:p>
    <w:p w14:paraId="2E9BC93B" w14:textId="77777777" w:rsidR="00930957" w:rsidRDefault="00930957" w:rsidP="002171D1">
      <w:pPr>
        <w:spacing w:line="480" w:lineRule="auto"/>
        <w:jc w:val="center"/>
        <w:rPr>
          <w:b/>
          <w:u w:val="single"/>
        </w:rPr>
      </w:pPr>
    </w:p>
    <w:p w14:paraId="43A1572B" w14:textId="591C52A7" w:rsidR="0040327A" w:rsidRPr="009D57C1" w:rsidRDefault="0040327A" w:rsidP="002171D1">
      <w:pPr>
        <w:spacing w:line="480" w:lineRule="auto"/>
        <w:jc w:val="center"/>
        <w:rPr>
          <w:b/>
        </w:rPr>
      </w:pPr>
      <w:r w:rsidRPr="00F46643">
        <w:rPr>
          <w:b/>
          <w:u w:val="single"/>
        </w:rPr>
        <w:lastRenderedPageBreak/>
        <w:t>1. INTRODUCTION</w:t>
      </w:r>
    </w:p>
    <w:p w14:paraId="02B7454C" w14:textId="6BECCDB1" w:rsidR="005228FC" w:rsidRDefault="0040327A" w:rsidP="00B74783">
      <w:pPr>
        <w:spacing w:after="0" w:line="480" w:lineRule="auto"/>
        <w:rPr>
          <w:lang w:eastAsia="en-GB"/>
        </w:rPr>
      </w:pPr>
      <w:r w:rsidRPr="00F46643">
        <w:rPr>
          <w:lang w:eastAsia="en-GB"/>
        </w:rPr>
        <w:t>Greater Trochanteric Pain syndrome (GTPS) is a debilitating condition causing lateral hip pa</w:t>
      </w:r>
      <w:r w:rsidR="000B0F06">
        <w:rPr>
          <w:lang w:eastAsia="en-GB"/>
        </w:rPr>
        <w:t>in</w:t>
      </w:r>
      <w:r w:rsidR="009424C3">
        <w:rPr>
          <w:lang w:eastAsia="en-GB"/>
        </w:rPr>
        <w:t xml:space="preserve"> (Grimaldi &amp; Fearon, 2015)</w:t>
      </w:r>
      <w:r w:rsidRPr="00F46643">
        <w:rPr>
          <w:lang w:eastAsia="en-GB"/>
        </w:rPr>
        <w:t>. It affects up to 23.5% of women and 8% of men between 50-75 years old</w:t>
      </w:r>
      <w:r w:rsidR="009424C3">
        <w:rPr>
          <w:lang w:eastAsia="en-GB"/>
        </w:rPr>
        <w:t xml:space="preserve"> (Segal et al., 2007)</w:t>
      </w:r>
      <w:r w:rsidRPr="00F46643">
        <w:rPr>
          <w:lang w:eastAsia="en-GB"/>
        </w:rPr>
        <w:t xml:space="preserve">. </w:t>
      </w:r>
      <w:r w:rsidR="00DA37E5">
        <w:rPr>
          <w:lang w:eastAsia="en-GB"/>
        </w:rPr>
        <w:t>Existing data suggests that p</w:t>
      </w:r>
      <w:r w:rsidRPr="00F46643">
        <w:rPr>
          <w:lang w:eastAsia="en-GB"/>
        </w:rPr>
        <w:t>atients with GTPS report difficulty sleeping</w:t>
      </w:r>
      <w:r w:rsidR="00DA37E5">
        <w:rPr>
          <w:lang w:eastAsia="en-GB"/>
        </w:rPr>
        <w:t xml:space="preserve">; </w:t>
      </w:r>
      <w:r w:rsidR="009D57C1">
        <w:rPr>
          <w:lang w:eastAsia="en-GB"/>
        </w:rPr>
        <w:t xml:space="preserve">and </w:t>
      </w:r>
      <w:r w:rsidRPr="00F46643">
        <w:rPr>
          <w:lang w:eastAsia="en-GB"/>
        </w:rPr>
        <w:t>moderate to severe pain and disability</w:t>
      </w:r>
      <w:r w:rsidR="00DA37E5">
        <w:rPr>
          <w:lang w:eastAsia="en-GB"/>
        </w:rPr>
        <w:t>, and</w:t>
      </w:r>
      <w:r w:rsidRPr="00F46643">
        <w:rPr>
          <w:lang w:eastAsia="en-GB"/>
        </w:rPr>
        <w:t xml:space="preserve"> comparable quality of life to people with advanced osteoarthritis of the hip</w:t>
      </w:r>
      <w:r w:rsidR="009424C3">
        <w:rPr>
          <w:lang w:eastAsia="en-GB"/>
        </w:rPr>
        <w:t xml:space="preserve"> (Fearon et al., 2013; Fearon et al., 2014)</w:t>
      </w:r>
      <w:r w:rsidRPr="00F46643">
        <w:rPr>
          <w:lang w:eastAsia="en-GB"/>
        </w:rPr>
        <w:t>.</w:t>
      </w:r>
      <w:r w:rsidR="006E7C4C" w:rsidRPr="006E7C4C">
        <w:rPr>
          <w:rFonts w:eastAsiaTheme="minorEastAsia"/>
          <w:lang w:eastAsia="en-GB"/>
        </w:rPr>
        <w:t xml:space="preserve"> </w:t>
      </w:r>
      <w:r w:rsidR="00945B9F" w:rsidRPr="00F46643">
        <w:rPr>
          <w:lang w:eastAsia="en-GB"/>
        </w:rPr>
        <w:t xml:space="preserve">Originally considered an inflammatory condition of the trochanteric bursa; recent imaging, surgical and histology studies have suggested it to be, most commonly, a condition associated with tendinopathy of the </w:t>
      </w:r>
      <w:r w:rsidR="00945B9F">
        <w:rPr>
          <w:lang w:eastAsia="en-GB"/>
        </w:rPr>
        <w:t>g</w:t>
      </w:r>
      <w:r w:rsidR="00945B9F" w:rsidRPr="00F46643">
        <w:rPr>
          <w:lang w:eastAsia="en-GB"/>
        </w:rPr>
        <w:t xml:space="preserve">luteus </w:t>
      </w:r>
      <w:r w:rsidR="00945B9F">
        <w:rPr>
          <w:lang w:eastAsia="en-GB"/>
        </w:rPr>
        <w:t>m</w:t>
      </w:r>
      <w:r w:rsidR="00945B9F" w:rsidRPr="00F46643">
        <w:rPr>
          <w:lang w:eastAsia="en-GB"/>
        </w:rPr>
        <w:t>edius and</w:t>
      </w:r>
      <w:r w:rsidR="00945B9F">
        <w:rPr>
          <w:lang w:eastAsia="en-GB"/>
        </w:rPr>
        <w:t xml:space="preserve"> m</w:t>
      </w:r>
      <w:r w:rsidR="00945B9F" w:rsidRPr="00F46643">
        <w:rPr>
          <w:lang w:eastAsia="en-GB"/>
        </w:rPr>
        <w:t>inimus tendons at the site of their insertion onto the greater tuberosity of the f</w:t>
      </w:r>
      <w:r w:rsidR="009424C3">
        <w:rPr>
          <w:lang w:eastAsia="en-GB"/>
        </w:rPr>
        <w:t>e</w:t>
      </w:r>
      <w:r w:rsidR="00945B9F" w:rsidRPr="00F46643">
        <w:rPr>
          <w:lang w:eastAsia="en-GB"/>
        </w:rPr>
        <w:t>mur</w:t>
      </w:r>
      <w:r w:rsidR="009424C3">
        <w:rPr>
          <w:lang w:eastAsia="en-GB"/>
        </w:rPr>
        <w:t xml:space="preserve"> (Fearon et al., 2010; Long, Surrey &amp; Nazarian, 2013).</w:t>
      </w:r>
    </w:p>
    <w:p w14:paraId="6F7A457F" w14:textId="29ABDD37" w:rsidR="00D153EA" w:rsidRDefault="00461422" w:rsidP="00B74783">
      <w:pPr>
        <w:spacing w:after="0" w:line="480" w:lineRule="auto"/>
        <w:rPr>
          <w:lang w:eastAsia="en-GB"/>
        </w:rPr>
      </w:pPr>
      <w:bookmarkStart w:id="2" w:name="_Hlk4614441"/>
      <w:r>
        <w:rPr>
          <w:lang w:eastAsia="en-GB"/>
        </w:rPr>
        <w:t>A</w:t>
      </w:r>
      <w:r w:rsidR="005228FC">
        <w:rPr>
          <w:lang w:eastAsia="en-GB"/>
        </w:rPr>
        <w:t xml:space="preserve"> recent randomised controlled trial </w:t>
      </w:r>
      <w:r w:rsidR="00203614">
        <w:rPr>
          <w:lang w:eastAsia="en-GB"/>
        </w:rPr>
        <w:t>(LEAP trial</w:t>
      </w:r>
      <w:r w:rsidR="00941398">
        <w:rPr>
          <w:lang w:eastAsia="en-GB"/>
        </w:rPr>
        <w:t xml:space="preserve">) </w:t>
      </w:r>
      <w:r w:rsidR="00C725FD">
        <w:rPr>
          <w:lang w:eastAsia="en-GB"/>
        </w:rPr>
        <w:t xml:space="preserve">reported 78.5% success rates on the global rating of change scale with education and </w:t>
      </w:r>
      <w:r w:rsidR="005228FC">
        <w:rPr>
          <w:lang w:eastAsia="en-GB"/>
        </w:rPr>
        <w:t>exercise interv</w:t>
      </w:r>
      <w:r w:rsidR="00C725FD">
        <w:rPr>
          <w:lang w:eastAsia="en-GB"/>
        </w:rPr>
        <w:t>entions for patients with GTPS</w:t>
      </w:r>
      <w:r w:rsidR="00203614">
        <w:rPr>
          <w:lang w:eastAsia="en-GB"/>
        </w:rPr>
        <w:t xml:space="preserve"> (Mellor et al., 2018).  </w:t>
      </w:r>
      <w:r w:rsidR="00C725FD">
        <w:rPr>
          <w:lang w:eastAsia="en-GB"/>
        </w:rPr>
        <w:t xml:space="preserve">These outcomes were superior to </w:t>
      </w:r>
      <w:r w:rsidR="005228FC">
        <w:rPr>
          <w:lang w:eastAsia="en-GB"/>
        </w:rPr>
        <w:t>cortico-steroid injection</w:t>
      </w:r>
      <w:r w:rsidR="00C725FD">
        <w:rPr>
          <w:lang w:eastAsia="en-GB"/>
        </w:rPr>
        <w:t xml:space="preserve"> (58.3%)</w:t>
      </w:r>
      <w:r w:rsidR="005228FC">
        <w:rPr>
          <w:lang w:eastAsia="en-GB"/>
        </w:rPr>
        <w:t xml:space="preserve"> and wait and see</w:t>
      </w:r>
      <w:r w:rsidR="00C725FD">
        <w:rPr>
          <w:lang w:eastAsia="en-GB"/>
        </w:rPr>
        <w:t xml:space="preserve"> (51.9%)</w:t>
      </w:r>
      <w:r w:rsidR="005228FC">
        <w:rPr>
          <w:lang w:eastAsia="en-GB"/>
        </w:rPr>
        <w:t xml:space="preserve"> approaches</w:t>
      </w:r>
      <w:r w:rsidR="00871338">
        <w:rPr>
          <w:lang w:eastAsia="en-GB"/>
        </w:rPr>
        <w:t xml:space="preserve"> at 12-months post intervention</w:t>
      </w:r>
      <w:r w:rsidR="009424C3">
        <w:rPr>
          <w:lang w:eastAsia="en-GB"/>
        </w:rPr>
        <w:t xml:space="preserve"> (Mellor et al., 2018)</w:t>
      </w:r>
      <w:r w:rsidR="005228FC">
        <w:rPr>
          <w:lang w:eastAsia="en-GB"/>
        </w:rPr>
        <w:t xml:space="preserve">. </w:t>
      </w:r>
      <w:bookmarkEnd w:id="2"/>
      <w:r w:rsidR="005228FC">
        <w:rPr>
          <w:lang w:eastAsia="en-GB"/>
        </w:rPr>
        <w:t>However</w:t>
      </w:r>
      <w:r w:rsidR="00DA37E5">
        <w:rPr>
          <w:lang w:eastAsia="en-GB"/>
        </w:rPr>
        <w:t>,</w:t>
      </w:r>
      <w:r w:rsidR="005228FC">
        <w:rPr>
          <w:lang w:eastAsia="en-GB"/>
        </w:rPr>
        <w:t xml:space="preserve"> the patients recruited to this study were community dwellers and not patients seeking healthcare interventions.</w:t>
      </w:r>
      <w:r w:rsidR="00871338">
        <w:rPr>
          <w:lang w:eastAsia="en-GB"/>
        </w:rPr>
        <w:t xml:space="preserve"> Patients were also excluded if they had</w:t>
      </w:r>
      <w:r w:rsidR="00EB75DD">
        <w:rPr>
          <w:lang w:eastAsia="en-GB"/>
        </w:rPr>
        <w:t xml:space="preserve"> advanced osteoarthritis of the hip</w:t>
      </w:r>
      <w:r w:rsidR="001853F2">
        <w:rPr>
          <w:lang w:eastAsia="en-GB"/>
        </w:rPr>
        <w:t xml:space="preserve"> (&gt;2</w:t>
      </w:r>
      <w:r w:rsidR="00954ED0">
        <w:rPr>
          <w:lang w:eastAsia="en-GB"/>
        </w:rPr>
        <w:t xml:space="preserve"> Kellgren Lawrence scale)</w:t>
      </w:r>
      <w:r w:rsidR="00EB75DD">
        <w:rPr>
          <w:lang w:eastAsia="en-GB"/>
        </w:rPr>
        <w:t xml:space="preserve"> or knee, low back pain (&gt;2/10), systemic inflammatory diseases,</w:t>
      </w:r>
      <w:r w:rsidR="005170DB">
        <w:rPr>
          <w:lang w:eastAsia="en-GB"/>
        </w:rPr>
        <w:t xml:space="preserve"> or systemic diseases affecting the muscular or nervous system</w:t>
      </w:r>
      <w:r w:rsidR="009424C3">
        <w:rPr>
          <w:lang w:eastAsia="en-GB"/>
        </w:rPr>
        <w:t xml:space="preserve"> (Mellor et al, 2016)</w:t>
      </w:r>
      <w:r w:rsidR="005170DB">
        <w:rPr>
          <w:lang w:eastAsia="en-GB"/>
        </w:rPr>
        <w:t xml:space="preserve">. </w:t>
      </w:r>
      <w:r w:rsidR="00A97F3E">
        <w:rPr>
          <w:lang w:eastAsia="en-GB"/>
        </w:rPr>
        <w:t>Current</w:t>
      </w:r>
      <w:r w:rsidR="00B74783">
        <w:rPr>
          <w:lang w:eastAsia="en-GB"/>
        </w:rPr>
        <w:t xml:space="preserve"> data suggests that patients with GTPS</w:t>
      </w:r>
      <w:r w:rsidR="00BC37DA">
        <w:rPr>
          <w:lang w:eastAsia="en-GB"/>
        </w:rPr>
        <w:t xml:space="preserve"> are</w:t>
      </w:r>
      <w:r w:rsidR="00B74783">
        <w:rPr>
          <w:lang w:eastAsia="en-GB"/>
        </w:rPr>
        <w:t xml:space="preserve"> often </w:t>
      </w:r>
      <w:r w:rsidR="005170DB" w:rsidRPr="005170DB">
        <w:rPr>
          <w:lang w:eastAsia="en-GB"/>
        </w:rPr>
        <w:t>o</w:t>
      </w:r>
      <w:r w:rsidR="00954ED0">
        <w:rPr>
          <w:lang w:eastAsia="en-GB"/>
        </w:rPr>
        <w:t>verweight</w:t>
      </w:r>
      <w:r w:rsidR="005170DB" w:rsidRPr="005170DB">
        <w:rPr>
          <w:lang w:eastAsia="en-GB"/>
        </w:rPr>
        <w:t>,</w:t>
      </w:r>
      <w:r w:rsidR="005170DB">
        <w:rPr>
          <w:lang w:eastAsia="en-GB"/>
        </w:rPr>
        <w:t xml:space="preserve"> </w:t>
      </w:r>
      <w:r w:rsidR="00BC37DA">
        <w:rPr>
          <w:lang w:eastAsia="en-GB"/>
        </w:rPr>
        <w:t xml:space="preserve">and complain of </w:t>
      </w:r>
      <w:r w:rsidR="005170DB" w:rsidRPr="005170DB">
        <w:rPr>
          <w:lang w:eastAsia="en-GB"/>
        </w:rPr>
        <w:t>low back pain, osteoarthritis of the spine or ipsilateral</w:t>
      </w:r>
      <w:r w:rsidR="005170DB">
        <w:rPr>
          <w:lang w:eastAsia="en-GB"/>
        </w:rPr>
        <w:t xml:space="preserve"> </w:t>
      </w:r>
      <w:r w:rsidR="005170DB" w:rsidRPr="005170DB">
        <w:rPr>
          <w:lang w:eastAsia="en-GB"/>
        </w:rPr>
        <w:t>hip or knee</w:t>
      </w:r>
      <w:r w:rsidR="009424C3">
        <w:rPr>
          <w:lang w:eastAsia="en-GB"/>
        </w:rPr>
        <w:t xml:space="preserve"> (Segal et al., 2007)</w:t>
      </w:r>
      <w:r w:rsidR="005170DB" w:rsidRPr="005170DB">
        <w:rPr>
          <w:lang w:eastAsia="en-GB"/>
        </w:rPr>
        <w:t>.</w:t>
      </w:r>
      <w:r w:rsidR="00D153EA">
        <w:rPr>
          <w:lang w:eastAsia="en-GB"/>
        </w:rPr>
        <w:t xml:space="preserve"> GTPS is more common in post-menopausal women, and has also been shown to be highly </w:t>
      </w:r>
      <w:r w:rsidR="006C7AB1">
        <w:rPr>
          <w:lang w:eastAsia="en-GB"/>
        </w:rPr>
        <w:t>prevalent</w:t>
      </w:r>
      <w:r w:rsidR="00D153EA">
        <w:rPr>
          <w:lang w:eastAsia="en-GB"/>
        </w:rPr>
        <w:t xml:space="preserve"> </w:t>
      </w:r>
      <w:r w:rsidR="006C7AB1">
        <w:rPr>
          <w:lang w:eastAsia="en-GB"/>
        </w:rPr>
        <w:t>in patients awaiting renal transplant</w:t>
      </w:r>
      <w:r w:rsidR="009424C3">
        <w:rPr>
          <w:lang w:eastAsia="en-GB"/>
        </w:rPr>
        <w:t xml:space="preserve"> (Demant et al., 2007; Lievense et al., 2015)</w:t>
      </w:r>
      <w:r w:rsidR="00D153EA">
        <w:rPr>
          <w:lang w:eastAsia="en-GB"/>
        </w:rPr>
        <w:t xml:space="preserve">. </w:t>
      </w:r>
      <w:r w:rsidR="00A97F3E">
        <w:rPr>
          <w:lang w:eastAsia="en-GB"/>
        </w:rPr>
        <w:t>T</w:t>
      </w:r>
      <w:r w:rsidR="00D153EA">
        <w:rPr>
          <w:lang w:eastAsia="en-GB"/>
        </w:rPr>
        <w:t>he extent to which co-morbidities are present, and the impact of them in patients with GTPS is unknown</w:t>
      </w:r>
      <w:r w:rsidR="00A97F3E">
        <w:rPr>
          <w:lang w:eastAsia="en-GB"/>
        </w:rPr>
        <w:t xml:space="preserve">, yet </w:t>
      </w:r>
      <w:r w:rsidR="00D153EA">
        <w:rPr>
          <w:lang w:eastAsia="en-GB"/>
        </w:rPr>
        <w:t>cardiovascular, hormonal and endocrine</w:t>
      </w:r>
      <w:r w:rsidR="00A97F3E">
        <w:rPr>
          <w:lang w:eastAsia="en-GB"/>
        </w:rPr>
        <w:t xml:space="preserve"> disorders are</w:t>
      </w:r>
      <w:r w:rsidR="00D153EA">
        <w:rPr>
          <w:lang w:eastAsia="en-GB"/>
        </w:rPr>
        <w:t xml:space="preserve"> known risk factor</w:t>
      </w:r>
      <w:r w:rsidR="00BC37DA">
        <w:rPr>
          <w:lang w:eastAsia="en-GB"/>
        </w:rPr>
        <w:t>s</w:t>
      </w:r>
      <w:r w:rsidR="00D153EA">
        <w:rPr>
          <w:lang w:eastAsia="en-GB"/>
        </w:rPr>
        <w:t xml:space="preserve"> </w:t>
      </w:r>
      <w:r w:rsidR="00A97F3E">
        <w:rPr>
          <w:lang w:eastAsia="en-GB"/>
        </w:rPr>
        <w:t>for</w:t>
      </w:r>
      <w:r w:rsidR="00533F9F">
        <w:rPr>
          <w:lang w:eastAsia="en-GB"/>
        </w:rPr>
        <w:t xml:space="preserve"> </w:t>
      </w:r>
      <w:r w:rsidR="00A97F3E">
        <w:rPr>
          <w:lang w:eastAsia="en-GB"/>
        </w:rPr>
        <w:t>develo</w:t>
      </w:r>
      <w:r w:rsidR="00533F9F">
        <w:rPr>
          <w:lang w:eastAsia="en-GB"/>
        </w:rPr>
        <w:t>ping other</w:t>
      </w:r>
      <w:r w:rsidR="00D153EA">
        <w:rPr>
          <w:lang w:eastAsia="en-GB"/>
        </w:rPr>
        <w:t xml:space="preserve"> lower limb tendinopathies</w:t>
      </w:r>
      <w:r w:rsidR="009424C3">
        <w:rPr>
          <w:lang w:eastAsia="en-GB"/>
        </w:rPr>
        <w:t xml:space="preserve"> (Abate, Schiavone, Salini &amp; Andia, 2013).  </w:t>
      </w:r>
      <w:r w:rsidR="005228FC">
        <w:rPr>
          <w:lang w:eastAsia="en-GB"/>
        </w:rPr>
        <w:t xml:space="preserve"> </w:t>
      </w:r>
    </w:p>
    <w:p w14:paraId="73D14759" w14:textId="464D32F1" w:rsidR="00D153EA" w:rsidRDefault="00106A3D" w:rsidP="00E8393E">
      <w:pPr>
        <w:spacing w:line="480" w:lineRule="auto"/>
      </w:pPr>
      <w:r>
        <w:rPr>
          <w:lang w:eastAsia="en-GB"/>
        </w:rPr>
        <w:t>Age, gender</w:t>
      </w:r>
      <w:r w:rsidR="0042799F">
        <w:rPr>
          <w:lang w:eastAsia="en-GB"/>
        </w:rPr>
        <w:t>, family</w:t>
      </w:r>
      <w:r>
        <w:rPr>
          <w:lang w:eastAsia="en-GB"/>
        </w:rPr>
        <w:t xml:space="preserve"> support, </w:t>
      </w:r>
      <w:r w:rsidR="0084139E">
        <w:rPr>
          <w:lang w:eastAsia="en-GB"/>
        </w:rPr>
        <w:t xml:space="preserve">severity of symptoms, greater healthcare needs due to chronic conditions, and </w:t>
      </w:r>
      <w:r w:rsidR="0042799F">
        <w:rPr>
          <w:lang w:eastAsia="en-GB"/>
        </w:rPr>
        <w:t>beliefs about disease and ability</w:t>
      </w:r>
      <w:r w:rsidR="004F71A7">
        <w:rPr>
          <w:lang w:eastAsia="en-GB"/>
        </w:rPr>
        <w:t xml:space="preserve"> of </w:t>
      </w:r>
      <w:r w:rsidR="0042799F">
        <w:rPr>
          <w:lang w:eastAsia="en-GB"/>
        </w:rPr>
        <w:t>healthcare to change it, are all fact</w:t>
      </w:r>
      <w:r>
        <w:rPr>
          <w:lang w:eastAsia="en-GB"/>
        </w:rPr>
        <w:t xml:space="preserve">ors which </w:t>
      </w:r>
      <w:r>
        <w:rPr>
          <w:lang w:eastAsia="en-GB"/>
        </w:rPr>
        <w:lastRenderedPageBreak/>
        <w:t>influence healthcare seeking behaviour</w:t>
      </w:r>
      <w:r w:rsidR="009424C3">
        <w:rPr>
          <w:lang w:eastAsia="en-GB"/>
        </w:rPr>
        <w:t xml:space="preserve"> (</w:t>
      </w:r>
      <w:r w:rsidR="00446F63">
        <w:rPr>
          <w:lang w:eastAsia="en-GB"/>
        </w:rPr>
        <w:t xml:space="preserve">Cornally &amp; McCarthy, 2011; </w:t>
      </w:r>
      <w:r w:rsidR="009424C3">
        <w:rPr>
          <w:lang w:eastAsia="en-GB"/>
        </w:rPr>
        <w:t xml:space="preserve">Thompson et al., 2016;). </w:t>
      </w:r>
      <w:r w:rsidR="0084139E">
        <w:rPr>
          <w:lang w:eastAsia="en-GB"/>
        </w:rPr>
        <w:t>Many of these factors are al</w:t>
      </w:r>
      <w:r w:rsidR="00D153EA">
        <w:rPr>
          <w:lang w:eastAsia="en-GB"/>
        </w:rPr>
        <w:t>so</w:t>
      </w:r>
      <w:r w:rsidR="0084139E">
        <w:rPr>
          <w:lang w:eastAsia="en-GB"/>
        </w:rPr>
        <w:t xml:space="preserve"> risk factors for musculoskeletal pain</w:t>
      </w:r>
      <w:r w:rsidR="009424C3">
        <w:rPr>
          <w:vertAlign w:val="superscript"/>
          <w:lang w:eastAsia="en-GB"/>
        </w:rPr>
        <w:t xml:space="preserve"> </w:t>
      </w:r>
      <w:r w:rsidR="009424C3">
        <w:t>(Artus et al</w:t>
      </w:r>
      <w:r w:rsidR="00261FBC">
        <w:t>.</w:t>
      </w:r>
      <w:r w:rsidR="009424C3">
        <w:t xml:space="preserve">, 2017; </w:t>
      </w:r>
      <w:r w:rsidR="00446F63">
        <w:t xml:space="preserve">Linton &amp; Shaw, 2011; </w:t>
      </w:r>
      <w:r w:rsidR="009424C3">
        <w:t>Valentin et al., 2016)</w:t>
      </w:r>
      <w:r w:rsidR="00184110">
        <w:t xml:space="preserve">. </w:t>
      </w:r>
    </w:p>
    <w:p w14:paraId="7BBB0960" w14:textId="58A5A3A5" w:rsidR="00DA37E5" w:rsidRPr="00F46643" w:rsidRDefault="00DA3166" w:rsidP="00E8393E">
      <w:pPr>
        <w:spacing w:line="480" w:lineRule="auto"/>
        <w:rPr>
          <w:lang w:eastAsia="en-GB"/>
        </w:rPr>
      </w:pPr>
      <w:r>
        <w:rPr>
          <w:lang w:eastAsia="en-GB"/>
        </w:rPr>
        <w:t>Little is known about the</w:t>
      </w:r>
      <w:r w:rsidR="00E8393E">
        <w:rPr>
          <w:lang w:eastAsia="en-GB"/>
        </w:rPr>
        <w:t xml:space="preserve"> characteristics of</w:t>
      </w:r>
      <w:r>
        <w:rPr>
          <w:lang w:eastAsia="en-GB"/>
        </w:rPr>
        <w:t xml:space="preserve"> patient</w:t>
      </w:r>
      <w:r w:rsidR="00E8393E">
        <w:rPr>
          <w:lang w:eastAsia="en-GB"/>
        </w:rPr>
        <w:t>s</w:t>
      </w:r>
      <w:r>
        <w:rPr>
          <w:lang w:eastAsia="en-GB"/>
        </w:rPr>
        <w:t xml:space="preserve"> with GTPS</w:t>
      </w:r>
      <w:r w:rsidR="00E8393E">
        <w:rPr>
          <w:lang w:eastAsia="en-GB"/>
        </w:rPr>
        <w:t xml:space="preserve"> who present to </w:t>
      </w:r>
      <w:r w:rsidR="005E4EFD">
        <w:rPr>
          <w:lang w:eastAsia="en-GB"/>
        </w:rPr>
        <w:t>physiotherapy services within the N</w:t>
      </w:r>
      <w:r w:rsidR="00954ED0">
        <w:rPr>
          <w:lang w:eastAsia="en-GB"/>
        </w:rPr>
        <w:t>ational Health Service (NHS)</w:t>
      </w:r>
      <w:r>
        <w:rPr>
          <w:lang w:eastAsia="en-GB"/>
        </w:rPr>
        <w:t xml:space="preserve">. </w:t>
      </w:r>
      <w:r w:rsidR="00BC37DA">
        <w:rPr>
          <w:lang w:eastAsia="en-GB"/>
        </w:rPr>
        <w:t xml:space="preserve">Given the range of risk and prognostic factors associated with GTPS, it is important to understand these characteristics to </w:t>
      </w:r>
      <w:r w:rsidR="00BC37DA">
        <w:rPr>
          <w:color w:val="000000"/>
        </w:rPr>
        <w:t xml:space="preserve">enable consideration of the applicability of </w:t>
      </w:r>
      <w:r w:rsidR="00BC37DA" w:rsidRPr="003E205C">
        <w:rPr>
          <w:color w:val="000000"/>
        </w:rPr>
        <w:t xml:space="preserve">the findings of the LEAP trial </w:t>
      </w:r>
      <w:r w:rsidR="00BC37DA">
        <w:rPr>
          <w:color w:val="000000"/>
        </w:rPr>
        <w:t xml:space="preserve">to </w:t>
      </w:r>
      <w:r w:rsidR="00533F9F">
        <w:rPr>
          <w:color w:val="000000"/>
        </w:rPr>
        <w:t>typical NHS patients</w:t>
      </w:r>
      <w:r w:rsidR="00BC37DA">
        <w:rPr>
          <w:color w:val="000000"/>
        </w:rPr>
        <w:t>.</w:t>
      </w:r>
      <w:r w:rsidR="00BC37DA" w:rsidRPr="003E205C">
        <w:rPr>
          <w:color w:val="000000"/>
        </w:rPr>
        <w:t xml:space="preserve"> </w:t>
      </w:r>
      <w:r w:rsidR="00BC37DA">
        <w:rPr>
          <w:lang w:eastAsia="en-GB"/>
        </w:rPr>
        <w:t>Hence t</w:t>
      </w:r>
      <w:r w:rsidR="00DA37E5">
        <w:rPr>
          <w:lang w:eastAsia="en-GB"/>
        </w:rPr>
        <w:t>he</w:t>
      </w:r>
      <w:r w:rsidR="00102034">
        <w:rPr>
          <w:lang w:eastAsia="en-GB"/>
        </w:rPr>
        <w:t xml:space="preserve"> primary</w:t>
      </w:r>
      <w:r w:rsidR="00DA37E5">
        <w:rPr>
          <w:lang w:eastAsia="en-GB"/>
        </w:rPr>
        <w:t xml:space="preserve"> aim of this </w:t>
      </w:r>
      <w:r w:rsidR="00BC37DA">
        <w:rPr>
          <w:lang w:eastAsia="en-GB"/>
        </w:rPr>
        <w:t xml:space="preserve">multi-site </w:t>
      </w:r>
      <w:r w:rsidR="00DA37E5">
        <w:rPr>
          <w:lang w:eastAsia="en-GB"/>
        </w:rPr>
        <w:t>s</w:t>
      </w:r>
      <w:r w:rsidR="004F0AA0">
        <w:rPr>
          <w:lang w:eastAsia="en-GB"/>
        </w:rPr>
        <w:t>ervice evaluation was</w:t>
      </w:r>
      <w:r w:rsidR="00102034">
        <w:rPr>
          <w:lang w:eastAsia="en-GB"/>
        </w:rPr>
        <w:t xml:space="preserve"> </w:t>
      </w:r>
      <w:r w:rsidR="00DA37E5">
        <w:rPr>
          <w:lang w:eastAsia="en-GB"/>
        </w:rPr>
        <w:t xml:space="preserve">to </w:t>
      </w:r>
      <w:r w:rsidR="00BC37DA">
        <w:rPr>
          <w:lang w:eastAsia="en-GB"/>
        </w:rPr>
        <w:t xml:space="preserve">collect and synthesise </w:t>
      </w:r>
      <w:r w:rsidR="00DA37E5">
        <w:rPr>
          <w:lang w:eastAsia="en-GB"/>
        </w:rPr>
        <w:t xml:space="preserve">data on the </w:t>
      </w:r>
      <w:r w:rsidR="004F0AA0">
        <w:rPr>
          <w:lang w:eastAsia="en-GB"/>
        </w:rPr>
        <w:t>characteristics of patients with a primary complaint of GTPS, presenting to the NHS</w:t>
      </w:r>
      <w:r w:rsidR="00102034">
        <w:rPr>
          <w:lang w:eastAsia="en-GB"/>
        </w:rPr>
        <w:t>.</w:t>
      </w:r>
      <w:r w:rsidR="00BC37DA">
        <w:rPr>
          <w:lang w:eastAsia="en-GB"/>
        </w:rPr>
        <w:t xml:space="preserve"> </w:t>
      </w:r>
      <w:r w:rsidR="00102034">
        <w:rPr>
          <w:lang w:eastAsia="en-GB"/>
        </w:rPr>
        <w:t xml:space="preserve">As a secondary aim, the characteristics of these NHS patients will then be </w:t>
      </w:r>
      <w:r w:rsidR="00BC37DA">
        <w:rPr>
          <w:lang w:eastAsia="en-GB"/>
        </w:rPr>
        <w:t>compare</w:t>
      </w:r>
      <w:r w:rsidR="00102034">
        <w:rPr>
          <w:lang w:eastAsia="en-GB"/>
        </w:rPr>
        <w:t xml:space="preserve">d </w:t>
      </w:r>
      <w:r w:rsidR="00BC37DA">
        <w:rPr>
          <w:lang w:eastAsia="en-GB"/>
        </w:rPr>
        <w:t>with</w:t>
      </w:r>
      <w:r w:rsidR="00102034">
        <w:rPr>
          <w:lang w:eastAsia="en-GB"/>
        </w:rPr>
        <w:t xml:space="preserve"> the </w:t>
      </w:r>
      <w:r w:rsidR="00BC37DA">
        <w:rPr>
          <w:lang w:eastAsia="en-GB"/>
        </w:rPr>
        <w:t>participants recruited to the LEAP trial</w:t>
      </w:r>
      <w:r w:rsidR="00102034">
        <w:rPr>
          <w:lang w:eastAsia="en-GB"/>
        </w:rPr>
        <w:t>, to provide context of the trial results for an NHS population</w:t>
      </w:r>
      <w:r w:rsidR="004F0AA0">
        <w:rPr>
          <w:lang w:eastAsia="en-GB"/>
        </w:rPr>
        <w:t>.</w:t>
      </w:r>
      <w:r w:rsidR="00E8393E" w:rsidRPr="00E8393E">
        <w:rPr>
          <w:lang w:eastAsia="en-GB"/>
        </w:rPr>
        <w:t xml:space="preserve"> </w:t>
      </w:r>
    </w:p>
    <w:p w14:paraId="35E9C5E9" w14:textId="77777777" w:rsidR="0040327A" w:rsidRPr="00F46643" w:rsidRDefault="0040327A" w:rsidP="0040327A">
      <w:pPr>
        <w:spacing w:after="60" w:line="480" w:lineRule="auto"/>
        <w:jc w:val="both"/>
      </w:pPr>
    </w:p>
    <w:p w14:paraId="7E458ED6" w14:textId="77777777" w:rsidR="006E7C4C" w:rsidRDefault="006E7C4C" w:rsidP="006E7C4C">
      <w:pPr>
        <w:spacing w:after="60" w:line="480" w:lineRule="auto"/>
      </w:pPr>
    </w:p>
    <w:p w14:paraId="4FF838A0" w14:textId="77777777" w:rsidR="00EB28E5" w:rsidRDefault="00EB28E5" w:rsidP="00EB28E5">
      <w:pPr>
        <w:spacing w:after="60" w:line="480" w:lineRule="auto"/>
        <w:rPr>
          <w:b/>
          <w:u w:val="single"/>
        </w:rPr>
      </w:pPr>
    </w:p>
    <w:p w14:paraId="3D50EB93" w14:textId="77777777" w:rsidR="00184110" w:rsidRDefault="00184110" w:rsidP="00EB28E5">
      <w:pPr>
        <w:spacing w:after="60" w:line="480" w:lineRule="auto"/>
        <w:jc w:val="center"/>
        <w:rPr>
          <w:b/>
          <w:u w:val="single"/>
        </w:rPr>
      </w:pPr>
    </w:p>
    <w:p w14:paraId="646A3B25" w14:textId="77777777" w:rsidR="00184110" w:rsidRDefault="00184110" w:rsidP="00EB28E5">
      <w:pPr>
        <w:spacing w:after="60" w:line="480" w:lineRule="auto"/>
        <w:jc w:val="center"/>
        <w:rPr>
          <w:b/>
          <w:u w:val="single"/>
        </w:rPr>
      </w:pPr>
    </w:p>
    <w:p w14:paraId="5A6BE4FD" w14:textId="77777777" w:rsidR="00184110" w:rsidRDefault="00184110" w:rsidP="00EB28E5">
      <w:pPr>
        <w:spacing w:after="60" w:line="480" w:lineRule="auto"/>
        <w:jc w:val="center"/>
        <w:rPr>
          <w:b/>
          <w:u w:val="single"/>
        </w:rPr>
      </w:pPr>
    </w:p>
    <w:p w14:paraId="783CA2FC" w14:textId="77777777" w:rsidR="00184110" w:rsidRDefault="00184110" w:rsidP="00EB28E5">
      <w:pPr>
        <w:spacing w:after="60" w:line="480" w:lineRule="auto"/>
        <w:jc w:val="center"/>
        <w:rPr>
          <w:b/>
          <w:u w:val="single"/>
        </w:rPr>
      </w:pPr>
    </w:p>
    <w:p w14:paraId="49459F06" w14:textId="77777777" w:rsidR="00184110" w:rsidRDefault="00184110" w:rsidP="00EB28E5">
      <w:pPr>
        <w:spacing w:after="60" w:line="480" w:lineRule="auto"/>
        <w:jc w:val="center"/>
        <w:rPr>
          <w:b/>
          <w:u w:val="single"/>
        </w:rPr>
      </w:pPr>
    </w:p>
    <w:p w14:paraId="0EF27E3A" w14:textId="77777777" w:rsidR="00184110" w:rsidRDefault="00184110" w:rsidP="00EB28E5">
      <w:pPr>
        <w:spacing w:after="60" w:line="480" w:lineRule="auto"/>
        <w:jc w:val="center"/>
        <w:rPr>
          <w:b/>
          <w:u w:val="single"/>
        </w:rPr>
      </w:pPr>
    </w:p>
    <w:p w14:paraId="07E130C5" w14:textId="77777777" w:rsidR="00184110" w:rsidRDefault="00184110" w:rsidP="00EB28E5">
      <w:pPr>
        <w:spacing w:after="60" w:line="480" w:lineRule="auto"/>
        <w:jc w:val="center"/>
        <w:rPr>
          <w:b/>
          <w:u w:val="single"/>
        </w:rPr>
      </w:pPr>
    </w:p>
    <w:p w14:paraId="6518A3CC" w14:textId="77777777" w:rsidR="00184110" w:rsidRDefault="00184110" w:rsidP="00EB28E5">
      <w:pPr>
        <w:spacing w:after="60" w:line="480" w:lineRule="auto"/>
        <w:jc w:val="center"/>
        <w:rPr>
          <w:b/>
          <w:u w:val="single"/>
        </w:rPr>
      </w:pPr>
    </w:p>
    <w:p w14:paraId="7D50A5B8" w14:textId="77777777" w:rsidR="00184110" w:rsidRDefault="00184110" w:rsidP="00EB28E5">
      <w:pPr>
        <w:spacing w:after="60" w:line="480" w:lineRule="auto"/>
        <w:jc w:val="center"/>
        <w:rPr>
          <w:b/>
          <w:u w:val="single"/>
        </w:rPr>
      </w:pPr>
    </w:p>
    <w:p w14:paraId="2FAB46A7" w14:textId="77777777" w:rsidR="00102034" w:rsidRDefault="00102034" w:rsidP="00102034">
      <w:pPr>
        <w:spacing w:after="60" w:line="480" w:lineRule="auto"/>
        <w:rPr>
          <w:b/>
          <w:u w:val="single"/>
        </w:rPr>
      </w:pPr>
    </w:p>
    <w:p w14:paraId="28ADF3E0" w14:textId="58C234E1" w:rsidR="0040327A" w:rsidRDefault="0040327A" w:rsidP="00102034">
      <w:pPr>
        <w:spacing w:after="60" w:line="480" w:lineRule="auto"/>
        <w:jc w:val="center"/>
        <w:rPr>
          <w:b/>
          <w:u w:val="single"/>
        </w:rPr>
      </w:pPr>
      <w:r w:rsidRPr="00F46643">
        <w:rPr>
          <w:b/>
          <w:u w:val="single"/>
        </w:rPr>
        <w:lastRenderedPageBreak/>
        <w:t>2. METHODS</w:t>
      </w:r>
    </w:p>
    <w:p w14:paraId="2D738F21" w14:textId="77777777" w:rsidR="00102034" w:rsidRPr="00F46643" w:rsidRDefault="00102034" w:rsidP="00102034">
      <w:pPr>
        <w:spacing w:after="60" w:line="480" w:lineRule="auto"/>
        <w:jc w:val="center"/>
        <w:rPr>
          <w:b/>
          <w:u w:val="single"/>
        </w:rPr>
      </w:pPr>
    </w:p>
    <w:p w14:paraId="07506ADB" w14:textId="598C15FF" w:rsidR="0040327A" w:rsidRPr="00F46643" w:rsidRDefault="00C554A1" w:rsidP="0040327A">
      <w:pPr>
        <w:spacing w:after="0" w:line="480" w:lineRule="auto"/>
        <w:jc w:val="both"/>
        <w:rPr>
          <w:rFonts w:eastAsiaTheme="minorEastAsia"/>
          <w:b/>
          <w:lang w:eastAsia="en-GB"/>
        </w:rPr>
      </w:pPr>
      <w:r>
        <w:rPr>
          <w:rFonts w:eastAsiaTheme="minorEastAsia"/>
          <w:b/>
          <w:lang w:eastAsia="en-GB"/>
        </w:rPr>
        <w:t>Recruitment and data analysis</w:t>
      </w:r>
    </w:p>
    <w:p w14:paraId="4B48985D" w14:textId="46F61897" w:rsidR="00BC06EB" w:rsidRDefault="008A10E9" w:rsidP="0040327A">
      <w:pPr>
        <w:spacing w:line="480" w:lineRule="auto"/>
        <w:rPr>
          <w:rFonts w:eastAsiaTheme="minorEastAsia"/>
          <w:lang w:eastAsia="en-GB"/>
        </w:rPr>
      </w:pPr>
      <w:r>
        <w:rPr>
          <w:rFonts w:eastAsiaTheme="minorEastAsia"/>
          <w:lang w:eastAsia="en-GB"/>
        </w:rPr>
        <w:t>Four eligible NHS sites from the United Kingdom (UK) responde</w:t>
      </w:r>
      <w:r w:rsidR="0090007C">
        <w:rPr>
          <w:rFonts w:eastAsiaTheme="minorEastAsia"/>
          <w:lang w:eastAsia="en-GB"/>
        </w:rPr>
        <w:t>d to a request via Twitter</w:t>
      </w:r>
      <w:r>
        <w:rPr>
          <w:rFonts w:eastAsiaTheme="minorEastAsia"/>
          <w:lang w:eastAsia="en-GB"/>
        </w:rPr>
        <w:t xml:space="preserve"> to share anonymised data. </w:t>
      </w:r>
      <w:r w:rsidR="0090007C">
        <w:rPr>
          <w:rFonts w:eastAsiaTheme="minorEastAsia"/>
          <w:lang w:eastAsia="en-GB"/>
        </w:rPr>
        <w:t>The request was aimed at clinicians working within NHS physiotherapy services who</w:t>
      </w:r>
      <w:r w:rsidR="00BC06EB">
        <w:rPr>
          <w:rFonts w:eastAsiaTheme="minorEastAsia"/>
          <w:lang w:eastAsia="en-GB"/>
        </w:rPr>
        <w:t xml:space="preserve"> had</w:t>
      </w:r>
      <w:r w:rsidR="0090007C">
        <w:rPr>
          <w:rFonts w:eastAsiaTheme="minorEastAsia"/>
          <w:lang w:eastAsia="en-GB"/>
        </w:rPr>
        <w:t xml:space="preserve"> collect</w:t>
      </w:r>
      <w:r w:rsidR="00BC06EB">
        <w:rPr>
          <w:rFonts w:eastAsiaTheme="minorEastAsia"/>
          <w:lang w:eastAsia="en-GB"/>
        </w:rPr>
        <w:t>ed</w:t>
      </w:r>
      <w:r w:rsidR="0090007C">
        <w:rPr>
          <w:rFonts w:eastAsiaTheme="minorEastAsia"/>
          <w:lang w:eastAsia="en-GB"/>
        </w:rPr>
        <w:t xml:space="preserve"> data</w:t>
      </w:r>
      <w:r w:rsidR="00BC06EB">
        <w:rPr>
          <w:rFonts w:eastAsiaTheme="minorEastAsia"/>
          <w:lang w:eastAsia="en-GB"/>
        </w:rPr>
        <w:t xml:space="preserve"> and outcome measures</w:t>
      </w:r>
      <w:r w:rsidR="0090007C">
        <w:rPr>
          <w:rFonts w:eastAsiaTheme="minorEastAsia"/>
          <w:lang w:eastAsia="en-GB"/>
        </w:rPr>
        <w:t xml:space="preserve"> </w:t>
      </w:r>
      <w:r w:rsidR="00BC06EB">
        <w:rPr>
          <w:rFonts w:eastAsiaTheme="minorEastAsia"/>
          <w:lang w:eastAsia="en-GB"/>
        </w:rPr>
        <w:t>for</w:t>
      </w:r>
      <w:r w:rsidR="0090007C">
        <w:rPr>
          <w:rFonts w:eastAsiaTheme="minorEastAsia"/>
          <w:lang w:eastAsia="en-GB"/>
        </w:rPr>
        <w:t xml:space="preserve"> patients presen</w:t>
      </w:r>
      <w:r w:rsidR="00102034">
        <w:rPr>
          <w:rFonts w:eastAsiaTheme="minorEastAsia"/>
          <w:lang w:eastAsia="en-GB"/>
        </w:rPr>
        <w:t>ting with</w:t>
      </w:r>
      <w:r w:rsidR="00283FDD">
        <w:rPr>
          <w:rFonts w:eastAsiaTheme="minorEastAsia"/>
          <w:lang w:eastAsia="en-GB"/>
        </w:rPr>
        <w:t xml:space="preserve"> a primary complaint of</w:t>
      </w:r>
      <w:r w:rsidR="00102034">
        <w:rPr>
          <w:rFonts w:eastAsiaTheme="minorEastAsia"/>
          <w:lang w:eastAsia="en-GB"/>
        </w:rPr>
        <w:t xml:space="preserve"> GTPS</w:t>
      </w:r>
      <w:r w:rsidR="00BC06EB">
        <w:rPr>
          <w:rFonts w:eastAsiaTheme="minorEastAsia"/>
          <w:lang w:eastAsia="en-GB"/>
        </w:rPr>
        <w:t>,</w:t>
      </w:r>
      <w:r w:rsidR="0090007C">
        <w:rPr>
          <w:rFonts w:eastAsiaTheme="minorEastAsia"/>
          <w:lang w:eastAsia="en-GB"/>
        </w:rPr>
        <w:t xml:space="preserve"> as part of </w:t>
      </w:r>
      <w:r w:rsidR="00BC06EB">
        <w:rPr>
          <w:rFonts w:eastAsiaTheme="minorEastAsia"/>
          <w:lang w:eastAsia="en-GB"/>
        </w:rPr>
        <w:t>their routine</w:t>
      </w:r>
      <w:r w:rsidR="0090007C">
        <w:rPr>
          <w:rFonts w:eastAsiaTheme="minorEastAsia"/>
          <w:lang w:eastAsia="en-GB"/>
        </w:rPr>
        <w:t xml:space="preserve"> care</w:t>
      </w:r>
      <w:r w:rsidR="00BC06EB">
        <w:rPr>
          <w:rFonts w:eastAsiaTheme="minorEastAsia"/>
          <w:lang w:eastAsia="en-GB"/>
        </w:rPr>
        <w:t xml:space="preserve"> over the previous twelve-month period</w:t>
      </w:r>
      <w:r w:rsidR="0090007C">
        <w:rPr>
          <w:rFonts w:eastAsiaTheme="minorEastAsia"/>
          <w:lang w:eastAsia="en-GB"/>
        </w:rPr>
        <w:t>. The request explained</w:t>
      </w:r>
      <w:r w:rsidR="00BC06EB">
        <w:rPr>
          <w:rFonts w:eastAsiaTheme="minorEastAsia"/>
          <w:lang w:eastAsia="en-GB"/>
        </w:rPr>
        <w:t xml:space="preserve"> </w:t>
      </w:r>
      <w:r w:rsidR="0090007C">
        <w:rPr>
          <w:rFonts w:eastAsiaTheme="minorEastAsia"/>
          <w:lang w:eastAsia="en-GB"/>
        </w:rPr>
        <w:t xml:space="preserve">the aim </w:t>
      </w:r>
      <w:r w:rsidR="00283FDD">
        <w:rPr>
          <w:rFonts w:eastAsiaTheme="minorEastAsia"/>
          <w:lang w:eastAsia="en-GB"/>
        </w:rPr>
        <w:t>of the data collection</w:t>
      </w:r>
      <w:r w:rsidR="00BC06EB">
        <w:rPr>
          <w:rFonts w:eastAsiaTheme="minorEastAsia"/>
          <w:lang w:eastAsia="en-GB"/>
        </w:rPr>
        <w:t xml:space="preserve"> was to </w:t>
      </w:r>
      <w:r w:rsidR="0090007C">
        <w:rPr>
          <w:rFonts w:eastAsiaTheme="minorEastAsia"/>
          <w:lang w:eastAsia="en-GB"/>
        </w:rPr>
        <w:t xml:space="preserve">characterise the typical patient who presents to the NHS with GTPS. </w:t>
      </w:r>
      <w:r w:rsidR="00BC06EB">
        <w:rPr>
          <w:rFonts w:eastAsiaTheme="minorEastAsia"/>
          <w:lang w:eastAsia="en-GB"/>
        </w:rPr>
        <w:t>Examples of the type of information required</w:t>
      </w:r>
      <w:r w:rsidR="00E57204" w:rsidRPr="00E57204">
        <w:rPr>
          <w:rFonts w:eastAsiaTheme="minorEastAsia"/>
          <w:lang w:eastAsia="en-GB"/>
        </w:rPr>
        <w:t xml:space="preserve"> </w:t>
      </w:r>
      <w:r w:rsidR="00E57204">
        <w:rPr>
          <w:rFonts w:eastAsiaTheme="minorEastAsia"/>
          <w:lang w:eastAsia="en-GB"/>
        </w:rPr>
        <w:t xml:space="preserve">(age, gender, medical history, duration and distribution of symptoms) </w:t>
      </w:r>
      <w:r w:rsidR="00BC06EB">
        <w:rPr>
          <w:rFonts w:eastAsiaTheme="minorEastAsia"/>
          <w:lang w:eastAsia="en-GB"/>
        </w:rPr>
        <w:t>was explained in the initial request.</w:t>
      </w:r>
      <w:r w:rsidR="00E57204">
        <w:rPr>
          <w:rFonts w:eastAsiaTheme="minorEastAsia"/>
          <w:lang w:eastAsia="en-GB"/>
        </w:rPr>
        <w:t xml:space="preserve"> Individuals who responded to the request were sent the data capture excel spreadsheet </w:t>
      </w:r>
      <w:r w:rsidR="00117452">
        <w:rPr>
          <w:rFonts w:eastAsiaTheme="minorEastAsia"/>
          <w:lang w:eastAsia="en-GB"/>
        </w:rPr>
        <w:t>(Appendix 1) to enable them to complete</w:t>
      </w:r>
      <w:r w:rsidR="00117452" w:rsidRPr="00117452">
        <w:rPr>
          <w:rFonts w:eastAsiaTheme="minorEastAsia"/>
          <w:lang w:eastAsia="en-GB"/>
        </w:rPr>
        <w:t xml:space="preserve"> local governance app</w:t>
      </w:r>
      <w:r w:rsidR="00102034">
        <w:rPr>
          <w:rFonts w:eastAsiaTheme="minorEastAsia"/>
          <w:lang w:eastAsia="en-GB"/>
        </w:rPr>
        <w:t>roval prior to sharing any data</w:t>
      </w:r>
      <w:r w:rsidR="00E57204">
        <w:rPr>
          <w:rFonts w:eastAsiaTheme="minorEastAsia"/>
          <w:lang w:eastAsia="en-GB"/>
        </w:rPr>
        <w:t>.</w:t>
      </w:r>
      <w:r w:rsidR="00BC06EB">
        <w:rPr>
          <w:rFonts w:eastAsiaTheme="minorEastAsia"/>
          <w:lang w:eastAsia="en-GB"/>
        </w:rPr>
        <w:t xml:space="preserve"> </w:t>
      </w:r>
    </w:p>
    <w:p w14:paraId="596D86A4" w14:textId="621F12DF" w:rsidR="00C9432F" w:rsidRDefault="008A10E9" w:rsidP="0040327A">
      <w:pPr>
        <w:spacing w:line="480" w:lineRule="auto"/>
        <w:rPr>
          <w:rFonts w:eastAsiaTheme="minorEastAsia"/>
          <w:lang w:eastAsia="en-GB"/>
        </w:rPr>
      </w:pPr>
      <w:r>
        <w:rPr>
          <w:rFonts w:eastAsiaTheme="minorEastAsia"/>
          <w:lang w:eastAsia="en-GB"/>
        </w:rPr>
        <w:t xml:space="preserve">The </w:t>
      </w:r>
      <w:r w:rsidR="00BC06EB">
        <w:rPr>
          <w:rFonts w:eastAsiaTheme="minorEastAsia"/>
          <w:lang w:eastAsia="en-GB"/>
        </w:rPr>
        <w:t xml:space="preserve">participating </w:t>
      </w:r>
      <w:r>
        <w:rPr>
          <w:rFonts w:eastAsiaTheme="minorEastAsia"/>
          <w:lang w:eastAsia="en-GB"/>
        </w:rPr>
        <w:t>sites were made up of t</w:t>
      </w:r>
      <w:r w:rsidR="008E1407">
        <w:rPr>
          <w:rFonts w:eastAsiaTheme="minorEastAsia"/>
          <w:lang w:eastAsia="en-GB"/>
        </w:rPr>
        <w:t xml:space="preserve">wo </w:t>
      </w:r>
      <w:r w:rsidR="00954ED0">
        <w:rPr>
          <w:rFonts w:eastAsiaTheme="minorEastAsia"/>
          <w:lang w:eastAsia="en-GB"/>
        </w:rPr>
        <w:t>C</w:t>
      </w:r>
      <w:r w:rsidR="008E1407" w:rsidRPr="008E1407">
        <w:rPr>
          <w:rFonts w:eastAsiaTheme="minorEastAsia"/>
          <w:lang w:eastAsia="en-GB"/>
        </w:rPr>
        <w:t>linical Musculoskeletal Assessment and Treatment Servic</w:t>
      </w:r>
      <w:r w:rsidR="008E1407">
        <w:rPr>
          <w:rFonts w:eastAsiaTheme="minorEastAsia"/>
          <w:lang w:eastAsia="en-GB"/>
        </w:rPr>
        <w:t>es</w:t>
      </w:r>
      <w:r>
        <w:rPr>
          <w:rFonts w:eastAsiaTheme="minorEastAsia"/>
          <w:lang w:eastAsia="en-GB"/>
        </w:rPr>
        <w:t xml:space="preserve"> (CMATS), one </w:t>
      </w:r>
      <w:r w:rsidR="00954ED0">
        <w:rPr>
          <w:rFonts w:eastAsiaTheme="minorEastAsia"/>
          <w:lang w:eastAsia="en-GB"/>
        </w:rPr>
        <w:t>G</w:t>
      </w:r>
      <w:r>
        <w:rPr>
          <w:rFonts w:eastAsiaTheme="minorEastAsia"/>
          <w:lang w:eastAsia="en-GB"/>
        </w:rPr>
        <w:t xml:space="preserve">eneral </w:t>
      </w:r>
      <w:r w:rsidR="00954ED0">
        <w:rPr>
          <w:rFonts w:eastAsiaTheme="minorEastAsia"/>
          <w:lang w:eastAsia="en-GB"/>
        </w:rPr>
        <w:t>H</w:t>
      </w:r>
      <w:r w:rsidR="008E1407">
        <w:rPr>
          <w:rFonts w:eastAsiaTheme="minorEastAsia"/>
          <w:lang w:eastAsia="en-GB"/>
        </w:rPr>
        <w:t xml:space="preserve">ospital and one elective </w:t>
      </w:r>
      <w:r w:rsidR="00954ED0">
        <w:rPr>
          <w:rFonts w:eastAsiaTheme="minorEastAsia"/>
          <w:lang w:eastAsia="en-GB"/>
        </w:rPr>
        <w:t>O</w:t>
      </w:r>
      <w:r w:rsidR="008E1407">
        <w:rPr>
          <w:rFonts w:eastAsiaTheme="minorEastAsia"/>
          <w:lang w:eastAsia="en-GB"/>
        </w:rPr>
        <w:t xml:space="preserve">rthopaedic </w:t>
      </w:r>
      <w:r w:rsidR="00954ED0">
        <w:rPr>
          <w:rFonts w:eastAsiaTheme="minorEastAsia"/>
          <w:lang w:eastAsia="en-GB"/>
        </w:rPr>
        <w:t>H</w:t>
      </w:r>
      <w:r w:rsidR="008E1407">
        <w:rPr>
          <w:rFonts w:eastAsiaTheme="minorEastAsia"/>
          <w:lang w:eastAsia="en-GB"/>
        </w:rPr>
        <w:t>ospital</w:t>
      </w:r>
      <w:r>
        <w:rPr>
          <w:rFonts w:eastAsiaTheme="minorEastAsia"/>
          <w:lang w:eastAsia="en-GB"/>
        </w:rPr>
        <w:t>.</w:t>
      </w:r>
      <w:r w:rsidR="008E1407">
        <w:rPr>
          <w:rFonts w:eastAsiaTheme="minorEastAsia"/>
          <w:lang w:eastAsia="en-GB"/>
        </w:rPr>
        <w:t xml:space="preserve"> </w:t>
      </w:r>
      <w:r w:rsidR="00461422">
        <w:rPr>
          <w:rFonts w:eastAsiaTheme="minorEastAsia"/>
          <w:lang w:eastAsia="en-GB"/>
        </w:rPr>
        <w:t>Each site was asked to randomly select approximately 40 patients that had been seen within their service between April 2017 and April 2018</w:t>
      </w:r>
      <w:r w:rsidR="00C554A1">
        <w:rPr>
          <w:rFonts w:eastAsiaTheme="minorEastAsia"/>
          <w:lang w:eastAsia="en-GB"/>
        </w:rPr>
        <w:t>, presenting for treatments of lateral hip pain</w:t>
      </w:r>
      <w:r w:rsidR="00461422">
        <w:rPr>
          <w:rFonts w:eastAsiaTheme="minorEastAsia"/>
          <w:lang w:eastAsia="en-GB"/>
        </w:rPr>
        <w:t xml:space="preserve"> and given a clinical diagnosis of GTPS by the treating physiotherapist</w:t>
      </w:r>
      <w:r w:rsidR="00CD66AB">
        <w:rPr>
          <w:rFonts w:eastAsiaTheme="minorEastAsia"/>
          <w:lang w:eastAsia="en-GB"/>
        </w:rPr>
        <w:t xml:space="preserve"> in either Consultant led, or physiotherapy out-patient clinics</w:t>
      </w:r>
      <w:r w:rsidR="00461422">
        <w:rPr>
          <w:rFonts w:eastAsiaTheme="minorEastAsia"/>
          <w:lang w:eastAsia="en-GB"/>
        </w:rPr>
        <w:t>.</w:t>
      </w:r>
      <w:r w:rsidR="00E57204">
        <w:rPr>
          <w:rFonts w:eastAsiaTheme="minorEastAsia"/>
          <w:lang w:eastAsia="en-GB"/>
        </w:rPr>
        <w:t xml:space="preserve"> </w:t>
      </w:r>
      <w:r w:rsidR="00E01DA6">
        <w:rPr>
          <w:rFonts w:eastAsiaTheme="minorEastAsia"/>
          <w:lang w:eastAsia="en-GB"/>
        </w:rPr>
        <w:t>A clinical diagnosis</w:t>
      </w:r>
      <w:r w:rsidR="00D44F1B">
        <w:rPr>
          <w:rFonts w:eastAsiaTheme="minorEastAsia"/>
          <w:lang w:eastAsia="en-GB"/>
        </w:rPr>
        <w:t xml:space="preserve"> was accepted for inclusion as clinical testing</w:t>
      </w:r>
      <w:r w:rsidR="00E01DA6">
        <w:rPr>
          <w:rFonts w:eastAsiaTheme="minorEastAsia"/>
          <w:lang w:eastAsia="en-GB"/>
        </w:rPr>
        <w:t xml:space="preserve"> for GTPS</w:t>
      </w:r>
      <w:r w:rsidR="00D44F1B">
        <w:rPr>
          <w:rFonts w:eastAsiaTheme="minorEastAsia"/>
          <w:lang w:eastAsia="en-GB"/>
        </w:rPr>
        <w:t xml:space="preserve"> has a high diagnostic validity and physiotherapists in the UK appear confident with a clinical diagnosis for the condition (Ganderton et al., 2017</w:t>
      </w:r>
      <w:r w:rsidR="00E01DA6">
        <w:rPr>
          <w:rFonts w:eastAsiaTheme="minorEastAsia"/>
          <w:lang w:eastAsia="en-GB"/>
        </w:rPr>
        <w:t>; Stephens et al., 2019</w:t>
      </w:r>
      <w:r w:rsidR="00D44F1B">
        <w:rPr>
          <w:rFonts w:eastAsiaTheme="minorEastAsia"/>
          <w:lang w:eastAsia="en-GB"/>
        </w:rPr>
        <w:t>)</w:t>
      </w:r>
      <w:r w:rsidR="00E01DA6">
        <w:rPr>
          <w:rFonts w:eastAsiaTheme="minorEastAsia"/>
          <w:lang w:eastAsia="en-GB"/>
        </w:rPr>
        <w:t>.</w:t>
      </w:r>
      <w:r w:rsidR="00D44F1B">
        <w:rPr>
          <w:rFonts w:eastAsiaTheme="minorEastAsia"/>
          <w:lang w:eastAsia="en-GB"/>
        </w:rPr>
        <w:t xml:space="preserve"> </w:t>
      </w:r>
      <w:r w:rsidR="008E1407">
        <w:rPr>
          <w:rFonts w:eastAsiaTheme="minorEastAsia"/>
          <w:lang w:eastAsia="en-GB"/>
        </w:rPr>
        <w:t xml:space="preserve">Three </w:t>
      </w:r>
      <w:r w:rsidR="00E57204">
        <w:rPr>
          <w:rFonts w:eastAsiaTheme="minorEastAsia"/>
          <w:lang w:eastAsia="en-GB"/>
        </w:rPr>
        <w:t>s</w:t>
      </w:r>
      <w:r w:rsidR="008E1407">
        <w:rPr>
          <w:rFonts w:eastAsiaTheme="minorEastAsia"/>
          <w:lang w:eastAsia="en-GB"/>
        </w:rPr>
        <w:t xml:space="preserve">ites chose the first forty patients for the given time period who fitted the criteria; whilst one site identified eligible patients </w:t>
      </w:r>
      <w:r w:rsidR="00954ED0">
        <w:rPr>
          <w:rFonts w:eastAsiaTheme="minorEastAsia"/>
          <w:lang w:eastAsia="en-GB"/>
        </w:rPr>
        <w:t>at random</w:t>
      </w:r>
      <w:r>
        <w:rPr>
          <w:rFonts w:eastAsiaTheme="minorEastAsia"/>
          <w:lang w:eastAsia="en-GB"/>
        </w:rPr>
        <w:t xml:space="preserve">. </w:t>
      </w:r>
      <w:r w:rsidR="00D153EA">
        <w:rPr>
          <w:rFonts w:eastAsiaTheme="minorEastAsia"/>
          <w:lang w:eastAsia="en-GB"/>
        </w:rPr>
        <w:t>The only inclusion criteria applied was a diagnosis of GTPS by the treating clinician</w:t>
      </w:r>
      <w:r w:rsidR="00C554A1">
        <w:rPr>
          <w:rFonts w:eastAsiaTheme="minorEastAsia"/>
          <w:lang w:eastAsia="en-GB"/>
        </w:rPr>
        <w:t>, to ensure the</w:t>
      </w:r>
      <w:r w:rsidR="007C7E56">
        <w:rPr>
          <w:rFonts w:eastAsiaTheme="minorEastAsia"/>
          <w:lang w:eastAsia="en-GB"/>
        </w:rPr>
        <w:t xml:space="preserve"> sample most accurately reflected the patient who </w:t>
      </w:r>
      <w:r w:rsidR="00EB28E5">
        <w:rPr>
          <w:rFonts w:eastAsiaTheme="minorEastAsia"/>
          <w:lang w:eastAsia="en-GB"/>
        </w:rPr>
        <w:t>seeks care in the</w:t>
      </w:r>
      <w:r w:rsidR="007C7E56">
        <w:rPr>
          <w:rFonts w:eastAsiaTheme="minorEastAsia"/>
          <w:lang w:eastAsia="en-GB"/>
        </w:rPr>
        <w:t xml:space="preserve"> NHS</w:t>
      </w:r>
      <w:r w:rsidR="00C554A1">
        <w:rPr>
          <w:rFonts w:eastAsiaTheme="minorEastAsia"/>
          <w:lang w:eastAsia="en-GB"/>
        </w:rPr>
        <w:t>. The domains identified</w:t>
      </w:r>
      <w:r w:rsidR="009A20F8">
        <w:rPr>
          <w:rFonts w:eastAsiaTheme="minorEastAsia"/>
          <w:lang w:eastAsia="en-GB"/>
        </w:rPr>
        <w:t xml:space="preserve"> for inclusion </w:t>
      </w:r>
      <w:r w:rsidR="00954ED0">
        <w:rPr>
          <w:rFonts w:eastAsiaTheme="minorEastAsia"/>
          <w:lang w:eastAsia="en-GB"/>
        </w:rPr>
        <w:t>in</w:t>
      </w:r>
      <w:r w:rsidR="009A20F8">
        <w:rPr>
          <w:rFonts w:eastAsiaTheme="minorEastAsia"/>
          <w:lang w:eastAsia="en-GB"/>
        </w:rPr>
        <w:t xml:space="preserve"> the data capture tool</w:t>
      </w:r>
      <w:r w:rsidR="004118F8">
        <w:rPr>
          <w:rFonts w:eastAsiaTheme="minorEastAsia"/>
          <w:lang w:eastAsia="en-GB"/>
        </w:rPr>
        <w:t xml:space="preserve"> </w:t>
      </w:r>
      <w:r w:rsidR="00C554A1">
        <w:rPr>
          <w:rFonts w:eastAsiaTheme="minorEastAsia"/>
          <w:lang w:eastAsia="en-GB"/>
        </w:rPr>
        <w:t>were</w:t>
      </w:r>
      <w:r w:rsidR="009A20F8">
        <w:rPr>
          <w:rFonts w:eastAsiaTheme="minorEastAsia"/>
          <w:lang w:eastAsia="en-GB"/>
        </w:rPr>
        <w:t xml:space="preserve"> pre-</w:t>
      </w:r>
      <w:r w:rsidR="00C554A1">
        <w:rPr>
          <w:rFonts w:eastAsiaTheme="minorEastAsia"/>
          <w:lang w:eastAsia="en-GB"/>
        </w:rPr>
        <w:t xml:space="preserve"> determined by the lead author</w:t>
      </w:r>
      <w:r w:rsidR="006C5FD1">
        <w:rPr>
          <w:rFonts w:eastAsiaTheme="minorEastAsia"/>
          <w:lang w:eastAsia="en-GB"/>
        </w:rPr>
        <w:t xml:space="preserve"> (GS)</w:t>
      </w:r>
      <w:r w:rsidR="00C554A1">
        <w:rPr>
          <w:rFonts w:eastAsiaTheme="minorEastAsia"/>
          <w:lang w:eastAsia="en-GB"/>
        </w:rPr>
        <w:t xml:space="preserve"> and two co-</w:t>
      </w:r>
      <w:r w:rsidR="00571157">
        <w:rPr>
          <w:rFonts w:eastAsiaTheme="minorEastAsia"/>
          <w:lang w:eastAsia="en-GB"/>
        </w:rPr>
        <w:t>authors (</w:t>
      </w:r>
      <w:r w:rsidR="00C554A1">
        <w:rPr>
          <w:rFonts w:eastAsiaTheme="minorEastAsia"/>
          <w:lang w:eastAsia="en-GB"/>
        </w:rPr>
        <w:t>CL, SON)</w:t>
      </w:r>
      <w:r w:rsidR="004825C9">
        <w:rPr>
          <w:rFonts w:eastAsiaTheme="minorEastAsia"/>
          <w:lang w:eastAsia="en-GB"/>
        </w:rPr>
        <w:t>.</w:t>
      </w:r>
      <w:r>
        <w:rPr>
          <w:rFonts w:eastAsiaTheme="minorEastAsia"/>
          <w:lang w:eastAsia="en-GB"/>
        </w:rPr>
        <w:t xml:space="preserve"> </w:t>
      </w:r>
      <w:r>
        <w:rPr>
          <w:rFonts w:eastAsiaTheme="minorEastAsia"/>
          <w:lang w:eastAsia="en-GB"/>
        </w:rPr>
        <w:lastRenderedPageBreak/>
        <w:t>Sites were informed that the anonymised data would be used to define the characteristics of patients with GTPS, attending the NHS.</w:t>
      </w:r>
    </w:p>
    <w:p w14:paraId="19F6D7CF" w14:textId="30BA8CC5" w:rsidR="00571157" w:rsidRPr="00461422" w:rsidRDefault="00571157" w:rsidP="0040327A">
      <w:pPr>
        <w:spacing w:line="480" w:lineRule="auto"/>
        <w:rPr>
          <w:lang w:eastAsia="en-GB"/>
        </w:rPr>
      </w:pPr>
      <w:r>
        <w:rPr>
          <w:rFonts w:eastAsiaTheme="minorEastAsia"/>
          <w:lang w:eastAsia="en-GB"/>
        </w:rPr>
        <w:t xml:space="preserve">Medical conditions were classified using the World Health Organisation, </w:t>
      </w:r>
      <w:r>
        <w:t>International Classification of Diseases 11th Revisi</w:t>
      </w:r>
      <w:r w:rsidR="00203614">
        <w:t>on (World Health Organisation, 2018</w:t>
      </w:r>
      <w:r>
        <w:t xml:space="preserve">) and medications were </w:t>
      </w:r>
      <w:r w:rsidR="00CD0476">
        <w:t>categorised using the British Medical Association, New guide to Medicine and Drugs, 9</w:t>
      </w:r>
      <w:r w:rsidR="00CD0476" w:rsidRPr="00CD0476">
        <w:rPr>
          <w:vertAlign w:val="superscript"/>
        </w:rPr>
        <w:t>th</w:t>
      </w:r>
      <w:r w:rsidR="00CD0476">
        <w:t xml:space="preserve"> Edition</w:t>
      </w:r>
      <w:r w:rsidR="00203614">
        <w:t xml:space="preserve"> (2015)</w:t>
      </w:r>
      <w:r w:rsidR="00CD0476">
        <w:t>.</w:t>
      </w:r>
    </w:p>
    <w:p w14:paraId="2036E065" w14:textId="79FF28ED" w:rsidR="0040327A" w:rsidRDefault="0040327A" w:rsidP="0040327A">
      <w:pPr>
        <w:spacing w:line="480" w:lineRule="auto"/>
        <w:rPr>
          <w:szCs w:val="24"/>
          <w:lang w:eastAsia="en-GB"/>
        </w:rPr>
      </w:pPr>
      <w:r w:rsidRPr="00F46643">
        <w:rPr>
          <w:szCs w:val="24"/>
          <w:lang w:eastAsia="en-GB"/>
        </w:rPr>
        <w:t>Dat</w:t>
      </w:r>
      <w:r>
        <w:rPr>
          <w:szCs w:val="24"/>
          <w:lang w:eastAsia="en-GB"/>
        </w:rPr>
        <w:t>a were analysed descriptively</w:t>
      </w:r>
      <w:r w:rsidR="00C554A1">
        <w:rPr>
          <w:szCs w:val="24"/>
          <w:lang w:eastAsia="en-GB"/>
        </w:rPr>
        <w:t xml:space="preserve"> using means, standard deviations and percentages</w:t>
      </w:r>
      <w:r w:rsidR="00A7133F">
        <w:rPr>
          <w:szCs w:val="24"/>
          <w:lang w:eastAsia="en-GB"/>
        </w:rPr>
        <w:t>, where relevant</w:t>
      </w:r>
      <w:r>
        <w:rPr>
          <w:szCs w:val="24"/>
          <w:lang w:eastAsia="en-GB"/>
        </w:rPr>
        <w:t>.</w:t>
      </w:r>
      <w:r w:rsidR="00EB28E5">
        <w:rPr>
          <w:szCs w:val="24"/>
          <w:lang w:eastAsia="en-GB"/>
        </w:rPr>
        <w:t xml:space="preserve"> </w:t>
      </w:r>
      <w:r w:rsidR="00AF3FAB">
        <w:rPr>
          <w:szCs w:val="24"/>
          <w:lang w:eastAsia="en-GB"/>
        </w:rPr>
        <w:t xml:space="preserve">Comparisons </w:t>
      </w:r>
      <w:r w:rsidR="00557370">
        <w:rPr>
          <w:szCs w:val="24"/>
          <w:lang w:eastAsia="en-GB"/>
        </w:rPr>
        <w:t>of</w:t>
      </w:r>
      <w:r w:rsidR="00AF3FAB">
        <w:rPr>
          <w:szCs w:val="24"/>
          <w:lang w:eastAsia="en-GB"/>
        </w:rPr>
        <w:t xml:space="preserve"> the mean values to the LEAP trial were</w:t>
      </w:r>
      <w:r w:rsidR="00557370">
        <w:rPr>
          <w:szCs w:val="24"/>
          <w:lang w:eastAsia="en-GB"/>
        </w:rPr>
        <w:t xml:space="preserve"> conducted</w:t>
      </w:r>
      <w:r w:rsidR="00AF3FAB">
        <w:rPr>
          <w:szCs w:val="24"/>
          <w:lang w:eastAsia="en-GB"/>
        </w:rPr>
        <w:t xml:space="preserve"> using t-test for interval and ratio data and chi-squared analysis of categorical data.</w:t>
      </w:r>
    </w:p>
    <w:p w14:paraId="40CBBFA4" w14:textId="53E21EE7" w:rsidR="00C9432F" w:rsidRDefault="00C9432F" w:rsidP="0040327A">
      <w:pPr>
        <w:spacing w:line="480" w:lineRule="auto"/>
        <w:rPr>
          <w:szCs w:val="24"/>
          <w:lang w:eastAsia="en-GB"/>
        </w:rPr>
      </w:pPr>
    </w:p>
    <w:p w14:paraId="24C86A0C" w14:textId="3E4A6C60" w:rsidR="00C9432F" w:rsidRPr="00C9432F" w:rsidRDefault="00C9432F" w:rsidP="0040327A">
      <w:pPr>
        <w:spacing w:line="480" w:lineRule="auto"/>
        <w:rPr>
          <w:b/>
          <w:szCs w:val="24"/>
          <w:lang w:eastAsia="en-GB"/>
        </w:rPr>
      </w:pPr>
      <w:r w:rsidRPr="00C9432F">
        <w:rPr>
          <w:b/>
          <w:szCs w:val="24"/>
          <w:lang w:eastAsia="en-GB"/>
        </w:rPr>
        <w:t>Ethical Approval</w:t>
      </w:r>
    </w:p>
    <w:p w14:paraId="6EC38345" w14:textId="3E3CFCD2" w:rsidR="00C9432F" w:rsidRDefault="00A46628" w:rsidP="00C9432F">
      <w:pPr>
        <w:spacing w:line="480" w:lineRule="auto"/>
        <w:rPr>
          <w:rFonts w:eastAsiaTheme="minorEastAsia"/>
          <w:lang w:eastAsia="en-GB"/>
        </w:rPr>
      </w:pPr>
      <w:r>
        <w:rPr>
          <w:rFonts w:eastAsiaTheme="minorEastAsia"/>
          <w:lang w:eastAsia="en-GB"/>
        </w:rPr>
        <w:t>Service evaluation, is a process which is used solely to define or judge current care</w:t>
      </w:r>
      <w:r w:rsidR="00316AFC">
        <w:rPr>
          <w:rFonts w:eastAsiaTheme="minorEastAsia"/>
          <w:lang w:eastAsia="en-GB"/>
        </w:rPr>
        <w:t xml:space="preserve">, without reference to a standard (NHS Health Research Authority, 2016). This evaluation defined current care but focussed particularly on the characteristics of patients accessing physiotherapy services. </w:t>
      </w:r>
      <w:r w:rsidR="00107E59">
        <w:rPr>
          <w:rFonts w:eastAsiaTheme="minorEastAsia"/>
          <w:lang w:eastAsia="en-GB"/>
        </w:rPr>
        <w:t>T</w:t>
      </w:r>
      <w:r w:rsidR="00C9432F">
        <w:rPr>
          <w:rFonts w:eastAsiaTheme="minorEastAsia"/>
          <w:lang w:eastAsia="en-GB"/>
        </w:rPr>
        <w:t>his evaluation collated retrospective data, collected as part of rout</w:t>
      </w:r>
      <w:r w:rsidR="00107E59">
        <w:rPr>
          <w:rFonts w:eastAsiaTheme="minorEastAsia"/>
          <w:lang w:eastAsia="en-GB"/>
        </w:rPr>
        <w:t>ine clinical practice which had</w:t>
      </w:r>
      <w:r w:rsidR="00C9432F">
        <w:rPr>
          <w:rFonts w:eastAsiaTheme="minorEastAsia"/>
          <w:lang w:eastAsia="en-GB"/>
        </w:rPr>
        <w:t xml:space="preserve"> been completely anon</w:t>
      </w:r>
      <w:r w:rsidR="00107E59">
        <w:rPr>
          <w:rFonts w:eastAsiaTheme="minorEastAsia"/>
          <w:lang w:eastAsia="en-GB"/>
        </w:rPr>
        <w:t>ymised at site before sharing. It therefore fulfilled criteria of</w:t>
      </w:r>
      <w:r w:rsidR="00C9432F">
        <w:rPr>
          <w:rFonts w:eastAsiaTheme="minorEastAsia"/>
          <w:lang w:eastAsia="en-GB"/>
        </w:rPr>
        <w:t xml:space="preserve"> a </w:t>
      </w:r>
      <w:r w:rsidR="00107E59">
        <w:rPr>
          <w:rFonts w:eastAsiaTheme="minorEastAsia"/>
          <w:lang w:eastAsia="en-GB"/>
        </w:rPr>
        <w:t xml:space="preserve">multi-site </w:t>
      </w:r>
      <w:r w:rsidR="00C9432F">
        <w:rPr>
          <w:rFonts w:eastAsiaTheme="minorEastAsia"/>
          <w:lang w:eastAsia="en-GB"/>
        </w:rPr>
        <w:t>s</w:t>
      </w:r>
      <w:r w:rsidR="00107E59">
        <w:rPr>
          <w:rFonts w:eastAsiaTheme="minorEastAsia"/>
          <w:lang w:eastAsia="en-GB"/>
        </w:rPr>
        <w:t>ervice evaluation which</w:t>
      </w:r>
      <w:r w:rsidR="00C9432F">
        <w:rPr>
          <w:rFonts w:eastAsiaTheme="minorEastAsia"/>
          <w:lang w:eastAsia="en-GB"/>
        </w:rPr>
        <w:t xml:space="preserve"> did not require </w:t>
      </w:r>
      <w:r w:rsidR="00E1083B">
        <w:rPr>
          <w:rFonts w:eastAsiaTheme="minorEastAsia"/>
          <w:lang w:eastAsia="en-GB"/>
        </w:rPr>
        <w:t xml:space="preserve">NHS </w:t>
      </w:r>
      <w:r w:rsidR="00C9432F">
        <w:rPr>
          <w:rFonts w:eastAsiaTheme="minorEastAsia"/>
          <w:lang w:eastAsia="en-GB"/>
        </w:rPr>
        <w:t xml:space="preserve">Health Research Authority ethical approval. </w:t>
      </w:r>
    </w:p>
    <w:p w14:paraId="482C83A7" w14:textId="77777777" w:rsidR="00C9432F" w:rsidRPr="00F46643" w:rsidRDefault="00C9432F" w:rsidP="0040327A">
      <w:pPr>
        <w:spacing w:line="480" w:lineRule="auto"/>
        <w:rPr>
          <w:szCs w:val="24"/>
          <w:lang w:eastAsia="en-GB"/>
        </w:rPr>
      </w:pPr>
    </w:p>
    <w:p w14:paraId="1629D202" w14:textId="77777777" w:rsidR="00AF3FAB" w:rsidRPr="00F46643" w:rsidRDefault="00AF3FAB" w:rsidP="00E94A32">
      <w:pPr>
        <w:spacing w:after="0" w:line="480" w:lineRule="auto"/>
        <w:jc w:val="center"/>
        <w:rPr>
          <w:u w:val="single"/>
        </w:rPr>
      </w:pPr>
    </w:p>
    <w:p w14:paraId="4B7639EE" w14:textId="77777777" w:rsidR="00CE4B8B" w:rsidRDefault="00CE4B8B">
      <w:pPr>
        <w:spacing w:line="480" w:lineRule="auto"/>
        <w:jc w:val="center"/>
        <w:rPr>
          <w:b/>
          <w:u w:val="single"/>
        </w:rPr>
      </w:pPr>
    </w:p>
    <w:p w14:paraId="17D61B96" w14:textId="77777777" w:rsidR="00E57204" w:rsidRDefault="00E57204">
      <w:pPr>
        <w:spacing w:line="480" w:lineRule="auto"/>
        <w:jc w:val="center"/>
        <w:rPr>
          <w:b/>
          <w:u w:val="single"/>
        </w:rPr>
      </w:pPr>
    </w:p>
    <w:p w14:paraId="21E77745" w14:textId="77777777" w:rsidR="00E57204" w:rsidRDefault="00E57204">
      <w:pPr>
        <w:spacing w:line="480" w:lineRule="auto"/>
        <w:jc w:val="center"/>
        <w:rPr>
          <w:b/>
          <w:u w:val="single"/>
        </w:rPr>
      </w:pPr>
    </w:p>
    <w:p w14:paraId="2273619C" w14:textId="77777777" w:rsidR="00316AFC" w:rsidRDefault="00316AFC" w:rsidP="00316AFC">
      <w:pPr>
        <w:spacing w:line="480" w:lineRule="auto"/>
        <w:rPr>
          <w:b/>
          <w:u w:val="single"/>
        </w:rPr>
      </w:pPr>
    </w:p>
    <w:p w14:paraId="4075434B" w14:textId="4B7A0089" w:rsidR="0040327A" w:rsidRPr="00F46643" w:rsidRDefault="0040327A" w:rsidP="00316AFC">
      <w:pPr>
        <w:spacing w:line="480" w:lineRule="auto"/>
        <w:jc w:val="center"/>
        <w:rPr>
          <w:b/>
          <w:u w:val="single"/>
        </w:rPr>
      </w:pPr>
      <w:r w:rsidRPr="00F46643">
        <w:rPr>
          <w:b/>
          <w:u w:val="single"/>
        </w:rPr>
        <w:t>3. RESULTS</w:t>
      </w:r>
    </w:p>
    <w:p w14:paraId="462ED5A5" w14:textId="29FA6B6A" w:rsidR="003C5B37" w:rsidRPr="003C5B37" w:rsidRDefault="00B83F04" w:rsidP="003C5B37">
      <w:pPr>
        <w:spacing w:line="480" w:lineRule="auto"/>
        <w:rPr>
          <w:b/>
        </w:rPr>
      </w:pPr>
      <w:r>
        <w:rPr>
          <w:b/>
        </w:rPr>
        <w:t xml:space="preserve">3.1 </w:t>
      </w:r>
      <w:r w:rsidR="003C5B37" w:rsidRPr="003C5B37">
        <w:rPr>
          <w:b/>
        </w:rPr>
        <w:t>Patient characteristics</w:t>
      </w:r>
    </w:p>
    <w:p w14:paraId="36A1AF54" w14:textId="62DA30D8" w:rsidR="00FA01BC" w:rsidRDefault="005A4328" w:rsidP="00FA01BC">
      <w:pPr>
        <w:spacing w:after="0" w:line="480" w:lineRule="auto"/>
        <w:rPr>
          <w:b/>
        </w:rPr>
      </w:pPr>
      <w:r>
        <w:t>Overall, data on 1</w:t>
      </w:r>
      <w:r w:rsidR="00551991">
        <w:t>62</w:t>
      </w:r>
      <w:r>
        <w:t xml:space="preserve"> subjects </w:t>
      </w:r>
      <w:r w:rsidR="00A7133F">
        <w:t>was collected and synthesised</w:t>
      </w:r>
      <w:r w:rsidR="00242B49">
        <w:t>.</w:t>
      </w:r>
      <w:r w:rsidR="00EE5977">
        <w:t xml:space="preserve"> </w:t>
      </w:r>
      <w:r w:rsidR="003C5B37">
        <w:t>The majority of patients were female</w:t>
      </w:r>
      <w:r w:rsidR="00B83F04">
        <w:t xml:space="preserve"> (1</w:t>
      </w:r>
      <w:r w:rsidR="00242B49">
        <w:t>18</w:t>
      </w:r>
      <w:r w:rsidR="00B83F04">
        <w:t>/1</w:t>
      </w:r>
      <w:r w:rsidR="00242B49">
        <w:t>62</w:t>
      </w:r>
      <w:r w:rsidR="00B83F04">
        <w:t>; 7</w:t>
      </w:r>
      <w:r w:rsidR="00242B49">
        <w:t>3</w:t>
      </w:r>
      <w:r w:rsidR="00B83F04">
        <w:t>%)</w:t>
      </w:r>
      <w:r w:rsidR="003C5B37">
        <w:t>, with an average age of 59 years of age, presenting with unilateral lateral hip pain</w:t>
      </w:r>
      <w:r w:rsidR="008573BB">
        <w:t xml:space="preserve"> (1</w:t>
      </w:r>
      <w:r w:rsidR="00242B49">
        <w:t>48</w:t>
      </w:r>
      <w:r w:rsidR="008573BB">
        <w:t>/1</w:t>
      </w:r>
      <w:r w:rsidR="00242B49">
        <w:t>6</w:t>
      </w:r>
      <w:r w:rsidR="008573BB">
        <w:t>2; 91.</w:t>
      </w:r>
      <w:r w:rsidR="00242B49">
        <w:t>4</w:t>
      </w:r>
      <w:r w:rsidR="008573BB">
        <w:t>%)</w:t>
      </w:r>
      <w:r w:rsidR="003C5B37">
        <w:t xml:space="preserve"> of more than 12-months in duration</w:t>
      </w:r>
      <w:r w:rsidR="008573BB">
        <w:t xml:space="preserve"> (</w:t>
      </w:r>
      <w:r w:rsidR="00242B49">
        <w:t>92</w:t>
      </w:r>
      <w:r w:rsidR="008573BB">
        <w:t>/1</w:t>
      </w:r>
      <w:r w:rsidR="00242B49">
        <w:t>6</w:t>
      </w:r>
      <w:r w:rsidR="008573BB">
        <w:t>2; 56.8%)</w:t>
      </w:r>
      <w:r w:rsidR="003C5B37">
        <w:t>.</w:t>
      </w:r>
      <w:r w:rsidR="00FA01BC">
        <w:t xml:space="preserve"> </w:t>
      </w:r>
    </w:p>
    <w:p w14:paraId="48655E2F" w14:textId="1C34F548" w:rsidR="00EA4786" w:rsidRDefault="003C5B37" w:rsidP="00EA4786">
      <w:pPr>
        <w:spacing w:line="480" w:lineRule="auto"/>
      </w:pPr>
      <w:r>
        <w:t xml:space="preserve"> BMI data was obtained on </w:t>
      </w:r>
      <w:r w:rsidR="00242B49">
        <w:t>22.2</w:t>
      </w:r>
      <w:r>
        <w:t xml:space="preserve">% of subjects; of those the </w:t>
      </w:r>
      <w:r w:rsidR="00FA01BC">
        <w:t>mean BMI was 28.</w:t>
      </w:r>
      <w:r w:rsidR="00242B49">
        <w:t>4</w:t>
      </w:r>
      <w:r w:rsidR="00FA01BC">
        <w:t xml:space="preserve">; and </w:t>
      </w:r>
      <w:r w:rsidR="00033043">
        <w:t>therefore,</w:t>
      </w:r>
      <w:r w:rsidR="00FA01BC">
        <w:t xml:space="preserve"> </w:t>
      </w:r>
      <w:r w:rsidR="008573BB">
        <w:t>classified as</w:t>
      </w:r>
      <w:r w:rsidR="00EA4786">
        <w:t xml:space="preserve"> </w:t>
      </w:r>
      <w:r w:rsidR="00FA01BC">
        <w:t>‘</w:t>
      </w:r>
      <w:r w:rsidR="00EA4786">
        <w:t>overweight</w:t>
      </w:r>
      <w:r w:rsidR="00FA01BC">
        <w:t>’</w:t>
      </w:r>
      <w:r w:rsidR="00EA4786">
        <w:t xml:space="preserve"> (Table 1)</w:t>
      </w:r>
      <w:r w:rsidR="00B83F04">
        <w:t>.</w:t>
      </w:r>
      <w:r w:rsidR="00FA01BC">
        <w:t xml:space="preserve"> </w:t>
      </w:r>
    </w:p>
    <w:p w14:paraId="3111D096" w14:textId="77777777" w:rsidR="00EA4786" w:rsidRDefault="00EA4786" w:rsidP="00EA4786">
      <w:pPr>
        <w:spacing w:line="480" w:lineRule="auto"/>
        <w:rPr>
          <w:b/>
        </w:rPr>
      </w:pPr>
    </w:p>
    <w:p w14:paraId="48B329F9" w14:textId="77777777" w:rsidR="00FE0134" w:rsidRDefault="00FE0134" w:rsidP="00EA4786">
      <w:pPr>
        <w:spacing w:line="480" w:lineRule="auto"/>
        <w:rPr>
          <w:b/>
        </w:rPr>
      </w:pPr>
    </w:p>
    <w:p w14:paraId="15C8103C" w14:textId="77777777" w:rsidR="00930957" w:rsidRDefault="00930957" w:rsidP="00EA4786">
      <w:pPr>
        <w:spacing w:line="480" w:lineRule="auto"/>
        <w:rPr>
          <w:b/>
        </w:rPr>
      </w:pPr>
    </w:p>
    <w:p w14:paraId="66EF99F0" w14:textId="77777777" w:rsidR="00930957" w:rsidRDefault="00930957" w:rsidP="00EA4786">
      <w:pPr>
        <w:spacing w:line="480" w:lineRule="auto"/>
        <w:rPr>
          <w:b/>
        </w:rPr>
      </w:pPr>
    </w:p>
    <w:p w14:paraId="1AA9EC46" w14:textId="77777777" w:rsidR="00930957" w:rsidRDefault="00930957" w:rsidP="00EA4786">
      <w:pPr>
        <w:spacing w:line="480" w:lineRule="auto"/>
        <w:rPr>
          <w:b/>
        </w:rPr>
      </w:pPr>
    </w:p>
    <w:p w14:paraId="5D0013D2" w14:textId="77777777" w:rsidR="00930957" w:rsidRDefault="00930957" w:rsidP="00EA4786">
      <w:pPr>
        <w:spacing w:line="480" w:lineRule="auto"/>
        <w:rPr>
          <w:b/>
        </w:rPr>
      </w:pPr>
    </w:p>
    <w:p w14:paraId="4E311B60" w14:textId="77777777" w:rsidR="00930957" w:rsidRDefault="00930957" w:rsidP="00EA4786">
      <w:pPr>
        <w:spacing w:line="480" w:lineRule="auto"/>
        <w:rPr>
          <w:b/>
        </w:rPr>
      </w:pPr>
    </w:p>
    <w:p w14:paraId="4AD98CFC" w14:textId="77777777" w:rsidR="00930957" w:rsidRDefault="00930957" w:rsidP="00EA4786">
      <w:pPr>
        <w:spacing w:line="480" w:lineRule="auto"/>
        <w:rPr>
          <w:b/>
        </w:rPr>
      </w:pPr>
    </w:p>
    <w:p w14:paraId="58309785" w14:textId="77777777" w:rsidR="00930957" w:rsidRDefault="00930957" w:rsidP="00EA4786">
      <w:pPr>
        <w:spacing w:line="480" w:lineRule="auto"/>
        <w:rPr>
          <w:b/>
        </w:rPr>
      </w:pPr>
    </w:p>
    <w:p w14:paraId="1B35DCBB" w14:textId="77777777" w:rsidR="00930957" w:rsidRDefault="00930957" w:rsidP="00EA4786">
      <w:pPr>
        <w:spacing w:line="480" w:lineRule="auto"/>
        <w:rPr>
          <w:b/>
        </w:rPr>
      </w:pPr>
    </w:p>
    <w:p w14:paraId="4ABA0BCE" w14:textId="77777777" w:rsidR="00930957" w:rsidRDefault="00930957" w:rsidP="00EA4786">
      <w:pPr>
        <w:spacing w:line="480" w:lineRule="auto"/>
        <w:rPr>
          <w:b/>
        </w:rPr>
      </w:pPr>
    </w:p>
    <w:p w14:paraId="33AF6C54" w14:textId="77777777" w:rsidR="00930957" w:rsidRDefault="00930957" w:rsidP="00EA4786">
      <w:pPr>
        <w:spacing w:line="480" w:lineRule="auto"/>
        <w:rPr>
          <w:b/>
        </w:rPr>
      </w:pPr>
    </w:p>
    <w:p w14:paraId="659DEEA9" w14:textId="77777777" w:rsidR="00930957" w:rsidRDefault="00930957" w:rsidP="00EA4786">
      <w:pPr>
        <w:spacing w:line="480" w:lineRule="auto"/>
        <w:rPr>
          <w:b/>
        </w:rPr>
      </w:pPr>
    </w:p>
    <w:p w14:paraId="77F47147" w14:textId="6BDBAD8D" w:rsidR="003C5B37" w:rsidRDefault="003C5B37" w:rsidP="00EA4786">
      <w:pPr>
        <w:spacing w:line="480" w:lineRule="auto"/>
        <w:rPr>
          <w:b/>
        </w:rPr>
      </w:pPr>
      <w:r w:rsidRPr="003C5B37">
        <w:rPr>
          <w:b/>
        </w:rPr>
        <w:t xml:space="preserve">Table </w:t>
      </w:r>
      <w:r w:rsidR="00C5219D">
        <w:rPr>
          <w:b/>
        </w:rPr>
        <w:t>1. Characteristics and presenting condition.</w:t>
      </w:r>
    </w:p>
    <w:tbl>
      <w:tblPr>
        <w:tblStyle w:val="TableGrid"/>
        <w:tblW w:w="1037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1417"/>
        <w:gridCol w:w="1134"/>
        <w:gridCol w:w="1418"/>
        <w:gridCol w:w="992"/>
        <w:gridCol w:w="1276"/>
        <w:gridCol w:w="992"/>
      </w:tblGrid>
      <w:tr w:rsidR="00930957" w:rsidRPr="006C7AB1" w14:paraId="119AE932" w14:textId="77777777" w:rsidTr="009C5BB5">
        <w:tc>
          <w:tcPr>
            <w:tcW w:w="3148" w:type="dxa"/>
          </w:tcPr>
          <w:p w14:paraId="12CDF983" w14:textId="77777777" w:rsidR="00930957" w:rsidRPr="00AF3FFB" w:rsidRDefault="00930957" w:rsidP="009C5BB5">
            <w:pPr>
              <w:jc w:val="both"/>
              <w:rPr>
                <w:b/>
                <w:sz w:val="20"/>
                <w:lang w:val="en-US"/>
              </w:rPr>
            </w:pPr>
            <w:r w:rsidRPr="00AF3FFB">
              <w:rPr>
                <w:b/>
                <w:lang w:val="en-US"/>
              </w:rPr>
              <w:t>Characteristic</w:t>
            </w:r>
          </w:p>
        </w:tc>
        <w:tc>
          <w:tcPr>
            <w:tcW w:w="1417" w:type="dxa"/>
          </w:tcPr>
          <w:p w14:paraId="02E9C533" w14:textId="77777777" w:rsidR="00930957" w:rsidRPr="00AF3FFB" w:rsidRDefault="00930957" w:rsidP="009C5BB5">
            <w:pPr>
              <w:jc w:val="center"/>
              <w:rPr>
                <w:b/>
                <w:sz w:val="20"/>
                <w:lang w:val="en-US"/>
              </w:rPr>
            </w:pPr>
            <w:r w:rsidRPr="00AF3FFB">
              <w:rPr>
                <w:b/>
                <w:sz w:val="20"/>
                <w:lang w:val="en-US"/>
              </w:rPr>
              <w:t>No. of subjects</w:t>
            </w:r>
          </w:p>
          <w:p w14:paraId="5D3EE841" w14:textId="77777777" w:rsidR="00930957" w:rsidRPr="001F720E" w:rsidRDefault="00930957" w:rsidP="009C5BB5">
            <w:pPr>
              <w:jc w:val="center"/>
              <w:rPr>
                <w:sz w:val="20"/>
                <w:lang w:val="en-US"/>
              </w:rPr>
            </w:pPr>
            <w:r w:rsidRPr="001F720E">
              <w:rPr>
                <w:sz w:val="20"/>
                <w:lang w:val="en-US"/>
              </w:rPr>
              <w:t>(% of subjects)</w:t>
            </w:r>
          </w:p>
        </w:tc>
        <w:tc>
          <w:tcPr>
            <w:tcW w:w="1134" w:type="dxa"/>
          </w:tcPr>
          <w:p w14:paraId="5160DE54" w14:textId="77777777" w:rsidR="00930957" w:rsidRPr="00AF3FFB" w:rsidRDefault="00930957" w:rsidP="009C5BB5">
            <w:pPr>
              <w:jc w:val="center"/>
              <w:rPr>
                <w:b/>
                <w:sz w:val="20"/>
                <w:lang w:val="en-US"/>
              </w:rPr>
            </w:pPr>
            <w:r w:rsidRPr="00AF3FFB">
              <w:rPr>
                <w:b/>
                <w:sz w:val="20"/>
                <w:lang w:val="en-US"/>
              </w:rPr>
              <w:t>Mean</w:t>
            </w:r>
          </w:p>
          <w:p w14:paraId="0C3E2FC2" w14:textId="77777777" w:rsidR="00930957" w:rsidRPr="00AF3FFB" w:rsidRDefault="00930957" w:rsidP="009C5BB5">
            <w:pPr>
              <w:jc w:val="center"/>
              <w:rPr>
                <w:b/>
                <w:sz w:val="20"/>
                <w:lang w:val="en-US"/>
              </w:rPr>
            </w:pPr>
            <w:r w:rsidRPr="00AF3FFB">
              <w:rPr>
                <w:b/>
                <w:sz w:val="20"/>
                <w:lang w:val="en-US"/>
              </w:rPr>
              <w:t>(SD)</w:t>
            </w:r>
          </w:p>
        </w:tc>
        <w:tc>
          <w:tcPr>
            <w:tcW w:w="1418" w:type="dxa"/>
          </w:tcPr>
          <w:p w14:paraId="48BAE6E4" w14:textId="77777777" w:rsidR="00930957" w:rsidRPr="00AF3FFB" w:rsidRDefault="00930957" w:rsidP="009C5BB5">
            <w:pPr>
              <w:ind w:left="-108" w:firstLine="108"/>
              <w:jc w:val="center"/>
              <w:rPr>
                <w:b/>
                <w:sz w:val="20"/>
                <w:lang w:val="en-US"/>
              </w:rPr>
            </w:pPr>
            <w:r w:rsidRPr="00AF3FFB">
              <w:rPr>
                <w:b/>
                <w:sz w:val="20"/>
                <w:lang w:val="en-US"/>
              </w:rPr>
              <w:t>LEAP No. of subjects</w:t>
            </w:r>
          </w:p>
          <w:p w14:paraId="45388242" w14:textId="77777777" w:rsidR="00930957" w:rsidRPr="001F720E" w:rsidRDefault="00930957" w:rsidP="009C5BB5">
            <w:pPr>
              <w:jc w:val="center"/>
              <w:rPr>
                <w:sz w:val="20"/>
                <w:lang w:val="en-US"/>
              </w:rPr>
            </w:pPr>
            <w:r w:rsidRPr="001F720E">
              <w:rPr>
                <w:sz w:val="20"/>
                <w:lang w:val="en-US"/>
              </w:rPr>
              <w:t>(% of subjects)</w:t>
            </w:r>
          </w:p>
        </w:tc>
        <w:tc>
          <w:tcPr>
            <w:tcW w:w="992" w:type="dxa"/>
          </w:tcPr>
          <w:p w14:paraId="23E9F81E" w14:textId="77777777" w:rsidR="00930957" w:rsidRPr="00AF3FFB" w:rsidRDefault="00930957" w:rsidP="009C5BB5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LEAP </w:t>
            </w:r>
            <w:r w:rsidRPr="00AF3FFB">
              <w:rPr>
                <w:b/>
                <w:sz w:val="20"/>
                <w:lang w:val="en-US"/>
              </w:rPr>
              <w:t>Mean</w:t>
            </w:r>
          </w:p>
          <w:p w14:paraId="61E05E14" w14:textId="77777777" w:rsidR="00930957" w:rsidRPr="001F720E" w:rsidRDefault="00930957" w:rsidP="009C5BB5">
            <w:pPr>
              <w:ind w:left="-360" w:firstLine="360"/>
              <w:jc w:val="center"/>
              <w:rPr>
                <w:sz w:val="20"/>
                <w:lang w:val="en-US"/>
              </w:rPr>
            </w:pPr>
            <w:r w:rsidRPr="001F720E">
              <w:rPr>
                <w:sz w:val="20"/>
                <w:lang w:val="en-US"/>
              </w:rPr>
              <w:t>(SD)</w:t>
            </w:r>
          </w:p>
        </w:tc>
        <w:tc>
          <w:tcPr>
            <w:tcW w:w="1276" w:type="dxa"/>
          </w:tcPr>
          <w:p w14:paraId="77861488" w14:textId="77777777" w:rsidR="00930957" w:rsidRPr="00AF3FFB" w:rsidRDefault="00930957" w:rsidP="009C5BB5">
            <w:pPr>
              <w:jc w:val="center"/>
              <w:rPr>
                <w:b/>
                <w:sz w:val="20"/>
                <w:lang w:val="en-US"/>
              </w:rPr>
            </w:pPr>
            <w:r w:rsidRPr="00AF3FFB">
              <w:rPr>
                <w:b/>
                <w:sz w:val="20"/>
                <w:lang w:val="en-US"/>
              </w:rPr>
              <w:t>Mean differences</w:t>
            </w:r>
          </w:p>
          <w:p w14:paraId="6DCE9B7E" w14:textId="77777777" w:rsidR="00930957" w:rsidRPr="001F720E" w:rsidRDefault="00930957" w:rsidP="009C5BB5">
            <w:pPr>
              <w:jc w:val="center"/>
              <w:rPr>
                <w:sz w:val="20"/>
                <w:lang w:val="en-US"/>
              </w:rPr>
            </w:pPr>
            <w:r w:rsidRPr="001F720E">
              <w:rPr>
                <w:sz w:val="20"/>
                <w:lang w:val="en-US"/>
              </w:rPr>
              <w:t>(95% CI)</w:t>
            </w:r>
          </w:p>
        </w:tc>
        <w:tc>
          <w:tcPr>
            <w:tcW w:w="992" w:type="dxa"/>
          </w:tcPr>
          <w:p w14:paraId="2A3014CE" w14:textId="77777777" w:rsidR="00930957" w:rsidRPr="00AF3FFB" w:rsidRDefault="00930957" w:rsidP="009C5BB5">
            <w:pPr>
              <w:jc w:val="center"/>
              <w:rPr>
                <w:b/>
                <w:sz w:val="20"/>
                <w:lang w:val="en-US"/>
              </w:rPr>
            </w:pPr>
            <w:r w:rsidRPr="00AF3FFB">
              <w:rPr>
                <w:b/>
                <w:sz w:val="20"/>
                <w:lang w:val="en-US"/>
              </w:rPr>
              <w:t>p-value</w:t>
            </w:r>
          </w:p>
        </w:tc>
      </w:tr>
      <w:tr w:rsidR="00930957" w:rsidRPr="006C7AB1" w14:paraId="18177D83" w14:textId="77777777" w:rsidTr="009C5BB5">
        <w:tc>
          <w:tcPr>
            <w:tcW w:w="3148" w:type="dxa"/>
          </w:tcPr>
          <w:p w14:paraId="7EF0EC24" w14:textId="77777777" w:rsidR="00930957" w:rsidRPr="006C7AB1" w:rsidRDefault="00930957" w:rsidP="009C5BB5">
            <w:pPr>
              <w:rPr>
                <w:sz w:val="20"/>
                <w:lang w:val="en-US"/>
              </w:rPr>
            </w:pPr>
          </w:p>
          <w:p w14:paraId="7BA01E21" w14:textId="77777777" w:rsidR="00930957" w:rsidRPr="006C7AB1" w:rsidRDefault="00930957" w:rsidP="009C5BB5">
            <w:pPr>
              <w:rPr>
                <w:b/>
                <w:sz w:val="20"/>
                <w:lang w:val="en-US"/>
              </w:rPr>
            </w:pPr>
            <w:r w:rsidRPr="006C7AB1">
              <w:rPr>
                <w:b/>
                <w:sz w:val="20"/>
                <w:lang w:val="en-US"/>
              </w:rPr>
              <w:t>Male</w:t>
            </w:r>
          </w:p>
          <w:p w14:paraId="48B0DE56" w14:textId="77777777" w:rsidR="00930957" w:rsidRPr="006C7AB1" w:rsidRDefault="00930957" w:rsidP="009C5BB5">
            <w:pPr>
              <w:rPr>
                <w:sz w:val="20"/>
                <w:lang w:val="en-US"/>
              </w:rPr>
            </w:pPr>
          </w:p>
          <w:p w14:paraId="444E56F1" w14:textId="77777777" w:rsidR="00930957" w:rsidRPr="006C7AB1" w:rsidRDefault="00930957" w:rsidP="009C5BB5">
            <w:pPr>
              <w:rPr>
                <w:b/>
                <w:sz w:val="20"/>
                <w:lang w:val="en-US"/>
              </w:rPr>
            </w:pPr>
            <w:r w:rsidRPr="006C7AB1">
              <w:rPr>
                <w:b/>
                <w:sz w:val="20"/>
                <w:lang w:val="en-US"/>
              </w:rPr>
              <w:t>Female</w:t>
            </w:r>
          </w:p>
        </w:tc>
        <w:tc>
          <w:tcPr>
            <w:tcW w:w="1417" w:type="dxa"/>
          </w:tcPr>
          <w:p w14:paraId="0C6A4341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</w:p>
          <w:p w14:paraId="63A2D713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44</w:t>
            </w:r>
          </w:p>
          <w:p w14:paraId="7921D229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(27%)</w:t>
            </w:r>
          </w:p>
          <w:p w14:paraId="21885C11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118</w:t>
            </w:r>
          </w:p>
          <w:p w14:paraId="0740C4AE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(73%)</w:t>
            </w:r>
          </w:p>
        </w:tc>
        <w:tc>
          <w:tcPr>
            <w:tcW w:w="1134" w:type="dxa"/>
          </w:tcPr>
          <w:p w14:paraId="5AC60C25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</w:p>
          <w:p w14:paraId="7ACCC579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1CC0B197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</w:p>
          <w:p w14:paraId="2769A06F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37</w:t>
            </w:r>
          </w:p>
          <w:p w14:paraId="1A3C8D1B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(18%)</w:t>
            </w:r>
          </w:p>
          <w:p w14:paraId="1FFE02ED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167</w:t>
            </w:r>
          </w:p>
          <w:p w14:paraId="6EC307D3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(82%)</w:t>
            </w:r>
          </w:p>
        </w:tc>
        <w:tc>
          <w:tcPr>
            <w:tcW w:w="992" w:type="dxa"/>
          </w:tcPr>
          <w:p w14:paraId="4B101FAA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</w:p>
          <w:p w14:paraId="449B99E5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76" w:type="dxa"/>
          </w:tcPr>
          <w:p w14:paraId="206BB791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992" w:type="dxa"/>
          </w:tcPr>
          <w:p w14:paraId="5F6DF331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</w:p>
        </w:tc>
      </w:tr>
      <w:tr w:rsidR="00930957" w:rsidRPr="006C7AB1" w14:paraId="29599512" w14:textId="77777777" w:rsidTr="009C5BB5">
        <w:tc>
          <w:tcPr>
            <w:tcW w:w="3148" w:type="dxa"/>
          </w:tcPr>
          <w:p w14:paraId="5836D4D8" w14:textId="77777777" w:rsidR="00930957" w:rsidRPr="006C7AB1" w:rsidRDefault="00930957" w:rsidP="009C5BB5">
            <w:pPr>
              <w:rPr>
                <w:b/>
                <w:sz w:val="20"/>
                <w:lang w:val="en-US"/>
              </w:rPr>
            </w:pPr>
            <w:r w:rsidRPr="006C7AB1">
              <w:rPr>
                <w:b/>
                <w:sz w:val="20"/>
                <w:lang w:val="en-US"/>
              </w:rPr>
              <w:t>Age</w:t>
            </w:r>
          </w:p>
        </w:tc>
        <w:tc>
          <w:tcPr>
            <w:tcW w:w="1417" w:type="dxa"/>
          </w:tcPr>
          <w:p w14:paraId="4A903C88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162</w:t>
            </w:r>
          </w:p>
          <w:p w14:paraId="1A6F13FC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(100%)</w:t>
            </w:r>
          </w:p>
        </w:tc>
        <w:tc>
          <w:tcPr>
            <w:tcW w:w="1134" w:type="dxa"/>
          </w:tcPr>
          <w:p w14:paraId="325E7793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59.4 (13.7)</w:t>
            </w:r>
          </w:p>
        </w:tc>
        <w:tc>
          <w:tcPr>
            <w:tcW w:w="1418" w:type="dxa"/>
          </w:tcPr>
          <w:p w14:paraId="6D1E11C0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204</w:t>
            </w:r>
          </w:p>
          <w:p w14:paraId="359BDA4D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(100%)</w:t>
            </w:r>
          </w:p>
        </w:tc>
        <w:tc>
          <w:tcPr>
            <w:tcW w:w="992" w:type="dxa"/>
          </w:tcPr>
          <w:p w14:paraId="37129703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54.8</w:t>
            </w:r>
          </w:p>
          <w:p w14:paraId="5F381C2A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(8.8)</w:t>
            </w:r>
          </w:p>
        </w:tc>
        <w:tc>
          <w:tcPr>
            <w:tcW w:w="1276" w:type="dxa"/>
          </w:tcPr>
          <w:p w14:paraId="069D5B71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4.6</w:t>
            </w:r>
          </w:p>
          <w:p w14:paraId="5DC9ABE8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(2.2 -6.92)</w:t>
            </w:r>
          </w:p>
        </w:tc>
        <w:tc>
          <w:tcPr>
            <w:tcW w:w="992" w:type="dxa"/>
          </w:tcPr>
          <w:p w14:paraId="1CD4C36B" w14:textId="77777777" w:rsidR="00930957" w:rsidRDefault="00930957" w:rsidP="009C5BB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0.0001</w:t>
            </w:r>
          </w:p>
        </w:tc>
      </w:tr>
      <w:tr w:rsidR="00930957" w:rsidRPr="006C7AB1" w14:paraId="5B61C0E8" w14:textId="77777777" w:rsidTr="009C5BB5">
        <w:tc>
          <w:tcPr>
            <w:tcW w:w="3148" w:type="dxa"/>
          </w:tcPr>
          <w:p w14:paraId="6CB8AC07" w14:textId="77777777" w:rsidR="00930957" w:rsidRPr="006C7AB1" w:rsidRDefault="00930957" w:rsidP="009C5BB5">
            <w:pPr>
              <w:rPr>
                <w:b/>
                <w:sz w:val="20"/>
                <w:lang w:val="en-US"/>
              </w:rPr>
            </w:pPr>
            <w:r w:rsidRPr="006C7AB1">
              <w:rPr>
                <w:b/>
                <w:sz w:val="20"/>
                <w:lang w:val="en-US"/>
              </w:rPr>
              <w:t>BMI</w:t>
            </w:r>
          </w:p>
        </w:tc>
        <w:tc>
          <w:tcPr>
            <w:tcW w:w="1417" w:type="dxa"/>
          </w:tcPr>
          <w:p w14:paraId="03AC763E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36</w:t>
            </w:r>
          </w:p>
          <w:p w14:paraId="0A40D901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(22.2%)</w:t>
            </w:r>
          </w:p>
        </w:tc>
        <w:tc>
          <w:tcPr>
            <w:tcW w:w="1134" w:type="dxa"/>
          </w:tcPr>
          <w:p w14:paraId="74D1C2D8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28.4</w:t>
            </w:r>
          </w:p>
          <w:p w14:paraId="2E2CBD40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(5.1)</w:t>
            </w:r>
          </w:p>
        </w:tc>
        <w:tc>
          <w:tcPr>
            <w:tcW w:w="1418" w:type="dxa"/>
          </w:tcPr>
          <w:p w14:paraId="0564FF91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204</w:t>
            </w:r>
          </w:p>
          <w:p w14:paraId="0EAD23D0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(100%)</w:t>
            </w:r>
          </w:p>
        </w:tc>
        <w:tc>
          <w:tcPr>
            <w:tcW w:w="992" w:type="dxa"/>
          </w:tcPr>
          <w:p w14:paraId="234396A4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27.4</w:t>
            </w:r>
          </w:p>
          <w:p w14:paraId="72F6CE44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(1.0)</w:t>
            </w:r>
          </w:p>
        </w:tc>
        <w:tc>
          <w:tcPr>
            <w:tcW w:w="1276" w:type="dxa"/>
          </w:tcPr>
          <w:p w14:paraId="01540BDB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1.0</w:t>
            </w:r>
          </w:p>
          <w:p w14:paraId="10577B7F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(0.23-1.77)</w:t>
            </w:r>
          </w:p>
        </w:tc>
        <w:tc>
          <w:tcPr>
            <w:tcW w:w="992" w:type="dxa"/>
          </w:tcPr>
          <w:p w14:paraId="07296DB1" w14:textId="77777777" w:rsidR="00930957" w:rsidRDefault="00930957" w:rsidP="009C5BB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0.012</w:t>
            </w:r>
          </w:p>
        </w:tc>
      </w:tr>
      <w:tr w:rsidR="00930957" w:rsidRPr="006C7AB1" w14:paraId="2659575E" w14:textId="77777777" w:rsidTr="009C5BB5">
        <w:tc>
          <w:tcPr>
            <w:tcW w:w="3148" w:type="dxa"/>
          </w:tcPr>
          <w:p w14:paraId="50325CCF" w14:textId="77777777" w:rsidR="00930957" w:rsidRPr="006C7AB1" w:rsidRDefault="00930957" w:rsidP="009C5BB5">
            <w:pPr>
              <w:rPr>
                <w:b/>
                <w:sz w:val="20"/>
                <w:lang w:val="en-US"/>
              </w:rPr>
            </w:pPr>
            <w:r w:rsidRPr="006C7AB1">
              <w:rPr>
                <w:b/>
                <w:sz w:val="20"/>
                <w:lang w:val="en-US"/>
              </w:rPr>
              <w:t>Duration of symptoms</w:t>
            </w:r>
          </w:p>
          <w:p w14:paraId="371F4F29" w14:textId="77777777" w:rsidR="00930957" w:rsidRPr="006C7AB1" w:rsidRDefault="00930957" w:rsidP="009C5BB5">
            <w:pPr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2-6/12</w:t>
            </w:r>
          </w:p>
          <w:p w14:paraId="472CA931" w14:textId="77777777" w:rsidR="00930957" w:rsidRPr="006C7AB1" w:rsidRDefault="00930957" w:rsidP="009C5BB5">
            <w:pPr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6-12/12</w:t>
            </w:r>
          </w:p>
          <w:p w14:paraId="176399B7" w14:textId="77777777" w:rsidR="00930957" w:rsidRPr="006C7AB1" w:rsidRDefault="00930957" w:rsidP="009C5BB5">
            <w:pPr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&gt;12/12</w:t>
            </w:r>
          </w:p>
        </w:tc>
        <w:tc>
          <w:tcPr>
            <w:tcW w:w="1417" w:type="dxa"/>
          </w:tcPr>
          <w:p w14:paraId="630CBDF2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</w:p>
          <w:p w14:paraId="7ADFDD27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40 (24.7%)</w:t>
            </w:r>
          </w:p>
          <w:p w14:paraId="7934251D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30 (18.5%)</w:t>
            </w:r>
          </w:p>
          <w:p w14:paraId="6080C4CA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92 (56.8)</w:t>
            </w:r>
          </w:p>
        </w:tc>
        <w:tc>
          <w:tcPr>
            <w:tcW w:w="1134" w:type="dxa"/>
          </w:tcPr>
          <w:p w14:paraId="470A71F1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</w:p>
          <w:p w14:paraId="76C20E5A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0DAD90CE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</w:p>
          <w:p w14:paraId="5698D6EC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24 (11.8%)</w:t>
            </w:r>
          </w:p>
          <w:p w14:paraId="4079FC64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51 (25%)</w:t>
            </w:r>
          </w:p>
          <w:p w14:paraId="22D46E4F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129 (63.2%)</w:t>
            </w:r>
          </w:p>
        </w:tc>
        <w:tc>
          <w:tcPr>
            <w:tcW w:w="992" w:type="dxa"/>
          </w:tcPr>
          <w:p w14:paraId="4A988858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76" w:type="dxa"/>
          </w:tcPr>
          <w:p w14:paraId="58B361EC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992" w:type="dxa"/>
          </w:tcPr>
          <w:p w14:paraId="74C07F49" w14:textId="77777777" w:rsidR="00930957" w:rsidRDefault="00930957" w:rsidP="009C5BB5">
            <w:pPr>
              <w:jc w:val="center"/>
              <w:rPr>
                <w:sz w:val="20"/>
                <w:lang w:val="en-US"/>
              </w:rPr>
            </w:pPr>
          </w:p>
          <w:p w14:paraId="17E00A95" w14:textId="77777777" w:rsidR="00930957" w:rsidRDefault="00930957" w:rsidP="009C5BB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0.001</w:t>
            </w:r>
          </w:p>
          <w:p w14:paraId="0902C1BC" w14:textId="77777777" w:rsidR="00930957" w:rsidRDefault="00930957" w:rsidP="009C5BB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0.14</w:t>
            </w:r>
          </w:p>
          <w:p w14:paraId="49CF0756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0.21</w:t>
            </w:r>
          </w:p>
        </w:tc>
      </w:tr>
      <w:tr w:rsidR="00930957" w:rsidRPr="006C7AB1" w14:paraId="3CDBDE22" w14:textId="77777777" w:rsidTr="009C5BB5">
        <w:tc>
          <w:tcPr>
            <w:tcW w:w="3148" w:type="dxa"/>
          </w:tcPr>
          <w:p w14:paraId="4C7984EB" w14:textId="77777777" w:rsidR="00930957" w:rsidRPr="006C7AB1" w:rsidRDefault="00930957" w:rsidP="009C5BB5">
            <w:pPr>
              <w:rPr>
                <w:b/>
                <w:sz w:val="20"/>
                <w:lang w:val="en-US"/>
              </w:rPr>
            </w:pPr>
            <w:r w:rsidRPr="006C7AB1">
              <w:rPr>
                <w:b/>
                <w:sz w:val="20"/>
                <w:lang w:val="en-US"/>
              </w:rPr>
              <w:t>Pain levels at assessment</w:t>
            </w:r>
          </w:p>
          <w:p w14:paraId="6CED080E" w14:textId="77777777" w:rsidR="00930957" w:rsidRPr="006C7AB1" w:rsidRDefault="00930957" w:rsidP="009C5BB5">
            <w:pPr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VAS (0-10)</w:t>
            </w:r>
          </w:p>
        </w:tc>
        <w:tc>
          <w:tcPr>
            <w:tcW w:w="1417" w:type="dxa"/>
          </w:tcPr>
          <w:p w14:paraId="5C5AF560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</w:p>
          <w:p w14:paraId="28843A1F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114</w:t>
            </w:r>
          </w:p>
          <w:p w14:paraId="73B66D5B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(70.3%)</w:t>
            </w:r>
          </w:p>
        </w:tc>
        <w:tc>
          <w:tcPr>
            <w:tcW w:w="1134" w:type="dxa"/>
          </w:tcPr>
          <w:p w14:paraId="388E41CE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</w:p>
          <w:p w14:paraId="447F5E84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6.5</w:t>
            </w:r>
          </w:p>
          <w:p w14:paraId="6559D042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(2.1)</w:t>
            </w:r>
          </w:p>
        </w:tc>
        <w:tc>
          <w:tcPr>
            <w:tcW w:w="1418" w:type="dxa"/>
          </w:tcPr>
          <w:p w14:paraId="419759CE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</w:p>
          <w:p w14:paraId="665D07E7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204</w:t>
            </w:r>
          </w:p>
          <w:p w14:paraId="1A05217B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(100%)</w:t>
            </w:r>
          </w:p>
        </w:tc>
        <w:tc>
          <w:tcPr>
            <w:tcW w:w="992" w:type="dxa"/>
          </w:tcPr>
          <w:p w14:paraId="51E22920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</w:p>
          <w:p w14:paraId="6C50885D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4.9</w:t>
            </w:r>
          </w:p>
          <w:p w14:paraId="688C4C85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(1.0)</w:t>
            </w:r>
          </w:p>
        </w:tc>
        <w:tc>
          <w:tcPr>
            <w:tcW w:w="1276" w:type="dxa"/>
          </w:tcPr>
          <w:p w14:paraId="69608A84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</w:p>
          <w:p w14:paraId="37AEE1FD" w14:textId="77777777" w:rsidR="00930957" w:rsidRDefault="00930957" w:rsidP="009C5BB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1.6</w:t>
            </w:r>
          </w:p>
          <w:p w14:paraId="4B20804D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(1.26-1.94)</w:t>
            </w:r>
          </w:p>
        </w:tc>
        <w:tc>
          <w:tcPr>
            <w:tcW w:w="992" w:type="dxa"/>
          </w:tcPr>
          <w:p w14:paraId="38E6D833" w14:textId="77777777" w:rsidR="00930957" w:rsidRDefault="00930957" w:rsidP="009C5BB5">
            <w:pPr>
              <w:jc w:val="center"/>
              <w:rPr>
                <w:sz w:val="20"/>
                <w:lang w:val="en-US"/>
              </w:rPr>
            </w:pPr>
          </w:p>
          <w:p w14:paraId="0B00E849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&lt;0.0001</w:t>
            </w:r>
          </w:p>
        </w:tc>
      </w:tr>
      <w:tr w:rsidR="00930957" w:rsidRPr="006C7AB1" w14:paraId="0946353B" w14:textId="77777777" w:rsidTr="009C5BB5">
        <w:tc>
          <w:tcPr>
            <w:tcW w:w="3148" w:type="dxa"/>
          </w:tcPr>
          <w:p w14:paraId="59E59F3C" w14:textId="77777777" w:rsidR="00930957" w:rsidRPr="006C7AB1" w:rsidRDefault="00930957" w:rsidP="009C5BB5">
            <w:pPr>
              <w:rPr>
                <w:b/>
                <w:sz w:val="20"/>
                <w:lang w:val="en-US"/>
              </w:rPr>
            </w:pPr>
            <w:r w:rsidRPr="006C7AB1">
              <w:rPr>
                <w:b/>
                <w:sz w:val="20"/>
                <w:lang w:val="en-US"/>
              </w:rPr>
              <w:t>Health Related Quality of Life</w:t>
            </w:r>
          </w:p>
          <w:p w14:paraId="591A9551" w14:textId="77777777" w:rsidR="00930957" w:rsidRDefault="00930957" w:rsidP="009C5BB5">
            <w:pPr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EQ5D5L Index</w:t>
            </w:r>
          </w:p>
          <w:p w14:paraId="6BDF1A11" w14:textId="77777777" w:rsidR="00930957" w:rsidRPr="006C7AB1" w:rsidRDefault="00930957" w:rsidP="009C5BB5">
            <w:pPr>
              <w:rPr>
                <w:sz w:val="20"/>
                <w:lang w:val="en-US"/>
              </w:rPr>
            </w:pPr>
          </w:p>
          <w:p w14:paraId="68F7EF9D" w14:textId="77777777" w:rsidR="00930957" w:rsidRDefault="00930957" w:rsidP="009C5BB5">
            <w:pPr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MSK-HQ</w:t>
            </w:r>
          </w:p>
          <w:p w14:paraId="0AB05A8A" w14:textId="77777777" w:rsidR="00930957" w:rsidRPr="006C7AB1" w:rsidRDefault="00930957" w:rsidP="009C5BB5">
            <w:pPr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2A8E2751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</w:p>
          <w:p w14:paraId="2A871755" w14:textId="77777777" w:rsidR="00930957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71</w:t>
            </w:r>
          </w:p>
          <w:p w14:paraId="1B96E79B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(43.8%)</w:t>
            </w:r>
          </w:p>
          <w:p w14:paraId="073FE2FA" w14:textId="77777777" w:rsidR="00930957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31</w:t>
            </w:r>
          </w:p>
          <w:p w14:paraId="38F3571B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(19.1%)</w:t>
            </w:r>
          </w:p>
        </w:tc>
        <w:tc>
          <w:tcPr>
            <w:tcW w:w="1134" w:type="dxa"/>
          </w:tcPr>
          <w:p w14:paraId="6A6168D1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</w:p>
          <w:p w14:paraId="35FF1B1A" w14:textId="77777777" w:rsidR="00930957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0.6</w:t>
            </w:r>
          </w:p>
          <w:p w14:paraId="16BF93FB" w14:textId="77777777" w:rsidR="00930957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(0.2)</w:t>
            </w:r>
          </w:p>
          <w:p w14:paraId="4E9CCE5D" w14:textId="77777777" w:rsidR="00930957" w:rsidRDefault="00930957" w:rsidP="009C5BB5">
            <w:pPr>
              <w:jc w:val="center"/>
              <w:rPr>
                <w:sz w:val="20"/>
                <w:lang w:val="en-US"/>
              </w:rPr>
            </w:pPr>
          </w:p>
          <w:p w14:paraId="70A598E1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36.9 (9.5)</w:t>
            </w:r>
          </w:p>
        </w:tc>
        <w:tc>
          <w:tcPr>
            <w:tcW w:w="1418" w:type="dxa"/>
          </w:tcPr>
          <w:p w14:paraId="1BE6DA70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</w:p>
          <w:p w14:paraId="0256C758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204</w:t>
            </w:r>
          </w:p>
          <w:p w14:paraId="562A277A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(100%)</w:t>
            </w:r>
          </w:p>
        </w:tc>
        <w:tc>
          <w:tcPr>
            <w:tcW w:w="992" w:type="dxa"/>
          </w:tcPr>
          <w:p w14:paraId="2A39491E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</w:p>
          <w:p w14:paraId="72B6CD8D" w14:textId="77777777" w:rsidR="00930957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0.7</w:t>
            </w:r>
          </w:p>
          <w:p w14:paraId="69F88944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(0.1)</w:t>
            </w:r>
          </w:p>
          <w:p w14:paraId="7EB6D708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x</w:t>
            </w:r>
          </w:p>
        </w:tc>
        <w:tc>
          <w:tcPr>
            <w:tcW w:w="1276" w:type="dxa"/>
          </w:tcPr>
          <w:p w14:paraId="47644C3C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</w:p>
          <w:p w14:paraId="6DCD7D39" w14:textId="77777777" w:rsidR="00930957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0.1</w:t>
            </w:r>
          </w:p>
          <w:p w14:paraId="7F49F554" w14:textId="77777777" w:rsidR="00930957" w:rsidRDefault="00930957" w:rsidP="009C5BB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(0.06-0.14)</w:t>
            </w:r>
          </w:p>
          <w:p w14:paraId="5355A102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992" w:type="dxa"/>
          </w:tcPr>
          <w:p w14:paraId="170EAF8F" w14:textId="77777777" w:rsidR="00930957" w:rsidRDefault="00930957" w:rsidP="009C5BB5">
            <w:pPr>
              <w:jc w:val="center"/>
              <w:rPr>
                <w:sz w:val="20"/>
                <w:lang w:val="en-US"/>
              </w:rPr>
            </w:pPr>
          </w:p>
          <w:p w14:paraId="2971AEA8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&lt;0.0001</w:t>
            </w:r>
          </w:p>
        </w:tc>
      </w:tr>
      <w:tr w:rsidR="00930957" w:rsidRPr="006C7AB1" w14:paraId="5E19802E" w14:textId="77777777" w:rsidTr="009C5BB5">
        <w:tc>
          <w:tcPr>
            <w:tcW w:w="3148" w:type="dxa"/>
          </w:tcPr>
          <w:p w14:paraId="6574D5DF" w14:textId="77777777" w:rsidR="00930957" w:rsidRDefault="00930957" w:rsidP="009C5BB5">
            <w:pPr>
              <w:rPr>
                <w:b/>
                <w:sz w:val="20"/>
                <w:lang w:val="en-US"/>
              </w:rPr>
            </w:pPr>
          </w:p>
          <w:p w14:paraId="4E3DCA1E" w14:textId="77777777" w:rsidR="00930957" w:rsidRPr="00A97F3E" w:rsidRDefault="00930957" w:rsidP="009C5BB5">
            <w:pPr>
              <w:rPr>
                <w:b/>
                <w:sz w:val="20"/>
                <w:lang w:val="en-US"/>
              </w:rPr>
            </w:pPr>
            <w:r w:rsidRPr="00A97F3E">
              <w:rPr>
                <w:b/>
                <w:sz w:val="20"/>
                <w:lang w:val="en-US"/>
              </w:rPr>
              <w:t>Problem list</w:t>
            </w:r>
          </w:p>
          <w:p w14:paraId="337FAF46" w14:textId="77777777" w:rsidR="00930957" w:rsidRPr="006C7AB1" w:rsidRDefault="00930957" w:rsidP="009C5BB5">
            <w:pPr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Walking</w:t>
            </w:r>
          </w:p>
          <w:p w14:paraId="4473EA1E" w14:textId="77777777" w:rsidR="00930957" w:rsidRPr="006C7AB1" w:rsidRDefault="00930957" w:rsidP="009C5BB5">
            <w:pPr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Lying / Sleeping</w:t>
            </w:r>
          </w:p>
          <w:p w14:paraId="2DE96B00" w14:textId="77777777" w:rsidR="00930957" w:rsidRPr="006C7AB1" w:rsidRDefault="00930957" w:rsidP="009C5BB5">
            <w:pPr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Standing (including sit to stand)</w:t>
            </w:r>
          </w:p>
          <w:p w14:paraId="6EBA9A44" w14:textId="77777777" w:rsidR="00930957" w:rsidRPr="006C7AB1" w:rsidRDefault="00930957" w:rsidP="009C5BB5">
            <w:pPr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Sitting / driving</w:t>
            </w:r>
          </w:p>
          <w:p w14:paraId="07BD168C" w14:textId="77777777" w:rsidR="00930957" w:rsidRPr="006C7AB1" w:rsidRDefault="00930957" w:rsidP="009C5BB5">
            <w:pPr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Stairs</w:t>
            </w:r>
          </w:p>
          <w:p w14:paraId="7C16A570" w14:textId="77777777" w:rsidR="00930957" w:rsidRPr="006C7AB1" w:rsidRDefault="00930957" w:rsidP="009C5BB5">
            <w:pPr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Exercise / hobbies</w:t>
            </w:r>
          </w:p>
          <w:p w14:paraId="0BD5BCD1" w14:textId="77777777" w:rsidR="00930957" w:rsidRPr="006C7AB1" w:rsidRDefault="00930957" w:rsidP="009C5BB5">
            <w:pPr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Squatting</w:t>
            </w:r>
          </w:p>
          <w:p w14:paraId="21B94C9C" w14:textId="77777777" w:rsidR="00930957" w:rsidRPr="006C7AB1" w:rsidRDefault="00930957" w:rsidP="009C5BB5">
            <w:pPr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Bending</w:t>
            </w:r>
          </w:p>
          <w:p w14:paraId="5CBCB65E" w14:textId="77777777" w:rsidR="00930957" w:rsidRPr="006C7AB1" w:rsidRDefault="00930957" w:rsidP="009C5BB5">
            <w:pPr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Nil reported</w:t>
            </w:r>
          </w:p>
          <w:p w14:paraId="4EAD08BE" w14:textId="77777777" w:rsidR="00930957" w:rsidRPr="006C7AB1" w:rsidRDefault="00930957" w:rsidP="009C5BB5">
            <w:pPr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Getting in / out of the car</w:t>
            </w:r>
          </w:p>
          <w:p w14:paraId="5F353DA2" w14:textId="77777777" w:rsidR="00930957" w:rsidRPr="006C7AB1" w:rsidRDefault="00930957" w:rsidP="009C5BB5">
            <w:pPr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Housework</w:t>
            </w:r>
          </w:p>
        </w:tc>
        <w:tc>
          <w:tcPr>
            <w:tcW w:w="1417" w:type="dxa"/>
          </w:tcPr>
          <w:p w14:paraId="188A5D2D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</w:p>
          <w:p w14:paraId="0F253B5A" w14:textId="77777777" w:rsidR="00930957" w:rsidRDefault="00930957" w:rsidP="009C5BB5">
            <w:pPr>
              <w:jc w:val="center"/>
              <w:rPr>
                <w:sz w:val="20"/>
                <w:lang w:val="en-US"/>
              </w:rPr>
            </w:pPr>
          </w:p>
          <w:p w14:paraId="2262A16C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106 (65.4%)</w:t>
            </w:r>
          </w:p>
          <w:p w14:paraId="3CD768C7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98 (60.5%)</w:t>
            </w:r>
          </w:p>
          <w:p w14:paraId="2EDB6B24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79 (48.8%)</w:t>
            </w:r>
          </w:p>
          <w:p w14:paraId="32AA1D8B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39 (24.1%)</w:t>
            </w:r>
          </w:p>
          <w:p w14:paraId="433C32B1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22 (13.6%)</w:t>
            </w:r>
          </w:p>
          <w:p w14:paraId="777177EE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14 (8.6%)</w:t>
            </w:r>
          </w:p>
          <w:p w14:paraId="5712D82D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10 (6.2%)</w:t>
            </w:r>
          </w:p>
          <w:p w14:paraId="08FC13C9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7 (4.3%)</w:t>
            </w:r>
          </w:p>
          <w:p w14:paraId="498FCCE7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4 (2.5%)</w:t>
            </w:r>
          </w:p>
          <w:p w14:paraId="2CB48D51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2 (1.2%)</w:t>
            </w:r>
          </w:p>
          <w:p w14:paraId="259E1646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1 (0.6%)</w:t>
            </w:r>
          </w:p>
        </w:tc>
        <w:tc>
          <w:tcPr>
            <w:tcW w:w="1134" w:type="dxa"/>
          </w:tcPr>
          <w:p w14:paraId="3CC93799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18" w:type="dxa"/>
          </w:tcPr>
          <w:p w14:paraId="0E66BCF4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</w:p>
          <w:p w14:paraId="166BA45A" w14:textId="77777777" w:rsidR="00930957" w:rsidRDefault="00930957" w:rsidP="009C5BB5">
            <w:pPr>
              <w:jc w:val="center"/>
              <w:rPr>
                <w:sz w:val="20"/>
                <w:lang w:val="en-US"/>
              </w:rPr>
            </w:pPr>
          </w:p>
          <w:p w14:paraId="3A8CBDA7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x</w:t>
            </w:r>
          </w:p>
          <w:p w14:paraId="445488E8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x</w:t>
            </w:r>
          </w:p>
          <w:p w14:paraId="7A1512EE" w14:textId="77777777" w:rsidR="00930957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x</w:t>
            </w:r>
          </w:p>
          <w:p w14:paraId="15842ED2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x</w:t>
            </w:r>
          </w:p>
          <w:p w14:paraId="0B04F998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x</w:t>
            </w:r>
          </w:p>
          <w:p w14:paraId="58E804C0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x</w:t>
            </w:r>
          </w:p>
          <w:p w14:paraId="580B0CFF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x</w:t>
            </w:r>
          </w:p>
          <w:p w14:paraId="3AFE64E9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x</w:t>
            </w:r>
          </w:p>
          <w:p w14:paraId="4C72030E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x</w:t>
            </w:r>
          </w:p>
          <w:p w14:paraId="4CEC03B5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x</w:t>
            </w:r>
          </w:p>
          <w:p w14:paraId="15570582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  <w:r w:rsidRPr="006C7AB1">
              <w:rPr>
                <w:sz w:val="20"/>
                <w:lang w:val="en-US"/>
              </w:rPr>
              <w:t>x</w:t>
            </w:r>
          </w:p>
        </w:tc>
        <w:tc>
          <w:tcPr>
            <w:tcW w:w="992" w:type="dxa"/>
          </w:tcPr>
          <w:p w14:paraId="467AFC08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76" w:type="dxa"/>
          </w:tcPr>
          <w:p w14:paraId="77239465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992" w:type="dxa"/>
          </w:tcPr>
          <w:p w14:paraId="2B00F090" w14:textId="77777777" w:rsidR="00930957" w:rsidRPr="006C7AB1" w:rsidRDefault="00930957" w:rsidP="009C5BB5">
            <w:pPr>
              <w:jc w:val="center"/>
              <w:rPr>
                <w:sz w:val="20"/>
                <w:lang w:val="en-US"/>
              </w:rPr>
            </w:pPr>
          </w:p>
        </w:tc>
      </w:tr>
    </w:tbl>
    <w:p w14:paraId="25AA56BB" w14:textId="77777777" w:rsidR="00930957" w:rsidRDefault="00930957" w:rsidP="00EA4786">
      <w:pPr>
        <w:spacing w:line="480" w:lineRule="auto"/>
        <w:rPr>
          <w:b/>
        </w:rPr>
      </w:pPr>
    </w:p>
    <w:p w14:paraId="23C11641" w14:textId="77777777" w:rsidR="00533F9F" w:rsidRPr="00C4775F" w:rsidRDefault="00533F9F" w:rsidP="00EA4786">
      <w:pPr>
        <w:spacing w:line="480" w:lineRule="auto"/>
      </w:pPr>
    </w:p>
    <w:p w14:paraId="1451C861" w14:textId="2080F14E" w:rsidR="009A7882" w:rsidRDefault="009A7882" w:rsidP="0097279F">
      <w:pPr>
        <w:spacing w:line="240" w:lineRule="auto"/>
        <w:rPr>
          <w:b/>
        </w:rPr>
      </w:pPr>
    </w:p>
    <w:p w14:paraId="0DB5FC6E" w14:textId="19A1B931" w:rsidR="009A7882" w:rsidRDefault="009A7882" w:rsidP="0097279F">
      <w:pPr>
        <w:spacing w:line="240" w:lineRule="auto"/>
        <w:rPr>
          <w:b/>
        </w:rPr>
      </w:pPr>
    </w:p>
    <w:p w14:paraId="17EA745E" w14:textId="77777777" w:rsidR="00930957" w:rsidRDefault="00930957" w:rsidP="0097279F">
      <w:pPr>
        <w:spacing w:line="240" w:lineRule="auto"/>
        <w:rPr>
          <w:b/>
        </w:rPr>
      </w:pPr>
    </w:p>
    <w:p w14:paraId="5829E7E6" w14:textId="77777777" w:rsidR="00930957" w:rsidRDefault="00930957" w:rsidP="0097279F">
      <w:pPr>
        <w:spacing w:line="240" w:lineRule="auto"/>
        <w:rPr>
          <w:b/>
        </w:rPr>
      </w:pPr>
    </w:p>
    <w:p w14:paraId="06055ADD" w14:textId="77777777" w:rsidR="00930957" w:rsidRDefault="00930957" w:rsidP="0097279F">
      <w:pPr>
        <w:spacing w:line="240" w:lineRule="auto"/>
        <w:rPr>
          <w:b/>
        </w:rPr>
      </w:pPr>
    </w:p>
    <w:p w14:paraId="1A892C61" w14:textId="77777777" w:rsidR="00930957" w:rsidRDefault="00930957" w:rsidP="0097279F">
      <w:pPr>
        <w:spacing w:line="240" w:lineRule="auto"/>
        <w:rPr>
          <w:b/>
        </w:rPr>
      </w:pPr>
    </w:p>
    <w:p w14:paraId="00F2165D" w14:textId="167B7D78" w:rsidR="00B83F04" w:rsidRPr="0097279F" w:rsidRDefault="00B83F04" w:rsidP="0097279F">
      <w:pPr>
        <w:spacing w:line="240" w:lineRule="auto"/>
      </w:pPr>
      <w:r>
        <w:rPr>
          <w:b/>
        </w:rPr>
        <w:t xml:space="preserve">3.2 </w:t>
      </w:r>
      <w:r w:rsidRPr="00B83F04">
        <w:rPr>
          <w:b/>
        </w:rPr>
        <w:t>Patient presentations</w:t>
      </w:r>
    </w:p>
    <w:p w14:paraId="41DCB975" w14:textId="09AC0514" w:rsidR="00061C0C" w:rsidRDefault="004F50A9" w:rsidP="0040327A">
      <w:pPr>
        <w:spacing w:line="480" w:lineRule="auto"/>
      </w:pPr>
      <w:r>
        <w:t>All patients presented with a primary complaint of lateral hip pain</w:t>
      </w:r>
      <w:r w:rsidR="008102BD">
        <w:t>. R</w:t>
      </w:r>
      <w:r w:rsidR="00971F89">
        <w:t>eferred symptoms were common, as</w:t>
      </w:r>
      <w:r w:rsidR="008102BD">
        <w:t xml:space="preserve"> </w:t>
      </w:r>
      <w:r w:rsidR="00934E87">
        <w:t>30.2</w:t>
      </w:r>
      <w:r w:rsidR="00971F89">
        <w:t>% of patients reported experiencing pain radiating</w:t>
      </w:r>
      <w:r w:rsidR="008102BD">
        <w:t xml:space="preserve"> to</w:t>
      </w:r>
      <w:r w:rsidR="00934E87">
        <w:t xml:space="preserve"> </w:t>
      </w:r>
      <w:r>
        <w:t>the lateral thigh (</w:t>
      </w:r>
      <w:r w:rsidR="00934E87">
        <w:t>49</w:t>
      </w:r>
      <w:r>
        <w:t>/1</w:t>
      </w:r>
      <w:r w:rsidR="00934E87">
        <w:t>6</w:t>
      </w:r>
      <w:r>
        <w:t>2)</w:t>
      </w:r>
      <w:r w:rsidR="008102BD">
        <w:t xml:space="preserve">. Associated </w:t>
      </w:r>
      <w:r>
        <w:t>low</w:t>
      </w:r>
      <w:r w:rsidR="00290C25">
        <w:t>er</w:t>
      </w:r>
      <w:r>
        <w:t xml:space="preserve"> back pain</w:t>
      </w:r>
      <w:r w:rsidR="00290C25">
        <w:t xml:space="preserve"> (LBP)</w:t>
      </w:r>
      <w:r w:rsidR="008102BD">
        <w:t xml:space="preserve"> was reported by 2</w:t>
      </w:r>
      <w:r w:rsidR="00934E87">
        <w:t>1.0</w:t>
      </w:r>
      <w:r w:rsidR="008102BD">
        <w:t>%</w:t>
      </w:r>
      <w:r>
        <w:t xml:space="preserve"> (</w:t>
      </w:r>
      <w:r w:rsidR="00934E87">
        <w:t>34</w:t>
      </w:r>
      <w:r>
        <w:t>/1</w:t>
      </w:r>
      <w:r w:rsidR="00934E87">
        <w:t>6</w:t>
      </w:r>
      <w:r>
        <w:t>2). Co-existing buttock pain / posterior hip (</w:t>
      </w:r>
      <w:r w:rsidR="00934E87">
        <w:t>25</w:t>
      </w:r>
      <w:r>
        <w:t>/1</w:t>
      </w:r>
      <w:r w:rsidR="00934E87">
        <w:t>6</w:t>
      </w:r>
      <w:r>
        <w:t>2; 15.</w:t>
      </w:r>
      <w:r w:rsidR="00934E87">
        <w:t>4</w:t>
      </w:r>
      <w:r>
        <w:t>%); groin / anterior thigh pain (2</w:t>
      </w:r>
      <w:r w:rsidR="00934E87">
        <w:t>4</w:t>
      </w:r>
      <w:r>
        <w:t>/1</w:t>
      </w:r>
      <w:r w:rsidR="00934E87">
        <w:t>6</w:t>
      </w:r>
      <w:r>
        <w:t>2; 1</w:t>
      </w:r>
      <w:r w:rsidR="00934E87">
        <w:t>4.9</w:t>
      </w:r>
      <w:r>
        <w:t>%)</w:t>
      </w:r>
      <w:r w:rsidR="00934E87">
        <w:t>; ipsilateral knee pain (14/162; 8.6%)</w:t>
      </w:r>
      <w:r>
        <w:t xml:space="preserve"> and pain below the knee (</w:t>
      </w:r>
      <w:r w:rsidR="00934E87">
        <w:t>12</w:t>
      </w:r>
      <w:r>
        <w:t>/1</w:t>
      </w:r>
      <w:r w:rsidR="00934E87">
        <w:t>6</w:t>
      </w:r>
      <w:r>
        <w:t xml:space="preserve">2; </w:t>
      </w:r>
      <w:r w:rsidR="00934E87">
        <w:t>7</w:t>
      </w:r>
      <w:r>
        <w:t xml:space="preserve">.4%) were also </w:t>
      </w:r>
      <w:r w:rsidR="00B83F04">
        <w:t>reported</w:t>
      </w:r>
      <w:r w:rsidR="00061C0C">
        <w:t xml:space="preserve"> (Fig 1)</w:t>
      </w:r>
      <w:r>
        <w:t>.</w:t>
      </w:r>
    </w:p>
    <w:p w14:paraId="7F51787F" w14:textId="77777777" w:rsidR="00930957" w:rsidRPr="00662E46" w:rsidRDefault="00930957" w:rsidP="00930957">
      <w:pPr>
        <w:spacing w:line="480" w:lineRule="auto"/>
        <w:rPr>
          <w:rFonts w:ascii="Calibri" w:eastAsia="Calibri" w:hAnsi="Calibri" w:cs="Times New Roman"/>
          <w:b/>
          <w:i/>
        </w:rPr>
      </w:pPr>
      <w:r w:rsidRPr="00662E46">
        <w:rPr>
          <w:rFonts w:ascii="Calibri" w:eastAsia="Calibri" w:hAnsi="Calibri" w:cs="Times New Roman"/>
          <w:b/>
          <w:i/>
        </w:rPr>
        <w:t>Fig 1. Prevalence of referred symptoms of patients with GTPS</w:t>
      </w:r>
    </w:p>
    <w:p w14:paraId="7388AD86" w14:textId="77777777" w:rsidR="00930957" w:rsidRPr="00662E46" w:rsidRDefault="00930957" w:rsidP="00930957">
      <w:pPr>
        <w:spacing w:line="480" w:lineRule="auto"/>
        <w:rPr>
          <w:rFonts w:ascii="Calibri" w:eastAsia="Calibri" w:hAnsi="Calibri" w:cs="Times New Roman"/>
        </w:rPr>
      </w:pPr>
      <w:r w:rsidRPr="00662E46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0ECF58E3" wp14:editId="4391C2BF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D75E497" w14:textId="77777777" w:rsidR="00930957" w:rsidRDefault="00930957" w:rsidP="00930957"/>
    <w:p w14:paraId="72B405DA" w14:textId="77777777" w:rsidR="00930957" w:rsidRPr="00E94A32" w:rsidRDefault="00930957" w:rsidP="0040327A">
      <w:pPr>
        <w:spacing w:line="480" w:lineRule="auto"/>
        <w:rPr>
          <w:b/>
          <w:i/>
        </w:rPr>
      </w:pPr>
    </w:p>
    <w:p w14:paraId="2E67DC06" w14:textId="6170AE7D" w:rsidR="00061C0C" w:rsidRDefault="00061C0C" w:rsidP="0040327A">
      <w:pPr>
        <w:spacing w:line="480" w:lineRule="auto"/>
      </w:pPr>
    </w:p>
    <w:p w14:paraId="2E1185C2" w14:textId="63B65917" w:rsidR="00061C0C" w:rsidRDefault="005B15FB" w:rsidP="0040327A">
      <w:pPr>
        <w:spacing w:line="480" w:lineRule="auto"/>
      </w:pPr>
      <w:r>
        <w:t>Patients with GTPS commonly reported problems with w</w:t>
      </w:r>
      <w:r w:rsidR="004652DA">
        <w:t>alking (1</w:t>
      </w:r>
      <w:r w:rsidR="00EE5977">
        <w:t>06</w:t>
      </w:r>
      <w:r w:rsidR="004652DA">
        <w:t>/1</w:t>
      </w:r>
      <w:r w:rsidR="00EE5977">
        <w:t>6</w:t>
      </w:r>
      <w:r w:rsidR="004652DA">
        <w:t>2: 65.</w:t>
      </w:r>
      <w:r w:rsidR="00EE5977">
        <w:t>4</w:t>
      </w:r>
      <w:r w:rsidR="004652DA">
        <w:t>%), lying / sleeping (</w:t>
      </w:r>
      <w:r w:rsidR="00EE5977">
        <w:t>98</w:t>
      </w:r>
      <w:r w:rsidR="004652DA">
        <w:t>/1</w:t>
      </w:r>
      <w:r w:rsidR="00EE5977">
        <w:t>6</w:t>
      </w:r>
      <w:r w:rsidR="004652DA">
        <w:t>2; 6</w:t>
      </w:r>
      <w:r w:rsidR="00EE5977">
        <w:t>0</w:t>
      </w:r>
      <w:r w:rsidR="004652DA">
        <w:t>.5%)</w:t>
      </w:r>
      <w:r w:rsidR="00B951DE">
        <w:t>,</w:t>
      </w:r>
      <w:r w:rsidR="004652DA">
        <w:t xml:space="preserve"> standing (</w:t>
      </w:r>
      <w:r w:rsidR="00EE5977">
        <w:t>79</w:t>
      </w:r>
      <w:r w:rsidR="004652DA">
        <w:t>/1</w:t>
      </w:r>
      <w:r w:rsidR="00EE5977">
        <w:t>6</w:t>
      </w:r>
      <w:r w:rsidR="004652DA">
        <w:t>2; 4</w:t>
      </w:r>
      <w:r w:rsidR="00EE5977">
        <w:t>8.8</w:t>
      </w:r>
      <w:r w:rsidR="004652DA">
        <w:t>%) and sitting / driving (</w:t>
      </w:r>
      <w:r w:rsidR="00EE5977">
        <w:t>39</w:t>
      </w:r>
      <w:r w:rsidR="004652DA">
        <w:t>/1</w:t>
      </w:r>
      <w:r w:rsidR="00EE5977">
        <w:t>6</w:t>
      </w:r>
      <w:r w:rsidR="004652DA">
        <w:t>2; 24.</w:t>
      </w:r>
      <w:r w:rsidR="00EE5977">
        <w:t>1</w:t>
      </w:r>
      <w:r w:rsidR="004652DA">
        <w:t>%)</w:t>
      </w:r>
      <w:r>
        <w:t xml:space="preserve">. </w:t>
      </w:r>
      <w:r w:rsidR="00EA4786">
        <w:t xml:space="preserve"> </w:t>
      </w:r>
      <w:r w:rsidR="00B951DE">
        <w:t>Subjects reported average pain scores of 6.</w:t>
      </w:r>
      <w:r w:rsidR="00EE5977">
        <w:t>5</w:t>
      </w:r>
      <w:r w:rsidR="00B951DE">
        <w:t xml:space="preserve"> (on a numerical rating scale out of 10) and health related quality of life scores of 0.6 (EQ5D5L</w:t>
      </w:r>
      <w:r>
        <w:t xml:space="preserve">). </w:t>
      </w:r>
    </w:p>
    <w:p w14:paraId="20A2A74D" w14:textId="77777777" w:rsidR="004B211A" w:rsidRDefault="004B211A" w:rsidP="00E94A32">
      <w:pPr>
        <w:spacing w:line="480" w:lineRule="auto"/>
        <w:rPr>
          <w:b/>
        </w:rPr>
      </w:pPr>
    </w:p>
    <w:p w14:paraId="5F2D3992" w14:textId="77777777" w:rsidR="004B211A" w:rsidRDefault="004B211A" w:rsidP="00E94A32">
      <w:pPr>
        <w:spacing w:line="480" w:lineRule="auto"/>
        <w:rPr>
          <w:b/>
        </w:rPr>
      </w:pPr>
    </w:p>
    <w:p w14:paraId="2DAC4E34" w14:textId="53D872AF" w:rsidR="00FE0134" w:rsidRDefault="007300E0" w:rsidP="00D6403F">
      <w:pPr>
        <w:spacing w:line="480" w:lineRule="auto"/>
      </w:pPr>
      <w:r w:rsidRPr="007300E0">
        <w:rPr>
          <w:b/>
        </w:rPr>
        <w:t xml:space="preserve">Table 2. </w:t>
      </w:r>
      <w:r w:rsidR="00B951DE" w:rsidRPr="007300E0">
        <w:rPr>
          <w:b/>
        </w:rPr>
        <w:t>Medical History</w:t>
      </w:r>
      <w:r w:rsidRPr="007300E0">
        <w:rPr>
          <w:b/>
        </w:rPr>
        <w:t xml:space="preserve"> of subjects</w: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9"/>
        <w:gridCol w:w="1053"/>
        <w:gridCol w:w="1843"/>
        <w:gridCol w:w="1276"/>
        <w:gridCol w:w="1417"/>
      </w:tblGrid>
      <w:tr w:rsidR="00930957" w:rsidRPr="006C7AB1" w14:paraId="4372F0FA" w14:textId="77777777" w:rsidTr="009C5BB5">
        <w:tc>
          <w:tcPr>
            <w:tcW w:w="2599" w:type="dxa"/>
          </w:tcPr>
          <w:p w14:paraId="5DB229C9" w14:textId="77777777" w:rsidR="00930957" w:rsidRPr="006C7AB1" w:rsidRDefault="00930957" w:rsidP="009C5BB5">
            <w:pPr>
              <w:rPr>
                <w:b/>
                <w:sz w:val="20"/>
              </w:rPr>
            </w:pPr>
          </w:p>
        </w:tc>
        <w:tc>
          <w:tcPr>
            <w:tcW w:w="1053" w:type="dxa"/>
          </w:tcPr>
          <w:p w14:paraId="16F9FC0F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No. of subjects</w:t>
            </w:r>
          </w:p>
        </w:tc>
        <w:tc>
          <w:tcPr>
            <w:tcW w:w="1843" w:type="dxa"/>
          </w:tcPr>
          <w:p w14:paraId="0F477E7B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 xml:space="preserve">% of </w:t>
            </w:r>
          </w:p>
          <w:p w14:paraId="44CBDC8C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subjects</w:t>
            </w:r>
          </w:p>
        </w:tc>
        <w:tc>
          <w:tcPr>
            <w:tcW w:w="1276" w:type="dxa"/>
          </w:tcPr>
          <w:p w14:paraId="5BD8B29C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No. of complaints</w:t>
            </w:r>
          </w:p>
        </w:tc>
        <w:tc>
          <w:tcPr>
            <w:tcW w:w="1417" w:type="dxa"/>
          </w:tcPr>
          <w:p w14:paraId="2348FD04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 xml:space="preserve">% of total complaints </w:t>
            </w:r>
          </w:p>
          <w:p w14:paraId="421F3CF9" w14:textId="77777777" w:rsidR="00930957" w:rsidRPr="006C7AB1" w:rsidRDefault="00930957" w:rsidP="009C5BB5">
            <w:pPr>
              <w:jc w:val="right"/>
              <w:rPr>
                <w:sz w:val="20"/>
              </w:rPr>
            </w:pPr>
          </w:p>
        </w:tc>
      </w:tr>
      <w:tr w:rsidR="00930957" w:rsidRPr="006C7AB1" w14:paraId="01BD3591" w14:textId="77777777" w:rsidTr="009C5BB5">
        <w:tc>
          <w:tcPr>
            <w:tcW w:w="2599" w:type="dxa"/>
          </w:tcPr>
          <w:p w14:paraId="2B937C77" w14:textId="77777777" w:rsidR="00930957" w:rsidRPr="006C7AB1" w:rsidRDefault="00930957" w:rsidP="009C5BB5">
            <w:pPr>
              <w:rPr>
                <w:sz w:val="20"/>
              </w:rPr>
            </w:pPr>
            <w:r w:rsidRPr="006C7AB1">
              <w:rPr>
                <w:sz w:val="20"/>
              </w:rPr>
              <w:t>MSK</w:t>
            </w:r>
          </w:p>
          <w:p w14:paraId="541AAC4F" w14:textId="77777777" w:rsidR="00930957" w:rsidRPr="006C7AB1" w:rsidRDefault="00930957" w:rsidP="009C5BB5">
            <w:pPr>
              <w:rPr>
                <w:sz w:val="20"/>
              </w:rPr>
            </w:pPr>
            <w:r w:rsidRPr="006C7AB1">
              <w:rPr>
                <w:sz w:val="20"/>
              </w:rPr>
              <w:t>Lower limb osteoarthritis</w:t>
            </w:r>
          </w:p>
          <w:p w14:paraId="1E512CB1" w14:textId="77777777" w:rsidR="00930957" w:rsidRPr="006C7AB1" w:rsidRDefault="00930957" w:rsidP="009C5BB5">
            <w:pPr>
              <w:rPr>
                <w:sz w:val="20"/>
              </w:rPr>
            </w:pPr>
            <w:r w:rsidRPr="006C7AB1">
              <w:rPr>
                <w:sz w:val="20"/>
              </w:rPr>
              <w:t>Lower limb arthroplasty</w:t>
            </w:r>
          </w:p>
          <w:p w14:paraId="2B2C3B8C" w14:textId="77777777" w:rsidR="00930957" w:rsidRPr="006C7AB1" w:rsidRDefault="00930957" w:rsidP="009C5BB5">
            <w:pPr>
              <w:rPr>
                <w:sz w:val="20"/>
              </w:rPr>
            </w:pPr>
            <w:r w:rsidRPr="006C7AB1">
              <w:rPr>
                <w:sz w:val="20"/>
              </w:rPr>
              <w:t>Low back pain</w:t>
            </w:r>
          </w:p>
          <w:p w14:paraId="5AF53B01" w14:textId="77777777" w:rsidR="00930957" w:rsidRPr="006C7AB1" w:rsidRDefault="00930957" w:rsidP="009C5BB5">
            <w:pPr>
              <w:rPr>
                <w:sz w:val="20"/>
              </w:rPr>
            </w:pPr>
            <w:r w:rsidRPr="006C7AB1">
              <w:rPr>
                <w:sz w:val="20"/>
              </w:rPr>
              <w:t xml:space="preserve">         PMR* /Fibromyalgia</w:t>
            </w:r>
          </w:p>
          <w:p w14:paraId="0CE58AB4" w14:textId="77777777" w:rsidR="00930957" w:rsidRPr="006C7AB1" w:rsidRDefault="00930957" w:rsidP="009C5BB5">
            <w:pPr>
              <w:rPr>
                <w:sz w:val="20"/>
              </w:rPr>
            </w:pPr>
            <w:r w:rsidRPr="006C7AB1">
              <w:rPr>
                <w:sz w:val="20"/>
              </w:rPr>
              <w:t>Other</w:t>
            </w:r>
          </w:p>
        </w:tc>
        <w:tc>
          <w:tcPr>
            <w:tcW w:w="1053" w:type="dxa"/>
          </w:tcPr>
          <w:p w14:paraId="5D06E019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71</w:t>
            </w:r>
          </w:p>
          <w:p w14:paraId="6BD00E93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25</w:t>
            </w:r>
          </w:p>
          <w:p w14:paraId="27CC0208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19</w:t>
            </w:r>
          </w:p>
          <w:p w14:paraId="5876C4A5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19</w:t>
            </w:r>
          </w:p>
          <w:p w14:paraId="5F62E2AE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5</w:t>
            </w:r>
          </w:p>
          <w:p w14:paraId="6F9F06E6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22</w:t>
            </w:r>
          </w:p>
        </w:tc>
        <w:tc>
          <w:tcPr>
            <w:tcW w:w="1843" w:type="dxa"/>
          </w:tcPr>
          <w:p w14:paraId="42D88FA7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43.8%</w:t>
            </w:r>
          </w:p>
          <w:p w14:paraId="090BDB4E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15.4%</w:t>
            </w:r>
          </w:p>
          <w:p w14:paraId="26E8E673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11.7%</w:t>
            </w:r>
          </w:p>
          <w:p w14:paraId="4FDD9C93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11.7%</w:t>
            </w:r>
          </w:p>
          <w:p w14:paraId="03CC823B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3.1%</w:t>
            </w:r>
          </w:p>
          <w:p w14:paraId="57ACC834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13.6%</w:t>
            </w:r>
          </w:p>
        </w:tc>
        <w:tc>
          <w:tcPr>
            <w:tcW w:w="1276" w:type="dxa"/>
          </w:tcPr>
          <w:p w14:paraId="1A896AA1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108</w:t>
            </w:r>
          </w:p>
          <w:p w14:paraId="24CC6002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29</w:t>
            </w:r>
          </w:p>
          <w:p w14:paraId="4F8BE512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29</w:t>
            </w:r>
          </w:p>
          <w:p w14:paraId="44DFD428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19</w:t>
            </w:r>
          </w:p>
          <w:p w14:paraId="59DADC98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5</w:t>
            </w:r>
          </w:p>
          <w:p w14:paraId="3C4D99CC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27</w:t>
            </w:r>
          </w:p>
        </w:tc>
        <w:tc>
          <w:tcPr>
            <w:tcW w:w="1417" w:type="dxa"/>
          </w:tcPr>
          <w:p w14:paraId="0811F424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30.9%</w:t>
            </w:r>
          </w:p>
          <w:p w14:paraId="33CFB211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8.3%</w:t>
            </w:r>
          </w:p>
          <w:p w14:paraId="41EEF75D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8.3%</w:t>
            </w:r>
          </w:p>
          <w:p w14:paraId="079485AD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5.4%</w:t>
            </w:r>
          </w:p>
          <w:p w14:paraId="67D8FDFC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1.4%</w:t>
            </w:r>
          </w:p>
          <w:p w14:paraId="0A9498F9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7.7%</w:t>
            </w:r>
          </w:p>
        </w:tc>
      </w:tr>
      <w:tr w:rsidR="00930957" w:rsidRPr="006C7AB1" w14:paraId="45CB73B5" w14:textId="77777777" w:rsidTr="009C5BB5">
        <w:tc>
          <w:tcPr>
            <w:tcW w:w="2599" w:type="dxa"/>
          </w:tcPr>
          <w:p w14:paraId="52BCBC7D" w14:textId="77777777" w:rsidR="00930957" w:rsidRPr="006C7AB1" w:rsidRDefault="00930957" w:rsidP="009C5BB5">
            <w:pPr>
              <w:rPr>
                <w:sz w:val="20"/>
              </w:rPr>
            </w:pPr>
            <w:r w:rsidRPr="006C7AB1">
              <w:rPr>
                <w:sz w:val="20"/>
              </w:rPr>
              <w:t>Cardiovascular</w:t>
            </w:r>
          </w:p>
        </w:tc>
        <w:tc>
          <w:tcPr>
            <w:tcW w:w="1053" w:type="dxa"/>
          </w:tcPr>
          <w:p w14:paraId="2D97E5D3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49</w:t>
            </w:r>
          </w:p>
        </w:tc>
        <w:tc>
          <w:tcPr>
            <w:tcW w:w="1843" w:type="dxa"/>
          </w:tcPr>
          <w:p w14:paraId="37589509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30.2%</w:t>
            </w:r>
          </w:p>
        </w:tc>
        <w:tc>
          <w:tcPr>
            <w:tcW w:w="1276" w:type="dxa"/>
          </w:tcPr>
          <w:p w14:paraId="5C5A5BC0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60</w:t>
            </w:r>
          </w:p>
        </w:tc>
        <w:tc>
          <w:tcPr>
            <w:tcW w:w="1417" w:type="dxa"/>
          </w:tcPr>
          <w:p w14:paraId="117EBAA8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17.1%</w:t>
            </w:r>
          </w:p>
        </w:tc>
      </w:tr>
      <w:tr w:rsidR="00930957" w:rsidRPr="006C7AB1" w14:paraId="1090D96A" w14:textId="77777777" w:rsidTr="009C5BB5">
        <w:tc>
          <w:tcPr>
            <w:tcW w:w="2599" w:type="dxa"/>
          </w:tcPr>
          <w:p w14:paraId="2922B4D5" w14:textId="77777777" w:rsidR="00930957" w:rsidRPr="006C7AB1" w:rsidRDefault="00930957" w:rsidP="009C5BB5">
            <w:pPr>
              <w:rPr>
                <w:sz w:val="20"/>
              </w:rPr>
            </w:pPr>
            <w:r w:rsidRPr="006C7AB1">
              <w:rPr>
                <w:sz w:val="20"/>
              </w:rPr>
              <w:t>Digestion</w:t>
            </w:r>
          </w:p>
        </w:tc>
        <w:tc>
          <w:tcPr>
            <w:tcW w:w="1053" w:type="dxa"/>
          </w:tcPr>
          <w:p w14:paraId="33800D32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31</w:t>
            </w:r>
          </w:p>
        </w:tc>
        <w:tc>
          <w:tcPr>
            <w:tcW w:w="1843" w:type="dxa"/>
          </w:tcPr>
          <w:p w14:paraId="52870B62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19.1%</w:t>
            </w:r>
          </w:p>
        </w:tc>
        <w:tc>
          <w:tcPr>
            <w:tcW w:w="1276" w:type="dxa"/>
          </w:tcPr>
          <w:p w14:paraId="21CC8EBD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34</w:t>
            </w:r>
          </w:p>
        </w:tc>
        <w:tc>
          <w:tcPr>
            <w:tcW w:w="1417" w:type="dxa"/>
          </w:tcPr>
          <w:p w14:paraId="3F8C9DDC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9.7%</w:t>
            </w:r>
          </w:p>
        </w:tc>
      </w:tr>
      <w:tr w:rsidR="00930957" w:rsidRPr="006C7AB1" w14:paraId="5F905282" w14:textId="77777777" w:rsidTr="009C5BB5">
        <w:tc>
          <w:tcPr>
            <w:tcW w:w="2599" w:type="dxa"/>
          </w:tcPr>
          <w:p w14:paraId="1FF17ED8" w14:textId="77777777" w:rsidR="00930957" w:rsidRPr="006C7AB1" w:rsidRDefault="00930957" w:rsidP="009C5BB5">
            <w:pPr>
              <w:rPr>
                <w:sz w:val="20"/>
              </w:rPr>
            </w:pPr>
            <w:r w:rsidRPr="006C7AB1">
              <w:rPr>
                <w:sz w:val="20"/>
              </w:rPr>
              <w:t>Metabolic/ endocrine</w:t>
            </w:r>
          </w:p>
        </w:tc>
        <w:tc>
          <w:tcPr>
            <w:tcW w:w="1053" w:type="dxa"/>
          </w:tcPr>
          <w:p w14:paraId="0E9BD4F3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29</w:t>
            </w:r>
          </w:p>
        </w:tc>
        <w:tc>
          <w:tcPr>
            <w:tcW w:w="1843" w:type="dxa"/>
          </w:tcPr>
          <w:p w14:paraId="0B4535C3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17.9%</w:t>
            </w:r>
          </w:p>
        </w:tc>
        <w:tc>
          <w:tcPr>
            <w:tcW w:w="1276" w:type="dxa"/>
          </w:tcPr>
          <w:p w14:paraId="792C3840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32</w:t>
            </w:r>
          </w:p>
        </w:tc>
        <w:tc>
          <w:tcPr>
            <w:tcW w:w="1417" w:type="dxa"/>
          </w:tcPr>
          <w:p w14:paraId="3076FB38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9.1%</w:t>
            </w:r>
          </w:p>
        </w:tc>
      </w:tr>
      <w:tr w:rsidR="00930957" w:rsidRPr="006C7AB1" w14:paraId="5E33AAD9" w14:textId="77777777" w:rsidTr="009C5BB5">
        <w:tc>
          <w:tcPr>
            <w:tcW w:w="2599" w:type="dxa"/>
          </w:tcPr>
          <w:p w14:paraId="3EBA23C9" w14:textId="77777777" w:rsidR="00930957" w:rsidRPr="006C7AB1" w:rsidRDefault="00930957" w:rsidP="009C5BB5">
            <w:pPr>
              <w:rPr>
                <w:sz w:val="20"/>
              </w:rPr>
            </w:pPr>
            <w:r w:rsidRPr="006C7AB1">
              <w:rPr>
                <w:sz w:val="20"/>
              </w:rPr>
              <w:t>Respiratory</w:t>
            </w:r>
          </w:p>
        </w:tc>
        <w:tc>
          <w:tcPr>
            <w:tcW w:w="1053" w:type="dxa"/>
          </w:tcPr>
          <w:p w14:paraId="05FBB8B4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20</w:t>
            </w:r>
          </w:p>
        </w:tc>
        <w:tc>
          <w:tcPr>
            <w:tcW w:w="1843" w:type="dxa"/>
          </w:tcPr>
          <w:p w14:paraId="24E98D56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12.3%</w:t>
            </w:r>
          </w:p>
        </w:tc>
        <w:tc>
          <w:tcPr>
            <w:tcW w:w="1276" w:type="dxa"/>
          </w:tcPr>
          <w:p w14:paraId="2EDFDBB5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21</w:t>
            </w:r>
          </w:p>
        </w:tc>
        <w:tc>
          <w:tcPr>
            <w:tcW w:w="1417" w:type="dxa"/>
          </w:tcPr>
          <w:p w14:paraId="5CFC82D2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6.0%</w:t>
            </w:r>
          </w:p>
        </w:tc>
      </w:tr>
      <w:tr w:rsidR="00930957" w:rsidRPr="006C7AB1" w14:paraId="7C6396FF" w14:textId="77777777" w:rsidTr="009C5BB5">
        <w:tc>
          <w:tcPr>
            <w:tcW w:w="2599" w:type="dxa"/>
          </w:tcPr>
          <w:p w14:paraId="7F2E2AA2" w14:textId="77777777" w:rsidR="00930957" w:rsidRPr="006C7AB1" w:rsidRDefault="00930957" w:rsidP="009C5BB5">
            <w:pPr>
              <w:rPr>
                <w:sz w:val="20"/>
              </w:rPr>
            </w:pPr>
            <w:r w:rsidRPr="006C7AB1">
              <w:rPr>
                <w:sz w:val="20"/>
              </w:rPr>
              <w:t>Neoplasms</w:t>
            </w:r>
          </w:p>
        </w:tc>
        <w:tc>
          <w:tcPr>
            <w:tcW w:w="1053" w:type="dxa"/>
          </w:tcPr>
          <w:p w14:paraId="292686F5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19</w:t>
            </w:r>
          </w:p>
        </w:tc>
        <w:tc>
          <w:tcPr>
            <w:tcW w:w="1843" w:type="dxa"/>
          </w:tcPr>
          <w:p w14:paraId="46143374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11.7%</w:t>
            </w:r>
          </w:p>
        </w:tc>
        <w:tc>
          <w:tcPr>
            <w:tcW w:w="1276" w:type="dxa"/>
          </w:tcPr>
          <w:p w14:paraId="1006C9CD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21</w:t>
            </w:r>
          </w:p>
        </w:tc>
        <w:tc>
          <w:tcPr>
            <w:tcW w:w="1417" w:type="dxa"/>
          </w:tcPr>
          <w:p w14:paraId="6F787D16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6.0%</w:t>
            </w:r>
          </w:p>
        </w:tc>
      </w:tr>
      <w:tr w:rsidR="00930957" w:rsidRPr="006C7AB1" w14:paraId="14B8B341" w14:textId="77777777" w:rsidTr="009C5BB5">
        <w:trPr>
          <w:trHeight w:val="240"/>
        </w:trPr>
        <w:tc>
          <w:tcPr>
            <w:tcW w:w="2599" w:type="dxa"/>
            <w:noWrap/>
            <w:hideMark/>
          </w:tcPr>
          <w:p w14:paraId="13A4A4F5" w14:textId="77777777" w:rsidR="00930957" w:rsidRPr="006C7AB1" w:rsidRDefault="00930957" w:rsidP="009C5BB5">
            <w:pPr>
              <w:rPr>
                <w:sz w:val="20"/>
              </w:rPr>
            </w:pPr>
            <w:r w:rsidRPr="006C7AB1">
              <w:rPr>
                <w:sz w:val="20"/>
              </w:rPr>
              <w:t>Nervous system</w:t>
            </w:r>
          </w:p>
        </w:tc>
        <w:tc>
          <w:tcPr>
            <w:tcW w:w="1053" w:type="dxa"/>
          </w:tcPr>
          <w:p w14:paraId="2E590945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16</w:t>
            </w:r>
          </w:p>
        </w:tc>
        <w:tc>
          <w:tcPr>
            <w:tcW w:w="1843" w:type="dxa"/>
          </w:tcPr>
          <w:p w14:paraId="28C573BC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9.8%</w:t>
            </w:r>
          </w:p>
        </w:tc>
        <w:tc>
          <w:tcPr>
            <w:tcW w:w="1276" w:type="dxa"/>
          </w:tcPr>
          <w:p w14:paraId="39F5BAB4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16</w:t>
            </w:r>
          </w:p>
        </w:tc>
        <w:tc>
          <w:tcPr>
            <w:tcW w:w="1417" w:type="dxa"/>
          </w:tcPr>
          <w:p w14:paraId="23086934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4.6%</w:t>
            </w:r>
          </w:p>
        </w:tc>
      </w:tr>
      <w:tr w:rsidR="00930957" w:rsidRPr="006C7AB1" w14:paraId="6B9C7D2B" w14:textId="77777777" w:rsidTr="009C5BB5">
        <w:tc>
          <w:tcPr>
            <w:tcW w:w="2599" w:type="dxa"/>
          </w:tcPr>
          <w:p w14:paraId="0CC18368" w14:textId="77777777" w:rsidR="00930957" w:rsidRPr="006C7AB1" w:rsidRDefault="00930957" w:rsidP="009C5BB5">
            <w:pPr>
              <w:rPr>
                <w:sz w:val="20"/>
              </w:rPr>
            </w:pPr>
            <w:r w:rsidRPr="006C7AB1">
              <w:rPr>
                <w:sz w:val="20"/>
              </w:rPr>
              <w:t>Mental Health</w:t>
            </w:r>
          </w:p>
        </w:tc>
        <w:tc>
          <w:tcPr>
            <w:tcW w:w="1053" w:type="dxa"/>
          </w:tcPr>
          <w:p w14:paraId="76DAE87F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15</w:t>
            </w:r>
          </w:p>
        </w:tc>
        <w:tc>
          <w:tcPr>
            <w:tcW w:w="1843" w:type="dxa"/>
          </w:tcPr>
          <w:p w14:paraId="4716476C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9.3%</w:t>
            </w:r>
          </w:p>
        </w:tc>
        <w:tc>
          <w:tcPr>
            <w:tcW w:w="1276" w:type="dxa"/>
          </w:tcPr>
          <w:p w14:paraId="3CBEDAAB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17</w:t>
            </w:r>
          </w:p>
        </w:tc>
        <w:tc>
          <w:tcPr>
            <w:tcW w:w="1417" w:type="dxa"/>
          </w:tcPr>
          <w:p w14:paraId="00D7A333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4.9%</w:t>
            </w:r>
          </w:p>
        </w:tc>
      </w:tr>
      <w:tr w:rsidR="00930957" w:rsidRPr="006C7AB1" w14:paraId="0C96099D" w14:textId="77777777" w:rsidTr="009C5BB5">
        <w:trPr>
          <w:trHeight w:val="240"/>
        </w:trPr>
        <w:tc>
          <w:tcPr>
            <w:tcW w:w="2599" w:type="dxa"/>
            <w:noWrap/>
            <w:hideMark/>
          </w:tcPr>
          <w:p w14:paraId="6D7AC9D0" w14:textId="77777777" w:rsidR="00930957" w:rsidRPr="006C7AB1" w:rsidRDefault="00930957" w:rsidP="009C5BB5">
            <w:pPr>
              <w:rPr>
                <w:sz w:val="20"/>
              </w:rPr>
            </w:pPr>
            <w:r w:rsidRPr="006C7AB1">
              <w:rPr>
                <w:sz w:val="20"/>
              </w:rPr>
              <w:t>Gastro-intestinal</w:t>
            </w:r>
          </w:p>
        </w:tc>
        <w:tc>
          <w:tcPr>
            <w:tcW w:w="1053" w:type="dxa"/>
          </w:tcPr>
          <w:p w14:paraId="1A9D2B39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15</w:t>
            </w:r>
          </w:p>
        </w:tc>
        <w:tc>
          <w:tcPr>
            <w:tcW w:w="1843" w:type="dxa"/>
          </w:tcPr>
          <w:p w14:paraId="1A8FEA86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9.3%</w:t>
            </w:r>
          </w:p>
        </w:tc>
        <w:tc>
          <w:tcPr>
            <w:tcW w:w="1276" w:type="dxa"/>
          </w:tcPr>
          <w:p w14:paraId="1E24CEBA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16</w:t>
            </w:r>
          </w:p>
        </w:tc>
        <w:tc>
          <w:tcPr>
            <w:tcW w:w="1417" w:type="dxa"/>
          </w:tcPr>
          <w:p w14:paraId="051B8A51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4.6%</w:t>
            </w:r>
          </w:p>
        </w:tc>
      </w:tr>
      <w:tr w:rsidR="00930957" w:rsidRPr="006C7AB1" w14:paraId="5BCA693F" w14:textId="77777777" w:rsidTr="009C5BB5">
        <w:trPr>
          <w:trHeight w:val="240"/>
        </w:trPr>
        <w:tc>
          <w:tcPr>
            <w:tcW w:w="2599" w:type="dxa"/>
            <w:noWrap/>
            <w:hideMark/>
          </w:tcPr>
          <w:p w14:paraId="72FB8ABF" w14:textId="77777777" w:rsidR="00930957" w:rsidRPr="006C7AB1" w:rsidRDefault="00930957" w:rsidP="009C5BB5">
            <w:pPr>
              <w:rPr>
                <w:sz w:val="20"/>
              </w:rPr>
            </w:pPr>
            <w:r w:rsidRPr="006C7AB1">
              <w:rPr>
                <w:sz w:val="20"/>
              </w:rPr>
              <w:t>Blood</w:t>
            </w:r>
          </w:p>
        </w:tc>
        <w:tc>
          <w:tcPr>
            <w:tcW w:w="1053" w:type="dxa"/>
          </w:tcPr>
          <w:p w14:paraId="3706C2DD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5</w:t>
            </w:r>
          </w:p>
        </w:tc>
        <w:tc>
          <w:tcPr>
            <w:tcW w:w="1843" w:type="dxa"/>
          </w:tcPr>
          <w:p w14:paraId="196E6D55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3.1%</w:t>
            </w:r>
          </w:p>
        </w:tc>
        <w:tc>
          <w:tcPr>
            <w:tcW w:w="1276" w:type="dxa"/>
          </w:tcPr>
          <w:p w14:paraId="3C650F93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5</w:t>
            </w:r>
          </w:p>
        </w:tc>
        <w:tc>
          <w:tcPr>
            <w:tcW w:w="1417" w:type="dxa"/>
          </w:tcPr>
          <w:p w14:paraId="0C134F00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1.4%</w:t>
            </w:r>
          </w:p>
        </w:tc>
      </w:tr>
      <w:tr w:rsidR="00930957" w:rsidRPr="006C7AB1" w14:paraId="5BD4905B" w14:textId="77777777" w:rsidTr="009C5BB5">
        <w:trPr>
          <w:trHeight w:val="240"/>
        </w:trPr>
        <w:tc>
          <w:tcPr>
            <w:tcW w:w="2599" w:type="dxa"/>
            <w:noWrap/>
            <w:hideMark/>
          </w:tcPr>
          <w:p w14:paraId="7F348334" w14:textId="77777777" w:rsidR="00930957" w:rsidRPr="006C7AB1" w:rsidRDefault="00930957" w:rsidP="009C5BB5">
            <w:pPr>
              <w:rPr>
                <w:sz w:val="20"/>
              </w:rPr>
            </w:pPr>
            <w:r w:rsidRPr="006C7AB1">
              <w:rPr>
                <w:sz w:val="20"/>
              </w:rPr>
              <w:t>Visual</w:t>
            </w:r>
          </w:p>
        </w:tc>
        <w:tc>
          <w:tcPr>
            <w:tcW w:w="1053" w:type="dxa"/>
          </w:tcPr>
          <w:p w14:paraId="1C9A629F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5</w:t>
            </w:r>
          </w:p>
        </w:tc>
        <w:tc>
          <w:tcPr>
            <w:tcW w:w="1843" w:type="dxa"/>
          </w:tcPr>
          <w:p w14:paraId="69C623A2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3.1%</w:t>
            </w:r>
          </w:p>
        </w:tc>
        <w:tc>
          <w:tcPr>
            <w:tcW w:w="1276" w:type="dxa"/>
          </w:tcPr>
          <w:p w14:paraId="7151EEB1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7</w:t>
            </w:r>
          </w:p>
        </w:tc>
        <w:tc>
          <w:tcPr>
            <w:tcW w:w="1417" w:type="dxa"/>
          </w:tcPr>
          <w:p w14:paraId="6F3EEB44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2.0%</w:t>
            </w:r>
          </w:p>
        </w:tc>
      </w:tr>
      <w:tr w:rsidR="00930957" w:rsidRPr="006C7AB1" w14:paraId="26EC59D0" w14:textId="77777777" w:rsidTr="009C5BB5">
        <w:trPr>
          <w:trHeight w:val="240"/>
        </w:trPr>
        <w:tc>
          <w:tcPr>
            <w:tcW w:w="2599" w:type="dxa"/>
            <w:noWrap/>
            <w:hideMark/>
          </w:tcPr>
          <w:p w14:paraId="04B2C842" w14:textId="77777777" w:rsidR="00930957" w:rsidRPr="006C7AB1" w:rsidRDefault="00930957" w:rsidP="009C5BB5">
            <w:pPr>
              <w:rPr>
                <w:sz w:val="20"/>
              </w:rPr>
            </w:pPr>
            <w:r w:rsidRPr="006C7AB1">
              <w:rPr>
                <w:sz w:val="20"/>
              </w:rPr>
              <w:t>Ear</w:t>
            </w:r>
          </w:p>
        </w:tc>
        <w:tc>
          <w:tcPr>
            <w:tcW w:w="1053" w:type="dxa"/>
          </w:tcPr>
          <w:p w14:paraId="59B92D3E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4</w:t>
            </w:r>
          </w:p>
        </w:tc>
        <w:tc>
          <w:tcPr>
            <w:tcW w:w="1843" w:type="dxa"/>
          </w:tcPr>
          <w:p w14:paraId="3009963D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2.5%</w:t>
            </w:r>
          </w:p>
        </w:tc>
        <w:tc>
          <w:tcPr>
            <w:tcW w:w="1276" w:type="dxa"/>
          </w:tcPr>
          <w:p w14:paraId="7AD57F84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4</w:t>
            </w:r>
          </w:p>
        </w:tc>
        <w:tc>
          <w:tcPr>
            <w:tcW w:w="1417" w:type="dxa"/>
          </w:tcPr>
          <w:p w14:paraId="6B89F797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1.1%</w:t>
            </w:r>
          </w:p>
        </w:tc>
      </w:tr>
      <w:tr w:rsidR="00930957" w:rsidRPr="006C7AB1" w14:paraId="15BD5DE0" w14:textId="77777777" w:rsidTr="009C5BB5">
        <w:trPr>
          <w:trHeight w:val="240"/>
        </w:trPr>
        <w:tc>
          <w:tcPr>
            <w:tcW w:w="2599" w:type="dxa"/>
            <w:noWrap/>
            <w:hideMark/>
          </w:tcPr>
          <w:p w14:paraId="543E4113" w14:textId="77777777" w:rsidR="00930957" w:rsidRPr="006C7AB1" w:rsidRDefault="00930957" w:rsidP="009C5BB5">
            <w:pPr>
              <w:rPr>
                <w:sz w:val="20"/>
              </w:rPr>
            </w:pPr>
            <w:r w:rsidRPr="006C7AB1">
              <w:rPr>
                <w:sz w:val="20"/>
              </w:rPr>
              <w:t>Sleep</w:t>
            </w:r>
          </w:p>
        </w:tc>
        <w:tc>
          <w:tcPr>
            <w:tcW w:w="1053" w:type="dxa"/>
          </w:tcPr>
          <w:p w14:paraId="73535ECD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2</w:t>
            </w:r>
          </w:p>
        </w:tc>
        <w:tc>
          <w:tcPr>
            <w:tcW w:w="1843" w:type="dxa"/>
          </w:tcPr>
          <w:p w14:paraId="6068C3B3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1.2%</w:t>
            </w:r>
          </w:p>
        </w:tc>
        <w:tc>
          <w:tcPr>
            <w:tcW w:w="1276" w:type="dxa"/>
          </w:tcPr>
          <w:p w14:paraId="2E289327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2</w:t>
            </w:r>
          </w:p>
        </w:tc>
        <w:tc>
          <w:tcPr>
            <w:tcW w:w="1417" w:type="dxa"/>
          </w:tcPr>
          <w:p w14:paraId="65A212F0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0.6%</w:t>
            </w:r>
          </w:p>
        </w:tc>
      </w:tr>
    </w:tbl>
    <w:p w14:paraId="31B48761" w14:textId="77777777" w:rsidR="00930957" w:rsidRDefault="00930957" w:rsidP="00D6403F">
      <w:pPr>
        <w:spacing w:line="480" w:lineRule="auto"/>
      </w:pPr>
    </w:p>
    <w:p w14:paraId="4227DF6B" w14:textId="77777777" w:rsidR="006C7AB1" w:rsidRDefault="006C7AB1" w:rsidP="00D028FB">
      <w:pPr>
        <w:spacing w:after="0" w:line="480" w:lineRule="auto"/>
      </w:pPr>
    </w:p>
    <w:p w14:paraId="0A626B25" w14:textId="77777777" w:rsidR="00A84BDF" w:rsidRDefault="00A84BDF" w:rsidP="00D028FB">
      <w:pPr>
        <w:spacing w:after="0" w:line="480" w:lineRule="auto"/>
      </w:pPr>
    </w:p>
    <w:p w14:paraId="1F61E838" w14:textId="77777777" w:rsidR="00930957" w:rsidRDefault="00930957" w:rsidP="00D028FB">
      <w:pPr>
        <w:spacing w:after="0" w:line="480" w:lineRule="auto"/>
      </w:pPr>
    </w:p>
    <w:p w14:paraId="17CB6870" w14:textId="77777777" w:rsidR="00930957" w:rsidRDefault="00930957" w:rsidP="00D028FB">
      <w:pPr>
        <w:spacing w:after="0" w:line="480" w:lineRule="auto"/>
      </w:pPr>
    </w:p>
    <w:p w14:paraId="48FE21CC" w14:textId="77777777" w:rsidR="00930957" w:rsidRDefault="00930957" w:rsidP="00D028FB">
      <w:pPr>
        <w:spacing w:after="0" w:line="480" w:lineRule="auto"/>
      </w:pPr>
    </w:p>
    <w:p w14:paraId="7B2AE803" w14:textId="77777777" w:rsidR="00930957" w:rsidRDefault="00930957" w:rsidP="00D028FB">
      <w:pPr>
        <w:spacing w:after="0" w:line="480" w:lineRule="auto"/>
      </w:pPr>
    </w:p>
    <w:p w14:paraId="66C8CC37" w14:textId="77777777" w:rsidR="00930957" w:rsidRDefault="00930957" w:rsidP="00D028FB">
      <w:pPr>
        <w:spacing w:after="0" w:line="480" w:lineRule="auto"/>
      </w:pPr>
    </w:p>
    <w:p w14:paraId="3F2F6FA7" w14:textId="77777777" w:rsidR="00930957" w:rsidRDefault="00930957" w:rsidP="00D028FB">
      <w:pPr>
        <w:spacing w:after="0" w:line="480" w:lineRule="auto"/>
      </w:pPr>
    </w:p>
    <w:p w14:paraId="07D5851A" w14:textId="77777777" w:rsidR="00930957" w:rsidRDefault="00930957" w:rsidP="00D028FB">
      <w:pPr>
        <w:spacing w:after="0" w:line="480" w:lineRule="auto"/>
      </w:pPr>
    </w:p>
    <w:p w14:paraId="6D33222B" w14:textId="77777777" w:rsidR="00930957" w:rsidRDefault="00930957" w:rsidP="00D028FB">
      <w:pPr>
        <w:spacing w:after="0" w:line="480" w:lineRule="auto"/>
      </w:pPr>
    </w:p>
    <w:p w14:paraId="2E5959F3" w14:textId="77777777" w:rsidR="00930957" w:rsidRDefault="00930957" w:rsidP="00D028FB">
      <w:pPr>
        <w:spacing w:after="0" w:line="480" w:lineRule="auto"/>
      </w:pPr>
    </w:p>
    <w:p w14:paraId="0E388215" w14:textId="77777777" w:rsidR="00930957" w:rsidRDefault="00930957" w:rsidP="00D028FB">
      <w:pPr>
        <w:spacing w:after="0" w:line="480" w:lineRule="auto"/>
      </w:pPr>
    </w:p>
    <w:p w14:paraId="0DFA4632" w14:textId="34DC9B24" w:rsidR="00D028FB" w:rsidRDefault="00F06FDF" w:rsidP="00D028FB">
      <w:pPr>
        <w:spacing w:after="0" w:line="480" w:lineRule="auto"/>
      </w:pPr>
      <w:r>
        <w:t>One hundred and twenty-eight</w:t>
      </w:r>
      <w:r w:rsidR="00B06BA4" w:rsidRPr="00B06BA4">
        <w:t xml:space="preserve"> (</w:t>
      </w:r>
      <w:r w:rsidR="002B193B">
        <w:t>79.0</w:t>
      </w:r>
      <w:r w:rsidR="00B06BA4" w:rsidRPr="00B06BA4">
        <w:t>%)</w:t>
      </w:r>
      <w:r w:rsidR="00B06BA4">
        <w:t xml:space="preserve"> subjects</w:t>
      </w:r>
      <w:r w:rsidR="00B06BA4" w:rsidRPr="00B06BA4">
        <w:t xml:space="preserve"> reported </w:t>
      </w:r>
      <w:r w:rsidR="007B48E1">
        <w:t>suffering from 35</w:t>
      </w:r>
      <w:r w:rsidR="002B193B">
        <w:t>0</w:t>
      </w:r>
      <w:r w:rsidR="00B06BA4">
        <w:t xml:space="preserve"> health complaints, other than lateral hip pain</w:t>
      </w:r>
      <w:r w:rsidR="00557370">
        <w:t xml:space="preserve"> (Table 2)</w:t>
      </w:r>
      <w:r w:rsidR="00B06BA4">
        <w:t xml:space="preserve">. </w:t>
      </w:r>
      <w:r w:rsidR="002B193B">
        <w:t>56.8</w:t>
      </w:r>
      <w:r w:rsidR="00B06BA4">
        <w:t>% (</w:t>
      </w:r>
      <w:r w:rsidR="002B193B">
        <w:t>92</w:t>
      </w:r>
      <w:r w:rsidR="00B06BA4">
        <w:t>/1</w:t>
      </w:r>
      <w:r w:rsidR="002B193B">
        <w:t>6</w:t>
      </w:r>
      <w:r w:rsidR="00B06BA4">
        <w:t xml:space="preserve">2) of subjects </w:t>
      </w:r>
      <w:r>
        <w:t>reported</w:t>
      </w:r>
      <w:r w:rsidR="00B06BA4">
        <w:t xml:space="preserve"> more than one health complaint and</w:t>
      </w:r>
      <w:r w:rsidR="001F3A35">
        <w:t xml:space="preserve"> within that group,</w:t>
      </w:r>
      <w:r w:rsidR="00B06BA4">
        <w:t xml:space="preserve"> </w:t>
      </w:r>
      <w:r w:rsidR="002B193B">
        <w:t>14.1</w:t>
      </w:r>
      <w:r w:rsidR="00B06BA4">
        <w:t>% (</w:t>
      </w:r>
      <w:r w:rsidR="002B193B">
        <w:t>23/162</w:t>
      </w:r>
      <w:r w:rsidR="00B06BA4">
        <w:t>) had four or more co-existing medical conditions. The most common complaints report</w:t>
      </w:r>
      <w:r w:rsidR="00971F89">
        <w:t xml:space="preserve">ed by subjects were </w:t>
      </w:r>
      <w:r w:rsidR="00B06BA4">
        <w:t>musculoskeletal (</w:t>
      </w:r>
      <w:r w:rsidR="001F3A35">
        <w:t>71</w:t>
      </w:r>
      <w:r w:rsidR="00B06BA4">
        <w:t>/1</w:t>
      </w:r>
      <w:r w:rsidR="001F3A35">
        <w:t>6</w:t>
      </w:r>
      <w:r w:rsidR="00B06BA4">
        <w:t>2; 43.</w:t>
      </w:r>
      <w:r w:rsidR="001F3A35">
        <w:t>8</w:t>
      </w:r>
      <w:r w:rsidR="00B06BA4">
        <w:t>%), cardiovascular</w:t>
      </w:r>
      <w:r w:rsidR="00982ABB">
        <w:t xml:space="preserve"> (</w:t>
      </w:r>
      <w:r w:rsidR="001F3A35">
        <w:t>49</w:t>
      </w:r>
      <w:r w:rsidR="00982ABB">
        <w:t>/1</w:t>
      </w:r>
      <w:r w:rsidR="001F3A35">
        <w:t>6</w:t>
      </w:r>
      <w:r w:rsidR="00982ABB">
        <w:t xml:space="preserve">2; </w:t>
      </w:r>
      <w:r w:rsidR="001F3A35">
        <w:t>30.2</w:t>
      </w:r>
      <w:r w:rsidR="00982ABB">
        <w:t>%)</w:t>
      </w:r>
      <w:r w:rsidR="00B06BA4">
        <w:t xml:space="preserve">, </w:t>
      </w:r>
      <w:r w:rsidR="00971F89">
        <w:t xml:space="preserve">digestion </w:t>
      </w:r>
      <w:r w:rsidR="001F3A35">
        <w:t xml:space="preserve">(31/162; 19.1%) and </w:t>
      </w:r>
      <w:r w:rsidR="00B06BA4">
        <w:t>metabolic / endocrine</w:t>
      </w:r>
      <w:r w:rsidR="001F3A35">
        <w:t xml:space="preserve"> complaints</w:t>
      </w:r>
      <w:r w:rsidR="00982ABB">
        <w:t xml:space="preserve"> (</w:t>
      </w:r>
      <w:r w:rsidR="001F3A35">
        <w:t>29</w:t>
      </w:r>
      <w:r w:rsidR="00982ABB">
        <w:t>/1</w:t>
      </w:r>
      <w:r w:rsidR="001F3A35">
        <w:t>6</w:t>
      </w:r>
      <w:r w:rsidR="00982ABB">
        <w:t>2; 1</w:t>
      </w:r>
      <w:r w:rsidR="001F3A35">
        <w:t>7.9</w:t>
      </w:r>
      <w:r w:rsidR="00982ABB">
        <w:t>%)</w:t>
      </w:r>
      <w:r w:rsidR="001F3A35">
        <w:t xml:space="preserve">. </w:t>
      </w:r>
      <w:r w:rsidR="00982ABB">
        <w:t xml:space="preserve">The </w:t>
      </w:r>
      <w:r w:rsidR="001F3A35">
        <w:t>71</w:t>
      </w:r>
      <w:r w:rsidR="00982ABB">
        <w:t xml:space="preserve"> </w:t>
      </w:r>
      <w:r w:rsidR="00971F89">
        <w:t>subjects,</w:t>
      </w:r>
      <w:r w:rsidR="00982ABB">
        <w:t xml:space="preserve"> who reported co-existing musculoskeletal problems, </w:t>
      </w:r>
      <w:r w:rsidR="00B83F04">
        <w:t>reported</w:t>
      </w:r>
      <w:r w:rsidR="00982ABB">
        <w:t xml:space="preserve"> 1</w:t>
      </w:r>
      <w:r w:rsidR="001F3A35">
        <w:t>0</w:t>
      </w:r>
      <w:r w:rsidR="00982ABB">
        <w:t>8 musculoskeletal complaints. Most commonly lower limb osteoarthritis (</w:t>
      </w:r>
      <w:r w:rsidR="001F3A35">
        <w:t>25</w:t>
      </w:r>
      <w:r w:rsidR="00982ABB">
        <w:t>/1</w:t>
      </w:r>
      <w:r w:rsidR="001F3A35">
        <w:t>6</w:t>
      </w:r>
      <w:r w:rsidR="00982ABB">
        <w:t>2; 1</w:t>
      </w:r>
      <w:r w:rsidR="001F3A35">
        <w:t>5.4</w:t>
      </w:r>
      <w:r w:rsidR="00982ABB">
        <w:t>%), previous lower limb arthroplasty (</w:t>
      </w:r>
      <w:r w:rsidR="001F3A35">
        <w:t>19</w:t>
      </w:r>
      <w:r w:rsidR="00982ABB">
        <w:t>/1</w:t>
      </w:r>
      <w:r w:rsidR="001F3A35">
        <w:t>6</w:t>
      </w:r>
      <w:r w:rsidR="00982ABB">
        <w:t>2; 1</w:t>
      </w:r>
      <w:r w:rsidR="001F3A35">
        <w:t>1.7</w:t>
      </w:r>
      <w:r w:rsidR="00982ABB">
        <w:t>%) and low back pain (</w:t>
      </w:r>
      <w:r w:rsidR="001F3A35">
        <w:t>19</w:t>
      </w:r>
      <w:r w:rsidR="00982ABB">
        <w:t>/1</w:t>
      </w:r>
      <w:r w:rsidR="001F3A35">
        <w:t>6</w:t>
      </w:r>
      <w:r w:rsidR="00982ABB">
        <w:t>2; 1</w:t>
      </w:r>
      <w:r w:rsidR="001F3A35">
        <w:t>1.7</w:t>
      </w:r>
      <w:r w:rsidR="00982ABB">
        <w:t xml:space="preserve">%). </w:t>
      </w:r>
    </w:p>
    <w:p w14:paraId="7E377660" w14:textId="605B69A8" w:rsidR="00982ABB" w:rsidRDefault="001F3A35" w:rsidP="00982ABB">
      <w:pPr>
        <w:spacing w:line="480" w:lineRule="auto"/>
      </w:pPr>
      <w:r>
        <w:t>45</w:t>
      </w:r>
      <w:r w:rsidR="00535BB5">
        <w:t>9</w:t>
      </w:r>
      <w:r w:rsidR="00982ABB" w:rsidRPr="00603C6A">
        <w:t xml:space="preserve"> prescr</w:t>
      </w:r>
      <w:r w:rsidR="00982ABB">
        <w:t>ibed medications</w:t>
      </w:r>
      <w:r w:rsidR="00982ABB" w:rsidRPr="00603C6A">
        <w:t xml:space="preserve"> were taken by 1</w:t>
      </w:r>
      <w:r w:rsidR="00FC07C0">
        <w:t>34</w:t>
      </w:r>
      <w:r w:rsidR="00982ABB" w:rsidRPr="00603C6A">
        <w:t xml:space="preserve"> (</w:t>
      </w:r>
      <w:r w:rsidR="00FC07C0">
        <w:t>82.7</w:t>
      </w:r>
      <w:r w:rsidR="00982ABB" w:rsidRPr="00603C6A">
        <w:t>%) subjects</w:t>
      </w:r>
      <w:r w:rsidR="00982ABB">
        <w:t xml:space="preserve">; with analgesics being the most commonly prescribed </w:t>
      </w:r>
      <w:r w:rsidR="00B83F04">
        <w:t xml:space="preserve">drug </w:t>
      </w:r>
      <w:r w:rsidR="00982ABB">
        <w:t>(Table 3)</w:t>
      </w:r>
      <w:r w:rsidR="00982ABB" w:rsidRPr="00603C6A">
        <w:t>.</w:t>
      </w:r>
      <w:r w:rsidR="00982ABB">
        <w:t xml:space="preserve"> Opioid based analgesics (3</w:t>
      </w:r>
      <w:r w:rsidR="00FC07C0">
        <w:t>5.2</w:t>
      </w:r>
      <w:r w:rsidR="00982ABB">
        <w:t>%), non-opioid based analgesics (3</w:t>
      </w:r>
      <w:r w:rsidR="00FC07C0">
        <w:t>4.0</w:t>
      </w:r>
      <w:r w:rsidR="00982ABB">
        <w:t>%) and non-steroidal anti-inflammatory analgesics (2</w:t>
      </w:r>
      <w:r w:rsidR="00FC07C0">
        <w:t>3.4</w:t>
      </w:r>
      <w:r w:rsidR="00982ABB">
        <w:t>%) were the most commonly prescribed medications. The 1</w:t>
      </w:r>
      <w:r w:rsidR="00FC07C0">
        <w:t>08</w:t>
      </w:r>
      <w:r w:rsidR="00982ABB">
        <w:t xml:space="preserve"> subjects who were taking medication affecting the central nervous system; were taking 1</w:t>
      </w:r>
      <w:r w:rsidR="00FC07C0">
        <w:t>50</w:t>
      </w:r>
      <w:r w:rsidR="00982ABB">
        <w:t xml:space="preserve"> prescriptions of analgesic</w:t>
      </w:r>
      <w:r w:rsidR="00B83F04">
        <w:t>s</w:t>
      </w:r>
      <w:r w:rsidR="00982ABB">
        <w:t xml:space="preserve">. On top of this a further 15 prescriptions of Tri-cyclic anti-depressants (such as Amitriptyline), and anti-convulsant medication (such as Gabapentyn) were taken by subjects. These medications are commonly prescribed for the management of persistent pain. </w:t>
      </w:r>
    </w:p>
    <w:p w14:paraId="08258351" w14:textId="77777777" w:rsidR="00D6403F" w:rsidRDefault="00E10F88" w:rsidP="00D028FB">
      <w:pPr>
        <w:spacing w:after="0" w:line="480" w:lineRule="auto"/>
      </w:pPr>
      <w:r>
        <w:t>Other than analgesia;</w:t>
      </w:r>
      <w:r w:rsidR="00982ABB">
        <w:t xml:space="preserve"> medications affecting the cardiovascular system (</w:t>
      </w:r>
      <w:r w:rsidR="00FC07C0">
        <w:t>54</w:t>
      </w:r>
      <w:r w:rsidR="00982ABB">
        <w:t>/1</w:t>
      </w:r>
      <w:r w:rsidR="00FC07C0">
        <w:t>6</w:t>
      </w:r>
      <w:r w:rsidR="00982ABB">
        <w:t>2; 3</w:t>
      </w:r>
      <w:r w:rsidR="00FC07C0">
        <w:t>4.9</w:t>
      </w:r>
      <w:r w:rsidR="00982ABB">
        <w:t>%) and hormone</w:t>
      </w:r>
      <w:r w:rsidR="00B83F04">
        <w:t xml:space="preserve"> / </w:t>
      </w:r>
      <w:r w:rsidR="00982ABB">
        <w:t>endocrine system (3</w:t>
      </w:r>
      <w:r w:rsidR="00FC07C0">
        <w:t>0</w:t>
      </w:r>
      <w:r w:rsidR="00982ABB">
        <w:t>/1</w:t>
      </w:r>
      <w:r w:rsidR="00FC07C0">
        <w:t>6</w:t>
      </w:r>
      <w:r w:rsidR="00982ABB">
        <w:t>2; 18.</w:t>
      </w:r>
      <w:r w:rsidR="00FC07C0">
        <w:t>5</w:t>
      </w:r>
      <w:r w:rsidR="00982ABB">
        <w:t>%) were the most commonly prescribed medications.</w:t>
      </w:r>
    </w:p>
    <w:p w14:paraId="762713F8" w14:textId="77777777" w:rsidR="00D6403F" w:rsidRDefault="00D6403F" w:rsidP="00D028FB">
      <w:pPr>
        <w:spacing w:after="0" w:line="480" w:lineRule="auto"/>
      </w:pPr>
    </w:p>
    <w:p w14:paraId="5E504FC1" w14:textId="77777777" w:rsidR="0061177F" w:rsidRDefault="0061177F" w:rsidP="00D028FB">
      <w:pPr>
        <w:spacing w:after="0" w:line="480" w:lineRule="auto"/>
        <w:rPr>
          <w:b/>
        </w:rPr>
      </w:pPr>
    </w:p>
    <w:p w14:paraId="634AD8AF" w14:textId="77777777" w:rsidR="00930957" w:rsidRDefault="00930957" w:rsidP="00D028FB">
      <w:pPr>
        <w:spacing w:after="0" w:line="480" w:lineRule="auto"/>
        <w:rPr>
          <w:b/>
        </w:rPr>
      </w:pPr>
    </w:p>
    <w:p w14:paraId="24FA4C12" w14:textId="77777777" w:rsidR="00930957" w:rsidRDefault="00930957" w:rsidP="00D028FB">
      <w:pPr>
        <w:spacing w:after="0" w:line="480" w:lineRule="auto"/>
        <w:rPr>
          <w:b/>
        </w:rPr>
      </w:pPr>
    </w:p>
    <w:p w14:paraId="3FE0FFD3" w14:textId="77777777" w:rsidR="00930957" w:rsidRDefault="00930957" w:rsidP="00D028FB">
      <w:pPr>
        <w:spacing w:after="0" w:line="480" w:lineRule="auto"/>
        <w:rPr>
          <w:b/>
        </w:rPr>
      </w:pPr>
    </w:p>
    <w:p w14:paraId="169E3DFF" w14:textId="77777777" w:rsidR="00930957" w:rsidRDefault="00930957" w:rsidP="00D028FB">
      <w:pPr>
        <w:spacing w:after="0" w:line="480" w:lineRule="auto"/>
        <w:rPr>
          <w:b/>
        </w:rPr>
      </w:pPr>
    </w:p>
    <w:p w14:paraId="22D279E0" w14:textId="77777777" w:rsidR="00930957" w:rsidRDefault="00930957" w:rsidP="00D028FB">
      <w:pPr>
        <w:spacing w:after="0" w:line="480" w:lineRule="auto"/>
        <w:rPr>
          <w:b/>
        </w:rPr>
      </w:pPr>
    </w:p>
    <w:p w14:paraId="5BBB4594" w14:textId="77777777" w:rsidR="00930957" w:rsidRDefault="00930957" w:rsidP="00D028FB">
      <w:pPr>
        <w:spacing w:after="0" w:line="480" w:lineRule="auto"/>
        <w:rPr>
          <w:b/>
        </w:rPr>
      </w:pPr>
    </w:p>
    <w:p w14:paraId="701CB304" w14:textId="3A6936BA" w:rsidR="004B0D68" w:rsidRDefault="004B0D68" w:rsidP="00D028FB">
      <w:pPr>
        <w:spacing w:after="0" w:line="480" w:lineRule="auto"/>
        <w:rPr>
          <w:b/>
        </w:rPr>
      </w:pPr>
      <w:r w:rsidRPr="00D028FB">
        <w:rPr>
          <w:b/>
        </w:rPr>
        <w:t>Table 3 Medication taken by subjects.</w:t>
      </w:r>
    </w:p>
    <w:tbl>
      <w:tblPr>
        <w:tblStyle w:val="TableGrid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418"/>
      </w:tblGrid>
      <w:tr w:rsidR="00930957" w14:paraId="5A7D6DAD" w14:textId="77777777" w:rsidTr="009C5BB5">
        <w:tc>
          <w:tcPr>
            <w:tcW w:w="4644" w:type="dxa"/>
          </w:tcPr>
          <w:p w14:paraId="56BA959E" w14:textId="77777777" w:rsidR="00930957" w:rsidRDefault="00930957" w:rsidP="009C5BB5">
            <w:pPr>
              <w:rPr>
                <w:b/>
              </w:rPr>
            </w:pPr>
          </w:p>
        </w:tc>
        <w:tc>
          <w:tcPr>
            <w:tcW w:w="1134" w:type="dxa"/>
          </w:tcPr>
          <w:p w14:paraId="4F0AC037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No. of subjects</w:t>
            </w:r>
          </w:p>
        </w:tc>
        <w:tc>
          <w:tcPr>
            <w:tcW w:w="1134" w:type="dxa"/>
          </w:tcPr>
          <w:p w14:paraId="6A7CD472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% of subjects</w:t>
            </w:r>
          </w:p>
        </w:tc>
        <w:tc>
          <w:tcPr>
            <w:tcW w:w="1418" w:type="dxa"/>
          </w:tcPr>
          <w:p w14:paraId="51EF0AC8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No of prescriptions</w:t>
            </w:r>
          </w:p>
        </w:tc>
      </w:tr>
      <w:tr w:rsidR="00930957" w14:paraId="63702AB3" w14:textId="77777777" w:rsidTr="009C5BB5">
        <w:tc>
          <w:tcPr>
            <w:tcW w:w="4644" w:type="dxa"/>
          </w:tcPr>
          <w:p w14:paraId="18E56994" w14:textId="77777777" w:rsidR="00930957" w:rsidRPr="006C7AB1" w:rsidRDefault="00930957" w:rsidP="009C5BB5">
            <w:pPr>
              <w:rPr>
                <w:b/>
                <w:sz w:val="20"/>
              </w:rPr>
            </w:pPr>
          </w:p>
          <w:p w14:paraId="3410238A" w14:textId="77777777" w:rsidR="00930957" w:rsidRPr="006C7AB1" w:rsidRDefault="00930957" w:rsidP="009C5BB5">
            <w:pPr>
              <w:rPr>
                <w:b/>
                <w:sz w:val="20"/>
              </w:rPr>
            </w:pPr>
            <w:r w:rsidRPr="006C7AB1">
              <w:rPr>
                <w:b/>
                <w:sz w:val="20"/>
              </w:rPr>
              <w:t>Central Nervous System</w:t>
            </w:r>
          </w:p>
          <w:p w14:paraId="6A3037A0" w14:textId="77777777" w:rsidR="00930957" w:rsidRPr="006C7AB1" w:rsidRDefault="00930957" w:rsidP="009C5BB5">
            <w:pPr>
              <w:rPr>
                <w:sz w:val="20"/>
              </w:rPr>
            </w:pPr>
            <w:r w:rsidRPr="006C7AB1">
              <w:rPr>
                <w:sz w:val="20"/>
              </w:rPr>
              <w:t>Opioid analgesics</w:t>
            </w:r>
          </w:p>
          <w:p w14:paraId="56D2F4CD" w14:textId="77777777" w:rsidR="00930957" w:rsidRPr="006C7AB1" w:rsidRDefault="00930957" w:rsidP="009C5BB5">
            <w:pPr>
              <w:rPr>
                <w:sz w:val="20"/>
              </w:rPr>
            </w:pPr>
            <w:r w:rsidRPr="006C7AB1">
              <w:rPr>
                <w:sz w:val="20"/>
              </w:rPr>
              <w:t>Non-opioid analgesics</w:t>
            </w:r>
          </w:p>
          <w:p w14:paraId="76064A17" w14:textId="77777777" w:rsidR="00930957" w:rsidRPr="006C7AB1" w:rsidRDefault="00930957" w:rsidP="009C5BB5">
            <w:pPr>
              <w:rPr>
                <w:sz w:val="20"/>
              </w:rPr>
            </w:pPr>
            <w:r w:rsidRPr="006C7AB1">
              <w:rPr>
                <w:sz w:val="20"/>
              </w:rPr>
              <w:t>Non-steroidal anti-inflammatories</w:t>
            </w:r>
          </w:p>
          <w:p w14:paraId="6A554A97" w14:textId="77777777" w:rsidR="00930957" w:rsidRPr="006C7AB1" w:rsidRDefault="00930957" w:rsidP="009C5BB5">
            <w:pPr>
              <w:rPr>
                <w:sz w:val="20"/>
              </w:rPr>
            </w:pPr>
            <w:r w:rsidRPr="006C7AB1">
              <w:rPr>
                <w:sz w:val="20"/>
              </w:rPr>
              <w:t>Anti-depressants – SSRIs</w:t>
            </w:r>
            <w:r>
              <w:rPr>
                <w:sz w:val="20"/>
              </w:rPr>
              <w:t>*</w:t>
            </w:r>
          </w:p>
          <w:p w14:paraId="651B74F8" w14:textId="77777777" w:rsidR="00930957" w:rsidRPr="006C7AB1" w:rsidRDefault="00930957" w:rsidP="009C5BB5">
            <w:pPr>
              <w:rPr>
                <w:sz w:val="20"/>
              </w:rPr>
            </w:pPr>
            <w:r w:rsidRPr="006C7AB1">
              <w:rPr>
                <w:sz w:val="20"/>
              </w:rPr>
              <w:t>Anti-convulsants</w:t>
            </w:r>
          </w:p>
          <w:p w14:paraId="6963406F" w14:textId="77777777" w:rsidR="00930957" w:rsidRPr="006C7AB1" w:rsidRDefault="00930957" w:rsidP="009C5BB5">
            <w:pPr>
              <w:rPr>
                <w:sz w:val="20"/>
              </w:rPr>
            </w:pPr>
            <w:r w:rsidRPr="006C7AB1">
              <w:rPr>
                <w:sz w:val="20"/>
              </w:rPr>
              <w:t>Tri-cyclic antidepressants</w:t>
            </w:r>
          </w:p>
          <w:p w14:paraId="1FABC335" w14:textId="77777777" w:rsidR="00930957" w:rsidRPr="006C7AB1" w:rsidRDefault="00930957" w:rsidP="009C5BB5">
            <w:pPr>
              <w:rPr>
                <w:sz w:val="20"/>
              </w:rPr>
            </w:pPr>
            <w:r w:rsidRPr="006C7AB1">
              <w:rPr>
                <w:sz w:val="20"/>
              </w:rPr>
              <w:t>Other</w:t>
            </w:r>
          </w:p>
        </w:tc>
        <w:tc>
          <w:tcPr>
            <w:tcW w:w="1134" w:type="dxa"/>
          </w:tcPr>
          <w:p w14:paraId="1B6C9CC7" w14:textId="77777777" w:rsidR="00930957" w:rsidRPr="006C7AB1" w:rsidRDefault="00930957" w:rsidP="009C5BB5">
            <w:pPr>
              <w:jc w:val="right"/>
              <w:rPr>
                <w:b/>
                <w:sz w:val="20"/>
              </w:rPr>
            </w:pPr>
          </w:p>
          <w:p w14:paraId="30C72D93" w14:textId="77777777" w:rsidR="00930957" w:rsidRPr="006C7AB1" w:rsidRDefault="00930957" w:rsidP="009C5BB5">
            <w:pPr>
              <w:jc w:val="right"/>
              <w:rPr>
                <w:b/>
                <w:sz w:val="20"/>
              </w:rPr>
            </w:pPr>
            <w:r w:rsidRPr="006C7AB1">
              <w:rPr>
                <w:b/>
                <w:sz w:val="20"/>
              </w:rPr>
              <w:t>108</w:t>
            </w:r>
          </w:p>
          <w:p w14:paraId="642C2B7B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57</w:t>
            </w:r>
          </w:p>
          <w:p w14:paraId="0D8CE7AD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55</w:t>
            </w:r>
          </w:p>
          <w:p w14:paraId="71A09117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38</w:t>
            </w:r>
          </w:p>
          <w:p w14:paraId="37EB16DE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11</w:t>
            </w:r>
          </w:p>
          <w:p w14:paraId="50D911B2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10</w:t>
            </w:r>
          </w:p>
          <w:p w14:paraId="3288CBB5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4</w:t>
            </w:r>
          </w:p>
          <w:p w14:paraId="44FBA3C3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15</w:t>
            </w:r>
          </w:p>
        </w:tc>
        <w:tc>
          <w:tcPr>
            <w:tcW w:w="1134" w:type="dxa"/>
          </w:tcPr>
          <w:p w14:paraId="04C654D9" w14:textId="77777777" w:rsidR="00930957" w:rsidRPr="006C7AB1" w:rsidRDefault="00930957" w:rsidP="009C5BB5">
            <w:pPr>
              <w:jc w:val="right"/>
              <w:rPr>
                <w:b/>
                <w:sz w:val="20"/>
              </w:rPr>
            </w:pPr>
          </w:p>
          <w:p w14:paraId="47B1B69D" w14:textId="77777777" w:rsidR="00930957" w:rsidRPr="006C7AB1" w:rsidRDefault="00930957" w:rsidP="009C5BB5">
            <w:pPr>
              <w:jc w:val="right"/>
              <w:rPr>
                <w:b/>
                <w:sz w:val="20"/>
              </w:rPr>
            </w:pPr>
            <w:r w:rsidRPr="006C7AB1">
              <w:rPr>
                <w:b/>
                <w:sz w:val="20"/>
              </w:rPr>
              <w:t>66.7%</w:t>
            </w:r>
          </w:p>
          <w:p w14:paraId="07B77E34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35.2%</w:t>
            </w:r>
          </w:p>
          <w:p w14:paraId="25714A36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34.0%</w:t>
            </w:r>
          </w:p>
          <w:p w14:paraId="0638D1BD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23.4%</w:t>
            </w:r>
          </w:p>
          <w:p w14:paraId="4CD2E426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6.8%</w:t>
            </w:r>
          </w:p>
          <w:p w14:paraId="51877140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6.7%</w:t>
            </w:r>
          </w:p>
          <w:p w14:paraId="54109039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2.5%</w:t>
            </w:r>
          </w:p>
          <w:p w14:paraId="1A79AABC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9.3%</w:t>
            </w:r>
          </w:p>
        </w:tc>
        <w:tc>
          <w:tcPr>
            <w:tcW w:w="1418" w:type="dxa"/>
          </w:tcPr>
          <w:p w14:paraId="4897A179" w14:textId="77777777" w:rsidR="00930957" w:rsidRPr="006C7AB1" w:rsidRDefault="00930957" w:rsidP="009C5BB5">
            <w:pPr>
              <w:jc w:val="right"/>
              <w:rPr>
                <w:b/>
                <w:sz w:val="20"/>
              </w:rPr>
            </w:pPr>
          </w:p>
          <w:p w14:paraId="7C1A7B1E" w14:textId="77777777" w:rsidR="00930957" w:rsidRPr="006C7AB1" w:rsidRDefault="00930957" w:rsidP="009C5BB5">
            <w:pPr>
              <w:jc w:val="right"/>
              <w:rPr>
                <w:b/>
                <w:sz w:val="20"/>
              </w:rPr>
            </w:pPr>
            <w:r w:rsidRPr="006C7AB1">
              <w:rPr>
                <w:b/>
                <w:sz w:val="20"/>
              </w:rPr>
              <w:t>194</w:t>
            </w:r>
          </w:p>
          <w:p w14:paraId="1EF217C6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58</w:t>
            </w:r>
          </w:p>
          <w:p w14:paraId="4886D3BB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56</w:t>
            </w:r>
          </w:p>
          <w:p w14:paraId="77758DBD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40</w:t>
            </w:r>
          </w:p>
          <w:p w14:paraId="73CB7F92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11</w:t>
            </w:r>
          </w:p>
          <w:p w14:paraId="60EA043D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10</w:t>
            </w:r>
          </w:p>
          <w:p w14:paraId="0CB19046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4</w:t>
            </w:r>
          </w:p>
          <w:p w14:paraId="12F8876D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15</w:t>
            </w:r>
          </w:p>
        </w:tc>
      </w:tr>
      <w:tr w:rsidR="00930957" w14:paraId="371D253D" w14:textId="77777777" w:rsidTr="009C5BB5">
        <w:tc>
          <w:tcPr>
            <w:tcW w:w="4644" w:type="dxa"/>
          </w:tcPr>
          <w:p w14:paraId="61230784" w14:textId="77777777" w:rsidR="00930957" w:rsidRPr="006C7AB1" w:rsidRDefault="00930957" w:rsidP="009C5BB5">
            <w:pPr>
              <w:rPr>
                <w:b/>
                <w:sz w:val="20"/>
              </w:rPr>
            </w:pPr>
          </w:p>
          <w:p w14:paraId="17E441C6" w14:textId="77777777" w:rsidR="00930957" w:rsidRPr="006C7AB1" w:rsidRDefault="00930957" w:rsidP="009C5BB5">
            <w:pPr>
              <w:rPr>
                <w:b/>
                <w:sz w:val="20"/>
              </w:rPr>
            </w:pPr>
            <w:r w:rsidRPr="006C7AB1">
              <w:rPr>
                <w:b/>
                <w:sz w:val="20"/>
              </w:rPr>
              <w:t>Cardiovascular System</w:t>
            </w:r>
          </w:p>
          <w:p w14:paraId="2ABC1535" w14:textId="77777777" w:rsidR="00930957" w:rsidRPr="006C7AB1" w:rsidRDefault="00930957" w:rsidP="009C5BB5">
            <w:pPr>
              <w:rPr>
                <w:sz w:val="20"/>
              </w:rPr>
            </w:pPr>
            <w:r w:rsidRPr="006C7AB1">
              <w:rPr>
                <w:sz w:val="20"/>
              </w:rPr>
              <w:t>Statins</w:t>
            </w:r>
          </w:p>
          <w:p w14:paraId="0C8668A6" w14:textId="77777777" w:rsidR="00930957" w:rsidRPr="006C7AB1" w:rsidRDefault="00930957" w:rsidP="009C5BB5">
            <w:pPr>
              <w:rPr>
                <w:sz w:val="20"/>
              </w:rPr>
            </w:pPr>
            <w:r w:rsidRPr="006C7AB1">
              <w:rPr>
                <w:sz w:val="20"/>
              </w:rPr>
              <w:t>Anti-platelet</w:t>
            </w:r>
          </w:p>
          <w:p w14:paraId="1B696C58" w14:textId="77777777" w:rsidR="00930957" w:rsidRPr="006C7AB1" w:rsidRDefault="00930957" w:rsidP="009C5BB5">
            <w:pPr>
              <w:rPr>
                <w:sz w:val="20"/>
              </w:rPr>
            </w:pPr>
            <w:r w:rsidRPr="006C7AB1">
              <w:rPr>
                <w:sz w:val="20"/>
              </w:rPr>
              <w:t>Angiotensin 2 blockers</w:t>
            </w:r>
          </w:p>
          <w:p w14:paraId="366E1CBF" w14:textId="77777777" w:rsidR="00930957" w:rsidRPr="006C7AB1" w:rsidRDefault="00930957" w:rsidP="009C5BB5">
            <w:pPr>
              <w:rPr>
                <w:sz w:val="20"/>
              </w:rPr>
            </w:pPr>
            <w:r w:rsidRPr="006C7AB1">
              <w:rPr>
                <w:sz w:val="20"/>
              </w:rPr>
              <w:t>Ace inhibitors</w:t>
            </w:r>
          </w:p>
          <w:p w14:paraId="3951AEBE" w14:textId="77777777" w:rsidR="00930957" w:rsidRPr="006C7AB1" w:rsidRDefault="00930957" w:rsidP="009C5BB5">
            <w:pPr>
              <w:rPr>
                <w:sz w:val="20"/>
              </w:rPr>
            </w:pPr>
            <w:r w:rsidRPr="006C7AB1">
              <w:rPr>
                <w:sz w:val="20"/>
              </w:rPr>
              <w:t>Calcium channel blockers</w:t>
            </w:r>
          </w:p>
          <w:p w14:paraId="0DA98352" w14:textId="77777777" w:rsidR="00930957" w:rsidRPr="006C7AB1" w:rsidRDefault="00930957" w:rsidP="009C5BB5">
            <w:pPr>
              <w:rPr>
                <w:sz w:val="20"/>
              </w:rPr>
            </w:pPr>
            <w:r w:rsidRPr="006C7AB1">
              <w:rPr>
                <w:sz w:val="20"/>
              </w:rPr>
              <w:t>Diuretics – Thiazides and loop diuretics</w:t>
            </w:r>
          </w:p>
          <w:p w14:paraId="3B1FA187" w14:textId="77777777" w:rsidR="00930957" w:rsidRPr="006C7AB1" w:rsidRDefault="00930957" w:rsidP="009C5BB5">
            <w:pPr>
              <w:rPr>
                <w:sz w:val="20"/>
              </w:rPr>
            </w:pPr>
            <w:r w:rsidRPr="006C7AB1">
              <w:rPr>
                <w:sz w:val="20"/>
              </w:rPr>
              <w:t>Beta-blockers</w:t>
            </w:r>
          </w:p>
          <w:p w14:paraId="47848F7C" w14:textId="77777777" w:rsidR="00930957" w:rsidRPr="006C7AB1" w:rsidRDefault="00930957" w:rsidP="009C5BB5">
            <w:pPr>
              <w:rPr>
                <w:sz w:val="20"/>
              </w:rPr>
            </w:pPr>
            <w:r w:rsidRPr="006C7AB1">
              <w:rPr>
                <w:sz w:val="20"/>
              </w:rPr>
              <w:t>Other</w:t>
            </w:r>
          </w:p>
        </w:tc>
        <w:tc>
          <w:tcPr>
            <w:tcW w:w="1134" w:type="dxa"/>
          </w:tcPr>
          <w:p w14:paraId="438160E9" w14:textId="77777777" w:rsidR="00930957" w:rsidRPr="006C7AB1" w:rsidRDefault="00930957" w:rsidP="009C5BB5">
            <w:pPr>
              <w:jc w:val="right"/>
              <w:rPr>
                <w:b/>
                <w:sz w:val="20"/>
              </w:rPr>
            </w:pPr>
          </w:p>
          <w:p w14:paraId="556FB4D1" w14:textId="77777777" w:rsidR="00930957" w:rsidRPr="006C7AB1" w:rsidRDefault="00930957" w:rsidP="009C5BB5">
            <w:pPr>
              <w:jc w:val="right"/>
              <w:rPr>
                <w:b/>
                <w:sz w:val="20"/>
              </w:rPr>
            </w:pPr>
            <w:r w:rsidRPr="006C7AB1">
              <w:rPr>
                <w:b/>
                <w:sz w:val="20"/>
              </w:rPr>
              <w:t>54</w:t>
            </w:r>
          </w:p>
          <w:p w14:paraId="39789E87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27</w:t>
            </w:r>
          </w:p>
          <w:p w14:paraId="63666A65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19</w:t>
            </w:r>
          </w:p>
          <w:p w14:paraId="6B0C9E39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18</w:t>
            </w:r>
          </w:p>
          <w:p w14:paraId="5E1EE25F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15</w:t>
            </w:r>
          </w:p>
          <w:p w14:paraId="61DF457B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15</w:t>
            </w:r>
          </w:p>
          <w:p w14:paraId="4D7959E6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13</w:t>
            </w:r>
          </w:p>
          <w:p w14:paraId="437A9AB4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7</w:t>
            </w:r>
          </w:p>
          <w:p w14:paraId="518DD68A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9</w:t>
            </w:r>
          </w:p>
        </w:tc>
        <w:tc>
          <w:tcPr>
            <w:tcW w:w="1134" w:type="dxa"/>
          </w:tcPr>
          <w:p w14:paraId="496C3C3B" w14:textId="77777777" w:rsidR="00930957" w:rsidRPr="006C7AB1" w:rsidRDefault="00930957" w:rsidP="009C5BB5">
            <w:pPr>
              <w:jc w:val="right"/>
              <w:rPr>
                <w:b/>
                <w:sz w:val="20"/>
              </w:rPr>
            </w:pPr>
          </w:p>
          <w:p w14:paraId="584F83F1" w14:textId="77777777" w:rsidR="00930957" w:rsidRPr="006C7AB1" w:rsidRDefault="00930957" w:rsidP="009C5BB5">
            <w:pPr>
              <w:jc w:val="right"/>
              <w:rPr>
                <w:b/>
                <w:sz w:val="20"/>
              </w:rPr>
            </w:pPr>
            <w:r w:rsidRPr="006C7AB1">
              <w:rPr>
                <w:b/>
                <w:sz w:val="20"/>
              </w:rPr>
              <w:t>30.9%</w:t>
            </w:r>
          </w:p>
          <w:p w14:paraId="7D858C97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16.7%</w:t>
            </w:r>
          </w:p>
          <w:p w14:paraId="076F671C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11.7%</w:t>
            </w:r>
          </w:p>
          <w:p w14:paraId="57D3402A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11.1%</w:t>
            </w:r>
          </w:p>
          <w:p w14:paraId="5E515E6D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9.3%</w:t>
            </w:r>
          </w:p>
          <w:p w14:paraId="72A06D43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9.3%</w:t>
            </w:r>
          </w:p>
          <w:p w14:paraId="0F8C923D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8.0%</w:t>
            </w:r>
          </w:p>
          <w:p w14:paraId="1ED2DB0B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4.3%</w:t>
            </w:r>
          </w:p>
          <w:p w14:paraId="1A2A0745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0.6%</w:t>
            </w:r>
          </w:p>
        </w:tc>
        <w:tc>
          <w:tcPr>
            <w:tcW w:w="1418" w:type="dxa"/>
          </w:tcPr>
          <w:p w14:paraId="5965A67A" w14:textId="77777777" w:rsidR="00930957" w:rsidRPr="006C7AB1" w:rsidRDefault="00930957" w:rsidP="009C5BB5">
            <w:pPr>
              <w:jc w:val="right"/>
              <w:rPr>
                <w:b/>
                <w:sz w:val="20"/>
              </w:rPr>
            </w:pPr>
          </w:p>
          <w:p w14:paraId="2BB069F1" w14:textId="77777777" w:rsidR="00930957" w:rsidRPr="006C7AB1" w:rsidRDefault="00930957" w:rsidP="009C5BB5">
            <w:pPr>
              <w:jc w:val="right"/>
              <w:rPr>
                <w:b/>
                <w:sz w:val="20"/>
              </w:rPr>
            </w:pPr>
            <w:r w:rsidRPr="006C7AB1">
              <w:rPr>
                <w:b/>
                <w:sz w:val="20"/>
              </w:rPr>
              <w:t>126</w:t>
            </w:r>
          </w:p>
          <w:p w14:paraId="29DD114D" w14:textId="77777777" w:rsidR="00930957" w:rsidRPr="006C7AB1" w:rsidRDefault="00930957" w:rsidP="009C5BB5">
            <w:pPr>
              <w:jc w:val="right"/>
              <w:rPr>
                <w:b/>
                <w:sz w:val="20"/>
              </w:rPr>
            </w:pPr>
            <w:r w:rsidRPr="006C7AB1">
              <w:rPr>
                <w:b/>
                <w:sz w:val="20"/>
              </w:rPr>
              <w:t>29</w:t>
            </w:r>
          </w:p>
          <w:p w14:paraId="20ED8D24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19</w:t>
            </w:r>
          </w:p>
          <w:p w14:paraId="544C7392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19</w:t>
            </w:r>
          </w:p>
          <w:p w14:paraId="13FA8B8C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15</w:t>
            </w:r>
          </w:p>
          <w:p w14:paraId="0DC835BB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15</w:t>
            </w:r>
          </w:p>
          <w:p w14:paraId="54C1FF6E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13</w:t>
            </w:r>
          </w:p>
          <w:p w14:paraId="3170F727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7</w:t>
            </w:r>
          </w:p>
          <w:p w14:paraId="55C664FD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9</w:t>
            </w:r>
          </w:p>
        </w:tc>
      </w:tr>
      <w:tr w:rsidR="00930957" w14:paraId="7DF089EC" w14:textId="77777777" w:rsidTr="009C5BB5">
        <w:tc>
          <w:tcPr>
            <w:tcW w:w="4644" w:type="dxa"/>
          </w:tcPr>
          <w:p w14:paraId="742A5B24" w14:textId="77777777" w:rsidR="00930957" w:rsidRPr="006C7AB1" w:rsidRDefault="00930957" w:rsidP="009C5BB5">
            <w:pPr>
              <w:rPr>
                <w:b/>
                <w:sz w:val="20"/>
              </w:rPr>
            </w:pPr>
          </w:p>
          <w:p w14:paraId="17F766F2" w14:textId="77777777" w:rsidR="00930957" w:rsidRPr="006C7AB1" w:rsidRDefault="00930957" w:rsidP="009C5BB5">
            <w:pPr>
              <w:rPr>
                <w:b/>
                <w:sz w:val="20"/>
              </w:rPr>
            </w:pPr>
            <w:r w:rsidRPr="006C7AB1">
              <w:rPr>
                <w:b/>
                <w:sz w:val="20"/>
              </w:rPr>
              <w:t>Hormone and endocrine system</w:t>
            </w:r>
          </w:p>
          <w:p w14:paraId="093516ED" w14:textId="77777777" w:rsidR="00930957" w:rsidRPr="006C7AB1" w:rsidRDefault="00930957" w:rsidP="009C5BB5">
            <w:pPr>
              <w:rPr>
                <w:sz w:val="20"/>
              </w:rPr>
            </w:pPr>
            <w:r w:rsidRPr="006C7AB1">
              <w:rPr>
                <w:sz w:val="20"/>
              </w:rPr>
              <w:t>Diabetes altering medication</w:t>
            </w:r>
          </w:p>
          <w:p w14:paraId="54BD40BD" w14:textId="77777777" w:rsidR="00930957" w:rsidRPr="006C7AB1" w:rsidRDefault="00930957" w:rsidP="009C5BB5">
            <w:pPr>
              <w:rPr>
                <w:sz w:val="20"/>
              </w:rPr>
            </w:pPr>
            <w:r w:rsidRPr="006C7AB1">
              <w:rPr>
                <w:sz w:val="20"/>
              </w:rPr>
              <w:t>Hypo-thyroid medication</w:t>
            </w:r>
          </w:p>
          <w:p w14:paraId="7B6966CD" w14:textId="77777777" w:rsidR="00930957" w:rsidRPr="006C7AB1" w:rsidRDefault="00930957" w:rsidP="009C5BB5">
            <w:pPr>
              <w:rPr>
                <w:sz w:val="20"/>
              </w:rPr>
            </w:pPr>
            <w:r w:rsidRPr="006C7AB1">
              <w:rPr>
                <w:sz w:val="20"/>
              </w:rPr>
              <w:t>Female sex hormones</w:t>
            </w:r>
          </w:p>
          <w:p w14:paraId="1599C601" w14:textId="77777777" w:rsidR="00930957" w:rsidRPr="006C7AB1" w:rsidRDefault="00930957" w:rsidP="009C5BB5">
            <w:pPr>
              <w:rPr>
                <w:b/>
                <w:sz w:val="20"/>
              </w:rPr>
            </w:pPr>
            <w:r w:rsidRPr="006C7AB1">
              <w:rPr>
                <w:sz w:val="20"/>
              </w:rPr>
              <w:t>Other</w:t>
            </w:r>
          </w:p>
        </w:tc>
        <w:tc>
          <w:tcPr>
            <w:tcW w:w="1134" w:type="dxa"/>
          </w:tcPr>
          <w:p w14:paraId="474DCDD5" w14:textId="77777777" w:rsidR="00930957" w:rsidRPr="006C7AB1" w:rsidRDefault="00930957" w:rsidP="009C5BB5">
            <w:pPr>
              <w:jc w:val="right"/>
              <w:rPr>
                <w:b/>
                <w:sz w:val="20"/>
              </w:rPr>
            </w:pPr>
          </w:p>
          <w:p w14:paraId="0EDE4A6F" w14:textId="77777777" w:rsidR="00930957" w:rsidRPr="006C7AB1" w:rsidRDefault="00930957" w:rsidP="009C5BB5">
            <w:pPr>
              <w:jc w:val="right"/>
              <w:rPr>
                <w:b/>
                <w:sz w:val="20"/>
              </w:rPr>
            </w:pPr>
            <w:r w:rsidRPr="006C7AB1">
              <w:rPr>
                <w:b/>
                <w:sz w:val="20"/>
              </w:rPr>
              <w:t>30</w:t>
            </w:r>
          </w:p>
          <w:p w14:paraId="00DA46F1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16</w:t>
            </w:r>
          </w:p>
          <w:p w14:paraId="50E02B05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11</w:t>
            </w:r>
          </w:p>
          <w:p w14:paraId="42DF43BF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6</w:t>
            </w:r>
          </w:p>
          <w:p w14:paraId="0A36CF08" w14:textId="77777777" w:rsidR="00930957" w:rsidRPr="006C7AB1" w:rsidRDefault="00930957" w:rsidP="009C5BB5">
            <w:pPr>
              <w:jc w:val="right"/>
              <w:rPr>
                <w:b/>
                <w:sz w:val="20"/>
              </w:rPr>
            </w:pPr>
            <w:r w:rsidRPr="006C7AB1">
              <w:rPr>
                <w:sz w:val="20"/>
              </w:rPr>
              <w:t>5</w:t>
            </w:r>
          </w:p>
        </w:tc>
        <w:tc>
          <w:tcPr>
            <w:tcW w:w="1134" w:type="dxa"/>
          </w:tcPr>
          <w:p w14:paraId="73B114CF" w14:textId="77777777" w:rsidR="00930957" w:rsidRPr="006C7AB1" w:rsidRDefault="00930957" w:rsidP="009C5BB5">
            <w:pPr>
              <w:jc w:val="right"/>
              <w:rPr>
                <w:b/>
                <w:sz w:val="20"/>
              </w:rPr>
            </w:pPr>
          </w:p>
          <w:p w14:paraId="6B783E29" w14:textId="77777777" w:rsidR="00930957" w:rsidRPr="006C7AB1" w:rsidRDefault="00930957" w:rsidP="009C5BB5">
            <w:pPr>
              <w:jc w:val="right"/>
              <w:rPr>
                <w:b/>
                <w:sz w:val="20"/>
              </w:rPr>
            </w:pPr>
            <w:r w:rsidRPr="006C7AB1">
              <w:rPr>
                <w:b/>
                <w:sz w:val="20"/>
              </w:rPr>
              <w:t>18.5%</w:t>
            </w:r>
          </w:p>
          <w:p w14:paraId="7EF5998F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9.9%</w:t>
            </w:r>
          </w:p>
          <w:p w14:paraId="2F110E18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6.8%</w:t>
            </w:r>
          </w:p>
          <w:p w14:paraId="3C566E09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3.7%</w:t>
            </w:r>
          </w:p>
          <w:p w14:paraId="5AC81567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3.1%</w:t>
            </w:r>
          </w:p>
        </w:tc>
        <w:tc>
          <w:tcPr>
            <w:tcW w:w="1418" w:type="dxa"/>
          </w:tcPr>
          <w:p w14:paraId="48E9EADB" w14:textId="77777777" w:rsidR="00930957" w:rsidRPr="006C7AB1" w:rsidRDefault="00930957" w:rsidP="009C5BB5">
            <w:pPr>
              <w:jc w:val="right"/>
              <w:rPr>
                <w:b/>
                <w:sz w:val="20"/>
              </w:rPr>
            </w:pPr>
          </w:p>
          <w:p w14:paraId="50E3B69D" w14:textId="77777777" w:rsidR="00930957" w:rsidRPr="006C7AB1" w:rsidRDefault="00930957" w:rsidP="009C5BB5">
            <w:pPr>
              <w:jc w:val="right"/>
              <w:rPr>
                <w:b/>
                <w:sz w:val="20"/>
              </w:rPr>
            </w:pPr>
            <w:r w:rsidRPr="006C7AB1">
              <w:rPr>
                <w:b/>
                <w:sz w:val="20"/>
              </w:rPr>
              <w:t>38</w:t>
            </w:r>
          </w:p>
          <w:p w14:paraId="4AE183D2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16</w:t>
            </w:r>
          </w:p>
          <w:p w14:paraId="488AE083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 xml:space="preserve"> 11</w:t>
            </w:r>
          </w:p>
          <w:p w14:paraId="12D3D789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6</w:t>
            </w:r>
          </w:p>
          <w:p w14:paraId="6400635B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5</w:t>
            </w:r>
          </w:p>
        </w:tc>
      </w:tr>
      <w:tr w:rsidR="00930957" w14:paraId="1F3B4435" w14:textId="77777777" w:rsidTr="009C5BB5">
        <w:tc>
          <w:tcPr>
            <w:tcW w:w="4644" w:type="dxa"/>
          </w:tcPr>
          <w:p w14:paraId="0FE82A35" w14:textId="77777777" w:rsidR="00930957" w:rsidRPr="006C7AB1" w:rsidRDefault="00930957" w:rsidP="009C5BB5">
            <w:pPr>
              <w:rPr>
                <w:b/>
                <w:sz w:val="20"/>
              </w:rPr>
            </w:pPr>
          </w:p>
          <w:p w14:paraId="58A7F650" w14:textId="77777777" w:rsidR="00930957" w:rsidRPr="006C7AB1" w:rsidRDefault="00930957" w:rsidP="009C5BB5">
            <w:pPr>
              <w:rPr>
                <w:b/>
                <w:sz w:val="20"/>
              </w:rPr>
            </w:pPr>
            <w:r w:rsidRPr="006C7AB1">
              <w:rPr>
                <w:b/>
                <w:sz w:val="20"/>
              </w:rPr>
              <w:t>Gastro-intestinal system</w:t>
            </w:r>
          </w:p>
          <w:p w14:paraId="3EA14AB5" w14:textId="77777777" w:rsidR="00930957" w:rsidRPr="006C7AB1" w:rsidRDefault="00930957" w:rsidP="009C5BB5">
            <w:pPr>
              <w:rPr>
                <w:sz w:val="20"/>
              </w:rPr>
            </w:pPr>
            <w:r w:rsidRPr="006C7AB1">
              <w:rPr>
                <w:sz w:val="20"/>
              </w:rPr>
              <w:t>Proton pump inhibitors</w:t>
            </w:r>
          </w:p>
          <w:p w14:paraId="4CBBCDF5" w14:textId="77777777" w:rsidR="00930957" w:rsidRPr="006C7AB1" w:rsidRDefault="00930957" w:rsidP="009C5BB5">
            <w:pPr>
              <w:rPr>
                <w:sz w:val="20"/>
              </w:rPr>
            </w:pPr>
            <w:r w:rsidRPr="006C7AB1">
              <w:rPr>
                <w:sz w:val="20"/>
              </w:rPr>
              <w:t>Antacids</w:t>
            </w:r>
          </w:p>
          <w:p w14:paraId="5BD8FF6D" w14:textId="77777777" w:rsidR="00930957" w:rsidRPr="006C7AB1" w:rsidRDefault="00930957" w:rsidP="009C5BB5">
            <w:pPr>
              <w:rPr>
                <w:sz w:val="20"/>
              </w:rPr>
            </w:pPr>
            <w:r w:rsidRPr="006C7AB1">
              <w:rPr>
                <w:sz w:val="20"/>
              </w:rPr>
              <w:t>Others</w:t>
            </w:r>
          </w:p>
        </w:tc>
        <w:tc>
          <w:tcPr>
            <w:tcW w:w="1134" w:type="dxa"/>
          </w:tcPr>
          <w:p w14:paraId="2ECBE71E" w14:textId="77777777" w:rsidR="00930957" w:rsidRPr="006C7AB1" w:rsidRDefault="00930957" w:rsidP="009C5BB5">
            <w:pPr>
              <w:jc w:val="right"/>
              <w:rPr>
                <w:b/>
                <w:sz w:val="20"/>
              </w:rPr>
            </w:pPr>
          </w:p>
          <w:p w14:paraId="5F6E40AA" w14:textId="77777777" w:rsidR="00930957" w:rsidRPr="006C7AB1" w:rsidRDefault="00930957" w:rsidP="009C5BB5">
            <w:pPr>
              <w:jc w:val="right"/>
              <w:rPr>
                <w:b/>
                <w:sz w:val="20"/>
              </w:rPr>
            </w:pPr>
            <w:r w:rsidRPr="006C7AB1">
              <w:rPr>
                <w:b/>
                <w:sz w:val="20"/>
              </w:rPr>
              <w:t>30</w:t>
            </w:r>
          </w:p>
          <w:p w14:paraId="23B3A0A3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28</w:t>
            </w:r>
          </w:p>
          <w:p w14:paraId="3D264FC0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5</w:t>
            </w:r>
          </w:p>
          <w:p w14:paraId="01CE5DFB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7</w:t>
            </w:r>
          </w:p>
        </w:tc>
        <w:tc>
          <w:tcPr>
            <w:tcW w:w="1134" w:type="dxa"/>
          </w:tcPr>
          <w:p w14:paraId="64F828DE" w14:textId="77777777" w:rsidR="00930957" w:rsidRPr="006C7AB1" w:rsidRDefault="00930957" w:rsidP="009C5BB5">
            <w:pPr>
              <w:jc w:val="right"/>
              <w:rPr>
                <w:b/>
                <w:sz w:val="20"/>
              </w:rPr>
            </w:pPr>
          </w:p>
          <w:p w14:paraId="1F44BFD1" w14:textId="77777777" w:rsidR="00930957" w:rsidRPr="006C7AB1" w:rsidRDefault="00930957" w:rsidP="009C5BB5">
            <w:pPr>
              <w:jc w:val="right"/>
              <w:rPr>
                <w:b/>
                <w:sz w:val="20"/>
              </w:rPr>
            </w:pPr>
            <w:r w:rsidRPr="006C7AB1">
              <w:rPr>
                <w:b/>
                <w:sz w:val="20"/>
              </w:rPr>
              <w:t>18.5%</w:t>
            </w:r>
          </w:p>
          <w:p w14:paraId="2B7F8660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17.3%</w:t>
            </w:r>
          </w:p>
          <w:p w14:paraId="5652D55C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3.1%</w:t>
            </w:r>
          </w:p>
          <w:p w14:paraId="42D00503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4.3%</w:t>
            </w:r>
          </w:p>
        </w:tc>
        <w:tc>
          <w:tcPr>
            <w:tcW w:w="1418" w:type="dxa"/>
          </w:tcPr>
          <w:p w14:paraId="415D0EB8" w14:textId="77777777" w:rsidR="00930957" w:rsidRPr="006C7AB1" w:rsidRDefault="00930957" w:rsidP="009C5BB5">
            <w:pPr>
              <w:jc w:val="right"/>
              <w:rPr>
                <w:b/>
                <w:sz w:val="20"/>
              </w:rPr>
            </w:pPr>
          </w:p>
          <w:p w14:paraId="2A0A7F63" w14:textId="77777777" w:rsidR="00930957" w:rsidRPr="006C7AB1" w:rsidRDefault="00930957" w:rsidP="009C5BB5">
            <w:pPr>
              <w:jc w:val="right"/>
              <w:rPr>
                <w:b/>
                <w:sz w:val="20"/>
              </w:rPr>
            </w:pPr>
            <w:r w:rsidRPr="006C7AB1">
              <w:rPr>
                <w:b/>
                <w:sz w:val="20"/>
              </w:rPr>
              <w:t>41</w:t>
            </w:r>
          </w:p>
          <w:p w14:paraId="6FC5CAEF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29</w:t>
            </w:r>
          </w:p>
          <w:p w14:paraId="12072817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5</w:t>
            </w:r>
          </w:p>
          <w:p w14:paraId="3799B82C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7</w:t>
            </w:r>
          </w:p>
        </w:tc>
      </w:tr>
      <w:tr w:rsidR="00930957" w14:paraId="7B079867" w14:textId="77777777" w:rsidTr="009C5BB5">
        <w:tc>
          <w:tcPr>
            <w:tcW w:w="4644" w:type="dxa"/>
          </w:tcPr>
          <w:p w14:paraId="3FB45F06" w14:textId="77777777" w:rsidR="00930957" w:rsidRPr="006C7AB1" w:rsidRDefault="00930957" w:rsidP="009C5BB5">
            <w:pPr>
              <w:rPr>
                <w:b/>
                <w:sz w:val="20"/>
              </w:rPr>
            </w:pPr>
          </w:p>
          <w:p w14:paraId="05AE44BF" w14:textId="77777777" w:rsidR="00930957" w:rsidRPr="006C7AB1" w:rsidRDefault="00930957" w:rsidP="009C5BB5">
            <w:pPr>
              <w:rPr>
                <w:b/>
                <w:sz w:val="20"/>
              </w:rPr>
            </w:pPr>
            <w:r w:rsidRPr="006C7AB1">
              <w:rPr>
                <w:b/>
                <w:sz w:val="20"/>
              </w:rPr>
              <w:t>Respiratory System</w:t>
            </w:r>
          </w:p>
          <w:p w14:paraId="09900584" w14:textId="77777777" w:rsidR="00930957" w:rsidRPr="006C7AB1" w:rsidRDefault="00930957" w:rsidP="009C5BB5">
            <w:pPr>
              <w:rPr>
                <w:sz w:val="20"/>
              </w:rPr>
            </w:pPr>
            <w:r w:rsidRPr="006C7AB1">
              <w:rPr>
                <w:sz w:val="20"/>
              </w:rPr>
              <w:t>Bronchodilators</w:t>
            </w:r>
          </w:p>
          <w:p w14:paraId="75306048" w14:textId="77777777" w:rsidR="00930957" w:rsidRPr="006C7AB1" w:rsidRDefault="00930957" w:rsidP="009C5BB5">
            <w:pPr>
              <w:rPr>
                <w:sz w:val="20"/>
              </w:rPr>
            </w:pPr>
            <w:r w:rsidRPr="006C7AB1">
              <w:rPr>
                <w:sz w:val="20"/>
              </w:rPr>
              <w:t>Inhalers (not specified)</w:t>
            </w:r>
          </w:p>
          <w:p w14:paraId="5BEAA75C" w14:textId="77777777" w:rsidR="00930957" w:rsidRPr="006C7AB1" w:rsidRDefault="00930957" w:rsidP="009C5BB5">
            <w:pPr>
              <w:rPr>
                <w:sz w:val="20"/>
              </w:rPr>
            </w:pPr>
            <w:r w:rsidRPr="006C7AB1">
              <w:rPr>
                <w:sz w:val="20"/>
              </w:rPr>
              <w:t>Other</w:t>
            </w:r>
          </w:p>
        </w:tc>
        <w:tc>
          <w:tcPr>
            <w:tcW w:w="1134" w:type="dxa"/>
          </w:tcPr>
          <w:p w14:paraId="54236257" w14:textId="77777777" w:rsidR="00930957" w:rsidRPr="006C7AB1" w:rsidRDefault="00930957" w:rsidP="009C5BB5">
            <w:pPr>
              <w:jc w:val="right"/>
              <w:rPr>
                <w:b/>
                <w:sz w:val="20"/>
              </w:rPr>
            </w:pPr>
          </w:p>
          <w:p w14:paraId="6C808F5A" w14:textId="77777777" w:rsidR="00930957" w:rsidRPr="006C7AB1" w:rsidRDefault="00930957" w:rsidP="009C5BB5">
            <w:pPr>
              <w:jc w:val="right"/>
              <w:rPr>
                <w:b/>
                <w:sz w:val="20"/>
              </w:rPr>
            </w:pPr>
            <w:r w:rsidRPr="006C7AB1">
              <w:rPr>
                <w:b/>
                <w:sz w:val="20"/>
              </w:rPr>
              <w:t>15</w:t>
            </w:r>
          </w:p>
          <w:p w14:paraId="1B08512E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11</w:t>
            </w:r>
          </w:p>
          <w:p w14:paraId="291F1154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4</w:t>
            </w:r>
          </w:p>
          <w:p w14:paraId="27E87F29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8</w:t>
            </w:r>
          </w:p>
        </w:tc>
        <w:tc>
          <w:tcPr>
            <w:tcW w:w="1134" w:type="dxa"/>
          </w:tcPr>
          <w:p w14:paraId="1D6311DA" w14:textId="77777777" w:rsidR="00930957" w:rsidRPr="006C7AB1" w:rsidRDefault="00930957" w:rsidP="009C5BB5">
            <w:pPr>
              <w:jc w:val="right"/>
              <w:rPr>
                <w:b/>
                <w:sz w:val="20"/>
              </w:rPr>
            </w:pPr>
          </w:p>
          <w:p w14:paraId="7CB09662" w14:textId="77777777" w:rsidR="00930957" w:rsidRPr="006C7AB1" w:rsidRDefault="00930957" w:rsidP="009C5BB5">
            <w:pPr>
              <w:jc w:val="right"/>
              <w:rPr>
                <w:b/>
                <w:sz w:val="20"/>
              </w:rPr>
            </w:pPr>
            <w:r w:rsidRPr="006C7AB1">
              <w:rPr>
                <w:b/>
                <w:sz w:val="20"/>
              </w:rPr>
              <w:t>9.3%</w:t>
            </w:r>
          </w:p>
          <w:p w14:paraId="1D8624AA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6.8%</w:t>
            </w:r>
          </w:p>
          <w:p w14:paraId="3E39595C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2.5%</w:t>
            </w:r>
          </w:p>
          <w:p w14:paraId="392602D4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4.9%</w:t>
            </w:r>
          </w:p>
        </w:tc>
        <w:tc>
          <w:tcPr>
            <w:tcW w:w="1418" w:type="dxa"/>
          </w:tcPr>
          <w:p w14:paraId="024741C8" w14:textId="77777777" w:rsidR="00930957" w:rsidRPr="006C7AB1" w:rsidRDefault="00930957" w:rsidP="009C5BB5">
            <w:pPr>
              <w:jc w:val="right"/>
              <w:rPr>
                <w:b/>
                <w:sz w:val="20"/>
              </w:rPr>
            </w:pPr>
          </w:p>
          <w:p w14:paraId="02B34311" w14:textId="77777777" w:rsidR="00930957" w:rsidRPr="006C7AB1" w:rsidRDefault="00930957" w:rsidP="009C5BB5">
            <w:pPr>
              <w:jc w:val="right"/>
              <w:rPr>
                <w:b/>
                <w:sz w:val="20"/>
              </w:rPr>
            </w:pPr>
            <w:r w:rsidRPr="006C7AB1">
              <w:rPr>
                <w:b/>
                <w:sz w:val="20"/>
              </w:rPr>
              <w:t>23</w:t>
            </w:r>
          </w:p>
          <w:p w14:paraId="32209981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11</w:t>
            </w:r>
          </w:p>
          <w:p w14:paraId="27ADA86D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4</w:t>
            </w:r>
          </w:p>
          <w:p w14:paraId="4C232321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8</w:t>
            </w:r>
          </w:p>
        </w:tc>
      </w:tr>
      <w:tr w:rsidR="00930957" w14:paraId="496C5845" w14:textId="77777777" w:rsidTr="009C5BB5">
        <w:tc>
          <w:tcPr>
            <w:tcW w:w="4644" w:type="dxa"/>
          </w:tcPr>
          <w:p w14:paraId="6D6EAB70" w14:textId="77777777" w:rsidR="00930957" w:rsidRPr="006C7AB1" w:rsidRDefault="00930957" w:rsidP="009C5BB5">
            <w:pPr>
              <w:rPr>
                <w:b/>
                <w:sz w:val="20"/>
              </w:rPr>
            </w:pPr>
          </w:p>
          <w:p w14:paraId="49B3E9FD" w14:textId="77777777" w:rsidR="00930957" w:rsidRPr="006C7AB1" w:rsidRDefault="00930957" w:rsidP="009C5BB5">
            <w:pPr>
              <w:rPr>
                <w:b/>
                <w:sz w:val="20"/>
              </w:rPr>
            </w:pPr>
            <w:r w:rsidRPr="006C7AB1">
              <w:rPr>
                <w:b/>
                <w:sz w:val="20"/>
              </w:rPr>
              <w:t>Musculoskeletal System</w:t>
            </w:r>
          </w:p>
          <w:p w14:paraId="162463F5" w14:textId="77777777" w:rsidR="00930957" w:rsidRPr="006C7AB1" w:rsidRDefault="00930957" w:rsidP="009C5BB5">
            <w:pPr>
              <w:rPr>
                <w:sz w:val="20"/>
              </w:rPr>
            </w:pPr>
            <w:r w:rsidRPr="006C7AB1">
              <w:rPr>
                <w:sz w:val="20"/>
              </w:rPr>
              <w:t>Medication for bone disorders</w:t>
            </w:r>
          </w:p>
          <w:p w14:paraId="0D1B67B4" w14:textId="77777777" w:rsidR="00930957" w:rsidRPr="006C7AB1" w:rsidRDefault="00930957" w:rsidP="009C5BB5">
            <w:pPr>
              <w:rPr>
                <w:sz w:val="20"/>
              </w:rPr>
            </w:pPr>
            <w:r w:rsidRPr="006C7AB1">
              <w:rPr>
                <w:sz w:val="20"/>
              </w:rPr>
              <w:t xml:space="preserve">Others </w:t>
            </w:r>
          </w:p>
        </w:tc>
        <w:tc>
          <w:tcPr>
            <w:tcW w:w="1134" w:type="dxa"/>
          </w:tcPr>
          <w:p w14:paraId="6F66129E" w14:textId="77777777" w:rsidR="00930957" w:rsidRPr="006C7AB1" w:rsidRDefault="00930957" w:rsidP="009C5BB5">
            <w:pPr>
              <w:jc w:val="right"/>
              <w:rPr>
                <w:b/>
                <w:sz w:val="20"/>
              </w:rPr>
            </w:pPr>
          </w:p>
          <w:p w14:paraId="39E53A60" w14:textId="77777777" w:rsidR="00930957" w:rsidRPr="006C7AB1" w:rsidRDefault="00930957" w:rsidP="009C5BB5">
            <w:pPr>
              <w:jc w:val="right"/>
              <w:rPr>
                <w:b/>
                <w:sz w:val="20"/>
              </w:rPr>
            </w:pPr>
            <w:r w:rsidRPr="006C7AB1">
              <w:rPr>
                <w:b/>
                <w:sz w:val="20"/>
              </w:rPr>
              <w:t>15</w:t>
            </w:r>
          </w:p>
          <w:p w14:paraId="29FD3BD5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10</w:t>
            </w:r>
          </w:p>
          <w:p w14:paraId="72ED34BD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110D391D" w14:textId="77777777" w:rsidR="00930957" w:rsidRPr="006C7AB1" w:rsidRDefault="00930957" w:rsidP="009C5BB5">
            <w:pPr>
              <w:jc w:val="right"/>
              <w:rPr>
                <w:b/>
                <w:sz w:val="20"/>
              </w:rPr>
            </w:pPr>
          </w:p>
          <w:p w14:paraId="4354CA27" w14:textId="77777777" w:rsidR="00930957" w:rsidRPr="006C7AB1" w:rsidRDefault="00930957" w:rsidP="009C5BB5">
            <w:pPr>
              <w:jc w:val="right"/>
              <w:rPr>
                <w:b/>
                <w:sz w:val="20"/>
              </w:rPr>
            </w:pPr>
            <w:r w:rsidRPr="006C7AB1">
              <w:rPr>
                <w:b/>
                <w:sz w:val="20"/>
              </w:rPr>
              <w:t>9.3%</w:t>
            </w:r>
          </w:p>
          <w:p w14:paraId="26DC11FC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6.2%</w:t>
            </w:r>
          </w:p>
          <w:p w14:paraId="63AAC5E3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3.7%</w:t>
            </w:r>
          </w:p>
        </w:tc>
        <w:tc>
          <w:tcPr>
            <w:tcW w:w="1418" w:type="dxa"/>
          </w:tcPr>
          <w:p w14:paraId="29769166" w14:textId="77777777" w:rsidR="00930957" w:rsidRPr="006C7AB1" w:rsidRDefault="00930957" w:rsidP="009C5BB5">
            <w:pPr>
              <w:jc w:val="right"/>
              <w:rPr>
                <w:b/>
                <w:sz w:val="20"/>
              </w:rPr>
            </w:pPr>
          </w:p>
          <w:p w14:paraId="44B4BA2A" w14:textId="77777777" w:rsidR="00930957" w:rsidRPr="006C7AB1" w:rsidRDefault="00930957" w:rsidP="009C5BB5">
            <w:pPr>
              <w:jc w:val="right"/>
              <w:rPr>
                <w:b/>
                <w:sz w:val="20"/>
              </w:rPr>
            </w:pPr>
            <w:r w:rsidRPr="006C7AB1">
              <w:rPr>
                <w:b/>
                <w:sz w:val="20"/>
              </w:rPr>
              <w:t>17</w:t>
            </w:r>
          </w:p>
          <w:p w14:paraId="6456BB5E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11</w:t>
            </w:r>
          </w:p>
          <w:p w14:paraId="6E5EE461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6</w:t>
            </w:r>
          </w:p>
        </w:tc>
      </w:tr>
      <w:tr w:rsidR="00930957" w14:paraId="6ACEA914" w14:textId="77777777" w:rsidTr="009C5BB5">
        <w:tc>
          <w:tcPr>
            <w:tcW w:w="4644" w:type="dxa"/>
          </w:tcPr>
          <w:p w14:paraId="5C8332CB" w14:textId="77777777" w:rsidR="00930957" w:rsidRPr="006C7AB1" w:rsidRDefault="00930957" w:rsidP="009C5BB5">
            <w:pPr>
              <w:rPr>
                <w:b/>
                <w:sz w:val="20"/>
              </w:rPr>
            </w:pPr>
          </w:p>
          <w:p w14:paraId="30408CE2" w14:textId="77777777" w:rsidR="00930957" w:rsidRPr="006C7AB1" w:rsidRDefault="00930957" w:rsidP="009C5BB5">
            <w:pPr>
              <w:rPr>
                <w:b/>
                <w:sz w:val="20"/>
              </w:rPr>
            </w:pPr>
            <w:r w:rsidRPr="006C7AB1">
              <w:rPr>
                <w:b/>
                <w:sz w:val="20"/>
              </w:rPr>
              <w:t xml:space="preserve">Nutrition </w:t>
            </w:r>
          </w:p>
          <w:p w14:paraId="37698C99" w14:textId="77777777" w:rsidR="00930957" w:rsidRPr="006C7AB1" w:rsidRDefault="00930957" w:rsidP="009C5BB5">
            <w:pPr>
              <w:rPr>
                <w:sz w:val="20"/>
              </w:rPr>
            </w:pPr>
            <w:r w:rsidRPr="006C7AB1">
              <w:rPr>
                <w:sz w:val="20"/>
              </w:rPr>
              <w:t>Vitamins</w:t>
            </w:r>
          </w:p>
        </w:tc>
        <w:tc>
          <w:tcPr>
            <w:tcW w:w="1134" w:type="dxa"/>
          </w:tcPr>
          <w:p w14:paraId="6743A2E5" w14:textId="77777777" w:rsidR="00930957" w:rsidRPr="006C7AB1" w:rsidRDefault="00930957" w:rsidP="009C5BB5">
            <w:pPr>
              <w:jc w:val="right"/>
              <w:rPr>
                <w:b/>
                <w:sz w:val="20"/>
              </w:rPr>
            </w:pPr>
          </w:p>
          <w:p w14:paraId="28CD18D0" w14:textId="77777777" w:rsidR="00930957" w:rsidRPr="006C7AB1" w:rsidRDefault="00930957" w:rsidP="009C5BB5">
            <w:pPr>
              <w:jc w:val="right"/>
              <w:rPr>
                <w:b/>
                <w:sz w:val="20"/>
              </w:rPr>
            </w:pPr>
            <w:r w:rsidRPr="006C7AB1">
              <w:rPr>
                <w:b/>
                <w:sz w:val="20"/>
              </w:rPr>
              <w:t>7</w:t>
            </w:r>
          </w:p>
          <w:p w14:paraId="5F3DB36F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7</w:t>
            </w:r>
          </w:p>
        </w:tc>
        <w:tc>
          <w:tcPr>
            <w:tcW w:w="1134" w:type="dxa"/>
          </w:tcPr>
          <w:p w14:paraId="5D199B4A" w14:textId="77777777" w:rsidR="00930957" w:rsidRPr="006C7AB1" w:rsidRDefault="00930957" w:rsidP="009C5BB5">
            <w:pPr>
              <w:jc w:val="right"/>
              <w:rPr>
                <w:b/>
                <w:sz w:val="20"/>
              </w:rPr>
            </w:pPr>
          </w:p>
          <w:p w14:paraId="3A674A4A" w14:textId="77777777" w:rsidR="00930957" w:rsidRPr="006C7AB1" w:rsidRDefault="00930957" w:rsidP="009C5BB5">
            <w:pPr>
              <w:jc w:val="right"/>
              <w:rPr>
                <w:b/>
                <w:sz w:val="20"/>
              </w:rPr>
            </w:pPr>
            <w:r w:rsidRPr="006C7AB1">
              <w:rPr>
                <w:b/>
                <w:sz w:val="20"/>
              </w:rPr>
              <w:t>4.3%</w:t>
            </w:r>
          </w:p>
          <w:p w14:paraId="2799BBA5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4.3%</w:t>
            </w:r>
          </w:p>
        </w:tc>
        <w:tc>
          <w:tcPr>
            <w:tcW w:w="1418" w:type="dxa"/>
          </w:tcPr>
          <w:p w14:paraId="4FC07CB6" w14:textId="77777777" w:rsidR="00930957" w:rsidRPr="006C7AB1" w:rsidRDefault="00930957" w:rsidP="009C5BB5">
            <w:pPr>
              <w:jc w:val="right"/>
              <w:rPr>
                <w:b/>
                <w:sz w:val="20"/>
              </w:rPr>
            </w:pPr>
          </w:p>
          <w:p w14:paraId="267D2ECE" w14:textId="77777777" w:rsidR="00930957" w:rsidRPr="006C7AB1" w:rsidRDefault="00930957" w:rsidP="009C5BB5">
            <w:pPr>
              <w:jc w:val="right"/>
              <w:rPr>
                <w:b/>
                <w:sz w:val="20"/>
              </w:rPr>
            </w:pPr>
            <w:r w:rsidRPr="006C7AB1">
              <w:rPr>
                <w:b/>
                <w:sz w:val="20"/>
              </w:rPr>
              <w:t>7</w:t>
            </w:r>
          </w:p>
          <w:p w14:paraId="2B7962C3" w14:textId="77777777" w:rsidR="00930957" w:rsidRPr="006C7AB1" w:rsidRDefault="00930957" w:rsidP="009C5BB5">
            <w:pPr>
              <w:jc w:val="right"/>
              <w:rPr>
                <w:b/>
                <w:sz w:val="20"/>
              </w:rPr>
            </w:pPr>
            <w:r w:rsidRPr="006C7AB1">
              <w:rPr>
                <w:sz w:val="20"/>
              </w:rPr>
              <w:t>7</w:t>
            </w:r>
          </w:p>
        </w:tc>
      </w:tr>
      <w:tr w:rsidR="00930957" w14:paraId="71CA07B0" w14:textId="77777777" w:rsidTr="009C5BB5">
        <w:tc>
          <w:tcPr>
            <w:tcW w:w="4644" w:type="dxa"/>
          </w:tcPr>
          <w:p w14:paraId="15396718" w14:textId="77777777" w:rsidR="00930957" w:rsidRPr="006C7AB1" w:rsidRDefault="00930957" w:rsidP="009C5BB5">
            <w:pPr>
              <w:rPr>
                <w:b/>
                <w:sz w:val="20"/>
              </w:rPr>
            </w:pPr>
          </w:p>
          <w:p w14:paraId="5634BCE3" w14:textId="77777777" w:rsidR="00930957" w:rsidRPr="006C7AB1" w:rsidRDefault="00930957" w:rsidP="009C5BB5">
            <w:pPr>
              <w:rPr>
                <w:b/>
                <w:sz w:val="20"/>
              </w:rPr>
            </w:pPr>
            <w:r w:rsidRPr="006C7AB1">
              <w:rPr>
                <w:b/>
                <w:sz w:val="20"/>
              </w:rPr>
              <w:t>Malignant and immune disease</w:t>
            </w:r>
          </w:p>
          <w:p w14:paraId="403F4102" w14:textId="77777777" w:rsidR="00930957" w:rsidRPr="006C7AB1" w:rsidRDefault="00930957" w:rsidP="009C5BB5">
            <w:pPr>
              <w:rPr>
                <w:sz w:val="20"/>
              </w:rPr>
            </w:pPr>
            <w:r w:rsidRPr="006C7AB1">
              <w:rPr>
                <w:sz w:val="20"/>
              </w:rPr>
              <w:t>Anti-cancer</w:t>
            </w:r>
          </w:p>
        </w:tc>
        <w:tc>
          <w:tcPr>
            <w:tcW w:w="1134" w:type="dxa"/>
          </w:tcPr>
          <w:p w14:paraId="55ADBCD2" w14:textId="77777777" w:rsidR="00930957" w:rsidRPr="006C7AB1" w:rsidRDefault="00930957" w:rsidP="009C5BB5">
            <w:pPr>
              <w:jc w:val="right"/>
              <w:rPr>
                <w:b/>
                <w:sz w:val="20"/>
              </w:rPr>
            </w:pPr>
          </w:p>
          <w:p w14:paraId="0531AEFE" w14:textId="77777777" w:rsidR="00930957" w:rsidRPr="006C7AB1" w:rsidRDefault="00930957" w:rsidP="009C5BB5">
            <w:pPr>
              <w:jc w:val="right"/>
              <w:rPr>
                <w:b/>
                <w:sz w:val="20"/>
              </w:rPr>
            </w:pPr>
            <w:r w:rsidRPr="006C7AB1">
              <w:rPr>
                <w:b/>
                <w:sz w:val="20"/>
              </w:rPr>
              <w:t>4</w:t>
            </w:r>
          </w:p>
          <w:p w14:paraId="5E12EC8F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4</w:t>
            </w:r>
          </w:p>
        </w:tc>
        <w:tc>
          <w:tcPr>
            <w:tcW w:w="1134" w:type="dxa"/>
          </w:tcPr>
          <w:p w14:paraId="170A2330" w14:textId="77777777" w:rsidR="00930957" w:rsidRPr="006C7AB1" w:rsidRDefault="00930957" w:rsidP="009C5BB5">
            <w:pPr>
              <w:jc w:val="right"/>
              <w:rPr>
                <w:b/>
                <w:sz w:val="20"/>
              </w:rPr>
            </w:pPr>
          </w:p>
          <w:p w14:paraId="7AF497DD" w14:textId="77777777" w:rsidR="00930957" w:rsidRPr="006C7AB1" w:rsidRDefault="00930957" w:rsidP="009C5BB5">
            <w:pPr>
              <w:jc w:val="right"/>
              <w:rPr>
                <w:b/>
                <w:sz w:val="20"/>
              </w:rPr>
            </w:pPr>
            <w:r w:rsidRPr="006C7AB1">
              <w:rPr>
                <w:b/>
                <w:sz w:val="20"/>
              </w:rPr>
              <w:t>2.5%</w:t>
            </w:r>
          </w:p>
          <w:p w14:paraId="1472F8AB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2.5%</w:t>
            </w:r>
          </w:p>
        </w:tc>
        <w:tc>
          <w:tcPr>
            <w:tcW w:w="1418" w:type="dxa"/>
          </w:tcPr>
          <w:p w14:paraId="19BA6382" w14:textId="77777777" w:rsidR="00930957" w:rsidRPr="006C7AB1" w:rsidRDefault="00930957" w:rsidP="009C5BB5">
            <w:pPr>
              <w:jc w:val="right"/>
              <w:rPr>
                <w:b/>
                <w:sz w:val="20"/>
              </w:rPr>
            </w:pPr>
          </w:p>
          <w:p w14:paraId="1E882C39" w14:textId="77777777" w:rsidR="00930957" w:rsidRPr="006C7AB1" w:rsidRDefault="00930957" w:rsidP="009C5BB5">
            <w:pPr>
              <w:jc w:val="right"/>
              <w:rPr>
                <w:b/>
                <w:sz w:val="20"/>
              </w:rPr>
            </w:pPr>
            <w:r w:rsidRPr="006C7AB1">
              <w:rPr>
                <w:b/>
                <w:sz w:val="20"/>
              </w:rPr>
              <w:t>4</w:t>
            </w:r>
          </w:p>
          <w:p w14:paraId="691550CF" w14:textId="77777777" w:rsidR="00930957" w:rsidRPr="006C7AB1" w:rsidRDefault="00930957" w:rsidP="009C5BB5">
            <w:pPr>
              <w:jc w:val="right"/>
              <w:rPr>
                <w:b/>
                <w:sz w:val="20"/>
              </w:rPr>
            </w:pPr>
            <w:r w:rsidRPr="006C7AB1">
              <w:rPr>
                <w:sz w:val="20"/>
              </w:rPr>
              <w:t>4</w:t>
            </w:r>
          </w:p>
        </w:tc>
      </w:tr>
      <w:tr w:rsidR="00930957" w:rsidRPr="00502C8F" w14:paraId="169EDFA5" w14:textId="77777777" w:rsidTr="009C5BB5">
        <w:tc>
          <w:tcPr>
            <w:tcW w:w="4644" w:type="dxa"/>
          </w:tcPr>
          <w:p w14:paraId="6E95D9C1" w14:textId="77777777" w:rsidR="00930957" w:rsidRPr="006C7AB1" w:rsidRDefault="00930957" w:rsidP="009C5BB5">
            <w:pPr>
              <w:rPr>
                <w:b/>
                <w:sz w:val="20"/>
              </w:rPr>
            </w:pPr>
          </w:p>
          <w:p w14:paraId="05CFB3D5" w14:textId="77777777" w:rsidR="00930957" w:rsidRPr="006C7AB1" w:rsidRDefault="00930957" w:rsidP="009C5BB5">
            <w:pPr>
              <w:rPr>
                <w:b/>
                <w:sz w:val="20"/>
              </w:rPr>
            </w:pPr>
            <w:r w:rsidRPr="006C7AB1">
              <w:rPr>
                <w:b/>
                <w:sz w:val="20"/>
              </w:rPr>
              <w:t>Reproductive / Urinary System</w:t>
            </w:r>
          </w:p>
          <w:p w14:paraId="0C32A974" w14:textId="77777777" w:rsidR="00930957" w:rsidRPr="006C7AB1" w:rsidRDefault="00930957" w:rsidP="009C5BB5">
            <w:pPr>
              <w:rPr>
                <w:sz w:val="20"/>
              </w:rPr>
            </w:pPr>
            <w:r w:rsidRPr="006C7AB1">
              <w:rPr>
                <w:sz w:val="20"/>
              </w:rPr>
              <w:t>Others</w:t>
            </w:r>
          </w:p>
        </w:tc>
        <w:tc>
          <w:tcPr>
            <w:tcW w:w="1134" w:type="dxa"/>
          </w:tcPr>
          <w:p w14:paraId="0E9B8E07" w14:textId="77777777" w:rsidR="00930957" w:rsidRPr="006C7AB1" w:rsidRDefault="00930957" w:rsidP="009C5BB5">
            <w:pPr>
              <w:jc w:val="right"/>
              <w:rPr>
                <w:b/>
                <w:sz w:val="20"/>
              </w:rPr>
            </w:pPr>
          </w:p>
          <w:p w14:paraId="00A44F94" w14:textId="77777777" w:rsidR="00930957" w:rsidRPr="006C7AB1" w:rsidRDefault="00930957" w:rsidP="009C5BB5">
            <w:pPr>
              <w:jc w:val="right"/>
              <w:rPr>
                <w:b/>
                <w:sz w:val="20"/>
              </w:rPr>
            </w:pPr>
            <w:r w:rsidRPr="006C7AB1">
              <w:rPr>
                <w:b/>
                <w:sz w:val="20"/>
              </w:rPr>
              <w:t>4</w:t>
            </w:r>
          </w:p>
          <w:p w14:paraId="3A8D9A9C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4</w:t>
            </w:r>
          </w:p>
        </w:tc>
        <w:tc>
          <w:tcPr>
            <w:tcW w:w="1134" w:type="dxa"/>
          </w:tcPr>
          <w:p w14:paraId="65713534" w14:textId="77777777" w:rsidR="00930957" w:rsidRPr="006C7AB1" w:rsidRDefault="00930957" w:rsidP="009C5BB5">
            <w:pPr>
              <w:jc w:val="right"/>
              <w:rPr>
                <w:b/>
                <w:sz w:val="20"/>
              </w:rPr>
            </w:pPr>
          </w:p>
          <w:p w14:paraId="4312EBB9" w14:textId="77777777" w:rsidR="00930957" w:rsidRPr="006C7AB1" w:rsidRDefault="00930957" w:rsidP="009C5BB5">
            <w:pPr>
              <w:jc w:val="right"/>
              <w:rPr>
                <w:b/>
                <w:sz w:val="20"/>
              </w:rPr>
            </w:pPr>
            <w:r w:rsidRPr="006C7AB1">
              <w:rPr>
                <w:b/>
                <w:sz w:val="20"/>
              </w:rPr>
              <w:t>2.5%</w:t>
            </w:r>
          </w:p>
          <w:p w14:paraId="47E9FE42" w14:textId="77777777" w:rsidR="00930957" w:rsidRPr="006C7AB1" w:rsidRDefault="00930957" w:rsidP="009C5BB5">
            <w:pPr>
              <w:jc w:val="right"/>
              <w:rPr>
                <w:sz w:val="20"/>
              </w:rPr>
            </w:pPr>
            <w:r w:rsidRPr="006C7AB1">
              <w:rPr>
                <w:sz w:val="20"/>
              </w:rPr>
              <w:t>2.5%</w:t>
            </w:r>
          </w:p>
        </w:tc>
        <w:tc>
          <w:tcPr>
            <w:tcW w:w="1418" w:type="dxa"/>
          </w:tcPr>
          <w:p w14:paraId="76CC12F3" w14:textId="77777777" w:rsidR="00930957" w:rsidRPr="006C7AB1" w:rsidRDefault="00930957" w:rsidP="009C5BB5">
            <w:pPr>
              <w:jc w:val="right"/>
              <w:rPr>
                <w:b/>
                <w:sz w:val="20"/>
              </w:rPr>
            </w:pPr>
          </w:p>
          <w:p w14:paraId="0DFFE07A" w14:textId="77777777" w:rsidR="00930957" w:rsidRPr="006C7AB1" w:rsidRDefault="00930957" w:rsidP="009C5BB5">
            <w:pPr>
              <w:jc w:val="right"/>
              <w:rPr>
                <w:b/>
                <w:sz w:val="20"/>
              </w:rPr>
            </w:pPr>
            <w:r w:rsidRPr="006C7AB1">
              <w:rPr>
                <w:b/>
                <w:sz w:val="20"/>
              </w:rPr>
              <w:t>4</w:t>
            </w:r>
          </w:p>
          <w:p w14:paraId="2C5366E3" w14:textId="77777777" w:rsidR="00930957" w:rsidRPr="006C7AB1" w:rsidRDefault="00930957" w:rsidP="009C5BB5">
            <w:pPr>
              <w:jc w:val="right"/>
              <w:rPr>
                <w:b/>
                <w:sz w:val="20"/>
              </w:rPr>
            </w:pPr>
            <w:r w:rsidRPr="006C7AB1">
              <w:rPr>
                <w:sz w:val="20"/>
              </w:rPr>
              <w:t>4</w:t>
            </w:r>
          </w:p>
        </w:tc>
      </w:tr>
      <w:tr w:rsidR="00930957" w14:paraId="722C4D52" w14:textId="77777777" w:rsidTr="009C5BB5">
        <w:tc>
          <w:tcPr>
            <w:tcW w:w="4644" w:type="dxa"/>
          </w:tcPr>
          <w:p w14:paraId="67F673DD" w14:textId="77777777" w:rsidR="00930957" w:rsidRPr="006C7AB1" w:rsidRDefault="00930957" w:rsidP="009C5BB5">
            <w:pPr>
              <w:rPr>
                <w:b/>
                <w:sz w:val="20"/>
              </w:rPr>
            </w:pPr>
          </w:p>
          <w:p w14:paraId="74C7C497" w14:textId="77777777" w:rsidR="00930957" w:rsidRPr="006C7AB1" w:rsidRDefault="00930957" w:rsidP="009C5BB5">
            <w:pPr>
              <w:rPr>
                <w:b/>
                <w:sz w:val="20"/>
              </w:rPr>
            </w:pPr>
            <w:r w:rsidRPr="006C7AB1">
              <w:rPr>
                <w:b/>
                <w:sz w:val="20"/>
              </w:rPr>
              <w:t>Others</w:t>
            </w:r>
          </w:p>
        </w:tc>
        <w:tc>
          <w:tcPr>
            <w:tcW w:w="1134" w:type="dxa"/>
          </w:tcPr>
          <w:p w14:paraId="2ECDD6DC" w14:textId="77777777" w:rsidR="00930957" w:rsidRPr="006C7AB1" w:rsidRDefault="00930957" w:rsidP="009C5BB5">
            <w:pPr>
              <w:jc w:val="right"/>
              <w:rPr>
                <w:b/>
                <w:sz w:val="20"/>
              </w:rPr>
            </w:pPr>
          </w:p>
          <w:p w14:paraId="29B86F18" w14:textId="77777777" w:rsidR="00930957" w:rsidRPr="006C7AB1" w:rsidRDefault="00930957" w:rsidP="009C5BB5">
            <w:pPr>
              <w:jc w:val="right"/>
              <w:rPr>
                <w:b/>
                <w:sz w:val="20"/>
              </w:rPr>
            </w:pPr>
            <w:r w:rsidRPr="006C7AB1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14:paraId="238AB5E6" w14:textId="77777777" w:rsidR="00930957" w:rsidRPr="006C7AB1" w:rsidRDefault="00930957" w:rsidP="009C5BB5">
            <w:pPr>
              <w:jc w:val="right"/>
              <w:rPr>
                <w:b/>
                <w:sz w:val="20"/>
              </w:rPr>
            </w:pPr>
          </w:p>
          <w:p w14:paraId="1B710BA7" w14:textId="77777777" w:rsidR="00930957" w:rsidRPr="006C7AB1" w:rsidRDefault="00930957" w:rsidP="009C5BB5">
            <w:pPr>
              <w:jc w:val="right"/>
              <w:rPr>
                <w:b/>
                <w:sz w:val="20"/>
              </w:rPr>
            </w:pPr>
            <w:r w:rsidRPr="006C7AB1">
              <w:rPr>
                <w:b/>
                <w:sz w:val="20"/>
              </w:rPr>
              <w:t>3.1%</w:t>
            </w:r>
          </w:p>
        </w:tc>
        <w:tc>
          <w:tcPr>
            <w:tcW w:w="1418" w:type="dxa"/>
          </w:tcPr>
          <w:p w14:paraId="5AD8CA00" w14:textId="77777777" w:rsidR="00930957" w:rsidRPr="006C7AB1" w:rsidRDefault="00930957" w:rsidP="009C5BB5">
            <w:pPr>
              <w:jc w:val="right"/>
              <w:rPr>
                <w:b/>
                <w:sz w:val="20"/>
              </w:rPr>
            </w:pPr>
          </w:p>
          <w:p w14:paraId="49CA5504" w14:textId="77777777" w:rsidR="00930957" w:rsidRPr="006C7AB1" w:rsidRDefault="00930957" w:rsidP="009C5BB5">
            <w:pPr>
              <w:jc w:val="right"/>
              <w:rPr>
                <w:b/>
                <w:sz w:val="20"/>
              </w:rPr>
            </w:pPr>
            <w:r w:rsidRPr="006C7AB1">
              <w:rPr>
                <w:b/>
                <w:sz w:val="20"/>
              </w:rPr>
              <w:t>5</w:t>
            </w:r>
          </w:p>
        </w:tc>
      </w:tr>
      <w:bookmarkEnd w:id="0"/>
    </w:tbl>
    <w:p w14:paraId="003EA302" w14:textId="77777777" w:rsidR="00930957" w:rsidRDefault="00930957" w:rsidP="0040327A">
      <w:pPr>
        <w:spacing w:line="480" w:lineRule="auto"/>
        <w:rPr>
          <w:b/>
        </w:rPr>
      </w:pPr>
    </w:p>
    <w:p w14:paraId="52791784" w14:textId="289F3EF2" w:rsidR="002F64BA" w:rsidRDefault="00B83F04" w:rsidP="0040327A">
      <w:pPr>
        <w:spacing w:line="480" w:lineRule="auto"/>
      </w:pPr>
      <w:r>
        <w:t xml:space="preserve">The majority of patients </w:t>
      </w:r>
      <w:r w:rsidR="001705A9">
        <w:t>(1</w:t>
      </w:r>
      <w:r w:rsidR="00271841">
        <w:t>01</w:t>
      </w:r>
      <w:r w:rsidR="001705A9">
        <w:t>/1</w:t>
      </w:r>
      <w:r w:rsidR="00271841">
        <w:t>6</w:t>
      </w:r>
      <w:r w:rsidR="001705A9">
        <w:t>2</w:t>
      </w:r>
      <w:r>
        <w:t>; 6</w:t>
      </w:r>
      <w:r w:rsidR="00271841">
        <w:t>2.3</w:t>
      </w:r>
      <w:r>
        <w:t>%</w:t>
      </w:r>
      <w:r w:rsidR="001705A9">
        <w:t>)</w:t>
      </w:r>
      <w:r w:rsidR="002F64BA">
        <w:t xml:space="preserve"> had undergone radiological investigations for their lateral hip pain as part of this</w:t>
      </w:r>
      <w:r w:rsidR="001705A9">
        <w:t xml:space="preserve"> or a previous episode of care, with almost 10% (1</w:t>
      </w:r>
      <w:r w:rsidR="00271841">
        <w:t>5</w:t>
      </w:r>
      <w:r w:rsidR="001705A9">
        <w:t>/1</w:t>
      </w:r>
      <w:r w:rsidR="00271841">
        <w:t>6</w:t>
      </w:r>
      <w:r w:rsidR="001705A9">
        <w:t>2; 9.</w:t>
      </w:r>
      <w:r w:rsidR="00271841">
        <w:t>3</w:t>
      </w:r>
      <w:r w:rsidR="001705A9">
        <w:t xml:space="preserve">%) having more than one investigation. </w:t>
      </w:r>
      <w:r w:rsidR="00582B6F">
        <w:t>X-ray</w:t>
      </w:r>
      <w:r w:rsidR="001705A9">
        <w:t xml:space="preserve"> (</w:t>
      </w:r>
      <w:r w:rsidR="00271841">
        <w:t>71</w:t>
      </w:r>
      <w:r w:rsidR="001705A9">
        <w:t>/1</w:t>
      </w:r>
      <w:r w:rsidR="00271841">
        <w:t>6</w:t>
      </w:r>
      <w:r w:rsidR="001705A9">
        <w:t>2; 44.3%) was the most commonly performed investigation, followed by MRI scan (</w:t>
      </w:r>
      <w:r w:rsidR="00271841">
        <w:t>32</w:t>
      </w:r>
      <w:r w:rsidR="001705A9">
        <w:t>/1</w:t>
      </w:r>
      <w:r w:rsidR="00271841">
        <w:t>6</w:t>
      </w:r>
      <w:r w:rsidR="001705A9">
        <w:t xml:space="preserve">2; </w:t>
      </w:r>
      <w:r w:rsidR="00271841">
        <w:t>19.8</w:t>
      </w:r>
      <w:r w:rsidR="001705A9">
        <w:t>%)</w:t>
      </w:r>
      <w:r w:rsidR="00271841" w:rsidRPr="00271841">
        <w:t xml:space="preserve"> </w:t>
      </w:r>
      <w:r w:rsidR="00271841">
        <w:t>and ultrasound scan (11/162; 6.8%).</w:t>
      </w:r>
    </w:p>
    <w:p w14:paraId="07536545" w14:textId="6BA8A5A9" w:rsidR="0082041D" w:rsidRDefault="000508DC" w:rsidP="0040327A">
      <w:pPr>
        <w:spacing w:line="480" w:lineRule="auto"/>
      </w:pPr>
      <w:r>
        <w:t>At the point of assessment for the</w:t>
      </w:r>
      <w:r w:rsidR="001705A9">
        <w:t xml:space="preserve"> examined</w:t>
      </w:r>
      <w:r>
        <w:t xml:space="preserve"> episode of treatment</w:t>
      </w:r>
      <w:r w:rsidR="001705A9">
        <w:t>,</w:t>
      </w:r>
      <w:r>
        <w:t xml:space="preserve"> </w:t>
      </w:r>
      <w:r w:rsidR="0082041D" w:rsidRPr="0082041D">
        <w:t>40.</w:t>
      </w:r>
      <w:r w:rsidR="00271841">
        <w:t>7</w:t>
      </w:r>
      <w:r w:rsidR="0082041D" w:rsidRPr="0082041D">
        <w:t>%</w:t>
      </w:r>
      <w:r>
        <w:t xml:space="preserve"> (</w:t>
      </w:r>
      <w:r w:rsidR="00271841">
        <w:t>66/162</w:t>
      </w:r>
      <w:r>
        <w:t>)</w:t>
      </w:r>
      <w:r w:rsidR="0082041D" w:rsidRPr="0082041D">
        <w:t xml:space="preserve"> of subjects had received previous treatment for lateral hip pain, most commonly physiotherapy (45/192; 23.4%) and corticosteroid </w:t>
      </w:r>
      <w:r>
        <w:t>injection</w:t>
      </w:r>
      <w:r w:rsidR="0082041D" w:rsidRPr="0082041D">
        <w:t xml:space="preserve"> (3</w:t>
      </w:r>
      <w:r w:rsidR="00271841">
        <w:t>1</w:t>
      </w:r>
      <w:r w:rsidR="0082041D" w:rsidRPr="0082041D">
        <w:t>/1</w:t>
      </w:r>
      <w:r w:rsidR="00271841">
        <w:t>6</w:t>
      </w:r>
      <w:r w:rsidR="0082041D" w:rsidRPr="0082041D">
        <w:t>2; 19.</w:t>
      </w:r>
      <w:r w:rsidR="00271841">
        <w:t>1</w:t>
      </w:r>
      <w:r w:rsidR="0082041D" w:rsidRPr="0082041D">
        <w:t>%)</w:t>
      </w:r>
      <w:r>
        <w:t>. 10.</w:t>
      </w:r>
      <w:r w:rsidR="00271841">
        <w:t>5</w:t>
      </w:r>
      <w:r>
        <w:t>% (</w:t>
      </w:r>
      <w:r w:rsidR="00271841">
        <w:t>17</w:t>
      </w:r>
      <w:r>
        <w:t>/1</w:t>
      </w:r>
      <w:r w:rsidR="00271841">
        <w:t>6</w:t>
      </w:r>
      <w:r>
        <w:t>2) of subjects had received more than one type of intervention</w:t>
      </w:r>
      <w:r w:rsidR="00D71DFB">
        <w:t>,</w:t>
      </w:r>
      <w:r>
        <w:t xml:space="preserve"> and 8</w:t>
      </w:r>
      <w:r w:rsidR="00271841">
        <w:t>.6</w:t>
      </w:r>
      <w:r>
        <w:t>% (1</w:t>
      </w:r>
      <w:r w:rsidR="00271841">
        <w:t>4</w:t>
      </w:r>
      <w:r>
        <w:t>/1</w:t>
      </w:r>
      <w:r w:rsidR="00271841">
        <w:t>6</w:t>
      </w:r>
      <w:r>
        <w:t>2) had received more than one corticosteroid injection.</w:t>
      </w:r>
    </w:p>
    <w:p w14:paraId="256EAA53" w14:textId="7BB9BA84" w:rsidR="000508DC" w:rsidRDefault="005428E6" w:rsidP="0040327A">
      <w:pPr>
        <w:spacing w:line="480" w:lineRule="auto"/>
      </w:pPr>
      <w:r>
        <w:t>As part of the examined episode of care,</w:t>
      </w:r>
      <w:r w:rsidR="00CC5391" w:rsidRPr="00CC5391">
        <w:t xml:space="preserve"> </w:t>
      </w:r>
      <w:r w:rsidR="00CC5391">
        <w:t>subjects underwent an average of 4.</w:t>
      </w:r>
      <w:r w:rsidR="00271841">
        <w:t>6</w:t>
      </w:r>
      <w:r w:rsidR="00CC5391">
        <w:t xml:space="preserve"> (SD </w:t>
      </w:r>
      <w:r w:rsidR="00271841">
        <w:t>3.0</w:t>
      </w:r>
      <w:r w:rsidR="00CC5391">
        <w:t>) treatment sessions.</w:t>
      </w:r>
      <w:r>
        <w:t xml:space="preserve"> </w:t>
      </w:r>
      <w:r w:rsidR="00CC5391">
        <w:t>T</w:t>
      </w:r>
      <w:r>
        <w:t>he majority of physiotherapists treated subjects with strengthening / loading exercise</w:t>
      </w:r>
      <w:r w:rsidR="00CC5391">
        <w:t>s (1</w:t>
      </w:r>
      <w:r w:rsidR="00BB6C76">
        <w:t>49</w:t>
      </w:r>
      <w:r w:rsidR="00CC5391">
        <w:t>/1</w:t>
      </w:r>
      <w:r w:rsidR="00BB6C76">
        <w:t>6</w:t>
      </w:r>
      <w:r w:rsidR="00CC5391">
        <w:t>2; 9</w:t>
      </w:r>
      <w:r w:rsidR="00BB6C76">
        <w:t>2.0</w:t>
      </w:r>
      <w:r w:rsidR="00CC5391">
        <w:t>%)</w:t>
      </w:r>
      <w:r>
        <w:t xml:space="preserve"> and education</w:t>
      </w:r>
      <w:r w:rsidR="00CC5391">
        <w:t xml:space="preserve"> (</w:t>
      </w:r>
      <w:r w:rsidR="00BB6C76">
        <w:t>77</w:t>
      </w:r>
      <w:r w:rsidR="00CC5391">
        <w:t>/1</w:t>
      </w:r>
      <w:r w:rsidR="00BB6C76">
        <w:t>6</w:t>
      </w:r>
      <w:r w:rsidR="00CC5391">
        <w:t xml:space="preserve">2; </w:t>
      </w:r>
      <w:r w:rsidR="00BB6C76">
        <w:t>47.5</w:t>
      </w:r>
      <w:r w:rsidR="00CC5391">
        <w:t>%)</w:t>
      </w:r>
      <w:r w:rsidR="00C944F2">
        <w:t xml:space="preserve">; whilst </w:t>
      </w:r>
      <w:r>
        <w:t xml:space="preserve">12.0% </w:t>
      </w:r>
      <w:r w:rsidR="00CC5391">
        <w:t>(23/1</w:t>
      </w:r>
      <w:r w:rsidR="00BB6C76">
        <w:t>6</w:t>
      </w:r>
      <w:r w:rsidR="00CC5391">
        <w:t xml:space="preserve">2; </w:t>
      </w:r>
      <w:r w:rsidR="00BB6C76">
        <w:t>14.2</w:t>
      </w:r>
      <w:r w:rsidR="00CC5391">
        <w:t xml:space="preserve">%) </w:t>
      </w:r>
      <w:r>
        <w:t xml:space="preserve">underwent corticosteroid injection. </w:t>
      </w:r>
    </w:p>
    <w:p w14:paraId="3FFC270C" w14:textId="77777777" w:rsidR="00D6403F" w:rsidRDefault="00A7133F" w:rsidP="00D6403F">
      <w:pPr>
        <w:spacing w:line="480" w:lineRule="auto"/>
      </w:pPr>
      <w:r>
        <w:t>Clinical outcome</w:t>
      </w:r>
      <w:r w:rsidR="000347AA">
        <w:t xml:space="preserve"> data </w:t>
      </w:r>
      <w:r w:rsidR="00557370">
        <w:t xml:space="preserve">in terms of a numerical rating scale (0-10 or 0-100), </w:t>
      </w:r>
      <w:r w:rsidR="000347AA">
        <w:t xml:space="preserve">was </w:t>
      </w:r>
      <w:r w:rsidR="00277D55">
        <w:t xml:space="preserve">available in </w:t>
      </w:r>
      <w:r w:rsidR="00BB6C76">
        <w:t>50.6</w:t>
      </w:r>
      <w:r w:rsidR="00277D55">
        <w:t>% (</w:t>
      </w:r>
      <w:r w:rsidR="00BB6C76">
        <w:t>82</w:t>
      </w:r>
      <w:r w:rsidR="00277D55">
        <w:t>/1</w:t>
      </w:r>
      <w:r w:rsidR="00BB6C76">
        <w:t>6</w:t>
      </w:r>
      <w:r w:rsidR="00277D55">
        <w:t xml:space="preserve">2) of cases. </w:t>
      </w:r>
      <w:r w:rsidR="000347AA">
        <w:t>Patients scoring 0, were deemed to have had ‘no improvement’, patients providing the maximum score were deemed to be ‘completely resolved’ and subjects who provided any scores in between</w:t>
      </w:r>
      <w:r w:rsidR="00557370">
        <w:t xml:space="preserve"> these values,</w:t>
      </w:r>
      <w:r w:rsidR="000347AA">
        <w:t xml:space="preserve"> were categorised as having received ‘some benefit’ from treatment. In two cases (2/</w:t>
      </w:r>
      <w:r w:rsidR="00E75E28">
        <w:t>82</w:t>
      </w:r>
      <w:r w:rsidR="000347AA">
        <w:t xml:space="preserve">; </w:t>
      </w:r>
      <w:r w:rsidR="00E75E28">
        <w:t>2.4</w:t>
      </w:r>
      <w:r w:rsidR="000347AA">
        <w:t xml:space="preserve">%), no numerical rating was provided, instead, it was described that the </w:t>
      </w:r>
      <w:r w:rsidR="00184877">
        <w:t>individual’s symptoms had worsened</w:t>
      </w:r>
      <w:r w:rsidR="000347AA">
        <w:t xml:space="preserve"> with treatment. T</w:t>
      </w:r>
      <w:r w:rsidR="00277D55">
        <w:t>he majority demonstrated some improvement (</w:t>
      </w:r>
      <w:r w:rsidR="00BB6C76">
        <w:t>48</w:t>
      </w:r>
      <w:r w:rsidR="00277D55">
        <w:t>/</w:t>
      </w:r>
      <w:r w:rsidR="00E75E28">
        <w:t>82</w:t>
      </w:r>
      <w:r w:rsidR="00277D55">
        <w:t xml:space="preserve">; </w:t>
      </w:r>
      <w:r w:rsidR="00E75E28">
        <w:t>58.5</w:t>
      </w:r>
      <w:r w:rsidR="00277D55">
        <w:t>%); with similar number</w:t>
      </w:r>
      <w:r w:rsidR="00C944F2">
        <w:t>s</w:t>
      </w:r>
      <w:r w:rsidR="00277D55">
        <w:t xml:space="preserve"> experiencing no improvement (1</w:t>
      </w:r>
      <w:r w:rsidR="00BB6C76">
        <w:t>5</w:t>
      </w:r>
      <w:r w:rsidR="00277D55">
        <w:t>/</w:t>
      </w:r>
      <w:r w:rsidR="00E75E28">
        <w:t>82</w:t>
      </w:r>
      <w:r w:rsidR="00277D55">
        <w:t xml:space="preserve">; </w:t>
      </w:r>
      <w:r w:rsidR="00E75E28">
        <w:t>18.3</w:t>
      </w:r>
      <w:r w:rsidR="00277D55">
        <w:t>%) as those whose symptoms resolved</w:t>
      </w:r>
      <w:r w:rsidR="00A42208">
        <w:t xml:space="preserve"> (17/</w:t>
      </w:r>
      <w:r w:rsidR="00E75E28">
        <w:t>82</w:t>
      </w:r>
      <w:r w:rsidR="00A42208">
        <w:t xml:space="preserve">; </w:t>
      </w:r>
      <w:r w:rsidR="00E75E28">
        <w:t>20.7</w:t>
      </w:r>
      <w:r w:rsidR="00A42208">
        <w:t>%)</w:t>
      </w:r>
      <w:r w:rsidR="00277D55">
        <w:t xml:space="preserve">. </w:t>
      </w:r>
    </w:p>
    <w:p w14:paraId="05A6597C" w14:textId="77777777" w:rsidR="00A84BDF" w:rsidRDefault="00A84BDF" w:rsidP="00D6403F">
      <w:pPr>
        <w:spacing w:line="480" w:lineRule="auto"/>
        <w:jc w:val="center"/>
        <w:rPr>
          <w:b/>
          <w:u w:val="single"/>
        </w:rPr>
      </w:pPr>
    </w:p>
    <w:p w14:paraId="42537A46" w14:textId="77777777" w:rsidR="00A84BDF" w:rsidRDefault="00A84BDF" w:rsidP="00D6403F">
      <w:pPr>
        <w:spacing w:line="480" w:lineRule="auto"/>
        <w:jc w:val="center"/>
        <w:rPr>
          <w:b/>
          <w:u w:val="single"/>
        </w:rPr>
      </w:pPr>
    </w:p>
    <w:p w14:paraId="69277980" w14:textId="77777777" w:rsidR="00930957" w:rsidRDefault="00930957" w:rsidP="00D6403F">
      <w:pPr>
        <w:spacing w:line="480" w:lineRule="auto"/>
        <w:jc w:val="center"/>
        <w:rPr>
          <w:b/>
          <w:u w:val="single"/>
        </w:rPr>
      </w:pPr>
    </w:p>
    <w:p w14:paraId="1163E2A1" w14:textId="7E003613" w:rsidR="0040327A" w:rsidRPr="00D6403F" w:rsidRDefault="00C273D6" w:rsidP="00D6403F">
      <w:pPr>
        <w:spacing w:line="480" w:lineRule="auto"/>
        <w:jc w:val="center"/>
      </w:pPr>
      <w:r w:rsidRPr="006E7C4C">
        <w:rPr>
          <w:b/>
          <w:u w:val="single"/>
        </w:rPr>
        <w:t xml:space="preserve">4. </w:t>
      </w:r>
      <w:r w:rsidR="004F50A9" w:rsidRPr="006E7C4C">
        <w:rPr>
          <w:b/>
          <w:u w:val="single"/>
        </w:rPr>
        <w:t>D</w:t>
      </w:r>
      <w:r w:rsidR="006E7C4C">
        <w:rPr>
          <w:b/>
          <w:u w:val="single"/>
        </w:rPr>
        <w:t>ISCUSSION</w:t>
      </w:r>
    </w:p>
    <w:p w14:paraId="759F5E69" w14:textId="3BC9951E" w:rsidR="00582B6F" w:rsidRDefault="0095655E" w:rsidP="0040327A">
      <w:pPr>
        <w:spacing w:line="480" w:lineRule="auto"/>
      </w:pPr>
      <w:r>
        <w:t xml:space="preserve">The data from this service evaluation suggests that patients presenting to </w:t>
      </w:r>
      <w:r w:rsidR="00582B6F">
        <w:t>Physiotherapy services within the NHS</w:t>
      </w:r>
      <w:r>
        <w:t xml:space="preserve"> with a primary complaint of GTPS</w:t>
      </w:r>
      <w:r w:rsidR="00822DA1">
        <w:t xml:space="preserve"> </w:t>
      </w:r>
      <w:r w:rsidR="00922A11">
        <w:t xml:space="preserve">have different </w:t>
      </w:r>
      <w:r w:rsidR="00111CFF">
        <w:t>characteristics</w:t>
      </w:r>
      <w:r w:rsidR="00822DA1">
        <w:t xml:space="preserve"> than </w:t>
      </w:r>
      <w:r w:rsidR="00922A11">
        <w:t xml:space="preserve">participants </w:t>
      </w:r>
      <w:r w:rsidR="00822DA1">
        <w:t>recr</w:t>
      </w:r>
      <w:r w:rsidR="00875459">
        <w:t>uited to the LEAP trial</w:t>
      </w:r>
      <w:r w:rsidR="00922A11">
        <w:t>. C</w:t>
      </w:r>
      <w:r w:rsidR="00875459">
        <w:t>omparison</w:t>
      </w:r>
      <w:r w:rsidR="00922A11">
        <w:t>s</w:t>
      </w:r>
      <w:r w:rsidR="007A62E8">
        <w:t xml:space="preserve"> </w:t>
      </w:r>
      <w:r w:rsidR="00875459">
        <w:t xml:space="preserve">suggest they are </w:t>
      </w:r>
      <w:r>
        <w:t>older</w:t>
      </w:r>
      <w:r w:rsidR="007D55CF">
        <w:t xml:space="preserve"> (</w:t>
      </w:r>
      <w:r w:rsidR="00875459">
        <w:t>4.6 years)</w:t>
      </w:r>
      <w:r w:rsidR="00C35A28">
        <w:t xml:space="preserve">, </w:t>
      </w:r>
      <w:r w:rsidR="00922A11">
        <w:t xml:space="preserve">report higher levels of </w:t>
      </w:r>
      <w:r w:rsidR="00C35A28">
        <w:t>pain</w:t>
      </w:r>
      <w:r w:rsidR="007D55CF">
        <w:t xml:space="preserve"> (</w:t>
      </w:r>
      <w:r w:rsidR="00875459">
        <w:t>VAS 1.5</w:t>
      </w:r>
      <w:r w:rsidR="007D55CF">
        <w:t>)</w:t>
      </w:r>
      <w:r w:rsidR="00E45D2A">
        <w:t>, have a higher BMI</w:t>
      </w:r>
      <w:r w:rsidR="00922A11">
        <w:t>,</w:t>
      </w:r>
      <w:r w:rsidR="00C35A28">
        <w:t xml:space="preserve"> and </w:t>
      </w:r>
      <w:r w:rsidR="00922A11">
        <w:t xml:space="preserve">report </w:t>
      </w:r>
      <w:r>
        <w:t>lower health related quality of life</w:t>
      </w:r>
      <w:r w:rsidR="007D55CF">
        <w:t xml:space="preserve"> (</w:t>
      </w:r>
      <w:r w:rsidR="00875459">
        <w:t>EQ5D Index 0.1</w:t>
      </w:r>
      <w:r w:rsidR="007D55CF">
        <w:t>)</w:t>
      </w:r>
      <w:r w:rsidR="00822DA1">
        <w:t>.</w:t>
      </w:r>
    </w:p>
    <w:p w14:paraId="2BDFB412" w14:textId="219E0111" w:rsidR="0095655E" w:rsidRDefault="007D55CF" w:rsidP="0040327A">
      <w:pPr>
        <w:spacing w:line="480" w:lineRule="auto"/>
      </w:pPr>
      <w:r>
        <w:t xml:space="preserve">Two recent systematic reviews </w:t>
      </w:r>
      <w:r w:rsidR="0053595D">
        <w:t>reporting</w:t>
      </w:r>
      <w:r w:rsidR="00B24812">
        <w:t xml:space="preserve"> risk factors</w:t>
      </w:r>
      <w:r w:rsidR="006D311F">
        <w:t xml:space="preserve"> of persistent, non-malignant</w:t>
      </w:r>
      <w:r>
        <w:t xml:space="preserve"> pain, s</w:t>
      </w:r>
      <w:r w:rsidR="006D311F">
        <w:t>uggest</w:t>
      </w:r>
      <w:r w:rsidR="006E7C4C">
        <w:t xml:space="preserve"> that these findings </w:t>
      </w:r>
      <w:r w:rsidR="0053595D">
        <w:t>might be important</w:t>
      </w:r>
      <w:r w:rsidR="006E7C4C">
        <w:t>, as</w:t>
      </w:r>
      <w:r w:rsidR="00875459">
        <w:t xml:space="preserve"> </w:t>
      </w:r>
      <w:r w:rsidR="0053595D">
        <w:t xml:space="preserve">people with </w:t>
      </w:r>
      <w:r w:rsidR="00875459">
        <w:t xml:space="preserve">musculoskeletal conditions </w:t>
      </w:r>
      <w:r w:rsidR="0053595D">
        <w:t xml:space="preserve">who report </w:t>
      </w:r>
      <w:r w:rsidR="00875459">
        <w:t>higher levels of pain and disability</w:t>
      </w:r>
      <w:r w:rsidR="0053595D">
        <w:t xml:space="preserve"> at the outset, report poorer clinical outcomes</w:t>
      </w:r>
      <w:r w:rsidR="009424C3">
        <w:t xml:space="preserve"> </w:t>
      </w:r>
      <w:bookmarkStart w:id="3" w:name="_Hlk11231444"/>
      <w:r w:rsidR="009424C3">
        <w:t>(Artus et al</w:t>
      </w:r>
      <w:r w:rsidR="00261FBC">
        <w:t>.</w:t>
      </w:r>
      <w:r w:rsidR="009424C3">
        <w:t>, 2017; Valentin et al., 2016)</w:t>
      </w:r>
      <w:bookmarkEnd w:id="3"/>
      <w:r>
        <w:t xml:space="preserve">. </w:t>
      </w:r>
      <w:r w:rsidR="006D311F">
        <w:t xml:space="preserve">One of the reviews </w:t>
      </w:r>
      <w:r w:rsidR="0053595D">
        <w:t xml:space="preserve">also reported </w:t>
      </w:r>
      <w:r w:rsidR="006D311F">
        <w:t xml:space="preserve">older age </w:t>
      </w:r>
      <w:r w:rsidR="0053595D">
        <w:t>as an important</w:t>
      </w:r>
      <w:r w:rsidR="00301772">
        <w:t xml:space="preserve"> prognostic factor</w:t>
      </w:r>
      <w:r w:rsidR="009424C3" w:rsidRPr="009424C3">
        <w:t xml:space="preserve"> </w:t>
      </w:r>
      <w:r w:rsidR="009424C3">
        <w:t>(Valentin et al., 2016).</w:t>
      </w:r>
      <w:r w:rsidR="006E7C4C">
        <w:t xml:space="preserve"> </w:t>
      </w:r>
      <w:r w:rsidR="00277694">
        <w:t>Research looking at other lower limb tendinopathies suggest</w:t>
      </w:r>
      <w:r w:rsidR="005E4EFD">
        <w:t>s</w:t>
      </w:r>
      <w:r w:rsidR="00277694">
        <w:t xml:space="preserve"> that the</w:t>
      </w:r>
      <w:r w:rsidR="006E7C4C">
        <w:t xml:space="preserve"> </w:t>
      </w:r>
      <w:r w:rsidR="00277694">
        <w:t>i</w:t>
      </w:r>
      <w:r w:rsidR="00301772">
        <w:t xml:space="preserve">ncidence </w:t>
      </w:r>
      <w:r w:rsidR="006E7C4C">
        <w:t>is</w:t>
      </w:r>
      <w:r w:rsidR="00301772">
        <w:t xml:space="preserve"> higher in older age groups, </w:t>
      </w:r>
      <w:r w:rsidR="006E7C4C">
        <w:t xml:space="preserve">however </w:t>
      </w:r>
      <w:r w:rsidR="00301772">
        <w:t>age is not necessarily a causative factor</w:t>
      </w:r>
      <w:r w:rsidR="00261FBC">
        <w:t xml:space="preserve"> (</w:t>
      </w:r>
      <w:r w:rsidR="00446F63">
        <w:t xml:space="preserve">Longo et al., 2009; </w:t>
      </w:r>
      <w:r w:rsidR="00261FBC">
        <w:t>Maffuli &amp; Kader, 2002)</w:t>
      </w:r>
      <w:r w:rsidR="006E7C4C">
        <w:t>.</w:t>
      </w:r>
      <w:r w:rsidR="00301772">
        <w:t xml:space="preserve"> </w:t>
      </w:r>
      <w:r>
        <w:t xml:space="preserve">High </w:t>
      </w:r>
      <w:r w:rsidR="00C944F2">
        <w:t>body mass index (BMI)</w:t>
      </w:r>
      <w:r>
        <w:t xml:space="preserve"> has not been demonstrated to be a signif</w:t>
      </w:r>
      <w:r w:rsidR="00A830FE">
        <w:t>icant prognostic indicator of persistent pain or tendinopathy</w:t>
      </w:r>
      <w:r w:rsidR="00184877">
        <w:t xml:space="preserve">, however </w:t>
      </w:r>
      <w:r w:rsidR="00645699">
        <w:t>this has not been examined in</w:t>
      </w:r>
      <w:r w:rsidR="00562430">
        <w:t xml:space="preserve"> </w:t>
      </w:r>
      <w:r w:rsidR="00686221">
        <w:t>large cross-sectional studies</w:t>
      </w:r>
      <w:r w:rsidR="00184877">
        <w:t xml:space="preserve"> of patients with GTPS</w:t>
      </w:r>
      <w:r w:rsidR="00446F63">
        <w:rPr>
          <w:vertAlign w:val="superscript"/>
        </w:rPr>
        <w:t xml:space="preserve"> </w:t>
      </w:r>
      <w:r w:rsidR="00446F63">
        <w:t xml:space="preserve">(Artus et al., 2017; Fearon et al., 2012; </w:t>
      </w:r>
      <w:r w:rsidR="00261FBC">
        <w:t>Lievense et al</w:t>
      </w:r>
      <w:r w:rsidR="00686221">
        <w:t>.</w:t>
      </w:r>
      <w:r w:rsidR="00261FBC">
        <w:t xml:space="preserve">, 2005; Valentin et al., 2016). </w:t>
      </w:r>
      <w:r w:rsidR="00686221">
        <w:t>Patients with GTPS have been demonstrated to have</w:t>
      </w:r>
      <w:r w:rsidR="00A84775">
        <w:t xml:space="preserve"> high</w:t>
      </w:r>
      <w:r w:rsidR="00686221">
        <w:t>er</w:t>
      </w:r>
      <w:r w:rsidR="00A84775">
        <w:t xml:space="preserve"> central adiposity</w:t>
      </w:r>
      <w:r w:rsidR="00686221">
        <w:t xml:space="preserve"> than asymptomatic age matches controls; a finding which has been identified as a risk factor for the development of </w:t>
      </w:r>
      <w:r w:rsidR="00A84775">
        <w:t>other tendinopathies</w:t>
      </w:r>
      <w:r w:rsidR="00446F63">
        <w:rPr>
          <w:vertAlign w:val="superscript"/>
        </w:rPr>
        <w:t xml:space="preserve"> </w:t>
      </w:r>
      <w:r w:rsidR="00446F63" w:rsidRPr="00446F63">
        <w:t>(Fearon et al.,</w:t>
      </w:r>
      <w:r w:rsidR="00446F63">
        <w:rPr>
          <w:vertAlign w:val="superscript"/>
        </w:rPr>
        <w:t xml:space="preserve"> </w:t>
      </w:r>
      <w:r w:rsidR="00446F63">
        <w:t>2012; Gaida, Ashe, Bass &amp; Cook, 2009; Scott et al., 2015)</w:t>
      </w:r>
      <w:r w:rsidR="00A84775">
        <w:t>.</w:t>
      </w:r>
      <w:r w:rsidR="00277694" w:rsidRPr="00277694">
        <w:t xml:space="preserve"> </w:t>
      </w:r>
      <w:r w:rsidR="00C944F2">
        <w:t>T</w:t>
      </w:r>
      <w:r w:rsidR="00277694">
        <w:t xml:space="preserve">he </w:t>
      </w:r>
      <w:r w:rsidR="0053595D">
        <w:t xml:space="preserve">typical patient </w:t>
      </w:r>
      <w:r w:rsidR="00E10F88">
        <w:t xml:space="preserve">presenting to </w:t>
      </w:r>
      <w:r w:rsidR="005E4EFD">
        <w:t xml:space="preserve">physiotherapy services in the NHS </w:t>
      </w:r>
      <w:r w:rsidR="00277694">
        <w:t>with GTPS had a higher BMI than the community dwellers recruited to the LEAP trial</w:t>
      </w:r>
      <w:r w:rsidR="00C944F2">
        <w:t>. Data from this and other studies suggests that the majority of patients with GTPS are ‘overweight’ according to their BMI</w:t>
      </w:r>
      <w:r w:rsidR="00BA499E">
        <w:t xml:space="preserve"> </w:t>
      </w:r>
      <w:r w:rsidR="00BA499E" w:rsidRPr="00BA499E">
        <w:t>(Mellor et al., 2018; Woodley et al., 2008</w:t>
      </w:r>
      <w:r w:rsidR="00BA499E">
        <w:t>)</w:t>
      </w:r>
      <w:r w:rsidR="00277694">
        <w:t>.</w:t>
      </w:r>
    </w:p>
    <w:p w14:paraId="5A2C7751" w14:textId="614E4F3B" w:rsidR="00277694" w:rsidRDefault="00445031" w:rsidP="00952824">
      <w:pPr>
        <w:spacing w:line="480" w:lineRule="auto"/>
      </w:pPr>
      <w:r>
        <w:t>This service evaluation suggests that a</w:t>
      </w:r>
      <w:r w:rsidR="00283DD4">
        <w:t xml:space="preserve"> </w:t>
      </w:r>
      <w:r w:rsidR="00C944F2">
        <w:t>number</w:t>
      </w:r>
      <w:r w:rsidR="00283DD4">
        <w:t xml:space="preserve"> of patients presenting to </w:t>
      </w:r>
      <w:r w:rsidR="005E4EFD">
        <w:t xml:space="preserve">physiotherapy services in </w:t>
      </w:r>
      <w:r w:rsidR="00283DD4">
        <w:t>the NHS with GTPS experience referral of symptoms into the lateral thigh (</w:t>
      </w:r>
      <w:r w:rsidR="00BB6C76">
        <w:t>30.2</w:t>
      </w:r>
      <w:r w:rsidR="00283DD4">
        <w:t>%), lumbar spine (2</w:t>
      </w:r>
      <w:r w:rsidR="00BB6C76">
        <w:t>1.0</w:t>
      </w:r>
      <w:r w:rsidR="00283DD4">
        <w:t>%), buttock (15.</w:t>
      </w:r>
      <w:r w:rsidR="00BB6C76">
        <w:t>4</w:t>
      </w:r>
      <w:r w:rsidR="00283DD4">
        <w:t>%) and groin (1</w:t>
      </w:r>
      <w:r w:rsidR="00BB6C76">
        <w:t>4.9</w:t>
      </w:r>
      <w:r w:rsidR="00283DD4">
        <w:t>%). This is not a surprise given that so many patients experience pain lasting more than 12-months (56.8%) and the central nervous system adaptions which occur with persistent pain</w:t>
      </w:r>
      <w:r w:rsidR="00BA499E">
        <w:rPr>
          <w:vertAlign w:val="superscript"/>
        </w:rPr>
        <w:t xml:space="preserve"> </w:t>
      </w:r>
      <w:r w:rsidR="00BA499E">
        <w:t>(Vardeh et al., 2017)</w:t>
      </w:r>
      <w:r w:rsidR="00283DD4">
        <w:t xml:space="preserve">. </w:t>
      </w:r>
      <w:r w:rsidR="00C645E7">
        <w:t xml:space="preserve"> The co-existence of LBP and GTPS is well established, although not well understood or researched</w:t>
      </w:r>
      <w:r w:rsidR="00184877">
        <w:t>,</w:t>
      </w:r>
      <w:r w:rsidR="00E0301C">
        <w:t xml:space="preserve"> as patients with LBP are often excluded from </w:t>
      </w:r>
      <w:r w:rsidR="00E0301C" w:rsidRPr="00BA499E">
        <w:t>trials</w:t>
      </w:r>
      <w:r w:rsidR="00BA499E">
        <w:t xml:space="preserve"> (</w:t>
      </w:r>
      <w:r w:rsidR="00BA499E" w:rsidRPr="00BA499E">
        <w:t>Tan et al., 2018; Tortolani,</w:t>
      </w:r>
      <w:r w:rsidR="00BA499E">
        <w:rPr>
          <w:vertAlign w:val="superscript"/>
        </w:rPr>
        <w:t xml:space="preserve"> </w:t>
      </w:r>
      <w:r w:rsidR="00BA499E">
        <w:t>Carbone, &amp; Quartararo, 2012)</w:t>
      </w:r>
      <w:r w:rsidR="00C645E7">
        <w:t xml:space="preserve">. In this </w:t>
      </w:r>
      <w:r>
        <w:t>evaluation,</w:t>
      </w:r>
      <w:r w:rsidR="00C645E7">
        <w:t xml:space="preserve"> 1</w:t>
      </w:r>
      <w:r w:rsidR="00BB6C76">
        <w:t>1.7</w:t>
      </w:r>
      <w:r w:rsidR="00C645E7">
        <w:t>% of patients suffered persistent LBP and 2</w:t>
      </w:r>
      <w:r w:rsidR="00BB6C76">
        <w:t>1.0</w:t>
      </w:r>
      <w:r w:rsidR="00C645E7">
        <w:t xml:space="preserve">%, suggested that they experienced back pain </w:t>
      </w:r>
      <w:r w:rsidR="00277694">
        <w:t>alongside</w:t>
      </w:r>
      <w:r w:rsidR="00C645E7">
        <w:t xml:space="preserve"> their lateral hip pain. In a study of 40 patients seeking healthcare with GTPS; 30% experience</w:t>
      </w:r>
      <w:r w:rsidR="00277694">
        <w:t>d</w:t>
      </w:r>
      <w:r w:rsidR="00C645E7">
        <w:t xml:space="preserve"> co-existing low back pain and 75% had experienced an episode of low</w:t>
      </w:r>
      <w:r w:rsidR="00E8052E">
        <w:t xml:space="preserve"> back pain in the previous 2 years</w:t>
      </w:r>
      <w:r w:rsidR="00BA499E">
        <w:rPr>
          <w:vertAlign w:val="superscript"/>
        </w:rPr>
        <w:t xml:space="preserve"> </w:t>
      </w:r>
      <w:r w:rsidR="00BA499E">
        <w:t>(Woodley et al, 2008)</w:t>
      </w:r>
      <w:r w:rsidR="00C645E7">
        <w:t xml:space="preserve">. </w:t>
      </w:r>
      <w:r w:rsidR="00E8052E">
        <w:t>Patients were excluded from the LEAP trial if they experienced more than 2/10 pain on lumbar spine flexion</w:t>
      </w:r>
      <w:r w:rsidR="00BA499E">
        <w:rPr>
          <w:vertAlign w:val="superscript"/>
        </w:rPr>
        <w:t xml:space="preserve"> </w:t>
      </w:r>
      <w:r w:rsidR="00BA499E">
        <w:t>(Mellor et al., 2016)</w:t>
      </w:r>
      <w:r w:rsidR="00E0301C">
        <w:t>; suggesting that there may be a</w:t>
      </w:r>
      <w:r w:rsidR="0053595D">
        <w:t>n</w:t>
      </w:r>
      <w:r w:rsidR="00E0301C">
        <w:t xml:space="preserve"> </w:t>
      </w:r>
      <w:r w:rsidR="0053595D">
        <w:t>important</w:t>
      </w:r>
      <w:r w:rsidR="007A62E8">
        <w:t xml:space="preserve"> </w:t>
      </w:r>
      <w:r w:rsidR="0053595D">
        <w:t xml:space="preserve">group </w:t>
      </w:r>
      <w:r w:rsidR="00E0301C">
        <w:t xml:space="preserve">of patients </w:t>
      </w:r>
      <w:r w:rsidR="0053595D">
        <w:t>seen in the NHS that were excluded from the LEAP</w:t>
      </w:r>
      <w:r w:rsidR="00E0301C">
        <w:t xml:space="preserve"> trial</w:t>
      </w:r>
      <w:r w:rsidR="00E8052E">
        <w:t>.</w:t>
      </w:r>
      <w:r w:rsidR="00B03110">
        <w:t xml:space="preserve"> </w:t>
      </w:r>
    </w:p>
    <w:p w14:paraId="11E10076" w14:textId="4F4C7684" w:rsidR="00290C25" w:rsidRDefault="00B03110" w:rsidP="00290C25">
      <w:pPr>
        <w:spacing w:line="480" w:lineRule="auto"/>
      </w:pPr>
      <w:r>
        <w:t>Nearly half (43.</w:t>
      </w:r>
      <w:r w:rsidR="00BB6C76">
        <w:t>8</w:t>
      </w:r>
      <w:r>
        <w:t xml:space="preserve">%) of the patients with GTPS in this </w:t>
      </w:r>
      <w:r w:rsidR="00E0301C">
        <w:t>service evaluation</w:t>
      </w:r>
      <w:r>
        <w:t xml:space="preserve"> were also likely to have other musculoskeletal pain problems, including previous arthroplasty (1</w:t>
      </w:r>
      <w:r w:rsidR="00BB6C76">
        <w:t>1.7</w:t>
      </w:r>
      <w:r>
        <w:t>%) and lower limb osteoarthritis (1</w:t>
      </w:r>
      <w:r w:rsidR="00BB6C76">
        <w:t>5.4</w:t>
      </w:r>
      <w:r>
        <w:t>%)</w:t>
      </w:r>
      <w:r w:rsidR="00E0301C">
        <w:t xml:space="preserve">. </w:t>
      </w:r>
      <w:r w:rsidR="00290C25">
        <w:t>Patients with groin pain</w:t>
      </w:r>
      <w:r w:rsidR="00E10F88">
        <w:t xml:space="preserve"> (&gt;2/10 average intensity over a week)</w:t>
      </w:r>
      <w:r w:rsidR="00290C25">
        <w:t xml:space="preserve"> or reduced hip range of motion (&lt;90 degrees flexion) were excluded from the LEAP trial as symptoms from osteoarthritis can often mimic GTPS</w:t>
      </w:r>
      <w:r w:rsidR="00BA499E">
        <w:rPr>
          <w:vertAlign w:val="superscript"/>
        </w:rPr>
        <w:t xml:space="preserve"> </w:t>
      </w:r>
      <w:r w:rsidR="00BA499E">
        <w:t>(Mellor et al., 2016)</w:t>
      </w:r>
      <w:r w:rsidR="00290C25">
        <w:t>. Our data</w:t>
      </w:r>
      <w:r w:rsidR="00E10F88">
        <w:t xml:space="preserve"> </w:t>
      </w:r>
      <w:r w:rsidR="00290C25">
        <w:t>suggests that groin pain</w:t>
      </w:r>
      <w:r w:rsidR="00EB637A">
        <w:t xml:space="preserve"> (14.9%)</w:t>
      </w:r>
      <w:r w:rsidR="00290C25">
        <w:t xml:space="preserve"> and osteoarthritis of the lower limb</w:t>
      </w:r>
      <w:r w:rsidR="00EB637A">
        <w:t xml:space="preserve"> (15.4%) appear to </w:t>
      </w:r>
      <w:r w:rsidR="00290C25">
        <w:t>co-exist with GTPS</w:t>
      </w:r>
      <w:r w:rsidR="00E10F88">
        <w:t xml:space="preserve"> in a number of cases</w:t>
      </w:r>
      <w:r w:rsidR="00EB637A">
        <w:t>; a finding supported by other research</w:t>
      </w:r>
      <w:r w:rsidR="00BA499E">
        <w:rPr>
          <w:vertAlign w:val="superscript"/>
        </w:rPr>
        <w:t xml:space="preserve"> </w:t>
      </w:r>
      <w:r w:rsidR="00BA499E">
        <w:t>(</w:t>
      </w:r>
      <w:r w:rsidR="00B56809">
        <w:t>Albers, Zwerver, Diercks, Dekker, &amp; Van Der Akker-Scheek, 2016;</w:t>
      </w:r>
      <w:r w:rsidR="00B56809" w:rsidRPr="00B56809">
        <w:t xml:space="preserve"> </w:t>
      </w:r>
      <w:r w:rsidR="00B56809">
        <w:t xml:space="preserve">Lievense et al., 2005; </w:t>
      </w:r>
      <w:r w:rsidR="00BA499E">
        <w:t>Segal et al., 2007</w:t>
      </w:r>
      <w:r w:rsidR="00B56809">
        <w:t>).</w:t>
      </w:r>
      <w:r w:rsidR="00D52E33">
        <w:t xml:space="preserve"> This may be significant as Lievense et al, (2005), found that patients with co-existing GTPS and lower limb OA, were almost five times (x4.77) more likely to have symptoms persisting at twelve months</w:t>
      </w:r>
      <w:r w:rsidR="00212E05">
        <w:t>.</w:t>
      </w:r>
      <w:r w:rsidR="00D52E33">
        <w:t xml:space="preserve"> </w:t>
      </w:r>
      <w:r w:rsidR="00EB637A">
        <w:t xml:space="preserve"> </w:t>
      </w:r>
      <w:r w:rsidR="0047502E">
        <w:t xml:space="preserve">Lower extremity OA appears to </w:t>
      </w:r>
      <w:r w:rsidR="00533F9F">
        <w:t>co-exist with GTPS in a</w:t>
      </w:r>
      <w:r w:rsidR="0047502E">
        <w:t xml:space="preserve"> substantial proportion of patients</w:t>
      </w:r>
      <w:r w:rsidR="00533F9F">
        <w:t>,</w:t>
      </w:r>
      <w:r w:rsidR="0047502E">
        <w:t xml:space="preserve"> and research is required to ascertain how current rehabilitative strategies affect this specific sub-group. </w:t>
      </w:r>
    </w:p>
    <w:p w14:paraId="72FF460E" w14:textId="07683B84" w:rsidR="00E0301C" w:rsidRDefault="00BB6C76" w:rsidP="00952824">
      <w:pPr>
        <w:spacing w:line="480" w:lineRule="auto"/>
      </w:pPr>
      <w:r>
        <w:t>71</w:t>
      </w:r>
      <w:r w:rsidR="009771D9">
        <w:t xml:space="preserve"> subjects</w:t>
      </w:r>
      <w:r w:rsidR="00290C25">
        <w:t xml:space="preserve"> in this service evaluation</w:t>
      </w:r>
      <w:r w:rsidR="009771D9">
        <w:t xml:space="preserve"> reported </w:t>
      </w:r>
      <w:r w:rsidR="008909F4">
        <w:t>108</w:t>
      </w:r>
      <w:r w:rsidR="009771D9">
        <w:t xml:space="preserve"> different musculoskeletal pain problems. </w:t>
      </w:r>
      <w:r w:rsidR="00E0301C">
        <w:t>The data in this evaluation on the prevalence of referred symptoms and co-existing musculoskeletal pain problems is significant, as w</w:t>
      </w:r>
      <w:r w:rsidR="00277694">
        <w:t>idespread pain has been established a predictor of</w:t>
      </w:r>
      <w:r w:rsidR="00184877">
        <w:t xml:space="preserve"> longer term</w:t>
      </w:r>
      <w:r w:rsidR="00277694">
        <w:t xml:space="preserve"> musculoskeletal pain</w:t>
      </w:r>
      <w:r w:rsidR="00B56809">
        <w:t xml:space="preserve"> (Artus et al., 2017; Valentin et al., 2016)</w:t>
      </w:r>
      <w:r w:rsidR="00277694">
        <w:t xml:space="preserve">. </w:t>
      </w:r>
      <w:r w:rsidR="00EB637A">
        <w:t>Overall, patients attending NHS physiotherapy services appear to have co-existing musculoskeletal pain problems</w:t>
      </w:r>
      <w:r w:rsidR="0053595D">
        <w:t xml:space="preserve">. These patients </w:t>
      </w:r>
      <w:r w:rsidR="00EB637A">
        <w:t>were excluded from the LEAP trial</w:t>
      </w:r>
    </w:p>
    <w:p w14:paraId="11AAA328" w14:textId="2CDE193E" w:rsidR="00945B9F" w:rsidRDefault="00E10F88" w:rsidP="00952824">
      <w:pPr>
        <w:spacing w:line="480" w:lineRule="auto"/>
      </w:pPr>
      <w:r>
        <w:t>S</w:t>
      </w:r>
      <w:r w:rsidR="008909F4">
        <w:t>eventy</w:t>
      </w:r>
      <w:r w:rsidR="00212E05">
        <w:t>-</w:t>
      </w:r>
      <w:r w:rsidR="008909F4">
        <w:t>one (43.8%)</w:t>
      </w:r>
      <w:r w:rsidR="00E8052E">
        <w:t xml:space="preserve"> patients completed the EQ5D</w:t>
      </w:r>
      <w:r w:rsidR="009E5B88">
        <w:t xml:space="preserve">, quality of life </w:t>
      </w:r>
      <w:r w:rsidR="00E8052E">
        <w:t>questionnaire in this study</w:t>
      </w:r>
      <w:r w:rsidR="009E5B88">
        <w:t xml:space="preserve">. </w:t>
      </w:r>
      <w:r w:rsidR="00E8052E">
        <w:t>On average patients were likely, t</w:t>
      </w:r>
      <w:r w:rsidR="00B03110">
        <w:t xml:space="preserve">o have a lower EQ5D index score (0.6), </w:t>
      </w:r>
      <w:r w:rsidR="00E8052E">
        <w:t>than those in the LEAP trial</w:t>
      </w:r>
      <w:r w:rsidR="00B03110">
        <w:t xml:space="preserve"> (0.7)</w:t>
      </w:r>
      <w:r w:rsidR="00582B6F">
        <w:t xml:space="preserve">. This difference is in line with the suggested minimally important clinical difference </w:t>
      </w:r>
      <w:r w:rsidR="008909F4">
        <w:t>(</w:t>
      </w:r>
      <w:r w:rsidR="00E8052E">
        <w:t>MCID</w:t>
      </w:r>
      <w:r w:rsidR="00582B6F">
        <w:t>) reported</w:t>
      </w:r>
      <w:r w:rsidR="00E8052E">
        <w:t xml:space="preserve"> for patients with persistent pain</w:t>
      </w:r>
      <w:r w:rsidR="00B56809">
        <w:rPr>
          <w:vertAlign w:val="superscript"/>
        </w:rPr>
        <w:t xml:space="preserve"> </w:t>
      </w:r>
      <w:r w:rsidR="00B56809">
        <w:t>(Corettt &amp; Ruggeri, in press)</w:t>
      </w:r>
      <w:r w:rsidR="00E8052E">
        <w:t xml:space="preserve">. </w:t>
      </w:r>
      <w:r w:rsidR="00B03110">
        <w:t xml:space="preserve">What is </w:t>
      </w:r>
      <w:r w:rsidR="00571157">
        <w:t>clear</w:t>
      </w:r>
      <w:r w:rsidR="00B03110">
        <w:t xml:space="preserve"> is that these patients experience significantly worse quality of life, than the population norm for adults between the ages of 55-64 in the UK (0.804).</w:t>
      </w:r>
      <w:r w:rsidR="009E5B88">
        <w:t xml:space="preserve"> This is not the first study to establish</w:t>
      </w:r>
      <w:r w:rsidR="009771D9">
        <w:t xml:space="preserve"> </w:t>
      </w:r>
      <w:r w:rsidR="00CA3CC9">
        <w:t>that patients with GTPS experience</w:t>
      </w:r>
      <w:r w:rsidR="009E5B88">
        <w:t xml:space="preserve"> poor quality of life</w:t>
      </w:r>
      <w:r w:rsidR="00125631">
        <w:t>,</w:t>
      </w:r>
      <w:r w:rsidR="009E5B88">
        <w:t xml:space="preserve"> as Fearon et al (2014), reported that patients with GTPS reported similar </w:t>
      </w:r>
      <w:r w:rsidR="00CA3CC9">
        <w:t xml:space="preserve">quality of life scores, to those </w:t>
      </w:r>
      <w:r w:rsidR="009E5B88">
        <w:t>with advanced osteoarthritis of the hip</w:t>
      </w:r>
      <w:r w:rsidR="00CA3CC9">
        <w:t xml:space="preserve">. </w:t>
      </w:r>
      <w:r w:rsidR="00125631">
        <w:t>This stu</w:t>
      </w:r>
      <w:r w:rsidR="00A50AD9">
        <w:t xml:space="preserve">dy </w:t>
      </w:r>
      <w:r w:rsidR="00125631">
        <w:t>supports other data which suggests that lateral hip pain is intrusive, as activities such as walking (65.</w:t>
      </w:r>
      <w:r w:rsidR="008909F4">
        <w:t>4</w:t>
      </w:r>
      <w:r w:rsidR="00125631">
        <w:t>%)</w:t>
      </w:r>
      <w:r w:rsidR="00600392">
        <w:t xml:space="preserve"> and</w:t>
      </w:r>
      <w:r w:rsidR="00125631">
        <w:t xml:space="preserve"> lying </w:t>
      </w:r>
      <w:r w:rsidR="00945B9F">
        <w:t>(</w:t>
      </w:r>
      <w:r w:rsidR="00125631">
        <w:t>6</w:t>
      </w:r>
      <w:r w:rsidR="008909F4">
        <w:t>0</w:t>
      </w:r>
      <w:r w:rsidR="00125631">
        <w:t>.5%</w:t>
      </w:r>
      <w:r w:rsidR="00945B9F">
        <w:t>)</w:t>
      </w:r>
      <w:r w:rsidR="00125631">
        <w:t xml:space="preserve"> are problematic for the majority of sufferers</w:t>
      </w:r>
      <w:r w:rsidR="00B56809">
        <w:rPr>
          <w:vertAlign w:val="superscript"/>
        </w:rPr>
        <w:t xml:space="preserve"> </w:t>
      </w:r>
      <w:r w:rsidR="00B56809">
        <w:t>(Woodley et al, 2008)</w:t>
      </w:r>
      <w:r w:rsidR="00125631">
        <w:t xml:space="preserve">. </w:t>
      </w:r>
    </w:p>
    <w:p w14:paraId="0EA08506" w14:textId="117EC846" w:rsidR="0062745E" w:rsidRDefault="00CA3CC9" w:rsidP="0062745E">
      <w:pPr>
        <w:spacing w:line="480" w:lineRule="auto"/>
      </w:pPr>
      <w:r>
        <w:t>The co-mo</w:t>
      </w:r>
      <w:r w:rsidR="00A9623C">
        <w:t>rb</w:t>
      </w:r>
      <w:r>
        <w:t xml:space="preserve">idities and medication </w:t>
      </w:r>
      <w:r w:rsidR="009E5B88">
        <w:t>data record</w:t>
      </w:r>
      <w:r w:rsidR="00E10F88">
        <w:t>ed in this evaluation</w:t>
      </w:r>
      <w:r w:rsidR="009E5B88">
        <w:t xml:space="preserve">, suggests that this </w:t>
      </w:r>
      <w:r w:rsidR="00582B6F">
        <w:t xml:space="preserve">diminished </w:t>
      </w:r>
      <w:r w:rsidR="009E5B88">
        <w:t>quality of life may be multi-factorial</w:t>
      </w:r>
      <w:r>
        <w:t xml:space="preserve">. </w:t>
      </w:r>
      <w:r w:rsidR="00A9623C">
        <w:t>1</w:t>
      </w:r>
      <w:r w:rsidR="008909F4">
        <w:t>28</w:t>
      </w:r>
      <w:r w:rsidR="00A9623C">
        <w:t xml:space="preserve"> </w:t>
      </w:r>
      <w:r w:rsidR="00966943">
        <w:t>subjects</w:t>
      </w:r>
      <w:r w:rsidR="00A9623C">
        <w:t xml:space="preserve"> suffered </w:t>
      </w:r>
      <w:r>
        <w:t>35</w:t>
      </w:r>
      <w:r w:rsidR="008909F4">
        <w:t>0</w:t>
      </w:r>
      <w:r>
        <w:t xml:space="preserve"> medical conditions</w:t>
      </w:r>
      <w:r w:rsidR="00945B9F">
        <w:t xml:space="preserve">, </w:t>
      </w:r>
      <w:r w:rsidR="0062745E">
        <w:t>including</w:t>
      </w:r>
      <w:r w:rsidR="0062745E" w:rsidRPr="0062745E">
        <w:t xml:space="preserve"> </w:t>
      </w:r>
      <w:r w:rsidR="0062745E">
        <w:t>cardiovascular complaints (30.2%),</w:t>
      </w:r>
      <w:r w:rsidR="0062745E" w:rsidRPr="0062745E">
        <w:t xml:space="preserve"> </w:t>
      </w:r>
      <w:r w:rsidR="00A5171F">
        <w:t>digestion problems</w:t>
      </w:r>
      <w:r>
        <w:t xml:space="preserve"> </w:t>
      </w:r>
      <w:r w:rsidR="00A5171F">
        <w:t>(1</w:t>
      </w:r>
      <w:r w:rsidR="008909F4">
        <w:t>9.1</w:t>
      </w:r>
      <w:r w:rsidR="00A5171F">
        <w:t>%)</w:t>
      </w:r>
      <w:r w:rsidR="008909F4">
        <w:t xml:space="preserve"> and metabolic / endocrine disorders (17.9%) </w:t>
      </w:r>
      <w:r w:rsidR="00A5171F">
        <w:t xml:space="preserve">which have all been linked to </w:t>
      </w:r>
      <w:r w:rsidR="00582B6F">
        <w:t>tendinopathy</w:t>
      </w:r>
      <w:r w:rsidR="00B56809">
        <w:rPr>
          <w:vertAlign w:val="superscript"/>
        </w:rPr>
        <w:t xml:space="preserve"> </w:t>
      </w:r>
      <w:r w:rsidR="00B56809">
        <w:t>(Abate et al, 2013)</w:t>
      </w:r>
      <w:r w:rsidR="0062745E">
        <w:t>.</w:t>
      </w:r>
      <w:r w:rsidR="0062745E" w:rsidRPr="0062745E">
        <w:t xml:space="preserve"> </w:t>
      </w:r>
      <w:r w:rsidR="0062745E">
        <w:t>On top of this, 134 subjects were taking 459</w:t>
      </w:r>
      <w:r w:rsidR="00571157">
        <w:t xml:space="preserve"> prescriptions; </w:t>
      </w:r>
      <w:r w:rsidR="0062745E">
        <w:t>and were commonly taking statins (16.7%) and angiotensin 2 blockers</w:t>
      </w:r>
      <w:r w:rsidR="00571157">
        <w:t xml:space="preserve"> (11.1%)</w:t>
      </w:r>
      <w:r w:rsidR="0062745E">
        <w:t>, which have</w:t>
      </w:r>
      <w:r w:rsidR="00E10F88">
        <w:t xml:space="preserve"> also</w:t>
      </w:r>
      <w:r w:rsidR="0062745E">
        <w:t xml:space="preserve"> been linked with the development of tendinopathy and tendon rupture</w:t>
      </w:r>
      <w:r w:rsidR="00CB618B">
        <w:rPr>
          <w:vertAlign w:val="superscript"/>
        </w:rPr>
        <w:t xml:space="preserve"> </w:t>
      </w:r>
      <w:r w:rsidR="00CB618B">
        <w:t>(Kirschgesner et al., 2014; Nyyssonen et al., 2018)</w:t>
      </w:r>
      <w:r w:rsidR="00600392">
        <w:t>. It is unknown whether these medications influence rehabilit</w:t>
      </w:r>
      <w:r w:rsidR="007A62E8">
        <w:t>at</w:t>
      </w:r>
      <w:r w:rsidR="00600392">
        <w:t xml:space="preserve">ive outcomes for GTPS. </w:t>
      </w:r>
    </w:p>
    <w:p w14:paraId="77BF9206" w14:textId="61737F87" w:rsidR="00952824" w:rsidRDefault="009F5427" w:rsidP="00952824">
      <w:pPr>
        <w:spacing w:line="480" w:lineRule="auto"/>
      </w:pPr>
      <w:r>
        <w:t>More than one third of subjects</w:t>
      </w:r>
      <w:r w:rsidR="008909F4">
        <w:t xml:space="preserve"> (35.2%)</w:t>
      </w:r>
      <w:r>
        <w:t xml:space="preserve"> were taking opioid medication despite </w:t>
      </w:r>
      <w:r w:rsidR="00125631">
        <w:t>current guidelines suggesting these medications should be used judiciously due to side effects and lack of clinical efficacy with their long-term usage</w:t>
      </w:r>
      <w:r w:rsidR="00CB618B">
        <w:rPr>
          <w:vertAlign w:val="superscript"/>
        </w:rPr>
        <w:t xml:space="preserve"> </w:t>
      </w:r>
      <w:r w:rsidR="00CB618B">
        <w:t>(Els et al., 2017; NICE, 2019)</w:t>
      </w:r>
      <w:r w:rsidR="00125631">
        <w:t>.</w:t>
      </w:r>
      <w:r w:rsidR="0062745E" w:rsidRPr="0062745E">
        <w:t xml:space="preserve"> </w:t>
      </w:r>
    </w:p>
    <w:p w14:paraId="727B2ED2" w14:textId="21B22950" w:rsidR="00571157" w:rsidRDefault="00A9623C" w:rsidP="00571157">
      <w:pPr>
        <w:spacing w:line="480" w:lineRule="auto"/>
      </w:pPr>
      <w:r>
        <w:t>The burden of managing</w:t>
      </w:r>
      <w:r w:rsidR="003333C3">
        <w:t xml:space="preserve"> </w:t>
      </w:r>
      <w:r>
        <w:t>patients</w:t>
      </w:r>
      <w:r w:rsidR="003333C3">
        <w:t xml:space="preserve"> with GTPS</w:t>
      </w:r>
      <w:r>
        <w:t xml:space="preserve"> for the NHS remains unknown. However, this s</w:t>
      </w:r>
      <w:r w:rsidR="00445031">
        <w:t>ervice evaluation</w:t>
      </w:r>
      <w:r>
        <w:t xml:space="preserve"> suggests that they frequently suffer high levels of pain</w:t>
      </w:r>
      <w:r w:rsidR="00945B9F">
        <w:t xml:space="preserve"> and disability</w:t>
      </w:r>
      <w:r>
        <w:t xml:space="preserve"> and </w:t>
      </w:r>
      <w:r w:rsidR="003333C3">
        <w:t xml:space="preserve">often </w:t>
      </w:r>
      <w:r>
        <w:t>have symptoms lasting more than 12-months</w:t>
      </w:r>
      <w:r w:rsidR="003333C3">
        <w:t>;</w:t>
      </w:r>
      <w:r>
        <w:t xml:space="preserve"> whilst being on high levels of medication</w:t>
      </w:r>
      <w:r w:rsidR="00945B9F">
        <w:t xml:space="preserve"> for a range of medical conditions</w:t>
      </w:r>
      <w:r>
        <w:t>. They also frequently undergo radiological imaging</w:t>
      </w:r>
      <w:r w:rsidR="003333C3">
        <w:t xml:space="preserve"> (6</w:t>
      </w:r>
      <w:r w:rsidR="008909F4">
        <w:t>2.3</w:t>
      </w:r>
      <w:r w:rsidR="003333C3">
        <w:t>%)</w:t>
      </w:r>
      <w:r>
        <w:t>, despite evidence that cli</w:t>
      </w:r>
      <w:r w:rsidR="00966943">
        <w:t>nical examination is sufficient</w:t>
      </w:r>
      <w:r w:rsidR="00CB618B">
        <w:rPr>
          <w:vertAlign w:val="superscript"/>
        </w:rPr>
        <w:t xml:space="preserve"> </w:t>
      </w:r>
      <w:r w:rsidR="00CB618B">
        <w:t>(Fearon et al., 2013; Ganderton, Semciw, Cook &amp; Pizzari, 2017; Grimaldi et al., 2017</w:t>
      </w:r>
      <w:r w:rsidR="00907D0D">
        <w:t>)</w:t>
      </w:r>
      <w:r w:rsidR="00907D0D">
        <w:rPr>
          <w:vertAlign w:val="superscript"/>
        </w:rPr>
        <w:t xml:space="preserve"> </w:t>
      </w:r>
      <w:r w:rsidR="00907D0D">
        <w:t>and</w:t>
      </w:r>
      <w:r w:rsidR="00966943">
        <w:t xml:space="preserve"> are treated in a variety of ways including </w:t>
      </w:r>
      <w:r w:rsidR="00945B9F">
        <w:t>cortico</w:t>
      </w:r>
      <w:r w:rsidR="00966943">
        <w:t>-steroid injections</w:t>
      </w:r>
      <w:r w:rsidR="003333C3">
        <w:t xml:space="preserve"> (19.</w:t>
      </w:r>
      <w:r w:rsidR="008909F4">
        <w:t>1</w:t>
      </w:r>
      <w:r w:rsidR="003333C3">
        <w:t>%)</w:t>
      </w:r>
      <w:r w:rsidR="00966943">
        <w:t xml:space="preserve">, despite a lack of </w:t>
      </w:r>
      <w:r w:rsidR="00E0301C">
        <w:t>proven efficac</w:t>
      </w:r>
      <w:r w:rsidR="001B1FFF">
        <w:t>y</w:t>
      </w:r>
      <w:r w:rsidR="00CB618B">
        <w:rPr>
          <w:vertAlign w:val="superscript"/>
        </w:rPr>
        <w:t xml:space="preserve"> </w:t>
      </w:r>
      <w:r w:rsidR="00CB618B">
        <w:t>(Brinks &amp; Denman, 2011; Rompe et al., 2009)</w:t>
      </w:r>
      <w:r w:rsidR="00966943">
        <w:t>.</w:t>
      </w:r>
      <w:r>
        <w:t xml:space="preserve"> The data in this study importantly suggests that patients presenting to </w:t>
      </w:r>
      <w:r w:rsidR="00230D14">
        <w:t xml:space="preserve">physiotherapy services in the </w:t>
      </w:r>
      <w:r>
        <w:t xml:space="preserve">NHS </w:t>
      </w:r>
      <w:r w:rsidR="00966943">
        <w:t>with GTPS</w:t>
      </w:r>
      <w:r>
        <w:t xml:space="preserve"> are </w:t>
      </w:r>
      <w:r w:rsidR="00125631">
        <w:t xml:space="preserve">potentially </w:t>
      </w:r>
      <w:r w:rsidR="00582B6F">
        <w:t>different in clinically important ways</w:t>
      </w:r>
      <w:r>
        <w:t xml:space="preserve"> than th</w:t>
      </w:r>
      <w:r w:rsidR="00945B9F">
        <w:t>ose</w:t>
      </w:r>
      <w:r>
        <w:t xml:space="preserve"> </w:t>
      </w:r>
      <w:r w:rsidR="00125631">
        <w:t>recruited to</w:t>
      </w:r>
      <w:r w:rsidR="00A50AD9">
        <w:t xml:space="preserve"> the LEAP trial</w:t>
      </w:r>
      <w:r w:rsidR="00F06FDF">
        <w:t>, and have multidimensional needs which may need to be addressed as part of their treatment.</w:t>
      </w:r>
      <w:r w:rsidR="00230D14">
        <w:t xml:space="preserve"> </w:t>
      </w:r>
      <w:r w:rsidR="00230D14" w:rsidRPr="00230D14">
        <w:t xml:space="preserve"> </w:t>
      </w:r>
      <w:r w:rsidR="00230D14">
        <w:t>Hence, it is unclear whether the findings of the LEAP trial are applicable to patients with GTPS consulting physiotherapy services in the NHS. Further research is warranted to evaluate this</w:t>
      </w:r>
      <w:r w:rsidR="00600392">
        <w:t>.</w:t>
      </w:r>
    </w:p>
    <w:p w14:paraId="361369D2" w14:textId="7AC0330F" w:rsidR="009771D9" w:rsidRDefault="009771D9" w:rsidP="0040327A">
      <w:pPr>
        <w:spacing w:line="480" w:lineRule="auto"/>
      </w:pPr>
    </w:p>
    <w:p w14:paraId="6589DAD3" w14:textId="77777777" w:rsidR="00A50AD9" w:rsidRDefault="00A50AD9" w:rsidP="0040327A">
      <w:pPr>
        <w:spacing w:line="480" w:lineRule="auto"/>
      </w:pPr>
    </w:p>
    <w:p w14:paraId="0C8BA41A" w14:textId="77777777" w:rsidR="00582B6F" w:rsidRPr="00911ABC" w:rsidRDefault="00582B6F" w:rsidP="0040327A">
      <w:pPr>
        <w:spacing w:line="480" w:lineRule="auto"/>
        <w:rPr>
          <w:b/>
          <w:u w:val="single"/>
        </w:rPr>
      </w:pPr>
      <w:r w:rsidRPr="00911ABC">
        <w:rPr>
          <w:b/>
          <w:u w:val="single"/>
        </w:rPr>
        <w:t>Limitations</w:t>
      </w:r>
    </w:p>
    <w:p w14:paraId="2F94B247" w14:textId="03B78B98" w:rsidR="00125631" w:rsidRPr="003333C3" w:rsidRDefault="003333C3" w:rsidP="0040327A">
      <w:pPr>
        <w:spacing w:line="480" w:lineRule="auto"/>
      </w:pPr>
      <w:r>
        <w:t xml:space="preserve">This </w:t>
      </w:r>
      <w:r w:rsidR="00582B6F">
        <w:t xml:space="preserve">service evaluation relied on </w:t>
      </w:r>
      <w:r>
        <w:t xml:space="preserve">data from patient records that is </w:t>
      </w:r>
      <w:r w:rsidR="00D3604E">
        <w:t>dependent</w:t>
      </w:r>
      <w:r>
        <w:t xml:space="preserve"> on the thoroughness of the documentation of the </w:t>
      </w:r>
      <w:r w:rsidR="00582B6F">
        <w:t xml:space="preserve">treating </w:t>
      </w:r>
      <w:r>
        <w:t>clinician.</w:t>
      </w:r>
      <w:r w:rsidR="00212E05">
        <w:t xml:space="preserve"> </w:t>
      </w:r>
      <w:r w:rsidR="006C5FD1">
        <w:t>M</w:t>
      </w:r>
      <w:r w:rsidR="00212E05">
        <w:t>ethods</w:t>
      </w:r>
      <w:r w:rsidR="006C5FD1">
        <w:t xml:space="preserve"> to select patient records from sites</w:t>
      </w:r>
      <w:r w:rsidR="00212E05">
        <w:t xml:space="preserve"> were not standardised which could introduce some selection bias.</w:t>
      </w:r>
      <w:r>
        <w:t xml:space="preserve"> </w:t>
      </w:r>
      <w:r w:rsidR="00770424">
        <w:t>Also</w:t>
      </w:r>
      <w:r w:rsidR="00E0301C">
        <w:t>,</w:t>
      </w:r>
      <w:r w:rsidR="00770424">
        <w:t xml:space="preserve"> t</w:t>
      </w:r>
      <w:r>
        <w:t xml:space="preserve">he diagnosis of GTPS </w:t>
      </w:r>
      <w:r w:rsidR="00600392">
        <w:t>was not</w:t>
      </w:r>
      <w:r w:rsidR="007A62E8">
        <w:t xml:space="preserve"> </w:t>
      </w:r>
      <w:r w:rsidR="00582B6F">
        <w:t>standardised</w:t>
      </w:r>
      <w:r w:rsidR="00600392">
        <w:t>,</w:t>
      </w:r>
      <w:r w:rsidR="00582B6F">
        <w:t xml:space="preserve"> but previously</w:t>
      </w:r>
      <w:r w:rsidR="00D3604E">
        <w:t xml:space="preserve"> </w:t>
      </w:r>
      <w:r w:rsidR="00770424">
        <w:t xml:space="preserve">a large survey of current practice suggests that physiotherapists felt confident to diagnose the condition </w:t>
      </w:r>
      <w:r w:rsidR="00582B6F">
        <w:t xml:space="preserve">in a reasonably consistent </w:t>
      </w:r>
      <w:r w:rsidR="00600392">
        <w:t>manner</w:t>
      </w:r>
      <w:r w:rsidR="00CB618B">
        <w:rPr>
          <w:vertAlign w:val="superscript"/>
        </w:rPr>
        <w:t xml:space="preserve"> </w:t>
      </w:r>
      <w:r w:rsidR="00CB618B">
        <w:t>(Stephens et al, 2019)</w:t>
      </w:r>
      <w:r w:rsidR="00770424">
        <w:t>.</w:t>
      </w:r>
    </w:p>
    <w:p w14:paraId="2A0BF877" w14:textId="77777777" w:rsidR="003E4426" w:rsidRDefault="003E4426" w:rsidP="0040327A">
      <w:pPr>
        <w:spacing w:line="480" w:lineRule="auto"/>
        <w:rPr>
          <w:b/>
        </w:rPr>
      </w:pPr>
    </w:p>
    <w:p w14:paraId="19E3D2DF" w14:textId="77777777" w:rsidR="006C7AB1" w:rsidRDefault="006C7AB1" w:rsidP="00D3604E">
      <w:pPr>
        <w:spacing w:line="480" w:lineRule="auto"/>
        <w:jc w:val="center"/>
        <w:rPr>
          <w:b/>
          <w:u w:val="single"/>
        </w:rPr>
      </w:pPr>
    </w:p>
    <w:p w14:paraId="1EB3F27D" w14:textId="77777777" w:rsidR="00A84BDF" w:rsidRDefault="00A84BDF" w:rsidP="006831BA">
      <w:pPr>
        <w:spacing w:line="480" w:lineRule="auto"/>
        <w:jc w:val="center"/>
        <w:rPr>
          <w:b/>
          <w:u w:val="single"/>
        </w:rPr>
      </w:pPr>
    </w:p>
    <w:p w14:paraId="72618BF1" w14:textId="70CA5F39" w:rsidR="0040327A" w:rsidRPr="003E4426" w:rsidRDefault="003E4426" w:rsidP="006831BA">
      <w:pPr>
        <w:spacing w:line="480" w:lineRule="auto"/>
        <w:jc w:val="center"/>
        <w:rPr>
          <w:b/>
          <w:u w:val="single"/>
        </w:rPr>
      </w:pPr>
      <w:r w:rsidRPr="003E4426">
        <w:rPr>
          <w:b/>
          <w:u w:val="single"/>
        </w:rPr>
        <w:t xml:space="preserve">5. </w:t>
      </w:r>
      <w:r>
        <w:rPr>
          <w:b/>
          <w:u w:val="single"/>
        </w:rPr>
        <w:t>CONCLUSION</w:t>
      </w:r>
    </w:p>
    <w:p w14:paraId="7B797985" w14:textId="7DFBCCF0" w:rsidR="003E4426" w:rsidRDefault="003E4426" w:rsidP="0040327A">
      <w:pPr>
        <w:spacing w:line="480" w:lineRule="auto"/>
        <w:rPr>
          <w:b/>
        </w:rPr>
      </w:pPr>
      <w:r>
        <w:t xml:space="preserve">Patients presenting to the NHS with GTPS appear to have complex, multi-factorial issues </w:t>
      </w:r>
      <w:r w:rsidR="00600392">
        <w:t>with</w:t>
      </w:r>
      <w:r>
        <w:t xml:space="preserve"> high levels of pain and disability and are often medicated for multiple co-existing conditions. Importantly, they have characteristics which differentiate them from patients recruited to the LEAP trial, </w:t>
      </w:r>
      <w:r w:rsidR="00230D14">
        <w:t>Hence, it is unclear whether the findings of the LEAP trial are applicable to patients with GTPS consulting physiotherapy services in the NHS. Further research is warranted to evaluate this</w:t>
      </w:r>
      <w:r w:rsidR="00980A8D">
        <w:t>.</w:t>
      </w:r>
    </w:p>
    <w:p w14:paraId="1FAD33C3" w14:textId="77777777" w:rsidR="00D3604E" w:rsidRDefault="00D3604E" w:rsidP="0040327A">
      <w:pPr>
        <w:spacing w:line="480" w:lineRule="auto"/>
        <w:rPr>
          <w:b/>
        </w:rPr>
      </w:pPr>
    </w:p>
    <w:p w14:paraId="0EF8E11D" w14:textId="77777777" w:rsidR="006C7AB1" w:rsidRDefault="006C7AB1" w:rsidP="0040327A">
      <w:pPr>
        <w:spacing w:line="480" w:lineRule="auto"/>
        <w:rPr>
          <w:b/>
        </w:rPr>
      </w:pPr>
    </w:p>
    <w:p w14:paraId="0EE33859" w14:textId="77777777" w:rsidR="001B1FFF" w:rsidRDefault="001B1FFF" w:rsidP="0040327A">
      <w:pPr>
        <w:spacing w:line="480" w:lineRule="auto"/>
        <w:rPr>
          <w:b/>
        </w:rPr>
      </w:pPr>
    </w:p>
    <w:p w14:paraId="59C74388" w14:textId="77777777" w:rsidR="00A50AD9" w:rsidRDefault="00A50AD9" w:rsidP="004118F8">
      <w:pPr>
        <w:rPr>
          <w:b/>
        </w:rPr>
      </w:pPr>
    </w:p>
    <w:p w14:paraId="7CE0D931" w14:textId="77777777" w:rsidR="006C7AB1" w:rsidRDefault="006C7AB1" w:rsidP="004118F8">
      <w:pPr>
        <w:rPr>
          <w:b/>
          <w:color w:val="000000"/>
          <w:u w:val="single"/>
        </w:rPr>
      </w:pPr>
    </w:p>
    <w:p w14:paraId="58F92DD3" w14:textId="77777777" w:rsidR="006C7AB1" w:rsidRDefault="006C7AB1" w:rsidP="004118F8">
      <w:pPr>
        <w:rPr>
          <w:b/>
          <w:color w:val="000000"/>
          <w:u w:val="single"/>
        </w:rPr>
      </w:pPr>
    </w:p>
    <w:p w14:paraId="6A5FEFC3" w14:textId="77777777" w:rsidR="006C7AB1" w:rsidRDefault="006C7AB1" w:rsidP="004118F8">
      <w:pPr>
        <w:rPr>
          <w:b/>
          <w:color w:val="000000"/>
          <w:u w:val="single"/>
        </w:rPr>
      </w:pPr>
    </w:p>
    <w:p w14:paraId="7D7DEC32" w14:textId="77777777" w:rsidR="006C7AB1" w:rsidRDefault="006C7AB1" w:rsidP="004118F8">
      <w:pPr>
        <w:rPr>
          <w:b/>
          <w:color w:val="000000"/>
          <w:u w:val="single"/>
        </w:rPr>
      </w:pPr>
    </w:p>
    <w:p w14:paraId="62DB2AA1" w14:textId="77777777" w:rsidR="006C7AB1" w:rsidRDefault="006C7AB1" w:rsidP="004118F8">
      <w:pPr>
        <w:rPr>
          <w:b/>
          <w:color w:val="000000"/>
          <w:u w:val="single"/>
        </w:rPr>
      </w:pPr>
    </w:p>
    <w:p w14:paraId="0CFF550F" w14:textId="77777777" w:rsidR="006C7AB1" w:rsidRDefault="006C7AB1" w:rsidP="004118F8">
      <w:pPr>
        <w:rPr>
          <w:b/>
          <w:color w:val="000000"/>
          <w:u w:val="single"/>
        </w:rPr>
      </w:pPr>
    </w:p>
    <w:p w14:paraId="137F041C" w14:textId="77777777" w:rsidR="00CE4B8B" w:rsidRDefault="00CE4B8B" w:rsidP="004118F8">
      <w:pPr>
        <w:rPr>
          <w:b/>
          <w:color w:val="000000"/>
          <w:u w:val="single"/>
        </w:rPr>
      </w:pPr>
    </w:p>
    <w:p w14:paraId="7215A0C5" w14:textId="77777777" w:rsidR="00986065" w:rsidRDefault="00986065" w:rsidP="004118F8">
      <w:pPr>
        <w:rPr>
          <w:b/>
          <w:color w:val="000000"/>
          <w:u w:val="single"/>
        </w:rPr>
      </w:pPr>
    </w:p>
    <w:p w14:paraId="260F2153" w14:textId="77777777" w:rsidR="00A84BDF" w:rsidRDefault="00A84BDF" w:rsidP="004118F8">
      <w:pPr>
        <w:rPr>
          <w:b/>
          <w:color w:val="000000"/>
          <w:u w:val="single"/>
        </w:rPr>
      </w:pPr>
    </w:p>
    <w:p w14:paraId="5F2BBED1" w14:textId="77777777" w:rsidR="00A84BDF" w:rsidRDefault="00A84BDF" w:rsidP="004118F8">
      <w:pPr>
        <w:rPr>
          <w:b/>
          <w:color w:val="000000"/>
          <w:u w:val="single"/>
        </w:rPr>
      </w:pPr>
    </w:p>
    <w:p w14:paraId="512D073E" w14:textId="77777777" w:rsidR="00A84BDF" w:rsidRDefault="00A84BDF" w:rsidP="004118F8">
      <w:pPr>
        <w:rPr>
          <w:b/>
          <w:color w:val="000000"/>
          <w:u w:val="single"/>
        </w:rPr>
      </w:pPr>
    </w:p>
    <w:p w14:paraId="701A27E9" w14:textId="77777777" w:rsidR="00A84BDF" w:rsidRDefault="00A84BDF" w:rsidP="004118F8">
      <w:pPr>
        <w:rPr>
          <w:b/>
          <w:color w:val="000000"/>
          <w:u w:val="single"/>
        </w:rPr>
      </w:pPr>
    </w:p>
    <w:p w14:paraId="0229B43D" w14:textId="77777777" w:rsidR="00A84BDF" w:rsidRDefault="00A84BDF" w:rsidP="004118F8">
      <w:pPr>
        <w:rPr>
          <w:b/>
          <w:color w:val="000000"/>
          <w:u w:val="single"/>
        </w:rPr>
      </w:pPr>
    </w:p>
    <w:p w14:paraId="7927C7CF" w14:textId="77777777" w:rsidR="00A84BDF" w:rsidRDefault="00A84BDF" w:rsidP="004118F8">
      <w:pPr>
        <w:rPr>
          <w:b/>
          <w:color w:val="000000"/>
          <w:u w:val="single"/>
        </w:rPr>
      </w:pPr>
    </w:p>
    <w:p w14:paraId="7757EFAF" w14:textId="77777777" w:rsidR="00A84BDF" w:rsidRDefault="00A84BDF" w:rsidP="004118F8">
      <w:pPr>
        <w:rPr>
          <w:b/>
          <w:color w:val="000000"/>
          <w:u w:val="single"/>
        </w:rPr>
      </w:pPr>
    </w:p>
    <w:p w14:paraId="1B05B56C" w14:textId="06293EB9" w:rsidR="00184110" w:rsidRPr="00184110" w:rsidRDefault="00184110" w:rsidP="004118F8">
      <w:pPr>
        <w:rPr>
          <w:b/>
          <w:color w:val="000000"/>
          <w:u w:val="single"/>
        </w:rPr>
      </w:pPr>
      <w:r w:rsidRPr="00184110">
        <w:rPr>
          <w:b/>
          <w:color w:val="000000"/>
          <w:u w:val="single"/>
        </w:rPr>
        <w:t xml:space="preserve">Appendix </w:t>
      </w:r>
      <w:r w:rsidR="00D153EA">
        <w:rPr>
          <w:b/>
          <w:color w:val="000000"/>
          <w:u w:val="single"/>
        </w:rPr>
        <w:t>1</w:t>
      </w:r>
      <w:r w:rsidRPr="00184110">
        <w:rPr>
          <w:b/>
          <w:color w:val="000000"/>
          <w:u w:val="single"/>
        </w:rPr>
        <w:t xml:space="preserve">. Data capture </w:t>
      </w:r>
      <w:r>
        <w:rPr>
          <w:b/>
          <w:color w:val="000000"/>
          <w:u w:val="single"/>
        </w:rPr>
        <w:t>tool</w:t>
      </w:r>
    </w:p>
    <w:p w14:paraId="1EDD977C" w14:textId="3A81A496" w:rsidR="00184110" w:rsidRDefault="00AF6CAC" w:rsidP="004118F8">
      <w:pPr>
        <w:rPr>
          <w:color w:val="000000"/>
        </w:rPr>
      </w:pPr>
      <w:r w:rsidRPr="00AF6CAC">
        <w:rPr>
          <w:noProof/>
          <w:lang w:eastAsia="en-GB"/>
        </w:rPr>
        <w:drawing>
          <wp:inline distT="0" distB="0" distL="0" distR="0" wp14:anchorId="1A93EC15" wp14:editId="39AD48C3">
            <wp:extent cx="5731510" cy="2409763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0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66CD9" w14:textId="78395129" w:rsidR="004118F8" w:rsidRDefault="004118F8" w:rsidP="001107C3">
      <w:pPr>
        <w:jc w:val="both"/>
        <w:rPr>
          <w:b/>
          <w:u w:val="single"/>
        </w:rPr>
      </w:pPr>
    </w:p>
    <w:p w14:paraId="49EB8A9B" w14:textId="6C3127C2" w:rsidR="00E63CEB" w:rsidRDefault="00E63CEB" w:rsidP="001107C3">
      <w:pPr>
        <w:jc w:val="both"/>
        <w:rPr>
          <w:b/>
          <w:u w:val="single"/>
        </w:rPr>
      </w:pPr>
    </w:p>
    <w:p w14:paraId="34CF3A4F" w14:textId="0CFCB3DB" w:rsidR="00E63CEB" w:rsidRDefault="00E63CEB" w:rsidP="001107C3">
      <w:pPr>
        <w:jc w:val="both"/>
        <w:rPr>
          <w:b/>
          <w:u w:val="single"/>
        </w:rPr>
      </w:pPr>
    </w:p>
    <w:p w14:paraId="558C9327" w14:textId="0CF61AA9" w:rsidR="00E63CEB" w:rsidRDefault="00E63CEB" w:rsidP="001107C3">
      <w:pPr>
        <w:jc w:val="both"/>
        <w:rPr>
          <w:b/>
          <w:u w:val="single"/>
        </w:rPr>
      </w:pPr>
    </w:p>
    <w:p w14:paraId="5869708D" w14:textId="600FC309" w:rsidR="00E63CEB" w:rsidRDefault="00E63CEB" w:rsidP="001107C3">
      <w:pPr>
        <w:jc w:val="both"/>
        <w:rPr>
          <w:b/>
          <w:u w:val="single"/>
        </w:rPr>
      </w:pPr>
    </w:p>
    <w:p w14:paraId="57BA2D19" w14:textId="1C610973" w:rsidR="00E63CEB" w:rsidRDefault="00E63CEB" w:rsidP="001107C3">
      <w:pPr>
        <w:jc w:val="both"/>
        <w:rPr>
          <w:b/>
          <w:u w:val="single"/>
        </w:rPr>
      </w:pPr>
    </w:p>
    <w:p w14:paraId="51B453CC" w14:textId="0DFF9CD8" w:rsidR="00E63CEB" w:rsidRDefault="00E63CEB" w:rsidP="001107C3">
      <w:pPr>
        <w:jc w:val="both"/>
        <w:rPr>
          <w:b/>
          <w:u w:val="single"/>
        </w:rPr>
      </w:pPr>
    </w:p>
    <w:p w14:paraId="2230B4E1" w14:textId="4197EE3C" w:rsidR="00E63CEB" w:rsidRDefault="00E63CEB" w:rsidP="001107C3">
      <w:pPr>
        <w:jc w:val="both"/>
        <w:rPr>
          <w:b/>
          <w:u w:val="single"/>
        </w:rPr>
      </w:pPr>
    </w:p>
    <w:p w14:paraId="7C9B4D1C" w14:textId="6CEA18CA" w:rsidR="00E63CEB" w:rsidRDefault="00E63CEB" w:rsidP="001107C3">
      <w:pPr>
        <w:jc w:val="both"/>
        <w:rPr>
          <w:b/>
          <w:u w:val="single"/>
        </w:rPr>
      </w:pPr>
    </w:p>
    <w:p w14:paraId="6BC5F3B1" w14:textId="2422C650" w:rsidR="00E63CEB" w:rsidRDefault="00E63CEB" w:rsidP="001107C3">
      <w:pPr>
        <w:jc w:val="both"/>
        <w:rPr>
          <w:b/>
          <w:u w:val="single"/>
        </w:rPr>
      </w:pPr>
    </w:p>
    <w:p w14:paraId="651EAC06" w14:textId="64BA4E86" w:rsidR="00E63CEB" w:rsidRDefault="00E63CEB" w:rsidP="001107C3">
      <w:pPr>
        <w:jc w:val="both"/>
        <w:rPr>
          <w:b/>
          <w:u w:val="single"/>
        </w:rPr>
      </w:pPr>
    </w:p>
    <w:p w14:paraId="5A635D8B" w14:textId="310888CB" w:rsidR="00E63CEB" w:rsidRDefault="00E63CEB" w:rsidP="001107C3">
      <w:pPr>
        <w:jc w:val="both"/>
        <w:rPr>
          <w:b/>
          <w:u w:val="single"/>
        </w:rPr>
      </w:pPr>
    </w:p>
    <w:p w14:paraId="2F74B1C8" w14:textId="2AD51DEC" w:rsidR="00E63CEB" w:rsidRDefault="00E63CEB" w:rsidP="001107C3">
      <w:pPr>
        <w:jc w:val="both"/>
        <w:rPr>
          <w:b/>
          <w:u w:val="single"/>
        </w:rPr>
      </w:pPr>
    </w:p>
    <w:p w14:paraId="4CE9BF86" w14:textId="3E655AE3" w:rsidR="00E63CEB" w:rsidRDefault="00E63CEB" w:rsidP="001107C3">
      <w:pPr>
        <w:jc w:val="both"/>
        <w:rPr>
          <w:b/>
          <w:u w:val="single"/>
        </w:rPr>
      </w:pPr>
    </w:p>
    <w:p w14:paraId="515C7CD2" w14:textId="642D73A1" w:rsidR="00E63CEB" w:rsidRDefault="00E63CEB" w:rsidP="001107C3">
      <w:pPr>
        <w:jc w:val="both"/>
        <w:rPr>
          <w:b/>
          <w:u w:val="single"/>
        </w:rPr>
      </w:pPr>
    </w:p>
    <w:p w14:paraId="3EB9E48B" w14:textId="7C818867" w:rsidR="00E63CEB" w:rsidRDefault="00E63CEB" w:rsidP="001107C3">
      <w:pPr>
        <w:jc w:val="both"/>
        <w:rPr>
          <w:b/>
          <w:u w:val="single"/>
        </w:rPr>
      </w:pPr>
    </w:p>
    <w:p w14:paraId="105AC471" w14:textId="052EE19F" w:rsidR="00E63CEB" w:rsidRDefault="00E63CEB" w:rsidP="001107C3">
      <w:pPr>
        <w:jc w:val="both"/>
        <w:rPr>
          <w:b/>
          <w:u w:val="single"/>
        </w:rPr>
      </w:pPr>
    </w:p>
    <w:p w14:paraId="17890586" w14:textId="77777777" w:rsidR="00907D0D" w:rsidRDefault="00907D0D" w:rsidP="00907D0D">
      <w:pPr>
        <w:jc w:val="center"/>
        <w:rPr>
          <w:b/>
          <w:u w:val="single"/>
        </w:rPr>
      </w:pPr>
    </w:p>
    <w:p w14:paraId="18B854CE" w14:textId="77777777" w:rsidR="00380289" w:rsidRPr="00380289" w:rsidRDefault="00380289" w:rsidP="00380289">
      <w:pPr>
        <w:jc w:val="center"/>
        <w:rPr>
          <w:rFonts w:ascii="Calibri" w:eastAsia="Calibri" w:hAnsi="Calibri" w:cs="Times New Roman"/>
          <w:b/>
          <w:u w:val="single"/>
        </w:rPr>
      </w:pPr>
      <w:r w:rsidRPr="00380289">
        <w:rPr>
          <w:rFonts w:ascii="Calibri" w:eastAsia="Calibri" w:hAnsi="Calibri" w:cs="Times New Roman"/>
          <w:b/>
          <w:u w:val="single"/>
        </w:rPr>
        <w:t>References</w:t>
      </w:r>
    </w:p>
    <w:bookmarkStart w:id="4" w:name="_Hlk9592738"/>
    <w:p w14:paraId="729A17BC" w14:textId="77777777" w:rsidR="00380289" w:rsidRPr="00380289" w:rsidRDefault="00380289" w:rsidP="0038028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eastAsia="Calibri" w:hAnsi="Calibri" w:cs="Calibri"/>
          <w:noProof/>
          <w:szCs w:val="24"/>
        </w:rPr>
      </w:pPr>
      <w:r w:rsidRPr="00380289">
        <w:rPr>
          <w:rFonts w:ascii="Calibri" w:eastAsia="Calibri" w:hAnsi="Calibri" w:cs="Times New Roman"/>
        </w:rPr>
        <w:fldChar w:fldCharType="begin" w:fldLock="1"/>
      </w:r>
      <w:r w:rsidRPr="00380289">
        <w:rPr>
          <w:rFonts w:ascii="Calibri" w:eastAsia="Calibri" w:hAnsi="Calibri" w:cs="Times New Roman"/>
        </w:rPr>
        <w:instrText xml:space="preserve">ADDIN Mendeley Bibliography CSL_BIBLIOGRAPHY </w:instrText>
      </w:r>
      <w:r w:rsidRPr="00380289">
        <w:rPr>
          <w:rFonts w:ascii="Calibri" w:eastAsia="Calibri" w:hAnsi="Calibri" w:cs="Times New Roman"/>
        </w:rPr>
        <w:fldChar w:fldCharType="separate"/>
      </w:r>
      <w:r w:rsidRPr="00380289">
        <w:rPr>
          <w:rFonts w:ascii="Calibri" w:eastAsia="Calibri" w:hAnsi="Calibri" w:cs="Calibri"/>
          <w:noProof/>
          <w:szCs w:val="24"/>
        </w:rPr>
        <w:t xml:space="preserve">Abate, M., Schiavone, C., Salini, V., &amp; Andia, I. (2013). Occurrence of tendon pathologies in metabolic disorders. </w:t>
      </w:r>
      <w:r w:rsidRPr="00380289">
        <w:rPr>
          <w:rFonts w:ascii="Calibri" w:eastAsia="Calibri" w:hAnsi="Calibri" w:cs="Calibri"/>
          <w:i/>
          <w:iCs/>
          <w:noProof/>
          <w:szCs w:val="24"/>
        </w:rPr>
        <w:t>Rheumatology (United Kingdom)</w:t>
      </w:r>
      <w:r w:rsidRPr="00380289">
        <w:rPr>
          <w:rFonts w:ascii="Calibri" w:eastAsia="Calibri" w:hAnsi="Calibri" w:cs="Calibri"/>
          <w:noProof/>
          <w:szCs w:val="24"/>
        </w:rPr>
        <w:t xml:space="preserve">, </w:t>
      </w:r>
      <w:r w:rsidRPr="00380289">
        <w:rPr>
          <w:rFonts w:ascii="Calibri" w:eastAsia="Calibri" w:hAnsi="Calibri" w:cs="Calibri"/>
          <w:i/>
          <w:iCs/>
          <w:noProof/>
          <w:szCs w:val="24"/>
        </w:rPr>
        <w:t>52</w:t>
      </w:r>
      <w:r w:rsidRPr="00380289">
        <w:rPr>
          <w:rFonts w:ascii="Calibri" w:eastAsia="Calibri" w:hAnsi="Calibri" w:cs="Calibri"/>
          <w:noProof/>
          <w:szCs w:val="24"/>
        </w:rPr>
        <w:t>(4), 599–608. https://doi.org/10.1093/rheumatology/kes395</w:t>
      </w:r>
    </w:p>
    <w:p w14:paraId="1C8D6A48" w14:textId="77777777" w:rsidR="00380289" w:rsidRPr="00380289" w:rsidRDefault="00380289" w:rsidP="0038028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eastAsia="Calibri" w:hAnsi="Calibri" w:cs="Calibri"/>
          <w:noProof/>
          <w:szCs w:val="24"/>
        </w:rPr>
      </w:pPr>
      <w:r w:rsidRPr="00380289">
        <w:rPr>
          <w:rFonts w:ascii="Calibri" w:eastAsia="Calibri" w:hAnsi="Calibri" w:cs="Calibri"/>
          <w:noProof/>
          <w:szCs w:val="24"/>
        </w:rPr>
        <w:t xml:space="preserve">Albers, I. S., Zwerver, J., Diercks, R. L., Dekker, J. H., &amp; Van Den Akker-Scheek, I. (2016). Incidence and prevalence of lower extremity tendinopathy in a Dutch general practice population: A cross sectional study. </w:t>
      </w:r>
      <w:r w:rsidRPr="00380289">
        <w:rPr>
          <w:rFonts w:ascii="Calibri" w:eastAsia="Calibri" w:hAnsi="Calibri" w:cs="Calibri"/>
          <w:i/>
          <w:iCs/>
          <w:noProof/>
          <w:szCs w:val="24"/>
        </w:rPr>
        <w:t>BMC Musculoskeletal Disorders</w:t>
      </w:r>
      <w:r w:rsidRPr="00380289">
        <w:rPr>
          <w:rFonts w:ascii="Calibri" w:eastAsia="Calibri" w:hAnsi="Calibri" w:cs="Calibri"/>
          <w:noProof/>
          <w:szCs w:val="24"/>
        </w:rPr>
        <w:t xml:space="preserve">, </w:t>
      </w:r>
      <w:r w:rsidRPr="00380289">
        <w:rPr>
          <w:rFonts w:ascii="Calibri" w:eastAsia="Calibri" w:hAnsi="Calibri" w:cs="Calibri"/>
          <w:i/>
          <w:iCs/>
          <w:noProof/>
          <w:szCs w:val="24"/>
        </w:rPr>
        <w:t>17</w:t>
      </w:r>
      <w:r w:rsidRPr="00380289">
        <w:rPr>
          <w:rFonts w:ascii="Calibri" w:eastAsia="Calibri" w:hAnsi="Calibri" w:cs="Calibri"/>
          <w:noProof/>
          <w:szCs w:val="24"/>
        </w:rPr>
        <w:t>(1). https://doi.org/10.1186/s12891-016-0885-2</w:t>
      </w:r>
    </w:p>
    <w:p w14:paraId="7832FDAE" w14:textId="77777777" w:rsidR="00380289" w:rsidRPr="00380289" w:rsidRDefault="00380289" w:rsidP="0038028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eastAsia="Calibri" w:hAnsi="Calibri" w:cs="Calibri"/>
          <w:noProof/>
          <w:szCs w:val="24"/>
        </w:rPr>
      </w:pPr>
      <w:r w:rsidRPr="00380289">
        <w:rPr>
          <w:rFonts w:ascii="Calibri" w:eastAsia="Calibri" w:hAnsi="Calibri" w:cs="Calibri"/>
          <w:noProof/>
          <w:szCs w:val="24"/>
        </w:rPr>
        <w:t xml:space="preserve">Artus, M., Campbell, P., Mallen, C. D., Dunn, K. M., &amp; Van Der Windt, D. A. W. (2017). Generic prognostic factors for musculoskeletal pain in primary care: A systematic review. </w:t>
      </w:r>
      <w:r w:rsidRPr="00380289">
        <w:rPr>
          <w:rFonts w:ascii="Calibri" w:eastAsia="Calibri" w:hAnsi="Calibri" w:cs="Calibri"/>
          <w:i/>
          <w:iCs/>
          <w:noProof/>
          <w:szCs w:val="24"/>
        </w:rPr>
        <w:t>BMJ Open</w:t>
      </w:r>
      <w:r w:rsidRPr="00380289">
        <w:rPr>
          <w:rFonts w:ascii="Calibri" w:eastAsia="Calibri" w:hAnsi="Calibri" w:cs="Calibri"/>
          <w:noProof/>
          <w:szCs w:val="24"/>
        </w:rPr>
        <w:t xml:space="preserve">, </w:t>
      </w:r>
      <w:r w:rsidRPr="00380289">
        <w:rPr>
          <w:rFonts w:ascii="Calibri" w:eastAsia="Calibri" w:hAnsi="Calibri" w:cs="Calibri"/>
          <w:i/>
          <w:iCs/>
          <w:noProof/>
          <w:szCs w:val="24"/>
        </w:rPr>
        <w:t>7</w:t>
      </w:r>
      <w:r w:rsidRPr="00380289">
        <w:rPr>
          <w:rFonts w:ascii="Calibri" w:eastAsia="Calibri" w:hAnsi="Calibri" w:cs="Calibri"/>
          <w:noProof/>
          <w:szCs w:val="24"/>
        </w:rPr>
        <w:t>(1), 1–10. https://doi.org/10.1136/bmjopen-2016-012901</w:t>
      </w:r>
    </w:p>
    <w:p w14:paraId="573AFEE3" w14:textId="77777777" w:rsidR="00380289" w:rsidRPr="00380289" w:rsidRDefault="00380289" w:rsidP="0038028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eastAsia="Calibri" w:hAnsi="Calibri" w:cs="Calibri"/>
          <w:noProof/>
          <w:szCs w:val="24"/>
        </w:rPr>
      </w:pPr>
      <w:r w:rsidRPr="00380289">
        <w:rPr>
          <w:rFonts w:ascii="Calibri" w:eastAsia="Calibri" w:hAnsi="Calibri" w:cs="Calibri"/>
          <w:noProof/>
          <w:szCs w:val="24"/>
        </w:rPr>
        <w:t xml:space="preserve">Brinks, A., &amp; Denman, M. (2011). Corticosteroid injections improved shortterm, but not long-term, recovery and pain in the greater trochanteric pain syndrome. </w:t>
      </w:r>
      <w:r w:rsidRPr="00380289">
        <w:rPr>
          <w:rFonts w:ascii="Calibri" w:eastAsia="Calibri" w:hAnsi="Calibri" w:cs="Calibri"/>
          <w:i/>
          <w:iCs/>
          <w:noProof/>
          <w:szCs w:val="24"/>
        </w:rPr>
        <w:t>Annals of Internal Medicine</w:t>
      </w:r>
      <w:r w:rsidRPr="00380289">
        <w:rPr>
          <w:rFonts w:ascii="Calibri" w:eastAsia="Calibri" w:hAnsi="Calibri" w:cs="Calibri"/>
          <w:noProof/>
          <w:szCs w:val="24"/>
        </w:rPr>
        <w:t>. https://doi.org/10.7326/0003-4819-155-8-201110180-02009</w:t>
      </w:r>
    </w:p>
    <w:p w14:paraId="0D511BEA" w14:textId="77777777" w:rsidR="00380289" w:rsidRPr="00380289" w:rsidRDefault="00380289" w:rsidP="00380289">
      <w:pPr>
        <w:spacing w:after="0"/>
        <w:rPr>
          <w:rFonts w:ascii="Calibri" w:eastAsia="Calibri" w:hAnsi="Calibri" w:cs="Times New Roman"/>
        </w:rPr>
      </w:pPr>
      <w:r w:rsidRPr="00380289">
        <w:rPr>
          <w:rFonts w:ascii="Calibri" w:eastAsia="Calibri" w:hAnsi="Calibri" w:cs="Times New Roman"/>
        </w:rPr>
        <w:t xml:space="preserve">British Medical Association new guide to medicine &amp; drugs (9th ed.). (2015). London: Dorling </w:t>
      </w:r>
    </w:p>
    <w:p w14:paraId="7BA8A47D" w14:textId="77777777" w:rsidR="00380289" w:rsidRPr="00380289" w:rsidRDefault="00380289" w:rsidP="00380289">
      <w:pPr>
        <w:widowControl w:val="0"/>
        <w:autoSpaceDE w:val="0"/>
        <w:autoSpaceDN w:val="0"/>
        <w:adjustRightInd w:val="0"/>
        <w:spacing w:after="0" w:line="240" w:lineRule="auto"/>
        <w:ind w:left="960" w:hanging="480"/>
        <w:rPr>
          <w:rFonts w:ascii="Calibri" w:eastAsia="Calibri" w:hAnsi="Calibri" w:cs="Times New Roman"/>
        </w:rPr>
      </w:pPr>
      <w:r w:rsidRPr="00380289">
        <w:rPr>
          <w:rFonts w:ascii="Calibri" w:eastAsia="Calibri" w:hAnsi="Calibri" w:cs="Times New Roman"/>
        </w:rPr>
        <w:t>Kindersley.</w:t>
      </w:r>
    </w:p>
    <w:p w14:paraId="0FBB505D" w14:textId="77777777" w:rsidR="00380289" w:rsidRPr="00380289" w:rsidRDefault="00380289" w:rsidP="00380289">
      <w:pPr>
        <w:widowControl w:val="0"/>
        <w:autoSpaceDE w:val="0"/>
        <w:autoSpaceDN w:val="0"/>
        <w:adjustRightInd w:val="0"/>
        <w:spacing w:after="0" w:line="240" w:lineRule="auto"/>
        <w:ind w:left="960" w:hanging="480"/>
        <w:rPr>
          <w:rFonts w:ascii="Calibri" w:eastAsia="Calibri" w:hAnsi="Calibri" w:cs="Calibri"/>
          <w:noProof/>
          <w:szCs w:val="24"/>
        </w:rPr>
      </w:pPr>
    </w:p>
    <w:p w14:paraId="2006CA7E" w14:textId="77777777" w:rsidR="00380289" w:rsidRPr="00380289" w:rsidRDefault="00380289" w:rsidP="0038028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eastAsia="Calibri" w:hAnsi="Calibri" w:cs="Calibri"/>
          <w:noProof/>
          <w:szCs w:val="24"/>
        </w:rPr>
      </w:pPr>
      <w:r w:rsidRPr="00380289">
        <w:rPr>
          <w:rFonts w:ascii="Calibri" w:eastAsia="Calibri" w:hAnsi="Calibri" w:cs="Calibri"/>
          <w:noProof/>
          <w:szCs w:val="24"/>
        </w:rPr>
        <w:t>Coretti S, Ruggeri M, M. P. (in press). What effect size matters? Comparing methods used for estimation of the 2 Minimum Clinically Important Difference, 1–25. Retrieved from https://editorialexpress.com/cgi-bin/conference/download.cgi?db_name=SIEP2017&amp;paper_id=82</w:t>
      </w:r>
    </w:p>
    <w:p w14:paraId="3F92FAEC" w14:textId="77777777" w:rsidR="00380289" w:rsidRPr="00380289" w:rsidRDefault="00380289" w:rsidP="0038028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eastAsia="Calibri" w:hAnsi="Calibri" w:cs="Calibri"/>
          <w:noProof/>
          <w:szCs w:val="24"/>
        </w:rPr>
      </w:pPr>
      <w:r w:rsidRPr="00380289">
        <w:rPr>
          <w:rFonts w:ascii="Calibri" w:eastAsia="Calibri" w:hAnsi="Calibri" w:cs="Calibri"/>
          <w:noProof/>
          <w:szCs w:val="24"/>
        </w:rPr>
        <w:t xml:space="preserve">Cornally, N., &amp; McCarthy, G. (2011). Chronic Pain: The Help-Seeking Behavior, Attitudes, and Beliefs of Older Adults Living in the Community. </w:t>
      </w:r>
      <w:r w:rsidRPr="00380289">
        <w:rPr>
          <w:rFonts w:ascii="Calibri" w:eastAsia="Calibri" w:hAnsi="Calibri" w:cs="Calibri"/>
          <w:i/>
          <w:iCs/>
          <w:noProof/>
          <w:szCs w:val="24"/>
        </w:rPr>
        <w:t>Pain Management Nursing</w:t>
      </w:r>
      <w:r w:rsidRPr="00380289">
        <w:rPr>
          <w:rFonts w:ascii="Calibri" w:eastAsia="Calibri" w:hAnsi="Calibri" w:cs="Calibri"/>
          <w:noProof/>
          <w:szCs w:val="24"/>
        </w:rPr>
        <w:t xml:space="preserve">, </w:t>
      </w:r>
      <w:r w:rsidRPr="00380289">
        <w:rPr>
          <w:rFonts w:ascii="Calibri" w:eastAsia="Calibri" w:hAnsi="Calibri" w:cs="Calibri"/>
          <w:i/>
          <w:iCs/>
          <w:noProof/>
          <w:szCs w:val="24"/>
        </w:rPr>
        <w:t>12</w:t>
      </w:r>
      <w:r w:rsidRPr="00380289">
        <w:rPr>
          <w:rFonts w:ascii="Calibri" w:eastAsia="Calibri" w:hAnsi="Calibri" w:cs="Calibri"/>
          <w:noProof/>
          <w:szCs w:val="24"/>
        </w:rPr>
        <w:t>(4), 206–217. https://doi.org/10.1016/j.pmn.2010.12.006</w:t>
      </w:r>
    </w:p>
    <w:p w14:paraId="04B0FD97" w14:textId="77777777" w:rsidR="00380289" w:rsidRPr="00380289" w:rsidRDefault="00380289" w:rsidP="0038028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eastAsia="Calibri" w:hAnsi="Calibri" w:cs="Calibri"/>
          <w:noProof/>
          <w:szCs w:val="24"/>
        </w:rPr>
      </w:pPr>
      <w:r w:rsidRPr="00380289">
        <w:rPr>
          <w:rFonts w:ascii="Calibri" w:eastAsia="Calibri" w:hAnsi="Calibri" w:cs="Calibri"/>
          <w:noProof/>
          <w:szCs w:val="24"/>
        </w:rPr>
        <w:t xml:space="preserve">Demant, A. W., Kocovic, L., Henschkowski, J., Siebenrock, K. A., Ferrari, P., Steinbach, L. S., &amp; Anderson, S. E. (2007). Hip pain in renal transplant recipients: Symptomatic gluteus minimus and gluteus medius tendon abnormality as an alternative MRI diagnosis to avascular necrosis. </w:t>
      </w:r>
      <w:r w:rsidRPr="00380289">
        <w:rPr>
          <w:rFonts w:ascii="Calibri" w:eastAsia="Calibri" w:hAnsi="Calibri" w:cs="Calibri"/>
          <w:i/>
          <w:iCs/>
          <w:noProof/>
          <w:szCs w:val="24"/>
        </w:rPr>
        <w:t>American Journal of Roentgenology</w:t>
      </w:r>
      <w:r w:rsidRPr="00380289">
        <w:rPr>
          <w:rFonts w:ascii="Calibri" w:eastAsia="Calibri" w:hAnsi="Calibri" w:cs="Calibri"/>
          <w:noProof/>
          <w:szCs w:val="24"/>
        </w:rPr>
        <w:t xml:space="preserve">, </w:t>
      </w:r>
      <w:r w:rsidRPr="00380289">
        <w:rPr>
          <w:rFonts w:ascii="Calibri" w:eastAsia="Calibri" w:hAnsi="Calibri" w:cs="Calibri"/>
          <w:i/>
          <w:iCs/>
          <w:noProof/>
          <w:szCs w:val="24"/>
        </w:rPr>
        <w:t>188</w:t>
      </w:r>
      <w:r w:rsidRPr="00380289">
        <w:rPr>
          <w:rFonts w:ascii="Calibri" w:eastAsia="Calibri" w:hAnsi="Calibri" w:cs="Calibri"/>
          <w:noProof/>
          <w:szCs w:val="24"/>
        </w:rPr>
        <w:t>(2), 515–519. https://doi.org/10.2214/AJR.05.1097</w:t>
      </w:r>
    </w:p>
    <w:p w14:paraId="14FD32C5" w14:textId="77777777" w:rsidR="00380289" w:rsidRPr="00380289" w:rsidRDefault="00380289" w:rsidP="0038028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eastAsia="Calibri" w:hAnsi="Calibri" w:cs="Calibri"/>
          <w:noProof/>
          <w:szCs w:val="24"/>
        </w:rPr>
      </w:pPr>
      <w:r w:rsidRPr="00380289">
        <w:rPr>
          <w:rFonts w:ascii="Calibri" w:eastAsia="Calibri" w:hAnsi="Calibri" w:cs="Calibri"/>
          <w:noProof/>
          <w:szCs w:val="24"/>
        </w:rPr>
        <w:t xml:space="preserve">Els, C., Jackson, T. D., Kunyk, D., Lappi, V. G., Sonnenberg, B., Hagtvedt, R., … Straube, S. (2017). Adverse events associated with medium- and long-term use of opioids for chronic non-cancer pain: an overview of Cochrane Reviews. </w:t>
      </w:r>
      <w:r w:rsidRPr="00380289">
        <w:rPr>
          <w:rFonts w:ascii="Calibri" w:eastAsia="Calibri" w:hAnsi="Calibri" w:cs="Calibri"/>
          <w:i/>
          <w:iCs/>
          <w:noProof/>
          <w:szCs w:val="24"/>
        </w:rPr>
        <w:t>The Cochrane Database of Systematic Reviews</w:t>
      </w:r>
      <w:r w:rsidRPr="00380289">
        <w:rPr>
          <w:rFonts w:ascii="Calibri" w:eastAsia="Calibri" w:hAnsi="Calibri" w:cs="Calibri"/>
          <w:noProof/>
          <w:szCs w:val="24"/>
        </w:rPr>
        <w:t xml:space="preserve">, </w:t>
      </w:r>
      <w:r w:rsidRPr="00380289">
        <w:rPr>
          <w:rFonts w:ascii="Calibri" w:eastAsia="Calibri" w:hAnsi="Calibri" w:cs="Calibri"/>
          <w:i/>
          <w:iCs/>
          <w:noProof/>
          <w:szCs w:val="24"/>
        </w:rPr>
        <w:t>10</w:t>
      </w:r>
      <w:r w:rsidRPr="00380289">
        <w:rPr>
          <w:rFonts w:ascii="Calibri" w:eastAsia="Calibri" w:hAnsi="Calibri" w:cs="Calibri"/>
          <w:noProof/>
          <w:szCs w:val="24"/>
        </w:rPr>
        <w:t>, CD012509. https://doi.org/10.1002/14651858.CD012509.pub2</w:t>
      </w:r>
    </w:p>
    <w:p w14:paraId="509169C9" w14:textId="77777777" w:rsidR="00380289" w:rsidRPr="00380289" w:rsidRDefault="00380289" w:rsidP="0038028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eastAsia="Calibri" w:hAnsi="Calibri" w:cs="Calibri"/>
          <w:noProof/>
          <w:szCs w:val="24"/>
        </w:rPr>
      </w:pPr>
      <w:r w:rsidRPr="00380289">
        <w:rPr>
          <w:rFonts w:ascii="Calibri" w:eastAsia="Calibri" w:hAnsi="Calibri" w:cs="Calibri"/>
          <w:noProof/>
          <w:szCs w:val="24"/>
        </w:rPr>
        <w:t xml:space="preserve">Fearon,  a. M., Stephens, S., Cook, J. L., Smith, P. N., Cormick, W., &amp; Scarvell, J. M. (2012). Are child bearing hips a risk factor for Greater trochanteric pain syndrome? </w:t>
      </w:r>
      <w:r w:rsidRPr="00380289">
        <w:rPr>
          <w:rFonts w:ascii="Calibri" w:eastAsia="Calibri" w:hAnsi="Calibri" w:cs="Calibri"/>
          <w:i/>
          <w:iCs/>
          <w:noProof/>
          <w:szCs w:val="24"/>
        </w:rPr>
        <w:t>Journal of Bodywork and Movement Therapies</w:t>
      </w:r>
      <w:r w:rsidRPr="00380289">
        <w:rPr>
          <w:rFonts w:ascii="Calibri" w:eastAsia="Calibri" w:hAnsi="Calibri" w:cs="Calibri"/>
          <w:noProof/>
          <w:szCs w:val="24"/>
        </w:rPr>
        <w:t>. https://doi.org/10.1016/j.jbmt.2012.01.060</w:t>
      </w:r>
    </w:p>
    <w:p w14:paraId="75942307" w14:textId="77777777" w:rsidR="00380289" w:rsidRPr="00380289" w:rsidRDefault="00380289" w:rsidP="0038028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eastAsia="Calibri" w:hAnsi="Calibri" w:cs="Calibri"/>
          <w:noProof/>
          <w:szCs w:val="24"/>
        </w:rPr>
      </w:pPr>
      <w:r w:rsidRPr="00380289">
        <w:rPr>
          <w:rFonts w:ascii="Calibri" w:eastAsia="Calibri" w:hAnsi="Calibri" w:cs="Calibri"/>
          <w:noProof/>
          <w:szCs w:val="24"/>
        </w:rPr>
        <w:t xml:space="preserve">Fearon, A. M., Cook, J. L., Scarvell, J. M., Neeman, T., Cormick, W., &amp; Smith, P. N. (2014). Greater trochanteric pain syndrome negatively affects work, physical activity and quality of life: a case control study. </w:t>
      </w:r>
      <w:r w:rsidRPr="00380289">
        <w:rPr>
          <w:rFonts w:ascii="Calibri" w:eastAsia="Calibri" w:hAnsi="Calibri" w:cs="Calibri"/>
          <w:i/>
          <w:iCs/>
          <w:noProof/>
          <w:szCs w:val="24"/>
        </w:rPr>
        <w:t>The Journal of Arthroplasty</w:t>
      </w:r>
      <w:r w:rsidRPr="00380289">
        <w:rPr>
          <w:rFonts w:ascii="Calibri" w:eastAsia="Calibri" w:hAnsi="Calibri" w:cs="Calibri"/>
          <w:noProof/>
          <w:szCs w:val="24"/>
        </w:rPr>
        <w:t xml:space="preserve">, </w:t>
      </w:r>
      <w:r w:rsidRPr="00380289">
        <w:rPr>
          <w:rFonts w:ascii="Calibri" w:eastAsia="Calibri" w:hAnsi="Calibri" w:cs="Calibri"/>
          <w:i/>
          <w:iCs/>
          <w:noProof/>
          <w:szCs w:val="24"/>
        </w:rPr>
        <w:t>29</w:t>
      </w:r>
      <w:r w:rsidRPr="00380289">
        <w:rPr>
          <w:rFonts w:ascii="Calibri" w:eastAsia="Calibri" w:hAnsi="Calibri" w:cs="Calibri"/>
          <w:noProof/>
          <w:szCs w:val="24"/>
        </w:rPr>
        <w:t>(2), 383–386. https://doi.org/10.1016/j.arth.2012.10.016</w:t>
      </w:r>
    </w:p>
    <w:p w14:paraId="4F10A9AB" w14:textId="77777777" w:rsidR="00380289" w:rsidRPr="00380289" w:rsidRDefault="00380289" w:rsidP="0038028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eastAsia="Calibri" w:hAnsi="Calibri" w:cs="Calibri"/>
          <w:noProof/>
          <w:szCs w:val="24"/>
        </w:rPr>
      </w:pPr>
      <w:r w:rsidRPr="00380289">
        <w:rPr>
          <w:rFonts w:ascii="Calibri" w:eastAsia="Calibri" w:hAnsi="Calibri" w:cs="Calibri"/>
          <w:noProof/>
          <w:szCs w:val="24"/>
        </w:rPr>
        <w:t xml:space="preserve">Fearon, A. M., Scarvell, J. M., Cook, J. L., &amp; Smith, P. N. F. (2010). Does ultrasound correlate with surgical or histologic findings in greater trochanteric pain syndrome? A pilot study. </w:t>
      </w:r>
      <w:r w:rsidRPr="00380289">
        <w:rPr>
          <w:rFonts w:ascii="Calibri" w:eastAsia="Calibri" w:hAnsi="Calibri" w:cs="Calibri"/>
          <w:i/>
          <w:iCs/>
          <w:noProof/>
          <w:szCs w:val="24"/>
        </w:rPr>
        <w:t>Clinical Orthopaedics and Related Research</w:t>
      </w:r>
      <w:r w:rsidRPr="00380289">
        <w:rPr>
          <w:rFonts w:ascii="Calibri" w:eastAsia="Calibri" w:hAnsi="Calibri" w:cs="Calibri"/>
          <w:noProof/>
          <w:szCs w:val="24"/>
        </w:rPr>
        <w:t>. https://doi.org/10.1007/s11999-009-1174-2</w:t>
      </w:r>
    </w:p>
    <w:p w14:paraId="4D49F523" w14:textId="77777777" w:rsidR="00380289" w:rsidRPr="00380289" w:rsidRDefault="00380289" w:rsidP="0038028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eastAsia="Calibri" w:hAnsi="Calibri" w:cs="Calibri"/>
          <w:noProof/>
          <w:szCs w:val="24"/>
        </w:rPr>
      </w:pPr>
      <w:r w:rsidRPr="00380289">
        <w:rPr>
          <w:rFonts w:ascii="Calibri" w:eastAsia="Calibri" w:hAnsi="Calibri" w:cs="Calibri"/>
          <w:noProof/>
          <w:szCs w:val="24"/>
        </w:rPr>
        <w:t xml:space="preserve">Fearon, A. M., Scarvell, J. M., Neeman, T., Cook, J. L., Cormick, W., &amp; Smith, P. N. (2013). Greater trochanteric pain syndrome: defining the clinical syndrome. </w:t>
      </w:r>
      <w:r w:rsidRPr="00380289">
        <w:rPr>
          <w:rFonts w:ascii="Calibri" w:eastAsia="Calibri" w:hAnsi="Calibri" w:cs="Calibri"/>
          <w:i/>
          <w:iCs/>
          <w:noProof/>
          <w:szCs w:val="24"/>
        </w:rPr>
        <w:t>British Journal of Sports Medicine</w:t>
      </w:r>
      <w:r w:rsidRPr="00380289">
        <w:rPr>
          <w:rFonts w:ascii="Calibri" w:eastAsia="Calibri" w:hAnsi="Calibri" w:cs="Calibri"/>
          <w:noProof/>
          <w:szCs w:val="24"/>
        </w:rPr>
        <w:t xml:space="preserve">, </w:t>
      </w:r>
      <w:r w:rsidRPr="00380289">
        <w:rPr>
          <w:rFonts w:ascii="Calibri" w:eastAsia="Calibri" w:hAnsi="Calibri" w:cs="Calibri"/>
          <w:i/>
          <w:iCs/>
          <w:noProof/>
          <w:szCs w:val="24"/>
        </w:rPr>
        <w:t>47</w:t>
      </w:r>
      <w:r w:rsidRPr="00380289">
        <w:rPr>
          <w:rFonts w:ascii="Calibri" w:eastAsia="Calibri" w:hAnsi="Calibri" w:cs="Calibri"/>
          <w:noProof/>
          <w:szCs w:val="24"/>
        </w:rPr>
        <w:t>(10), 649–653. https://doi.org/10.1136/bjsports-2012-091565</w:t>
      </w:r>
    </w:p>
    <w:p w14:paraId="294E2EC3" w14:textId="77777777" w:rsidR="00380289" w:rsidRPr="00380289" w:rsidRDefault="00380289" w:rsidP="0038028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noProof/>
          <w:szCs w:val="24"/>
        </w:rPr>
      </w:pPr>
      <w:r w:rsidRPr="00380289">
        <w:rPr>
          <w:rFonts w:ascii="Calibri" w:eastAsia="Calibri" w:hAnsi="Calibri" w:cs="Calibri"/>
          <w:noProof/>
          <w:szCs w:val="24"/>
        </w:rPr>
        <w:t xml:space="preserve">Gaida, J. E., Ashe, M. C., Bass, S. L., &amp; Cook, J. L. (2009). Is Adiposity an Under-Recognized Risk Factor </w:t>
      </w:r>
    </w:p>
    <w:p w14:paraId="3764A9A9" w14:textId="77777777" w:rsidR="00380289" w:rsidRPr="00380289" w:rsidRDefault="00380289" w:rsidP="00380289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Calibri" w:eastAsia="Calibri" w:hAnsi="Calibri" w:cs="Calibri"/>
          <w:noProof/>
          <w:szCs w:val="24"/>
        </w:rPr>
      </w:pPr>
      <w:r w:rsidRPr="00380289">
        <w:rPr>
          <w:rFonts w:ascii="Calibri" w:eastAsia="Calibri" w:hAnsi="Calibri" w:cs="Calibri"/>
          <w:noProof/>
          <w:szCs w:val="24"/>
        </w:rPr>
        <w:t xml:space="preserve">for Tendinopathy ? A Systematic Review, </w:t>
      </w:r>
      <w:r w:rsidRPr="00380289">
        <w:rPr>
          <w:rFonts w:ascii="Calibri" w:eastAsia="Calibri" w:hAnsi="Calibri" w:cs="Calibri"/>
          <w:i/>
          <w:iCs/>
          <w:noProof/>
          <w:szCs w:val="24"/>
        </w:rPr>
        <w:t>61</w:t>
      </w:r>
      <w:r w:rsidRPr="00380289">
        <w:rPr>
          <w:rFonts w:ascii="Calibri" w:eastAsia="Calibri" w:hAnsi="Calibri" w:cs="Calibri"/>
          <w:noProof/>
          <w:szCs w:val="24"/>
        </w:rPr>
        <w:t>(6), 840–849. https://doi.org/10.1002/art.24518</w:t>
      </w:r>
    </w:p>
    <w:p w14:paraId="2BCD826D" w14:textId="77777777" w:rsidR="00380289" w:rsidRPr="00380289" w:rsidRDefault="00380289" w:rsidP="00380289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Calibri" w:eastAsia="Calibri" w:hAnsi="Calibri" w:cs="Calibri"/>
          <w:noProof/>
          <w:szCs w:val="24"/>
        </w:rPr>
      </w:pPr>
    </w:p>
    <w:p w14:paraId="061154C3" w14:textId="77777777" w:rsidR="00380289" w:rsidRPr="00380289" w:rsidRDefault="00380289" w:rsidP="0038028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eastAsia="Calibri" w:hAnsi="Calibri" w:cs="Calibri"/>
          <w:noProof/>
          <w:szCs w:val="24"/>
        </w:rPr>
      </w:pPr>
      <w:r w:rsidRPr="00380289">
        <w:rPr>
          <w:rFonts w:ascii="Calibri" w:eastAsia="Calibri" w:hAnsi="Calibri" w:cs="Calibri"/>
          <w:noProof/>
          <w:szCs w:val="24"/>
        </w:rPr>
        <w:t xml:space="preserve">Ganderton, C., Semciw, A., Cook, J., &amp; Pizzari, T. (2017). Demystifying the Clinical Diagnosis of Greater Trochanteric Pain Syndrome in Women. </w:t>
      </w:r>
      <w:r w:rsidRPr="00380289">
        <w:rPr>
          <w:rFonts w:ascii="Calibri" w:eastAsia="Calibri" w:hAnsi="Calibri" w:cs="Calibri"/>
          <w:i/>
          <w:iCs/>
          <w:noProof/>
          <w:szCs w:val="24"/>
        </w:rPr>
        <w:t>Journal of Women’s Health</w:t>
      </w:r>
      <w:r w:rsidRPr="00380289">
        <w:rPr>
          <w:rFonts w:ascii="Calibri" w:eastAsia="Calibri" w:hAnsi="Calibri" w:cs="Calibri"/>
          <w:noProof/>
          <w:szCs w:val="24"/>
        </w:rPr>
        <w:t>. https://doi.org/10.1089/jwh.2016.5889</w:t>
      </w:r>
    </w:p>
    <w:p w14:paraId="61ED630D" w14:textId="77777777" w:rsidR="00380289" w:rsidRPr="00380289" w:rsidRDefault="00380289" w:rsidP="0038028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eastAsia="Calibri" w:hAnsi="Calibri" w:cs="Calibri"/>
          <w:noProof/>
          <w:szCs w:val="24"/>
        </w:rPr>
      </w:pPr>
      <w:r w:rsidRPr="00380289">
        <w:rPr>
          <w:rFonts w:ascii="Calibri" w:eastAsia="Calibri" w:hAnsi="Calibri" w:cs="Calibri"/>
          <w:noProof/>
          <w:szCs w:val="24"/>
        </w:rPr>
        <w:t xml:space="preserve">Grimaldi, A., &amp; Fearon, A. (2015). Gluteal Tendinopathy: Integrating Pathomechanics and Clinical Features in Its Management. </w:t>
      </w:r>
      <w:r w:rsidRPr="00380289">
        <w:rPr>
          <w:rFonts w:ascii="Calibri" w:eastAsia="Calibri" w:hAnsi="Calibri" w:cs="Calibri"/>
          <w:i/>
          <w:iCs/>
          <w:noProof/>
          <w:szCs w:val="24"/>
        </w:rPr>
        <w:t>Journal of Orthopaedic &amp; Sports Physical Therapy</w:t>
      </w:r>
      <w:r w:rsidRPr="00380289">
        <w:rPr>
          <w:rFonts w:ascii="Calibri" w:eastAsia="Calibri" w:hAnsi="Calibri" w:cs="Calibri"/>
          <w:noProof/>
          <w:szCs w:val="24"/>
        </w:rPr>
        <w:t>. https://doi.org/10.2519/jospt.2015.5829</w:t>
      </w:r>
    </w:p>
    <w:p w14:paraId="6AFDDBFC" w14:textId="77777777" w:rsidR="00380289" w:rsidRPr="00380289" w:rsidRDefault="00380289" w:rsidP="0038028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eastAsia="Calibri" w:hAnsi="Calibri" w:cs="Calibri"/>
          <w:noProof/>
          <w:szCs w:val="24"/>
        </w:rPr>
      </w:pPr>
      <w:r w:rsidRPr="00380289">
        <w:rPr>
          <w:rFonts w:ascii="Calibri" w:eastAsia="Calibri" w:hAnsi="Calibri" w:cs="Calibri"/>
          <w:noProof/>
          <w:szCs w:val="24"/>
        </w:rPr>
        <w:t xml:space="preserve">Grimaldi, A., Mellor, R., Nicolson, P., Hodges, P., Bennell, K., &amp; Vicenzino, B. (2017). Utility of clinical tests to diagnose MRI-confirmed gluteal tendinopathy in patients presenting with lateral hip pain. </w:t>
      </w:r>
      <w:r w:rsidRPr="00380289">
        <w:rPr>
          <w:rFonts w:ascii="Calibri" w:eastAsia="Calibri" w:hAnsi="Calibri" w:cs="Calibri"/>
          <w:i/>
          <w:iCs/>
          <w:noProof/>
          <w:szCs w:val="24"/>
        </w:rPr>
        <w:t>British Journal of Sports Medicine</w:t>
      </w:r>
      <w:r w:rsidRPr="00380289">
        <w:rPr>
          <w:rFonts w:ascii="Calibri" w:eastAsia="Calibri" w:hAnsi="Calibri" w:cs="Calibri"/>
          <w:noProof/>
          <w:szCs w:val="24"/>
        </w:rPr>
        <w:t>. https://doi.org/10.1136/bjsports-2016-096175</w:t>
      </w:r>
    </w:p>
    <w:p w14:paraId="27ED52D3" w14:textId="77777777" w:rsidR="00380289" w:rsidRPr="00380289" w:rsidRDefault="00380289" w:rsidP="0038028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eastAsia="Calibri" w:hAnsi="Calibri" w:cs="Calibri"/>
          <w:noProof/>
          <w:szCs w:val="24"/>
        </w:rPr>
      </w:pPr>
      <w:r w:rsidRPr="00380289">
        <w:rPr>
          <w:rFonts w:ascii="Calibri" w:eastAsia="Calibri" w:hAnsi="Calibri" w:cs="Calibri"/>
          <w:noProof/>
          <w:szCs w:val="24"/>
        </w:rPr>
        <w:t xml:space="preserve">Kirchgesner, T., Larbi, A., Omoumi, P., Malghem, J., Zamali, N., Manelfe, J., … Dallaudiere, B. (2014). Drug-induced tendinopathy: from physiology to clinical applications. </w:t>
      </w:r>
      <w:r w:rsidRPr="00380289">
        <w:rPr>
          <w:rFonts w:ascii="Calibri" w:eastAsia="Calibri" w:hAnsi="Calibri" w:cs="Calibri"/>
          <w:i/>
          <w:iCs/>
          <w:noProof/>
          <w:szCs w:val="24"/>
        </w:rPr>
        <w:t>Joint, Bone, Spine : Revue Du Rhumatisme</w:t>
      </w:r>
      <w:r w:rsidRPr="00380289">
        <w:rPr>
          <w:rFonts w:ascii="Calibri" w:eastAsia="Calibri" w:hAnsi="Calibri" w:cs="Calibri"/>
          <w:noProof/>
          <w:szCs w:val="24"/>
        </w:rPr>
        <w:t xml:space="preserve">, </w:t>
      </w:r>
      <w:r w:rsidRPr="00380289">
        <w:rPr>
          <w:rFonts w:ascii="Calibri" w:eastAsia="Calibri" w:hAnsi="Calibri" w:cs="Calibri"/>
          <w:i/>
          <w:iCs/>
          <w:noProof/>
          <w:szCs w:val="24"/>
        </w:rPr>
        <w:t>81</w:t>
      </w:r>
      <w:r w:rsidRPr="00380289">
        <w:rPr>
          <w:rFonts w:ascii="Calibri" w:eastAsia="Calibri" w:hAnsi="Calibri" w:cs="Calibri"/>
          <w:noProof/>
          <w:szCs w:val="24"/>
        </w:rPr>
        <w:t>(6), 485–492. https://doi.org/10.1016/j.jbspin.2014.03.022</w:t>
      </w:r>
    </w:p>
    <w:p w14:paraId="568F414B" w14:textId="77777777" w:rsidR="00380289" w:rsidRPr="00380289" w:rsidRDefault="00380289" w:rsidP="0038028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eastAsia="Calibri" w:hAnsi="Calibri" w:cs="Calibri"/>
          <w:noProof/>
          <w:szCs w:val="24"/>
        </w:rPr>
      </w:pPr>
      <w:r w:rsidRPr="00380289">
        <w:rPr>
          <w:rFonts w:ascii="Calibri" w:eastAsia="Calibri" w:hAnsi="Calibri" w:cs="Calibri"/>
          <w:noProof/>
          <w:szCs w:val="24"/>
        </w:rPr>
        <w:t xml:space="preserve">Lievense, A., Bierma-Zeinstra, S., Schouten, B., Bohnen, A., Verhaar, J., &amp; Koes, B. W. (2005). Prognosis of trochanteric pain in primary care. </w:t>
      </w:r>
      <w:r w:rsidRPr="00380289">
        <w:rPr>
          <w:rFonts w:ascii="Calibri" w:eastAsia="Calibri" w:hAnsi="Calibri" w:cs="Calibri"/>
          <w:i/>
          <w:iCs/>
          <w:noProof/>
          <w:szCs w:val="24"/>
        </w:rPr>
        <w:t>British Journal of General Practice</w:t>
      </w:r>
      <w:r w:rsidRPr="00380289">
        <w:rPr>
          <w:rFonts w:ascii="Calibri" w:eastAsia="Calibri" w:hAnsi="Calibri" w:cs="Calibri"/>
          <w:noProof/>
          <w:szCs w:val="24"/>
        </w:rPr>
        <w:t>.</w:t>
      </w:r>
    </w:p>
    <w:p w14:paraId="50C8AF84" w14:textId="77777777" w:rsidR="00380289" w:rsidRPr="00380289" w:rsidRDefault="00380289" w:rsidP="0038028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eastAsia="Calibri" w:hAnsi="Calibri" w:cs="Calibri"/>
          <w:noProof/>
          <w:szCs w:val="24"/>
        </w:rPr>
      </w:pPr>
      <w:r w:rsidRPr="00380289">
        <w:rPr>
          <w:rFonts w:ascii="Calibri" w:eastAsia="Calibri" w:hAnsi="Calibri" w:cs="Calibri"/>
          <w:noProof/>
          <w:szCs w:val="24"/>
        </w:rPr>
        <w:t xml:space="preserve">Linton, S. J., &amp; Shaw, W. S. (2011). Impact of Psychological Factors in the Experience of Pain. </w:t>
      </w:r>
      <w:r w:rsidRPr="00380289">
        <w:rPr>
          <w:rFonts w:ascii="Calibri" w:eastAsia="Calibri" w:hAnsi="Calibri" w:cs="Calibri"/>
          <w:i/>
          <w:iCs/>
          <w:noProof/>
          <w:szCs w:val="24"/>
        </w:rPr>
        <w:t>Physical Therapy</w:t>
      </w:r>
      <w:r w:rsidRPr="00380289">
        <w:rPr>
          <w:rFonts w:ascii="Calibri" w:eastAsia="Calibri" w:hAnsi="Calibri" w:cs="Calibri"/>
          <w:noProof/>
          <w:szCs w:val="24"/>
        </w:rPr>
        <w:t xml:space="preserve">, </w:t>
      </w:r>
      <w:r w:rsidRPr="00380289">
        <w:rPr>
          <w:rFonts w:ascii="Calibri" w:eastAsia="Calibri" w:hAnsi="Calibri" w:cs="Calibri"/>
          <w:i/>
          <w:iCs/>
          <w:noProof/>
          <w:szCs w:val="24"/>
        </w:rPr>
        <w:t>91</w:t>
      </w:r>
      <w:r w:rsidRPr="00380289">
        <w:rPr>
          <w:rFonts w:ascii="Calibri" w:eastAsia="Calibri" w:hAnsi="Calibri" w:cs="Calibri"/>
          <w:noProof/>
          <w:szCs w:val="24"/>
        </w:rPr>
        <w:t>(5), 700–711. https://doi.org/10.2522/ptj.20100330</w:t>
      </w:r>
    </w:p>
    <w:p w14:paraId="3E02298E" w14:textId="77777777" w:rsidR="00380289" w:rsidRPr="00380289" w:rsidRDefault="00380289" w:rsidP="0038028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eastAsia="Calibri" w:hAnsi="Calibri" w:cs="Calibri"/>
          <w:noProof/>
          <w:szCs w:val="24"/>
        </w:rPr>
      </w:pPr>
      <w:r w:rsidRPr="00380289">
        <w:rPr>
          <w:rFonts w:ascii="Calibri" w:eastAsia="Calibri" w:hAnsi="Calibri" w:cs="Calibri"/>
          <w:noProof/>
          <w:szCs w:val="24"/>
        </w:rPr>
        <w:t xml:space="preserve">Long, S. S., Surrey, D. E., &amp; Nazarian, L. N. (2013). Sonography of greater trochanteric pain syndrome and the rarity of primary bursitis. </w:t>
      </w:r>
      <w:r w:rsidRPr="00380289">
        <w:rPr>
          <w:rFonts w:ascii="Calibri" w:eastAsia="Calibri" w:hAnsi="Calibri" w:cs="Calibri"/>
          <w:i/>
          <w:iCs/>
          <w:noProof/>
          <w:szCs w:val="24"/>
        </w:rPr>
        <w:t>American Journal of Roentgenology</w:t>
      </w:r>
      <w:r w:rsidRPr="00380289">
        <w:rPr>
          <w:rFonts w:ascii="Calibri" w:eastAsia="Calibri" w:hAnsi="Calibri" w:cs="Calibri"/>
          <w:noProof/>
          <w:szCs w:val="24"/>
        </w:rPr>
        <w:t>. https://doi.org/10.2214/AJR.12.10038</w:t>
      </w:r>
    </w:p>
    <w:p w14:paraId="7400F4D0" w14:textId="77777777" w:rsidR="00380289" w:rsidRPr="00380289" w:rsidRDefault="00380289" w:rsidP="0038028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eastAsia="Calibri" w:hAnsi="Calibri" w:cs="Calibri"/>
          <w:noProof/>
          <w:szCs w:val="24"/>
        </w:rPr>
      </w:pPr>
      <w:r w:rsidRPr="00380289">
        <w:rPr>
          <w:rFonts w:ascii="Calibri" w:eastAsia="Calibri" w:hAnsi="Calibri" w:cs="Calibri"/>
          <w:noProof/>
          <w:szCs w:val="24"/>
        </w:rPr>
        <w:t>Longo, U. G., Rittweger, J., Garau, G., Radonic, B., Gutwasser, C., Gilliver, S. F., … Zielin, J. (2009). No Influence of Age , Gender , Weight , Height , and Impact Profile in Achilles Tendinopathy in Masters Track and Field Athletes, 1400–1405. https://doi.org/10.1177/0363546509332250</w:t>
      </w:r>
    </w:p>
    <w:p w14:paraId="63BCD3A9" w14:textId="77777777" w:rsidR="00380289" w:rsidRPr="00380289" w:rsidRDefault="00380289" w:rsidP="0038028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eastAsia="Calibri" w:hAnsi="Calibri" w:cs="Calibri"/>
          <w:noProof/>
          <w:szCs w:val="24"/>
        </w:rPr>
      </w:pPr>
      <w:r w:rsidRPr="00380289">
        <w:rPr>
          <w:rFonts w:ascii="Calibri" w:eastAsia="Calibri" w:hAnsi="Calibri" w:cs="Calibri"/>
          <w:noProof/>
          <w:szCs w:val="24"/>
        </w:rPr>
        <w:t xml:space="preserve">Maffulli, N., &amp; Kader, D. (2002). Tendinopathy of tendo achillis. </w:t>
      </w:r>
      <w:r w:rsidRPr="00380289">
        <w:rPr>
          <w:rFonts w:ascii="Calibri" w:eastAsia="Calibri" w:hAnsi="Calibri" w:cs="Calibri"/>
          <w:i/>
          <w:iCs/>
          <w:noProof/>
          <w:szCs w:val="24"/>
        </w:rPr>
        <w:t>The Journal of Bone and Joint Surgery. British Volume</w:t>
      </w:r>
      <w:r w:rsidRPr="00380289">
        <w:rPr>
          <w:rFonts w:ascii="Calibri" w:eastAsia="Calibri" w:hAnsi="Calibri" w:cs="Calibri"/>
          <w:noProof/>
          <w:szCs w:val="24"/>
        </w:rPr>
        <w:t xml:space="preserve">, </w:t>
      </w:r>
      <w:r w:rsidRPr="00380289">
        <w:rPr>
          <w:rFonts w:ascii="Calibri" w:eastAsia="Calibri" w:hAnsi="Calibri" w:cs="Calibri"/>
          <w:i/>
          <w:iCs/>
          <w:noProof/>
          <w:szCs w:val="24"/>
        </w:rPr>
        <w:t>84</w:t>
      </w:r>
      <w:r w:rsidRPr="00380289">
        <w:rPr>
          <w:rFonts w:ascii="Calibri" w:eastAsia="Calibri" w:hAnsi="Calibri" w:cs="Calibri"/>
          <w:noProof/>
          <w:szCs w:val="24"/>
        </w:rPr>
        <w:t>(1), 1–8.</w:t>
      </w:r>
    </w:p>
    <w:p w14:paraId="5E10DD39" w14:textId="77777777" w:rsidR="00380289" w:rsidRPr="00380289" w:rsidRDefault="00380289" w:rsidP="0038028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eastAsia="Calibri" w:hAnsi="Calibri" w:cs="Calibri"/>
          <w:noProof/>
          <w:szCs w:val="24"/>
        </w:rPr>
      </w:pPr>
      <w:r w:rsidRPr="00380289">
        <w:rPr>
          <w:rFonts w:ascii="Calibri" w:eastAsia="Calibri" w:hAnsi="Calibri" w:cs="Calibri"/>
          <w:noProof/>
          <w:szCs w:val="24"/>
        </w:rPr>
        <w:t xml:space="preserve">Mellor, R., Bennell, K., Grimaldi, A., Nicolson, P., Kasza, J., Hodges, P., … Vicenzino, B. (2018). Education plus exercise versus corticosteroid injection use versus a wait and see approach on global outcome and pain from gluteal tendinopathy: prospective, single blinded, randomised clinical trial. </w:t>
      </w:r>
      <w:r w:rsidRPr="00380289">
        <w:rPr>
          <w:rFonts w:ascii="Calibri" w:eastAsia="Calibri" w:hAnsi="Calibri" w:cs="Calibri"/>
          <w:i/>
          <w:iCs/>
          <w:noProof/>
          <w:szCs w:val="24"/>
        </w:rPr>
        <w:t>The Bmj BMJ</w:t>
      </w:r>
      <w:r w:rsidRPr="00380289">
        <w:rPr>
          <w:rFonts w:ascii="Calibri" w:eastAsia="Calibri" w:hAnsi="Calibri" w:cs="Calibri"/>
          <w:noProof/>
          <w:szCs w:val="24"/>
        </w:rPr>
        <w:t xml:space="preserve">, </w:t>
      </w:r>
      <w:r w:rsidRPr="00380289">
        <w:rPr>
          <w:rFonts w:ascii="Calibri" w:eastAsia="Calibri" w:hAnsi="Calibri" w:cs="Calibri"/>
          <w:i/>
          <w:iCs/>
          <w:noProof/>
          <w:szCs w:val="24"/>
        </w:rPr>
        <w:t>361</w:t>
      </w:r>
      <w:r w:rsidRPr="00380289">
        <w:rPr>
          <w:rFonts w:ascii="Calibri" w:eastAsia="Calibri" w:hAnsi="Calibri" w:cs="Calibri"/>
          <w:noProof/>
          <w:szCs w:val="24"/>
        </w:rPr>
        <w:t>. https://doi.org/10.1136/bmj.k1662</w:t>
      </w:r>
    </w:p>
    <w:p w14:paraId="4803C3F3" w14:textId="77777777" w:rsidR="00380289" w:rsidRPr="00380289" w:rsidRDefault="00380289" w:rsidP="0038028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eastAsia="Calibri" w:hAnsi="Calibri" w:cs="Calibri"/>
          <w:noProof/>
          <w:szCs w:val="24"/>
        </w:rPr>
      </w:pPr>
      <w:r w:rsidRPr="00380289">
        <w:rPr>
          <w:rFonts w:ascii="Calibri" w:eastAsia="Calibri" w:hAnsi="Calibri" w:cs="Calibri"/>
          <w:noProof/>
          <w:szCs w:val="24"/>
        </w:rPr>
        <w:t xml:space="preserve">Mellor, R., Grimaldi, A., Wajswelner, H., Hodges, P., Abbott, J. H., Bennell, K., &amp; Vicenzino, B. (2016). Exercise and load modification versus corticosteroid injection versus ‘wait and see’ for persistent gluteus medius/minimus tendinopathy (the LEAP trial): a protocol for a randomised clinical trial. </w:t>
      </w:r>
      <w:r w:rsidRPr="00380289">
        <w:rPr>
          <w:rFonts w:ascii="Calibri" w:eastAsia="Calibri" w:hAnsi="Calibri" w:cs="Calibri"/>
          <w:i/>
          <w:iCs/>
          <w:noProof/>
          <w:szCs w:val="24"/>
        </w:rPr>
        <w:t>BMC Musculoskeletal Disorders</w:t>
      </w:r>
      <w:r w:rsidRPr="00380289">
        <w:rPr>
          <w:rFonts w:ascii="Calibri" w:eastAsia="Calibri" w:hAnsi="Calibri" w:cs="Calibri"/>
          <w:noProof/>
          <w:szCs w:val="24"/>
        </w:rPr>
        <w:t>. https://doi.org/10.1186/s12891-016-1043-6</w:t>
      </w:r>
    </w:p>
    <w:p w14:paraId="53811EDD" w14:textId="77777777" w:rsidR="00380289" w:rsidRPr="00380289" w:rsidRDefault="00380289" w:rsidP="0038028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eastAsia="Calibri" w:hAnsi="Calibri" w:cs="Calibri"/>
          <w:noProof/>
          <w:szCs w:val="24"/>
        </w:rPr>
      </w:pPr>
      <w:r w:rsidRPr="00380289">
        <w:rPr>
          <w:rFonts w:ascii="Calibri" w:eastAsia="Calibri" w:hAnsi="Calibri" w:cs="Calibri"/>
          <w:noProof/>
          <w:szCs w:val="24"/>
        </w:rPr>
        <w:t>NHS Health Research Authority . Defining research. London: NHS Health Research Authority (2016), http://www.hra.nhs.uk/documents/2016/06/defining-research.pdf (accessed 18th June 2019).</w:t>
      </w:r>
    </w:p>
    <w:p w14:paraId="1B89D91B" w14:textId="77777777" w:rsidR="00380289" w:rsidRPr="00380289" w:rsidRDefault="00380289" w:rsidP="0038028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eastAsia="Calibri" w:hAnsi="Calibri" w:cs="Calibri"/>
          <w:noProof/>
          <w:szCs w:val="24"/>
        </w:rPr>
      </w:pPr>
      <w:r w:rsidRPr="00380289">
        <w:rPr>
          <w:rFonts w:ascii="Calibri" w:eastAsia="Calibri" w:hAnsi="Calibri" w:cs="Calibri"/>
          <w:noProof/>
          <w:szCs w:val="24"/>
        </w:rPr>
        <w:t>NICE Guidelines (2019). World Health Organisation. Medicines optimisation in chronic pain, (January 2017), 1–10.</w:t>
      </w:r>
    </w:p>
    <w:p w14:paraId="125AABF7" w14:textId="77777777" w:rsidR="00380289" w:rsidRPr="00380289" w:rsidRDefault="00380289" w:rsidP="0038028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eastAsia="Calibri" w:hAnsi="Calibri" w:cs="Calibri"/>
          <w:noProof/>
          <w:szCs w:val="24"/>
        </w:rPr>
      </w:pPr>
    </w:p>
    <w:p w14:paraId="3B83DD53" w14:textId="77777777" w:rsidR="00380289" w:rsidRPr="00380289" w:rsidRDefault="00380289" w:rsidP="0038028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eastAsia="Calibri" w:hAnsi="Calibri" w:cs="Calibri"/>
          <w:noProof/>
          <w:szCs w:val="24"/>
        </w:rPr>
      </w:pPr>
      <w:r w:rsidRPr="00380289">
        <w:rPr>
          <w:rFonts w:ascii="Calibri" w:eastAsia="Calibri" w:hAnsi="Calibri" w:cs="Calibri"/>
          <w:noProof/>
          <w:szCs w:val="24"/>
        </w:rPr>
        <w:t xml:space="preserve">Nyyssonen, T., Lantto, I., Luthje, P., Selander, T., &amp; Kroger, H. (2018). Drug treatments associated with Achilles tendon rupture. A case-control study involving 1118 Achilles tendon ruptures. </w:t>
      </w:r>
      <w:r w:rsidRPr="00380289">
        <w:rPr>
          <w:rFonts w:ascii="Calibri" w:eastAsia="Calibri" w:hAnsi="Calibri" w:cs="Calibri"/>
          <w:i/>
          <w:iCs/>
          <w:noProof/>
          <w:szCs w:val="24"/>
        </w:rPr>
        <w:t>Scandinavian Journal of Medicine &amp; Science in Sports</w:t>
      </w:r>
      <w:r w:rsidRPr="00380289">
        <w:rPr>
          <w:rFonts w:ascii="Calibri" w:eastAsia="Calibri" w:hAnsi="Calibri" w:cs="Calibri"/>
          <w:noProof/>
          <w:szCs w:val="24"/>
        </w:rPr>
        <w:t xml:space="preserve">, </w:t>
      </w:r>
      <w:r w:rsidRPr="00380289">
        <w:rPr>
          <w:rFonts w:ascii="Calibri" w:eastAsia="Calibri" w:hAnsi="Calibri" w:cs="Calibri"/>
          <w:i/>
          <w:iCs/>
          <w:noProof/>
          <w:szCs w:val="24"/>
        </w:rPr>
        <w:t>28</w:t>
      </w:r>
      <w:r w:rsidRPr="00380289">
        <w:rPr>
          <w:rFonts w:ascii="Calibri" w:eastAsia="Calibri" w:hAnsi="Calibri" w:cs="Calibri"/>
          <w:noProof/>
          <w:szCs w:val="24"/>
        </w:rPr>
        <w:t>(12), 2625–2629. https://doi.org/10.1111/sms.13281</w:t>
      </w:r>
    </w:p>
    <w:p w14:paraId="4CCE94A4" w14:textId="77777777" w:rsidR="00380289" w:rsidRPr="00380289" w:rsidRDefault="00380289" w:rsidP="0038028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eastAsia="Calibri" w:hAnsi="Calibri" w:cs="Calibri"/>
          <w:noProof/>
          <w:szCs w:val="24"/>
        </w:rPr>
      </w:pPr>
      <w:r w:rsidRPr="00380289">
        <w:rPr>
          <w:rFonts w:ascii="Calibri" w:eastAsia="Calibri" w:hAnsi="Calibri" w:cs="Calibri"/>
          <w:noProof/>
          <w:szCs w:val="24"/>
        </w:rPr>
        <w:t xml:space="preserve">Rompe, J. D., Segal, N. A., Cacchio, A., Furia, J. P., Morral, A., &amp; Maffulli, N. (2009). Home training, local corticosteroid injection, or radial shock wave therapy for greater trochanter pain syndrome. </w:t>
      </w:r>
      <w:r w:rsidRPr="00380289">
        <w:rPr>
          <w:rFonts w:ascii="Calibri" w:eastAsia="Calibri" w:hAnsi="Calibri" w:cs="Calibri"/>
          <w:i/>
          <w:iCs/>
          <w:noProof/>
          <w:szCs w:val="24"/>
        </w:rPr>
        <w:t>American Journal of Sports Medicine</w:t>
      </w:r>
      <w:r w:rsidRPr="00380289">
        <w:rPr>
          <w:rFonts w:ascii="Calibri" w:eastAsia="Calibri" w:hAnsi="Calibri" w:cs="Calibri"/>
          <w:noProof/>
          <w:szCs w:val="24"/>
        </w:rPr>
        <w:t xml:space="preserve">, </w:t>
      </w:r>
      <w:r w:rsidRPr="00380289">
        <w:rPr>
          <w:rFonts w:ascii="Calibri" w:eastAsia="Calibri" w:hAnsi="Calibri" w:cs="Calibri"/>
          <w:i/>
          <w:iCs/>
          <w:noProof/>
          <w:szCs w:val="24"/>
        </w:rPr>
        <w:t>37</w:t>
      </w:r>
      <w:r w:rsidRPr="00380289">
        <w:rPr>
          <w:rFonts w:ascii="Calibri" w:eastAsia="Calibri" w:hAnsi="Calibri" w:cs="Calibri"/>
          <w:noProof/>
          <w:szCs w:val="24"/>
        </w:rPr>
        <w:t>(10), 1981–1990. https://doi.org/10.1177/0363546509334374</w:t>
      </w:r>
    </w:p>
    <w:p w14:paraId="2C29291A" w14:textId="77777777" w:rsidR="00380289" w:rsidRPr="00380289" w:rsidRDefault="00380289" w:rsidP="0038028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eastAsia="Calibri" w:hAnsi="Calibri" w:cs="Calibri"/>
          <w:noProof/>
          <w:szCs w:val="24"/>
        </w:rPr>
      </w:pPr>
      <w:r w:rsidRPr="00380289">
        <w:rPr>
          <w:rFonts w:ascii="Calibri" w:eastAsia="Calibri" w:hAnsi="Calibri" w:cs="Calibri"/>
          <w:noProof/>
          <w:szCs w:val="24"/>
        </w:rPr>
        <w:t xml:space="preserve">Scott, A., Zwerver, J., Grewal, N., de Sa, A., Alktebi, T., Granville, D. J., &amp; Hart, D. A. (2015). Lipids, adiposity and tendinopathy: is there a mechanistic link? Critical review. </w:t>
      </w:r>
      <w:r w:rsidRPr="00380289">
        <w:rPr>
          <w:rFonts w:ascii="Calibri" w:eastAsia="Calibri" w:hAnsi="Calibri" w:cs="Calibri"/>
          <w:i/>
          <w:iCs/>
          <w:noProof/>
          <w:szCs w:val="24"/>
        </w:rPr>
        <w:t>British Journal of Sports Medicine</w:t>
      </w:r>
      <w:r w:rsidRPr="00380289">
        <w:rPr>
          <w:rFonts w:ascii="Calibri" w:eastAsia="Calibri" w:hAnsi="Calibri" w:cs="Calibri"/>
          <w:noProof/>
          <w:szCs w:val="24"/>
        </w:rPr>
        <w:t xml:space="preserve">, </w:t>
      </w:r>
      <w:r w:rsidRPr="00380289">
        <w:rPr>
          <w:rFonts w:ascii="Calibri" w:eastAsia="Calibri" w:hAnsi="Calibri" w:cs="Calibri"/>
          <w:i/>
          <w:iCs/>
          <w:noProof/>
          <w:szCs w:val="24"/>
        </w:rPr>
        <w:t>49</w:t>
      </w:r>
      <w:r w:rsidRPr="00380289">
        <w:rPr>
          <w:rFonts w:ascii="Calibri" w:eastAsia="Calibri" w:hAnsi="Calibri" w:cs="Calibri"/>
          <w:noProof/>
          <w:szCs w:val="24"/>
        </w:rPr>
        <w:t>(15), 984–988. https://doi.org/10.1136/bjsports-2014-093989</w:t>
      </w:r>
    </w:p>
    <w:p w14:paraId="421A95E6" w14:textId="77777777" w:rsidR="00380289" w:rsidRPr="00380289" w:rsidRDefault="00380289" w:rsidP="0038028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eastAsia="Calibri" w:hAnsi="Calibri" w:cs="Calibri"/>
          <w:noProof/>
          <w:szCs w:val="24"/>
        </w:rPr>
      </w:pPr>
      <w:r w:rsidRPr="00380289">
        <w:rPr>
          <w:rFonts w:ascii="Calibri" w:eastAsia="Calibri" w:hAnsi="Calibri" w:cs="Calibri"/>
          <w:noProof/>
          <w:szCs w:val="24"/>
        </w:rPr>
        <w:t xml:space="preserve">Segal, N. A., Felson, D. T., Torner, J. C., Zhu, Y., Curtis, J. R., Niu, J., &amp; Nevitt, M. C. (2007). Greater Trochanteric Pain Syndrome: Epidemiology and Associated Factors. </w:t>
      </w:r>
      <w:r w:rsidRPr="00380289">
        <w:rPr>
          <w:rFonts w:ascii="Calibri" w:eastAsia="Calibri" w:hAnsi="Calibri" w:cs="Calibri"/>
          <w:i/>
          <w:iCs/>
          <w:noProof/>
          <w:szCs w:val="24"/>
        </w:rPr>
        <w:t>Archives of Physical Medicine and Rehabilitation</w:t>
      </w:r>
      <w:r w:rsidRPr="00380289">
        <w:rPr>
          <w:rFonts w:ascii="Calibri" w:eastAsia="Calibri" w:hAnsi="Calibri" w:cs="Calibri"/>
          <w:noProof/>
          <w:szCs w:val="24"/>
        </w:rPr>
        <w:t>. https://doi.org/10.1016/j.apmr.2007.04.014</w:t>
      </w:r>
    </w:p>
    <w:p w14:paraId="10F56F06" w14:textId="77777777" w:rsidR="00380289" w:rsidRPr="00380289" w:rsidRDefault="00380289" w:rsidP="0038028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eastAsia="Calibri" w:hAnsi="Calibri" w:cs="Calibri"/>
          <w:noProof/>
          <w:szCs w:val="24"/>
        </w:rPr>
      </w:pPr>
      <w:r w:rsidRPr="00380289">
        <w:rPr>
          <w:rFonts w:ascii="Calibri" w:eastAsia="Calibri" w:hAnsi="Calibri" w:cs="Calibri"/>
          <w:noProof/>
          <w:szCs w:val="24"/>
        </w:rPr>
        <w:t xml:space="preserve">Stephens, G., O’Neill, S., French, H. P., Fearon, A., Grimaldi, A., O’Connor, L., … Littlewood, C. (2019). A survey of physiotherapy practice (2018) in the United Kingdom for patients with greater trochanteric pain syndrome. </w:t>
      </w:r>
      <w:r w:rsidRPr="00380289">
        <w:rPr>
          <w:rFonts w:ascii="Calibri" w:eastAsia="Calibri" w:hAnsi="Calibri" w:cs="Calibri"/>
          <w:i/>
          <w:iCs/>
          <w:noProof/>
          <w:szCs w:val="24"/>
        </w:rPr>
        <w:t>Musculoskeletal Science and Practice</w:t>
      </w:r>
      <w:r w:rsidRPr="00380289">
        <w:rPr>
          <w:rFonts w:ascii="Calibri" w:eastAsia="Calibri" w:hAnsi="Calibri" w:cs="Calibri"/>
          <w:noProof/>
          <w:szCs w:val="24"/>
        </w:rPr>
        <w:t xml:space="preserve">, </w:t>
      </w:r>
      <w:r w:rsidRPr="00380289">
        <w:rPr>
          <w:rFonts w:ascii="Calibri" w:eastAsia="Calibri" w:hAnsi="Calibri" w:cs="Calibri"/>
          <w:i/>
          <w:iCs/>
          <w:noProof/>
          <w:szCs w:val="24"/>
        </w:rPr>
        <w:t>40</w:t>
      </w:r>
      <w:r w:rsidRPr="00380289">
        <w:rPr>
          <w:rFonts w:ascii="Calibri" w:eastAsia="Calibri" w:hAnsi="Calibri" w:cs="Calibri"/>
          <w:noProof/>
          <w:szCs w:val="24"/>
        </w:rPr>
        <w:t>(September 2018), 10–20. https://doi.org/10.1016/j.msksp.2019.01.004</w:t>
      </w:r>
    </w:p>
    <w:p w14:paraId="32B1042F" w14:textId="77777777" w:rsidR="00380289" w:rsidRPr="00380289" w:rsidRDefault="00380289" w:rsidP="0038028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eastAsia="Calibri" w:hAnsi="Calibri" w:cs="Calibri"/>
          <w:noProof/>
          <w:szCs w:val="24"/>
        </w:rPr>
      </w:pPr>
      <w:r w:rsidRPr="00380289">
        <w:rPr>
          <w:rFonts w:ascii="Calibri" w:eastAsia="Calibri" w:hAnsi="Calibri" w:cs="Calibri"/>
          <w:noProof/>
          <w:szCs w:val="24"/>
        </w:rPr>
        <w:t xml:space="preserve">Tan, L. A., Benkli, B., Tuchman, A., Li, X. J., Desai, N. N., Bottiglieri, T. S., … Lehman, R. A. J. (2018). High prevalence of greater trochanteric pain syndrome among patients presenting to spine clinic for evaluation of degenerative lumbar pathologies. </w:t>
      </w:r>
      <w:r w:rsidRPr="00380289">
        <w:rPr>
          <w:rFonts w:ascii="Calibri" w:eastAsia="Calibri" w:hAnsi="Calibri" w:cs="Calibri"/>
          <w:i/>
          <w:iCs/>
          <w:noProof/>
          <w:szCs w:val="24"/>
        </w:rPr>
        <w:t>Journal of Clinical Neuroscience : Official Journal of the Neurosurgical Society  of Australasia</w:t>
      </w:r>
      <w:r w:rsidRPr="00380289">
        <w:rPr>
          <w:rFonts w:ascii="Calibri" w:eastAsia="Calibri" w:hAnsi="Calibri" w:cs="Calibri"/>
          <w:noProof/>
          <w:szCs w:val="24"/>
        </w:rPr>
        <w:t xml:space="preserve">, </w:t>
      </w:r>
      <w:r w:rsidRPr="00380289">
        <w:rPr>
          <w:rFonts w:ascii="Calibri" w:eastAsia="Calibri" w:hAnsi="Calibri" w:cs="Calibri"/>
          <w:i/>
          <w:iCs/>
          <w:noProof/>
          <w:szCs w:val="24"/>
        </w:rPr>
        <w:t>53</w:t>
      </w:r>
      <w:r w:rsidRPr="00380289">
        <w:rPr>
          <w:rFonts w:ascii="Calibri" w:eastAsia="Calibri" w:hAnsi="Calibri" w:cs="Calibri"/>
          <w:noProof/>
          <w:szCs w:val="24"/>
        </w:rPr>
        <w:t>, 89–91. https://doi.org/10.1016/j.jocn.2018.04.030</w:t>
      </w:r>
    </w:p>
    <w:p w14:paraId="4BFA5218" w14:textId="77777777" w:rsidR="00380289" w:rsidRPr="00380289" w:rsidRDefault="00380289" w:rsidP="0038028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eastAsia="Calibri" w:hAnsi="Calibri" w:cs="Calibri"/>
          <w:noProof/>
          <w:szCs w:val="24"/>
        </w:rPr>
      </w:pPr>
      <w:r w:rsidRPr="00380289">
        <w:rPr>
          <w:rFonts w:ascii="Calibri" w:eastAsia="Calibri" w:hAnsi="Calibri" w:cs="Calibri"/>
          <w:noProof/>
          <w:szCs w:val="24"/>
        </w:rPr>
        <w:t xml:space="preserve">Thompson, A. E., Anisimowicz, Y., Miedema, B., Hogg, W., Wodchis, W. P., &amp; Aubrey-Bassler, K. (2016). The influence of gender and other patient characteristics on health care-seeking behaviour: A QUALICOPC study. </w:t>
      </w:r>
      <w:r w:rsidRPr="00380289">
        <w:rPr>
          <w:rFonts w:ascii="Calibri" w:eastAsia="Calibri" w:hAnsi="Calibri" w:cs="Calibri"/>
          <w:i/>
          <w:iCs/>
          <w:noProof/>
          <w:szCs w:val="24"/>
        </w:rPr>
        <w:t>BMC Family Practice</w:t>
      </w:r>
      <w:r w:rsidRPr="00380289">
        <w:rPr>
          <w:rFonts w:ascii="Calibri" w:eastAsia="Calibri" w:hAnsi="Calibri" w:cs="Calibri"/>
          <w:noProof/>
          <w:szCs w:val="24"/>
        </w:rPr>
        <w:t xml:space="preserve">, </w:t>
      </w:r>
      <w:r w:rsidRPr="00380289">
        <w:rPr>
          <w:rFonts w:ascii="Calibri" w:eastAsia="Calibri" w:hAnsi="Calibri" w:cs="Calibri"/>
          <w:i/>
          <w:iCs/>
          <w:noProof/>
          <w:szCs w:val="24"/>
        </w:rPr>
        <w:t>17</w:t>
      </w:r>
      <w:r w:rsidRPr="00380289">
        <w:rPr>
          <w:rFonts w:ascii="Calibri" w:eastAsia="Calibri" w:hAnsi="Calibri" w:cs="Calibri"/>
          <w:noProof/>
          <w:szCs w:val="24"/>
        </w:rPr>
        <w:t>(1), 1–7. https://doi.org/10.1186/s12875-016-0440-0</w:t>
      </w:r>
    </w:p>
    <w:p w14:paraId="5D2C4672" w14:textId="77777777" w:rsidR="00380289" w:rsidRPr="00380289" w:rsidRDefault="00380289" w:rsidP="0038028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eastAsia="Calibri" w:hAnsi="Calibri" w:cs="Calibri"/>
          <w:noProof/>
          <w:szCs w:val="24"/>
        </w:rPr>
      </w:pPr>
      <w:r w:rsidRPr="00380289">
        <w:rPr>
          <w:rFonts w:ascii="Calibri" w:eastAsia="Calibri" w:hAnsi="Calibri" w:cs="Calibri"/>
          <w:noProof/>
          <w:szCs w:val="24"/>
        </w:rPr>
        <w:t xml:space="preserve">Tortolani, P. J., Carbone, J. J., &amp; Quartararo, L. G. (2002). Greater trochanteric pain syndrome in patients referred to orthopedic spine specialists. </w:t>
      </w:r>
      <w:r w:rsidRPr="00380289">
        <w:rPr>
          <w:rFonts w:ascii="Calibri" w:eastAsia="Calibri" w:hAnsi="Calibri" w:cs="Calibri"/>
          <w:i/>
          <w:iCs/>
          <w:noProof/>
          <w:szCs w:val="24"/>
        </w:rPr>
        <w:t>The Spine Journal : Official Journal of the North American Spine Society</w:t>
      </w:r>
      <w:r w:rsidRPr="00380289">
        <w:rPr>
          <w:rFonts w:ascii="Calibri" w:eastAsia="Calibri" w:hAnsi="Calibri" w:cs="Calibri"/>
          <w:noProof/>
          <w:szCs w:val="24"/>
        </w:rPr>
        <w:t xml:space="preserve">, </w:t>
      </w:r>
      <w:r w:rsidRPr="00380289">
        <w:rPr>
          <w:rFonts w:ascii="Calibri" w:eastAsia="Calibri" w:hAnsi="Calibri" w:cs="Calibri"/>
          <w:i/>
          <w:iCs/>
          <w:noProof/>
          <w:szCs w:val="24"/>
        </w:rPr>
        <w:t>2</w:t>
      </w:r>
      <w:r w:rsidRPr="00380289">
        <w:rPr>
          <w:rFonts w:ascii="Calibri" w:eastAsia="Calibri" w:hAnsi="Calibri" w:cs="Calibri"/>
          <w:noProof/>
          <w:szCs w:val="24"/>
        </w:rPr>
        <w:t>(4), 251–254.</w:t>
      </w:r>
    </w:p>
    <w:p w14:paraId="06977A8E" w14:textId="77777777" w:rsidR="00380289" w:rsidRPr="00380289" w:rsidRDefault="00380289" w:rsidP="0038028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eastAsia="Calibri" w:hAnsi="Calibri" w:cs="Calibri"/>
          <w:noProof/>
          <w:szCs w:val="24"/>
        </w:rPr>
      </w:pPr>
      <w:r w:rsidRPr="00380289">
        <w:rPr>
          <w:rFonts w:ascii="Calibri" w:eastAsia="Calibri" w:hAnsi="Calibri" w:cs="Calibri"/>
          <w:noProof/>
          <w:szCs w:val="24"/>
        </w:rPr>
        <w:t xml:space="preserve">Valentin, G. H., Pilegaard, M. S., Vaegter, H. B., Rosendal, M., Ørtenblad, L., Væggemose, U., &amp; Christensen, R. (2016). Prognostic factors for disability and sick leave in patients with subacute non-malignant pain: a systematic review of cohort studies. </w:t>
      </w:r>
      <w:r w:rsidRPr="00380289">
        <w:rPr>
          <w:rFonts w:ascii="Calibri" w:eastAsia="Calibri" w:hAnsi="Calibri" w:cs="Calibri"/>
          <w:i/>
          <w:iCs/>
          <w:noProof/>
          <w:szCs w:val="24"/>
        </w:rPr>
        <w:t>BMJ Open</w:t>
      </w:r>
      <w:r w:rsidRPr="00380289">
        <w:rPr>
          <w:rFonts w:ascii="Calibri" w:eastAsia="Calibri" w:hAnsi="Calibri" w:cs="Calibri"/>
          <w:noProof/>
          <w:szCs w:val="24"/>
        </w:rPr>
        <w:t xml:space="preserve">, </w:t>
      </w:r>
      <w:r w:rsidRPr="00380289">
        <w:rPr>
          <w:rFonts w:ascii="Calibri" w:eastAsia="Calibri" w:hAnsi="Calibri" w:cs="Calibri"/>
          <w:i/>
          <w:iCs/>
          <w:noProof/>
          <w:szCs w:val="24"/>
        </w:rPr>
        <w:t>6</w:t>
      </w:r>
      <w:r w:rsidRPr="00380289">
        <w:rPr>
          <w:rFonts w:ascii="Calibri" w:eastAsia="Calibri" w:hAnsi="Calibri" w:cs="Calibri"/>
          <w:noProof/>
          <w:szCs w:val="24"/>
        </w:rPr>
        <w:t>(1), e007616. https://doi.org/10.1136/bmjopen-2015-007616</w:t>
      </w:r>
    </w:p>
    <w:p w14:paraId="7C4545B7" w14:textId="77777777" w:rsidR="00380289" w:rsidRPr="00380289" w:rsidRDefault="00380289" w:rsidP="0038028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eastAsia="Calibri" w:hAnsi="Calibri" w:cs="Calibri"/>
          <w:noProof/>
          <w:szCs w:val="24"/>
        </w:rPr>
      </w:pPr>
      <w:r w:rsidRPr="00380289">
        <w:rPr>
          <w:rFonts w:ascii="Calibri" w:eastAsia="Calibri" w:hAnsi="Calibri" w:cs="Calibri"/>
          <w:noProof/>
          <w:szCs w:val="24"/>
        </w:rPr>
        <w:t xml:space="preserve">Vardeh, D., Mannion, R. J., Woolf, C. J., Hospital, W., Rd, H., &amp; Children, B. (2017). Towards a mechanism-based approach to pain diagnosis, </w:t>
      </w:r>
      <w:r w:rsidRPr="00380289">
        <w:rPr>
          <w:rFonts w:ascii="Calibri" w:eastAsia="Calibri" w:hAnsi="Calibri" w:cs="Calibri"/>
          <w:i/>
          <w:iCs/>
          <w:noProof/>
          <w:szCs w:val="24"/>
        </w:rPr>
        <w:t>17</w:t>
      </w:r>
      <w:r w:rsidRPr="00380289">
        <w:rPr>
          <w:rFonts w:ascii="Calibri" w:eastAsia="Calibri" w:hAnsi="Calibri" w:cs="Calibri"/>
          <w:noProof/>
          <w:szCs w:val="24"/>
        </w:rPr>
        <w:t>, 1–36. https://doi.org/10.1016/j.jpain.2016.03.001.</w:t>
      </w:r>
    </w:p>
    <w:p w14:paraId="08907D29" w14:textId="77777777" w:rsidR="00380289" w:rsidRPr="00380289" w:rsidRDefault="00380289" w:rsidP="0038028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eastAsia="Calibri" w:hAnsi="Calibri" w:cs="Calibri"/>
          <w:noProof/>
          <w:szCs w:val="24"/>
        </w:rPr>
      </w:pPr>
      <w:r w:rsidRPr="00380289">
        <w:rPr>
          <w:rFonts w:ascii="Calibri" w:eastAsia="Calibri" w:hAnsi="Calibri" w:cs="Calibri"/>
          <w:noProof/>
          <w:szCs w:val="24"/>
        </w:rPr>
        <w:t xml:space="preserve">Woodley, S. J., Nicholson, H. D., Livingstone, V., Doyle, T. C., Meikle, G. R., Macintosh, J. E., &amp; Mercer, S. R. (2008). Lateral Hip Pain: Findings From Magnetic Resonance Imaging and Clinical Examination. </w:t>
      </w:r>
      <w:r w:rsidRPr="00380289">
        <w:rPr>
          <w:rFonts w:ascii="Calibri" w:eastAsia="Calibri" w:hAnsi="Calibri" w:cs="Calibri"/>
          <w:i/>
          <w:iCs/>
          <w:noProof/>
          <w:szCs w:val="24"/>
        </w:rPr>
        <w:t>Journal of Orthopaedic &amp; Sports Physical Therapy</w:t>
      </w:r>
      <w:r w:rsidRPr="00380289">
        <w:rPr>
          <w:rFonts w:ascii="Calibri" w:eastAsia="Calibri" w:hAnsi="Calibri" w:cs="Calibri"/>
          <w:noProof/>
          <w:szCs w:val="24"/>
        </w:rPr>
        <w:t xml:space="preserve">, </w:t>
      </w:r>
      <w:r w:rsidRPr="00380289">
        <w:rPr>
          <w:rFonts w:ascii="Calibri" w:eastAsia="Calibri" w:hAnsi="Calibri" w:cs="Calibri"/>
          <w:i/>
          <w:iCs/>
          <w:noProof/>
          <w:szCs w:val="24"/>
        </w:rPr>
        <w:t>38</w:t>
      </w:r>
      <w:r w:rsidRPr="00380289">
        <w:rPr>
          <w:rFonts w:ascii="Calibri" w:eastAsia="Calibri" w:hAnsi="Calibri" w:cs="Calibri"/>
          <w:noProof/>
          <w:szCs w:val="24"/>
        </w:rPr>
        <w:t>(6), 313–328. https://doi.org/10.2519/jospt.2008.2685</w:t>
      </w:r>
    </w:p>
    <w:p w14:paraId="2A1E5527" w14:textId="77777777" w:rsidR="00380289" w:rsidRPr="00380289" w:rsidRDefault="00380289" w:rsidP="0038028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Calibri" w:eastAsia="Calibri" w:hAnsi="Calibri" w:cs="Calibri"/>
          <w:noProof/>
          <w:szCs w:val="24"/>
        </w:rPr>
      </w:pPr>
    </w:p>
    <w:p w14:paraId="68B5890A" w14:textId="77777777" w:rsidR="00380289" w:rsidRPr="00380289" w:rsidRDefault="00380289" w:rsidP="00380289">
      <w:pPr>
        <w:spacing w:after="0"/>
        <w:rPr>
          <w:rFonts w:ascii="Calibri" w:eastAsia="Calibri" w:hAnsi="Calibri" w:cs="Times New Roman"/>
        </w:rPr>
      </w:pPr>
      <w:r w:rsidRPr="00380289">
        <w:rPr>
          <w:rFonts w:ascii="Calibri" w:eastAsia="Calibri" w:hAnsi="Calibri" w:cs="Times New Roman"/>
        </w:rPr>
        <w:t xml:space="preserve">World Health Organisation (2018). International Classification of Diseases 11th Revision. Retrieved      </w:t>
      </w:r>
    </w:p>
    <w:p w14:paraId="1757369A" w14:textId="77777777" w:rsidR="00380289" w:rsidRPr="00380289" w:rsidRDefault="00380289" w:rsidP="00380289">
      <w:pPr>
        <w:spacing w:after="0"/>
        <w:rPr>
          <w:rFonts w:ascii="Calibri" w:eastAsia="Calibri" w:hAnsi="Calibri" w:cs="Times New Roman"/>
        </w:rPr>
      </w:pPr>
      <w:r w:rsidRPr="00380289">
        <w:rPr>
          <w:rFonts w:ascii="Calibri" w:eastAsia="Calibri" w:hAnsi="Calibri" w:cs="Times New Roman"/>
        </w:rPr>
        <w:t xml:space="preserve">         from  </w:t>
      </w:r>
      <w:hyperlink r:id="rId12" w:history="1">
        <w:r w:rsidRPr="00380289">
          <w:rPr>
            <w:rFonts w:ascii="Calibri" w:eastAsia="Calibri" w:hAnsi="Calibri" w:cs="Times New Roman"/>
            <w:color w:val="0563C1"/>
            <w:u w:val="single"/>
          </w:rPr>
          <w:t>https://icd.who.int/en/</w:t>
        </w:r>
      </w:hyperlink>
      <w:r w:rsidRPr="00380289">
        <w:rPr>
          <w:rFonts w:ascii="Calibri" w:eastAsia="Calibri" w:hAnsi="Calibri" w:cs="Times New Roman"/>
          <w:color w:val="0563C1"/>
          <w:u w:val="single"/>
        </w:rPr>
        <w:t xml:space="preserve"> (Accessed 18</w:t>
      </w:r>
      <w:r w:rsidRPr="00380289">
        <w:rPr>
          <w:rFonts w:ascii="Calibri" w:eastAsia="Calibri" w:hAnsi="Calibri" w:cs="Times New Roman"/>
          <w:color w:val="0563C1"/>
          <w:u w:val="single"/>
          <w:vertAlign w:val="superscript"/>
        </w:rPr>
        <w:t>th</w:t>
      </w:r>
      <w:r w:rsidRPr="00380289">
        <w:rPr>
          <w:rFonts w:ascii="Calibri" w:eastAsia="Calibri" w:hAnsi="Calibri" w:cs="Times New Roman"/>
          <w:color w:val="0563C1"/>
          <w:u w:val="single"/>
        </w:rPr>
        <w:t xml:space="preserve"> June 2019)</w:t>
      </w:r>
    </w:p>
    <w:p w14:paraId="07D66FFD" w14:textId="77777777" w:rsidR="00380289" w:rsidRPr="00380289" w:rsidRDefault="00380289" w:rsidP="00380289">
      <w:pPr>
        <w:spacing w:after="0"/>
        <w:rPr>
          <w:rFonts w:ascii="Calibri" w:eastAsia="Calibri" w:hAnsi="Calibri" w:cs="Times New Roman"/>
          <w:b/>
        </w:rPr>
      </w:pPr>
    </w:p>
    <w:p w14:paraId="4892FFAC" w14:textId="77777777" w:rsidR="00380289" w:rsidRPr="00380289" w:rsidRDefault="00380289" w:rsidP="00380289">
      <w:pPr>
        <w:spacing w:after="0"/>
        <w:rPr>
          <w:rFonts w:ascii="Calibri" w:eastAsia="Calibri" w:hAnsi="Calibri" w:cs="Times New Roman"/>
          <w:b/>
        </w:rPr>
      </w:pPr>
    </w:p>
    <w:p w14:paraId="4A673D41" w14:textId="77777777" w:rsidR="00380289" w:rsidRPr="00380289" w:rsidRDefault="00380289" w:rsidP="00380289">
      <w:pPr>
        <w:spacing w:after="0"/>
        <w:rPr>
          <w:rFonts w:ascii="Calibri" w:eastAsia="Calibri" w:hAnsi="Calibri" w:cs="Times New Roman"/>
          <w:b/>
        </w:rPr>
      </w:pPr>
    </w:p>
    <w:p w14:paraId="75A5C34C" w14:textId="77777777" w:rsidR="00380289" w:rsidRPr="00380289" w:rsidRDefault="00380289" w:rsidP="00380289">
      <w:pPr>
        <w:spacing w:after="0"/>
        <w:rPr>
          <w:rFonts w:ascii="Calibri" w:eastAsia="Calibri" w:hAnsi="Calibri" w:cs="Times New Roman"/>
          <w:b/>
        </w:rPr>
      </w:pPr>
    </w:p>
    <w:p w14:paraId="73422EE5" w14:textId="77777777" w:rsidR="00380289" w:rsidRPr="00380289" w:rsidRDefault="00380289" w:rsidP="00380289">
      <w:pPr>
        <w:spacing w:after="0"/>
        <w:rPr>
          <w:rFonts w:ascii="Calibri" w:eastAsia="Calibri" w:hAnsi="Calibri" w:cs="Times New Roman"/>
          <w:b/>
        </w:rPr>
      </w:pPr>
    </w:p>
    <w:p w14:paraId="4D0E03CC" w14:textId="77777777" w:rsidR="00380289" w:rsidRPr="00380289" w:rsidRDefault="00380289" w:rsidP="00380289">
      <w:pPr>
        <w:spacing w:after="0"/>
        <w:rPr>
          <w:rFonts w:ascii="Calibri" w:eastAsia="Calibri" w:hAnsi="Calibri" w:cs="Times New Roman"/>
          <w:b/>
        </w:rPr>
      </w:pPr>
    </w:p>
    <w:p w14:paraId="2DB485A6" w14:textId="77777777" w:rsidR="00380289" w:rsidRPr="00380289" w:rsidRDefault="00380289" w:rsidP="00380289">
      <w:pPr>
        <w:spacing w:after="0"/>
        <w:rPr>
          <w:rFonts w:ascii="Calibri" w:eastAsia="Calibri" w:hAnsi="Calibri" w:cs="Times New Roman"/>
          <w:b/>
        </w:rPr>
      </w:pPr>
    </w:p>
    <w:p w14:paraId="0177F14C" w14:textId="77777777" w:rsidR="00380289" w:rsidRPr="00380289" w:rsidRDefault="00380289" w:rsidP="00380289">
      <w:pPr>
        <w:spacing w:after="0"/>
        <w:rPr>
          <w:rFonts w:ascii="Calibri" w:eastAsia="Calibri" w:hAnsi="Calibri" w:cs="Times New Roman"/>
          <w:b/>
        </w:rPr>
      </w:pPr>
    </w:p>
    <w:p w14:paraId="7170A8BA" w14:textId="77777777" w:rsidR="00380289" w:rsidRPr="00380289" w:rsidRDefault="00380289" w:rsidP="00380289">
      <w:pPr>
        <w:spacing w:after="0"/>
        <w:rPr>
          <w:rFonts w:ascii="Calibri" w:eastAsia="Calibri" w:hAnsi="Calibri" w:cs="Times New Roman"/>
          <w:b/>
        </w:rPr>
      </w:pPr>
    </w:p>
    <w:p w14:paraId="0A05E9A7" w14:textId="77777777" w:rsidR="00380289" w:rsidRPr="00380289" w:rsidRDefault="00380289" w:rsidP="00380289">
      <w:pPr>
        <w:spacing w:after="0"/>
        <w:rPr>
          <w:rFonts w:ascii="Calibri" w:eastAsia="Calibri" w:hAnsi="Calibri" w:cs="Times New Roman"/>
          <w:b/>
        </w:rPr>
      </w:pPr>
    </w:p>
    <w:p w14:paraId="1FE150E9" w14:textId="77777777" w:rsidR="00380289" w:rsidRPr="00380289" w:rsidRDefault="00380289" w:rsidP="00380289">
      <w:pPr>
        <w:spacing w:after="0"/>
        <w:rPr>
          <w:rFonts w:ascii="Calibri" w:eastAsia="Calibri" w:hAnsi="Calibri" w:cs="Times New Roman"/>
          <w:b/>
        </w:rPr>
      </w:pPr>
    </w:p>
    <w:p w14:paraId="21E9B8B0" w14:textId="77777777" w:rsidR="00380289" w:rsidRPr="00380289" w:rsidRDefault="00380289" w:rsidP="00380289">
      <w:pPr>
        <w:spacing w:after="0"/>
        <w:rPr>
          <w:rFonts w:ascii="Calibri" w:eastAsia="Calibri" w:hAnsi="Calibri" w:cs="Times New Roman"/>
          <w:b/>
        </w:rPr>
      </w:pPr>
    </w:p>
    <w:p w14:paraId="1E5EFAB3" w14:textId="77777777" w:rsidR="00380289" w:rsidRPr="00380289" w:rsidRDefault="00380289" w:rsidP="00380289">
      <w:pPr>
        <w:spacing w:after="0"/>
        <w:rPr>
          <w:rFonts w:ascii="Calibri" w:eastAsia="Calibri" w:hAnsi="Calibri" w:cs="Times New Roman"/>
          <w:b/>
        </w:rPr>
      </w:pPr>
    </w:p>
    <w:p w14:paraId="3CC478CC" w14:textId="77777777" w:rsidR="00380289" w:rsidRPr="00380289" w:rsidRDefault="00380289" w:rsidP="00380289">
      <w:pPr>
        <w:spacing w:after="0"/>
        <w:rPr>
          <w:rFonts w:ascii="Calibri" w:eastAsia="Calibri" w:hAnsi="Calibri" w:cs="Times New Roman"/>
          <w:b/>
        </w:rPr>
      </w:pPr>
    </w:p>
    <w:p w14:paraId="585B06CB" w14:textId="77777777" w:rsidR="00380289" w:rsidRPr="00380289" w:rsidRDefault="00380289" w:rsidP="00380289">
      <w:pPr>
        <w:spacing w:after="0"/>
        <w:rPr>
          <w:rFonts w:ascii="Calibri" w:eastAsia="Calibri" w:hAnsi="Calibri" w:cs="Times New Roman"/>
          <w:b/>
        </w:rPr>
      </w:pPr>
    </w:p>
    <w:p w14:paraId="37208E09" w14:textId="77777777" w:rsidR="00380289" w:rsidRPr="00380289" w:rsidRDefault="00380289" w:rsidP="00380289">
      <w:pPr>
        <w:spacing w:after="0"/>
        <w:rPr>
          <w:rFonts w:ascii="Calibri" w:eastAsia="Calibri" w:hAnsi="Calibri" w:cs="Times New Roman"/>
          <w:b/>
        </w:rPr>
      </w:pPr>
    </w:p>
    <w:p w14:paraId="76F5C582" w14:textId="77777777" w:rsidR="00380289" w:rsidRPr="00380289" w:rsidRDefault="00380289" w:rsidP="00380289">
      <w:pPr>
        <w:spacing w:after="0"/>
        <w:rPr>
          <w:rFonts w:ascii="Calibri" w:eastAsia="Calibri" w:hAnsi="Calibri" w:cs="Times New Roman"/>
          <w:b/>
        </w:rPr>
      </w:pPr>
    </w:p>
    <w:p w14:paraId="4DA70F0D" w14:textId="77777777" w:rsidR="00380289" w:rsidRPr="00380289" w:rsidRDefault="00380289" w:rsidP="00380289">
      <w:pPr>
        <w:spacing w:after="0"/>
        <w:rPr>
          <w:rFonts w:ascii="Calibri" w:eastAsia="Calibri" w:hAnsi="Calibri" w:cs="Times New Roman"/>
          <w:b/>
        </w:rPr>
      </w:pPr>
    </w:p>
    <w:p w14:paraId="1CF94542" w14:textId="77777777" w:rsidR="00380289" w:rsidRPr="00380289" w:rsidRDefault="00380289" w:rsidP="00380289">
      <w:pPr>
        <w:spacing w:after="0"/>
        <w:rPr>
          <w:rFonts w:ascii="Calibri" w:eastAsia="Calibri" w:hAnsi="Calibri" w:cs="Times New Roman"/>
          <w:b/>
        </w:rPr>
      </w:pPr>
    </w:p>
    <w:p w14:paraId="21E2BF28" w14:textId="77777777" w:rsidR="00380289" w:rsidRPr="00380289" w:rsidRDefault="00380289" w:rsidP="00380289">
      <w:pPr>
        <w:spacing w:after="0"/>
        <w:rPr>
          <w:rFonts w:ascii="Calibri" w:eastAsia="Calibri" w:hAnsi="Calibri" w:cs="Times New Roman"/>
          <w:b/>
        </w:rPr>
      </w:pPr>
    </w:p>
    <w:p w14:paraId="12CC34A1" w14:textId="77777777" w:rsidR="00380289" w:rsidRPr="00380289" w:rsidRDefault="00380289" w:rsidP="00380289">
      <w:pPr>
        <w:spacing w:after="0"/>
        <w:rPr>
          <w:rFonts w:ascii="Calibri" w:eastAsia="Calibri" w:hAnsi="Calibri" w:cs="Times New Roman"/>
          <w:b/>
        </w:rPr>
      </w:pPr>
    </w:p>
    <w:p w14:paraId="3F0BC8D3" w14:textId="77777777" w:rsidR="00380289" w:rsidRPr="00380289" w:rsidRDefault="00380289" w:rsidP="00380289">
      <w:pPr>
        <w:spacing w:after="0"/>
        <w:rPr>
          <w:rFonts w:ascii="Calibri" w:eastAsia="Calibri" w:hAnsi="Calibri" w:cs="Times New Roman"/>
          <w:b/>
        </w:rPr>
      </w:pPr>
    </w:p>
    <w:p w14:paraId="4224134E" w14:textId="77777777" w:rsidR="00380289" w:rsidRPr="00380289" w:rsidRDefault="00380289" w:rsidP="00380289">
      <w:pPr>
        <w:spacing w:after="0"/>
        <w:rPr>
          <w:rFonts w:ascii="Calibri" w:eastAsia="Calibri" w:hAnsi="Calibri" w:cs="Times New Roman"/>
          <w:b/>
        </w:rPr>
      </w:pPr>
    </w:p>
    <w:p w14:paraId="7D056A34" w14:textId="77777777" w:rsidR="00380289" w:rsidRPr="00380289" w:rsidRDefault="00380289" w:rsidP="00380289">
      <w:pPr>
        <w:spacing w:after="0"/>
        <w:rPr>
          <w:rFonts w:ascii="Calibri" w:eastAsia="Calibri" w:hAnsi="Calibri" w:cs="Times New Roman"/>
          <w:b/>
        </w:rPr>
      </w:pPr>
    </w:p>
    <w:p w14:paraId="53C8490C" w14:textId="77777777" w:rsidR="00380289" w:rsidRPr="00380289" w:rsidRDefault="00380289" w:rsidP="00380289">
      <w:pPr>
        <w:spacing w:after="0"/>
        <w:rPr>
          <w:rFonts w:ascii="Calibri" w:eastAsia="Calibri" w:hAnsi="Calibri" w:cs="Times New Roman"/>
          <w:b/>
        </w:rPr>
      </w:pPr>
    </w:p>
    <w:p w14:paraId="45A72A73" w14:textId="77777777" w:rsidR="00380289" w:rsidRPr="00380289" w:rsidRDefault="00380289" w:rsidP="00380289">
      <w:pPr>
        <w:spacing w:after="0"/>
        <w:rPr>
          <w:rFonts w:ascii="Calibri" w:eastAsia="Calibri" w:hAnsi="Calibri" w:cs="Times New Roman"/>
          <w:b/>
        </w:rPr>
      </w:pPr>
    </w:p>
    <w:p w14:paraId="3914567E" w14:textId="77777777" w:rsidR="00380289" w:rsidRPr="00380289" w:rsidRDefault="00380289" w:rsidP="00380289">
      <w:pPr>
        <w:spacing w:after="0"/>
        <w:rPr>
          <w:rFonts w:ascii="Calibri" w:eastAsia="Calibri" w:hAnsi="Calibri" w:cs="Times New Roman"/>
          <w:b/>
        </w:rPr>
      </w:pPr>
    </w:p>
    <w:p w14:paraId="5C46FC02" w14:textId="77777777" w:rsidR="00380289" w:rsidRPr="00380289" w:rsidRDefault="00380289" w:rsidP="00380289">
      <w:pPr>
        <w:spacing w:after="0"/>
        <w:rPr>
          <w:rFonts w:ascii="Calibri" w:eastAsia="Calibri" w:hAnsi="Calibri" w:cs="Times New Roman"/>
          <w:b/>
        </w:rPr>
      </w:pPr>
    </w:p>
    <w:p w14:paraId="2A3EC992" w14:textId="77777777" w:rsidR="00380289" w:rsidRPr="00380289" w:rsidRDefault="00380289" w:rsidP="00380289">
      <w:pPr>
        <w:spacing w:after="0"/>
        <w:rPr>
          <w:rFonts w:ascii="Calibri" w:eastAsia="Calibri" w:hAnsi="Calibri" w:cs="Times New Roman"/>
          <w:b/>
        </w:rPr>
      </w:pPr>
    </w:p>
    <w:p w14:paraId="45C7AEA5" w14:textId="77777777" w:rsidR="00380289" w:rsidRPr="00380289" w:rsidRDefault="00380289" w:rsidP="00380289">
      <w:pPr>
        <w:spacing w:after="0"/>
        <w:rPr>
          <w:rFonts w:ascii="Calibri" w:eastAsia="Calibri" w:hAnsi="Calibri" w:cs="Times New Roman"/>
          <w:b/>
        </w:rPr>
      </w:pPr>
    </w:p>
    <w:p w14:paraId="1883CA28" w14:textId="77777777" w:rsidR="00380289" w:rsidRPr="00380289" w:rsidRDefault="00380289" w:rsidP="00380289">
      <w:pPr>
        <w:spacing w:after="0"/>
        <w:rPr>
          <w:rFonts w:ascii="Calibri" w:eastAsia="Calibri" w:hAnsi="Calibri" w:cs="Times New Roman"/>
          <w:b/>
        </w:rPr>
      </w:pPr>
    </w:p>
    <w:p w14:paraId="12EF2EAF" w14:textId="77777777" w:rsidR="00380289" w:rsidRPr="00380289" w:rsidRDefault="00380289" w:rsidP="00380289">
      <w:pPr>
        <w:spacing w:after="0"/>
        <w:rPr>
          <w:rFonts w:ascii="Calibri" w:eastAsia="Calibri" w:hAnsi="Calibri" w:cs="Times New Roman"/>
          <w:b/>
        </w:rPr>
      </w:pPr>
    </w:p>
    <w:p w14:paraId="7CDEB45B" w14:textId="77777777" w:rsidR="00380289" w:rsidRPr="00380289" w:rsidRDefault="00380289" w:rsidP="00380289">
      <w:pPr>
        <w:spacing w:after="0"/>
        <w:rPr>
          <w:rFonts w:ascii="Calibri" w:eastAsia="Calibri" w:hAnsi="Calibri" w:cs="Times New Roman"/>
          <w:b/>
        </w:rPr>
      </w:pPr>
    </w:p>
    <w:p w14:paraId="06B9FD86" w14:textId="77777777" w:rsidR="00380289" w:rsidRPr="00380289" w:rsidRDefault="00380289" w:rsidP="00380289">
      <w:pPr>
        <w:spacing w:after="0"/>
        <w:rPr>
          <w:rFonts w:ascii="Calibri" w:eastAsia="Calibri" w:hAnsi="Calibri" w:cs="Times New Roman"/>
          <w:b/>
        </w:rPr>
      </w:pPr>
    </w:p>
    <w:p w14:paraId="283FB7E7" w14:textId="77777777" w:rsidR="00380289" w:rsidRPr="00380289" w:rsidRDefault="00380289" w:rsidP="00380289">
      <w:pPr>
        <w:spacing w:after="0"/>
        <w:rPr>
          <w:rFonts w:ascii="Calibri" w:eastAsia="Calibri" w:hAnsi="Calibri" w:cs="Times New Roman"/>
          <w:b/>
        </w:rPr>
      </w:pPr>
    </w:p>
    <w:p w14:paraId="2F7ED191" w14:textId="77777777" w:rsidR="00380289" w:rsidRPr="00380289" w:rsidRDefault="00380289" w:rsidP="00380289">
      <w:pPr>
        <w:spacing w:after="0"/>
        <w:rPr>
          <w:rFonts w:ascii="Calibri" w:eastAsia="Calibri" w:hAnsi="Calibri" w:cs="Times New Roman"/>
          <w:b/>
        </w:rPr>
      </w:pPr>
    </w:p>
    <w:p w14:paraId="2F3A6771" w14:textId="77777777" w:rsidR="00380289" w:rsidRPr="00380289" w:rsidRDefault="00380289" w:rsidP="00380289">
      <w:pPr>
        <w:spacing w:after="0"/>
        <w:rPr>
          <w:rFonts w:ascii="Calibri" w:eastAsia="Calibri" w:hAnsi="Calibri" w:cs="Times New Roman"/>
          <w:b/>
        </w:rPr>
      </w:pPr>
    </w:p>
    <w:p w14:paraId="6E9F23A1" w14:textId="77777777" w:rsidR="00380289" w:rsidRPr="00380289" w:rsidRDefault="00380289" w:rsidP="00380289">
      <w:pPr>
        <w:spacing w:after="0"/>
        <w:rPr>
          <w:rFonts w:ascii="Calibri" w:eastAsia="Calibri" w:hAnsi="Calibri" w:cs="Times New Roman"/>
          <w:b/>
        </w:rPr>
      </w:pPr>
    </w:p>
    <w:p w14:paraId="6A26BF90" w14:textId="77777777" w:rsidR="00380289" w:rsidRPr="00380289" w:rsidRDefault="00380289" w:rsidP="00380289">
      <w:pPr>
        <w:spacing w:after="0"/>
        <w:rPr>
          <w:rFonts w:ascii="Calibri" w:eastAsia="Calibri" w:hAnsi="Calibri" w:cs="Times New Roman"/>
          <w:b/>
        </w:rPr>
      </w:pPr>
    </w:p>
    <w:p w14:paraId="6B8FDCB0" w14:textId="77777777" w:rsidR="00380289" w:rsidRPr="00380289" w:rsidRDefault="00380289" w:rsidP="00380289">
      <w:pPr>
        <w:spacing w:after="0"/>
        <w:rPr>
          <w:rFonts w:ascii="Calibri" w:eastAsia="Calibri" w:hAnsi="Calibri" w:cs="Times New Roman"/>
          <w:b/>
        </w:rPr>
      </w:pPr>
    </w:p>
    <w:p w14:paraId="091242ED" w14:textId="77777777" w:rsidR="00380289" w:rsidRPr="00380289" w:rsidRDefault="00380289" w:rsidP="00380289">
      <w:pPr>
        <w:spacing w:after="0"/>
        <w:rPr>
          <w:rFonts w:ascii="Calibri" w:eastAsia="Calibri" w:hAnsi="Calibri" w:cs="Times New Roman"/>
          <w:b/>
        </w:rPr>
      </w:pPr>
    </w:p>
    <w:p w14:paraId="1C9E42A9" w14:textId="77777777" w:rsidR="00380289" w:rsidRPr="00380289" w:rsidRDefault="00380289" w:rsidP="00380289">
      <w:pPr>
        <w:spacing w:after="0"/>
        <w:rPr>
          <w:rFonts w:ascii="Calibri" w:eastAsia="Calibri" w:hAnsi="Calibri" w:cs="Times New Roman"/>
          <w:b/>
        </w:rPr>
      </w:pPr>
    </w:p>
    <w:p w14:paraId="7E700896" w14:textId="77777777" w:rsidR="00380289" w:rsidRPr="00380289" w:rsidRDefault="00380289" w:rsidP="00380289">
      <w:pPr>
        <w:spacing w:after="0"/>
        <w:rPr>
          <w:rFonts w:ascii="Calibri" w:eastAsia="Calibri" w:hAnsi="Calibri" w:cs="Times New Roman"/>
          <w:b/>
        </w:rPr>
      </w:pPr>
    </w:p>
    <w:p w14:paraId="7FD32741" w14:textId="2B064F5D" w:rsidR="00907D0D" w:rsidRDefault="00380289" w:rsidP="00380289">
      <w:r w:rsidRPr="00380289">
        <w:rPr>
          <w:rFonts w:ascii="Calibri" w:eastAsia="Calibri" w:hAnsi="Calibri" w:cs="Times New Roman"/>
        </w:rPr>
        <w:fldChar w:fldCharType="end"/>
      </w:r>
      <w:bookmarkEnd w:id="4"/>
    </w:p>
    <w:p w14:paraId="6F6DABE6" w14:textId="0D3F4261" w:rsidR="00E63CEB" w:rsidRDefault="00E63CEB" w:rsidP="001107C3">
      <w:pPr>
        <w:jc w:val="both"/>
        <w:rPr>
          <w:b/>
          <w:u w:val="single"/>
        </w:rPr>
      </w:pPr>
    </w:p>
    <w:p w14:paraId="6A1A5C0A" w14:textId="1049EB3D" w:rsidR="00D6403F" w:rsidRDefault="00D6403F" w:rsidP="001107C3">
      <w:pPr>
        <w:jc w:val="both"/>
        <w:rPr>
          <w:b/>
          <w:u w:val="single"/>
        </w:rPr>
      </w:pPr>
    </w:p>
    <w:p w14:paraId="7ED24372" w14:textId="637266C5" w:rsidR="00D6403F" w:rsidRDefault="00D6403F" w:rsidP="001107C3">
      <w:pPr>
        <w:jc w:val="both"/>
        <w:rPr>
          <w:b/>
          <w:u w:val="single"/>
        </w:rPr>
      </w:pPr>
    </w:p>
    <w:p w14:paraId="36DD853C" w14:textId="3D605A14" w:rsidR="00D6403F" w:rsidRDefault="00D6403F" w:rsidP="001107C3">
      <w:pPr>
        <w:jc w:val="both"/>
        <w:rPr>
          <w:b/>
          <w:u w:val="single"/>
        </w:rPr>
      </w:pPr>
    </w:p>
    <w:p w14:paraId="346C7A8C" w14:textId="77777777" w:rsidR="00980A8D" w:rsidRDefault="00980A8D" w:rsidP="001107C3">
      <w:pPr>
        <w:jc w:val="both"/>
        <w:rPr>
          <w:b/>
          <w:u w:val="single"/>
        </w:rPr>
      </w:pPr>
    </w:p>
    <w:p w14:paraId="5B391403" w14:textId="77777777" w:rsidR="00316AFC" w:rsidRDefault="00316AFC" w:rsidP="00D6403F">
      <w:pPr>
        <w:spacing w:line="480" w:lineRule="auto"/>
        <w:rPr>
          <w:b/>
          <w:u w:val="single"/>
        </w:rPr>
      </w:pPr>
    </w:p>
    <w:sectPr w:rsidR="00316A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5107B" w14:textId="77777777" w:rsidR="00BF023F" w:rsidRDefault="00BF023F" w:rsidP="004D4EF1">
      <w:pPr>
        <w:spacing w:after="0" w:line="240" w:lineRule="auto"/>
      </w:pPr>
      <w:r>
        <w:separator/>
      </w:r>
    </w:p>
  </w:endnote>
  <w:endnote w:type="continuationSeparator" w:id="0">
    <w:p w14:paraId="65E10B49" w14:textId="77777777" w:rsidR="00BF023F" w:rsidRDefault="00BF023F" w:rsidP="004D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99757" w14:textId="77777777" w:rsidR="00BF023F" w:rsidRDefault="00BF023F" w:rsidP="004D4EF1">
      <w:pPr>
        <w:spacing w:after="0" w:line="240" w:lineRule="auto"/>
      </w:pPr>
      <w:r>
        <w:separator/>
      </w:r>
    </w:p>
  </w:footnote>
  <w:footnote w:type="continuationSeparator" w:id="0">
    <w:p w14:paraId="5FAFF9BE" w14:textId="77777777" w:rsidR="00BF023F" w:rsidRDefault="00BF023F" w:rsidP="004D4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62A"/>
    <w:multiLevelType w:val="hybridMultilevel"/>
    <w:tmpl w:val="DF1E216A"/>
    <w:lvl w:ilvl="0" w:tplc="33E098A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E6A48"/>
    <w:multiLevelType w:val="hybridMultilevel"/>
    <w:tmpl w:val="6382FF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456DDF"/>
    <w:multiLevelType w:val="hybridMultilevel"/>
    <w:tmpl w:val="3072D9C2"/>
    <w:lvl w:ilvl="0" w:tplc="5E2C57B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6296A"/>
    <w:multiLevelType w:val="hybridMultilevel"/>
    <w:tmpl w:val="171A99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3737A3"/>
    <w:multiLevelType w:val="hybridMultilevel"/>
    <w:tmpl w:val="AF9EE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F1172"/>
    <w:multiLevelType w:val="hybridMultilevel"/>
    <w:tmpl w:val="09FA0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94B81"/>
    <w:multiLevelType w:val="hybridMultilevel"/>
    <w:tmpl w:val="C4C42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F44E5"/>
    <w:multiLevelType w:val="hybridMultilevel"/>
    <w:tmpl w:val="42F05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B4F99"/>
    <w:multiLevelType w:val="hybridMultilevel"/>
    <w:tmpl w:val="D5662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025A9"/>
    <w:multiLevelType w:val="hybridMultilevel"/>
    <w:tmpl w:val="BC28F66A"/>
    <w:lvl w:ilvl="0" w:tplc="5AB42D9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7784D"/>
    <w:multiLevelType w:val="hybridMultilevel"/>
    <w:tmpl w:val="CFD8448E"/>
    <w:lvl w:ilvl="0" w:tplc="FA16E73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B52F8"/>
    <w:multiLevelType w:val="hybridMultilevel"/>
    <w:tmpl w:val="90CC7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80289"/>
    <w:multiLevelType w:val="hybridMultilevel"/>
    <w:tmpl w:val="C750C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403FF"/>
    <w:multiLevelType w:val="hybridMultilevel"/>
    <w:tmpl w:val="416AF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15354"/>
    <w:multiLevelType w:val="hybridMultilevel"/>
    <w:tmpl w:val="9BB62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7773A"/>
    <w:multiLevelType w:val="hybridMultilevel"/>
    <w:tmpl w:val="E3D26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4115A"/>
    <w:multiLevelType w:val="hybridMultilevel"/>
    <w:tmpl w:val="39CEF40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D610C"/>
    <w:multiLevelType w:val="hybridMultilevel"/>
    <w:tmpl w:val="9E0E1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27A5F"/>
    <w:multiLevelType w:val="hybridMultilevel"/>
    <w:tmpl w:val="D9D68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B056B"/>
    <w:multiLevelType w:val="hybridMultilevel"/>
    <w:tmpl w:val="92E83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B1AEE"/>
    <w:multiLevelType w:val="hybridMultilevel"/>
    <w:tmpl w:val="968E4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6"/>
  </w:num>
  <w:num w:numId="4">
    <w:abstractNumId w:val="8"/>
  </w:num>
  <w:num w:numId="5">
    <w:abstractNumId w:val="5"/>
  </w:num>
  <w:num w:numId="6">
    <w:abstractNumId w:val="12"/>
  </w:num>
  <w:num w:numId="7">
    <w:abstractNumId w:val="3"/>
  </w:num>
  <w:num w:numId="8">
    <w:abstractNumId w:val="14"/>
  </w:num>
  <w:num w:numId="9">
    <w:abstractNumId w:val="7"/>
  </w:num>
  <w:num w:numId="10">
    <w:abstractNumId w:val="4"/>
  </w:num>
  <w:num w:numId="11">
    <w:abstractNumId w:val="13"/>
  </w:num>
  <w:num w:numId="12">
    <w:abstractNumId w:val="19"/>
  </w:num>
  <w:num w:numId="13">
    <w:abstractNumId w:val="15"/>
  </w:num>
  <w:num w:numId="14">
    <w:abstractNumId w:val="18"/>
  </w:num>
  <w:num w:numId="15">
    <w:abstractNumId w:val="17"/>
  </w:num>
  <w:num w:numId="16">
    <w:abstractNumId w:val="20"/>
  </w:num>
  <w:num w:numId="17">
    <w:abstractNumId w:val="1"/>
  </w:num>
  <w:num w:numId="18">
    <w:abstractNumId w:val="16"/>
  </w:num>
  <w:num w:numId="19">
    <w:abstractNumId w:val="9"/>
  </w:num>
  <w:num w:numId="20">
    <w:abstractNumId w:val="0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A4"/>
    <w:rsid w:val="00000EEC"/>
    <w:rsid w:val="00003CD0"/>
    <w:rsid w:val="00012F83"/>
    <w:rsid w:val="00013506"/>
    <w:rsid w:val="0001734A"/>
    <w:rsid w:val="00020FBD"/>
    <w:rsid w:val="00023354"/>
    <w:rsid w:val="00026E0F"/>
    <w:rsid w:val="00026EEB"/>
    <w:rsid w:val="000276FB"/>
    <w:rsid w:val="000310BE"/>
    <w:rsid w:val="00033043"/>
    <w:rsid w:val="000347AA"/>
    <w:rsid w:val="000366C6"/>
    <w:rsid w:val="000508DC"/>
    <w:rsid w:val="000556A5"/>
    <w:rsid w:val="000575C3"/>
    <w:rsid w:val="00061C0C"/>
    <w:rsid w:val="0007255C"/>
    <w:rsid w:val="00073DC1"/>
    <w:rsid w:val="00082861"/>
    <w:rsid w:val="0008396D"/>
    <w:rsid w:val="00094B5E"/>
    <w:rsid w:val="00096BFD"/>
    <w:rsid w:val="000A016B"/>
    <w:rsid w:val="000A0F74"/>
    <w:rsid w:val="000B0F06"/>
    <w:rsid w:val="000B1323"/>
    <w:rsid w:val="000B5913"/>
    <w:rsid w:val="000C5D1A"/>
    <w:rsid w:val="000D180E"/>
    <w:rsid w:val="000F0E72"/>
    <w:rsid w:val="000F20B7"/>
    <w:rsid w:val="00100250"/>
    <w:rsid w:val="00102034"/>
    <w:rsid w:val="00106A3D"/>
    <w:rsid w:val="00107E59"/>
    <w:rsid w:val="001107C3"/>
    <w:rsid w:val="00111A22"/>
    <w:rsid w:val="00111CFF"/>
    <w:rsid w:val="00114902"/>
    <w:rsid w:val="00114A59"/>
    <w:rsid w:val="00116982"/>
    <w:rsid w:val="00117452"/>
    <w:rsid w:val="00125631"/>
    <w:rsid w:val="0014147E"/>
    <w:rsid w:val="001433B4"/>
    <w:rsid w:val="001562CC"/>
    <w:rsid w:val="00156471"/>
    <w:rsid w:val="001705A9"/>
    <w:rsid w:val="001719A1"/>
    <w:rsid w:val="0017228D"/>
    <w:rsid w:val="00180AE3"/>
    <w:rsid w:val="00184110"/>
    <w:rsid w:val="00184877"/>
    <w:rsid w:val="001853F2"/>
    <w:rsid w:val="00187ECD"/>
    <w:rsid w:val="001909C2"/>
    <w:rsid w:val="001948A3"/>
    <w:rsid w:val="001959AD"/>
    <w:rsid w:val="001A0FAB"/>
    <w:rsid w:val="001A11DC"/>
    <w:rsid w:val="001A46BD"/>
    <w:rsid w:val="001A4CF1"/>
    <w:rsid w:val="001A68AB"/>
    <w:rsid w:val="001A6E5C"/>
    <w:rsid w:val="001B1FFF"/>
    <w:rsid w:val="001C3ED8"/>
    <w:rsid w:val="001D0841"/>
    <w:rsid w:val="001D2354"/>
    <w:rsid w:val="001D3B12"/>
    <w:rsid w:val="001D3FAC"/>
    <w:rsid w:val="001D4ADF"/>
    <w:rsid w:val="001E2318"/>
    <w:rsid w:val="001E3263"/>
    <w:rsid w:val="001E605F"/>
    <w:rsid w:val="001F36F9"/>
    <w:rsid w:val="001F3A35"/>
    <w:rsid w:val="001F6B13"/>
    <w:rsid w:val="00202E28"/>
    <w:rsid w:val="00203098"/>
    <w:rsid w:val="00203614"/>
    <w:rsid w:val="002125AB"/>
    <w:rsid w:val="00212E05"/>
    <w:rsid w:val="002171D1"/>
    <w:rsid w:val="002208FF"/>
    <w:rsid w:val="002242BC"/>
    <w:rsid w:val="00225A00"/>
    <w:rsid w:val="00230D14"/>
    <w:rsid w:val="0023408B"/>
    <w:rsid w:val="002361E2"/>
    <w:rsid w:val="002400B0"/>
    <w:rsid w:val="00242B49"/>
    <w:rsid w:val="00246FA1"/>
    <w:rsid w:val="00261FBC"/>
    <w:rsid w:val="00265CC3"/>
    <w:rsid w:val="0026610D"/>
    <w:rsid w:val="002717C2"/>
    <w:rsid w:val="00271841"/>
    <w:rsid w:val="00277694"/>
    <w:rsid w:val="002776CA"/>
    <w:rsid w:val="00277D55"/>
    <w:rsid w:val="00282051"/>
    <w:rsid w:val="00283DD4"/>
    <w:rsid w:val="00283FDD"/>
    <w:rsid w:val="00290C25"/>
    <w:rsid w:val="002A5628"/>
    <w:rsid w:val="002A743C"/>
    <w:rsid w:val="002A7C87"/>
    <w:rsid w:val="002B0A29"/>
    <w:rsid w:val="002B193B"/>
    <w:rsid w:val="002D78A7"/>
    <w:rsid w:val="002E0B46"/>
    <w:rsid w:val="002E2560"/>
    <w:rsid w:val="002E4187"/>
    <w:rsid w:val="002E78CA"/>
    <w:rsid w:val="002F4DD6"/>
    <w:rsid w:val="002F64BA"/>
    <w:rsid w:val="00301772"/>
    <w:rsid w:val="003141F5"/>
    <w:rsid w:val="00314406"/>
    <w:rsid w:val="00316AFC"/>
    <w:rsid w:val="00321658"/>
    <w:rsid w:val="003333C3"/>
    <w:rsid w:val="003458F6"/>
    <w:rsid w:val="00345CA4"/>
    <w:rsid w:val="003514CC"/>
    <w:rsid w:val="003637B2"/>
    <w:rsid w:val="00364321"/>
    <w:rsid w:val="00365AE3"/>
    <w:rsid w:val="003675B7"/>
    <w:rsid w:val="003700B9"/>
    <w:rsid w:val="00380289"/>
    <w:rsid w:val="003805F9"/>
    <w:rsid w:val="003812DE"/>
    <w:rsid w:val="0038178D"/>
    <w:rsid w:val="00383A86"/>
    <w:rsid w:val="003854F8"/>
    <w:rsid w:val="0039104A"/>
    <w:rsid w:val="00392E37"/>
    <w:rsid w:val="00397E24"/>
    <w:rsid w:val="003A1AE1"/>
    <w:rsid w:val="003A69D3"/>
    <w:rsid w:val="003B51F7"/>
    <w:rsid w:val="003C0783"/>
    <w:rsid w:val="003C266B"/>
    <w:rsid w:val="003C27A1"/>
    <w:rsid w:val="003C5B37"/>
    <w:rsid w:val="003C6C48"/>
    <w:rsid w:val="003D14FA"/>
    <w:rsid w:val="003D24AF"/>
    <w:rsid w:val="003D7625"/>
    <w:rsid w:val="003E205C"/>
    <w:rsid w:val="003E3194"/>
    <w:rsid w:val="003E4426"/>
    <w:rsid w:val="003E7B03"/>
    <w:rsid w:val="003F1689"/>
    <w:rsid w:val="003F271B"/>
    <w:rsid w:val="003F4CDA"/>
    <w:rsid w:val="0040071E"/>
    <w:rsid w:val="0040327A"/>
    <w:rsid w:val="0040542D"/>
    <w:rsid w:val="004118F8"/>
    <w:rsid w:val="004215B5"/>
    <w:rsid w:val="00422AC9"/>
    <w:rsid w:val="0042799F"/>
    <w:rsid w:val="00440338"/>
    <w:rsid w:val="00445031"/>
    <w:rsid w:val="004461D1"/>
    <w:rsid w:val="00446F63"/>
    <w:rsid w:val="00451099"/>
    <w:rsid w:val="0046095D"/>
    <w:rsid w:val="00461422"/>
    <w:rsid w:val="004652DA"/>
    <w:rsid w:val="00473028"/>
    <w:rsid w:val="0047502E"/>
    <w:rsid w:val="0047792E"/>
    <w:rsid w:val="004825C9"/>
    <w:rsid w:val="00484EEB"/>
    <w:rsid w:val="00485430"/>
    <w:rsid w:val="00493C3A"/>
    <w:rsid w:val="00493D2A"/>
    <w:rsid w:val="004A3BEE"/>
    <w:rsid w:val="004B0D68"/>
    <w:rsid w:val="004B211A"/>
    <w:rsid w:val="004B5DB4"/>
    <w:rsid w:val="004B6975"/>
    <w:rsid w:val="004B7AF5"/>
    <w:rsid w:val="004C797C"/>
    <w:rsid w:val="004D4EF1"/>
    <w:rsid w:val="004D6A4E"/>
    <w:rsid w:val="004E7599"/>
    <w:rsid w:val="004F0AA0"/>
    <w:rsid w:val="004F0D88"/>
    <w:rsid w:val="004F4BEF"/>
    <w:rsid w:val="004F50A9"/>
    <w:rsid w:val="004F71A7"/>
    <w:rsid w:val="00501D1A"/>
    <w:rsid w:val="005026B6"/>
    <w:rsid w:val="00502C8F"/>
    <w:rsid w:val="00512B90"/>
    <w:rsid w:val="005139CB"/>
    <w:rsid w:val="0051401E"/>
    <w:rsid w:val="005170DB"/>
    <w:rsid w:val="005207BC"/>
    <w:rsid w:val="005228FC"/>
    <w:rsid w:val="005257FA"/>
    <w:rsid w:val="00533F9F"/>
    <w:rsid w:val="0053595D"/>
    <w:rsid w:val="00535BB5"/>
    <w:rsid w:val="00535CBC"/>
    <w:rsid w:val="005363F4"/>
    <w:rsid w:val="005428E6"/>
    <w:rsid w:val="00551991"/>
    <w:rsid w:val="00555B35"/>
    <w:rsid w:val="0055625A"/>
    <w:rsid w:val="00557370"/>
    <w:rsid w:val="00561F7F"/>
    <w:rsid w:val="00562430"/>
    <w:rsid w:val="00570BA6"/>
    <w:rsid w:val="00571157"/>
    <w:rsid w:val="00571C26"/>
    <w:rsid w:val="00573A5E"/>
    <w:rsid w:val="00582B6F"/>
    <w:rsid w:val="005877DA"/>
    <w:rsid w:val="00593B15"/>
    <w:rsid w:val="00594E4F"/>
    <w:rsid w:val="00596237"/>
    <w:rsid w:val="005A0AD9"/>
    <w:rsid w:val="005A4328"/>
    <w:rsid w:val="005A7CBD"/>
    <w:rsid w:val="005B15FB"/>
    <w:rsid w:val="005B6A53"/>
    <w:rsid w:val="005C3DF1"/>
    <w:rsid w:val="005C3E84"/>
    <w:rsid w:val="005C5250"/>
    <w:rsid w:val="005E1A14"/>
    <w:rsid w:val="005E1E40"/>
    <w:rsid w:val="005E4EFD"/>
    <w:rsid w:val="005E5307"/>
    <w:rsid w:val="005E71AD"/>
    <w:rsid w:val="005F05DC"/>
    <w:rsid w:val="005F2395"/>
    <w:rsid w:val="005F2987"/>
    <w:rsid w:val="00600392"/>
    <w:rsid w:val="00601DA6"/>
    <w:rsid w:val="00603C6A"/>
    <w:rsid w:val="0061177F"/>
    <w:rsid w:val="006141F8"/>
    <w:rsid w:val="00616943"/>
    <w:rsid w:val="0061761B"/>
    <w:rsid w:val="00623E6C"/>
    <w:rsid w:val="006240AB"/>
    <w:rsid w:val="0062567A"/>
    <w:rsid w:val="00626EC5"/>
    <w:rsid w:val="0062745E"/>
    <w:rsid w:val="00627934"/>
    <w:rsid w:val="00630B1B"/>
    <w:rsid w:val="006357AB"/>
    <w:rsid w:val="00640F31"/>
    <w:rsid w:val="00645699"/>
    <w:rsid w:val="00651D00"/>
    <w:rsid w:val="00665430"/>
    <w:rsid w:val="00676657"/>
    <w:rsid w:val="006831BA"/>
    <w:rsid w:val="00686221"/>
    <w:rsid w:val="006A43E8"/>
    <w:rsid w:val="006B433E"/>
    <w:rsid w:val="006C1647"/>
    <w:rsid w:val="006C4135"/>
    <w:rsid w:val="006C5FD1"/>
    <w:rsid w:val="006C7AB1"/>
    <w:rsid w:val="006D2FAE"/>
    <w:rsid w:val="006D311F"/>
    <w:rsid w:val="006E7001"/>
    <w:rsid w:val="006E7201"/>
    <w:rsid w:val="006E7C4C"/>
    <w:rsid w:val="007075F1"/>
    <w:rsid w:val="00722186"/>
    <w:rsid w:val="00722CF4"/>
    <w:rsid w:val="00724006"/>
    <w:rsid w:val="007245BF"/>
    <w:rsid w:val="007247E2"/>
    <w:rsid w:val="00726114"/>
    <w:rsid w:val="0072707E"/>
    <w:rsid w:val="007300E0"/>
    <w:rsid w:val="00733AE5"/>
    <w:rsid w:val="00741083"/>
    <w:rsid w:val="00746A65"/>
    <w:rsid w:val="00747FAB"/>
    <w:rsid w:val="00756BA5"/>
    <w:rsid w:val="00762A45"/>
    <w:rsid w:val="007663FC"/>
    <w:rsid w:val="00770424"/>
    <w:rsid w:val="00776394"/>
    <w:rsid w:val="00782BF5"/>
    <w:rsid w:val="0078566F"/>
    <w:rsid w:val="00793EC1"/>
    <w:rsid w:val="0079717B"/>
    <w:rsid w:val="007A3E55"/>
    <w:rsid w:val="007A4346"/>
    <w:rsid w:val="007A5176"/>
    <w:rsid w:val="007A62E8"/>
    <w:rsid w:val="007A784F"/>
    <w:rsid w:val="007B11F8"/>
    <w:rsid w:val="007B25D4"/>
    <w:rsid w:val="007B43FF"/>
    <w:rsid w:val="007B48E1"/>
    <w:rsid w:val="007C3B52"/>
    <w:rsid w:val="007C6E76"/>
    <w:rsid w:val="007C7E56"/>
    <w:rsid w:val="007D06C9"/>
    <w:rsid w:val="007D2EC6"/>
    <w:rsid w:val="007D52F2"/>
    <w:rsid w:val="007D55CF"/>
    <w:rsid w:val="007D6C4D"/>
    <w:rsid w:val="007E306D"/>
    <w:rsid w:val="007F5D51"/>
    <w:rsid w:val="007F5FC0"/>
    <w:rsid w:val="008102BD"/>
    <w:rsid w:val="00817BA7"/>
    <w:rsid w:val="0082041D"/>
    <w:rsid w:val="00821D4A"/>
    <w:rsid w:val="00822DA1"/>
    <w:rsid w:val="00823969"/>
    <w:rsid w:val="0082560D"/>
    <w:rsid w:val="00834F8A"/>
    <w:rsid w:val="00840D35"/>
    <w:rsid w:val="0084139E"/>
    <w:rsid w:val="008469DE"/>
    <w:rsid w:val="00847421"/>
    <w:rsid w:val="008526C9"/>
    <w:rsid w:val="008573BB"/>
    <w:rsid w:val="00870C24"/>
    <w:rsid w:val="00871338"/>
    <w:rsid w:val="00875459"/>
    <w:rsid w:val="008909F4"/>
    <w:rsid w:val="008A10E9"/>
    <w:rsid w:val="008B123B"/>
    <w:rsid w:val="008B2D9A"/>
    <w:rsid w:val="008B7FAF"/>
    <w:rsid w:val="008B7FD9"/>
    <w:rsid w:val="008C6607"/>
    <w:rsid w:val="008D0545"/>
    <w:rsid w:val="008D607F"/>
    <w:rsid w:val="008E1407"/>
    <w:rsid w:val="008E19F4"/>
    <w:rsid w:val="008E2236"/>
    <w:rsid w:val="008E2CB9"/>
    <w:rsid w:val="008E6D0F"/>
    <w:rsid w:val="008E7299"/>
    <w:rsid w:val="0090007C"/>
    <w:rsid w:val="0090400E"/>
    <w:rsid w:val="00907D0D"/>
    <w:rsid w:val="00911ABC"/>
    <w:rsid w:val="00912FEB"/>
    <w:rsid w:val="00915E02"/>
    <w:rsid w:val="00916C49"/>
    <w:rsid w:val="009212E9"/>
    <w:rsid w:val="00921AE5"/>
    <w:rsid w:val="00922A11"/>
    <w:rsid w:val="00930957"/>
    <w:rsid w:val="00934E87"/>
    <w:rsid w:val="00941398"/>
    <w:rsid w:val="009424C3"/>
    <w:rsid w:val="00945B9F"/>
    <w:rsid w:val="00952824"/>
    <w:rsid w:val="00954ED0"/>
    <w:rsid w:val="0095655E"/>
    <w:rsid w:val="009565CA"/>
    <w:rsid w:val="00966943"/>
    <w:rsid w:val="00966BF3"/>
    <w:rsid w:val="00971F89"/>
    <w:rsid w:val="0097279F"/>
    <w:rsid w:val="009771D9"/>
    <w:rsid w:val="00980A8D"/>
    <w:rsid w:val="00982ABB"/>
    <w:rsid w:val="00986065"/>
    <w:rsid w:val="00991FFC"/>
    <w:rsid w:val="00996C8A"/>
    <w:rsid w:val="009A058A"/>
    <w:rsid w:val="009A20F8"/>
    <w:rsid w:val="009A7882"/>
    <w:rsid w:val="009B0A64"/>
    <w:rsid w:val="009B0F92"/>
    <w:rsid w:val="009C1018"/>
    <w:rsid w:val="009C6EC5"/>
    <w:rsid w:val="009D0631"/>
    <w:rsid w:val="009D2804"/>
    <w:rsid w:val="009D4768"/>
    <w:rsid w:val="009D57C1"/>
    <w:rsid w:val="009D6BF2"/>
    <w:rsid w:val="009E076C"/>
    <w:rsid w:val="009E2CCD"/>
    <w:rsid w:val="009E5136"/>
    <w:rsid w:val="009E574B"/>
    <w:rsid w:val="009E5B88"/>
    <w:rsid w:val="009E7A3D"/>
    <w:rsid w:val="009F5427"/>
    <w:rsid w:val="00A010E4"/>
    <w:rsid w:val="00A06C10"/>
    <w:rsid w:val="00A12987"/>
    <w:rsid w:val="00A146D3"/>
    <w:rsid w:val="00A15EC3"/>
    <w:rsid w:val="00A1773B"/>
    <w:rsid w:val="00A21108"/>
    <w:rsid w:val="00A233C7"/>
    <w:rsid w:val="00A27C59"/>
    <w:rsid w:val="00A31424"/>
    <w:rsid w:val="00A34EE0"/>
    <w:rsid w:val="00A402B8"/>
    <w:rsid w:val="00A42208"/>
    <w:rsid w:val="00A44DC4"/>
    <w:rsid w:val="00A45048"/>
    <w:rsid w:val="00A46628"/>
    <w:rsid w:val="00A50AD9"/>
    <w:rsid w:val="00A5171F"/>
    <w:rsid w:val="00A56E5B"/>
    <w:rsid w:val="00A70C58"/>
    <w:rsid w:val="00A7133F"/>
    <w:rsid w:val="00A72DF5"/>
    <w:rsid w:val="00A777D9"/>
    <w:rsid w:val="00A830FE"/>
    <w:rsid w:val="00A84775"/>
    <w:rsid w:val="00A84BDF"/>
    <w:rsid w:val="00A90FEC"/>
    <w:rsid w:val="00A92EEF"/>
    <w:rsid w:val="00A95EC8"/>
    <w:rsid w:val="00A9623C"/>
    <w:rsid w:val="00A97F3E"/>
    <w:rsid w:val="00AA2CDB"/>
    <w:rsid w:val="00AC2B95"/>
    <w:rsid w:val="00AD1C3F"/>
    <w:rsid w:val="00AD3DE1"/>
    <w:rsid w:val="00AE217C"/>
    <w:rsid w:val="00AE3C8C"/>
    <w:rsid w:val="00AE4472"/>
    <w:rsid w:val="00AF3FAB"/>
    <w:rsid w:val="00AF5C27"/>
    <w:rsid w:val="00AF6CAC"/>
    <w:rsid w:val="00B03110"/>
    <w:rsid w:val="00B051B8"/>
    <w:rsid w:val="00B06BA4"/>
    <w:rsid w:val="00B11136"/>
    <w:rsid w:val="00B1117A"/>
    <w:rsid w:val="00B24812"/>
    <w:rsid w:val="00B26FE1"/>
    <w:rsid w:val="00B407F7"/>
    <w:rsid w:val="00B40F99"/>
    <w:rsid w:val="00B415AD"/>
    <w:rsid w:val="00B43F36"/>
    <w:rsid w:val="00B47461"/>
    <w:rsid w:val="00B525A0"/>
    <w:rsid w:val="00B556E8"/>
    <w:rsid w:val="00B56809"/>
    <w:rsid w:val="00B745A6"/>
    <w:rsid w:val="00B74783"/>
    <w:rsid w:val="00B83F04"/>
    <w:rsid w:val="00B84FEC"/>
    <w:rsid w:val="00B93C42"/>
    <w:rsid w:val="00B94F1E"/>
    <w:rsid w:val="00B951DE"/>
    <w:rsid w:val="00BA1136"/>
    <w:rsid w:val="00BA4091"/>
    <w:rsid w:val="00BA499E"/>
    <w:rsid w:val="00BB6C76"/>
    <w:rsid w:val="00BB7E28"/>
    <w:rsid w:val="00BC06EB"/>
    <w:rsid w:val="00BC372C"/>
    <w:rsid w:val="00BC37DA"/>
    <w:rsid w:val="00BC3952"/>
    <w:rsid w:val="00BC495C"/>
    <w:rsid w:val="00BC5E1F"/>
    <w:rsid w:val="00BD0BD1"/>
    <w:rsid w:val="00BD4C3F"/>
    <w:rsid w:val="00BE17CE"/>
    <w:rsid w:val="00BE181C"/>
    <w:rsid w:val="00BE3B9B"/>
    <w:rsid w:val="00BF0195"/>
    <w:rsid w:val="00BF023F"/>
    <w:rsid w:val="00BF49B5"/>
    <w:rsid w:val="00BF6308"/>
    <w:rsid w:val="00C02053"/>
    <w:rsid w:val="00C113E8"/>
    <w:rsid w:val="00C11861"/>
    <w:rsid w:val="00C14FBB"/>
    <w:rsid w:val="00C25026"/>
    <w:rsid w:val="00C25B5E"/>
    <w:rsid w:val="00C273D6"/>
    <w:rsid w:val="00C2779E"/>
    <w:rsid w:val="00C27AFA"/>
    <w:rsid w:val="00C31C1C"/>
    <w:rsid w:val="00C33742"/>
    <w:rsid w:val="00C35A28"/>
    <w:rsid w:val="00C4053C"/>
    <w:rsid w:val="00C43C0F"/>
    <w:rsid w:val="00C4775F"/>
    <w:rsid w:val="00C5219D"/>
    <w:rsid w:val="00C5258C"/>
    <w:rsid w:val="00C534B8"/>
    <w:rsid w:val="00C542FF"/>
    <w:rsid w:val="00C54FC9"/>
    <w:rsid w:val="00C554A1"/>
    <w:rsid w:val="00C557AB"/>
    <w:rsid w:val="00C569CF"/>
    <w:rsid w:val="00C645E7"/>
    <w:rsid w:val="00C725FD"/>
    <w:rsid w:val="00C75FF3"/>
    <w:rsid w:val="00C767AF"/>
    <w:rsid w:val="00C83AF9"/>
    <w:rsid w:val="00C85BEE"/>
    <w:rsid w:val="00C86411"/>
    <w:rsid w:val="00C9432F"/>
    <w:rsid w:val="00C944F2"/>
    <w:rsid w:val="00CA3CC9"/>
    <w:rsid w:val="00CB4900"/>
    <w:rsid w:val="00CB618B"/>
    <w:rsid w:val="00CB7829"/>
    <w:rsid w:val="00CC149D"/>
    <w:rsid w:val="00CC2AA1"/>
    <w:rsid w:val="00CC40B0"/>
    <w:rsid w:val="00CC5391"/>
    <w:rsid w:val="00CD0476"/>
    <w:rsid w:val="00CD0B5B"/>
    <w:rsid w:val="00CD66AB"/>
    <w:rsid w:val="00CE2F51"/>
    <w:rsid w:val="00CE4772"/>
    <w:rsid w:val="00CE4B8B"/>
    <w:rsid w:val="00CE6325"/>
    <w:rsid w:val="00CE7DE6"/>
    <w:rsid w:val="00D028FB"/>
    <w:rsid w:val="00D11683"/>
    <w:rsid w:val="00D153EA"/>
    <w:rsid w:val="00D3604E"/>
    <w:rsid w:val="00D44786"/>
    <w:rsid w:val="00D44F1B"/>
    <w:rsid w:val="00D51241"/>
    <w:rsid w:val="00D52E33"/>
    <w:rsid w:val="00D531A3"/>
    <w:rsid w:val="00D54856"/>
    <w:rsid w:val="00D6326E"/>
    <w:rsid w:val="00D6403F"/>
    <w:rsid w:val="00D66362"/>
    <w:rsid w:val="00D716C3"/>
    <w:rsid w:val="00D71DFB"/>
    <w:rsid w:val="00D818E6"/>
    <w:rsid w:val="00D81DF6"/>
    <w:rsid w:val="00D94A76"/>
    <w:rsid w:val="00D95576"/>
    <w:rsid w:val="00D96A34"/>
    <w:rsid w:val="00DA1C70"/>
    <w:rsid w:val="00DA3166"/>
    <w:rsid w:val="00DA37E5"/>
    <w:rsid w:val="00DA7637"/>
    <w:rsid w:val="00DB0507"/>
    <w:rsid w:val="00DB5F6B"/>
    <w:rsid w:val="00DC19F3"/>
    <w:rsid w:val="00DC6069"/>
    <w:rsid w:val="00DD69C2"/>
    <w:rsid w:val="00DE1C84"/>
    <w:rsid w:val="00DE3089"/>
    <w:rsid w:val="00DE6C49"/>
    <w:rsid w:val="00DE6D03"/>
    <w:rsid w:val="00DF69AA"/>
    <w:rsid w:val="00DF71A4"/>
    <w:rsid w:val="00DF79CC"/>
    <w:rsid w:val="00E01DA6"/>
    <w:rsid w:val="00E0301C"/>
    <w:rsid w:val="00E1083B"/>
    <w:rsid w:val="00E10F88"/>
    <w:rsid w:val="00E11355"/>
    <w:rsid w:val="00E17AA0"/>
    <w:rsid w:val="00E3277A"/>
    <w:rsid w:val="00E32E82"/>
    <w:rsid w:val="00E33BA9"/>
    <w:rsid w:val="00E33C29"/>
    <w:rsid w:val="00E35410"/>
    <w:rsid w:val="00E4066D"/>
    <w:rsid w:val="00E45D2A"/>
    <w:rsid w:val="00E54BE7"/>
    <w:rsid w:val="00E57204"/>
    <w:rsid w:val="00E629DB"/>
    <w:rsid w:val="00E63CEB"/>
    <w:rsid w:val="00E6514A"/>
    <w:rsid w:val="00E75E28"/>
    <w:rsid w:val="00E7655D"/>
    <w:rsid w:val="00E8052E"/>
    <w:rsid w:val="00E82975"/>
    <w:rsid w:val="00E8393E"/>
    <w:rsid w:val="00E94A32"/>
    <w:rsid w:val="00EA281C"/>
    <w:rsid w:val="00EA4786"/>
    <w:rsid w:val="00EB28E5"/>
    <w:rsid w:val="00EB637A"/>
    <w:rsid w:val="00EB716F"/>
    <w:rsid w:val="00EB75DD"/>
    <w:rsid w:val="00EC5C10"/>
    <w:rsid w:val="00EC6DA7"/>
    <w:rsid w:val="00ED3DAE"/>
    <w:rsid w:val="00EE5977"/>
    <w:rsid w:val="00EE6C03"/>
    <w:rsid w:val="00F05DB7"/>
    <w:rsid w:val="00F0674E"/>
    <w:rsid w:val="00F06FDF"/>
    <w:rsid w:val="00F14FD2"/>
    <w:rsid w:val="00F2091E"/>
    <w:rsid w:val="00F2707D"/>
    <w:rsid w:val="00F31C3E"/>
    <w:rsid w:val="00F323BF"/>
    <w:rsid w:val="00F3338C"/>
    <w:rsid w:val="00F3495E"/>
    <w:rsid w:val="00F36A15"/>
    <w:rsid w:val="00F36DEE"/>
    <w:rsid w:val="00F43699"/>
    <w:rsid w:val="00F56CF4"/>
    <w:rsid w:val="00F61A11"/>
    <w:rsid w:val="00F657DD"/>
    <w:rsid w:val="00F84C39"/>
    <w:rsid w:val="00F91FFE"/>
    <w:rsid w:val="00F925A1"/>
    <w:rsid w:val="00F936E8"/>
    <w:rsid w:val="00FA01BC"/>
    <w:rsid w:val="00FB1C2C"/>
    <w:rsid w:val="00FB3E38"/>
    <w:rsid w:val="00FC07C0"/>
    <w:rsid w:val="00FC101C"/>
    <w:rsid w:val="00FC2EC3"/>
    <w:rsid w:val="00FC45CF"/>
    <w:rsid w:val="00FC7D05"/>
    <w:rsid w:val="00FD0695"/>
    <w:rsid w:val="00FD3F6B"/>
    <w:rsid w:val="00FE0134"/>
    <w:rsid w:val="00FE109D"/>
    <w:rsid w:val="00FE5C04"/>
    <w:rsid w:val="00FF194F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2FF03"/>
  <w15:docId w15:val="{B576FC03-E8D5-49D5-B6D8-80AD0ECC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327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327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nhideWhenUsed/>
    <w:rsid w:val="000839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6E5C"/>
    <w:pPr>
      <w:ind w:left="720"/>
      <w:contextualSpacing/>
    </w:pPr>
  </w:style>
  <w:style w:type="paragraph" w:styleId="NoSpacing">
    <w:name w:val="No Spacing"/>
    <w:uiPriority w:val="1"/>
    <w:qFormat/>
    <w:rsid w:val="001A6E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8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4E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12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16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43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71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85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26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FE1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0327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03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27A"/>
  </w:style>
  <w:style w:type="paragraph" w:styleId="Footer">
    <w:name w:val="footer"/>
    <w:basedOn w:val="Normal"/>
    <w:link w:val="FooterChar"/>
    <w:uiPriority w:val="99"/>
    <w:unhideWhenUsed/>
    <w:rsid w:val="00403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27A"/>
  </w:style>
  <w:style w:type="character" w:styleId="FollowedHyperlink">
    <w:name w:val="FollowedHyperlink"/>
    <w:basedOn w:val="DefaultParagraphFont"/>
    <w:uiPriority w:val="99"/>
    <w:semiHidden/>
    <w:unhideWhenUsed/>
    <w:rsid w:val="00FC7D0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759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759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littlewood@keele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cd.who.int/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Gareth.stephens@nhs.net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Sheet1!$A$1:$A$5</c:f>
              <c:strCache>
                <c:ptCount val="5"/>
                <c:pt idx="0">
                  <c:v>Low back pain</c:v>
                </c:pt>
                <c:pt idx="1">
                  <c:v>Buttock / posterior hip pain </c:v>
                </c:pt>
                <c:pt idx="2">
                  <c:v>Groin / anterior thigh pain</c:v>
                </c:pt>
                <c:pt idx="3">
                  <c:v>Ipsilatteral knee pain</c:v>
                </c:pt>
                <c:pt idx="4">
                  <c:v>Pain referring below knee</c:v>
                </c:pt>
              </c:strCache>
            </c:strRef>
          </c:cat>
          <c:val>
            <c:numRef>
              <c:f>Sheet1!$B$1:$B$5</c:f>
              <c:numCache>
                <c:formatCode>0.00%</c:formatCode>
                <c:ptCount val="5"/>
                <c:pt idx="0" formatCode="0%">
                  <c:v>0.21</c:v>
                </c:pt>
                <c:pt idx="1">
                  <c:v>0.154</c:v>
                </c:pt>
                <c:pt idx="2">
                  <c:v>0.14899999999999999</c:v>
                </c:pt>
                <c:pt idx="3">
                  <c:v>8.5999999999999993E-2</c:v>
                </c:pt>
                <c:pt idx="4">
                  <c:v>7.3999999999999996E-2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06-4594-96D3-7DE9E19AC8C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12203752"/>
        <c:axId val="312204408"/>
      </c:barChart>
      <c:catAx>
        <c:axId val="312203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2204408"/>
        <c:crosses val="autoZero"/>
        <c:auto val="1"/>
        <c:lblAlgn val="ctr"/>
        <c:lblOffset val="100"/>
        <c:noMultiLvlLbl val="0"/>
      </c:catAx>
      <c:valAx>
        <c:axId val="312204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2203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A390A-A45C-4909-A96B-265493A3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5180</Words>
  <Characters>29527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Orthopaedic Hospital NHS Trust</Company>
  <LinksUpToDate>false</LinksUpToDate>
  <CharactersWithSpaces>34638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Stephens, Gareth</dc:creator>
  <cp:lastModifiedBy>Chris Littlewood</cp:lastModifiedBy>
  <cp:revision>2</cp:revision>
  <cp:lastPrinted>2019-05-08T12:49:00Z</cp:lastPrinted>
  <dcterms:created xsi:type="dcterms:W3CDTF">2019-06-26T09:00:00Z</dcterms:created>
  <dcterms:modified xsi:type="dcterms:W3CDTF">2019-06-26T09:00:00Z</dcterms:modified>
</cp:coreProperties>
</file>